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header+xml" PartName="/word/header10.xml"/>
  <Override ContentType="application/vnd.openxmlformats-officedocument.wordprocessingml.header+xml" PartName="/word/header1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tabs>
          <w:tab w:val="left" w:pos="5580"/>
        </w:tabs>
        <w:spacing w:line="400" w:lineRule="atLeast"/>
        <w:jc w:val="center"/>
        <w:rPr>
          <w:rFonts w:hint="eastAsia" w:ascii="仿宋_GB2312" w:eastAsia="仿宋_GB2312"/>
          <w:sz w:val="52"/>
        </w:rPr>
      </w:pPr>
      <w:bookmarkStart w:id="400" w:name="_GoBack"/>
      <w:bookmarkEnd w:id="400"/>
      <w:r>
        <w:rPr>
          <w:rFonts w:hint="eastAsia" w:ascii="仿宋_GB2312" w:eastAsia="仿宋_GB2312"/>
          <w:sz w:val="52"/>
        </w:rPr>
        <w:t xml:space="preserve"> </w:t>
      </w:r>
    </w:p>
    <w:p>
      <w:pPr>
        <w:spacing w:line="240" w:lineRule="atLeast"/>
        <w:jc w:val="center"/>
        <w:rPr>
          <w:rFonts w:ascii="Arial" w:hAnsi="宋体" w:cs="Arial"/>
          <w:b/>
          <w:sz w:val="52"/>
        </w:rPr>
      </w:pPr>
      <w:r>
        <w:rPr>
          <w:rFonts w:ascii="Arial" w:hAnsi="宋体" w:cs="Arial"/>
          <w:b/>
          <w:sz w:val="52"/>
        </w:rPr>
        <w:t>瑞</w:t>
      </w:r>
      <w:r>
        <w:rPr>
          <w:rFonts w:ascii="Arial" w:hAnsi="Arial" w:cs="Arial"/>
          <w:b/>
          <w:sz w:val="52"/>
        </w:rPr>
        <w:t xml:space="preserve"> </w:t>
      </w:r>
      <w:r>
        <w:rPr>
          <w:rFonts w:ascii="Arial" w:hAnsi="宋体" w:cs="Arial"/>
          <w:b/>
          <w:sz w:val="52"/>
        </w:rPr>
        <w:t>安</w:t>
      </w:r>
      <w:r>
        <w:rPr>
          <w:rFonts w:ascii="Arial" w:hAnsi="Arial" w:cs="Arial"/>
          <w:b/>
          <w:sz w:val="52"/>
        </w:rPr>
        <w:t xml:space="preserve"> </w:t>
      </w:r>
      <w:r>
        <w:rPr>
          <w:rFonts w:ascii="Arial" w:hAnsi="宋体" w:cs="Arial"/>
          <w:b/>
          <w:sz w:val="52"/>
        </w:rPr>
        <w:t>市</w:t>
      </w:r>
      <w:r>
        <w:rPr>
          <w:rFonts w:ascii="Arial" w:hAnsi="Arial" w:cs="Arial"/>
          <w:b/>
          <w:sz w:val="52"/>
        </w:rPr>
        <w:t xml:space="preserve"> </w:t>
      </w:r>
      <w:r>
        <w:rPr>
          <w:rFonts w:ascii="Arial" w:hAnsi="宋体" w:cs="Arial"/>
          <w:b/>
          <w:sz w:val="52"/>
        </w:rPr>
        <w:t>公</w:t>
      </w:r>
      <w:r>
        <w:rPr>
          <w:rFonts w:ascii="Arial" w:hAnsi="Arial" w:cs="Arial"/>
          <w:b/>
          <w:sz w:val="52"/>
        </w:rPr>
        <w:t xml:space="preserve"> </w:t>
      </w:r>
      <w:r>
        <w:rPr>
          <w:rFonts w:ascii="Arial" w:hAnsi="宋体" w:cs="Arial"/>
          <w:b/>
          <w:sz w:val="52"/>
        </w:rPr>
        <w:t>共</w:t>
      </w:r>
      <w:r>
        <w:rPr>
          <w:rFonts w:ascii="Arial" w:hAnsi="Arial" w:cs="Arial"/>
          <w:b/>
          <w:sz w:val="52"/>
        </w:rPr>
        <w:t xml:space="preserve"> </w:t>
      </w:r>
      <w:r>
        <w:rPr>
          <w:rFonts w:ascii="Arial" w:hAnsi="宋体" w:cs="Arial"/>
          <w:b/>
          <w:sz w:val="52"/>
        </w:rPr>
        <w:t>资</w:t>
      </w:r>
      <w:r>
        <w:rPr>
          <w:rFonts w:ascii="Arial" w:hAnsi="Arial" w:cs="Arial"/>
          <w:b/>
          <w:sz w:val="52"/>
        </w:rPr>
        <w:t xml:space="preserve"> </w:t>
      </w:r>
      <w:r>
        <w:rPr>
          <w:rFonts w:ascii="Arial" w:hAnsi="宋体" w:cs="Arial"/>
          <w:b/>
          <w:sz w:val="52"/>
        </w:rPr>
        <w:t>源</w:t>
      </w:r>
      <w:r>
        <w:rPr>
          <w:rFonts w:ascii="Arial" w:hAnsi="Arial" w:cs="Arial"/>
          <w:b/>
          <w:sz w:val="52"/>
        </w:rPr>
        <w:t xml:space="preserve"> </w:t>
      </w:r>
      <w:r>
        <w:rPr>
          <w:rFonts w:ascii="Arial" w:hAnsi="宋体" w:cs="Arial"/>
          <w:b/>
          <w:sz w:val="52"/>
        </w:rPr>
        <w:t>交</w:t>
      </w:r>
      <w:r>
        <w:rPr>
          <w:rFonts w:ascii="Arial" w:hAnsi="Arial" w:cs="Arial"/>
          <w:b/>
          <w:sz w:val="52"/>
        </w:rPr>
        <w:t xml:space="preserve"> </w:t>
      </w:r>
      <w:r>
        <w:rPr>
          <w:rFonts w:ascii="Arial" w:hAnsi="宋体" w:cs="Arial"/>
          <w:b/>
          <w:sz w:val="52"/>
        </w:rPr>
        <w:t>易</w:t>
      </w:r>
      <w:r>
        <w:rPr>
          <w:rFonts w:ascii="Arial" w:hAnsi="Arial" w:cs="Arial"/>
          <w:b/>
          <w:sz w:val="52"/>
        </w:rPr>
        <w:t xml:space="preserve"> </w:t>
      </w:r>
      <w:r>
        <w:rPr>
          <w:rFonts w:ascii="Arial" w:hAnsi="宋体" w:cs="Arial"/>
          <w:b/>
          <w:sz w:val="52"/>
        </w:rPr>
        <w:t>中</w:t>
      </w:r>
      <w:r>
        <w:rPr>
          <w:rFonts w:ascii="Arial" w:hAnsi="Arial" w:cs="Arial"/>
          <w:b/>
          <w:sz w:val="52"/>
        </w:rPr>
        <w:t xml:space="preserve"> </w:t>
      </w:r>
      <w:r>
        <w:rPr>
          <w:rFonts w:ascii="Arial" w:hAnsi="宋体" w:cs="Arial"/>
          <w:b/>
          <w:sz w:val="52"/>
        </w:rPr>
        <w:t>心</w:t>
      </w:r>
    </w:p>
    <w:p>
      <w:pPr>
        <w:spacing w:line="400" w:lineRule="atLeast"/>
        <w:rPr>
          <w:rFonts w:eastAsia="汉鼎简中楷"/>
          <w:sz w:val="52"/>
        </w:rPr>
      </w:pPr>
    </w:p>
    <w:p>
      <w:pPr>
        <w:spacing w:line="400" w:lineRule="atLeast"/>
        <w:rPr>
          <w:rFonts w:hint="eastAsia" w:eastAsia="汉鼎简中楷"/>
          <w:sz w:val="72"/>
        </w:rPr>
      </w:pPr>
      <w:bookmarkStart w:id="0" w:name="_Hlt162751967"/>
      <w:bookmarkEnd w:id="0"/>
      <w:r>
        <w:rPr>
          <w:rFonts w:hint="eastAsia" w:eastAsia="汉鼎简中楷"/>
          <w:sz w:val="72"/>
        </w:rPr>
        <w:t xml:space="preserve"> </w:t>
      </w:r>
    </w:p>
    <w:p>
      <w:pPr>
        <w:spacing w:line="400" w:lineRule="atLeast"/>
        <w:rPr>
          <w:rFonts w:hint="eastAsia" w:eastAsia="汉鼎简中楷"/>
          <w:sz w:val="72"/>
        </w:rPr>
      </w:pPr>
    </w:p>
    <w:p>
      <w:pPr>
        <w:spacing w:line="240" w:lineRule="atLeast"/>
        <w:jc w:val="center"/>
        <w:rPr>
          <w:rFonts w:ascii="楷体_GB2312" w:eastAsia="楷体_GB2312"/>
          <w:b/>
          <w:bCs/>
          <w:sz w:val="72"/>
        </w:rPr>
      </w:pPr>
      <w:bookmarkStart w:id="1" w:name="_Toc164669529"/>
      <w:r>
        <w:rPr>
          <w:rFonts w:hint="eastAsia" w:ascii="楷体_GB2312" w:eastAsia="楷体_GB2312"/>
          <w:b/>
          <w:bCs/>
          <w:sz w:val="72"/>
        </w:rPr>
        <w:t>招标文件</w:t>
      </w:r>
      <w:bookmarkEnd w:id="1"/>
    </w:p>
    <w:p>
      <w:pPr>
        <w:spacing w:line="240" w:lineRule="atLeast"/>
        <w:jc w:val="center"/>
        <w:rPr>
          <w:rFonts w:hint="eastAsia" w:ascii="楷体_GB2312" w:eastAsia="楷体_GB2312"/>
          <w:b/>
          <w:bCs/>
          <w:sz w:val="72"/>
        </w:rPr>
      </w:pPr>
      <w:r>
        <w:rPr>
          <w:rFonts w:hint="eastAsia" w:ascii="楷体_GB2312" w:eastAsia="楷体_GB2312"/>
          <w:b/>
          <w:bCs/>
          <w:sz w:val="72"/>
        </w:rPr>
        <w:t>（线上电子招投标）</w:t>
      </w:r>
    </w:p>
    <w:p>
      <w:pPr>
        <w:spacing w:line="400" w:lineRule="atLeast"/>
        <w:rPr>
          <w:rFonts w:hint="eastAsia"/>
          <w:sz w:val="28"/>
        </w:rPr>
      </w:pPr>
    </w:p>
    <w:p>
      <w:pPr>
        <w:pStyle w:val="23"/>
        <w:tabs>
          <w:tab w:val="left" w:pos="1500"/>
          <w:tab w:val="clear" w:pos="4153"/>
          <w:tab w:val="clear" w:pos="8306"/>
        </w:tabs>
        <w:snapToGrid/>
        <w:spacing w:line="400" w:lineRule="atLeast"/>
      </w:pPr>
    </w:p>
    <w:p>
      <w:pPr>
        <w:spacing w:line="400" w:lineRule="atLeast"/>
        <w:rPr>
          <w:rFonts w:ascii="汉鼎简中楷" w:eastAsia="汉鼎简中楷"/>
          <w:sz w:val="30"/>
        </w:rPr>
      </w:pPr>
    </w:p>
    <w:tbl>
      <w:tblPr>
        <w:tblStyle w:val="35"/>
        <w:tblW w:w="0" w:type="auto"/>
        <w:jc w:val="right"/>
        <w:tblLayout w:type="fixed"/>
        <w:tblCellMar>
          <w:top w:w="0" w:type="dxa"/>
          <w:left w:w="108" w:type="dxa"/>
          <w:bottom w:w="0" w:type="dxa"/>
          <w:right w:w="108" w:type="dxa"/>
        </w:tblCellMar>
      </w:tblPr>
      <w:tblGrid>
        <w:gridCol w:w="2634"/>
        <w:gridCol w:w="6204"/>
      </w:tblGrid>
      <w:tr>
        <w:tblPrEx>
          <w:tblCellMar>
            <w:top w:w="0" w:type="dxa"/>
            <w:left w:w="108" w:type="dxa"/>
            <w:bottom w:w="0" w:type="dxa"/>
            <w:right w:w="108" w:type="dxa"/>
          </w:tblCellMar>
        </w:tblPrEx>
        <w:trPr>
          <w:wBefore w:w="0" w:type="dxa"/>
          <w:trHeight w:val="690" w:hRule="atLeast"/>
          <w:jc w:val="right"/>
        </w:trPr>
        <w:tc>
          <w:tcPr>
            <w:tcW w:w="2634" w:type="dxa"/>
            <w:noWrap w:val="0"/>
            <w:vAlign w:val="center"/>
          </w:tcPr>
          <w:p>
            <w:pPr>
              <w:wordWrap w:val="0"/>
              <w:spacing w:line="400" w:lineRule="atLeast"/>
              <w:jc w:val="right"/>
              <w:rPr>
                <w:rFonts w:ascii="宋体" w:hAnsi="宋体"/>
                <w:sz w:val="28"/>
                <w:szCs w:val="28"/>
              </w:rPr>
            </w:pPr>
            <w:r>
              <w:rPr>
                <w:rFonts w:hint="eastAsia" w:ascii="宋体" w:hAnsi="宋体"/>
                <w:sz w:val="28"/>
                <w:szCs w:val="28"/>
              </w:rPr>
              <w:t>项 目 编 号：</w:t>
            </w:r>
          </w:p>
        </w:tc>
        <w:tc>
          <w:tcPr>
            <w:tcW w:w="6204" w:type="dxa"/>
            <w:noWrap w:val="0"/>
            <w:vAlign w:val="center"/>
          </w:tcPr>
          <w:p>
            <w:pPr>
              <w:spacing w:line="400" w:lineRule="atLeast"/>
              <w:jc w:val="both"/>
              <w:rPr>
                <w:rFonts w:hint="eastAsia" w:ascii="宋体" w:hAnsi="宋体"/>
                <w:sz w:val="28"/>
                <w:szCs w:val="28"/>
              </w:rPr>
            </w:pPr>
            <w:r>
              <w:rPr>
                <w:rFonts w:hint="eastAsia" w:ascii="宋体" w:hAnsi="宋体"/>
                <w:sz w:val="28"/>
                <w:szCs w:val="28"/>
              </w:rPr>
              <w:t>HQZB-RA-2021-04</w:t>
            </w:r>
          </w:p>
        </w:tc>
      </w:tr>
      <w:tr>
        <w:tblPrEx>
          <w:tblCellMar>
            <w:top w:w="0" w:type="dxa"/>
            <w:left w:w="108" w:type="dxa"/>
            <w:bottom w:w="0" w:type="dxa"/>
            <w:right w:w="108" w:type="dxa"/>
          </w:tblCellMar>
        </w:tblPrEx>
        <w:trPr>
          <w:wBefore w:w="0" w:type="dxa"/>
          <w:trHeight w:val="690" w:hRule="atLeast"/>
          <w:jc w:val="right"/>
        </w:trPr>
        <w:tc>
          <w:tcPr>
            <w:tcW w:w="2634" w:type="dxa"/>
            <w:noWrap w:val="0"/>
            <w:vAlign w:val="center"/>
          </w:tcPr>
          <w:p>
            <w:pPr>
              <w:wordWrap w:val="0"/>
              <w:spacing w:line="400" w:lineRule="atLeast"/>
              <w:jc w:val="right"/>
              <w:rPr>
                <w:rFonts w:ascii="宋体" w:hAnsi="宋体"/>
                <w:sz w:val="28"/>
                <w:szCs w:val="28"/>
              </w:rPr>
            </w:pPr>
            <w:r>
              <w:rPr>
                <w:rFonts w:hint="eastAsia" w:ascii="宋体" w:hAnsi="宋体"/>
                <w:sz w:val="28"/>
                <w:szCs w:val="28"/>
              </w:rPr>
              <w:t>项 目 名 称：</w:t>
            </w:r>
          </w:p>
        </w:tc>
        <w:tc>
          <w:tcPr>
            <w:tcW w:w="6204" w:type="dxa"/>
            <w:noWrap w:val="0"/>
            <w:vAlign w:val="center"/>
          </w:tcPr>
          <w:p>
            <w:pPr>
              <w:spacing w:line="400" w:lineRule="atLeast"/>
              <w:jc w:val="both"/>
              <w:rPr>
                <w:rFonts w:hint="eastAsia" w:ascii="宋体" w:hAnsi="宋体"/>
                <w:sz w:val="28"/>
                <w:szCs w:val="28"/>
              </w:rPr>
            </w:pPr>
            <w:r>
              <w:rPr>
                <w:rFonts w:hint="eastAsia" w:ascii="宋体" w:hAnsi="宋体"/>
                <w:sz w:val="28"/>
                <w:szCs w:val="28"/>
              </w:rPr>
              <w:t>瑞安市“一把扫帚”环卫保洁一体化项目（安阳街道）</w:t>
            </w:r>
          </w:p>
        </w:tc>
      </w:tr>
      <w:tr>
        <w:tblPrEx>
          <w:tblCellMar>
            <w:top w:w="0" w:type="dxa"/>
            <w:left w:w="108" w:type="dxa"/>
            <w:bottom w:w="0" w:type="dxa"/>
            <w:right w:w="108" w:type="dxa"/>
          </w:tblCellMar>
        </w:tblPrEx>
        <w:trPr>
          <w:wBefore w:w="0" w:type="dxa"/>
          <w:trHeight w:val="690" w:hRule="atLeast"/>
          <w:jc w:val="right"/>
        </w:trPr>
        <w:tc>
          <w:tcPr>
            <w:tcW w:w="2634" w:type="dxa"/>
            <w:noWrap w:val="0"/>
            <w:vAlign w:val="center"/>
          </w:tcPr>
          <w:p>
            <w:pPr>
              <w:wordWrap w:val="0"/>
              <w:spacing w:line="400" w:lineRule="atLeast"/>
              <w:jc w:val="right"/>
              <w:rPr>
                <w:rFonts w:ascii="宋体" w:hAnsi="宋体"/>
                <w:sz w:val="28"/>
                <w:szCs w:val="28"/>
              </w:rPr>
            </w:pPr>
            <w:r>
              <w:rPr>
                <w:rFonts w:hint="eastAsia" w:ascii="宋体" w:hAnsi="宋体"/>
                <w:sz w:val="28"/>
                <w:szCs w:val="28"/>
              </w:rPr>
              <w:t>采 购 方 式：</w:t>
            </w:r>
          </w:p>
        </w:tc>
        <w:tc>
          <w:tcPr>
            <w:tcW w:w="6204" w:type="dxa"/>
            <w:noWrap w:val="0"/>
            <w:vAlign w:val="center"/>
          </w:tcPr>
          <w:p>
            <w:pPr>
              <w:spacing w:line="400" w:lineRule="atLeast"/>
              <w:jc w:val="both"/>
              <w:rPr>
                <w:rFonts w:ascii="宋体" w:hAnsi="宋体"/>
                <w:sz w:val="28"/>
                <w:szCs w:val="28"/>
              </w:rPr>
            </w:pPr>
            <w:r>
              <w:rPr>
                <w:rFonts w:hint="eastAsia" w:ascii="宋体" w:hAnsi="宋体"/>
                <w:sz w:val="28"/>
                <w:szCs w:val="28"/>
              </w:rPr>
              <w:t>公开招标</w:t>
            </w:r>
          </w:p>
        </w:tc>
      </w:tr>
      <w:tr>
        <w:tblPrEx>
          <w:tblCellMar>
            <w:top w:w="0" w:type="dxa"/>
            <w:left w:w="108" w:type="dxa"/>
            <w:bottom w:w="0" w:type="dxa"/>
            <w:right w:w="108" w:type="dxa"/>
          </w:tblCellMar>
        </w:tblPrEx>
        <w:trPr>
          <w:wBefore w:w="0" w:type="dxa"/>
          <w:trHeight w:val="1177" w:hRule="atLeast"/>
          <w:jc w:val="right"/>
        </w:trPr>
        <w:tc>
          <w:tcPr>
            <w:tcW w:w="2634" w:type="dxa"/>
            <w:noWrap w:val="0"/>
            <w:vAlign w:val="center"/>
          </w:tcPr>
          <w:p>
            <w:pPr>
              <w:spacing w:line="400" w:lineRule="atLeast"/>
              <w:ind w:right="1120"/>
              <w:rPr>
                <w:rFonts w:hint="eastAsia" w:ascii="宋体" w:hAnsi="宋体"/>
                <w:sz w:val="28"/>
                <w:szCs w:val="28"/>
              </w:rPr>
            </w:pPr>
          </w:p>
        </w:tc>
        <w:tc>
          <w:tcPr>
            <w:tcW w:w="6204" w:type="dxa"/>
            <w:noWrap w:val="0"/>
            <w:vAlign w:val="center"/>
          </w:tcPr>
          <w:p>
            <w:pPr>
              <w:spacing w:line="400" w:lineRule="atLeast"/>
              <w:jc w:val="both"/>
              <w:rPr>
                <w:rFonts w:hint="eastAsia" w:ascii="宋体" w:hAnsi="宋体"/>
                <w:sz w:val="28"/>
                <w:szCs w:val="28"/>
              </w:rPr>
            </w:pPr>
          </w:p>
        </w:tc>
      </w:tr>
      <w:tr>
        <w:tblPrEx>
          <w:tblCellMar>
            <w:top w:w="0" w:type="dxa"/>
            <w:left w:w="108" w:type="dxa"/>
            <w:bottom w:w="0" w:type="dxa"/>
            <w:right w:w="108" w:type="dxa"/>
          </w:tblCellMar>
        </w:tblPrEx>
        <w:trPr>
          <w:wBefore w:w="0" w:type="dxa"/>
          <w:trHeight w:val="735" w:hRule="atLeast"/>
          <w:jc w:val="right"/>
        </w:trPr>
        <w:tc>
          <w:tcPr>
            <w:tcW w:w="2634" w:type="dxa"/>
            <w:noWrap w:val="0"/>
            <w:vAlign w:val="top"/>
          </w:tcPr>
          <w:p>
            <w:pPr>
              <w:spacing w:line="400" w:lineRule="atLeast"/>
              <w:jc w:val="both"/>
              <w:rPr>
                <w:rFonts w:hint="eastAsia" w:ascii="宋体" w:hAnsi="宋体" w:cs="宋体"/>
                <w:sz w:val="28"/>
                <w:szCs w:val="28"/>
              </w:rPr>
            </w:pPr>
            <w:r>
              <w:rPr>
                <w:rFonts w:hint="eastAsia" w:ascii="宋体" w:hAnsi="宋体" w:cs="宋体"/>
                <w:sz w:val="28"/>
                <w:szCs w:val="28"/>
              </w:rPr>
              <w:t xml:space="preserve">   采   购   人：</w:t>
            </w:r>
          </w:p>
        </w:tc>
        <w:tc>
          <w:tcPr>
            <w:tcW w:w="6204" w:type="dxa"/>
            <w:noWrap w:val="0"/>
            <w:vAlign w:val="top"/>
          </w:tcPr>
          <w:p>
            <w:pPr>
              <w:spacing w:line="400" w:lineRule="atLeast"/>
              <w:jc w:val="both"/>
              <w:rPr>
                <w:rFonts w:ascii="宋体" w:hAnsi="宋体" w:cs="宋体"/>
                <w:sz w:val="28"/>
                <w:szCs w:val="28"/>
              </w:rPr>
            </w:pPr>
            <w:r>
              <w:rPr>
                <w:rFonts w:hint="eastAsia" w:ascii="宋体" w:hAnsi="宋体" w:cs="宋体"/>
                <w:sz w:val="28"/>
                <w:szCs w:val="28"/>
              </w:rPr>
              <w:t>瑞安市综合行政执法局</w:t>
            </w:r>
          </w:p>
          <w:p>
            <w:pPr>
              <w:pStyle w:val="2"/>
              <w:rPr>
                <w:rFonts w:hint="eastAsia" w:ascii="宋体" w:hAnsi="宋体" w:eastAsia="宋体"/>
                <w:color w:val="000000"/>
                <w:sz w:val="22"/>
                <w:szCs w:val="22"/>
              </w:rPr>
            </w:pPr>
          </w:p>
          <w:p>
            <w:pPr>
              <w:pStyle w:val="2"/>
              <w:rPr>
                <w:rFonts w:hint="eastAsia" w:ascii="宋体" w:hAnsi="宋体" w:eastAsia="宋体" w:cs="宋体"/>
                <w:kern w:val="0"/>
                <w:sz w:val="28"/>
                <w:szCs w:val="28"/>
              </w:rPr>
            </w:pPr>
            <w:r>
              <w:rPr>
                <w:rFonts w:hint="eastAsia" w:ascii="宋体" w:hAnsi="宋体" w:eastAsia="宋体" w:cs="宋体"/>
                <w:kern w:val="0"/>
                <w:sz w:val="28"/>
                <w:szCs w:val="28"/>
              </w:rPr>
              <w:t>瑞安市安阳街道办事处</w:t>
            </w:r>
          </w:p>
        </w:tc>
      </w:tr>
      <w:tr>
        <w:tblPrEx>
          <w:tblCellMar>
            <w:top w:w="0" w:type="dxa"/>
            <w:left w:w="108" w:type="dxa"/>
            <w:bottom w:w="0" w:type="dxa"/>
            <w:right w:w="108" w:type="dxa"/>
          </w:tblCellMar>
        </w:tblPrEx>
        <w:trPr>
          <w:wBefore w:w="0" w:type="dxa"/>
          <w:trHeight w:val="735" w:hRule="atLeast"/>
          <w:jc w:val="right"/>
        </w:trPr>
        <w:tc>
          <w:tcPr>
            <w:tcW w:w="2634" w:type="dxa"/>
            <w:noWrap w:val="0"/>
            <w:vAlign w:val="center"/>
          </w:tcPr>
          <w:p>
            <w:pPr>
              <w:wordWrap w:val="0"/>
              <w:spacing w:line="400" w:lineRule="atLeast"/>
              <w:jc w:val="right"/>
              <w:rPr>
                <w:rFonts w:hint="eastAsia" w:ascii="宋体" w:hAnsi="宋体"/>
                <w:sz w:val="28"/>
                <w:szCs w:val="28"/>
              </w:rPr>
            </w:pPr>
            <w:r>
              <w:rPr>
                <w:rFonts w:hint="eastAsia" w:ascii="宋体" w:hAnsi="宋体"/>
                <w:sz w:val="28"/>
                <w:szCs w:val="28"/>
              </w:rPr>
              <w:t xml:space="preserve">   采购代理机构：</w:t>
            </w:r>
          </w:p>
        </w:tc>
        <w:tc>
          <w:tcPr>
            <w:tcW w:w="6204" w:type="dxa"/>
            <w:noWrap w:val="0"/>
            <w:vAlign w:val="center"/>
          </w:tcPr>
          <w:p>
            <w:pPr>
              <w:spacing w:line="400" w:lineRule="atLeast"/>
              <w:jc w:val="both"/>
              <w:rPr>
                <w:rFonts w:hint="eastAsia" w:ascii="宋体" w:hAnsi="宋体"/>
                <w:sz w:val="28"/>
                <w:szCs w:val="28"/>
              </w:rPr>
            </w:pPr>
            <w:r>
              <w:rPr>
                <w:rFonts w:hint="eastAsia" w:ascii="宋体" w:hAnsi="宋体"/>
                <w:sz w:val="28"/>
                <w:szCs w:val="28"/>
              </w:rPr>
              <w:t>杭州华旗招标代理有限公司</w:t>
            </w:r>
          </w:p>
        </w:tc>
      </w:tr>
      <w:tr>
        <w:tblPrEx>
          <w:tblCellMar>
            <w:top w:w="0" w:type="dxa"/>
            <w:left w:w="108" w:type="dxa"/>
            <w:bottom w:w="0" w:type="dxa"/>
            <w:right w:w="108" w:type="dxa"/>
          </w:tblCellMar>
        </w:tblPrEx>
        <w:trPr>
          <w:wBefore w:w="0" w:type="dxa"/>
          <w:trHeight w:val="740" w:hRule="atLeast"/>
          <w:jc w:val="right"/>
        </w:trPr>
        <w:tc>
          <w:tcPr>
            <w:tcW w:w="8838" w:type="dxa"/>
            <w:gridSpan w:val="2"/>
            <w:noWrap w:val="0"/>
            <w:vAlign w:val="center"/>
          </w:tcPr>
          <w:p>
            <w:pPr>
              <w:spacing w:line="400" w:lineRule="atLeast"/>
              <w:jc w:val="center"/>
              <w:rPr>
                <w:rFonts w:ascii="宋体" w:hAnsi="宋体"/>
                <w:sz w:val="28"/>
                <w:szCs w:val="28"/>
              </w:rPr>
            </w:pPr>
            <w:r>
              <w:rPr>
                <w:rFonts w:hint="eastAsia" w:ascii="宋体" w:hAnsi="宋体"/>
                <w:sz w:val="28"/>
                <w:szCs w:val="28"/>
              </w:rPr>
              <w:t>二O二一年四月</w:t>
            </w:r>
          </w:p>
        </w:tc>
      </w:tr>
    </w:tbl>
    <w:p>
      <w:pPr>
        <w:spacing w:line="400" w:lineRule="atLeast"/>
        <w:jc w:val="both"/>
        <w:rPr>
          <w:rFonts w:ascii="宋体" w:hAnsi="宋体"/>
          <w:sz w:val="24"/>
          <w:szCs w:val="24"/>
        </w:rPr>
        <w:sectPr>
          <w:headerReference r:id="rId4" w:type="first"/>
          <w:headerReference r:id="rId3" w:type="default"/>
          <w:footerReference r:id="rId5" w:type="default"/>
          <w:footerReference r:id="rId6" w:type="even"/>
          <w:pgSz w:w="11906" w:h="16838"/>
          <w:pgMar w:top="1418" w:right="1418" w:bottom="1418" w:left="1418" w:header="851" w:footer="992" w:gutter="0"/>
          <w:cols w:space="720" w:num="1"/>
          <w:titlePg/>
          <w:docGrid w:linePitch="286" w:charSpace="0"/>
        </w:sectPr>
      </w:pPr>
    </w:p>
    <w:p>
      <w:pPr>
        <w:spacing w:before="240" w:beforeLines="100" w:after="240" w:afterLines="100" w:line="400" w:lineRule="atLeast"/>
        <w:jc w:val="center"/>
        <w:rPr>
          <w:b/>
          <w:sz w:val="32"/>
          <w:szCs w:val="32"/>
        </w:rPr>
      </w:pPr>
      <w:r>
        <w:rPr>
          <w:rFonts w:hint="eastAsia"/>
          <w:b/>
          <w:sz w:val="32"/>
          <w:szCs w:val="32"/>
        </w:rPr>
        <w:t>目    录</w:t>
      </w:r>
    </w:p>
    <w:p>
      <w:pPr>
        <w:pStyle w:val="25"/>
        <w:rPr>
          <w:rFonts w:ascii="等线" w:hAnsi="等线" w:eastAsia="等线"/>
          <w:b w:val="0"/>
          <w:bCs w:val="0"/>
          <w:caps w:val="0"/>
          <w:kern w:val="2"/>
          <w:szCs w:val="22"/>
          <w:lang w:val="en-US" w:eastAsia="zh-CN"/>
        </w:rPr>
      </w:pPr>
      <w:r>
        <w:rPr>
          <w:kern w:val="2"/>
          <w:sz w:val="28"/>
          <w:szCs w:val="28"/>
        </w:rPr>
        <w:fldChar w:fldCharType="begin"/>
      </w:r>
      <w:r>
        <w:rPr>
          <w:kern w:val="2"/>
          <w:sz w:val="28"/>
          <w:szCs w:val="28"/>
        </w:rPr>
        <w:instrText xml:space="preserve"> TOC \o "1-3" \h \z \u </w:instrText>
      </w:r>
      <w:r>
        <w:rPr>
          <w:kern w:val="2"/>
          <w:sz w:val="28"/>
          <w:szCs w:val="28"/>
        </w:rPr>
        <w:fldChar w:fldCharType="separate"/>
      </w:r>
      <w:r>
        <w:rPr>
          <w:rStyle w:val="43"/>
          <w:lang/>
        </w:rPr>
        <w:fldChar w:fldCharType="begin"/>
      </w:r>
      <w:r>
        <w:rPr>
          <w:rStyle w:val="43"/>
          <w:lang/>
        </w:rPr>
        <w:instrText xml:space="preserve"> </w:instrText>
      </w:r>
      <w:r>
        <w:rPr>
          <w:lang/>
        </w:rPr>
        <w:instrText xml:space="preserve">HYPERLINK \l "_Toc64913322"</w:instrText>
      </w:r>
      <w:r>
        <w:rPr>
          <w:rStyle w:val="43"/>
          <w:lang/>
        </w:rPr>
        <w:instrText xml:space="preserve"> </w:instrText>
      </w:r>
      <w:r>
        <w:rPr>
          <w:rStyle w:val="43"/>
          <w:lang/>
        </w:rPr>
        <w:fldChar w:fldCharType="separate"/>
      </w:r>
      <w:r>
        <w:rPr>
          <w:rStyle w:val="43"/>
          <w:rFonts w:hAnsi="宋体"/>
          <w:lang/>
        </w:rPr>
        <w:t>第一部分  招标公告</w:t>
      </w:r>
      <w:r>
        <w:rPr>
          <w:lang/>
        </w:rPr>
        <w:tab/>
      </w:r>
      <w:r>
        <w:rPr>
          <w:lang/>
        </w:rPr>
        <w:fldChar w:fldCharType="begin"/>
      </w:r>
      <w:r>
        <w:rPr>
          <w:lang/>
        </w:rPr>
        <w:instrText xml:space="preserve"> PAGEREF _Toc64913322 \h </w:instrText>
      </w:r>
      <w:r>
        <w:rPr>
          <w:lang/>
        </w:rPr>
        <w:fldChar w:fldCharType="separate"/>
      </w:r>
      <w:r>
        <w:rPr>
          <w:lang/>
        </w:rPr>
        <w:t>3</w:t>
      </w:r>
      <w:r>
        <w:rPr>
          <w:lang/>
        </w:rPr>
        <w:fldChar w:fldCharType="end"/>
      </w:r>
      <w:r>
        <w:rPr>
          <w:rStyle w:val="43"/>
          <w:lang/>
        </w:rPr>
        <w:fldChar w:fldCharType="end"/>
      </w:r>
    </w:p>
    <w:p>
      <w:pPr>
        <w:pStyle w:val="25"/>
        <w:rPr>
          <w:rFonts w:ascii="等线" w:hAnsi="等线" w:eastAsia="等线"/>
          <w:b w:val="0"/>
          <w:bCs w:val="0"/>
          <w:caps w:val="0"/>
          <w:kern w:val="2"/>
          <w:szCs w:val="22"/>
          <w:lang w:val="en-US" w:eastAsia="zh-CN"/>
        </w:rPr>
      </w:pPr>
      <w:r>
        <w:rPr>
          <w:rStyle w:val="43"/>
          <w:lang/>
        </w:rPr>
        <w:fldChar w:fldCharType="begin"/>
      </w:r>
      <w:r>
        <w:rPr>
          <w:rStyle w:val="43"/>
          <w:lang/>
        </w:rPr>
        <w:instrText xml:space="preserve"> </w:instrText>
      </w:r>
      <w:r>
        <w:rPr>
          <w:lang/>
        </w:rPr>
        <w:instrText xml:space="preserve">HYPERLINK \l "_Toc64913323"</w:instrText>
      </w:r>
      <w:r>
        <w:rPr>
          <w:rStyle w:val="43"/>
          <w:lang/>
        </w:rPr>
        <w:instrText xml:space="preserve"> </w:instrText>
      </w:r>
      <w:r>
        <w:rPr>
          <w:rStyle w:val="43"/>
          <w:lang/>
        </w:rPr>
        <w:fldChar w:fldCharType="separate"/>
      </w:r>
      <w:r>
        <w:rPr>
          <w:rStyle w:val="43"/>
          <w:rFonts w:hAnsi="宋体"/>
          <w:lang/>
        </w:rPr>
        <w:t>第二部分  投标供应商须知</w:t>
      </w:r>
      <w:r>
        <w:rPr>
          <w:lang/>
        </w:rPr>
        <w:tab/>
      </w:r>
      <w:r>
        <w:rPr>
          <w:lang/>
        </w:rPr>
        <w:fldChar w:fldCharType="begin"/>
      </w:r>
      <w:r>
        <w:rPr>
          <w:lang/>
        </w:rPr>
        <w:instrText xml:space="preserve"> PAGEREF _Toc64913323 \h </w:instrText>
      </w:r>
      <w:r>
        <w:rPr>
          <w:lang/>
        </w:rPr>
        <w:fldChar w:fldCharType="separate"/>
      </w:r>
      <w:r>
        <w:rPr>
          <w:lang/>
        </w:rPr>
        <w:t>6</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"_Toc64913324"</w:instrText>
      </w:r>
      <w:r>
        <w:rPr>
          <w:rStyle w:val="43"/>
          <w:lang/>
        </w:rPr>
        <w:instrText xml:space="preserve"> </w:instrText>
      </w:r>
      <w:r>
        <w:rPr>
          <w:rStyle w:val="43"/>
          <w:lang/>
        </w:rPr>
        <w:fldChar w:fldCharType="separate"/>
      </w:r>
      <w:r>
        <w:rPr>
          <w:rStyle w:val="43"/>
          <w:lang/>
        </w:rPr>
        <w:t>（一）投标须知前附表</w:t>
      </w:r>
      <w:r>
        <w:rPr>
          <w:lang/>
        </w:rPr>
        <w:tab/>
      </w:r>
      <w:r>
        <w:rPr>
          <w:lang/>
        </w:rPr>
        <w:fldChar w:fldCharType="begin"/>
      </w:r>
      <w:r>
        <w:rPr>
          <w:lang/>
        </w:rPr>
        <w:instrText xml:space="preserve"> PAGEREF _Toc64913324 \h </w:instrText>
      </w:r>
      <w:r>
        <w:rPr>
          <w:lang/>
        </w:rPr>
        <w:fldChar w:fldCharType="separate"/>
      </w:r>
      <w:r>
        <w:rPr>
          <w:lang/>
        </w:rPr>
        <w:t>6</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"_Toc64913325"</w:instrText>
      </w:r>
      <w:r>
        <w:rPr>
          <w:rStyle w:val="43"/>
          <w:lang/>
        </w:rPr>
        <w:instrText xml:space="preserve"> </w:instrText>
      </w:r>
      <w:r>
        <w:rPr>
          <w:rStyle w:val="43"/>
          <w:lang/>
        </w:rPr>
        <w:fldChar w:fldCharType="separate"/>
      </w:r>
      <w:r>
        <w:rPr>
          <w:rStyle w:val="43"/>
          <w:lang/>
        </w:rPr>
        <w:t>（二）总   则</w:t>
      </w:r>
      <w:r>
        <w:rPr>
          <w:lang/>
        </w:rPr>
        <w:tab/>
      </w:r>
      <w:r>
        <w:rPr>
          <w:lang/>
        </w:rPr>
        <w:fldChar w:fldCharType="begin"/>
      </w:r>
      <w:r>
        <w:rPr>
          <w:lang/>
        </w:rPr>
        <w:instrText xml:space="preserve"> PAGEREF _Toc64913325 \h </w:instrText>
      </w:r>
      <w:r>
        <w:rPr>
          <w:lang/>
        </w:rPr>
        <w:fldChar w:fldCharType="separate"/>
      </w:r>
      <w:r>
        <w:rPr>
          <w:lang/>
        </w:rPr>
        <w:t>9</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"_Toc64913326"</w:instrText>
      </w:r>
      <w:r>
        <w:rPr>
          <w:rStyle w:val="43"/>
          <w:lang/>
        </w:rPr>
        <w:instrText xml:space="preserve"> </w:instrText>
      </w:r>
      <w:r>
        <w:rPr>
          <w:rStyle w:val="43"/>
          <w:lang/>
        </w:rPr>
        <w:fldChar w:fldCharType="separate"/>
      </w:r>
      <w:r>
        <w:rPr>
          <w:rStyle w:val="43"/>
          <w:lang/>
        </w:rPr>
        <w:t>（三）招标文件说明</w:t>
      </w:r>
      <w:r>
        <w:rPr>
          <w:lang/>
        </w:rPr>
        <w:tab/>
      </w:r>
      <w:r>
        <w:rPr>
          <w:lang/>
        </w:rPr>
        <w:fldChar w:fldCharType="begin"/>
      </w:r>
      <w:r>
        <w:rPr>
          <w:lang/>
        </w:rPr>
        <w:instrText xml:space="preserve"> PAGEREF _Toc64913326 \h </w:instrText>
      </w:r>
      <w:r>
        <w:rPr>
          <w:lang/>
        </w:rPr>
        <w:fldChar w:fldCharType="separate"/>
      </w:r>
      <w:r>
        <w:rPr>
          <w:lang/>
        </w:rPr>
        <w:t>10</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"_Toc64913327"</w:instrText>
      </w:r>
      <w:r>
        <w:rPr>
          <w:rStyle w:val="43"/>
          <w:lang/>
        </w:rPr>
        <w:instrText xml:space="preserve"> </w:instrText>
      </w:r>
      <w:r>
        <w:rPr>
          <w:rStyle w:val="43"/>
          <w:lang/>
        </w:rPr>
        <w:fldChar w:fldCharType="separate"/>
      </w:r>
      <w:r>
        <w:rPr>
          <w:rStyle w:val="43"/>
          <w:lang/>
        </w:rPr>
        <w:t>（四）投标文件的编</w:t>
      </w:r>
      <w:bookmarkStart w:id="2" w:name="_Hlt69380910"/>
      <w:bookmarkStart w:id="3" w:name="_Hlt69380909"/>
      <w:r>
        <w:rPr>
          <w:rStyle w:val="43"/>
          <w:lang/>
        </w:rPr>
        <w:t>制</w:t>
      </w:r>
      <w:bookmarkEnd w:id="2"/>
      <w:bookmarkEnd w:id="3"/>
      <w:bookmarkStart w:id="4" w:name="_Hlt69495964"/>
      <w:bookmarkStart w:id="5" w:name="_Hlt69496003"/>
      <w:r>
        <w:rPr>
          <w:lang/>
        </w:rPr>
        <w:tab/>
      </w:r>
      <w:bookmarkEnd w:id="4"/>
      <w:bookmarkEnd w:id="5"/>
      <w:r>
        <w:rPr>
          <w:lang/>
        </w:rPr>
        <w:fldChar w:fldCharType="begin"/>
      </w:r>
      <w:r>
        <w:rPr>
          <w:lang/>
        </w:rPr>
        <w:instrText xml:space="preserve"> PAGEREF _Toc64913327 \h </w:instrText>
      </w:r>
      <w:r>
        <w:rPr>
          <w:lang/>
        </w:rPr>
        <w:fldChar w:fldCharType="separate"/>
      </w:r>
      <w:r>
        <w:rPr>
          <w:lang/>
        </w:rPr>
        <w:t>11</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"_Toc64913328"</w:instrText>
      </w:r>
      <w:r>
        <w:rPr>
          <w:rStyle w:val="43"/>
          <w:lang/>
        </w:rPr>
        <w:instrText xml:space="preserve"> </w:instrText>
      </w:r>
      <w:r>
        <w:rPr>
          <w:rStyle w:val="43"/>
          <w:lang/>
        </w:rPr>
        <w:fldChar w:fldCharType="separate"/>
      </w:r>
      <w:r>
        <w:rPr>
          <w:rStyle w:val="43"/>
          <w:lang/>
        </w:rPr>
        <w:t>（五）投标文件的递交</w:t>
      </w:r>
      <w:r>
        <w:rPr>
          <w:lang/>
        </w:rPr>
        <w:tab/>
      </w:r>
      <w:r>
        <w:rPr>
          <w:lang/>
        </w:rPr>
        <w:fldChar w:fldCharType="begin"/>
      </w:r>
      <w:r>
        <w:rPr>
          <w:lang/>
        </w:rPr>
        <w:instrText xml:space="preserve"> PAGEREF _Toc64913328 \h </w:instrText>
      </w:r>
      <w:r>
        <w:rPr>
          <w:lang/>
        </w:rPr>
        <w:fldChar w:fldCharType="separate"/>
      </w:r>
      <w:r>
        <w:rPr>
          <w:lang/>
        </w:rPr>
        <w:t>17</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"_Toc64913329"</w:instrText>
      </w:r>
      <w:r>
        <w:rPr>
          <w:rStyle w:val="43"/>
          <w:lang/>
        </w:rPr>
        <w:instrText xml:space="preserve"> </w:instrText>
      </w:r>
      <w:r>
        <w:rPr>
          <w:rStyle w:val="43"/>
          <w:lang/>
        </w:rPr>
        <w:fldChar w:fldCharType="separate"/>
      </w:r>
      <w:r>
        <w:rPr>
          <w:rStyle w:val="43"/>
          <w:lang/>
        </w:rPr>
        <w:t>（六）开标与评审</w:t>
      </w:r>
      <w:r>
        <w:rPr>
          <w:lang/>
        </w:rPr>
        <w:tab/>
      </w:r>
      <w:r>
        <w:rPr>
          <w:lang/>
        </w:rPr>
        <w:fldChar w:fldCharType="begin"/>
      </w:r>
      <w:r>
        <w:rPr>
          <w:lang/>
        </w:rPr>
        <w:instrText xml:space="preserve"> PAGEREF _Toc64913329 \h </w:instrText>
      </w:r>
      <w:r>
        <w:rPr>
          <w:lang/>
        </w:rPr>
        <w:fldChar w:fldCharType="separate"/>
      </w:r>
      <w:r>
        <w:rPr>
          <w:lang/>
        </w:rPr>
        <w:t>18</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"_Toc64913330"</w:instrText>
      </w:r>
      <w:r>
        <w:rPr>
          <w:rStyle w:val="43"/>
          <w:lang/>
        </w:rPr>
        <w:instrText xml:space="preserve"> </w:instrText>
      </w:r>
      <w:r>
        <w:rPr>
          <w:rStyle w:val="43"/>
          <w:lang/>
        </w:rPr>
        <w:fldChar w:fldCharType="separate"/>
      </w:r>
      <w:r>
        <w:rPr>
          <w:rStyle w:val="43"/>
          <w:lang/>
        </w:rPr>
        <w:t>（七）授予合同</w:t>
      </w:r>
      <w:r>
        <w:rPr>
          <w:lang/>
        </w:rPr>
        <w:tab/>
      </w:r>
      <w:r>
        <w:rPr>
          <w:lang/>
        </w:rPr>
        <w:fldChar w:fldCharType="begin"/>
      </w:r>
      <w:r>
        <w:rPr>
          <w:lang/>
        </w:rPr>
        <w:instrText xml:space="preserve"> PAGEREF _Toc64913330 \h </w:instrText>
      </w:r>
      <w:r>
        <w:rPr>
          <w:lang/>
        </w:rPr>
        <w:fldChar w:fldCharType="separate"/>
      </w:r>
      <w:r>
        <w:rPr>
          <w:lang/>
        </w:rPr>
        <w:t>23</w:t>
      </w:r>
      <w:r>
        <w:rPr>
          <w:lang/>
        </w:rPr>
        <w:fldChar w:fldCharType="end"/>
      </w:r>
      <w:r>
        <w:rPr>
          <w:rStyle w:val="43"/>
          <w:lang/>
        </w:rPr>
        <w:fldChar w:fldCharType="end"/>
      </w:r>
    </w:p>
    <w:p>
      <w:pPr>
        <w:pStyle w:val="25"/>
        <w:rPr>
          <w:rFonts w:ascii="等线" w:hAnsi="等线" w:eastAsia="等线"/>
          <w:b w:val="0"/>
          <w:bCs w:val="0"/>
          <w:caps w:val="0"/>
          <w:kern w:val="2"/>
          <w:szCs w:val="22"/>
          <w:lang w:val="en-US" w:eastAsia="zh-CN"/>
        </w:rPr>
      </w:pPr>
      <w:r>
        <w:rPr>
          <w:rStyle w:val="43"/>
          <w:lang/>
        </w:rPr>
        <w:fldChar w:fldCharType="begin"/>
      </w:r>
      <w:r>
        <w:rPr>
          <w:rStyle w:val="43"/>
          <w:lang/>
        </w:rPr>
        <w:instrText xml:space="preserve"> </w:instrText>
      </w:r>
      <w:r>
        <w:rPr>
          <w:lang/>
        </w:rPr>
        <w:instrText xml:space="preserve">HYPERLINK \l "_Toc64913331"</w:instrText>
      </w:r>
      <w:r>
        <w:rPr>
          <w:rStyle w:val="43"/>
          <w:lang/>
        </w:rPr>
        <w:instrText xml:space="preserve"> </w:instrText>
      </w:r>
      <w:r>
        <w:rPr>
          <w:rStyle w:val="43"/>
          <w:lang/>
        </w:rPr>
        <w:fldChar w:fldCharType="separate"/>
      </w:r>
      <w:r>
        <w:rPr>
          <w:rStyle w:val="43"/>
          <w:lang/>
        </w:rPr>
        <w:t>第三部分  招标内容及技</w:t>
      </w:r>
      <w:bookmarkStart w:id="6" w:name="_Hlt65089604"/>
      <w:r>
        <w:rPr>
          <w:rStyle w:val="43"/>
          <w:lang/>
        </w:rPr>
        <w:t>术</w:t>
      </w:r>
      <w:bookmarkEnd w:id="6"/>
      <w:bookmarkStart w:id="7" w:name="_Hlt67232730"/>
      <w:bookmarkStart w:id="8" w:name="_Hlt67406055"/>
      <w:bookmarkStart w:id="9" w:name="_Hlt67406054"/>
      <w:r>
        <w:rPr>
          <w:rStyle w:val="43"/>
          <w:lang/>
        </w:rPr>
        <w:t>要</w:t>
      </w:r>
      <w:bookmarkEnd w:id="7"/>
      <w:bookmarkEnd w:id="8"/>
      <w:bookmarkEnd w:id="9"/>
      <w:r>
        <w:rPr>
          <w:rStyle w:val="43"/>
          <w:lang/>
        </w:rPr>
        <w:t>求</w:t>
      </w:r>
      <w:r>
        <w:rPr>
          <w:lang/>
        </w:rPr>
        <w:tab/>
      </w:r>
      <w:r>
        <w:rPr>
          <w:lang/>
        </w:rPr>
        <w:fldChar w:fldCharType="begin"/>
      </w:r>
      <w:r>
        <w:rPr>
          <w:lang/>
        </w:rPr>
        <w:instrText xml:space="preserve"> PAGEREF _Toc64913331 \h </w:instrText>
      </w:r>
      <w:r>
        <w:rPr>
          <w:lang/>
        </w:rPr>
        <w:fldChar w:fldCharType="separate"/>
      </w:r>
      <w:r>
        <w:rPr>
          <w:lang/>
        </w:rPr>
        <w:t>25</w:t>
      </w:r>
      <w:r>
        <w:rPr>
          <w:lang/>
        </w:rPr>
        <w:fldChar w:fldCharType="end"/>
      </w:r>
      <w:r>
        <w:rPr>
          <w:rStyle w:val="43"/>
          <w:lang/>
        </w:rPr>
        <w:fldChar w:fldCharType="end"/>
      </w:r>
    </w:p>
    <w:p>
      <w:pPr>
        <w:pStyle w:val="25"/>
        <w:rPr>
          <w:rFonts w:ascii="等线" w:hAnsi="等线" w:eastAsia="等线"/>
          <w:b w:val="0"/>
          <w:bCs w:val="0"/>
          <w:caps w:val="0"/>
          <w:kern w:val="2"/>
          <w:szCs w:val="22"/>
          <w:lang w:val="en-US" w:eastAsia="zh-CN"/>
        </w:rPr>
      </w:pPr>
      <w:r>
        <w:rPr>
          <w:rStyle w:val="43"/>
          <w:lang/>
        </w:rPr>
        <w:fldChar w:fldCharType="begin"/>
      </w:r>
      <w:r>
        <w:rPr>
          <w:rStyle w:val="43"/>
          <w:lang/>
        </w:rPr>
        <w:instrText xml:space="preserve"> </w:instrText>
      </w:r>
      <w:r>
        <w:rPr>
          <w:lang/>
        </w:rPr>
        <w:instrText xml:space="preserve">HYPERLINK \l "_Toc64913366"</w:instrText>
      </w:r>
      <w:r>
        <w:rPr>
          <w:rStyle w:val="43"/>
          <w:lang/>
        </w:rPr>
        <w:instrText xml:space="preserve"> </w:instrText>
      </w:r>
      <w:r>
        <w:rPr>
          <w:rStyle w:val="43"/>
          <w:lang/>
        </w:rPr>
        <w:fldChar w:fldCharType="separate"/>
      </w:r>
      <w:r>
        <w:rPr>
          <w:rStyle w:val="43"/>
          <w:lang/>
        </w:rPr>
        <w:t>第四部分  合同条款</w:t>
      </w:r>
      <w:r>
        <w:rPr>
          <w:rStyle w:val="43"/>
          <w:rFonts w:ascii="楷体_GB2312"/>
          <w:lang/>
        </w:rPr>
        <w:t>（仅供参考）</w:t>
      </w:r>
      <w:r>
        <w:rPr>
          <w:lang/>
        </w:rPr>
        <w:tab/>
      </w:r>
      <w:r>
        <w:rPr>
          <w:lang/>
        </w:rPr>
        <w:fldChar w:fldCharType="begin"/>
      </w:r>
      <w:r>
        <w:rPr>
          <w:lang/>
        </w:rPr>
        <w:instrText xml:space="preserve"> PAGEREF _Toc64913366 \h </w:instrText>
      </w:r>
      <w:r>
        <w:rPr>
          <w:lang/>
        </w:rPr>
        <w:fldChar w:fldCharType="separate"/>
      </w:r>
      <w:r>
        <w:rPr>
          <w:lang/>
        </w:rPr>
        <w:t>59</w:t>
      </w:r>
      <w:r>
        <w:rPr>
          <w:lang/>
        </w:rPr>
        <w:fldChar w:fldCharType="end"/>
      </w:r>
      <w:r>
        <w:rPr>
          <w:rStyle w:val="43"/>
          <w:lang/>
        </w:rPr>
        <w:fldChar w:fldCharType="end"/>
      </w:r>
    </w:p>
    <w:p>
      <w:pPr>
        <w:pStyle w:val="25"/>
        <w:rPr>
          <w:rFonts w:ascii="等线" w:hAnsi="等线" w:eastAsia="等线"/>
          <w:b w:val="0"/>
          <w:bCs w:val="0"/>
          <w:caps w:val="0"/>
          <w:kern w:val="2"/>
          <w:szCs w:val="22"/>
          <w:lang w:val="en-US" w:eastAsia="zh-CN"/>
        </w:rPr>
      </w:pPr>
      <w:r>
        <w:rPr>
          <w:rStyle w:val="43"/>
          <w:lang/>
        </w:rPr>
        <w:fldChar w:fldCharType="begin"/>
      </w:r>
      <w:r>
        <w:rPr>
          <w:rStyle w:val="43"/>
          <w:lang/>
        </w:rPr>
        <w:instrText xml:space="preserve"> </w:instrText>
      </w:r>
      <w:r>
        <w:rPr>
          <w:lang/>
        </w:rPr>
        <w:instrText xml:space="preserve">HYPERLINK \l "_Toc64913371"</w:instrText>
      </w:r>
      <w:r>
        <w:rPr>
          <w:rStyle w:val="43"/>
          <w:lang/>
        </w:rPr>
        <w:instrText xml:space="preserve"> </w:instrText>
      </w:r>
      <w:r>
        <w:rPr>
          <w:rStyle w:val="43"/>
          <w:lang/>
        </w:rPr>
        <w:fldChar w:fldCharType="separate"/>
      </w:r>
      <w:r>
        <w:rPr>
          <w:rStyle w:val="43"/>
          <w:rFonts w:hAnsi="宋体"/>
          <w:lang/>
        </w:rPr>
        <w:t>第五部分   政府采购</w:t>
      </w:r>
      <w:bookmarkStart w:id="10" w:name="_Hlt69495852"/>
      <w:bookmarkStart w:id="11" w:name="_Hlt69495853"/>
      <w:r>
        <w:rPr>
          <w:rStyle w:val="43"/>
          <w:rFonts w:hAnsi="宋体"/>
          <w:lang/>
        </w:rPr>
        <w:t>政</w:t>
      </w:r>
      <w:bookmarkEnd w:id="10"/>
      <w:bookmarkEnd w:id="11"/>
      <w:r>
        <w:rPr>
          <w:rStyle w:val="43"/>
          <w:rFonts w:hAnsi="宋体"/>
          <w:lang/>
        </w:rPr>
        <w:t>策功能相关说明</w:t>
      </w:r>
      <w:r>
        <w:rPr>
          <w:lang/>
        </w:rPr>
        <w:tab/>
      </w:r>
      <w:r>
        <w:rPr>
          <w:lang/>
        </w:rPr>
        <w:fldChar w:fldCharType="begin"/>
      </w:r>
      <w:r>
        <w:rPr>
          <w:lang/>
        </w:rPr>
        <w:instrText xml:space="preserve"> PAGEREF _Toc64913371 \h </w:instrText>
      </w:r>
      <w:r>
        <w:rPr>
          <w:lang/>
        </w:rPr>
        <w:fldChar w:fldCharType="separate"/>
      </w:r>
      <w:r>
        <w:rPr>
          <w:lang/>
        </w:rPr>
        <w:t>82</w:t>
      </w:r>
      <w:r>
        <w:rPr>
          <w:lang/>
        </w:rPr>
        <w:fldChar w:fldCharType="end"/>
      </w:r>
      <w:r>
        <w:rPr>
          <w:rStyle w:val="43"/>
          <w:lang/>
        </w:rPr>
        <w:fldChar w:fldCharType="end"/>
      </w:r>
    </w:p>
    <w:p>
      <w:pPr>
        <w:pStyle w:val="25"/>
        <w:rPr>
          <w:rFonts w:ascii="等线" w:hAnsi="等线" w:eastAsia="等线"/>
          <w:b w:val="0"/>
          <w:bCs w:val="0"/>
          <w:caps w:val="0"/>
          <w:kern w:val="2"/>
          <w:szCs w:val="22"/>
          <w:lang w:val="en-US" w:eastAsia="zh-CN"/>
        </w:rPr>
      </w:pPr>
      <w:r>
        <w:rPr>
          <w:rStyle w:val="43"/>
          <w:lang/>
        </w:rPr>
        <w:fldChar w:fldCharType="begin"/>
      </w:r>
      <w:r>
        <w:rPr>
          <w:rStyle w:val="43"/>
          <w:lang/>
        </w:rPr>
        <w:instrText xml:space="preserve"> </w:instrText>
      </w:r>
      <w:r>
        <w:rPr>
          <w:lang/>
        </w:rPr>
        <w:instrText xml:space="preserve">HYPERLINK \l "_Toc64913372"</w:instrText>
      </w:r>
      <w:r>
        <w:rPr>
          <w:rStyle w:val="43"/>
          <w:lang/>
        </w:rPr>
        <w:instrText xml:space="preserve"> </w:instrText>
      </w:r>
      <w:r>
        <w:rPr>
          <w:rStyle w:val="43"/>
          <w:lang/>
        </w:rPr>
        <w:fldChar w:fldCharType="separate"/>
      </w:r>
      <w:r>
        <w:rPr>
          <w:rStyle w:val="43"/>
          <w:rFonts w:hAnsi="宋体"/>
          <w:lang/>
        </w:rPr>
        <w:t>第六部分  投标文件格式</w:t>
      </w:r>
      <w:r>
        <w:rPr>
          <w:lang/>
        </w:rPr>
        <w:tab/>
      </w:r>
      <w:r>
        <w:rPr>
          <w:lang/>
        </w:rPr>
        <w:fldChar w:fldCharType="begin"/>
      </w:r>
      <w:r>
        <w:rPr>
          <w:lang/>
        </w:rPr>
        <w:instrText xml:space="preserve"> PAGEREF _Toc64913372 \h </w:instrText>
      </w:r>
      <w:r>
        <w:rPr>
          <w:lang/>
        </w:rPr>
        <w:fldChar w:fldCharType="separate"/>
      </w:r>
      <w:r>
        <w:rPr>
          <w:lang/>
        </w:rPr>
        <w:t>85</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"_Toc64913373"</w:instrText>
      </w:r>
      <w:r>
        <w:rPr>
          <w:rStyle w:val="43"/>
          <w:lang/>
        </w:rPr>
        <w:instrText xml:space="preserve"> </w:instrText>
      </w:r>
      <w:r>
        <w:rPr>
          <w:rStyle w:val="43"/>
          <w:lang/>
        </w:rPr>
        <w:fldChar w:fldCharType="separate"/>
      </w:r>
      <w:r>
        <w:rPr>
          <w:rStyle w:val="43"/>
          <w:lang/>
        </w:rPr>
        <w:t>附件一  投标供应商参与政府采购活动投标资格声明函</w:t>
      </w:r>
      <w:r>
        <w:rPr>
          <w:lang/>
        </w:rPr>
        <w:tab/>
      </w:r>
      <w:r>
        <w:rPr>
          <w:lang/>
        </w:rPr>
        <w:fldChar w:fldCharType="begin"/>
      </w:r>
      <w:r>
        <w:rPr>
          <w:lang/>
        </w:rPr>
        <w:instrText xml:space="preserve"> PAGEREF _Toc64913373 \h </w:instrText>
      </w:r>
      <w:r>
        <w:rPr>
          <w:lang/>
        </w:rPr>
        <w:fldChar w:fldCharType="separate"/>
      </w:r>
      <w:r>
        <w:rPr>
          <w:lang/>
        </w:rPr>
        <w:t>86</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"_Toc64913374"</w:instrText>
      </w:r>
      <w:r>
        <w:rPr>
          <w:rStyle w:val="43"/>
          <w:lang/>
        </w:rPr>
        <w:instrText xml:space="preserve"> </w:instrText>
      </w:r>
      <w:r>
        <w:rPr>
          <w:rStyle w:val="43"/>
          <w:lang/>
        </w:rPr>
        <w:fldChar w:fldCharType="separate"/>
      </w:r>
      <w:r>
        <w:rPr>
          <w:rStyle w:val="43"/>
          <w:lang/>
        </w:rPr>
        <w:t>附件二  开标一览表</w:t>
      </w:r>
      <w:bookmarkStart w:id="12" w:name="_Hlt69322505"/>
      <w:r>
        <w:rPr>
          <w:lang/>
        </w:rPr>
        <w:tab/>
      </w:r>
      <w:bookmarkEnd w:id="12"/>
      <w:r>
        <w:rPr>
          <w:lang/>
        </w:rPr>
        <w:fldChar w:fldCharType="begin"/>
      </w:r>
      <w:r>
        <w:rPr>
          <w:lang/>
        </w:rPr>
        <w:instrText xml:space="preserve"> PAGEREF _Toc64913374 \h </w:instrText>
      </w:r>
      <w:r>
        <w:rPr>
          <w:lang/>
        </w:rPr>
        <w:fldChar w:fldCharType="separate"/>
      </w:r>
      <w:r>
        <w:rPr>
          <w:lang/>
        </w:rPr>
        <w:t>87</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"_Toc64913375"</w:instrText>
      </w:r>
      <w:r>
        <w:rPr>
          <w:rStyle w:val="43"/>
          <w:lang/>
        </w:rPr>
        <w:instrText xml:space="preserve"> </w:instrText>
      </w:r>
      <w:r>
        <w:rPr>
          <w:rStyle w:val="43"/>
          <w:lang/>
        </w:rPr>
        <w:fldChar w:fldCharType="separate"/>
      </w:r>
      <w:r>
        <w:rPr>
          <w:rStyle w:val="43"/>
          <w:lang/>
        </w:rPr>
        <w:t>附件三  投标分项报价</w:t>
      </w:r>
      <w:bookmarkStart w:id="13" w:name="_Hlt69322421"/>
      <w:bookmarkStart w:id="14" w:name="_Hlt69322420"/>
      <w:r>
        <w:rPr>
          <w:rStyle w:val="43"/>
          <w:lang/>
        </w:rPr>
        <w:t>表</w:t>
      </w:r>
      <w:bookmarkEnd w:id="13"/>
      <w:bookmarkEnd w:id="14"/>
      <w:r>
        <w:rPr>
          <w:lang/>
        </w:rPr>
        <w:tab/>
      </w:r>
      <w:r>
        <w:rPr>
          <w:lang/>
        </w:rPr>
        <w:fldChar w:fldCharType="begin"/>
      </w:r>
      <w:r>
        <w:rPr>
          <w:lang/>
        </w:rPr>
        <w:instrText xml:space="preserve"> PAGEREF _Toc64913375 \h </w:instrText>
      </w:r>
      <w:r>
        <w:rPr>
          <w:lang/>
        </w:rPr>
        <w:fldChar w:fldCharType="separate"/>
      </w:r>
      <w:r>
        <w:rPr>
          <w:lang/>
        </w:rPr>
        <w:t>88</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"_Toc64913376"</w:instrText>
      </w:r>
      <w:r>
        <w:rPr>
          <w:rStyle w:val="43"/>
          <w:lang/>
        </w:rPr>
        <w:instrText xml:space="preserve"> </w:instrText>
      </w:r>
      <w:r>
        <w:rPr>
          <w:rStyle w:val="43"/>
          <w:lang/>
        </w:rPr>
        <w:fldChar w:fldCharType="separate"/>
      </w:r>
      <w:r>
        <w:rPr>
          <w:rStyle w:val="43"/>
          <w:rFonts w:hAnsi="宋体"/>
          <w:lang/>
        </w:rPr>
        <w:t>投标分项报价表1.1</w:t>
      </w:r>
      <w:r>
        <w:rPr>
          <w:lang/>
        </w:rPr>
        <w:tab/>
      </w:r>
      <w:r>
        <w:rPr>
          <w:lang/>
        </w:rPr>
        <w:fldChar w:fldCharType="begin"/>
      </w:r>
      <w:r>
        <w:rPr>
          <w:lang/>
        </w:rPr>
        <w:instrText xml:space="preserve"> PAGEREF _Toc64913376 \h </w:instrText>
      </w:r>
      <w:r>
        <w:rPr>
          <w:lang/>
        </w:rPr>
        <w:fldChar w:fldCharType="separate"/>
      </w:r>
      <w:r>
        <w:rPr>
          <w:lang/>
        </w:rPr>
        <w:t>88</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"_Toc64913377"</w:instrText>
      </w:r>
      <w:r>
        <w:rPr>
          <w:rStyle w:val="43"/>
          <w:lang/>
        </w:rPr>
        <w:instrText xml:space="preserve"> </w:instrText>
      </w:r>
      <w:r>
        <w:rPr>
          <w:rStyle w:val="43"/>
          <w:lang/>
        </w:rPr>
        <w:fldChar w:fldCharType="separate"/>
      </w:r>
      <w:r>
        <w:rPr>
          <w:rStyle w:val="43"/>
          <w:rFonts w:hAnsi="宋体"/>
          <w:lang/>
        </w:rPr>
        <w:t>投标分项报价表1.1.1</w:t>
      </w:r>
      <w:r>
        <w:rPr>
          <w:lang/>
        </w:rPr>
        <w:tab/>
      </w:r>
      <w:r>
        <w:rPr>
          <w:lang/>
        </w:rPr>
        <w:fldChar w:fldCharType="begin"/>
      </w:r>
      <w:r>
        <w:rPr>
          <w:lang/>
        </w:rPr>
        <w:instrText xml:space="preserve"> PAGEREF _Toc64913377 \h </w:instrText>
      </w:r>
      <w:r>
        <w:rPr>
          <w:lang/>
        </w:rPr>
        <w:fldChar w:fldCharType="separate"/>
      </w:r>
      <w:r>
        <w:rPr>
          <w:lang/>
        </w:rPr>
        <w:t>89</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"_Toc64913378"</w:instrText>
      </w:r>
      <w:r>
        <w:rPr>
          <w:rStyle w:val="43"/>
          <w:lang/>
        </w:rPr>
        <w:instrText xml:space="preserve"> </w:instrText>
      </w:r>
      <w:r>
        <w:rPr>
          <w:rStyle w:val="43"/>
          <w:lang/>
        </w:rPr>
        <w:fldChar w:fldCharType="separate"/>
      </w:r>
      <w:r>
        <w:rPr>
          <w:rStyle w:val="43"/>
          <w:rFonts w:hAnsi="宋体"/>
          <w:lang/>
        </w:rPr>
        <w:t>投标分项报价表1.1.2</w:t>
      </w:r>
      <w:r>
        <w:rPr>
          <w:lang/>
        </w:rPr>
        <w:tab/>
      </w:r>
      <w:r>
        <w:rPr>
          <w:lang/>
        </w:rPr>
        <w:fldChar w:fldCharType="begin"/>
      </w:r>
      <w:r>
        <w:rPr>
          <w:lang/>
        </w:rPr>
        <w:instrText xml:space="preserve"> PAGEREF _Toc64913378 \h </w:instrText>
      </w:r>
      <w:r>
        <w:rPr>
          <w:lang/>
        </w:rPr>
        <w:fldChar w:fldCharType="separate"/>
      </w:r>
      <w:r>
        <w:rPr>
          <w:lang/>
        </w:rPr>
        <w:t>90</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"_Toc64913379"</w:instrText>
      </w:r>
      <w:r>
        <w:rPr>
          <w:rStyle w:val="43"/>
          <w:lang/>
        </w:rPr>
        <w:instrText xml:space="preserve"> </w:instrText>
      </w:r>
      <w:r>
        <w:rPr>
          <w:rStyle w:val="43"/>
          <w:lang/>
        </w:rPr>
        <w:fldChar w:fldCharType="separate"/>
      </w:r>
      <w:r>
        <w:rPr>
          <w:rStyle w:val="43"/>
          <w:rFonts w:hAnsi="宋体"/>
          <w:lang/>
        </w:rPr>
        <w:t>投标分项报价表1.1.3</w:t>
      </w:r>
      <w:r>
        <w:rPr>
          <w:lang/>
        </w:rPr>
        <w:tab/>
      </w:r>
      <w:r>
        <w:rPr>
          <w:lang/>
        </w:rPr>
        <w:fldChar w:fldCharType="begin"/>
      </w:r>
      <w:r>
        <w:rPr>
          <w:lang/>
        </w:rPr>
        <w:instrText xml:space="preserve"> PAGEREF _Toc64913379 \h </w:instrText>
      </w:r>
      <w:r>
        <w:rPr>
          <w:lang/>
        </w:rPr>
        <w:fldChar w:fldCharType="separate"/>
      </w:r>
      <w:r>
        <w:rPr>
          <w:lang/>
        </w:rPr>
        <w:t>91</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"_Toc64913380"</w:instrText>
      </w:r>
      <w:r>
        <w:rPr>
          <w:rStyle w:val="43"/>
          <w:lang/>
        </w:rPr>
        <w:instrText xml:space="preserve"> </w:instrText>
      </w:r>
      <w:r>
        <w:rPr>
          <w:rStyle w:val="43"/>
          <w:lang/>
        </w:rPr>
        <w:fldChar w:fldCharType="separate"/>
      </w:r>
      <w:r>
        <w:rPr>
          <w:rStyle w:val="43"/>
          <w:lang/>
        </w:rPr>
        <w:t>附件四  法定代表人授权书</w:t>
      </w:r>
      <w:r>
        <w:rPr>
          <w:lang/>
        </w:rPr>
        <w:tab/>
      </w:r>
      <w:r>
        <w:rPr>
          <w:lang/>
        </w:rPr>
        <w:fldChar w:fldCharType="begin"/>
      </w:r>
      <w:r>
        <w:rPr>
          <w:lang/>
        </w:rPr>
        <w:instrText xml:space="preserve"> PAGEREF _Toc64913380 \h </w:instrText>
      </w:r>
      <w:r>
        <w:rPr>
          <w:lang/>
        </w:rPr>
        <w:fldChar w:fldCharType="separate"/>
      </w:r>
      <w:r>
        <w:rPr>
          <w:lang/>
        </w:rPr>
        <w:t>92</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"_Toc64913381"</w:instrText>
      </w:r>
      <w:r>
        <w:rPr>
          <w:rStyle w:val="43"/>
          <w:lang/>
        </w:rPr>
        <w:instrText xml:space="preserve"> </w:instrText>
      </w:r>
      <w:r>
        <w:rPr>
          <w:rStyle w:val="43"/>
          <w:lang/>
        </w:rPr>
        <w:fldChar w:fldCharType="separate"/>
      </w:r>
      <w:r>
        <w:rPr>
          <w:rStyle w:val="43"/>
          <w:lang/>
        </w:rPr>
        <w:t>附件五  投 标 函</w:t>
      </w:r>
      <w:r>
        <w:rPr>
          <w:lang/>
        </w:rPr>
        <w:tab/>
      </w:r>
      <w:r>
        <w:rPr>
          <w:lang/>
        </w:rPr>
        <w:fldChar w:fldCharType="begin"/>
      </w:r>
      <w:r>
        <w:rPr>
          <w:lang/>
        </w:rPr>
        <w:instrText xml:space="preserve"> PAGEREF _Toc64913381 \h </w:instrText>
      </w:r>
      <w:r>
        <w:rPr>
          <w:lang/>
        </w:rPr>
        <w:fldChar w:fldCharType="separate"/>
      </w:r>
      <w:r>
        <w:rPr>
          <w:lang/>
        </w:rPr>
        <w:t>93</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"_Toc64913382"</w:instrText>
      </w:r>
      <w:r>
        <w:rPr>
          <w:rStyle w:val="43"/>
          <w:lang/>
        </w:rPr>
        <w:instrText xml:space="preserve"> </w:instrText>
      </w:r>
      <w:r>
        <w:rPr>
          <w:rStyle w:val="43"/>
          <w:lang/>
        </w:rPr>
        <w:fldChar w:fldCharType="separate"/>
      </w:r>
      <w:r>
        <w:rPr>
          <w:rStyle w:val="43"/>
          <w:lang/>
        </w:rPr>
        <w:t>附件六、环卫保洁承诺书</w:t>
      </w:r>
      <w:r>
        <w:rPr>
          <w:lang/>
        </w:rPr>
        <w:tab/>
      </w:r>
      <w:r>
        <w:rPr>
          <w:lang/>
        </w:rPr>
        <w:fldChar w:fldCharType="begin"/>
      </w:r>
      <w:r>
        <w:rPr>
          <w:lang/>
        </w:rPr>
        <w:instrText xml:space="preserve"> PAGEREF _Toc64913382 \h </w:instrText>
      </w:r>
      <w:r>
        <w:rPr>
          <w:lang/>
        </w:rPr>
        <w:fldChar w:fldCharType="separate"/>
      </w:r>
      <w:r>
        <w:rPr>
          <w:lang/>
        </w:rPr>
        <w:t>94</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"_Toc64913383"</w:instrText>
      </w:r>
      <w:r>
        <w:rPr>
          <w:rStyle w:val="43"/>
          <w:lang/>
        </w:rPr>
        <w:instrText xml:space="preserve"> </w:instrText>
      </w:r>
      <w:r>
        <w:rPr>
          <w:rStyle w:val="43"/>
          <w:lang/>
        </w:rPr>
        <w:fldChar w:fldCharType="separate"/>
      </w:r>
      <w:r>
        <w:rPr>
          <w:rStyle w:val="43"/>
          <w:lang/>
        </w:rPr>
        <w:t>附件七  建议与少量偏离表</w:t>
      </w:r>
      <w:r>
        <w:rPr>
          <w:lang/>
        </w:rPr>
        <w:tab/>
      </w:r>
      <w:r>
        <w:rPr>
          <w:lang/>
        </w:rPr>
        <w:fldChar w:fldCharType="begin"/>
      </w:r>
      <w:r>
        <w:rPr>
          <w:lang/>
        </w:rPr>
        <w:instrText xml:space="preserve"> PAGEREF _Toc64913383 \h </w:instrText>
      </w:r>
      <w:r>
        <w:rPr>
          <w:lang/>
        </w:rPr>
        <w:fldChar w:fldCharType="separate"/>
      </w:r>
      <w:r>
        <w:rPr>
          <w:lang/>
        </w:rPr>
        <w:t>95</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"_Toc64913384"</w:instrText>
      </w:r>
      <w:r>
        <w:rPr>
          <w:rStyle w:val="43"/>
          <w:lang/>
        </w:rPr>
        <w:instrText xml:space="preserve"> </w:instrText>
      </w:r>
      <w:r>
        <w:rPr>
          <w:rStyle w:val="43"/>
          <w:lang/>
        </w:rPr>
        <w:fldChar w:fldCharType="separate"/>
      </w:r>
      <w:r>
        <w:rPr>
          <w:rStyle w:val="43"/>
          <w:rFonts w:ascii="新宋体" w:hAnsi="新宋体" w:eastAsia="新宋体"/>
          <w:lang/>
        </w:rPr>
        <w:t>附件八  投标供应商基本情况表</w:t>
      </w:r>
      <w:r>
        <w:rPr>
          <w:lang/>
        </w:rPr>
        <w:tab/>
      </w:r>
      <w:r>
        <w:rPr>
          <w:lang/>
        </w:rPr>
        <w:fldChar w:fldCharType="begin"/>
      </w:r>
      <w:r>
        <w:rPr>
          <w:lang/>
        </w:rPr>
        <w:instrText xml:space="preserve"> PAGEREF _Toc64913384 \h </w:instrText>
      </w:r>
      <w:r>
        <w:rPr>
          <w:lang/>
        </w:rPr>
        <w:fldChar w:fldCharType="separate"/>
      </w:r>
      <w:r>
        <w:rPr>
          <w:lang/>
        </w:rPr>
        <w:t>96</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"_Toc64913385"</w:instrText>
      </w:r>
      <w:r>
        <w:rPr>
          <w:rStyle w:val="43"/>
          <w:lang/>
        </w:rPr>
        <w:instrText xml:space="preserve"> </w:instrText>
      </w:r>
      <w:r>
        <w:rPr>
          <w:rStyle w:val="43"/>
          <w:lang/>
        </w:rPr>
        <w:fldChar w:fldCharType="separate"/>
      </w:r>
      <w:r>
        <w:rPr>
          <w:rStyle w:val="43"/>
          <w:rFonts w:ascii="新宋体" w:hAnsi="新宋体" w:eastAsia="新宋体"/>
          <w:lang/>
        </w:rPr>
        <w:t xml:space="preserve">附件九  </w:t>
      </w:r>
      <w:r>
        <w:rPr>
          <w:rStyle w:val="43"/>
          <w:lang/>
        </w:rPr>
        <w:t>供应商拟投入人员清单</w:t>
      </w:r>
      <w:r>
        <w:rPr>
          <w:lang/>
        </w:rPr>
        <w:tab/>
      </w:r>
      <w:r>
        <w:rPr>
          <w:lang/>
        </w:rPr>
        <w:fldChar w:fldCharType="begin"/>
      </w:r>
      <w:r>
        <w:rPr>
          <w:lang/>
        </w:rPr>
        <w:instrText xml:space="preserve"> PAGEREF _Toc64913385 \h </w:instrText>
      </w:r>
      <w:r>
        <w:rPr>
          <w:lang/>
        </w:rPr>
        <w:fldChar w:fldCharType="separate"/>
      </w:r>
      <w:r>
        <w:rPr>
          <w:lang/>
        </w:rPr>
        <w:t>97</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"_Toc64913386"</w:instrText>
      </w:r>
      <w:r>
        <w:rPr>
          <w:rStyle w:val="43"/>
          <w:lang/>
        </w:rPr>
        <w:instrText xml:space="preserve"> </w:instrText>
      </w:r>
      <w:r>
        <w:rPr>
          <w:rStyle w:val="43"/>
          <w:lang/>
        </w:rPr>
        <w:fldChar w:fldCharType="separate"/>
      </w:r>
      <w:r>
        <w:rPr>
          <w:rStyle w:val="43"/>
          <w:rFonts w:hAnsi="宋体"/>
          <w:lang/>
        </w:rPr>
        <w:t>附件十  环卫保洁实施方案</w:t>
      </w:r>
      <w:r>
        <w:rPr>
          <w:lang/>
        </w:rPr>
        <w:tab/>
      </w:r>
      <w:r>
        <w:rPr>
          <w:lang/>
        </w:rPr>
        <w:fldChar w:fldCharType="begin"/>
      </w:r>
      <w:r>
        <w:rPr>
          <w:lang/>
        </w:rPr>
        <w:instrText xml:space="preserve"> PAGEREF _Toc64913386 \h </w:instrText>
      </w:r>
      <w:r>
        <w:rPr>
          <w:lang/>
        </w:rPr>
        <w:fldChar w:fldCharType="separate"/>
      </w:r>
      <w:r>
        <w:rPr>
          <w:lang/>
        </w:rPr>
        <w:t>99</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"_Toc64913387"</w:instrText>
      </w:r>
      <w:r>
        <w:rPr>
          <w:rStyle w:val="43"/>
          <w:lang/>
        </w:rPr>
        <w:instrText xml:space="preserve"> </w:instrText>
      </w:r>
      <w:r>
        <w:rPr>
          <w:rStyle w:val="43"/>
          <w:lang/>
        </w:rPr>
        <w:fldChar w:fldCharType="separate"/>
      </w:r>
      <w:r>
        <w:rPr>
          <w:rStyle w:val="43"/>
          <w:rFonts w:hAnsi="宋体"/>
          <w:lang/>
        </w:rPr>
        <w:t>附件十一  拟投入设备一览表</w:t>
      </w:r>
      <w:r>
        <w:rPr>
          <w:lang/>
        </w:rPr>
        <w:tab/>
      </w:r>
      <w:r>
        <w:rPr>
          <w:lang/>
        </w:rPr>
        <w:fldChar w:fldCharType="begin"/>
      </w:r>
      <w:r>
        <w:rPr>
          <w:lang/>
        </w:rPr>
        <w:instrText xml:space="preserve"> PAGEREF _Toc64913387 \h </w:instrText>
      </w:r>
      <w:r>
        <w:rPr>
          <w:lang/>
        </w:rPr>
        <w:fldChar w:fldCharType="separate"/>
      </w:r>
      <w:r>
        <w:rPr>
          <w:lang/>
        </w:rPr>
        <w:t>100</w:t>
      </w:r>
      <w:r>
        <w:rPr>
          <w:lang/>
        </w:rPr>
        <w:fldChar w:fldCharType="end"/>
      </w:r>
      <w:r>
        <w:rPr>
          <w:rStyle w:val="43"/>
          <w:lang/>
        </w:rPr>
        <w:fldChar w:fldCharType="end"/>
      </w:r>
    </w:p>
    <w:p>
      <w:pPr>
        <w:pStyle w:val="28"/>
        <w:rPr>
          <w:rFonts w:ascii="等线" w:hAnsi="等线" w:eastAsia="等线"/>
          <w:smallCaps w:val="0"/>
          <w:kern w:val="2"/>
          <w:szCs w:val="22"/>
          <w:lang/>
        </w:rPr>
      </w:pPr>
      <w:r>
        <w:rPr>
          <w:rStyle w:val="43"/>
          <w:lang/>
        </w:rPr>
        <w:fldChar w:fldCharType="begin"/>
      </w:r>
      <w:r>
        <w:rPr>
          <w:rStyle w:val="43"/>
          <w:lang/>
        </w:rPr>
        <w:instrText xml:space="preserve"> </w:instrText>
      </w:r>
      <w:r>
        <w:rPr>
          <w:lang/>
        </w:rPr>
        <w:instrText xml:space="preserve">HYPERLINK \l "_Toc64913388"</w:instrText>
      </w:r>
      <w:r>
        <w:rPr>
          <w:rStyle w:val="43"/>
          <w:lang/>
        </w:rPr>
        <w:instrText xml:space="preserve"> </w:instrText>
      </w:r>
      <w:r>
        <w:rPr>
          <w:rStyle w:val="43"/>
          <w:lang/>
        </w:rPr>
        <w:fldChar w:fldCharType="separate"/>
      </w:r>
      <w:r>
        <w:rPr>
          <w:rStyle w:val="43"/>
          <w:rFonts w:ascii="新宋体" w:hAnsi="新宋体" w:eastAsia="新宋体"/>
          <w:lang/>
        </w:rPr>
        <w:t>附件十二  供应商自2017年1月1日以来同类业绩一览表</w:t>
      </w:r>
      <w:r>
        <w:rPr>
          <w:lang/>
        </w:rPr>
        <w:tab/>
      </w:r>
      <w:r>
        <w:rPr>
          <w:lang/>
        </w:rPr>
        <w:fldChar w:fldCharType="begin"/>
      </w:r>
      <w:r>
        <w:rPr>
          <w:lang/>
        </w:rPr>
        <w:instrText xml:space="preserve"> PAGEREF _Toc64913388 \h </w:instrText>
      </w:r>
      <w:r>
        <w:rPr>
          <w:lang/>
        </w:rPr>
        <w:fldChar w:fldCharType="separate"/>
      </w:r>
      <w:r>
        <w:rPr>
          <w:lang/>
        </w:rPr>
        <w:t>103</w:t>
      </w:r>
      <w:r>
        <w:rPr>
          <w:lang/>
        </w:rPr>
        <w:fldChar w:fldCharType="end"/>
      </w:r>
      <w:r>
        <w:rPr>
          <w:rStyle w:val="43"/>
          <w:lang/>
        </w:rPr>
        <w:fldChar w:fldCharType="end"/>
      </w:r>
    </w:p>
    <w:p>
      <w:pPr>
        <w:pStyle w:val="25"/>
        <w:rPr>
          <w:rFonts w:ascii="等线" w:hAnsi="等线" w:eastAsia="等线"/>
          <w:b w:val="0"/>
          <w:bCs w:val="0"/>
          <w:caps w:val="0"/>
          <w:kern w:val="2"/>
          <w:szCs w:val="22"/>
          <w:lang w:val="en-US" w:eastAsia="zh-CN"/>
        </w:rPr>
      </w:pPr>
      <w:r>
        <w:rPr>
          <w:rStyle w:val="43"/>
          <w:lang/>
        </w:rPr>
        <w:fldChar w:fldCharType="begin"/>
      </w:r>
      <w:r>
        <w:rPr>
          <w:rStyle w:val="43"/>
          <w:lang/>
        </w:rPr>
        <w:instrText xml:space="preserve"> </w:instrText>
      </w:r>
      <w:r>
        <w:rPr>
          <w:lang/>
        </w:rPr>
        <w:instrText xml:space="preserve">HYPERLINK \l "_Toc64913389"</w:instrText>
      </w:r>
      <w:r>
        <w:rPr>
          <w:rStyle w:val="43"/>
          <w:lang/>
        </w:rPr>
        <w:instrText xml:space="preserve"> </w:instrText>
      </w:r>
      <w:r>
        <w:rPr>
          <w:rStyle w:val="43"/>
          <w:lang/>
        </w:rPr>
        <w:fldChar w:fldCharType="separate"/>
      </w:r>
      <w:r>
        <w:rPr>
          <w:rStyle w:val="43"/>
          <w:rFonts w:hAnsi="宋体"/>
          <w:lang/>
        </w:rPr>
        <w:t>第七部分  评标</w:t>
      </w:r>
      <w:bookmarkStart w:id="15" w:name="_Hlt69495982"/>
      <w:r>
        <w:rPr>
          <w:rStyle w:val="43"/>
          <w:rFonts w:hAnsi="宋体"/>
          <w:lang/>
        </w:rPr>
        <w:t>办</w:t>
      </w:r>
      <w:bookmarkEnd w:id="15"/>
      <w:r>
        <w:rPr>
          <w:rStyle w:val="43"/>
          <w:rFonts w:hAnsi="宋体"/>
          <w:lang/>
        </w:rPr>
        <w:t>法</w:t>
      </w:r>
      <w:r>
        <w:rPr>
          <w:lang/>
        </w:rPr>
        <w:tab/>
      </w:r>
      <w:r>
        <w:rPr>
          <w:lang/>
        </w:rPr>
        <w:fldChar w:fldCharType="begin"/>
      </w:r>
      <w:r>
        <w:rPr>
          <w:lang/>
        </w:rPr>
        <w:instrText xml:space="preserve"> PAGEREF _Toc64913389 \h </w:instrText>
      </w:r>
      <w:r>
        <w:rPr>
          <w:lang/>
        </w:rPr>
        <w:fldChar w:fldCharType="separate"/>
      </w:r>
      <w:r>
        <w:rPr>
          <w:lang/>
        </w:rPr>
        <w:t>104</w:t>
      </w:r>
      <w:r>
        <w:rPr>
          <w:lang/>
        </w:rPr>
        <w:fldChar w:fldCharType="end"/>
      </w:r>
      <w:r>
        <w:rPr>
          <w:rStyle w:val="43"/>
          <w:lang/>
        </w:rPr>
        <w:fldChar w:fldCharType="end"/>
      </w:r>
    </w:p>
    <w:p>
      <w:pPr>
        <w:pStyle w:val="25"/>
        <w:rPr>
          <w:rFonts w:hint="eastAsia"/>
          <w:kern w:val="2"/>
        </w:rPr>
      </w:pPr>
      <w:r>
        <w:rPr>
          <w:kern w:val="2"/>
        </w:rPr>
        <w:fldChar w:fldCharType="end"/>
      </w:r>
    </w:p>
    <w:p>
      <w:pPr>
        <w:rPr>
          <w:rFonts w:hint="eastAsia"/>
        </w:rPr>
      </w:pPr>
    </w:p>
    <w:p>
      <w:pPr>
        <w:rPr>
          <w:rFonts w:hint="eastAsia"/>
        </w:rPr>
      </w:pPr>
    </w:p>
    <w:p>
      <w:pPr>
        <w:rPr>
          <w:rFonts w:hint="eastAsia"/>
        </w:rPr>
        <w:sectPr>
          <w:headerReference r:id="rId7" w:type="first"/>
          <w:footerReference r:id="rId8" w:type="first"/>
          <w:pgSz w:w="11906" w:h="16838"/>
          <w:pgMar w:top="1418" w:right="1418" w:bottom="1418" w:left="1418" w:header="851" w:footer="992" w:gutter="0"/>
          <w:cols w:space="720" w:num="1"/>
          <w:titlePg/>
          <w:docGrid w:linePitch="286" w:charSpace="0"/>
        </w:sectPr>
      </w:pPr>
    </w:p>
    <w:p>
      <w:pPr>
        <w:pStyle w:val="3"/>
        <w:keepNext w:val="0"/>
        <w:keepLines w:val="0"/>
        <w:pageBreakBefore/>
        <w:spacing w:before="240" w:beforeLines="100" w:after="240" w:afterLines="100" w:line="440" w:lineRule="atLeast"/>
        <w:jc w:val="center"/>
        <w:rPr>
          <w:rFonts w:hAnsi="宋体"/>
          <w:b w:val="0"/>
          <w:sz w:val="30"/>
          <w:szCs w:val="30"/>
        </w:rPr>
      </w:pPr>
      <w:bookmarkStart w:id="16" w:name="_Toc64913322"/>
      <w:r>
        <w:rPr>
          <w:rFonts w:hint="eastAsia" w:hAnsi="宋体"/>
          <w:b w:val="0"/>
          <w:sz w:val="30"/>
          <w:szCs w:val="30"/>
        </w:rPr>
        <w:t>第一部分  招标公告</w:t>
      </w:r>
      <w:bookmarkEnd w:id="16"/>
    </w:p>
    <w:p>
      <w:pPr>
        <w:pStyle w:val="31"/>
        <w:shd w:val="clear" w:color="auto" w:fill="FFFFFF"/>
        <w:spacing w:before="0" w:beforeAutospacing="0" w:after="0" w:afterAutospacing="0" w:line="460" w:lineRule="atLeast"/>
        <w:jc w:val="both"/>
        <w:rPr>
          <w:rFonts w:ascii="宋体" w:hAnsi="宋体" w:eastAsia="宋体"/>
          <w:sz w:val="21"/>
          <w:szCs w:val="21"/>
        </w:rPr>
      </w:pPr>
      <w:r>
        <w:rPr>
          <w:rFonts w:hint="eastAsia" w:ascii="宋体" w:hAnsi="宋体" w:eastAsia="宋体"/>
          <w:sz w:val="21"/>
          <w:szCs w:val="21"/>
        </w:rPr>
        <w:t xml:space="preserve">   </w:t>
      </w:r>
      <w:r>
        <w:rPr>
          <w:rFonts w:hint="eastAsia" w:ascii="宋体" w:hAnsi="宋体" w:eastAsia="宋体"/>
          <w:b/>
          <w:bCs/>
          <w:sz w:val="21"/>
          <w:szCs w:val="21"/>
        </w:rPr>
        <w:t>  项目概况</w:t>
      </w:r>
    </w:p>
    <w:p>
      <w:pPr>
        <w:pStyle w:val="31"/>
        <w:shd w:val="clear" w:color="auto" w:fill="FFFFFF"/>
        <w:spacing w:before="0" w:beforeAutospacing="0" w:after="0" w:afterAutospacing="0" w:line="420" w:lineRule="atLeast"/>
        <w:ind w:firstLine="440"/>
        <w:rPr>
          <w:rFonts w:hint="eastAsia" w:ascii="宋体" w:hAnsi="宋体" w:eastAsia="宋体"/>
          <w:sz w:val="21"/>
          <w:szCs w:val="21"/>
        </w:rPr>
      </w:pPr>
      <w:r>
        <w:rPr>
          <w:rFonts w:hint="eastAsia" w:ascii="宋体" w:hAnsi="宋体" w:eastAsia="宋体"/>
          <w:sz w:val="21"/>
          <w:szCs w:val="21"/>
          <w:u w:val="single"/>
        </w:rPr>
        <w:t>瑞安市“一把扫帚”环卫保洁一体化项目（安阳街道）</w:t>
      </w:r>
      <w:r>
        <w:rPr>
          <w:rFonts w:hint="eastAsia" w:ascii="宋体" w:hAnsi="宋体" w:eastAsia="宋体"/>
          <w:sz w:val="21"/>
          <w:szCs w:val="21"/>
        </w:rPr>
        <w:t>的潜在投标人应“政府采购云平台”在线获取招标文件，不提供采购文件纸质版。供应商获取采购文件前应先完成“政府采购云平台”的账号注册，并于202</w:t>
      </w:r>
      <w:r>
        <w:rPr>
          <w:rFonts w:ascii="宋体" w:hAnsi="宋体" w:eastAsia="宋体"/>
          <w:sz w:val="21"/>
          <w:szCs w:val="21"/>
        </w:rPr>
        <w:t>1</w:t>
      </w:r>
      <w:r>
        <w:rPr>
          <w:rFonts w:hint="eastAsia" w:ascii="宋体" w:hAnsi="宋体" w:eastAsia="宋体"/>
          <w:sz w:val="21"/>
          <w:szCs w:val="21"/>
        </w:rPr>
        <w:t>年</w:t>
      </w:r>
      <w:r>
        <w:rPr>
          <w:rFonts w:ascii="宋体" w:hAnsi="宋体" w:eastAsia="宋体"/>
          <w:sz w:val="21"/>
          <w:szCs w:val="21"/>
        </w:rPr>
        <w:t>5</w:t>
      </w:r>
      <w:r>
        <w:rPr>
          <w:rFonts w:hint="eastAsia" w:ascii="宋体" w:hAnsi="宋体" w:eastAsia="宋体"/>
          <w:sz w:val="21"/>
          <w:szCs w:val="21"/>
        </w:rPr>
        <w:t>月</w:t>
      </w:r>
      <w:r>
        <w:rPr>
          <w:rFonts w:ascii="宋体" w:hAnsi="宋体" w:eastAsia="宋体"/>
          <w:sz w:val="21"/>
          <w:szCs w:val="21"/>
        </w:rPr>
        <w:t>10</w:t>
      </w:r>
      <w:r>
        <w:rPr>
          <w:rFonts w:hint="eastAsia" w:ascii="宋体" w:hAnsi="宋体" w:eastAsia="宋体"/>
          <w:sz w:val="21"/>
          <w:szCs w:val="21"/>
        </w:rPr>
        <w:t>日</w:t>
      </w:r>
      <w:r>
        <w:rPr>
          <w:rFonts w:ascii="宋体" w:hAnsi="宋体" w:eastAsia="宋体"/>
          <w:sz w:val="21"/>
          <w:szCs w:val="21"/>
        </w:rPr>
        <w:t>9</w:t>
      </w:r>
      <w:r>
        <w:rPr>
          <w:rFonts w:hint="eastAsia" w:ascii="宋体" w:hAnsi="宋体" w:eastAsia="宋体"/>
          <w:sz w:val="21"/>
          <w:szCs w:val="21"/>
        </w:rPr>
        <w:t>点</w:t>
      </w:r>
      <w:r>
        <w:rPr>
          <w:rFonts w:ascii="宋体" w:hAnsi="宋体" w:eastAsia="宋体"/>
          <w:sz w:val="21"/>
          <w:szCs w:val="21"/>
        </w:rPr>
        <w:t>00</w:t>
      </w:r>
      <w:r>
        <w:rPr>
          <w:rFonts w:hint="eastAsia" w:ascii="宋体" w:hAnsi="宋体" w:eastAsia="宋体"/>
          <w:sz w:val="21"/>
          <w:szCs w:val="21"/>
        </w:rPr>
        <w:t>分（北京时间）前在线提交招标文件。</w:t>
      </w:r>
    </w:p>
    <w:p>
      <w:pPr>
        <w:pStyle w:val="31"/>
        <w:shd w:val="clear" w:color="auto" w:fill="FFFFFF"/>
        <w:spacing w:before="0" w:beforeAutospacing="0" w:after="0" w:afterAutospacing="0" w:line="420" w:lineRule="atLeast"/>
        <w:rPr>
          <w:rFonts w:ascii="宋体" w:hAnsi="宋体" w:eastAsia="宋体"/>
          <w:sz w:val="21"/>
          <w:szCs w:val="21"/>
        </w:rPr>
      </w:pPr>
      <w:r>
        <w:rPr>
          <w:rFonts w:hint="eastAsia" w:ascii="宋体" w:hAnsi="宋体" w:eastAsia="宋体"/>
          <w:b/>
          <w:bCs/>
          <w:sz w:val="21"/>
          <w:szCs w:val="21"/>
        </w:rPr>
        <w:t>一、项目基本情况</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 xml:space="preserve">1、项目编号：HQZB-RA-2021-04 </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2、项目名称：瑞安市“一把扫帚”环卫保洁一体化项目（安阳街道）</w:t>
      </w:r>
    </w:p>
    <w:p>
      <w:pPr>
        <w:pStyle w:val="31"/>
        <w:shd w:val="clear" w:color="auto" w:fill="FFFFFF"/>
        <w:spacing w:before="0" w:beforeAutospacing="0" w:after="0" w:afterAutospacing="0" w:line="420" w:lineRule="atLeast"/>
        <w:ind w:firstLine="440"/>
        <w:rPr>
          <w:rFonts w:ascii="宋体" w:hAnsi="宋体" w:eastAsia="宋体"/>
          <w:color w:val="auto"/>
          <w:sz w:val="21"/>
          <w:szCs w:val="21"/>
        </w:rPr>
      </w:pPr>
      <w:r>
        <w:rPr>
          <w:rFonts w:hint="eastAsia" w:ascii="宋体" w:hAnsi="宋体" w:eastAsia="宋体"/>
          <w:color w:val="auto"/>
          <w:sz w:val="21"/>
          <w:szCs w:val="21"/>
        </w:rPr>
        <w:t>3、预算金额：</w:t>
      </w:r>
      <w:r>
        <w:rPr>
          <w:rFonts w:ascii="宋体" w:hAnsi="宋体" w:eastAsia="宋体"/>
          <w:color w:val="auto"/>
          <w:sz w:val="21"/>
          <w:szCs w:val="21"/>
        </w:rPr>
        <w:t>12250.3386</w:t>
      </w:r>
      <w:r>
        <w:rPr>
          <w:rFonts w:hint="eastAsia" w:ascii="宋体" w:hAnsi="宋体" w:eastAsia="宋体"/>
          <w:color w:val="auto"/>
          <w:sz w:val="21"/>
          <w:szCs w:val="21"/>
        </w:rPr>
        <w:t>万元</w:t>
      </w:r>
    </w:p>
    <w:p>
      <w:pPr>
        <w:pStyle w:val="31"/>
        <w:shd w:val="clear" w:color="auto" w:fill="FFFFFF"/>
        <w:spacing w:before="0" w:beforeAutospacing="0" w:after="0" w:afterAutospacing="0" w:line="420" w:lineRule="atLeast"/>
        <w:ind w:firstLine="440"/>
        <w:rPr>
          <w:rFonts w:ascii="宋体" w:hAnsi="宋体" w:eastAsia="宋体"/>
          <w:color w:val="auto"/>
          <w:sz w:val="21"/>
          <w:szCs w:val="21"/>
        </w:rPr>
      </w:pPr>
      <w:r>
        <w:rPr>
          <w:rFonts w:hint="eastAsia" w:ascii="宋体" w:hAnsi="宋体" w:eastAsia="宋体"/>
          <w:color w:val="auto"/>
          <w:sz w:val="21"/>
          <w:szCs w:val="21"/>
        </w:rPr>
        <w:t>4、最高限价：</w:t>
      </w:r>
      <w:r>
        <w:rPr>
          <w:rFonts w:ascii="宋体" w:hAnsi="宋体" w:eastAsia="宋体"/>
          <w:color w:val="auto"/>
          <w:sz w:val="21"/>
          <w:szCs w:val="21"/>
        </w:rPr>
        <w:t>12250.3386</w:t>
      </w:r>
      <w:r>
        <w:rPr>
          <w:rFonts w:hint="eastAsia" w:ascii="宋体" w:hAnsi="宋体" w:eastAsia="宋体"/>
          <w:color w:val="auto"/>
          <w:sz w:val="21"/>
          <w:szCs w:val="21"/>
        </w:rPr>
        <w:t>万元</w:t>
      </w:r>
    </w:p>
    <w:p>
      <w:pPr>
        <w:pStyle w:val="31"/>
        <w:shd w:val="clear" w:color="auto" w:fill="FFFFFF"/>
        <w:spacing w:before="0" w:beforeAutospacing="0" w:after="0" w:afterAutospacing="0" w:line="420" w:lineRule="atLeast"/>
        <w:ind w:firstLine="440"/>
        <w:rPr>
          <w:rFonts w:ascii="宋体" w:hAnsi="宋体" w:eastAsia="宋体"/>
          <w:color w:val="auto"/>
          <w:sz w:val="21"/>
          <w:szCs w:val="21"/>
        </w:rPr>
      </w:pPr>
      <w:r>
        <w:rPr>
          <w:rFonts w:hint="eastAsia" w:ascii="宋体" w:hAnsi="宋体" w:eastAsia="宋体"/>
          <w:color w:val="auto"/>
          <w:sz w:val="21"/>
          <w:szCs w:val="21"/>
        </w:rPr>
        <w:t>5、采购需求：</w:t>
      </w:r>
    </w:p>
    <w:tbl>
      <w:tblPr>
        <w:tblStyle w:val="35"/>
        <w:tblW w:w="0" w:type="auto"/>
        <w:tblInd w:w="108" w:type="dxa"/>
        <w:shd w:val="clear" w:color="auto" w:fill="FFFFFF"/>
        <w:tblLayout w:type="fixed"/>
        <w:tblCellMar>
          <w:top w:w="0" w:type="dxa"/>
          <w:left w:w="0" w:type="dxa"/>
          <w:bottom w:w="0" w:type="dxa"/>
          <w:right w:w="0" w:type="dxa"/>
        </w:tblCellMar>
      </w:tblPr>
      <w:tblGrid>
        <w:gridCol w:w="709"/>
        <w:gridCol w:w="2205"/>
        <w:gridCol w:w="492"/>
        <w:gridCol w:w="566"/>
        <w:gridCol w:w="1131"/>
        <w:gridCol w:w="2582"/>
        <w:gridCol w:w="1104"/>
        <w:gridCol w:w="839"/>
      </w:tblGrid>
      <w:tr>
        <w:tblPrEx>
          <w:shd w:val="clear" w:color="auto" w:fill="FFFFFF"/>
          <w:tblCellMar>
            <w:top w:w="0" w:type="dxa"/>
            <w:left w:w="0" w:type="dxa"/>
            <w:bottom w:w="0" w:type="dxa"/>
            <w:right w:w="0" w:type="dxa"/>
          </w:tblCellMar>
        </w:tblPrEx>
        <w:trPr>
          <w:wBefore w:w="0" w:type="dxa"/>
          <w:wAfter w:w="0" w:type="dxa"/>
          <w:trHeight w:val="1106" w:hRule="atLeast"/>
        </w:trPr>
        <w:tc>
          <w:tcPr>
            <w:tcW w:w="709" w:type="dxa"/>
            <w:tcBorders>
              <w:top w:val="single" w:color="000000" w:sz="8" w:space="0"/>
              <w:left w:val="single" w:color="000000" w:sz="8" w:space="0"/>
              <w:bottom w:val="single" w:color="A6A6A6" w:sz="8"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标项序号</w:t>
            </w:r>
          </w:p>
        </w:tc>
        <w:tc>
          <w:tcPr>
            <w:tcW w:w="2205" w:type="dxa"/>
            <w:tcBorders>
              <w:top w:val="single" w:color="000000" w:sz="8" w:space="0"/>
              <w:left w:val="nil"/>
              <w:bottom w:val="single" w:color="A6A6A6" w:sz="8"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标项名称</w:t>
            </w:r>
          </w:p>
        </w:tc>
        <w:tc>
          <w:tcPr>
            <w:tcW w:w="492" w:type="dxa"/>
            <w:tcBorders>
              <w:top w:val="single" w:color="000000" w:sz="8" w:space="0"/>
              <w:left w:val="nil"/>
              <w:bottom w:val="single" w:color="A6A6A6" w:sz="8"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数量</w:t>
            </w:r>
          </w:p>
        </w:tc>
        <w:tc>
          <w:tcPr>
            <w:tcW w:w="566" w:type="dxa"/>
            <w:tcBorders>
              <w:top w:val="single" w:color="000000" w:sz="8" w:space="0"/>
              <w:left w:val="nil"/>
              <w:bottom w:val="single" w:color="A6A6A6" w:sz="8"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单位</w:t>
            </w:r>
          </w:p>
        </w:tc>
        <w:tc>
          <w:tcPr>
            <w:tcW w:w="1131" w:type="dxa"/>
            <w:tcBorders>
              <w:top w:val="single" w:color="000000" w:sz="8" w:space="0"/>
              <w:left w:val="nil"/>
              <w:bottom w:val="single" w:color="A6A6A6" w:sz="8"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预算金额</w:t>
            </w:r>
            <w:r>
              <w:rPr>
                <w:color w:val="auto"/>
                <w:sz w:val="21"/>
                <w:szCs w:val="21"/>
              </w:rPr>
              <w:t>(</w:t>
            </w:r>
            <w:r>
              <w:rPr>
                <w:rFonts w:hint="eastAsia"/>
                <w:color w:val="auto"/>
                <w:sz w:val="21"/>
                <w:szCs w:val="21"/>
              </w:rPr>
              <w:t>万元</w:t>
            </w:r>
            <w:r>
              <w:rPr>
                <w:color w:val="auto"/>
                <w:sz w:val="21"/>
                <w:szCs w:val="21"/>
              </w:rPr>
              <w:t>)</w:t>
            </w:r>
          </w:p>
        </w:tc>
        <w:tc>
          <w:tcPr>
            <w:tcW w:w="2582" w:type="dxa"/>
            <w:tcBorders>
              <w:top w:val="single" w:color="000000" w:sz="8" w:space="0"/>
              <w:left w:val="nil"/>
              <w:bottom w:val="single" w:color="A6A6A6" w:sz="8"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简要规格描述或标项基本概况介绍</w:t>
            </w:r>
          </w:p>
        </w:tc>
        <w:tc>
          <w:tcPr>
            <w:tcW w:w="1104" w:type="dxa"/>
            <w:tcBorders>
              <w:top w:val="single" w:color="000000" w:sz="8" w:space="0"/>
              <w:left w:val="nil"/>
              <w:bottom w:val="single" w:color="A6A6A6" w:sz="8"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最高限价</w:t>
            </w:r>
          </w:p>
          <w:p>
            <w:pPr>
              <w:pStyle w:val="31"/>
              <w:spacing w:before="0" w:beforeAutospacing="0" w:after="0" w:afterAutospacing="0" w:line="315" w:lineRule="atLeast"/>
              <w:jc w:val="center"/>
              <w:rPr>
                <w:color w:val="auto"/>
                <w:sz w:val="21"/>
                <w:szCs w:val="21"/>
              </w:rPr>
            </w:pPr>
            <w:r>
              <w:rPr>
                <w:rFonts w:hint="eastAsia"/>
                <w:color w:val="auto"/>
                <w:sz w:val="21"/>
                <w:szCs w:val="21"/>
              </w:rPr>
              <w:t>（万元）</w:t>
            </w:r>
          </w:p>
        </w:tc>
        <w:tc>
          <w:tcPr>
            <w:tcW w:w="839" w:type="dxa"/>
            <w:tcBorders>
              <w:top w:val="single" w:color="000000" w:sz="8" w:space="0"/>
              <w:left w:val="nil"/>
              <w:bottom w:val="single" w:color="A6A6A6" w:sz="8" w:space="0"/>
              <w:right w:val="single" w:color="000000"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color w:val="auto"/>
                <w:sz w:val="21"/>
                <w:szCs w:val="21"/>
              </w:rPr>
              <w:t>备注</w:t>
            </w:r>
          </w:p>
        </w:tc>
      </w:tr>
      <w:tr>
        <w:tblPrEx>
          <w:shd w:val="clear" w:color="auto" w:fill="FFFFFF"/>
          <w:tblCellMar>
            <w:top w:w="0" w:type="dxa"/>
            <w:left w:w="0" w:type="dxa"/>
            <w:bottom w:w="0" w:type="dxa"/>
            <w:right w:w="0" w:type="dxa"/>
          </w:tblCellMar>
        </w:tblPrEx>
        <w:trPr>
          <w:wBefore w:w="0" w:type="dxa"/>
          <w:wAfter w:w="0" w:type="dxa"/>
          <w:trHeight w:val="1014" w:hRule="atLeast"/>
        </w:trPr>
        <w:tc>
          <w:tcPr>
            <w:tcW w:w="709" w:type="dxa"/>
            <w:tcBorders>
              <w:top w:val="nil"/>
              <w:left w:val="single" w:color="000000" w:sz="8" w:space="0"/>
              <w:bottom w:val="single" w:color="auto" w:sz="4"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color w:val="auto"/>
                <w:sz w:val="21"/>
                <w:szCs w:val="21"/>
              </w:rPr>
              <w:t>1</w:t>
            </w:r>
          </w:p>
        </w:tc>
        <w:tc>
          <w:tcPr>
            <w:tcW w:w="2205" w:type="dxa"/>
            <w:tcBorders>
              <w:top w:val="nil"/>
              <w:left w:val="nil"/>
              <w:bottom w:val="single" w:color="auto" w:sz="4"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jc w:val="center"/>
              <w:rPr>
                <w:color w:val="auto"/>
                <w:sz w:val="21"/>
                <w:szCs w:val="21"/>
              </w:rPr>
            </w:pPr>
            <w:r>
              <w:rPr>
                <w:rFonts w:hint="eastAsia" w:ascii="宋体" w:hAnsi="宋体" w:eastAsia="宋体" w:cs="宋体"/>
                <w:color w:val="auto"/>
                <w:sz w:val="21"/>
                <w:szCs w:val="21"/>
              </w:rPr>
              <w:t>瑞安市</w:t>
            </w:r>
            <w:r>
              <w:rPr>
                <w:rFonts w:ascii="Arial" w:hAnsi="Arial" w:cs="Arial"/>
                <w:color w:val="auto"/>
                <w:sz w:val="21"/>
                <w:szCs w:val="21"/>
              </w:rPr>
              <w:t>“</w:t>
            </w:r>
            <w:r>
              <w:rPr>
                <w:rFonts w:hint="eastAsia" w:ascii="宋体" w:hAnsi="宋体" w:eastAsia="宋体" w:cs="宋体"/>
                <w:color w:val="auto"/>
                <w:sz w:val="21"/>
                <w:szCs w:val="21"/>
              </w:rPr>
              <w:t>一把扫帚</w:t>
            </w:r>
            <w:r>
              <w:rPr>
                <w:rFonts w:ascii="Arial" w:hAnsi="Arial" w:cs="Arial"/>
                <w:color w:val="auto"/>
                <w:sz w:val="21"/>
                <w:szCs w:val="21"/>
              </w:rPr>
              <w:t>”</w:t>
            </w:r>
            <w:r>
              <w:rPr>
                <w:rFonts w:hint="eastAsia" w:ascii="宋体" w:hAnsi="宋体" w:eastAsia="宋体" w:cs="宋体"/>
                <w:color w:val="auto"/>
                <w:sz w:val="21"/>
                <w:szCs w:val="21"/>
              </w:rPr>
              <w:t>环卫保洁一体化项目（安阳街道）</w:t>
            </w:r>
          </w:p>
        </w:tc>
        <w:tc>
          <w:tcPr>
            <w:tcW w:w="492" w:type="dxa"/>
            <w:tcBorders>
              <w:top w:val="nil"/>
              <w:left w:val="nil"/>
              <w:bottom w:val="single" w:color="auto" w:sz="4"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color w:val="auto"/>
                <w:sz w:val="21"/>
                <w:szCs w:val="21"/>
              </w:rPr>
              <w:t>3</w:t>
            </w:r>
          </w:p>
        </w:tc>
        <w:tc>
          <w:tcPr>
            <w:tcW w:w="566" w:type="dxa"/>
            <w:tcBorders>
              <w:top w:val="nil"/>
              <w:left w:val="nil"/>
              <w:bottom w:val="single" w:color="auto" w:sz="4"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hint="eastAsia" w:ascii="宋体" w:hAnsi="宋体" w:eastAsia="宋体" w:cs="宋体"/>
                <w:color w:val="auto"/>
                <w:sz w:val="21"/>
                <w:szCs w:val="21"/>
              </w:rPr>
              <w:t>年</w:t>
            </w:r>
          </w:p>
        </w:tc>
        <w:tc>
          <w:tcPr>
            <w:tcW w:w="1131" w:type="dxa"/>
            <w:tcBorders>
              <w:top w:val="nil"/>
              <w:left w:val="nil"/>
              <w:bottom w:val="single" w:color="auto" w:sz="4"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jc w:val="center"/>
              <w:rPr>
                <w:rFonts w:hint="eastAsia" w:ascii="宋体" w:hAnsi="宋体" w:eastAsia="宋体" w:cs="宋体"/>
                <w:color w:val="auto"/>
                <w:sz w:val="21"/>
                <w:szCs w:val="21"/>
              </w:rPr>
            </w:pPr>
            <w:r>
              <w:rPr>
                <w:rFonts w:ascii="宋体" w:hAnsi="宋体" w:eastAsia="宋体"/>
                <w:color w:val="auto"/>
                <w:sz w:val="21"/>
                <w:szCs w:val="21"/>
              </w:rPr>
              <w:t>12250.3386</w:t>
            </w:r>
          </w:p>
        </w:tc>
        <w:tc>
          <w:tcPr>
            <w:tcW w:w="2582" w:type="dxa"/>
            <w:tcBorders>
              <w:top w:val="nil"/>
              <w:left w:val="nil"/>
              <w:bottom w:val="single" w:color="auto" w:sz="4"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rPr>
                <w:rFonts w:ascii="宋体" w:hAnsi="宋体" w:eastAsia="宋体" w:cs="宋体"/>
                <w:color w:val="auto"/>
                <w:sz w:val="21"/>
                <w:szCs w:val="21"/>
              </w:rPr>
            </w:pPr>
            <w:r>
              <w:rPr>
                <w:rFonts w:hint="eastAsia" w:ascii="宋体" w:hAnsi="宋体" w:eastAsia="宋体" w:cs="宋体"/>
                <w:color w:val="auto"/>
                <w:sz w:val="21"/>
                <w:szCs w:val="21"/>
              </w:rPr>
              <w:t>瑞安市“一把扫帚”环卫保洁一体化项目（安阳街道），详见招标文件。</w:t>
            </w:r>
          </w:p>
        </w:tc>
        <w:tc>
          <w:tcPr>
            <w:tcW w:w="1104" w:type="dxa"/>
            <w:tcBorders>
              <w:top w:val="nil"/>
              <w:left w:val="nil"/>
              <w:bottom w:val="single" w:color="auto" w:sz="4" w:space="0"/>
              <w:right w:val="single" w:color="A6A6A6"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rFonts w:hint="eastAsia" w:eastAsia="宋体"/>
                <w:color w:val="auto"/>
                <w:sz w:val="21"/>
                <w:szCs w:val="21"/>
              </w:rPr>
            </w:pPr>
            <w:r>
              <w:rPr>
                <w:rFonts w:ascii="宋体" w:hAnsi="宋体" w:eastAsia="宋体"/>
                <w:color w:val="auto"/>
                <w:sz w:val="21"/>
                <w:szCs w:val="21"/>
              </w:rPr>
              <w:t>12250.3386</w:t>
            </w:r>
          </w:p>
        </w:tc>
        <w:tc>
          <w:tcPr>
            <w:tcW w:w="839" w:type="dxa"/>
            <w:tcBorders>
              <w:top w:val="nil"/>
              <w:left w:val="nil"/>
              <w:bottom w:val="single" w:color="auto" w:sz="4" w:space="0"/>
              <w:right w:val="single" w:color="000000" w:sz="8" w:space="0"/>
            </w:tcBorders>
            <w:shd w:val="clear" w:color="auto" w:fill="FFFFFF"/>
            <w:noWrap w:val="0"/>
            <w:tcMar>
              <w:top w:w="0" w:type="dxa"/>
              <w:left w:w="108" w:type="dxa"/>
              <w:bottom w:w="0" w:type="dxa"/>
              <w:right w:w="108" w:type="dxa"/>
            </w:tcMar>
            <w:vAlign w:val="center"/>
          </w:tcPr>
          <w:p>
            <w:pPr>
              <w:pStyle w:val="31"/>
              <w:spacing w:before="0" w:beforeAutospacing="0" w:after="0" w:afterAutospacing="0" w:line="315" w:lineRule="atLeast"/>
              <w:jc w:val="center"/>
              <w:rPr>
                <w:color w:val="auto"/>
                <w:sz w:val="21"/>
                <w:szCs w:val="21"/>
              </w:rPr>
            </w:pPr>
            <w:r>
              <w:rPr>
                <w:rFonts w:ascii="宋体" w:hAnsi="宋体" w:eastAsia="宋体" w:cs="宋体"/>
                <w:color w:val="auto"/>
                <w:sz w:val="21"/>
                <w:szCs w:val="21"/>
              </w:rPr>
              <w:t>3</w:t>
            </w:r>
            <w:r>
              <w:rPr>
                <w:rFonts w:hint="eastAsia" w:ascii="宋体" w:hAnsi="宋体" w:eastAsia="宋体" w:cs="宋体"/>
                <w:color w:val="auto"/>
                <w:sz w:val="21"/>
                <w:szCs w:val="21"/>
              </w:rPr>
              <w:t>年</w:t>
            </w:r>
          </w:p>
        </w:tc>
      </w:tr>
    </w:tbl>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6、合同履行期限：按文件要求。</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7、本项目（否）接受联合体投标。</w:t>
      </w:r>
    </w:p>
    <w:p>
      <w:pPr>
        <w:pStyle w:val="31"/>
        <w:shd w:val="clear" w:color="auto" w:fill="FFFFFF"/>
        <w:spacing w:before="0" w:beforeAutospacing="0" w:after="0" w:afterAutospacing="0" w:line="420" w:lineRule="atLeast"/>
        <w:rPr>
          <w:rFonts w:ascii="宋体" w:hAnsi="宋体" w:eastAsia="宋体"/>
          <w:sz w:val="21"/>
          <w:szCs w:val="21"/>
        </w:rPr>
      </w:pPr>
      <w:r>
        <w:rPr>
          <w:rFonts w:hint="eastAsia" w:ascii="宋体" w:hAnsi="宋体" w:eastAsia="宋体"/>
          <w:b/>
          <w:bCs/>
          <w:sz w:val="21"/>
          <w:szCs w:val="21"/>
        </w:rPr>
        <w:t>二、申请人的资格要求</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1、满足《中华人民共和国政府采购法》第二十二条规定；未被“信用中国”（www.creditchina.gov.cn)、中国政府采购网（www.ccgp.gov.cn）列入失信被执行人、重大税收违法案件当事人名单、政府采购严重违法失信行为记录名单；</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2、落实政府采购政策需满足的资格要求：对符合财政扶持政策的小微企业（或监狱企业、或残疾人福利性单位）给予评标价格6%的折扣。供应商企业属于以上多种性质的，不重复享受扶持政策；</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3、本项目的特定资格要求：</w:t>
      </w:r>
      <w:r>
        <w:rPr>
          <w:rFonts w:hint="eastAsia" w:ascii="宋体" w:hAnsi="宋体" w:eastAsia="宋体"/>
          <w:b/>
          <w:bCs/>
          <w:sz w:val="21"/>
          <w:szCs w:val="21"/>
        </w:rPr>
        <w:t>无</w:t>
      </w:r>
    </w:p>
    <w:p>
      <w:pPr>
        <w:pStyle w:val="31"/>
        <w:shd w:val="clear" w:color="auto" w:fill="FFFFFF"/>
        <w:spacing w:before="0" w:beforeAutospacing="0" w:after="0" w:afterAutospacing="0" w:line="420" w:lineRule="atLeast"/>
        <w:rPr>
          <w:rFonts w:ascii="宋体" w:hAnsi="宋体" w:eastAsia="宋体"/>
          <w:sz w:val="21"/>
          <w:szCs w:val="21"/>
        </w:rPr>
      </w:pPr>
      <w:r>
        <w:rPr>
          <w:rFonts w:hint="eastAsia" w:ascii="宋体" w:hAnsi="宋体" w:eastAsia="宋体"/>
          <w:b/>
          <w:bCs/>
          <w:sz w:val="21"/>
          <w:szCs w:val="21"/>
        </w:rPr>
        <w:t>三、获取招标文件</w:t>
      </w:r>
    </w:p>
    <w:p>
      <w:pPr>
        <w:pStyle w:val="31"/>
        <w:shd w:val="clear" w:color="auto" w:fill="FFFFFF"/>
        <w:spacing w:before="0" w:beforeAutospacing="0" w:after="0" w:afterAutospacing="0" w:line="420" w:lineRule="atLeast"/>
        <w:ind w:firstLine="440"/>
        <w:rPr>
          <w:rFonts w:hint="eastAsia" w:ascii="宋体" w:hAnsi="宋体" w:eastAsia="宋体"/>
          <w:sz w:val="21"/>
          <w:szCs w:val="21"/>
        </w:rPr>
      </w:pPr>
      <w:r>
        <w:rPr>
          <w:rFonts w:hint="eastAsia" w:ascii="宋体" w:hAnsi="宋体" w:eastAsia="宋体"/>
          <w:sz w:val="21"/>
          <w:szCs w:val="21"/>
        </w:rPr>
        <w:t>时间：/至202</w:t>
      </w:r>
      <w:r>
        <w:rPr>
          <w:rFonts w:ascii="宋体" w:hAnsi="宋体" w:eastAsia="宋体"/>
          <w:sz w:val="21"/>
          <w:szCs w:val="21"/>
        </w:rPr>
        <w:t>1</w:t>
      </w:r>
      <w:r>
        <w:rPr>
          <w:rFonts w:hint="eastAsia" w:ascii="宋体" w:hAnsi="宋体" w:eastAsia="宋体"/>
          <w:sz w:val="21"/>
          <w:szCs w:val="21"/>
        </w:rPr>
        <w:t>年</w:t>
      </w:r>
      <w:r>
        <w:rPr>
          <w:rFonts w:ascii="宋体" w:hAnsi="宋体" w:eastAsia="宋体"/>
          <w:sz w:val="21"/>
          <w:szCs w:val="21"/>
        </w:rPr>
        <w:t>5</w:t>
      </w:r>
      <w:r>
        <w:rPr>
          <w:rFonts w:hint="eastAsia" w:ascii="宋体" w:hAnsi="宋体" w:eastAsia="宋体"/>
          <w:sz w:val="21"/>
          <w:szCs w:val="21"/>
        </w:rPr>
        <w:t>月</w:t>
      </w:r>
      <w:r>
        <w:rPr>
          <w:rFonts w:ascii="宋体" w:hAnsi="宋体" w:eastAsia="宋体"/>
          <w:sz w:val="21"/>
          <w:szCs w:val="21"/>
        </w:rPr>
        <w:t>10</w:t>
      </w:r>
      <w:r>
        <w:rPr>
          <w:rFonts w:hint="eastAsia" w:ascii="宋体" w:hAnsi="宋体" w:eastAsia="宋体"/>
          <w:sz w:val="21"/>
          <w:szCs w:val="21"/>
        </w:rPr>
        <w:t>日 ，每天上午00:00至12:00 ，下午12:00至23:59（北京时间，线上获取法定节假日均可，线下获取文件法定节假日除外）。</w:t>
      </w:r>
    </w:p>
    <w:p>
      <w:pPr>
        <w:pStyle w:val="31"/>
        <w:shd w:val="clear" w:color="auto" w:fill="FFFFFF"/>
        <w:spacing w:before="0" w:beforeAutospacing="0" w:after="0" w:afterAutospacing="0" w:line="420" w:lineRule="atLeast"/>
        <w:ind w:firstLine="440"/>
        <w:rPr>
          <w:rFonts w:hint="eastAsia" w:ascii="宋体" w:hAnsi="宋体" w:eastAsia="宋体"/>
          <w:sz w:val="21"/>
          <w:szCs w:val="21"/>
        </w:rPr>
      </w:pPr>
      <w:r>
        <w:rPr>
          <w:rFonts w:hint="eastAsia" w:ascii="宋体" w:hAnsi="宋体" w:eastAsia="宋体"/>
          <w:sz w:val="21"/>
          <w:szCs w:val="21"/>
        </w:rPr>
        <w:t>地点：政采云平台（http://zfcg.czt.zj.gov.cn）；</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方式：潜在供应商登陆政采云平台，在线申请获取招标文件（进入“项目采购”应用，在获取招标文件菜单中选择项目，申请获取招标文件，本项目招标文件不收取工本费；仅需浏览招标文件的供应商可点击“游客，浏览招标文件”直接下载招标文件浏览）；</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售价：0元（免费）</w:t>
      </w:r>
    </w:p>
    <w:p>
      <w:pPr>
        <w:pStyle w:val="31"/>
        <w:shd w:val="clear" w:color="auto" w:fill="FFFFFF"/>
        <w:spacing w:before="0" w:beforeAutospacing="0" w:after="0" w:afterAutospacing="0" w:line="420" w:lineRule="atLeast"/>
        <w:rPr>
          <w:rFonts w:ascii="宋体" w:hAnsi="宋体" w:eastAsia="宋体"/>
          <w:sz w:val="21"/>
          <w:szCs w:val="21"/>
        </w:rPr>
      </w:pPr>
      <w:r>
        <w:rPr>
          <w:rFonts w:hint="eastAsia" w:ascii="宋体" w:hAnsi="宋体" w:eastAsia="宋体"/>
          <w:b/>
          <w:bCs/>
          <w:sz w:val="21"/>
          <w:szCs w:val="21"/>
        </w:rPr>
        <w:t>四、提交投标文件截止时间、开标时间和地点</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提交投标截止时间：202</w:t>
      </w:r>
      <w:r>
        <w:rPr>
          <w:rFonts w:ascii="宋体" w:hAnsi="宋体" w:eastAsia="宋体"/>
          <w:sz w:val="21"/>
          <w:szCs w:val="21"/>
        </w:rPr>
        <w:t>1</w:t>
      </w:r>
      <w:r>
        <w:rPr>
          <w:rFonts w:hint="eastAsia" w:ascii="宋体" w:hAnsi="宋体" w:eastAsia="宋体"/>
          <w:sz w:val="21"/>
          <w:szCs w:val="21"/>
        </w:rPr>
        <w:t>年</w:t>
      </w:r>
      <w:r>
        <w:rPr>
          <w:rFonts w:ascii="宋体" w:hAnsi="宋体" w:eastAsia="宋体"/>
          <w:sz w:val="21"/>
          <w:szCs w:val="21"/>
        </w:rPr>
        <w:t xml:space="preserve"> 5</w:t>
      </w:r>
      <w:r>
        <w:rPr>
          <w:rFonts w:hint="eastAsia" w:ascii="宋体" w:hAnsi="宋体" w:eastAsia="宋体"/>
          <w:sz w:val="21"/>
          <w:szCs w:val="21"/>
        </w:rPr>
        <w:t>月</w:t>
      </w:r>
      <w:r>
        <w:rPr>
          <w:rFonts w:ascii="宋体" w:hAnsi="宋体" w:eastAsia="宋体"/>
          <w:sz w:val="21"/>
          <w:szCs w:val="21"/>
        </w:rPr>
        <w:t>10</w:t>
      </w:r>
      <w:r>
        <w:rPr>
          <w:rFonts w:hint="eastAsia" w:ascii="宋体" w:hAnsi="宋体" w:eastAsia="宋体"/>
          <w:sz w:val="21"/>
          <w:szCs w:val="21"/>
        </w:rPr>
        <w:t xml:space="preserve">日 </w:t>
      </w:r>
      <w:r>
        <w:rPr>
          <w:rFonts w:ascii="宋体" w:hAnsi="宋体" w:eastAsia="宋体"/>
          <w:sz w:val="21"/>
          <w:szCs w:val="21"/>
        </w:rPr>
        <w:t xml:space="preserve"> </w:t>
      </w:r>
      <w:r>
        <w:rPr>
          <w:rFonts w:hint="eastAsia" w:ascii="宋体" w:hAnsi="宋体" w:eastAsia="宋体"/>
          <w:sz w:val="21"/>
          <w:szCs w:val="21"/>
        </w:rPr>
        <w:t>上午</w:t>
      </w:r>
      <w:r>
        <w:rPr>
          <w:rFonts w:ascii="宋体" w:hAnsi="宋体" w:eastAsia="宋体"/>
          <w:sz w:val="21"/>
          <w:szCs w:val="21"/>
        </w:rPr>
        <w:t>9</w:t>
      </w:r>
      <w:r>
        <w:rPr>
          <w:rFonts w:hint="eastAsia" w:ascii="宋体" w:hAnsi="宋体" w:eastAsia="宋体"/>
          <w:sz w:val="21"/>
          <w:szCs w:val="21"/>
        </w:rPr>
        <w:t>：</w:t>
      </w:r>
      <w:r>
        <w:rPr>
          <w:rFonts w:ascii="宋体" w:hAnsi="宋体" w:eastAsia="宋体"/>
          <w:sz w:val="21"/>
          <w:szCs w:val="21"/>
        </w:rPr>
        <w:t>0</w:t>
      </w:r>
      <w:r>
        <w:rPr>
          <w:rFonts w:hint="eastAsia" w:ascii="宋体" w:hAnsi="宋体" w:eastAsia="宋体"/>
          <w:sz w:val="21"/>
          <w:szCs w:val="21"/>
        </w:rPr>
        <w:t>0止（北京时间）</w:t>
      </w:r>
    </w:p>
    <w:p>
      <w:pPr>
        <w:pStyle w:val="31"/>
        <w:shd w:val="clear" w:color="auto" w:fill="FFFFFF"/>
        <w:spacing w:before="0" w:beforeAutospacing="0" w:after="0" w:afterAutospacing="0" w:line="420" w:lineRule="atLeast"/>
        <w:ind w:firstLine="440"/>
        <w:rPr>
          <w:rFonts w:ascii="宋体" w:hAnsi="宋体" w:eastAsia="宋体"/>
          <w:b/>
          <w:bCs/>
          <w:sz w:val="21"/>
          <w:szCs w:val="21"/>
        </w:rPr>
      </w:pPr>
      <w:r>
        <w:rPr>
          <w:rFonts w:hint="eastAsia" w:ascii="宋体" w:hAnsi="宋体" w:eastAsia="宋体" w:cs="宋体"/>
          <w:sz w:val="22"/>
          <w:szCs w:val="22"/>
        </w:rPr>
        <w:t>投标地点（网址）：瑞安市公共资源交易中心开标室。（政府采购云平台在线投标，投标供应商无须前往评审现场）</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开标时间：</w:t>
      </w:r>
      <w:r>
        <w:rPr>
          <w:rFonts w:ascii="宋体" w:hAnsi="宋体" w:eastAsia="宋体"/>
          <w:sz w:val="21"/>
          <w:szCs w:val="21"/>
        </w:rPr>
        <w:t xml:space="preserve">2021年 5月10日  </w:t>
      </w:r>
      <w:r>
        <w:rPr>
          <w:rFonts w:hint="eastAsia" w:ascii="宋体" w:hAnsi="宋体" w:eastAsia="宋体"/>
          <w:sz w:val="21"/>
          <w:szCs w:val="21"/>
        </w:rPr>
        <w:t>上午</w:t>
      </w:r>
      <w:r>
        <w:rPr>
          <w:rFonts w:ascii="宋体" w:hAnsi="宋体" w:eastAsia="宋体"/>
          <w:sz w:val="21"/>
          <w:szCs w:val="21"/>
        </w:rPr>
        <w:t>9</w:t>
      </w:r>
      <w:r>
        <w:rPr>
          <w:rFonts w:hint="eastAsia" w:ascii="宋体" w:hAnsi="宋体" w:eastAsia="宋体"/>
          <w:sz w:val="21"/>
          <w:szCs w:val="21"/>
        </w:rPr>
        <w:t>：</w:t>
      </w:r>
      <w:r>
        <w:rPr>
          <w:rFonts w:ascii="宋体" w:hAnsi="宋体" w:eastAsia="宋体"/>
          <w:sz w:val="21"/>
          <w:szCs w:val="21"/>
        </w:rPr>
        <w:t>0</w:t>
      </w:r>
      <w:r>
        <w:rPr>
          <w:rFonts w:hint="eastAsia" w:ascii="宋体" w:hAnsi="宋体" w:eastAsia="宋体"/>
          <w:sz w:val="21"/>
          <w:szCs w:val="21"/>
        </w:rPr>
        <w:t>0</w:t>
      </w:r>
      <w:r>
        <w:rPr>
          <w:rFonts w:ascii="宋体" w:hAnsi="宋体" w:eastAsia="宋体"/>
          <w:sz w:val="21"/>
          <w:szCs w:val="21"/>
        </w:rPr>
        <w:t xml:space="preserve"> 正（北京时间）</w:t>
      </w:r>
    </w:p>
    <w:p>
      <w:pPr>
        <w:pStyle w:val="31"/>
        <w:shd w:val="clear" w:color="auto" w:fill="FFFFFF"/>
        <w:spacing w:before="0" w:beforeAutospacing="0" w:after="0" w:afterAutospacing="0" w:line="420" w:lineRule="atLeast"/>
        <w:ind w:firstLine="440"/>
        <w:rPr>
          <w:rFonts w:ascii="宋体" w:hAnsi="宋体" w:eastAsia="宋体" w:cs="宋体"/>
          <w:sz w:val="22"/>
          <w:szCs w:val="22"/>
        </w:rPr>
      </w:pPr>
      <w:r>
        <w:rPr>
          <w:rFonts w:hint="eastAsia" w:ascii="宋体" w:hAnsi="宋体" w:eastAsia="宋体" w:cs="宋体"/>
          <w:sz w:val="22"/>
          <w:szCs w:val="22"/>
        </w:rPr>
        <w:t>开标地点（网址）：瑞安市公共资源交易中心开标室。（政府采购云平台在线投标，投标供应商无须前往评审现场）</w:t>
      </w:r>
    </w:p>
    <w:p>
      <w:pPr>
        <w:pStyle w:val="31"/>
        <w:shd w:val="clear" w:color="auto" w:fill="FFFFFF"/>
        <w:spacing w:before="0" w:beforeAutospacing="0" w:after="0" w:afterAutospacing="0" w:line="420" w:lineRule="atLeast"/>
        <w:rPr>
          <w:rFonts w:ascii="宋体" w:hAnsi="宋体" w:eastAsia="宋体"/>
          <w:sz w:val="21"/>
          <w:szCs w:val="21"/>
        </w:rPr>
      </w:pPr>
      <w:r>
        <w:rPr>
          <w:rFonts w:hint="eastAsia" w:ascii="宋体" w:hAnsi="宋体" w:eastAsia="宋体"/>
          <w:b/>
          <w:bCs/>
          <w:sz w:val="21"/>
          <w:szCs w:val="21"/>
        </w:rPr>
        <w:t>五、公告期限</w:t>
      </w:r>
      <w:r>
        <w:rPr>
          <w:rFonts w:hint="eastAsia" w:ascii="宋体" w:hAnsi="宋体" w:eastAsia="宋体"/>
          <w:sz w:val="21"/>
          <w:szCs w:val="21"/>
        </w:rPr>
        <w:t>:自本公告发布之日起5个工作日</w:t>
      </w:r>
    </w:p>
    <w:p>
      <w:pPr>
        <w:pStyle w:val="31"/>
        <w:shd w:val="clear" w:color="auto" w:fill="FFFFFF"/>
        <w:spacing w:before="0" w:beforeAutospacing="0" w:after="0" w:afterAutospacing="0" w:line="420" w:lineRule="atLeast"/>
        <w:rPr>
          <w:rFonts w:ascii="宋体" w:hAnsi="宋体" w:eastAsia="宋体"/>
          <w:b/>
          <w:bCs/>
          <w:sz w:val="21"/>
          <w:szCs w:val="21"/>
        </w:rPr>
      </w:pPr>
      <w:r>
        <w:rPr>
          <w:rFonts w:hint="eastAsia" w:ascii="宋体" w:hAnsi="宋体" w:eastAsia="宋体"/>
          <w:b/>
          <w:bCs/>
          <w:sz w:val="21"/>
          <w:szCs w:val="21"/>
        </w:rPr>
        <w:t>六、其他补充事宜</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1.供应商认为采购文件使自己的权益受到损害的，可以自获取采购文件之日或者采购文件公告期限届满之日（公告期限届满后获取采购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2</w:t>
      </w:r>
      <w:r>
        <w:rPr>
          <w:rFonts w:ascii="宋体" w:hAnsi="宋体" w:eastAsia="宋体"/>
          <w:sz w:val="21"/>
          <w:szCs w:val="21"/>
        </w:rPr>
        <w:t>.</w:t>
      </w:r>
      <w:r>
        <w:rPr>
          <w:rFonts w:hint="eastAsia"/>
        </w:rPr>
        <w:t xml:space="preserve"> </w:t>
      </w:r>
      <w:r>
        <w:rPr>
          <w:rFonts w:hint="eastAsia" w:ascii="宋体" w:hAnsi="宋体" w:eastAsia="宋体"/>
          <w:sz w:val="21"/>
          <w:szCs w:val="21"/>
        </w:rPr>
        <w:t>其他事项：</w:t>
      </w:r>
      <w:r>
        <w:rPr>
          <w:rFonts w:ascii="宋体" w:hAnsi="宋体" w:eastAsia="宋体"/>
          <w:sz w:val="21"/>
          <w:szCs w:val="21"/>
        </w:rPr>
        <w:t xml:space="preserve"> </w:t>
      </w:r>
      <w:r>
        <w:rPr>
          <w:rFonts w:hint="eastAsia" w:ascii="宋体" w:hAnsi="宋体" w:eastAsia="宋体"/>
          <w:sz w:val="21"/>
          <w:szCs w:val="21"/>
        </w:rPr>
        <w:t>1）</w:t>
      </w:r>
      <w:r>
        <w:rPr>
          <w:rFonts w:ascii="宋体" w:hAnsi="宋体" w:eastAsia="宋体"/>
          <w:sz w:val="21"/>
          <w:szCs w:val="21"/>
        </w:rPr>
        <w:t>本项目通过“政府采购云平台（www.zcygov.cn）”实行在线投标响应（电子投标），供应商应先安装“政采云电子交易客户端”，并按照本招标文件和“政府采购云平台”的要求，通过“政采云电子交易客户端”编制并加密投标文件。供应商未按规定加密的投标文件，“政府采购云平台”将予以拒收。</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hint="eastAsia" w:ascii="宋体" w:hAnsi="宋体" w:eastAsia="宋体"/>
          <w:sz w:val="21"/>
          <w:szCs w:val="21"/>
        </w:rPr>
        <w:t>“政采云电子交易客户端”请自行前往“浙江政府采购网</w:t>
      </w:r>
      <w:r>
        <w:rPr>
          <w:rFonts w:ascii="宋体" w:hAnsi="宋体" w:eastAsia="宋体"/>
          <w:sz w:val="21"/>
          <w:szCs w:val="21"/>
        </w:rPr>
        <w:t>-下载专区-电子交易客户端”进行下载；电子投标具体操作流程详见《供应商-政府采购项目电子交易操作指南》（https://help.zcygov.cn/web/site_2/2018/12-28/2573.html）；通过“政府采购云平台”参与在线投标时如遇平台技术问题详询400-881-7190</w:t>
      </w:r>
      <w:r>
        <w:rPr>
          <w:rFonts w:hint="eastAsia" w:ascii="宋体" w:hAnsi="宋体" w:eastAsia="宋体"/>
          <w:sz w:val="21"/>
          <w:szCs w:val="21"/>
        </w:rPr>
        <w:t>；CA问题联系电话（人工）：汇信CA 400-888-4636；天谷CA 400-087-8198</w:t>
      </w:r>
      <w:r>
        <w:rPr>
          <w:rFonts w:ascii="宋体" w:hAnsi="宋体" w:eastAsia="宋体"/>
          <w:sz w:val="21"/>
          <w:szCs w:val="21"/>
        </w:rPr>
        <w:t>。</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ascii="宋体" w:hAnsi="宋体" w:eastAsia="宋体"/>
          <w:sz w:val="21"/>
          <w:szCs w:val="21"/>
        </w:rPr>
        <w:t>2</w:t>
      </w:r>
      <w:r>
        <w:rPr>
          <w:rFonts w:hint="eastAsia" w:ascii="宋体" w:hAnsi="宋体" w:eastAsia="宋体"/>
          <w:sz w:val="21"/>
          <w:szCs w:val="21"/>
        </w:rPr>
        <w:t>）</w:t>
      </w:r>
      <w:r>
        <w:rPr>
          <w:rFonts w:ascii="宋体" w:hAnsi="宋体" w:eastAsia="宋体"/>
          <w:sz w:val="21"/>
          <w:szCs w:val="21"/>
        </w:rPr>
        <w:t>为确保网上操作合法、有效和安全，投标供应商应当在投标截止时间前完成在“政府采购云平台”的身份认证，确保在电子投标过程中能够对相关数据电文进行加密和使用CA电子签章。使用“政采云电子交易客户端”需要提前申领CA数字证书，申领流程请自行前往“浙江政府采购网-下载专区-电子交易客户端-CA驱动和申领流程”进行查阅；</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ascii="宋体" w:hAnsi="宋体" w:eastAsia="宋体"/>
          <w:sz w:val="21"/>
          <w:szCs w:val="21"/>
        </w:rPr>
        <w:t>3</w:t>
      </w:r>
      <w:r>
        <w:rPr>
          <w:rFonts w:hint="eastAsia" w:ascii="宋体" w:hAnsi="宋体" w:eastAsia="宋体"/>
          <w:sz w:val="21"/>
          <w:szCs w:val="21"/>
        </w:rPr>
        <w:t>）</w:t>
      </w:r>
      <w:r>
        <w:rPr>
          <w:rFonts w:ascii="宋体" w:hAnsi="宋体" w:eastAsia="宋体"/>
          <w:sz w:val="21"/>
          <w:szCs w:val="21"/>
        </w:rPr>
        <w:t>投标供应商应当在投标截止时间前，将生成的“电子加密投标文件”上传递交至“政府采购云平台”。投标截止时间以后上传递交的投标文件将被“政府采购云平台”拒收。</w:t>
      </w:r>
    </w:p>
    <w:p>
      <w:pPr>
        <w:pStyle w:val="31"/>
        <w:shd w:val="clear" w:color="auto" w:fill="FFFFFF"/>
        <w:spacing w:before="0" w:beforeAutospacing="0" w:after="0" w:afterAutospacing="0" w:line="420" w:lineRule="atLeast"/>
        <w:ind w:firstLine="440"/>
        <w:rPr>
          <w:rFonts w:ascii="宋体" w:hAnsi="宋体" w:eastAsia="宋体"/>
          <w:sz w:val="21"/>
          <w:szCs w:val="21"/>
        </w:rPr>
      </w:pPr>
      <w:r>
        <w:rPr>
          <w:rFonts w:ascii="宋体" w:hAnsi="宋体" w:eastAsia="宋体"/>
          <w:sz w:val="21"/>
          <w:szCs w:val="21"/>
        </w:rPr>
        <w:t>4</w:t>
      </w:r>
      <w:r>
        <w:rPr>
          <w:rFonts w:hint="eastAsia" w:ascii="宋体" w:hAnsi="宋体" w:eastAsia="宋体"/>
          <w:sz w:val="21"/>
          <w:szCs w:val="21"/>
        </w:rPr>
        <w:t>）</w:t>
      </w:r>
      <w:r>
        <w:rPr>
          <w:rFonts w:ascii="宋体" w:hAnsi="宋体" w:eastAsia="宋体"/>
          <w:sz w:val="21"/>
          <w:szCs w:val="21"/>
        </w:rPr>
        <w:t>通过“政府采购云平台”上传递交的“电子加密投标文件”无法按时解密的，其投标文件按拒收处理</w:t>
      </w:r>
      <w:r>
        <w:rPr>
          <w:rFonts w:hint="eastAsia" w:ascii="宋体" w:hAnsi="宋体" w:eastAsia="宋体"/>
          <w:sz w:val="21"/>
          <w:szCs w:val="21"/>
        </w:rPr>
        <w:t>。</w:t>
      </w:r>
    </w:p>
    <w:p>
      <w:pPr>
        <w:pStyle w:val="31"/>
        <w:shd w:val="clear" w:color="auto" w:fill="FFFFFF"/>
        <w:spacing w:before="0" w:beforeAutospacing="0" w:after="0" w:afterAutospacing="0" w:line="420" w:lineRule="atLeast"/>
        <w:rPr>
          <w:rFonts w:hint="eastAsia" w:ascii="宋体" w:hAnsi="宋体" w:eastAsia="宋体"/>
          <w:b/>
          <w:bCs/>
          <w:sz w:val="21"/>
          <w:szCs w:val="21"/>
        </w:rPr>
      </w:pPr>
      <w:r>
        <w:rPr>
          <w:rFonts w:hint="eastAsia" w:ascii="宋体" w:hAnsi="宋体" w:eastAsia="宋体"/>
          <w:b/>
          <w:bCs/>
          <w:sz w:val="21"/>
          <w:szCs w:val="21"/>
        </w:rPr>
        <w:t>七、对本次采购提出询问、质疑、投诉，请按以下方式联系：</w:t>
      </w:r>
    </w:p>
    <w:p>
      <w:pPr>
        <w:snapToGrid w:val="0"/>
        <w:spacing w:line="460" w:lineRule="exact"/>
        <w:ind w:left="430" w:leftChars="205"/>
        <w:rPr>
          <w:rFonts w:ascii="宋体" w:hAnsi="宋体"/>
          <w:color w:val="000000"/>
          <w:szCs w:val="21"/>
        </w:rPr>
      </w:pPr>
      <w:r>
        <w:rPr>
          <w:rFonts w:hint="eastAsia" w:ascii="宋体" w:hAnsi="宋体"/>
          <w:color w:val="000000"/>
          <w:szCs w:val="21"/>
        </w:rPr>
        <w:t xml:space="preserve">1.采购人信息： </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名称：瑞安市综合行政执法局、瑞安市安阳街道办事处</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地址：</w:t>
      </w:r>
      <w:r>
        <w:rPr>
          <w:rFonts w:hint="eastAsia" w:ascii="宋体" w:hAnsi="宋体" w:cs="Arial"/>
        </w:rPr>
        <w:t>瑞安市安阳路772号、瑞安市商城大道150</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联系传真：</w:t>
      </w:r>
      <w:r>
        <w:rPr>
          <w:rFonts w:ascii="宋体" w:hAnsi="宋体" w:cs="Arial"/>
          <w:color w:val="000000"/>
          <w:szCs w:val="21"/>
        </w:rPr>
        <w:t>0577-65661672</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项目联系人（询问）：林先生、黄先生</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项目联系方式（询问）：</w:t>
      </w:r>
      <w:r>
        <w:rPr>
          <w:rFonts w:ascii="宋体" w:hAnsi="宋体" w:cs="Arial"/>
          <w:color w:val="000000"/>
          <w:szCs w:val="21"/>
        </w:rPr>
        <w:t>0577-65661672</w:t>
      </w:r>
      <w:r>
        <w:rPr>
          <w:rFonts w:hint="eastAsia" w:ascii="宋体" w:hAnsi="宋体" w:cs="Arial"/>
          <w:color w:val="000000"/>
          <w:szCs w:val="21"/>
        </w:rPr>
        <w:t>、</w:t>
      </w:r>
      <w:r>
        <w:rPr>
          <w:rFonts w:ascii="宋体" w:hAnsi="宋体" w:cs="Arial"/>
          <w:color w:val="000000"/>
          <w:szCs w:val="21"/>
        </w:rPr>
        <w:t>0577</w:t>
      </w:r>
      <w:r>
        <w:rPr>
          <w:rFonts w:hint="eastAsia" w:ascii="宋体" w:hAnsi="宋体" w:cs="Arial"/>
          <w:color w:val="000000"/>
          <w:szCs w:val="21"/>
        </w:rPr>
        <w:t>-</w:t>
      </w:r>
      <w:r>
        <w:rPr>
          <w:rFonts w:ascii="宋体" w:hAnsi="宋体" w:cs="Arial"/>
          <w:color w:val="000000"/>
          <w:szCs w:val="21"/>
        </w:rPr>
        <w:t>65877009</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 xml:space="preserve">质疑联系人： /   </w:t>
      </w:r>
    </w:p>
    <w:p>
      <w:pPr>
        <w:snapToGrid w:val="0"/>
        <w:spacing w:line="460" w:lineRule="exact"/>
        <w:ind w:left="430" w:leftChars="205"/>
        <w:rPr>
          <w:rFonts w:ascii="宋体" w:hAnsi="宋体"/>
          <w:color w:val="000000"/>
          <w:szCs w:val="21"/>
        </w:rPr>
      </w:pPr>
      <w:r>
        <w:rPr>
          <w:rFonts w:hint="eastAsia" w:ascii="宋体" w:hAnsi="宋体"/>
          <w:color w:val="000000"/>
          <w:szCs w:val="21"/>
        </w:rPr>
        <w:t>质疑联系方式： /</w:t>
      </w:r>
    </w:p>
    <w:p>
      <w:pPr>
        <w:snapToGrid w:val="0"/>
        <w:spacing w:line="460" w:lineRule="exact"/>
        <w:ind w:left="430" w:leftChars="205"/>
        <w:rPr>
          <w:rFonts w:hint="eastAsia" w:ascii="宋体" w:hAnsi="宋体"/>
          <w:color w:val="000000"/>
          <w:szCs w:val="21"/>
        </w:rPr>
      </w:pPr>
      <w:r>
        <w:rPr>
          <w:rFonts w:ascii="宋体" w:hAnsi="宋体"/>
          <w:color w:val="000000"/>
          <w:szCs w:val="21"/>
        </w:rPr>
        <w:t>2.代理机构名称：杭州华旗招标代理有限公司</w:t>
      </w:r>
    </w:p>
    <w:p>
      <w:pPr>
        <w:snapToGrid w:val="0"/>
        <w:spacing w:line="460" w:lineRule="exact"/>
        <w:ind w:left="430" w:leftChars="205"/>
        <w:rPr>
          <w:rFonts w:ascii="宋体" w:hAnsi="宋体"/>
          <w:color w:val="000000"/>
          <w:szCs w:val="21"/>
        </w:rPr>
      </w:pPr>
      <w:r>
        <w:rPr>
          <w:rFonts w:hint="eastAsia" w:ascii="宋体" w:hAnsi="宋体"/>
          <w:color w:val="000000"/>
          <w:szCs w:val="21"/>
        </w:rPr>
        <w:t>地址：温州市牛山北路牛山商务大厦</w:t>
      </w:r>
      <w:r>
        <w:rPr>
          <w:rFonts w:ascii="宋体" w:hAnsi="宋体"/>
          <w:color w:val="000000"/>
          <w:szCs w:val="21"/>
        </w:rPr>
        <w:t>9楼</w:t>
      </w:r>
    </w:p>
    <w:p>
      <w:pPr>
        <w:snapToGrid w:val="0"/>
        <w:spacing w:line="460" w:lineRule="exact"/>
        <w:ind w:left="430" w:leftChars="205"/>
        <w:rPr>
          <w:rFonts w:ascii="宋体" w:hAnsi="宋体"/>
          <w:color w:val="000000"/>
          <w:szCs w:val="21"/>
        </w:rPr>
      </w:pPr>
      <w:r>
        <w:rPr>
          <w:rFonts w:hint="eastAsia" w:ascii="宋体" w:hAnsi="宋体"/>
          <w:color w:val="000000"/>
          <w:szCs w:val="21"/>
        </w:rPr>
        <w:t>联系人：王建涛</w:t>
      </w:r>
    </w:p>
    <w:p>
      <w:pPr>
        <w:snapToGrid w:val="0"/>
        <w:spacing w:line="460" w:lineRule="exact"/>
        <w:ind w:left="430" w:leftChars="205"/>
        <w:rPr>
          <w:rFonts w:ascii="宋体" w:hAnsi="宋体"/>
          <w:color w:val="000000"/>
          <w:szCs w:val="21"/>
        </w:rPr>
      </w:pPr>
      <w:r>
        <w:rPr>
          <w:rFonts w:hint="eastAsia" w:ascii="宋体" w:hAnsi="宋体"/>
          <w:color w:val="000000"/>
          <w:szCs w:val="21"/>
        </w:rPr>
        <w:t>联系电话：</w:t>
      </w:r>
      <w:r>
        <w:rPr>
          <w:rFonts w:ascii="宋体" w:hAnsi="宋体"/>
          <w:color w:val="000000"/>
          <w:szCs w:val="21"/>
        </w:rPr>
        <w:t>13738179364</w:t>
      </w:r>
    </w:p>
    <w:p>
      <w:pPr>
        <w:snapToGrid w:val="0"/>
        <w:spacing w:line="460" w:lineRule="exact"/>
        <w:ind w:left="430" w:leftChars="205"/>
        <w:rPr>
          <w:rFonts w:ascii="宋体" w:hAnsi="宋体"/>
          <w:color w:val="000000"/>
          <w:szCs w:val="21"/>
        </w:rPr>
      </w:pPr>
      <w:r>
        <w:rPr>
          <w:rFonts w:hint="eastAsia" w:ascii="宋体" w:hAnsi="宋体"/>
          <w:color w:val="000000"/>
          <w:szCs w:val="21"/>
        </w:rPr>
        <w:t>联系传真：</w:t>
      </w:r>
      <w:r>
        <w:rPr>
          <w:rFonts w:ascii="宋体" w:hAnsi="宋体"/>
          <w:color w:val="000000"/>
          <w:szCs w:val="21"/>
        </w:rPr>
        <w:t>0577-88113837</w:t>
      </w:r>
    </w:p>
    <w:p>
      <w:pPr>
        <w:snapToGrid w:val="0"/>
        <w:spacing w:line="460" w:lineRule="exact"/>
        <w:ind w:left="430" w:leftChars="205"/>
        <w:rPr>
          <w:rFonts w:ascii="宋体" w:hAnsi="宋体"/>
          <w:color w:val="000000"/>
          <w:szCs w:val="21"/>
        </w:rPr>
      </w:pPr>
      <w:r>
        <w:rPr>
          <w:sz w:val="22"/>
          <w:szCs w:val="22"/>
        </w:rPr>
        <w:t>质疑联系人</w:t>
      </w:r>
      <w:r>
        <w:rPr>
          <w:rFonts w:hint="eastAsia" w:ascii="宋体" w:hAnsi="宋体"/>
          <w:color w:val="000000"/>
          <w:szCs w:val="21"/>
        </w:rPr>
        <w:t>：苏红</w:t>
      </w:r>
    </w:p>
    <w:p>
      <w:pPr>
        <w:snapToGrid w:val="0"/>
        <w:spacing w:line="460" w:lineRule="exact"/>
        <w:ind w:left="430" w:leftChars="205"/>
        <w:rPr>
          <w:rFonts w:ascii="宋体" w:hAnsi="宋体"/>
          <w:color w:val="000000"/>
          <w:szCs w:val="21"/>
        </w:rPr>
      </w:pPr>
      <w:r>
        <w:rPr>
          <w:rFonts w:hint="eastAsia" w:ascii="宋体" w:hAnsi="宋体"/>
          <w:color w:val="000000"/>
          <w:szCs w:val="21"/>
        </w:rPr>
        <w:t>质疑联系方式：</w:t>
      </w:r>
      <w:r>
        <w:rPr>
          <w:rFonts w:ascii="宋体" w:hAnsi="宋体"/>
          <w:color w:val="000000"/>
          <w:szCs w:val="21"/>
        </w:rPr>
        <w:t>13858125976</w:t>
      </w:r>
    </w:p>
    <w:p>
      <w:pPr>
        <w:snapToGrid w:val="0"/>
        <w:spacing w:line="460" w:lineRule="exact"/>
        <w:ind w:left="430" w:leftChars="205"/>
        <w:rPr>
          <w:rFonts w:ascii="宋体" w:hAnsi="宋体"/>
          <w:color w:val="000000"/>
          <w:szCs w:val="21"/>
        </w:rPr>
      </w:pPr>
      <w:r>
        <w:rPr>
          <w:rFonts w:ascii="宋体" w:hAnsi="宋体"/>
          <w:color w:val="000000"/>
          <w:szCs w:val="21"/>
        </w:rPr>
        <w:t>3</w:t>
      </w:r>
      <w:r>
        <w:rPr>
          <w:rFonts w:hint="eastAsia" w:ascii="宋体" w:hAnsi="宋体"/>
          <w:color w:val="000000"/>
          <w:szCs w:val="21"/>
        </w:rPr>
        <w:t>.</w:t>
      </w:r>
      <w:r>
        <w:rPr>
          <w:rFonts w:ascii="宋体" w:hAnsi="宋体"/>
          <w:color w:val="000000"/>
          <w:szCs w:val="21"/>
        </w:rPr>
        <w:t>同级政府采购监督管理部门名称：瑞安市财政局政府采购监督管理科</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地址：瑞安市万松东路瑞安市财政局</w:t>
      </w:r>
      <w:r>
        <w:rPr>
          <w:rFonts w:ascii="宋体" w:hAnsi="宋体"/>
          <w:color w:val="000000"/>
          <w:szCs w:val="21"/>
        </w:rPr>
        <w:t>15楼</w:t>
      </w:r>
    </w:p>
    <w:p>
      <w:pPr>
        <w:snapToGrid w:val="0"/>
        <w:spacing w:line="460" w:lineRule="exact"/>
        <w:ind w:left="430" w:leftChars="205"/>
        <w:rPr>
          <w:rFonts w:ascii="宋体" w:hAnsi="宋体"/>
          <w:color w:val="000000"/>
          <w:szCs w:val="21"/>
        </w:rPr>
      </w:pPr>
      <w:r>
        <w:rPr>
          <w:rFonts w:hint="eastAsia" w:ascii="宋体" w:hAnsi="宋体"/>
          <w:color w:val="000000"/>
          <w:szCs w:val="21"/>
        </w:rPr>
        <w:t>联系人：张先生</w:t>
      </w:r>
    </w:p>
    <w:p>
      <w:pPr>
        <w:snapToGrid w:val="0"/>
        <w:spacing w:line="460" w:lineRule="exact"/>
        <w:ind w:left="430" w:leftChars="205"/>
        <w:rPr>
          <w:rFonts w:ascii="宋体" w:hAnsi="宋体"/>
          <w:color w:val="000000"/>
          <w:szCs w:val="21"/>
        </w:rPr>
      </w:pPr>
      <w:r>
        <w:rPr>
          <w:rFonts w:hint="eastAsia" w:ascii="宋体" w:hAnsi="宋体"/>
          <w:color w:val="000000"/>
          <w:szCs w:val="21"/>
        </w:rPr>
        <w:t>监督投诉电话：</w:t>
      </w:r>
      <w:r>
        <w:rPr>
          <w:rFonts w:ascii="宋体" w:hAnsi="宋体"/>
          <w:color w:val="000000"/>
          <w:szCs w:val="21"/>
        </w:rPr>
        <w:t>0577-65827567</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传真：</w:t>
      </w:r>
      <w:r>
        <w:rPr>
          <w:rFonts w:ascii="宋体" w:hAnsi="宋体"/>
          <w:color w:val="000000"/>
          <w:szCs w:val="21"/>
        </w:rPr>
        <w:t>0577-65827570</w:t>
      </w:r>
    </w:p>
    <w:p>
      <w:pPr>
        <w:snapToGrid w:val="0"/>
        <w:spacing w:line="460" w:lineRule="exact"/>
        <w:ind w:left="430" w:leftChars="205"/>
        <w:rPr>
          <w:rFonts w:hint="eastAsia" w:ascii="宋体" w:hAnsi="宋体"/>
          <w:color w:val="000000"/>
          <w:szCs w:val="21"/>
        </w:rPr>
      </w:pPr>
      <w:r>
        <w:rPr>
          <w:rFonts w:hint="eastAsia" w:ascii="宋体" w:hAnsi="宋体"/>
          <w:color w:val="000000"/>
          <w:szCs w:val="21"/>
        </w:rPr>
        <w:t>温州政府采购项目现已开通支持中小企业信用融资合作银行活动，如有需要请点击：</w:t>
      </w:r>
      <w:r>
        <w:rPr>
          <w:rFonts w:ascii="宋体" w:hAnsi="宋体"/>
          <w:color w:val="000000"/>
          <w:szCs w:val="21"/>
        </w:rPr>
        <w:t>https://ggzy.wzzbtb.com/wzcms/ggtz/50415.htm</w:t>
      </w:r>
    </w:p>
    <w:p>
      <w:pPr>
        <w:snapToGrid w:val="0"/>
        <w:jc w:val="right"/>
        <w:rPr>
          <w:rFonts w:ascii="宋体" w:hAnsi="宋体"/>
          <w:szCs w:val="21"/>
        </w:rPr>
      </w:pPr>
    </w:p>
    <w:p>
      <w:pPr>
        <w:pStyle w:val="3"/>
        <w:keepNext w:val="0"/>
        <w:keepLines w:val="0"/>
        <w:pageBreakBefore/>
        <w:spacing w:before="240" w:beforeLines="100" w:after="240" w:afterLines="100" w:line="400" w:lineRule="atLeast"/>
        <w:jc w:val="center"/>
        <w:rPr>
          <w:rFonts w:hAnsi="宋体"/>
          <w:sz w:val="28"/>
          <w:szCs w:val="36"/>
        </w:rPr>
      </w:pPr>
      <w:bookmarkStart w:id="17" w:name="_Toc64913323"/>
      <w:r>
        <w:rPr>
          <w:rFonts w:hint="eastAsia" w:hAnsi="宋体"/>
          <w:sz w:val="28"/>
          <w:szCs w:val="36"/>
        </w:rPr>
        <w:t>第二部分  投标供应商须知</w:t>
      </w:r>
      <w:bookmarkEnd w:id="17"/>
    </w:p>
    <w:p>
      <w:pPr>
        <w:pStyle w:val="5"/>
        <w:spacing w:before="120" w:beforeLines="50" w:after="120" w:afterLines="50" w:line="400" w:lineRule="atLeast"/>
        <w:jc w:val="center"/>
        <w:rPr>
          <w:bCs w:val="0"/>
          <w:sz w:val="24"/>
          <w:szCs w:val="24"/>
        </w:rPr>
      </w:pPr>
      <w:bookmarkStart w:id="18" w:name="_Toc64913324"/>
      <w:r>
        <w:rPr>
          <w:rFonts w:hint="eastAsia"/>
          <w:sz w:val="24"/>
          <w:szCs w:val="24"/>
        </w:rPr>
        <w:t>（一）</w:t>
      </w:r>
      <w:r>
        <w:rPr>
          <w:rFonts w:hint="eastAsia"/>
          <w:bCs w:val="0"/>
          <w:sz w:val="24"/>
          <w:szCs w:val="24"/>
        </w:rPr>
        <w:t>投标须知前附表</w:t>
      </w:r>
      <w:bookmarkEnd w:id="18"/>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645"/>
        <w:gridCol w:w="1812"/>
        <w:gridCol w:w="66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spacing w:line="400" w:lineRule="atLeast"/>
              <w:jc w:val="right"/>
              <w:rPr>
                <w:rFonts w:ascii="宋体" w:hAnsi="宋体" w:cs="Arial"/>
                <w:b/>
                <w:szCs w:val="21"/>
              </w:rPr>
            </w:pPr>
            <w:r>
              <w:rPr>
                <w:rFonts w:hint="eastAsia" w:ascii="宋体" w:hAnsi="宋体" w:cs="Arial"/>
                <w:b/>
                <w:szCs w:val="21"/>
              </w:rPr>
              <w:t>项号</w:t>
            </w:r>
          </w:p>
        </w:tc>
        <w:tc>
          <w:tcPr>
            <w:tcW w:w="1812" w:type="dxa"/>
            <w:noWrap w:val="0"/>
            <w:vAlign w:val="center"/>
          </w:tcPr>
          <w:p>
            <w:pPr>
              <w:spacing w:line="400" w:lineRule="atLeast"/>
              <w:jc w:val="center"/>
              <w:rPr>
                <w:rFonts w:ascii="宋体" w:hAnsi="宋体" w:cs="Arial"/>
                <w:b/>
                <w:szCs w:val="21"/>
              </w:rPr>
            </w:pPr>
            <w:r>
              <w:rPr>
                <w:rFonts w:hint="eastAsia" w:ascii="宋体" w:hAnsi="宋体" w:cs="Arial"/>
                <w:b/>
                <w:szCs w:val="21"/>
              </w:rPr>
              <w:t>内容</w:t>
            </w:r>
          </w:p>
        </w:tc>
        <w:tc>
          <w:tcPr>
            <w:tcW w:w="6638" w:type="dxa"/>
            <w:noWrap w:val="0"/>
            <w:vAlign w:val="center"/>
          </w:tcPr>
          <w:p>
            <w:pPr>
              <w:spacing w:line="400" w:lineRule="atLeast"/>
              <w:jc w:val="center"/>
              <w:rPr>
                <w:rFonts w:ascii="宋体" w:hAnsi="宋体" w:cs="Arial"/>
                <w:b/>
                <w:szCs w:val="21"/>
              </w:rPr>
            </w:pPr>
            <w:r>
              <w:rPr>
                <w:rFonts w:hint="eastAsia" w:ascii="宋体" w:hAnsi="宋体" w:cs="Arial"/>
                <w:b/>
                <w:szCs w:val="21"/>
              </w:rPr>
              <w:t>说明与要求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项目名称</w:t>
            </w:r>
          </w:p>
        </w:tc>
        <w:tc>
          <w:tcPr>
            <w:tcW w:w="6638" w:type="dxa"/>
            <w:noWrap w:val="0"/>
            <w:vAlign w:val="center"/>
          </w:tcPr>
          <w:p>
            <w:pPr>
              <w:rPr>
                <w:rFonts w:hint="eastAsia" w:ascii="宋体" w:hAnsi="宋体"/>
                <w:szCs w:val="21"/>
              </w:rPr>
            </w:pPr>
            <w:r>
              <w:rPr>
                <w:rFonts w:hint="eastAsia" w:ascii="宋体" w:hAnsi="宋体"/>
                <w:szCs w:val="21"/>
              </w:rPr>
              <w:t>瑞安市“一把扫帚”环卫保洁一体化项目（安阳街道）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numPr>
                <w:ilvl w:val="0"/>
                <w:numId w:val="3"/>
              </w:numPr>
              <w:jc w:val="right"/>
              <w:rPr>
                <w:rFonts w:ascii="宋体" w:hAnsi="宋体" w:cs="Arial"/>
                <w:szCs w:val="21"/>
              </w:rPr>
            </w:pPr>
            <w:r>
              <w:rPr>
                <w:rFonts w:hint="eastAsia" w:ascii="宋体" w:hAnsi="宋体" w:cs="Arial"/>
                <w:szCs w:val="21"/>
              </w:rPr>
              <w:t xml:space="preserve"> </w:t>
            </w:r>
          </w:p>
        </w:tc>
        <w:tc>
          <w:tcPr>
            <w:tcW w:w="1812" w:type="dxa"/>
            <w:noWrap w:val="0"/>
            <w:vAlign w:val="center"/>
          </w:tcPr>
          <w:p>
            <w:pPr>
              <w:jc w:val="center"/>
              <w:rPr>
                <w:rFonts w:ascii="宋体" w:hAnsi="宋体"/>
                <w:szCs w:val="21"/>
              </w:rPr>
            </w:pPr>
            <w:r>
              <w:rPr>
                <w:rFonts w:hint="eastAsia" w:ascii="宋体" w:hAnsi="宋体"/>
                <w:szCs w:val="21"/>
              </w:rPr>
              <w:t>项目编号</w:t>
            </w:r>
          </w:p>
        </w:tc>
        <w:tc>
          <w:tcPr>
            <w:tcW w:w="6638" w:type="dxa"/>
            <w:noWrap w:val="0"/>
            <w:vAlign w:val="center"/>
          </w:tcPr>
          <w:p>
            <w:pPr>
              <w:rPr>
                <w:rFonts w:hint="eastAsia" w:ascii="宋体" w:hAnsi="宋体"/>
                <w:szCs w:val="21"/>
              </w:rPr>
            </w:pPr>
            <w:r>
              <w:rPr>
                <w:rFonts w:hint="eastAsia" w:ascii="宋体" w:hAnsi="宋体"/>
                <w:szCs w:val="21"/>
              </w:rPr>
              <w:t>HQZB-RA-2021-04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szCs w:val="21"/>
              </w:rPr>
              <w:t>资金来源</w:t>
            </w:r>
          </w:p>
        </w:tc>
        <w:tc>
          <w:tcPr>
            <w:tcW w:w="6638" w:type="dxa"/>
            <w:noWrap w:val="0"/>
            <w:vAlign w:val="center"/>
          </w:tcPr>
          <w:p>
            <w:pPr>
              <w:ind w:left="105" w:hanging="105" w:hangingChars="50"/>
              <w:rPr>
                <w:rFonts w:ascii="Arial" w:hAnsi="宋体" w:cs="Arial"/>
                <w:b/>
                <w:szCs w:val="21"/>
              </w:rPr>
            </w:pPr>
            <w:r>
              <w:rPr>
                <w:rFonts w:hint="eastAsia" w:ascii="宋体" w:hAnsi="宋体"/>
                <w:szCs w:val="21"/>
              </w:rPr>
              <w:t>▲财政性资金,</w:t>
            </w:r>
            <w:r>
              <w:rPr>
                <w:rFonts w:hint="eastAsia" w:ascii="Arial" w:hAnsi="宋体" w:cs="Arial"/>
                <w:szCs w:val="21"/>
              </w:rPr>
              <w:t xml:space="preserve"> </w:t>
            </w:r>
            <w:r>
              <w:rPr>
                <w:rFonts w:hint="eastAsia" w:ascii="Arial" w:hAnsi="宋体" w:cs="Arial"/>
                <w:b/>
                <w:szCs w:val="21"/>
              </w:rPr>
              <w:t>财政预算价</w:t>
            </w:r>
            <w:r>
              <w:rPr>
                <w:rFonts w:hint="eastAsia" w:ascii="宋体" w:hAnsi="宋体" w:cs="Arial"/>
                <w:b/>
                <w:szCs w:val="21"/>
              </w:rPr>
              <w:t>：</w:t>
            </w:r>
            <w:r>
              <w:rPr>
                <w:rFonts w:ascii="宋体" w:hAnsi="宋体" w:cs="Arial"/>
                <w:b/>
                <w:szCs w:val="21"/>
              </w:rPr>
              <w:t>12250.3386</w:t>
            </w:r>
            <w:r>
              <w:rPr>
                <w:rFonts w:hint="eastAsia" w:ascii="宋体" w:hAnsi="宋体" w:cs="Arial"/>
                <w:b/>
                <w:szCs w:val="21"/>
              </w:rPr>
              <w:t>万</w:t>
            </w:r>
            <w:r>
              <w:rPr>
                <w:rFonts w:hint="eastAsia" w:ascii="Arial" w:hAnsi="宋体" w:cs="Arial"/>
                <w:b/>
                <w:szCs w:val="21"/>
              </w:rPr>
              <w:t>元整（</w:t>
            </w:r>
            <w:r>
              <w:rPr>
                <w:rFonts w:ascii="Arial" w:hAnsi="宋体" w:cs="Arial"/>
                <w:b/>
                <w:szCs w:val="21"/>
              </w:rPr>
              <w:t>3</w:t>
            </w:r>
            <w:r>
              <w:rPr>
                <w:rFonts w:hint="eastAsia" w:ascii="Arial" w:hAnsi="宋体" w:cs="Arial"/>
                <w:b/>
                <w:szCs w:val="21"/>
              </w:rPr>
              <w:t>年），超过财政预算价的则作废标处理。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hAnsi="宋体"/>
                <w:szCs w:val="21"/>
              </w:rPr>
            </w:pPr>
            <w:r>
              <w:rPr>
                <w:rFonts w:hint="eastAsia" w:ascii="宋体" w:hAnsi="宋体"/>
                <w:szCs w:val="21"/>
              </w:rPr>
              <w:t>采购人</w:t>
            </w:r>
          </w:p>
        </w:tc>
        <w:tc>
          <w:tcPr>
            <w:tcW w:w="6638" w:type="dxa"/>
            <w:noWrap w:val="0"/>
            <w:vAlign w:val="center"/>
          </w:tcPr>
          <w:p>
            <w:pPr>
              <w:adjustRightInd w:val="0"/>
              <w:spacing w:line="276" w:lineRule="auto"/>
              <w:rPr>
                <w:rFonts w:hint="eastAsia" w:ascii="宋体" w:hAnsi="宋体" w:cs="Arial"/>
              </w:rPr>
            </w:pPr>
            <w:r>
              <w:rPr>
                <w:rFonts w:hint="eastAsia" w:ascii="宋体" w:hAnsi="宋体"/>
                <w:szCs w:val="21"/>
              </w:rPr>
              <w:t>采购</w:t>
            </w:r>
            <w:r>
              <w:rPr>
                <w:rFonts w:hint="eastAsia" w:ascii="宋体" w:hAnsi="宋体" w:cs="Arial"/>
              </w:rPr>
              <w:t>单位名称：</w:t>
            </w:r>
            <w:r>
              <w:rPr>
                <w:rFonts w:ascii="宋体" w:hAnsi="宋体" w:cs="Arial"/>
              </w:rPr>
              <w:t xml:space="preserve"> </w:t>
            </w:r>
            <w:r>
              <w:rPr>
                <w:rFonts w:hint="eastAsia" w:ascii="宋体" w:hAnsi="宋体" w:cs="Arial"/>
              </w:rPr>
              <w:t>瑞安市综合行政执法局、瑞安市安阳街道办事处</w:t>
            </w:r>
          </w:p>
          <w:p>
            <w:pPr>
              <w:adjustRightInd w:val="0"/>
              <w:spacing w:line="276" w:lineRule="auto"/>
              <w:rPr>
                <w:rFonts w:ascii="宋体" w:hAnsi="宋体" w:cs="Arial"/>
              </w:rPr>
            </w:pPr>
            <w:r>
              <w:rPr>
                <w:rFonts w:hint="eastAsia" w:ascii="宋体" w:hAnsi="宋体" w:cs="Arial"/>
              </w:rPr>
              <w:t>地址：瑞安市安阳路772号、瑞安市商城大道150</w:t>
            </w:r>
          </w:p>
          <w:p>
            <w:pPr>
              <w:spacing w:line="276" w:lineRule="auto"/>
              <w:rPr>
                <w:rFonts w:ascii="宋体" w:hAnsi="宋体" w:cs="宋体"/>
                <w:szCs w:val="21"/>
              </w:rPr>
            </w:pPr>
            <w:r>
              <w:rPr>
                <w:rFonts w:hint="eastAsia" w:ascii="宋体" w:hAnsi="宋体" w:cs="Arial"/>
                <w:szCs w:val="21"/>
              </w:rPr>
              <w:t>联系人：林先生、黄先生</w:t>
            </w:r>
          </w:p>
          <w:p>
            <w:pPr>
              <w:adjustRightInd w:val="0"/>
              <w:rPr>
                <w:rFonts w:hint="eastAsia" w:ascii="宋体" w:hAnsi="宋体" w:cs="Arial"/>
                <w:szCs w:val="21"/>
              </w:rPr>
            </w:pPr>
            <w:r>
              <w:rPr>
                <w:rFonts w:hint="eastAsia" w:ascii="宋体" w:hAnsi="宋体" w:cs="Arial"/>
                <w:szCs w:val="21"/>
              </w:rPr>
              <w:t>联系电话：</w:t>
            </w:r>
            <w:r>
              <w:rPr>
                <w:rFonts w:ascii="宋体" w:hAnsi="宋体" w:cs="Arial"/>
                <w:color w:val="000000"/>
                <w:szCs w:val="21"/>
              </w:rPr>
              <w:t>0577-65661672</w:t>
            </w:r>
            <w:r>
              <w:rPr>
                <w:rFonts w:hint="eastAsia" w:ascii="宋体" w:hAnsi="宋体" w:cs="Arial"/>
                <w:color w:val="000000"/>
                <w:szCs w:val="21"/>
              </w:rPr>
              <w:t>、</w:t>
            </w:r>
            <w:r>
              <w:rPr>
                <w:rFonts w:ascii="宋体" w:hAnsi="宋体" w:cs="Arial"/>
                <w:color w:val="000000"/>
                <w:szCs w:val="21"/>
              </w:rPr>
              <w:t>0577</w:t>
            </w:r>
            <w:r>
              <w:rPr>
                <w:rFonts w:hint="eastAsia" w:ascii="宋体" w:hAnsi="宋体" w:cs="Arial"/>
                <w:color w:val="000000"/>
                <w:szCs w:val="21"/>
              </w:rPr>
              <w:t>-</w:t>
            </w:r>
            <w:r>
              <w:rPr>
                <w:rFonts w:ascii="宋体" w:hAnsi="宋体" w:cs="Arial"/>
                <w:color w:val="000000"/>
                <w:szCs w:val="21"/>
              </w:rPr>
              <w:t>65877009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numPr>
                <w:ilvl w:val="0"/>
                <w:numId w:val="3"/>
              </w:numPr>
              <w:ind w:right="105"/>
              <w:jc w:val="right"/>
              <w:rPr>
                <w:rFonts w:ascii="宋体" w:hAnsi="宋体" w:cs="Arial"/>
                <w:szCs w:val="21"/>
              </w:rPr>
            </w:pPr>
            <w:r>
              <w:rPr>
                <w:rFonts w:hint="eastAsia" w:ascii="宋体" w:hAnsi="宋体" w:cs="Arial"/>
                <w:szCs w:val="21"/>
              </w:rPr>
              <w:t xml:space="preserve"> </w:t>
            </w:r>
          </w:p>
        </w:tc>
        <w:tc>
          <w:tcPr>
            <w:tcW w:w="1812" w:type="dxa"/>
            <w:noWrap w:val="0"/>
            <w:vAlign w:val="center"/>
          </w:tcPr>
          <w:p>
            <w:pPr>
              <w:jc w:val="right"/>
              <w:rPr>
                <w:rFonts w:ascii="宋体" w:hAnsi="宋体"/>
                <w:szCs w:val="21"/>
              </w:rPr>
            </w:pPr>
            <w:r>
              <w:rPr>
                <w:rFonts w:hint="eastAsia" w:ascii="宋体" w:hAnsi="宋体"/>
                <w:szCs w:val="21"/>
              </w:rPr>
              <w:t>采购代理机构</w:t>
            </w:r>
          </w:p>
        </w:tc>
        <w:tc>
          <w:tcPr>
            <w:tcW w:w="6638" w:type="dxa"/>
            <w:noWrap w:val="0"/>
            <w:vAlign w:val="center"/>
          </w:tcPr>
          <w:p>
            <w:pPr>
              <w:adjustRightInd w:val="0"/>
              <w:rPr>
                <w:rFonts w:ascii="宋体" w:hAnsi="宋体"/>
                <w:szCs w:val="21"/>
              </w:rPr>
            </w:pPr>
            <w:r>
              <w:rPr>
                <w:rFonts w:hint="eastAsia" w:ascii="宋体" w:hAnsi="宋体"/>
                <w:szCs w:val="21"/>
              </w:rPr>
              <w:t>名称：杭州华旗招标代理有限公司</w:t>
            </w:r>
          </w:p>
          <w:p>
            <w:pPr>
              <w:adjustRightInd w:val="0"/>
              <w:rPr>
                <w:rFonts w:hint="eastAsia" w:ascii="宋体" w:hAnsi="宋体"/>
                <w:szCs w:val="21"/>
              </w:rPr>
            </w:pPr>
            <w:r>
              <w:rPr>
                <w:rFonts w:hint="eastAsia" w:ascii="宋体" w:hAnsi="宋体"/>
                <w:szCs w:val="21"/>
              </w:rPr>
              <w:t>地址：</w:t>
            </w:r>
            <w:r>
              <w:rPr>
                <w:rFonts w:ascii="宋体" w:hAnsi="宋体"/>
                <w:szCs w:val="21"/>
              </w:rPr>
              <w:t>温州市</w:t>
            </w:r>
            <w:r>
              <w:rPr>
                <w:rFonts w:hint="eastAsia" w:ascii="宋体" w:hAnsi="宋体"/>
                <w:szCs w:val="21"/>
              </w:rPr>
              <w:t>鹿城区牛山北路13号牛山商务大厦9楼</w:t>
            </w:r>
          </w:p>
          <w:p>
            <w:pPr>
              <w:adjustRightInd w:val="0"/>
              <w:rPr>
                <w:rFonts w:ascii="宋体" w:hAnsi="宋体"/>
                <w:szCs w:val="21"/>
              </w:rPr>
            </w:pPr>
            <w:r>
              <w:rPr>
                <w:rFonts w:hint="eastAsia" w:ascii="宋体" w:hAnsi="宋体"/>
                <w:szCs w:val="21"/>
              </w:rPr>
              <w:t>项目负责人：王建涛</w:t>
            </w:r>
          </w:p>
          <w:p>
            <w:pPr>
              <w:adjustRightInd w:val="0"/>
              <w:rPr>
                <w:rFonts w:ascii="宋体" w:hAnsi="宋体"/>
                <w:szCs w:val="21"/>
              </w:rPr>
            </w:pPr>
            <w:r>
              <w:rPr>
                <w:rFonts w:hint="eastAsia" w:ascii="宋体" w:hAnsi="宋体"/>
                <w:szCs w:val="21"/>
              </w:rPr>
              <w:t>电话：13738179364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hint="eastAsia" w:ascii="宋体" w:cs="Arial"/>
                <w:szCs w:val="21"/>
              </w:rPr>
            </w:pPr>
            <w:r>
              <w:rPr>
                <w:rFonts w:hint="eastAsia" w:ascii="宋体" w:cs="Arial"/>
                <w:szCs w:val="21"/>
              </w:rPr>
              <w:t>评标办法</w:t>
            </w:r>
          </w:p>
        </w:tc>
        <w:tc>
          <w:tcPr>
            <w:tcW w:w="6638" w:type="dxa"/>
            <w:noWrap w:val="0"/>
            <w:vAlign w:val="center"/>
          </w:tcPr>
          <w:p>
            <w:pPr>
              <w:adjustRightInd w:val="0"/>
              <w:rPr>
                <w:rFonts w:hint="eastAsia" w:ascii="宋体"/>
                <w:szCs w:val="21"/>
              </w:rPr>
            </w:pPr>
            <w:r>
              <w:rPr>
                <w:rFonts w:hint="eastAsia" w:ascii="宋体"/>
                <w:szCs w:val="21"/>
              </w:rPr>
              <w:t>综合评分法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30"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招标内容</w:t>
            </w:r>
          </w:p>
        </w:tc>
        <w:tc>
          <w:tcPr>
            <w:tcW w:w="6638" w:type="dxa"/>
            <w:noWrap w:val="0"/>
            <w:vAlign w:val="center"/>
          </w:tcPr>
          <w:p>
            <w:pPr>
              <w:adjustRightInd w:val="0"/>
              <w:rPr>
                <w:rFonts w:ascii="宋体" w:hAnsi="宋体"/>
                <w:szCs w:val="21"/>
              </w:rPr>
            </w:pPr>
            <w:r>
              <w:rPr>
                <w:rFonts w:hint="eastAsia" w:ascii="宋体" w:hAnsi="宋体"/>
                <w:szCs w:val="21"/>
              </w:rPr>
              <w:t>瑞安市“一把扫帚”环卫保洁一体化项目（安阳街道），具体内容见招标文件。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521"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szCs w:val="21"/>
              </w:rPr>
            </w:pPr>
            <w:r>
              <w:rPr>
                <w:rFonts w:hint="eastAsia" w:ascii="宋体" w:hAnsi="宋体"/>
                <w:szCs w:val="21"/>
              </w:rPr>
              <w:t>申请人的资格要求</w:t>
            </w:r>
          </w:p>
        </w:tc>
        <w:tc>
          <w:tcPr>
            <w:tcW w:w="6638" w:type="dxa"/>
            <w:noWrap w:val="0"/>
            <w:vAlign w:val="center"/>
          </w:tcPr>
          <w:p>
            <w:pPr>
              <w:rPr>
                <w:rFonts w:hint="eastAsia" w:ascii="宋体" w:hAnsi="宋体"/>
                <w:szCs w:val="21"/>
              </w:rPr>
            </w:pPr>
            <w:r>
              <w:rPr>
                <w:rFonts w:hint="eastAsia" w:ascii="宋体" w:hAnsi="宋体"/>
                <w:b/>
                <w:bCs/>
                <w:szCs w:val="21"/>
              </w:rPr>
              <w:t>按招标公告要求</w:t>
            </w:r>
            <w:r>
              <w:rPr>
                <w:rFonts w:hint="eastAsia" w:ascii="宋体" w:hAnsi="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521"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hAnsi="宋体"/>
                <w:szCs w:val="21"/>
              </w:rPr>
            </w:pPr>
            <w:r>
              <w:rPr>
                <w:rFonts w:hint="eastAsia" w:ascii="宋体" w:hAnsi="宋体"/>
                <w:szCs w:val="21"/>
              </w:rPr>
              <w:t>是否接受联合体投标</w:t>
            </w:r>
          </w:p>
        </w:tc>
        <w:tc>
          <w:tcPr>
            <w:tcW w:w="6638" w:type="dxa"/>
            <w:noWrap w:val="0"/>
            <w:vAlign w:val="center"/>
          </w:tcPr>
          <w:p>
            <w:pPr>
              <w:adjustRightInd w:val="0"/>
              <w:rPr>
                <w:rFonts w:ascii="宋体" w:hAnsi="宋体"/>
                <w:i/>
                <w:szCs w:val="21"/>
              </w:rPr>
            </w:pP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eq \o\ac(□,√)</w:instrText>
            </w:r>
            <w:r>
              <w:rPr>
                <w:rFonts w:ascii="宋体" w:hAnsi="宋体"/>
                <w:szCs w:val="21"/>
              </w:rPr>
              <w:fldChar w:fldCharType="end"/>
            </w:r>
            <w:r>
              <w:rPr>
                <w:rFonts w:hint="eastAsia" w:ascii="宋体" w:hAnsi="宋体"/>
                <w:i/>
                <w:szCs w:val="21"/>
              </w:rPr>
              <w:t>不接受</w:t>
            </w:r>
          </w:p>
          <w:p>
            <w:pPr>
              <w:adjustRightInd w:val="0"/>
              <w:rPr>
                <w:rFonts w:ascii="宋体" w:hAnsi="宋体"/>
                <w:i/>
                <w:szCs w:val="21"/>
              </w:rPr>
            </w:pPr>
            <w:r>
              <w:rPr>
                <w:rFonts w:ascii="宋体" w:hAnsi="宋体"/>
                <w:szCs w:val="21"/>
              </w:rPr>
              <w:t>□</w:t>
            </w:r>
            <w:r>
              <w:rPr>
                <w:rFonts w:hint="eastAsia" w:ascii="宋体" w:hAnsi="宋体"/>
                <w:i/>
                <w:szCs w:val="21"/>
              </w:rPr>
              <w:t>接受，应满足下列要求：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521"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hAnsi="宋体"/>
                <w:szCs w:val="21"/>
              </w:rPr>
            </w:pPr>
            <w:r>
              <w:rPr>
                <w:rFonts w:hint="eastAsia" w:ascii="宋体" w:hAnsi="宋体"/>
                <w:szCs w:val="21"/>
              </w:rPr>
              <w:t>踏勘现场</w:t>
            </w:r>
          </w:p>
        </w:tc>
        <w:tc>
          <w:tcPr>
            <w:tcW w:w="6638" w:type="dxa"/>
            <w:noWrap w:val="0"/>
            <w:vAlign w:val="center"/>
          </w:tcPr>
          <w:p>
            <w:pPr>
              <w:adjustRightInd w:val="0"/>
              <w:rPr>
                <w:rFonts w:ascii="宋体" w:hAnsi="宋体"/>
                <w:i/>
                <w:szCs w:val="21"/>
              </w:rPr>
            </w:pP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eq \o\ac(□,√)</w:instrText>
            </w:r>
            <w:r>
              <w:rPr>
                <w:rFonts w:ascii="宋体" w:hAnsi="宋体"/>
                <w:szCs w:val="21"/>
              </w:rPr>
              <w:fldChar w:fldCharType="end"/>
            </w:r>
            <w:r>
              <w:rPr>
                <w:rFonts w:hint="eastAsia" w:ascii="宋体" w:hAnsi="宋体"/>
                <w:i/>
                <w:szCs w:val="21"/>
              </w:rPr>
              <w:t>不组织</w:t>
            </w:r>
          </w:p>
          <w:p>
            <w:pPr>
              <w:adjustRightInd w:val="0"/>
              <w:rPr>
                <w:rFonts w:ascii="宋体" w:hAnsi="宋体"/>
                <w:i/>
                <w:szCs w:val="21"/>
              </w:rPr>
            </w:pPr>
            <w:r>
              <w:rPr>
                <w:rFonts w:ascii="宋体" w:hAnsi="宋体"/>
                <w:szCs w:val="21"/>
              </w:rPr>
              <w:t>□</w:t>
            </w:r>
            <w:r>
              <w:rPr>
                <w:rFonts w:hint="eastAsia" w:ascii="宋体" w:hAnsi="宋体"/>
                <w:i/>
                <w:szCs w:val="21"/>
              </w:rPr>
              <w:t>组</w:t>
            </w:r>
            <w:r>
              <w:rPr>
                <w:rFonts w:hint="eastAsia" w:ascii="宋体" w:hAnsi="宋体"/>
                <w:szCs w:val="21"/>
              </w:rPr>
              <w:t>织</w:t>
            </w:r>
            <w:r>
              <w:rPr>
                <w:rFonts w:hint="eastAsia" w:ascii="宋体" w:hAnsi="宋体"/>
                <w:i/>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521"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hAnsi="宋体"/>
                <w:szCs w:val="21"/>
              </w:rPr>
            </w:pPr>
            <w:r>
              <w:rPr>
                <w:rFonts w:hint="eastAsia" w:ascii="宋体" w:hAnsi="宋体"/>
                <w:szCs w:val="21"/>
              </w:rPr>
              <w:t>是否允许递交备选投标方案</w:t>
            </w:r>
          </w:p>
        </w:tc>
        <w:tc>
          <w:tcPr>
            <w:tcW w:w="6638" w:type="dxa"/>
            <w:noWrap w:val="0"/>
            <w:vAlign w:val="center"/>
          </w:tcPr>
          <w:p>
            <w:pPr>
              <w:adjustRightInd w:val="0"/>
              <w:rPr>
                <w:rFonts w:ascii="宋体" w:hAnsi="宋体"/>
                <w:i/>
                <w:szCs w:val="21"/>
              </w:rPr>
            </w:pP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eq \o\ac(□,√)</w:instrText>
            </w:r>
            <w:r>
              <w:rPr>
                <w:rFonts w:ascii="宋体" w:hAnsi="宋体"/>
                <w:szCs w:val="21"/>
              </w:rPr>
              <w:fldChar w:fldCharType="end"/>
            </w:r>
            <w:r>
              <w:rPr>
                <w:rFonts w:hint="eastAsia" w:ascii="宋体" w:hAnsi="宋体"/>
                <w:szCs w:val="21"/>
              </w:rPr>
              <w:t xml:space="preserve"> </w:t>
            </w:r>
            <w:r>
              <w:rPr>
                <w:rFonts w:hint="eastAsia" w:ascii="宋体" w:hAnsi="宋体"/>
                <w:i/>
                <w:szCs w:val="21"/>
              </w:rPr>
              <w:t>不允许</w:t>
            </w:r>
          </w:p>
          <w:p>
            <w:pPr>
              <w:adjustRightInd w:val="0"/>
              <w:rPr>
                <w:rFonts w:ascii="宋体" w:hAnsi="宋体" w:cs="仿宋_GB2312"/>
                <w:szCs w:val="21"/>
              </w:rPr>
            </w:pPr>
            <w:r>
              <w:rPr>
                <w:rFonts w:ascii="宋体" w:hAnsi="宋体"/>
                <w:szCs w:val="21"/>
              </w:rPr>
              <w:t>□</w:t>
            </w:r>
            <w:r>
              <w:rPr>
                <w:rFonts w:hint="eastAsia" w:ascii="宋体" w:hAnsi="宋体"/>
                <w:szCs w:val="21"/>
              </w:rPr>
              <w:t xml:space="preserve"> </w:t>
            </w:r>
            <w:r>
              <w:rPr>
                <w:rFonts w:hint="eastAsia" w:ascii="宋体" w:hAnsi="宋体"/>
                <w:i/>
                <w:szCs w:val="21"/>
              </w:rPr>
              <w:t>允许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191"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hAnsi="宋体"/>
                <w:szCs w:val="21"/>
              </w:rPr>
            </w:pPr>
            <w:r>
              <w:rPr>
                <w:rFonts w:hint="eastAsia" w:ascii="宋体" w:hAnsi="宋体"/>
                <w:szCs w:val="21"/>
              </w:rPr>
              <w:t>投标货币</w:t>
            </w:r>
          </w:p>
        </w:tc>
        <w:tc>
          <w:tcPr>
            <w:tcW w:w="6638" w:type="dxa"/>
            <w:noWrap w:val="0"/>
            <w:vAlign w:val="center"/>
          </w:tcPr>
          <w:p>
            <w:pPr>
              <w:adjustRightInd w:val="0"/>
              <w:rPr>
                <w:rFonts w:ascii="宋体" w:hAnsi="宋体"/>
                <w:szCs w:val="21"/>
              </w:rPr>
            </w:pPr>
            <w:r>
              <w:rPr>
                <w:rFonts w:hint="eastAsia" w:ascii="宋体" w:hAnsi="宋体"/>
                <w:szCs w:val="21"/>
              </w:rPr>
              <w:t>人民币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42"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hAnsi="宋体"/>
                <w:szCs w:val="21"/>
              </w:rPr>
            </w:pPr>
            <w:r>
              <w:rPr>
                <w:rFonts w:hint="eastAsia" w:ascii="宋体" w:hAnsi="宋体"/>
                <w:szCs w:val="21"/>
              </w:rPr>
              <w:t>投标语言</w:t>
            </w:r>
          </w:p>
        </w:tc>
        <w:tc>
          <w:tcPr>
            <w:tcW w:w="6638" w:type="dxa"/>
            <w:noWrap w:val="0"/>
            <w:vAlign w:val="center"/>
          </w:tcPr>
          <w:p>
            <w:pPr>
              <w:adjustRightInd w:val="0"/>
              <w:rPr>
                <w:rFonts w:ascii="宋体" w:hAnsi="宋体"/>
                <w:szCs w:val="21"/>
              </w:rPr>
            </w:pPr>
            <w:r>
              <w:rPr>
                <w:rFonts w:hint="eastAsia" w:ascii="宋体" w:hAnsi="宋体"/>
                <w:szCs w:val="21"/>
              </w:rPr>
              <w:t>中文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投标文件份数</w:t>
            </w:r>
          </w:p>
        </w:tc>
        <w:tc>
          <w:tcPr>
            <w:tcW w:w="6638" w:type="dxa"/>
            <w:noWrap w:val="0"/>
            <w:vAlign w:val="center"/>
          </w:tcPr>
          <w:p>
            <w:pPr>
              <w:pStyle w:val="25"/>
            </w:pPr>
            <w:r>
              <w:rPr>
                <w:rFonts w:hint="eastAsia"/>
              </w:rPr>
              <w:t>“电子加密投标文件”：在线上传递交，一份。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26"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投标有效期</w:t>
            </w:r>
          </w:p>
        </w:tc>
        <w:tc>
          <w:tcPr>
            <w:tcW w:w="6638" w:type="dxa"/>
            <w:noWrap w:val="0"/>
            <w:vAlign w:val="center"/>
          </w:tcPr>
          <w:p>
            <w:pPr>
              <w:rPr>
                <w:rFonts w:ascii="宋体" w:hAnsi="宋体" w:cs="Arial"/>
                <w:i/>
                <w:szCs w:val="21"/>
              </w:rPr>
            </w:pPr>
            <w:r>
              <w:rPr>
                <w:rFonts w:hint="eastAsia" w:ascii="宋体" w:hAnsi="宋体" w:cs="Arial"/>
                <w:i/>
                <w:szCs w:val="21"/>
              </w:rPr>
              <w:t>提交投标文件截止日起90天内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26"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签字或盖章要求</w:t>
            </w:r>
          </w:p>
        </w:tc>
        <w:tc>
          <w:tcPr>
            <w:tcW w:w="6638" w:type="dxa"/>
            <w:noWrap w:val="0"/>
            <w:vAlign w:val="center"/>
          </w:tcPr>
          <w:p>
            <w:pPr>
              <w:rPr>
                <w:rFonts w:ascii="宋体" w:hAnsi="宋体" w:cs="Arial"/>
                <w:szCs w:val="21"/>
              </w:rPr>
            </w:pPr>
            <w:r>
              <w:rPr>
                <w:rFonts w:hint="eastAsia" w:ascii="宋体" w:hAnsi="宋体"/>
                <w:szCs w:val="21"/>
              </w:rPr>
              <w:t>采购文件所指的加盖单位公章为CA签章，采购文件要求签字的，由供应商法定代表人或其授权代表印章（或签字），否则作无效标处理。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26" w:hRule="atLeast"/>
          <w:jc w:val="center"/>
        </w:trPr>
        <w:tc>
          <w:tcPr>
            <w:tcW w:w="645" w:type="dxa"/>
            <w:noWrap w:val="0"/>
            <w:vAlign w:val="center"/>
          </w:tcPr>
          <w:p>
            <w:pPr>
              <w:numPr>
                <w:ilvl w:val="0"/>
                <w:numId w:val="3"/>
              </w:numPr>
              <w:jc w:val="right"/>
              <w:rPr>
                <w:rFonts w:hint="eastAsia"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投标样品</w:t>
            </w:r>
          </w:p>
        </w:tc>
        <w:tc>
          <w:tcPr>
            <w:tcW w:w="6638" w:type="dxa"/>
            <w:noWrap w:val="0"/>
            <w:vAlign w:val="center"/>
          </w:tcPr>
          <w:p>
            <w:pPr>
              <w:rPr>
                <w:rFonts w:ascii="宋体" w:hAnsi="宋体"/>
                <w:szCs w:val="21"/>
              </w:rPr>
            </w:pP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eq \o\ac(□,√)</w:instrText>
            </w:r>
            <w:r>
              <w:rPr>
                <w:rFonts w:ascii="宋体" w:hAnsi="宋体"/>
                <w:szCs w:val="21"/>
              </w:rPr>
              <w:fldChar w:fldCharType="end"/>
            </w:r>
            <w:r>
              <w:rPr>
                <w:rFonts w:hint="eastAsia" w:ascii="宋体" w:hAnsi="宋体"/>
                <w:szCs w:val="21"/>
              </w:rPr>
              <w:t>不需要</w:t>
            </w:r>
          </w:p>
          <w:p>
            <w:pPr>
              <w:rPr>
                <w:rFonts w:ascii="宋体" w:hAnsi="宋体"/>
                <w:szCs w:val="21"/>
              </w:rPr>
            </w:pPr>
            <w:r>
              <w:rPr>
                <w:rFonts w:ascii="宋体" w:hAnsi="宋体"/>
                <w:szCs w:val="21"/>
              </w:rPr>
              <w:t>□</w:t>
            </w:r>
            <w:r>
              <w:rPr>
                <w:rFonts w:hint="eastAsia" w:ascii="宋体" w:hAnsi="宋体"/>
                <w:szCs w:val="21"/>
              </w:rPr>
              <w:t>需要。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495"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投标保证金</w:t>
            </w:r>
          </w:p>
        </w:tc>
        <w:tc>
          <w:tcPr>
            <w:tcW w:w="6638" w:type="dxa"/>
            <w:noWrap w:val="0"/>
            <w:vAlign w:val="center"/>
          </w:tcPr>
          <w:p>
            <w:pPr>
              <w:snapToGrid w:val="0"/>
              <w:spacing w:line="400" w:lineRule="atLeast"/>
              <w:rPr>
                <w:rFonts w:hint="eastAsia" w:ascii="Arial" w:hAnsi="Arial" w:cs="Arial"/>
              </w:rPr>
            </w:pPr>
            <w:r>
              <w:rPr>
                <w:rFonts w:hint="eastAsia" w:ascii="Arial" w:hAnsi="宋体" w:cs="Arial"/>
                <w:szCs w:val="21"/>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219"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hAnsi="宋体"/>
                <w:szCs w:val="21"/>
              </w:rPr>
            </w:pPr>
            <w:r>
              <w:rPr>
                <w:rFonts w:hint="eastAsia" w:ascii="宋体" w:hAnsi="宋体"/>
                <w:szCs w:val="21"/>
              </w:rPr>
              <w:t>履约保证金</w:t>
            </w:r>
          </w:p>
        </w:tc>
        <w:tc>
          <w:tcPr>
            <w:tcW w:w="6638" w:type="dxa"/>
            <w:noWrap w:val="0"/>
            <w:vAlign w:val="center"/>
          </w:tcPr>
          <w:p>
            <w:pPr>
              <w:rPr>
                <w:rFonts w:ascii="宋体" w:hAnsi="宋体"/>
                <w:szCs w:val="21"/>
              </w:rPr>
            </w:pP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eq \o\ac(□)</w:instrText>
            </w:r>
            <w:r>
              <w:rPr>
                <w:rFonts w:ascii="宋体" w:hAnsi="宋体"/>
                <w:szCs w:val="21"/>
              </w:rPr>
              <w:fldChar w:fldCharType="end"/>
            </w:r>
            <w:r>
              <w:rPr>
                <w:rFonts w:hint="eastAsia" w:ascii="宋体" w:hAnsi="宋体"/>
                <w:szCs w:val="21"/>
              </w:rPr>
              <w:t>不需要</w:t>
            </w:r>
          </w:p>
          <w:p>
            <w:pPr>
              <w:adjustRightInd w:val="0"/>
              <w:rPr>
                <w:rFonts w:ascii="宋体" w:hAnsi="宋体"/>
                <w:szCs w:val="21"/>
              </w:rPr>
            </w:pP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eq \o\ac(□,√)</w:instrText>
            </w:r>
            <w:r>
              <w:rPr>
                <w:rFonts w:ascii="宋体" w:hAnsi="宋体"/>
                <w:szCs w:val="21"/>
              </w:rPr>
              <w:fldChar w:fldCharType="end"/>
            </w:r>
            <w:r>
              <w:rPr>
                <w:rFonts w:hint="eastAsia" w:ascii="宋体" w:hAnsi="宋体"/>
                <w:szCs w:val="21"/>
              </w:rPr>
              <w:t xml:space="preserve">需要 </w:t>
            </w:r>
            <w:r>
              <w:rPr>
                <w:rFonts w:ascii="宋体" w:hAnsi="宋体"/>
                <w:szCs w:val="21"/>
              </w:rPr>
              <w:t xml:space="preserve"> </w:t>
            </w:r>
            <w:r>
              <w:rPr>
                <w:rFonts w:hint="eastAsia" w:ascii="宋体" w:hAnsi="宋体"/>
                <w:szCs w:val="21"/>
              </w:rPr>
              <w:t>合同签订后，中标供应商须在</w:t>
            </w:r>
            <w:r>
              <w:rPr>
                <w:rFonts w:ascii="宋体" w:hAnsi="宋体"/>
                <w:szCs w:val="21"/>
              </w:rPr>
              <w:t>7</w:t>
            </w:r>
            <w:r>
              <w:rPr>
                <w:rFonts w:hint="eastAsia" w:ascii="宋体" w:hAnsi="宋体"/>
                <w:szCs w:val="21"/>
              </w:rPr>
              <w:t>日历天内向采购人提供一年合同总金额</w:t>
            </w:r>
            <w:r>
              <w:rPr>
                <w:rFonts w:ascii="宋体" w:hAnsi="宋体"/>
                <w:szCs w:val="21"/>
              </w:rPr>
              <w:t>5%</w:t>
            </w:r>
            <w:r>
              <w:rPr>
                <w:rFonts w:hint="eastAsia" w:ascii="宋体" w:hAnsi="宋体"/>
                <w:szCs w:val="21"/>
              </w:rPr>
              <w:t>的履约保证金。履约保证金可采用</w:t>
            </w:r>
            <w:r>
              <w:rPr>
                <w:rFonts w:ascii="Segoe UI Emoji" w:hAnsi="Segoe UI Emoji" w:cs="Segoe UI Emoji"/>
                <w:szCs w:val="21"/>
              </w:rPr>
              <w:t>☑</w:t>
            </w:r>
            <w:r>
              <w:rPr>
                <w:rFonts w:hint="eastAsia" w:ascii="宋体" w:hAnsi="宋体"/>
                <w:szCs w:val="21"/>
              </w:rPr>
              <w:t>银行转账</w:t>
            </w:r>
            <w:r>
              <w:rPr>
                <w:rFonts w:ascii="宋体" w:hAnsi="宋体"/>
                <w:szCs w:val="21"/>
              </w:rPr>
              <w:t xml:space="preserve">  </w:t>
            </w:r>
            <w:r>
              <w:rPr>
                <w:rFonts w:ascii="Segoe UI Emoji" w:hAnsi="Segoe UI Emoji" w:cs="Segoe UI Emoji"/>
                <w:szCs w:val="21"/>
              </w:rPr>
              <w:t>☑</w:t>
            </w:r>
            <w:r>
              <w:rPr>
                <w:rFonts w:hint="eastAsia" w:ascii="宋体" w:hAnsi="宋体"/>
                <w:szCs w:val="21"/>
              </w:rPr>
              <w:t>银行保函</w:t>
            </w:r>
            <w:r>
              <w:rPr>
                <w:rFonts w:ascii="宋体" w:hAnsi="宋体"/>
                <w:szCs w:val="21"/>
              </w:rPr>
              <w:t xml:space="preserve">  </w:t>
            </w:r>
            <w:r>
              <w:rPr>
                <w:rFonts w:ascii="Segoe UI Emoji" w:hAnsi="Segoe UI Emoji" w:cs="Segoe UI Emoji"/>
                <w:szCs w:val="21"/>
              </w:rPr>
              <w:t>☑</w:t>
            </w:r>
            <w:r>
              <w:rPr>
                <w:rFonts w:hint="eastAsia" w:ascii="宋体" w:hAnsi="宋体"/>
                <w:szCs w:val="21"/>
              </w:rPr>
              <w:t>保险凭证等。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681"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招标文件提供期限及获取方式</w:t>
            </w:r>
          </w:p>
        </w:tc>
        <w:tc>
          <w:tcPr>
            <w:tcW w:w="6638" w:type="dxa"/>
            <w:noWrap w:val="0"/>
            <w:vAlign w:val="center"/>
          </w:tcPr>
          <w:p>
            <w:pPr>
              <w:rPr>
                <w:rFonts w:ascii="宋体" w:hAnsi="宋体"/>
                <w:szCs w:val="21"/>
              </w:rPr>
            </w:pPr>
            <w:r>
              <w:rPr>
                <w:rFonts w:hint="eastAsia" w:ascii="宋体" w:hAnsi="宋体"/>
                <w:b/>
                <w:bCs/>
                <w:szCs w:val="21"/>
              </w:rPr>
              <w:t>按招标公告要求</w:t>
            </w:r>
            <w:r>
              <w:rPr>
                <w:rFonts w:hint="eastAsia" w:ascii="宋体" w:hAnsi="宋体"/>
                <w:szCs w:val="21"/>
              </w:rPr>
              <w:t>。</w:t>
            </w:r>
          </w:p>
          <w:p>
            <w:pPr>
              <w:rPr>
                <w:rFonts w:ascii="宋体" w:hAnsi="宋体"/>
                <w:szCs w:val="21"/>
              </w:rPr>
            </w:pPr>
            <w:r>
              <w:rPr>
                <w:rFonts w:hint="eastAsia" w:ascii="宋体" w:hAnsi="宋体"/>
                <w:szCs w:val="21"/>
              </w:rPr>
              <w:t>注：其他</w:t>
            </w:r>
          </w:p>
          <w:p>
            <w:pPr>
              <w:rPr>
                <w:rFonts w:ascii="宋体" w:hAnsi="宋体"/>
                <w:szCs w:val="21"/>
              </w:rPr>
            </w:pPr>
            <w:r>
              <w:rPr>
                <w:rFonts w:hint="eastAsia" w:ascii="宋体" w:hAnsi="宋体"/>
                <w:szCs w:val="21"/>
              </w:rPr>
              <w:t>1、招标公告附件内的招标文件（或采购需求）仅供阅览使用，供应商只有在“政府采购云平台”完成获取招标文件申请并下载了招标文件后才视作依法获取招标文件（法律法规所指的供应商获取招标文件时间以供应商完成获取招标文件申请后下载招标文件的时间为准）。</w:t>
            </w:r>
          </w:p>
          <w:p>
            <w:pPr>
              <w:rPr>
                <w:rFonts w:hint="eastAsia" w:ascii="宋体" w:hAnsi="宋体" w:cs="宋体"/>
                <w:szCs w:val="21"/>
              </w:rPr>
            </w:pPr>
            <w:r>
              <w:rPr>
                <w:rFonts w:ascii="宋体" w:hAnsi="宋体"/>
                <w:szCs w:val="21"/>
              </w:rPr>
              <w:t>2</w:t>
            </w:r>
            <w:r>
              <w:rPr>
                <w:rFonts w:hint="eastAsia" w:ascii="宋体" w:hAnsi="宋体"/>
                <w:szCs w:val="21"/>
              </w:rPr>
              <w:t>、请供应商按上述要求获取招标文件，如未在“政采云”系统内完成相关流程，引起的投标无效责任自负。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25"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投标截止时间</w:t>
            </w:r>
          </w:p>
        </w:tc>
        <w:tc>
          <w:tcPr>
            <w:tcW w:w="6638" w:type="dxa"/>
            <w:noWrap w:val="0"/>
            <w:vAlign w:val="center"/>
          </w:tcPr>
          <w:p>
            <w:pPr>
              <w:rPr>
                <w:rFonts w:hint="eastAsia" w:ascii="宋体" w:hAnsi="宋体"/>
                <w:szCs w:val="21"/>
              </w:rPr>
            </w:pPr>
            <w:r>
              <w:rPr>
                <w:rFonts w:hint="eastAsia" w:ascii="宋体" w:hAnsi="宋体" w:cs="宋体"/>
                <w:szCs w:val="21"/>
              </w:rPr>
              <w:t>20</w:t>
            </w:r>
            <w:r>
              <w:rPr>
                <w:rFonts w:ascii="宋体" w:hAnsi="宋体" w:cs="宋体"/>
                <w:szCs w:val="21"/>
              </w:rPr>
              <w:t>21</w:t>
            </w:r>
            <w:r>
              <w:rPr>
                <w:rFonts w:hint="eastAsia" w:ascii="宋体" w:hAnsi="宋体"/>
                <w:szCs w:val="21"/>
              </w:rPr>
              <w:t>年</w:t>
            </w:r>
            <w:r>
              <w:rPr>
                <w:rFonts w:ascii="宋体" w:hAnsi="宋体"/>
                <w:szCs w:val="21"/>
              </w:rPr>
              <w:t>5</w:t>
            </w:r>
            <w:r>
              <w:rPr>
                <w:rFonts w:hint="eastAsia" w:ascii="宋体" w:hAnsi="宋体"/>
                <w:szCs w:val="21"/>
              </w:rPr>
              <w:t>月</w:t>
            </w:r>
            <w:r>
              <w:rPr>
                <w:rFonts w:ascii="宋体" w:hAnsi="宋体"/>
                <w:szCs w:val="21"/>
              </w:rPr>
              <w:t>10</w:t>
            </w:r>
            <w:r>
              <w:rPr>
                <w:rFonts w:hint="eastAsia" w:ascii="宋体" w:hAnsi="宋体"/>
                <w:szCs w:val="21"/>
              </w:rPr>
              <w:t>日上午</w:t>
            </w:r>
            <w:r>
              <w:rPr>
                <w:rFonts w:ascii="宋体" w:hAnsi="宋体"/>
                <w:szCs w:val="21"/>
              </w:rPr>
              <w:t>9</w:t>
            </w:r>
            <w:r>
              <w:rPr>
                <w:rFonts w:hint="eastAsia" w:ascii="宋体" w:hAnsi="宋体"/>
                <w:szCs w:val="21"/>
              </w:rPr>
              <w:t>：</w:t>
            </w:r>
            <w:r>
              <w:rPr>
                <w:rFonts w:ascii="宋体" w:hAnsi="宋体"/>
                <w:szCs w:val="21"/>
              </w:rPr>
              <w:t>0</w:t>
            </w:r>
            <w:r>
              <w:rPr>
                <w:rFonts w:hint="eastAsia" w:ascii="宋体" w:hAnsi="宋体"/>
                <w:szCs w:val="21"/>
              </w:rPr>
              <w:t>0 止</w:t>
            </w:r>
            <w:r>
              <w:rPr>
                <w:rFonts w:ascii="宋体" w:hAnsi="宋体"/>
                <w:szCs w:val="21"/>
              </w:rPr>
              <w:t>(</w:t>
            </w:r>
            <w:r>
              <w:rPr>
                <w:rFonts w:hint="eastAsia" w:ascii="宋体" w:hAnsi="宋体"/>
                <w:szCs w:val="21"/>
              </w:rPr>
              <w:t>北京时间</w:t>
            </w:r>
            <w:r>
              <w:rPr>
                <w:rFonts w:ascii="宋体" w:hAnsi="宋体"/>
                <w:szCs w:val="21"/>
              </w:rPr>
              <w:t>)</w:t>
            </w:r>
            <w:r>
              <w:rPr>
                <w:rFonts w:hint="eastAsia" w:ascii="宋体" w:hAnsi="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63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开标时间</w:t>
            </w:r>
          </w:p>
          <w:p>
            <w:pPr>
              <w:jc w:val="center"/>
              <w:rPr>
                <w:rFonts w:hint="eastAsia" w:ascii="宋体" w:hAnsi="宋体" w:cs="Arial"/>
                <w:szCs w:val="21"/>
              </w:rPr>
            </w:pPr>
            <w:r>
              <w:rPr>
                <w:rFonts w:hint="eastAsia" w:ascii="宋体" w:hAnsi="宋体" w:cs="Arial"/>
                <w:szCs w:val="21"/>
              </w:rPr>
              <w:t>开标地点</w:t>
            </w:r>
            <w:r>
              <w:rPr>
                <w:sz w:val="22"/>
                <w:szCs w:val="22"/>
              </w:rPr>
              <w:t>（网址）</w:t>
            </w:r>
          </w:p>
        </w:tc>
        <w:tc>
          <w:tcPr>
            <w:tcW w:w="6638" w:type="dxa"/>
            <w:noWrap w:val="0"/>
            <w:vAlign w:val="center"/>
          </w:tcPr>
          <w:p>
            <w:pPr>
              <w:rPr>
                <w:rFonts w:ascii="宋体" w:hAnsi="宋体"/>
                <w:szCs w:val="21"/>
              </w:rPr>
            </w:pPr>
            <w:r>
              <w:rPr>
                <w:rFonts w:hint="eastAsia" w:ascii="宋体" w:hAnsi="宋体"/>
                <w:szCs w:val="21"/>
              </w:rPr>
              <w:t>开标时间：</w:t>
            </w:r>
            <w:r>
              <w:rPr>
                <w:rFonts w:hint="eastAsia" w:ascii="宋体" w:hAnsi="宋体" w:cs="宋体"/>
                <w:szCs w:val="21"/>
              </w:rPr>
              <w:t>20</w:t>
            </w:r>
            <w:r>
              <w:rPr>
                <w:rFonts w:ascii="宋体" w:hAnsi="宋体" w:cs="宋体"/>
                <w:szCs w:val="21"/>
              </w:rPr>
              <w:t>21</w:t>
            </w:r>
            <w:r>
              <w:rPr>
                <w:rFonts w:hint="eastAsia" w:ascii="宋体" w:hAnsi="宋体"/>
                <w:szCs w:val="21"/>
              </w:rPr>
              <w:t>年</w:t>
            </w:r>
            <w:r>
              <w:rPr>
                <w:rFonts w:ascii="宋体" w:hAnsi="宋体"/>
                <w:szCs w:val="21"/>
              </w:rPr>
              <w:t>5</w:t>
            </w:r>
            <w:r>
              <w:rPr>
                <w:rFonts w:hint="eastAsia" w:ascii="宋体" w:hAnsi="宋体"/>
                <w:szCs w:val="21"/>
              </w:rPr>
              <w:t>月</w:t>
            </w:r>
            <w:r>
              <w:rPr>
                <w:rFonts w:ascii="宋体" w:hAnsi="宋体"/>
                <w:szCs w:val="21"/>
              </w:rPr>
              <w:t>10</w:t>
            </w:r>
            <w:r>
              <w:rPr>
                <w:rFonts w:hint="eastAsia" w:ascii="宋体" w:hAnsi="宋体"/>
                <w:szCs w:val="21"/>
              </w:rPr>
              <w:t>日上午</w:t>
            </w:r>
            <w:r>
              <w:rPr>
                <w:rFonts w:ascii="宋体" w:hAnsi="宋体"/>
                <w:szCs w:val="21"/>
              </w:rPr>
              <w:t>9</w:t>
            </w:r>
            <w:r>
              <w:rPr>
                <w:rFonts w:hint="eastAsia" w:ascii="宋体" w:hAnsi="宋体"/>
                <w:szCs w:val="21"/>
              </w:rPr>
              <w:t>：</w:t>
            </w:r>
            <w:r>
              <w:rPr>
                <w:rFonts w:ascii="宋体" w:hAnsi="宋体"/>
                <w:szCs w:val="21"/>
              </w:rPr>
              <w:t>0</w:t>
            </w:r>
            <w:r>
              <w:rPr>
                <w:rFonts w:hint="eastAsia" w:ascii="宋体" w:hAnsi="宋体"/>
                <w:szCs w:val="21"/>
              </w:rPr>
              <w:t>0正</w:t>
            </w:r>
            <w:r>
              <w:rPr>
                <w:rFonts w:ascii="宋体" w:hAnsi="宋体"/>
                <w:szCs w:val="21"/>
              </w:rPr>
              <w:t xml:space="preserve"> (</w:t>
            </w:r>
            <w:r>
              <w:rPr>
                <w:rFonts w:hint="eastAsia" w:ascii="宋体" w:hAnsi="宋体"/>
                <w:szCs w:val="21"/>
              </w:rPr>
              <w:t>北京时间</w:t>
            </w:r>
            <w:r>
              <w:rPr>
                <w:rFonts w:ascii="宋体" w:hAnsi="宋体"/>
                <w:szCs w:val="21"/>
              </w:rPr>
              <w:t>)</w:t>
            </w:r>
          </w:p>
          <w:p>
            <w:pPr>
              <w:spacing w:line="276" w:lineRule="auto"/>
              <w:rPr>
                <w:rFonts w:ascii="宋体" w:hAnsi="宋体"/>
                <w:szCs w:val="21"/>
              </w:rPr>
            </w:pPr>
            <w:r>
              <w:rPr>
                <w:sz w:val="22"/>
                <w:szCs w:val="22"/>
              </w:rPr>
              <w:t>开标地点（网址）：</w:t>
            </w:r>
            <w:r>
              <w:rPr>
                <w:rFonts w:hint="eastAsia" w:ascii="宋体" w:hAnsi="宋体"/>
                <w:szCs w:val="21"/>
              </w:rPr>
              <w:t>瑞安市公共资源交易中心开标室；（见当天大厅公示栏）</w:t>
            </w:r>
          </w:p>
          <w:p>
            <w:pPr>
              <w:rPr>
                <w:rFonts w:ascii="宋体" w:hAnsi="宋体"/>
                <w:szCs w:val="21"/>
              </w:rPr>
            </w:pPr>
            <w:r>
              <w:rPr>
                <w:rFonts w:hint="eastAsia" w:ascii="宋体" w:hAnsi="宋体"/>
                <w:b/>
                <w:bCs/>
                <w:szCs w:val="21"/>
              </w:rPr>
              <w:t>（本项目采用在线投标方式，投标供应商无须前往投标现场。）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452"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hint="eastAsia" w:ascii="宋体" w:hAnsi="宋体" w:cs="Arial"/>
                <w:szCs w:val="21"/>
              </w:rPr>
            </w:pPr>
            <w:r>
              <w:rPr>
                <w:rFonts w:hint="eastAsia" w:ascii="宋体" w:hAnsi="宋体" w:cs="Arial"/>
                <w:szCs w:val="21"/>
              </w:rPr>
              <w:t>投标文件上传和递交</w:t>
            </w:r>
          </w:p>
        </w:tc>
        <w:tc>
          <w:tcPr>
            <w:tcW w:w="6638" w:type="dxa"/>
            <w:noWrap w:val="0"/>
            <w:vAlign w:val="center"/>
          </w:tcPr>
          <w:p>
            <w:pPr>
              <w:spacing w:line="276" w:lineRule="auto"/>
              <w:rPr>
                <w:rFonts w:hint="eastAsia" w:ascii="宋体" w:hAnsi="宋体"/>
                <w:szCs w:val="21"/>
              </w:rPr>
            </w:pPr>
            <w:r>
              <w:rPr>
                <w:rFonts w:hint="eastAsia" w:ascii="宋体" w:hAnsi="宋体"/>
                <w:szCs w:val="21"/>
              </w:rPr>
              <w:t>本项目通过“政府采购云平台（www.zcygov.cn）”实行在线投标响应（电子投标），投标供应商应当在投标截止时间前，将生成的“电子加密投标文件”上传递交至“政府采购云平台”。</w:t>
            </w:r>
          </w:p>
          <w:p>
            <w:pPr>
              <w:spacing w:line="276" w:lineRule="auto"/>
              <w:rPr>
                <w:rFonts w:hint="eastAsia" w:ascii="宋体" w:hAnsi="宋体"/>
                <w:szCs w:val="21"/>
              </w:rPr>
            </w:pPr>
            <w:r>
              <w:rPr>
                <w:rFonts w:hint="eastAsia" w:ascii="宋体" w:hAnsi="宋体"/>
                <w:szCs w:val="21"/>
              </w:rPr>
              <w:t>a.投标供应商应在投标截止时间前将“电子加密投标文件”成功上传递交至“政府采购云平台”，否则投标无效。</w:t>
            </w:r>
          </w:p>
          <w:p>
            <w:pPr>
              <w:spacing w:line="276" w:lineRule="auto"/>
              <w:rPr>
                <w:rFonts w:ascii="宋体" w:hAnsi="宋体"/>
                <w:szCs w:val="21"/>
              </w:rPr>
            </w:pPr>
            <w:r>
              <w:rPr>
                <w:rFonts w:hint="eastAsia" w:ascii="宋体" w:hAnsi="宋体"/>
                <w:szCs w:val="21"/>
              </w:rPr>
              <w:t>b.“电子加密投标文件”成功上传递交后，供应商可自行打印投标文件接收回执。</w:t>
            </w:r>
          </w:p>
          <w:p>
            <w:pPr>
              <w:rPr>
                <w:rFonts w:hint="eastAsia" w:ascii="宋体" w:hAnsi="宋体" w:cs="Arial"/>
                <w:szCs w:val="21"/>
              </w:rPr>
            </w:pPr>
            <w:r>
              <w:rPr>
                <w:rFonts w:hint="eastAsia" w:ascii="宋体" w:hAnsi="宋体"/>
                <w:szCs w:val="21"/>
              </w:rPr>
              <w:t>c</w:t>
            </w:r>
            <w:r>
              <w:rPr>
                <w:rFonts w:ascii="宋体" w:hAnsi="宋体"/>
                <w:szCs w:val="21"/>
              </w:rPr>
              <w:t>.</w:t>
            </w:r>
            <w:r>
              <w:rPr>
                <w:rFonts w:hint="eastAsia"/>
              </w:rPr>
              <w:t xml:space="preserve"> </w:t>
            </w:r>
            <w:r>
              <w:rPr>
                <w:rFonts w:hint="eastAsia" w:ascii="宋体" w:hAnsi="宋体"/>
                <w:szCs w:val="21"/>
              </w:rPr>
              <w:t>投标截止时间前可以补充、修改或者撤回电子投标响应文件。补充或者修改电子投标响应文件的，应当先行撤回原文件，补充、修改后重新传输递交。投标截止时间前未完成传输的，视为撤回投标响应文件。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452"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hint="eastAsia" w:ascii="宋体" w:hAnsi="宋体" w:cs="Arial"/>
                <w:szCs w:val="21"/>
              </w:rPr>
              <w:t>电子加密投标文件的解密和异常情况处理</w:t>
            </w:r>
          </w:p>
        </w:tc>
        <w:tc>
          <w:tcPr>
            <w:tcW w:w="6638" w:type="dxa"/>
            <w:noWrap w:val="0"/>
            <w:vAlign w:val="center"/>
          </w:tcPr>
          <w:p>
            <w:pPr>
              <w:spacing w:line="276" w:lineRule="auto"/>
              <w:rPr>
                <w:rFonts w:hint="eastAsia" w:ascii="宋体" w:hAnsi="宋体"/>
                <w:szCs w:val="21"/>
              </w:rPr>
            </w:pPr>
            <w:r>
              <w:rPr>
                <w:rFonts w:hint="eastAsia" w:ascii="宋体" w:hAnsi="宋体"/>
                <w:szCs w:val="21"/>
              </w:rPr>
              <w:t>1、投标截止时间后，向各供应商发出电子加密投标响应文件【开始解密】通知，由供应商按采购文件规定的时间内自行进行投标响应文件解密。投标供应商登录政采云平台，用“项目采购-开标评标”功能对电子投标响应文件进行在线解密。各投标供应商代表应当在接到解密通知后30分钟内自行完成“电子加密投标文件”的在线解密；。</w:t>
            </w:r>
          </w:p>
          <w:p>
            <w:pPr>
              <w:rPr>
                <w:rFonts w:ascii="宋体" w:hAnsi="宋体" w:cs="Arial"/>
                <w:szCs w:val="21"/>
              </w:rPr>
            </w:pPr>
            <w:r>
              <w:rPr>
                <w:rFonts w:hint="eastAsia" w:ascii="宋体" w:hAnsi="宋体"/>
                <w:szCs w:val="21"/>
              </w:rPr>
              <w:t>2、通过“政府采购云平台”上传递交的“电子加密投标文件”无法按时解密的，视为投标文件撤回。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82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hint="eastAsia" w:ascii="宋体" w:hAnsi="宋体" w:cs="Arial"/>
                <w:szCs w:val="21"/>
              </w:rPr>
            </w:pPr>
            <w:r>
              <w:rPr>
                <w:rFonts w:hint="eastAsia" w:ascii="宋体" w:hAnsi="宋体" w:cs="Arial"/>
                <w:szCs w:val="21"/>
              </w:rPr>
              <w:t>评审委员会的</w:t>
            </w:r>
          </w:p>
          <w:p>
            <w:pPr>
              <w:jc w:val="center"/>
              <w:rPr>
                <w:rFonts w:ascii="宋体" w:hAnsi="宋体" w:cs="Arial"/>
                <w:szCs w:val="21"/>
              </w:rPr>
            </w:pPr>
            <w:r>
              <w:rPr>
                <w:rFonts w:hint="eastAsia" w:ascii="宋体" w:hAnsi="宋体" w:cs="Arial"/>
                <w:szCs w:val="21"/>
              </w:rPr>
              <w:t>组建</w:t>
            </w:r>
          </w:p>
        </w:tc>
        <w:tc>
          <w:tcPr>
            <w:tcW w:w="6638" w:type="dxa"/>
            <w:noWrap w:val="0"/>
            <w:vAlign w:val="center"/>
          </w:tcPr>
          <w:p>
            <w:pPr>
              <w:rPr>
                <w:rFonts w:ascii="宋体" w:hAnsi="宋体" w:cs="Arial"/>
                <w:szCs w:val="21"/>
              </w:rPr>
            </w:pPr>
            <w:r>
              <w:rPr>
                <w:rFonts w:hint="eastAsia" w:ascii="宋体" w:hAnsi="宋体" w:cs="Arial"/>
                <w:szCs w:val="21"/>
              </w:rPr>
              <w:t>评审委员会构成： 由采购人代表以及有关技术、经济等方面的专家组成，成员为</w:t>
            </w:r>
            <w:r>
              <w:rPr>
                <w:rFonts w:ascii="宋体" w:hAnsi="宋体" w:cs="Arial"/>
                <w:szCs w:val="21"/>
              </w:rPr>
              <w:t>7</w:t>
            </w:r>
            <w:r>
              <w:rPr>
                <w:rFonts w:hint="eastAsia" w:ascii="宋体" w:hAnsi="宋体" w:cs="Arial"/>
                <w:szCs w:val="21"/>
              </w:rPr>
              <w:t>人及以上单数，其中技术、经济类专家不得少于总人数的2/3；评标专家确定方式：按相关规定从专家库中抽取。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359"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adjustRightInd w:val="0"/>
              <w:jc w:val="center"/>
              <w:rPr>
                <w:rFonts w:ascii="宋体"/>
                <w:szCs w:val="21"/>
              </w:rPr>
            </w:pPr>
            <w:r>
              <w:rPr>
                <w:rFonts w:ascii="宋体"/>
                <w:szCs w:val="21"/>
              </w:rPr>
              <w:t>政府采购</w:t>
            </w:r>
          </w:p>
          <w:p>
            <w:pPr>
              <w:adjustRightInd w:val="0"/>
              <w:jc w:val="center"/>
              <w:rPr>
                <w:rFonts w:hint="eastAsia" w:ascii="宋体"/>
                <w:szCs w:val="21"/>
              </w:rPr>
            </w:pPr>
            <w:r>
              <w:rPr>
                <w:rFonts w:hint="eastAsia" w:ascii="宋体"/>
                <w:szCs w:val="21"/>
              </w:rPr>
              <w:t>扶持</w:t>
            </w:r>
            <w:r>
              <w:rPr>
                <w:rFonts w:ascii="宋体"/>
                <w:szCs w:val="21"/>
              </w:rPr>
              <w:t>政策</w:t>
            </w:r>
          </w:p>
        </w:tc>
        <w:tc>
          <w:tcPr>
            <w:tcW w:w="6638" w:type="dxa"/>
            <w:noWrap w:val="0"/>
            <w:vAlign w:val="center"/>
          </w:tcPr>
          <w:p>
            <w:pPr>
              <w:rPr>
                <w:rFonts w:ascii="宋体" w:cs="Arial"/>
                <w:szCs w:val="21"/>
              </w:rPr>
            </w:pPr>
            <w:r>
              <w:rPr>
                <w:rFonts w:hint="eastAsia" w:ascii="宋体" w:cs="Arial"/>
                <w:szCs w:val="21"/>
              </w:rPr>
              <w:t>1、对符合财政扶持政策的小微企业（或监狱企业、或残疾人福利性单位）给予评标价格6%的折扣。供应商企业属于以上多种性质的，</w:t>
            </w:r>
            <w:r>
              <w:rPr>
                <w:rFonts w:ascii="宋体" w:cs="Arial"/>
                <w:szCs w:val="21"/>
              </w:rPr>
              <w:t>不重复享受</w:t>
            </w:r>
            <w:r>
              <w:rPr>
                <w:rFonts w:hint="eastAsia" w:ascii="宋体" w:cs="Arial"/>
                <w:szCs w:val="21"/>
              </w:rPr>
              <w:t>扶持</w:t>
            </w:r>
            <w:r>
              <w:rPr>
                <w:rFonts w:ascii="宋体" w:cs="Arial"/>
                <w:szCs w:val="21"/>
              </w:rPr>
              <w:t>政策</w:t>
            </w:r>
            <w:r>
              <w:rPr>
                <w:rFonts w:hint="eastAsia" w:ascii="宋体" w:cs="Arial"/>
                <w:szCs w:val="21"/>
              </w:rPr>
              <w:t>。</w:t>
            </w:r>
          </w:p>
          <w:p>
            <w:pPr>
              <w:rPr>
                <w:rFonts w:hint="eastAsia" w:ascii="宋体" w:cs="Arial"/>
                <w:szCs w:val="21"/>
              </w:rPr>
            </w:pPr>
            <w:r>
              <w:rPr>
                <w:rFonts w:hint="eastAsia" w:ascii="宋体" w:cs="Arial"/>
                <w:szCs w:val="21"/>
              </w:rPr>
              <w:t>2、根据《工业和信息化部、国家统计局、国家发展和改革委员会、财政部关于印发中小企业划型标准规定的通知》（工信部联企业[2011]300号），本项目所属行业为：</w:t>
            </w:r>
            <w:r>
              <w:rPr>
                <w:rFonts w:hint="eastAsia" w:ascii="宋体" w:cs="Arial"/>
                <w:b/>
                <w:bCs/>
                <w:szCs w:val="21"/>
              </w:rPr>
              <w:t>其他未列明行业（包括科学研究和技术服务业，水利、环境和公共设施管理业，居民服务、修理和其他服务业，社会工作，文化、体育和娱乐业等）</w:t>
            </w:r>
            <w:r>
              <w:rPr>
                <w:rFonts w:hint="eastAsia" w:ascii="宋体" w:cs="Arial"/>
                <w:szCs w:val="21"/>
              </w:rPr>
              <w:t>，投标供应商属于招标文件中明确的行业所对应的小微企业享受价格优惠折扣。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82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rPr>
                <w:rFonts w:ascii="宋体" w:cs="Arial"/>
                <w:szCs w:val="21"/>
              </w:rPr>
            </w:pPr>
            <w:r>
              <w:rPr>
                <w:rFonts w:hint="eastAsia" w:ascii="宋体" w:cs="Arial"/>
                <w:szCs w:val="21"/>
              </w:rPr>
              <w:t>供应商信用查询</w:t>
            </w:r>
          </w:p>
        </w:tc>
        <w:tc>
          <w:tcPr>
            <w:tcW w:w="6638" w:type="dxa"/>
            <w:noWrap w:val="0"/>
            <w:vAlign w:val="center"/>
          </w:tcPr>
          <w:p>
            <w:pPr>
              <w:rPr>
                <w:rFonts w:ascii="宋体" w:cs="Arial"/>
                <w:szCs w:val="21"/>
              </w:rPr>
            </w:pPr>
            <w:r>
              <w:rPr>
                <w:rFonts w:ascii="宋体" w:cs="Arial"/>
                <w:szCs w:val="21"/>
              </w:rPr>
              <w:t>1</w:t>
            </w:r>
            <w:r>
              <w:rPr>
                <w:rFonts w:hint="eastAsia" w:ascii="宋体" w:cs="Arial"/>
                <w:szCs w:val="21"/>
              </w:rPr>
              <w:t>、投标供应商</w:t>
            </w:r>
            <w:r>
              <w:rPr>
                <w:rFonts w:ascii="宋体" w:cs="Arial"/>
                <w:szCs w:val="21"/>
              </w:rPr>
              <w:t>信用信息查询的查询渠道</w:t>
            </w:r>
            <w:r>
              <w:rPr>
                <w:rFonts w:hint="eastAsia" w:ascii="宋体" w:cs="Arial"/>
                <w:szCs w:val="21"/>
              </w:rPr>
              <w:t>：</w:t>
            </w:r>
            <w:r>
              <w:rPr>
                <w:rFonts w:ascii="宋体" w:cs="Arial"/>
                <w:szCs w:val="21"/>
              </w:rPr>
              <w:t>“信用中国”(</w:t>
            </w:r>
            <w:r>
              <w:rPr>
                <w:rFonts w:ascii="宋体" w:cs="Arial"/>
                <w:szCs w:val="21"/>
              </w:rPr>
              <w:fldChar w:fldCharType="begin"/>
            </w:r>
            <w:r>
              <w:rPr>
                <w:rFonts w:ascii="宋体" w:cs="Arial"/>
                <w:szCs w:val="21"/>
              </w:rPr>
              <w:instrText xml:space="preserve"> HYPERLINK "http://www.creditchina.gov.cn" </w:instrText>
            </w:r>
            <w:r>
              <w:rPr>
                <w:rFonts w:ascii="宋体" w:cs="Arial"/>
                <w:szCs w:val="21"/>
              </w:rPr>
              <w:fldChar w:fldCharType="separate"/>
            </w:r>
            <w:r>
              <w:rPr>
                <w:rFonts w:ascii="宋体" w:cs="Arial"/>
                <w:szCs w:val="21"/>
              </w:rPr>
              <w:t>www.creditchina.gov.cn</w:t>
            </w:r>
            <w:r>
              <w:rPr>
                <w:rFonts w:ascii="宋体" w:cs="Arial"/>
                <w:szCs w:val="21"/>
              </w:rPr>
              <w:fldChar w:fldCharType="end"/>
            </w:r>
            <w:r>
              <w:rPr>
                <w:rFonts w:ascii="宋体" w:cs="Arial"/>
                <w:szCs w:val="21"/>
              </w:rPr>
              <w:t>)</w:t>
            </w:r>
            <w:r>
              <w:rPr>
                <w:rFonts w:hint="eastAsia" w:ascii="宋体" w:cs="Arial"/>
                <w:szCs w:val="21"/>
              </w:rPr>
              <w:t>；“中国政府采购网”（</w:t>
            </w:r>
            <w:r>
              <w:rPr>
                <w:rFonts w:ascii="宋体" w:cs="Arial"/>
                <w:szCs w:val="21"/>
              </w:rPr>
              <w:t>http://www.ccgp.gov.cn/</w:t>
            </w:r>
            <w:r>
              <w:rPr>
                <w:rFonts w:hint="eastAsia" w:ascii="宋体" w:cs="Arial"/>
                <w:szCs w:val="21"/>
              </w:rPr>
              <w:t>）；</w:t>
            </w:r>
          </w:p>
          <w:p>
            <w:pPr>
              <w:rPr>
                <w:rFonts w:ascii="宋体" w:cs="Arial"/>
                <w:szCs w:val="21"/>
              </w:rPr>
            </w:pPr>
            <w:r>
              <w:rPr>
                <w:rFonts w:hint="eastAsia" w:ascii="宋体" w:cs="Arial"/>
                <w:szCs w:val="21"/>
              </w:rPr>
              <w:t>2、投标供应商信用信息查询</w:t>
            </w:r>
            <w:r>
              <w:rPr>
                <w:rFonts w:ascii="宋体" w:cs="Arial"/>
                <w:szCs w:val="21"/>
              </w:rPr>
              <w:t>截止时点</w:t>
            </w:r>
            <w:r>
              <w:rPr>
                <w:rFonts w:hint="eastAsia" w:ascii="宋体" w:cs="Arial"/>
                <w:szCs w:val="21"/>
              </w:rPr>
              <w:t>：本项目投标截止时间。</w:t>
            </w:r>
          </w:p>
          <w:p>
            <w:pPr>
              <w:rPr>
                <w:rFonts w:ascii="宋体" w:cs="Arial"/>
                <w:szCs w:val="21"/>
              </w:rPr>
            </w:pPr>
            <w:r>
              <w:rPr>
                <w:rFonts w:hint="eastAsia" w:ascii="宋体" w:cs="Arial"/>
                <w:szCs w:val="21"/>
              </w:rPr>
              <w:t>3、投标供应商</w:t>
            </w:r>
            <w:r>
              <w:rPr>
                <w:rFonts w:ascii="宋体" w:cs="Arial"/>
                <w:szCs w:val="21"/>
              </w:rPr>
              <w:t>信用信息查询记录和证据留存的具体方式</w:t>
            </w:r>
            <w:r>
              <w:rPr>
                <w:rFonts w:hint="eastAsia" w:ascii="宋体" w:cs="Arial"/>
                <w:szCs w:val="21"/>
              </w:rPr>
              <w:t>：网页截图打印；</w:t>
            </w:r>
          </w:p>
          <w:p>
            <w:pPr>
              <w:rPr>
                <w:rFonts w:hint="eastAsia" w:ascii="宋体" w:cs="Arial"/>
                <w:szCs w:val="21"/>
              </w:rPr>
            </w:pPr>
            <w:r>
              <w:rPr>
                <w:rFonts w:hint="eastAsia" w:ascii="宋体" w:cs="Arial"/>
                <w:szCs w:val="21"/>
              </w:rPr>
              <w:t>4、</w:t>
            </w:r>
            <w:r>
              <w:rPr>
                <w:rFonts w:ascii="宋体" w:cs="Arial"/>
                <w:szCs w:val="21"/>
              </w:rPr>
              <w:t>信用信息的使用规则</w:t>
            </w:r>
            <w:r>
              <w:rPr>
                <w:rFonts w:hint="eastAsia" w:ascii="宋体" w:cs="Arial"/>
                <w:szCs w:val="21"/>
              </w:rPr>
              <w:t xml:space="preserve">：“信用中国”具有负面记录或受惩黑名单的供应商，或“中国政府采购网”具有严重违法失信行为信息记录的供应商，其投标做无效投标处理；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82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szCs w:val="21"/>
              </w:rPr>
            </w:pPr>
            <w:r>
              <w:rPr>
                <w:rFonts w:hint="eastAsia" w:ascii="宋体" w:hAnsi="宋体"/>
                <w:szCs w:val="21"/>
              </w:rPr>
              <w:t>诚信履约管理</w:t>
            </w:r>
          </w:p>
        </w:tc>
        <w:tc>
          <w:tcPr>
            <w:tcW w:w="6638" w:type="dxa"/>
            <w:noWrap w:val="0"/>
            <w:vAlign w:val="center"/>
          </w:tcPr>
          <w:p>
            <w:pPr>
              <w:rPr>
                <w:rFonts w:ascii="宋体" w:hAnsi="宋体" w:cs="Arial"/>
                <w:szCs w:val="21"/>
              </w:rPr>
            </w:pPr>
            <w:r>
              <w:rPr>
                <w:rFonts w:hint="eastAsia" w:ascii="宋体" w:hAnsi="宋体" w:cs="Arial"/>
                <w:szCs w:val="21"/>
              </w:rPr>
              <w:t>合同签订后，采购人依法加强对合同履约进行管理，并在中标单位供货、项目验收等重要关节，如实填写《诚信评价反馈表》（表附合同条款中），及时向市公共资源交易中心报备。建立中标供应商诚信履约评价制度，结果纳入诚信档案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82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ascii="宋体" w:hAnsi="宋体" w:cs="Arial"/>
                <w:szCs w:val="21"/>
              </w:rPr>
            </w:pPr>
            <w:r>
              <w:rPr>
                <w:rFonts w:ascii="宋体" w:hAnsi="宋体" w:cs="Arial"/>
                <w:szCs w:val="21"/>
              </w:rPr>
              <w:t>解释</w:t>
            </w:r>
            <w:r>
              <w:rPr>
                <w:rFonts w:hint="eastAsia" w:ascii="宋体" w:hAnsi="宋体" w:cs="Arial"/>
                <w:szCs w:val="21"/>
              </w:rPr>
              <w:t>权</w:t>
            </w:r>
          </w:p>
        </w:tc>
        <w:tc>
          <w:tcPr>
            <w:tcW w:w="6638" w:type="dxa"/>
            <w:noWrap w:val="0"/>
            <w:vAlign w:val="center"/>
          </w:tcPr>
          <w:p>
            <w:pPr>
              <w:rPr>
                <w:rFonts w:hint="eastAsia" w:ascii="宋体" w:hAnsi="宋体" w:cs="Arial"/>
                <w:szCs w:val="21"/>
              </w:rPr>
            </w:pPr>
            <w:r>
              <w:rPr>
                <w:rFonts w:ascii="宋体" w:hAnsi="宋体" w:cs="Arial"/>
                <w:szCs w:val="21"/>
              </w:rPr>
              <w:t>构成本招标文件的各个组成文件应互为解释，互为说明；如有不明确或不一致，构成合同文件组成内容的，以合同文件约定内容为准，且以专用合同条款约定的合同文件优先顺序解释；仅适用于招标投标阶段的约定，按招标公告、投标供应商须知、评标办法、投标文件格式的先后顺序解释；同一文件中就同一事项的约定不一致的，以逻辑顺序在后者为准；同一文件不同版本之间有不一致的，以形成时间在后者为准。按本款前述约定仍不能形成结论的，由采购人负责解释</w:t>
            </w:r>
            <w:r>
              <w:rPr>
                <w:rFonts w:hint="eastAsia" w:ascii="宋体" w:hAnsi="宋体" w:cs="Arial"/>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82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hint="eastAsia" w:ascii="宋体" w:hAnsi="宋体" w:cs="Arial"/>
                <w:szCs w:val="21"/>
              </w:rPr>
            </w:pPr>
            <w:r>
              <w:rPr>
                <w:rFonts w:hint="eastAsia" w:ascii="宋体" w:hAnsi="宋体" w:cs="Arial"/>
                <w:szCs w:val="21"/>
              </w:rPr>
              <w:t>合同管理</w:t>
            </w:r>
          </w:p>
        </w:tc>
        <w:tc>
          <w:tcPr>
            <w:tcW w:w="6638" w:type="dxa"/>
            <w:noWrap w:val="0"/>
            <w:vAlign w:val="center"/>
          </w:tcPr>
          <w:p>
            <w:pPr>
              <w:rPr>
                <w:rFonts w:hint="eastAsia" w:ascii="宋体" w:hAnsi="宋体" w:cs="Arial"/>
                <w:szCs w:val="21"/>
              </w:rPr>
            </w:pPr>
            <w:r>
              <w:rPr>
                <w:rFonts w:hint="eastAsia" w:ascii="宋体" w:hAnsi="宋体" w:cs="Arial"/>
                <w:szCs w:val="21"/>
              </w:rPr>
              <w:t>中标供应商与采购人签订合同后，五个工作日内将合同原件交杭州华旗招标代理有限公司备案。合同原件扫描件电子版发给杭州华旗招标代理有限公司：邮箱：</w:t>
            </w:r>
            <w:r>
              <w:rPr>
                <w:rFonts w:hint="eastAsia" w:ascii="宋体" w:hAnsi="宋体" w:cs="Arial"/>
                <w:szCs w:val="21"/>
              </w:rPr>
              <w:fldChar w:fldCharType="begin"/>
            </w:r>
            <w:r>
              <w:rPr>
                <w:rStyle w:val="43"/>
                <w:rFonts w:hint="eastAsia" w:ascii="宋体" w:hAnsi="宋体" w:cs="Arial"/>
                <w:color w:val="auto"/>
                <w:szCs w:val="21"/>
              </w:rPr>
              <w:instrText xml:space="preserve"> HYPERLINK "mailto:250453502@qq.com" </w:instrText>
            </w:r>
            <w:r>
              <w:rPr>
                <w:rFonts w:hint="eastAsia" w:ascii="宋体" w:hAnsi="宋体" w:cs="Arial"/>
                <w:szCs w:val="21"/>
              </w:rPr>
              <w:fldChar w:fldCharType="separate"/>
            </w:r>
            <w:r>
              <w:rPr>
                <w:rStyle w:val="43"/>
                <w:rFonts w:hint="eastAsia" w:ascii="宋体" w:hAnsi="宋体" w:cs="Arial"/>
                <w:color w:val="auto"/>
                <w:szCs w:val="21"/>
              </w:rPr>
              <w:t>446156523@qq.com</w:t>
            </w:r>
            <w:r>
              <w:rPr>
                <w:rFonts w:hint="eastAsia" w:ascii="宋体" w:hAnsi="宋体" w:cs="Arial"/>
                <w:szCs w:val="21"/>
              </w:rPr>
              <w:fldChar w:fldCharType="end"/>
            </w:r>
            <w:r>
              <w:rPr>
                <w:rFonts w:hint="eastAsia" w:ascii="宋体" w:hAnsi="宋体" w:cs="Arial"/>
                <w:szCs w:val="21"/>
              </w:rPr>
              <w:t>；或者传真至华旗招标代理有限公司。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82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hint="eastAsia" w:ascii="宋体" w:hAnsi="宋体" w:cs="Arial"/>
                <w:szCs w:val="21"/>
              </w:rPr>
            </w:pPr>
            <w:r>
              <w:rPr>
                <w:rFonts w:hint="eastAsia" w:ascii="宋体" w:hAnsi="宋体"/>
                <w:sz w:val="22"/>
                <w:szCs w:val="22"/>
              </w:rPr>
              <w:t>注意事项</w:t>
            </w:r>
          </w:p>
        </w:tc>
        <w:tc>
          <w:tcPr>
            <w:tcW w:w="6638" w:type="dxa"/>
            <w:noWrap w:val="0"/>
            <w:vAlign w:val="center"/>
          </w:tcPr>
          <w:p>
            <w:pPr>
              <w:rPr>
                <w:rFonts w:hint="eastAsia" w:ascii="宋体" w:hAnsi="宋体" w:cs="Courier New"/>
                <w:sz w:val="22"/>
                <w:szCs w:val="22"/>
              </w:rPr>
            </w:pPr>
            <w:r>
              <w:rPr>
                <w:rFonts w:hint="eastAsia" w:ascii="宋体" w:hAnsi="宋体" w:cs="Courier New"/>
                <w:sz w:val="22"/>
                <w:szCs w:val="22"/>
              </w:rPr>
              <w:t>1.请务必确保投标文件制作客户端为最新版本，旧版本可能导致投标文件解密失败。</w:t>
            </w:r>
          </w:p>
          <w:p>
            <w:pPr>
              <w:rPr>
                <w:rFonts w:ascii="宋体" w:hAnsi="宋体" w:cs="Courier New"/>
                <w:sz w:val="22"/>
                <w:szCs w:val="22"/>
              </w:rPr>
            </w:pPr>
            <w:r>
              <w:rPr>
                <w:rFonts w:hint="eastAsia" w:ascii="宋体" w:hAnsi="宋体" w:cs="Courier New"/>
                <w:sz w:val="22"/>
                <w:szCs w:val="22"/>
              </w:rPr>
              <w:t>2.请务必确保投标文件制作时所用的 CA 锁与投标文件解密时的 CA 锁为同一把，否则可能导致投标文件解密失败。</w:t>
            </w:r>
          </w:p>
          <w:p>
            <w:pPr>
              <w:rPr>
                <w:rFonts w:hint="eastAsia" w:ascii="宋体" w:hAnsi="宋体" w:cs="Courier New"/>
                <w:sz w:val="22"/>
                <w:szCs w:val="22"/>
              </w:rPr>
            </w:pPr>
            <w:r>
              <w:rPr>
                <w:rFonts w:hint="eastAsia" w:ascii="宋体" w:hAnsi="宋体" w:cs="Courier New"/>
                <w:sz w:val="22"/>
                <w:szCs w:val="22"/>
              </w:rPr>
              <w:t>3</w:t>
            </w:r>
            <w:r>
              <w:rPr>
                <w:rFonts w:ascii="宋体" w:hAnsi="宋体" w:cs="Courier New"/>
                <w:sz w:val="22"/>
                <w:szCs w:val="22"/>
              </w:rPr>
              <w:t>.</w:t>
            </w:r>
            <w:r>
              <w:rPr>
                <w:rFonts w:hint="eastAsia" w:ascii="宋体" w:hAnsi="宋体" w:cs="Courier New"/>
                <w:sz w:val="22"/>
                <w:szCs w:val="22"/>
              </w:rPr>
              <w:t xml:space="preserve"> 在投标文件解密前，请务必检验 CA 锁与所用电脑的兼容性，部分电脑因 CA 驱动未正常安装、USB 接口兼容性差等原因可能造成投标文件解密失败</w:t>
            </w:r>
          </w:p>
          <w:p>
            <w:pPr>
              <w:rPr>
                <w:rFonts w:hint="eastAsia" w:ascii="宋体" w:hAnsi="宋体" w:cs="Courier New"/>
                <w:sz w:val="22"/>
                <w:szCs w:val="22"/>
              </w:rPr>
            </w:pPr>
            <w:r>
              <w:rPr>
                <w:rFonts w:ascii="宋体" w:hAnsi="宋体" w:cs="Courier New"/>
                <w:sz w:val="22"/>
                <w:szCs w:val="22"/>
              </w:rPr>
              <w:t>4.</w:t>
            </w:r>
            <w:r>
              <w:rPr>
                <w:rFonts w:hint="eastAsia" w:ascii="宋体" w:hAnsi="宋体" w:cs="Courier New"/>
                <w:sz w:val="22"/>
                <w:szCs w:val="22"/>
              </w:rPr>
              <w:t>中标供应商应在标后提供投标文件纸质文件3套，内容须与电子版本保持一致，如有擅自改变的，由其承担法律责任。</w:t>
            </w:r>
          </w:p>
          <w:p>
            <w:pPr>
              <w:rPr>
                <w:rFonts w:hint="eastAsia" w:ascii="宋体" w:hAnsi="宋体"/>
                <w:color w:val="000000"/>
                <w:kern w:val="2"/>
                <w:sz w:val="22"/>
                <w:szCs w:val="22"/>
              </w:rPr>
            </w:pPr>
            <w:r>
              <w:rPr>
                <w:rFonts w:ascii="宋体" w:hAnsi="宋体" w:cs="Courier New"/>
                <w:sz w:val="22"/>
                <w:szCs w:val="22"/>
              </w:rPr>
              <w:t>5.</w:t>
            </w:r>
            <w:r>
              <w:rPr>
                <w:rFonts w:hint="eastAsia" w:ascii="宋体" w:hAnsi="宋体" w:cs="Courier New"/>
                <w:sz w:val="22"/>
                <w:szCs w:val="22"/>
              </w:rPr>
              <w:t>中标单位需成为“浙江省政府采购供应商库”的正式入库单位后，方可进行在政采云上进行合同备案。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wBefore w:w="0" w:type="dxa"/>
          <w:trHeight w:val="824" w:hRule="atLeast"/>
          <w:jc w:val="center"/>
        </w:trPr>
        <w:tc>
          <w:tcPr>
            <w:tcW w:w="645" w:type="dxa"/>
            <w:noWrap w:val="0"/>
            <w:vAlign w:val="center"/>
          </w:tcPr>
          <w:p>
            <w:pPr>
              <w:numPr>
                <w:ilvl w:val="0"/>
                <w:numId w:val="3"/>
              </w:numPr>
              <w:jc w:val="right"/>
              <w:rPr>
                <w:rFonts w:ascii="宋体" w:hAnsi="宋体" w:cs="Arial"/>
                <w:szCs w:val="21"/>
              </w:rPr>
            </w:pPr>
          </w:p>
        </w:tc>
        <w:tc>
          <w:tcPr>
            <w:tcW w:w="1812" w:type="dxa"/>
            <w:noWrap w:val="0"/>
            <w:vAlign w:val="center"/>
          </w:tcPr>
          <w:p>
            <w:pPr>
              <w:jc w:val="center"/>
              <w:rPr>
                <w:rFonts w:hint="eastAsia" w:ascii="宋体" w:hAnsi="宋体"/>
                <w:sz w:val="22"/>
                <w:szCs w:val="22"/>
              </w:rPr>
            </w:pPr>
            <w:r>
              <w:rPr>
                <w:rFonts w:hint="eastAsia" w:ascii="宋体" w:hAnsi="宋体"/>
                <w:sz w:val="22"/>
                <w:szCs w:val="22"/>
              </w:rPr>
              <w:t>其他说明</w:t>
            </w:r>
          </w:p>
        </w:tc>
        <w:tc>
          <w:tcPr>
            <w:tcW w:w="6638" w:type="dxa"/>
            <w:noWrap w:val="0"/>
            <w:vAlign w:val="center"/>
          </w:tcPr>
          <w:p>
            <w:pPr>
              <w:rPr>
                <w:rFonts w:ascii="宋体" w:hAnsi="宋体" w:cs="Courier New"/>
                <w:sz w:val="22"/>
                <w:szCs w:val="22"/>
              </w:rPr>
            </w:pPr>
            <w:r>
              <w:rPr>
                <w:rFonts w:ascii="宋体" w:hAnsi="宋体" w:cs="Courier New"/>
                <w:sz w:val="22"/>
                <w:szCs w:val="22"/>
              </w:rPr>
              <w:t>1、获取了招标文件，而放弃参加投标的投标供应商，请在开标前1日内以书面形式（传真或书面送达，加盖单位公章）通知杭州华旗招标代理有限公司或于投标截止时间之前登录浙江政府采购网（http://www.zjzfcg.gov.cn）网上取消获取申请。弃标未予告知的，招标机构将在供应商诚信档案中进行记录。</w:t>
            </w:r>
          </w:p>
          <w:p>
            <w:pPr>
              <w:rPr>
                <w:rFonts w:ascii="宋体" w:hAnsi="宋体" w:cs="Courier New"/>
                <w:sz w:val="22"/>
                <w:szCs w:val="22"/>
              </w:rPr>
            </w:pPr>
            <w:r>
              <w:rPr>
                <w:rFonts w:ascii="宋体" w:hAnsi="宋体" w:cs="Courier New"/>
                <w:sz w:val="22"/>
                <w:szCs w:val="22"/>
              </w:rPr>
              <w:t>2、如本项目至采购文件提供期限届满时间时下午17:30时止，如参加项目的有效供应商不足法定家数的，采购人将重新公告组织采购。请您及时关注本项目后续公告。</w:t>
            </w:r>
          </w:p>
          <w:p>
            <w:pPr>
              <w:rPr>
                <w:rFonts w:ascii="宋体" w:hAnsi="宋体" w:cs="Courier New"/>
                <w:sz w:val="22"/>
                <w:szCs w:val="22"/>
              </w:rPr>
            </w:pPr>
            <w:r>
              <w:rPr>
                <w:rFonts w:ascii="宋体" w:hAnsi="宋体" w:cs="Courier New"/>
                <w:sz w:val="22"/>
                <w:szCs w:val="22"/>
              </w:rPr>
              <w:t>3、招标文件提供期限时间之后有潜在供应商提出要求获取招标文件的，将允许其获取，但该供应商如对招标文件有异议的，供应商知道或者应知其权益受到损害之日起七个工作日内，以书面形式向采购人（或采购代理机构）提出质疑。供应商应知其权益受到损害之日，是指：对可以质疑的采购文件提出质疑的，为收到采购文件之日或者采购文件公告期限届满之日（采购文件在招标文件公告期限后获得的，自采购文件公告期限届满之日起计算）；对采购过程提出质疑的，为各采购程序环节结束之日；对中标或者成交结果提出质疑的，为中标或者成交结果公告期限届满之日。</w:t>
            </w:r>
          </w:p>
          <w:p>
            <w:pPr>
              <w:rPr>
                <w:rFonts w:hint="eastAsia" w:ascii="宋体" w:hAnsi="宋体" w:cs="Courier New"/>
                <w:sz w:val="22"/>
                <w:szCs w:val="22"/>
              </w:rPr>
            </w:pPr>
            <w:r>
              <w:rPr>
                <w:rFonts w:ascii="宋体" w:hAnsi="宋体" w:cs="Courier New"/>
                <w:sz w:val="22"/>
                <w:szCs w:val="22"/>
              </w:rPr>
              <w:t>4、潜在供应商应当按照规定方式获取采购文件，未按照规定方式获取采购文件的，不得对采购文件提起质疑投诉。</w:t>
            </w:r>
          </w:p>
          <w:p>
            <w:pPr>
              <w:rPr>
                <w:rFonts w:ascii="宋体" w:hAnsi="宋体" w:cs="Courier New"/>
                <w:sz w:val="22"/>
                <w:szCs w:val="22"/>
              </w:rPr>
            </w:pPr>
            <w:r>
              <w:rPr>
                <w:rFonts w:ascii="宋体" w:hAnsi="宋体" w:cs="Courier New"/>
                <w:sz w:val="22"/>
                <w:szCs w:val="22"/>
              </w:rPr>
              <w:t>5、供应商须在法定质疑期内一次性提出针对同一采购程序环节的质疑，供应商质疑应当有明确的请求和必要的证明材料；采购人及招标代理机构按《政府采购质疑和投诉办法》进行处理供应商质疑事项。质疑函范本、投诉书范本请到浙江政府采购网下载专区下载。</w:t>
            </w:r>
          </w:p>
          <w:p>
            <w:pPr>
              <w:rPr>
                <w:rFonts w:ascii="宋体" w:hAnsi="宋体" w:cs="Courier New"/>
                <w:sz w:val="22"/>
                <w:szCs w:val="22"/>
              </w:rPr>
            </w:pPr>
            <w:r>
              <w:rPr>
                <w:rFonts w:ascii="宋体" w:hAnsi="宋体" w:cs="Courier New"/>
                <w:sz w:val="22"/>
                <w:szCs w:val="22"/>
              </w:rPr>
              <w:t>6、根据《浙江省政府采购供应商注册登记和诚信管理暂行办法》，中标成交的供应商，必须事先申请加入“浙江省政府采购供应商库” 。请供应商登入“浙江政府采购网”进行登记注册。</w:t>
            </w:r>
          </w:p>
          <w:p>
            <w:pPr>
              <w:rPr>
                <w:rFonts w:hint="eastAsia" w:ascii="宋体" w:hAnsi="宋体" w:cs="Courier New"/>
                <w:sz w:val="22"/>
                <w:szCs w:val="22"/>
              </w:rPr>
            </w:pPr>
            <w:r>
              <w:rPr>
                <w:rFonts w:hint="eastAsia" w:ascii="宋体" w:hAnsi="宋体" w:cs="Courier New"/>
                <w:sz w:val="22"/>
                <w:szCs w:val="22"/>
              </w:rPr>
              <w:t>7、本次采购公告同时在浙江政府采购网（</w:t>
            </w:r>
            <w:r>
              <w:rPr>
                <w:rFonts w:ascii="宋体" w:hAnsi="宋体" w:cs="Courier New"/>
                <w:sz w:val="22"/>
                <w:szCs w:val="22"/>
              </w:rPr>
              <w:t>www.zjzfcg.gov.cn）和温州市公共资源交易网瑞安市分网（www.raztb.com）上发布。</w:t>
            </w:r>
          </w:p>
          <w:p>
            <w:pPr>
              <w:rPr>
                <w:rFonts w:hint="eastAsia" w:ascii="宋体" w:hAnsi="宋体" w:cs="Courier New"/>
                <w:sz w:val="22"/>
                <w:szCs w:val="22"/>
              </w:rPr>
            </w:pPr>
            <w:r>
              <w:rPr>
                <w:rFonts w:ascii="宋体" w:hAnsi="宋体" w:cs="Courier New"/>
                <w:sz w:val="22"/>
                <w:szCs w:val="22"/>
              </w:rPr>
              <w:t>8、潜在供应商可在浙江政府采购网进行免费注册，具体详见浙江政府采购网供应商注册要求。</w:t>
            </w:r>
          </w:p>
        </w:tc>
      </w:tr>
    </w:tbl>
    <w:p>
      <w:pPr>
        <w:pStyle w:val="5"/>
        <w:spacing w:before="120" w:beforeLines="50" w:after="120" w:afterLines="50" w:line="400" w:lineRule="atLeast"/>
        <w:jc w:val="center"/>
        <w:rPr>
          <w:sz w:val="24"/>
          <w:szCs w:val="24"/>
        </w:rPr>
      </w:pPr>
      <w:bookmarkStart w:id="19" w:name="_Toc64913325"/>
      <w:r>
        <w:rPr>
          <w:rFonts w:hint="eastAsia"/>
          <w:sz w:val="24"/>
          <w:szCs w:val="24"/>
        </w:rPr>
        <w:t>（二）总   则</w:t>
      </w:r>
      <w:bookmarkEnd w:id="19"/>
    </w:p>
    <w:p>
      <w:pPr>
        <w:numPr>
          <w:ilvl w:val="0"/>
          <w:numId w:val="4"/>
        </w:numPr>
        <w:snapToGrid w:val="0"/>
        <w:spacing w:line="400" w:lineRule="atLeast"/>
        <w:jc w:val="both"/>
        <w:rPr>
          <w:rFonts w:hint="eastAsia" w:ascii="Arial" w:hAnsi="Arial"/>
          <w:b/>
          <w:sz w:val="24"/>
        </w:rPr>
      </w:pPr>
      <w:r>
        <w:rPr>
          <w:rFonts w:hint="eastAsia" w:ascii="Arial" w:hAnsi="Arial"/>
          <w:b/>
          <w:sz w:val="24"/>
        </w:rPr>
        <w:t>说明</w:t>
      </w:r>
    </w:p>
    <w:p>
      <w:pPr>
        <w:numPr>
          <w:ilvl w:val="1"/>
          <w:numId w:val="4"/>
        </w:numPr>
        <w:snapToGrid w:val="0"/>
        <w:spacing w:line="400" w:lineRule="atLeast"/>
        <w:jc w:val="both"/>
        <w:rPr>
          <w:rFonts w:hint="eastAsia" w:ascii="宋体" w:hAnsi="宋体"/>
        </w:rPr>
      </w:pPr>
      <w:r>
        <w:rPr>
          <w:rFonts w:hint="eastAsia" w:ascii="宋体" w:hAnsi="宋体"/>
        </w:rPr>
        <w:t>本次招标工作是按照《中华人民共和国政府采购法》、《政府采购货物和服务招标投标管理办法》和浙江省及项目所在地的有关政府采购规定，结合本项目的实际，组织和实施。</w:t>
      </w:r>
    </w:p>
    <w:p>
      <w:pPr>
        <w:numPr>
          <w:ilvl w:val="0"/>
          <w:numId w:val="4"/>
        </w:numPr>
        <w:snapToGrid w:val="0"/>
        <w:spacing w:line="400" w:lineRule="atLeast"/>
        <w:jc w:val="both"/>
        <w:rPr>
          <w:rFonts w:hint="eastAsia" w:ascii="Arial" w:hAnsi="Arial"/>
          <w:b/>
          <w:sz w:val="24"/>
        </w:rPr>
      </w:pPr>
      <w:r>
        <w:rPr>
          <w:rFonts w:hint="eastAsia" w:ascii="Arial" w:hAnsi="Arial"/>
          <w:b/>
          <w:sz w:val="24"/>
        </w:rPr>
        <w:t>定义及解释</w:t>
      </w:r>
    </w:p>
    <w:p>
      <w:pPr>
        <w:numPr>
          <w:ilvl w:val="1"/>
          <w:numId w:val="4"/>
        </w:numPr>
        <w:tabs>
          <w:tab w:val="left" w:pos="9373"/>
        </w:tabs>
        <w:snapToGrid w:val="0"/>
        <w:spacing w:line="400" w:lineRule="atLeast"/>
        <w:ind w:right="-67" w:rightChars="-32"/>
        <w:jc w:val="both"/>
        <w:rPr>
          <w:rFonts w:hint="eastAsia" w:ascii="宋体" w:hAnsi="宋体"/>
        </w:rPr>
      </w:pPr>
      <w:r>
        <w:rPr>
          <w:rFonts w:hint="eastAsia" w:ascii="宋体" w:hAnsi="宋体"/>
        </w:rPr>
        <w:t>采购人：</w:t>
      </w:r>
      <w:r>
        <w:rPr>
          <w:rFonts w:hint="eastAsia" w:ascii="Arial" w:hAnsi="Arial" w:cs="Arial"/>
          <w:szCs w:val="21"/>
        </w:rPr>
        <w:t>瑞安市综合行政执法局、瑞安市安阳街道办事处</w:t>
      </w:r>
      <w:r>
        <w:rPr>
          <w:rFonts w:hint="eastAsia" w:ascii="宋体" w:hAnsi="宋体"/>
        </w:rPr>
        <w:t>；</w:t>
      </w:r>
    </w:p>
    <w:p>
      <w:pPr>
        <w:numPr>
          <w:ilvl w:val="1"/>
          <w:numId w:val="4"/>
        </w:numPr>
        <w:tabs>
          <w:tab w:val="left" w:pos="9373"/>
        </w:tabs>
        <w:snapToGrid w:val="0"/>
        <w:spacing w:line="400" w:lineRule="atLeast"/>
        <w:ind w:right="-67" w:rightChars="-32"/>
        <w:jc w:val="both"/>
        <w:rPr>
          <w:rFonts w:hint="eastAsia" w:ascii="宋体" w:hAnsi="宋体"/>
        </w:rPr>
      </w:pPr>
      <w:r>
        <w:rPr>
          <w:rFonts w:hint="eastAsia" w:ascii="宋体" w:hAnsi="宋体"/>
        </w:rPr>
        <w:t>采购代理机构：杭州华旗招标代理有限公司</w:t>
      </w:r>
      <w:r>
        <w:rPr>
          <w:rFonts w:hint="eastAsia"/>
        </w:rPr>
        <w:t>；</w:t>
      </w:r>
    </w:p>
    <w:p>
      <w:pPr>
        <w:numPr>
          <w:ilvl w:val="1"/>
          <w:numId w:val="4"/>
        </w:numPr>
        <w:tabs>
          <w:tab w:val="left" w:pos="9373"/>
        </w:tabs>
        <w:snapToGrid w:val="0"/>
        <w:spacing w:line="400" w:lineRule="atLeast"/>
        <w:ind w:right="-67" w:rightChars="-32"/>
        <w:jc w:val="both"/>
        <w:rPr>
          <w:rFonts w:hint="eastAsia" w:ascii="宋体" w:hAnsi="宋体"/>
        </w:rPr>
      </w:pPr>
      <w:r>
        <w:rPr>
          <w:rFonts w:hint="eastAsia" w:ascii="宋体" w:hAnsi="宋体"/>
        </w:rPr>
        <w:t>招标采购机构：指</w:t>
      </w:r>
      <w:r>
        <w:rPr>
          <w:rFonts w:hint="eastAsia" w:ascii="Arial" w:hAnsi="Arial" w:cs="Arial"/>
          <w:szCs w:val="21"/>
        </w:rPr>
        <w:t>瑞安市综合行政执法局、瑞安市安阳街道办事处和</w:t>
      </w:r>
      <w:r>
        <w:rPr>
          <w:rFonts w:hint="eastAsia" w:ascii="宋体" w:hAnsi="宋体"/>
        </w:rPr>
        <w:t>杭州华旗招标代理有限公司</w:t>
      </w:r>
      <w:r>
        <w:rPr>
          <w:rFonts w:hint="eastAsia"/>
        </w:rPr>
        <w:t>；</w:t>
      </w:r>
    </w:p>
    <w:p>
      <w:pPr>
        <w:numPr>
          <w:ilvl w:val="1"/>
          <w:numId w:val="4"/>
        </w:numPr>
        <w:snapToGrid w:val="0"/>
        <w:spacing w:line="400" w:lineRule="atLeast"/>
        <w:jc w:val="both"/>
        <w:rPr>
          <w:rFonts w:hint="eastAsia" w:ascii="Arial" w:hAnsi="Arial"/>
        </w:rPr>
      </w:pPr>
      <w:r>
        <w:rPr>
          <w:rFonts w:hint="eastAsia" w:ascii="Arial" w:hAnsi="Arial"/>
        </w:rPr>
        <w:t>投标供应商（或供应商或投标人）：投标供应商是响应采购、参加投标竞争的依法成立的的供应商；</w:t>
      </w:r>
    </w:p>
    <w:p>
      <w:pPr>
        <w:numPr>
          <w:ilvl w:val="1"/>
          <w:numId w:val="4"/>
        </w:numPr>
        <w:snapToGrid w:val="0"/>
        <w:spacing w:line="400" w:lineRule="atLeast"/>
        <w:jc w:val="both"/>
        <w:rPr>
          <w:rFonts w:hint="eastAsia" w:ascii="Arial" w:hAnsi="Arial"/>
          <w:sz w:val="24"/>
        </w:rPr>
      </w:pPr>
      <w:r>
        <w:rPr>
          <w:rFonts w:ascii="宋体" w:hAnsi="宋体"/>
        </w:rPr>
        <w:t>中标供应商</w:t>
      </w:r>
      <w:r>
        <w:rPr>
          <w:rFonts w:hint="eastAsia" w:ascii="宋体" w:hAnsi="宋体"/>
        </w:rPr>
        <w:t>（或中标人）：</w:t>
      </w:r>
      <w:r>
        <w:rPr>
          <w:rFonts w:ascii="宋体" w:hAnsi="宋体"/>
        </w:rPr>
        <w:t>系指在本次招标中中标的</w:t>
      </w:r>
      <w:r>
        <w:rPr>
          <w:rFonts w:hint="eastAsia" w:ascii="宋体" w:hAnsi="宋体"/>
        </w:rPr>
        <w:t>投标供应商；</w:t>
      </w:r>
    </w:p>
    <w:p>
      <w:pPr>
        <w:numPr>
          <w:ilvl w:val="1"/>
          <w:numId w:val="4"/>
        </w:numPr>
        <w:snapToGrid w:val="0"/>
        <w:spacing w:line="400" w:lineRule="atLeast"/>
        <w:jc w:val="both"/>
        <w:rPr>
          <w:rFonts w:hint="eastAsia" w:ascii="Arial" w:hAnsi="Arial"/>
        </w:rPr>
      </w:pPr>
      <w:r>
        <w:rPr>
          <w:rFonts w:hint="eastAsia" w:ascii="Arial" w:hAnsi="Arial"/>
        </w:rPr>
        <w:t>评审委员会：评审委员会是依《政府采购法》组建的专门负责采购评审工作的临时性机构。</w:t>
      </w:r>
    </w:p>
    <w:p>
      <w:pPr>
        <w:numPr>
          <w:ilvl w:val="0"/>
          <w:numId w:val="4"/>
        </w:numPr>
        <w:snapToGrid w:val="0"/>
        <w:spacing w:line="400" w:lineRule="atLeast"/>
        <w:jc w:val="both"/>
        <w:rPr>
          <w:rFonts w:hint="eastAsia" w:ascii="Arial" w:hAnsi="Arial"/>
          <w:b/>
          <w:sz w:val="24"/>
        </w:rPr>
      </w:pPr>
      <w:r>
        <w:rPr>
          <w:rFonts w:hint="eastAsia" w:ascii="Arial" w:hAnsi="Arial"/>
          <w:b/>
          <w:sz w:val="24"/>
        </w:rPr>
        <w:t>合格的投标供应商</w:t>
      </w:r>
    </w:p>
    <w:p>
      <w:pPr>
        <w:numPr>
          <w:ilvl w:val="1"/>
          <w:numId w:val="4"/>
        </w:numPr>
        <w:tabs>
          <w:tab w:val="left" w:pos="720"/>
        </w:tabs>
        <w:snapToGrid w:val="0"/>
        <w:spacing w:line="400" w:lineRule="atLeast"/>
        <w:jc w:val="both"/>
        <w:rPr>
          <w:rFonts w:hint="eastAsia" w:ascii="Arial" w:hAnsi="Arial"/>
          <w:b/>
          <w:bCs/>
        </w:rPr>
      </w:pPr>
      <w:r>
        <w:rPr>
          <w:rFonts w:hint="eastAsia" w:ascii="Arial" w:hAnsi="Arial"/>
          <w:b/>
          <w:bCs/>
        </w:rPr>
        <w:t xml:space="preserve"> 按公告要求</w:t>
      </w:r>
      <w:r>
        <w:rPr>
          <w:rFonts w:hint="eastAsia" w:ascii="宋体" w:hAnsi="宋体" w:cs="宋体"/>
          <w:b/>
          <w:kern w:val="28"/>
          <w:szCs w:val="21"/>
        </w:rPr>
        <w:t>。</w:t>
      </w:r>
    </w:p>
    <w:p>
      <w:pPr>
        <w:numPr>
          <w:ilvl w:val="0"/>
          <w:numId w:val="4"/>
        </w:numPr>
        <w:spacing w:line="400" w:lineRule="atLeast"/>
        <w:rPr>
          <w:rFonts w:hint="eastAsia" w:ascii="Arial" w:hAnsi="Arial"/>
          <w:b/>
          <w:sz w:val="24"/>
        </w:rPr>
      </w:pPr>
      <w:r>
        <w:rPr>
          <w:rFonts w:hint="eastAsia" w:ascii="Arial" w:hAnsi="Arial"/>
          <w:b/>
          <w:sz w:val="24"/>
        </w:rPr>
        <w:t>联合体投标：</w:t>
      </w:r>
      <w:r>
        <w:rPr>
          <w:rFonts w:hint="eastAsia" w:ascii="Arial" w:hAnsi="Arial"/>
        </w:rPr>
        <w:t>本项目不接受</w:t>
      </w:r>
    </w:p>
    <w:p>
      <w:pPr>
        <w:numPr>
          <w:ilvl w:val="0"/>
          <w:numId w:val="4"/>
        </w:numPr>
        <w:spacing w:line="400" w:lineRule="atLeast"/>
        <w:rPr>
          <w:rFonts w:hint="eastAsia" w:ascii="Arial" w:hAnsi="Arial"/>
          <w:b/>
          <w:sz w:val="24"/>
        </w:rPr>
      </w:pPr>
      <w:r>
        <w:rPr>
          <w:rFonts w:hint="eastAsia" w:ascii="Arial" w:hAnsi="Arial"/>
          <w:b/>
          <w:sz w:val="24"/>
        </w:rPr>
        <w:t>保密与披露事项</w:t>
      </w:r>
    </w:p>
    <w:p>
      <w:pPr>
        <w:numPr>
          <w:ilvl w:val="1"/>
          <w:numId w:val="4"/>
        </w:numPr>
        <w:snapToGrid w:val="0"/>
        <w:spacing w:line="400" w:lineRule="atLeast"/>
        <w:jc w:val="both"/>
        <w:rPr>
          <w:rFonts w:hint="eastAsia" w:ascii="宋体" w:hAnsi="宋体"/>
        </w:rPr>
      </w:pPr>
      <w:r>
        <w:rPr>
          <w:rFonts w:hint="eastAsia" w:ascii="宋体" w:hAnsi="宋体"/>
        </w:rPr>
        <w:t>投标供应商不得串通，以不正当的手段妨碍排挤其他投标供应商，扰乱市场，破坏公平竞争原则。</w:t>
      </w:r>
    </w:p>
    <w:p>
      <w:pPr>
        <w:numPr>
          <w:ilvl w:val="1"/>
          <w:numId w:val="4"/>
        </w:numPr>
        <w:snapToGrid w:val="0"/>
        <w:spacing w:line="400" w:lineRule="atLeast"/>
        <w:jc w:val="both"/>
        <w:rPr>
          <w:rFonts w:hint="eastAsia" w:ascii="宋体" w:hAnsi="宋体"/>
        </w:rPr>
      </w:pPr>
      <w:r>
        <w:rPr>
          <w:rFonts w:ascii="宋体" w:hAnsi="宋体"/>
        </w:rPr>
        <w:t>投标供应商自购买招标文件之日起，须承诺承担本招标项目下保密义务，不得将因本次招标获得的信息向第三方外传。</w:t>
      </w:r>
    </w:p>
    <w:p>
      <w:pPr>
        <w:numPr>
          <w:ilvl w:val="1"/>
          <w:numId w:val="4"/>
        </w:numPr>
        <w:snapToGrid w:val="0"/>
        <w:spacing w:line="400" w:lineRule="atLeast"/>
        <w:jc w:val="both"/>
        <w:rPr>
          <w:rFonts w:hint="eastAsia" w:ascii="宋体" w:hAnsi="宋体"/>
        </w:rPr>
      </w:pPr>
      <w:r>
        <w:rPr>
          <w:rFonts w:hint="eastAsia" w:ascii="宋体" w:hAnsi="宋体"/>
        </w:rPr>
        <w:t>采购人</w:t>
      </w:r>
      <w:r>
        <w:rPr>
          <w:rFonts w:ascii="宋体" w:hAnsi="宋体"/>
        </w:rPr>
        <w:t>有权将投标供应商提供的所有资料向其他政府部门或有关的非政府机构负责评审标书的人员或与评标有关的人员披露。</w:t>
      </w:r>
    </w:p>
    <w:p>
      <w:pPr>
        <w:numPr>
          <w:ilvl w:val="1"/>
          <w:numId w:val="4"/>
        </w:numPr>
        <w:snapToGrid w:val="0"/>
        <w:spacing w:line="400" w:lineRule="atLeast"/>
        <w:jc w:val="both"/>
        <w:rPr>
          <w:rFonts w:hint="eastAsia" w:ascii="宋体" w:hAnsi="宋体"/>
        </w:rPr>
      </w:pPr>
      <w:r>
        <w:rPr>
          <w:rFonts w:hint="eastAsia" w:ascii="宋体" w:hAnsi="宋体"/>
        </w:rPr>
        <w:t>采购人</w:t>
      </w:r>
      <w:r>
        <w:rPr>
          <w:rFonts w:ascii="宋体" w:hAnsi="宋体"/>
        </w:rPr>
        <w:t>有权在认为适当时，或在任何第三者提出要求（书面或其他方式）时，无须事先征求中标供应商同意而披露关于已订立合约的资料、中标供应商的名称及地址、中标服务的有关信息以及合约条款等。</w:t>
      </w:r>
    </w:p>
    <w:p>
      <w:pPr>
        <w:numPr>
          <w:ilvl w:val="0"/>
          <w:numId w:val="4"/>
        </w:numPr>
        <w:spacing w:line="400" w:lineRule="atLeast"/>
        <w:rPr>
          <w:rFonts w:hint="eastAsia" w:ascii="Arial" w:hAnsi="Arial"/>
          <w:b/>
          <w:sz w:val="24"/>
        </w:rPr>
      </w:pPr>
      <w:r>
        <w:rPr>
          <w:rFonts w:hint="eastAsia" w:ascii="Arial" w:hAnsi="Arial"/>
          <w:b/>
          <w:sz w:val="24"/>
        </w:rPr>
        <w:t>投标费用</w:t>
      </w:r>
    </w:p>
    <w:p>
      <w:pPr>
        <w:numPr>
          <w:ilvl w:val="1"/>
          <w:numId w:val="4"/>
        </w:numPr>
        <w:spacing w:line="400" w:lineRule="atLeast"/>
        <w:rPr>
          <w:rFonts w:hint="eastAsia" w:ascii="新宋体" w:hAnsi="新宋体" w:eastAsia="新宋体"/>
          <w:szCs w:val="21"/>
        </w:rPr>
      </w:pPr>
      <w:r>
        <w:rPr>
          <w:rFonts w:hint="eastAsia" w:ascii="新宋体" w:hAnsi="新宋体" w:eastAsia="新宋体"/>
          <w:szCs w:val="21"/>
        </w:rPr>
        <w:t>投标供应商自行承担投标过程中产生的费用。无论何种因素导致采购项目延期开标、废标（流标）、投标供应商未中标、项目终止采购的，采购人与代理机构均不承担供应商投标费用。</w:t>
      </w:r>
    </w:p>
    <w:p>
      <w:pPr>
        <w:numPr>
          <w:ilvl w:val="1"/>
          <w:numId w:val="4"/>
        </w:numPr>
        <w:spacing w:line="400" w:lineRule="atLeast"/>
        <w:rPr>
          <w:rFonts w:hint="eastAsia" w:ascii="Arial" w:hAnsi="Arial"/>
          <w:szCs w:val="21"/>
        </w:rPr>
      </w:pPr>
      <w:r>
        <w:rPr>
          <w:rFonts w:hint="eastAsia" w:ascii="新宋体" w:hAnsi="新宋体" w:eastAsia="新宋体"/>
          <w:szCs w:val="21"/>
        </w:rPr>
        <w:t>投标供应商在投标、合同履行过程中必须做好安全保障工作，不因项目实施而危及自身及第三方人员、财产安全。若发生任何安全事故，由中标供应商自行承担一切责任并赔偿损失。结果如何，投标供应商应自行承担所有与参加投标有关的全部费用。</w:t>
      </w:r>
    </w:p>
    <w:p>
      <w:pPr>
        <w:numPr>
          <w:ilvl w:val="0"/>
          <w:numId w:val="4"/>
        </w:numPr>
        <w:spacing w:line="400" w:lineRule="atLeast"/>
        <w:rPr>
          <w:rFonts w:hint="eastAsia" w:ascii="Arial" w:hAnsi="Arial"/>
          <w:b/>
        </w:rPr>
      </w:pPr>
      <w:r>
        <w:rPr>
          <w:rFonts w:hint="eastAsia" w:ascii="Arial" w:hAnsi="Arial"/>
          <w:b/>
        </w:rPr>
        <w:t>踏勘现场</w:t>
      </w:r>
    </w:p>
    <w:p>
      <w:pPr>
        <w:numPr>
          <w:ilvl w:val="1"/>
          <w:numId w:val="4"/>
        </w:numPr>
        <w:snapToGrid w:val="0"/>
        <w:spacing w:line="400" w:lineRule="atLeast"/>
        <w:jc w:val="both"/>
        <w:rPr>
          <w:rFonts w:hint="eastAsia" w:ascii="宋体" w:hAnsi="宋体"/>
        </w:rPr>
      </w:pPr>
      <w:r>
        <w:rPr>
          <w:rFonts w:hint="eastAsia" w:ascii="宋体" w:hAnsi="宋体"/>
        </w:rPr>
        <w:t>不集中组织。</w:t>
      </w:r>
    </w:p>
    <w:p>
      <w:pPr>
        <w:numPr>
          <w:ilvl w:val="0"/>
          <w:numId w:val="4"/>
        </w:numPr>
        <w:spacing w:line="400" w:lineRule="atLeast"/>
        <w:rPr>
          <w:rFonts w:hint="eastAsia" w:ascii="Arial" w:hAnsi="Arial"/>
          <w:b/>
          <w:sz w:val="24"/>
        </w:rPr>
      </w:pPr>
      <w:r>
        <w:rPr>
          <w:rFonts w:hint="eastAsia" w:ascii="Arial" w:hAnsi="Arial"/>
          <w:b/>
        </w:rPr>
        <w:t>备选投标方案</w:t>
      </w:r>
      <w:r>
        <w:rPr>
          <w:rFonts w:hint="eastAsia" w:ascii="Arial" w:hAnsi="Arial"/>
          <w:b/>
          <w:sz w:val="24"/>
        </w:rPr>
        <w:t>：</w:t>
      </w:r>
      <w:r>
        <w:rPr>
          <w:rFonts w:hint="eastAsia" w:ascii="宋体" w:hAnsi="宋体"/>
        </w:rPr>
        <w:t>不允许</w:t>
      </w:r>
      <w:r>
        <w:rPr>
          <w:rFonts w:hint="eastAsia" w:ascii="Arial" w:hAnsi="Arial"/>
        </w:rPr>
        <w:t>。</w:t>
      </w:r>
    </w:p>
    <w:p>
      <w:pPr>
        <w:numPr>
          <w:ilvl w:val="0"/>
          <w:numId w:val="4"/>
        </w:numPr>
        <w:spacing w:line="400" w:lineRule="atLeast"/>
        <w:rPr>
          <w:rFonts w:hint="eastAsia" w:ascii="宋体" w:hAnsi="宋体"/>
          <w:b/>
          <w:sz w:val="24"/>
        </w:rPr>
      </w:pPr>
      <w:r>
        <w:rPr>
          <w:rFonts w:hint="eastAsia" w:ascii="宋体" w:hAnsi="宋体"/>
          <w:b/>
          <w:sz w:val="24"/>
        </w:rPr>
        <w:t>投标委托</w:t>
      </w:r>
    </w:p>
    <w:p>
      <w:pPr>
        <w:numPr>
          <w:ilvl w:val="1"/>
          <w:numId w:val="4"/>
        </w:numPr>
        <w:spacing w:line="400" w:lineRule="atLeast"/>
        <w:rPr>
          <w:rFonts w:hint="eastAsia" w:ascii="宋体" w:hAnsi="宋体"/>
        </w:rPr>
      </w:pPr>
      <w:r>
        <w:rPr>
          <w:rFonts w:hint="eastAsia" w:ascii="宋体" w:hAnsi="宋体"/>
        </w:rPr>
        <w:t>如投标供应商代表是法定代表人则提身份证影印件，如投标供应商代表不是法定代表人，须持有《法定代表人授权委托书》（见第六部分）。</w:t>
      </w:r>
    </w:p>
    <w:p>
      <w:pPr>
        <w:numPr>
          <w:ilvl w:val="0"/>
          <w:numId w:val="4"/>
        </w:numPr>
        <w:spacing w:line="400" w:lineRule="atLeast"/>
        <w:rPr>
          <w:rFonts w:hint="eastAsia" w:ascii="宋体" w:hAnsi="宋体"/>
          <w:b/>
          <w:sz w:val="24"/>
        </w:rPr>
      </w:pPr>
      <w:r>
        <w:rPr>
          <w:rFonts w:hint="eastAsia" w:ascii="宋体" w:hAnsi="宋体"/>
          <w:b/>
          <w:sz w:val="24"/>
        </w:rPr>
        <w:t>相同品牌认定</w:t>
      </w:r>
    </w:p>
    <w:p>
      <w:pPr>
        <w:numPr>
          <w:ilvl w:val="1"/>
          <w:numId w:val="4"/>
        </w:numPr>
        <w:spacing w:line="400" w:lineRule="atLeast"/>
        <w:rPr>
          <w:rFonts w:hint="eastAsia" w:ascii="宋体" w:hAnsi="宋体"/>
        </w:rPr>
      </w:pPr>
      <w:r>
        <w:rPr>
          <w:rFonts w:ascii="宋体" w:hAnsi="宋体"/>
        </w:rPr>
        <w:t>采用最低评标价法的采购项目，提供相同品牌产品的不同投标供应商参加同一合同项下投标的，以其中通过资格审查、符合性审查且报价最低的参加评标；报价相同的，采取随机抽取方式确定，其他投标无效</w:t>
      </w:r>
      <w:r>
        <w:rPr>
          <w:rFonts w:hint="eastAsia" w:ascii="宋体" w:hAnsi="宋体"/>
        </w:rPr>
        <w:t>。</w:t>
      </w:r>
    </w:p>
    <w:p>
      <w:pPr>
        <w:numPr>
          <w:ilvl w:val="1"/>
          <w:numId w:val="4"/>
        </w:numPr>
        <w:spacing w:line="400" w:lineRule="atLeast"/>
        <w:rPr>
          <w:rFonts w:hint="eastAsia" w:ascii="宋体" w:hAnsi="宋体"/>
        </w:rPr>
      </w:pPr>
      <w:r>
        <w:rPr>
          <w:rFonts w:ascii="宋体" w:hAnsi="宋体"/>
        </w:rPr>
        <w:t>使用综合评分法的采购项目，提供相同品牌产品且通过资格审查、符合性审查的不同投标供应商参加同一合同项下投标的，按一家投标供应商计算，评审后得分最高的同品牌投标供应商获得中标供应商推荐资格；评审得分相同的，采取随机抽取方式确定，其他同品牌投标供应商不作为中标候选人</w:t>
      </w:r>
      <w:r>
        <w:rPr>
          <w:rFonts w:hint="eastAsia" w:ascii="宋体" w:hAnsi="宋体"/>
        </w:rPr>
        <w:t>。</w:t>
      </w:r>
    </w:p>
    <w:p>
      <w:pPr>
        <w:numPr>
          <w:ilvl w:val="1"/>
          <w:numId w:val="4"/>
        </w:numPr>
        <w:spacing w:line="400" w:lineRule="atLeast"/>
        <w:rPr>
          <w:rFonts w:hint="eastAsia" w:ascii="宋体" w:hAnsi="宋体"/>
        </w:rPr>
      </w:pPr>
      <w:r>
        <w:rPr>
          <w:rFonts w:hint="eastAsia" w:ascii="宋体" w:hAnsi="宋体"/>
        </w:rPr>
        <w:t>非单一产品采购项目，采购人应当根据采购项目技术构成、产品价格比重等合理确定核心产品，并在招标文件中载明，多家投标人提供的核心产品品牌相同的，按一家投标人认定。评审时，取其综合得分最高的一家为有效投标人；综合得分相同时，抽签确定，多家投标供应商提供的核心产品品牌相同的，按前两款规定处理。</w:t>
      </w:r>
      <w:r>
        <w:rPr>
          <w:rFonts w:hint="eastAsia" w:ascii="宋体" w:hAnsi="宋体"/>
          <w:b/>
          <w:bCs/>
        </w:rPr>
        <w:t>本项目无核心产品</w:t>
      </w:r>
      <w:r>
        <w:rPr>
          <w:rFonts w:hint="eastAsia" w:ascii="宋体" w:hAnsi="宋体"/>
        </w:rPr>
        <w:t>。</w:t>
      </w:r>
    </w:p>
    <w:p>
      <w:pPr>
        <w:pStyle w:val="5"/>
        <w:spacing w:before="120" w:beforeLines="50" w:after="120" w:afterLines="50" w:line="400" w:lineRule="atLeast"/>
        <w:ind w:firstLine="3660" w:firstLineChars="1519"/>
        <w:rPr>
          <w:sz w:val="24"/>
          <w:szCs w:val="24"/>
        </w:rPr>
      </w:pPr>
      <w:bookmarkStart w:id="20" w:name="_Toc64913326"/>
      <w:r>
        <w:rPr>
          <w:rFonts w:hint="eastAsia"/>
          <w:sz w:val="24"/>
          <w:szCs w:val="24"/>
        </w:rPr>
        <w:t>（三）招标文件说明</w:t>
      </w:r>
      <w:bookmarkEnd w:id="20"/>
    </w:p>
    <w:p>
      <w:pPr>
        <w:numPr>
          <w:ilvl w:val="0"/>
          <w:numId w:val="4"/>
        </w:numPr>
        <w:snapToGrid w:val="0"/>
        <w:spacing w:line="400" w:lineRule="atLeast"/>
        <w:jc w:val="both"/>
        <w:rPr>
          <w:rFonts w:hint="eastAsia" w:ascii="Arial" w:hAnsi="Arial"/>
          <w:b/>
          <w:sz w:val="24"/>
        </w:rPr>
      </w:pPr>
      <w:r>
        <w:rPr>
          <w:rFonts w:hint="eastAsia" w:ascii="Arial" w:hAnsi="Arial"/>
          <w:b/>
          <w:sz w:val="24"/>
        </w:rPr>
        <w:t>招标文件构成</w:t>
      </w:r>
    </w:p>
    <w:p>
      <w:pPr>
        <w:numPr>
          <w:ilvl w:val="1"/>
          <w:numId w:val="4"/>
        </w:numPr>
        <w:snapToGrid w:val="0"/>
        <w:spacing w:line="400" w:lineRule="atLeast"/>
        <w:jc w:val="both"/>
        <w:rPr>
          <w:rFonts w:hint="eastAsia" w:ascii="Arial" w:hAnsi="Arial"/>
        </w:rPr>
      </w:pPr>
      <w:r>
        <w:rPr>
          <w:rFonts w:hint="eastAsia" w:ascii="_x000B__x000C_" w:hAnsi="_x000B__x000C_"/>
          <w:szCs w:val="21"/>
        </w:rPr>
        <w:t>招标文件是用以阐明所需货物、服务，以及招标、投标程序和相应的合同条款。“招标文件”由下述部分组成：</w:t>
      </w:r>
    </w:p>
    <w:p>
      <w:pPr>
        <w:snapToGrid w:val="0"/>
        <w:spacing w:line="400" w:lineRule="atLeast"/>
        <w:ind w:left="851"/>
        <w:jc w:val="both"/>
        <w:rPr>
          <w:rFonts w:hint="eastAsia" w:ascii="Arial" w:hAnsi="Arial"/>
        </w:rPr>
      </w:pPr>
      <w:r>
        <w:rPr>
          <w:rFonts w:hint="eastAsia" w:ascii="Arial" w:hAnsi="Arial"/>
        </w:rPr>
        <w:t>第一部分  投标公告</w:t>
      </w:r>
    </w:p>
    <w:p>
      <w:pPr>
        <w:snapToGrid w:val="0"/>
        <w:spacing w:line="400" w:lineRule="atLeast"/>
        <w:ind w:left="851"/>
        <w:jc w:val="both"/>
        <w:rPr>
          <w:rFonts w:hint="eastAsia" w:ascii="Arial" w:hAnsi="Arial"/>
        </w:rPr>
      </w:pPr>
      <w:r>
        <w:rPr>
          <w:rFonts w:hint="eastAsia" w:ascii="Arial" w:hAnsi="Arial"/>
        </w:rPr>
        <w:t>第二部分  投标供应商须知</w:t>
      </w:r>
    </w:p>
    <w:p>
      <w:pPr>
        <w:snapToGrid w:val="0"/>
        <w:spacing w:line="400" w:lineRule="atLeast"/>
        <w:ind w:left="851"/>
        <w:jc w:val="both"/>
        <w:rPr>
          <w:rFonts w:hint="eastAsia" w:ascii="Arial" w:hAnsi="Arial"/>
        </w:rPr>
      </w:pPr>
      <w:r>
        <w:rPr>
          <w:rFonts w:hint="eastAsia" w:ascii="Arial" w:hAnsi="Arial"/>
        </w:rPr>
        <w:t>第三部分  招标内容及技术要求</w:t>
      </w:r>
    </w:p>
    <w:p>
      <w:pPr>
        <w:snapToGrid w:val="0"/>
        <w:spacing w:line="400" w:lineRule="atLeast"/>
        <w:ind w:left="851"/>
        <w:jc w:val="both"/>
        <w:rPr>
          <w:rFonts w:hint="eastAsia" w:ascii="Arial" w:hAnsi="Arial"/>
        </w:rPr>
      </w:pPr>
      <w:r>
        <w:rPr>
          <w:rFonts w:hint="eastAsia" w:ascii="Arial" w:hAnsi="Arial"/>
        </w:rPr>
        <w:t>第四部分  合同条款</w:t>
      </w:r>
    </w:p>
    <w:p>
      <w:pPr>
        <w:snapToGrid w:val="0"/>
        <w:spacing w:line="400" w:lineRule="atLeast"/>
        <w:ind w:left="851"/>
        <w:jc w:val="both"/>
        <w:rPr>
          <w:rFonts w:ascii="Arial" w:hAnsi="Arial"/>
        </w:rPr>
      </w:pPr>
      <w:r>
        <w:rPr>
          <w:rFonts w:hint="eastAsia" w:ascii="Arial" w:hAnsi="Arial"/>
        </w:rPr>
        <w:t>第五部分  政府采购政策功能相关说明</w:t>
      </w:r>
    </w:p>
    <w:p>
      <w:pPr>
        <w:snapToGrid w:val="0"/>
        <w:spacing w:line="400" w:lineRule="atLeast"/>
        <w:ind w:left="851"/>
        <w:jc w:val="both"/>
        <w:rPr>
          <w:rFonts w:hint="eastAsia" w:ascii="Arial" w:hAnsi="Arial"/>
        </w:rPr>
      </w:pPr>
      <w:r>
        <w:rPr>
          <w:rFonts w:hint="eastAsia" w:ascii="Arial" w:hAnsi="Arial"/>
        </w:rPr>
        <w:t>第六部分  投标文件格式</w:t>
      </w:r>
    </w:p>
    <w:p>
      <w:pPr>
        <w:snapToGrid w:val="0"/>
        <w:spacing w:line="400" w:lineRule="atLeast"/>
        <w:ind w:left="851"/>
        <w:jc w:val="both"/>
        <w:rPr>
          <w:rFonts w:hint="eastAsia" w:ascii="Arial" w:hAnsi="Arial"/>
        </w:rPr>
      </w:pPr>
      <w:r>
        <w:rPr>
          <w:rFonts w:hint="eastAsia" w:ascii="Arial" w:hAnsi="Arial"/>
        </w:rPr>
        <w:t>第七部分  评标办法</w:t>
      </w:r>
    </w:p>
    <w:p>
      <w:pPr>
        <w:snapToGrid w:val="0"/>
        <w:spacing w:line="400" w:lineRule="atLeast"/>
        <w:ind w:left="851"/>
        <w:jc w:val="both"/>
        <w:rPr>
          <w:rFonts w:hint="eastAsia" w:ascii="Arial" w:hAnsi="Arial"/>
        </w:rPr>
      </w:pPr>
      <w:r>
        <w:rPr>
          <w:rFonts w:hint="eastAsia" w:ascii="Arial" w:hAnsi="Arial"/>
        </w:rPr>
        <w:t xml:space="preserve"> 第八部分 补充通知及答疑（若有 ）</w:t>
      </w:r>
    </w:p>
    <w:p>
      <w:pPr>
        <w:numPr>
          <w:ilvl w:val="1"/>
          <w:numId w:val="4"/>
        </w:numPr>
        <w:snapToGrid w:val="0"/>
        <w:spacing w:line="400" w:lineRule="atLeast"/>
        <w:jc w:val="both"/>
        <w:rPr>
          <w:rFonts w:hint="eastAsia" w:ascii="_x000B__x000C_" w:hAnsi="_x000B__x000C_"/>
          <w:szCs w:val="21"/>
        </w:rPr>
      </w:pPr>
      <w:r>
        <w:rPr>
          <w:rFonts w:ascii="_x000B__x000C_" w:hAnsi="_x000B__x000C_"/>
          <w:szCs w:val="21"/>
        </w:rPr>
        <w:t>投标供应商应详细阅读招标文件的全部内容。如果投标供应商没有按照招标文件要求提交全部资料或者投标书没有对招标文件在各方面的要求都做出实质性响应，是投标供应商的风险。</w:t>
      </w:r>
    </w:p>
    <w:p>
      <w:pPr>
        <w:numPr>
          <w:ilvl w:val="1"/>
          <w:numId w:val="4"/>
        </w:numPr>
        <w:snapToGrid w:val="0"/>
        <w:spacing w:line="400" w:lineRule="atLeast"/>
        <w:jc w:val="both"/>
        <w:rPr>
          <w:rFonts w:hint="eastAsia" w:ascii="_x000B__x000C_" w:hAnsi="_x000B__x000C_"/>
          <w:szCs w:val="21"/>
        </w:rPr>
      </w:pPr>
      <w:r>
        <w:rPr>
          <w:rFonts w:hint="eastAsia" w:ascii="_x000B__x000C_" w:hAnsi="_x000B__x000C_"/>
          <w:szCs w:val="21"/>
        </w:rPr>
        <w:t>本招标文件要求投标供应商作出实质性响应的有关技术和商务条款，将在该条款前以“▲”醒目标识，这些特别强调的条款及内容有些是重要条款，未响应的，将认定供应商未实质性响应有关技术和商务条款，作废标处理。</w:t>
      </w:r>
    </w:p>
    <w:p>
      <w:pPr>
        <w:numPr>
          <w:ilvl w:val="0"/>
          <w:numId w:val="4"/>
        </w:numPr>
        <w:snapToGrid w:val="0"/>
        <w:spacing w:line="400" w:lineRule="atLeast"/>
        <w:jc w:val="both"/>
        <w:rPr>
          <w:rFonts w:hint="eastAsia" w:ascii="Arial" w:hAnsi="Arial"/>
          <w:b/>
          <w:sz w:val="24"/>
        </w:rPr>
      </w:pPr>
      <w:r>
        <w:rPr>
          <w:rFonts w:hint="eastAsia" w:ascii="Arial" w:hAnsi="Arial"/>
          <w:b/>
          <w:sz w:val="24"/>
        </w:rPr>
        <w:t>招标文件的澄清</w:t>
      </w:r>
    </w:p>
    <w:p>
      <w:pPr>
        <w:numPr>
          <w:ilvl w:val="1"/>
          <w:numId w:val="4"/>
        </w:numPr>
        <w:snapToGrid w:val="0"/>
        <w:spacing w:line="400" w:lineRule="atLeast"/>
        <w:jc w:val="both"/>
        <w:rPr>
          <w:rFonts w:hint="eastAsia" w:ascii="宋体" w:hAnsi="宋体"/>
        </w:rPr>
      </w:pPr>
      <w:r>
        <w:rPr>
          <w:rFonts w:hint="eastAsia" w:ascii="宋体" w:hAnsi="宋体"/>
        </w:rPr>
        <w:t>任何要求对招标文件进行澄清的投标供应商，均应在答疑截止期规定时间</w:t>
      </w:r>
      <w:r>
        <w:rPr>
          <w:rFonts w:ascii="宋体" w:hAnsi="宋体"/>
        </w:rPr>
        <w:t>以前按</w:t>
      </w:r>
      <w:r>
        <w:rPr>
          <w:rFonts w:hint="eastAsia" w:ascii="宋体" w:hAnsi="宋体"/>
        </w:rPr>
        <w:t>招</w:t>
      </w:r>
      <w:r>
        <w:rPr>
          <w:rFonts w:ascii="宋体" w:hAnsi="宋体"/>
        </w:rPr>
        <w:t>标公告中的通讯地址以书面形式传真或寄送给</w:t>
      </w:r>
      <w:r>
        <w:rPr>
          <w:rFonts w:hint="eastAsia" w:ascii="宋体" w:hAnsi="宋体"/>
        </w:rPr>
        <w:t>采购代理机构</w:t>
      </w:r>
      <w:r>
        <w:rPr>
          <w:rFonts w:ascii="宋体" w:hAnsi="宋体"/>
        </w:rPr>
        <w:t>，</w:t>
      </w:r>
      <w:r>
        <w:rPr>
          <w:rFonts w:hint="eastAsia" w:ascii="宋体" w:hAnsi="宋体"/>
        </w:rPr>
        <w:t>采购代理机构</w:t>
      </w:r>
      <w:r>
        <w:rPr>
          <w:rFonts w:ascii="宋体" w:hAnsi="宋体"/>
        </w:rPr>
        <w:t>对</w:t>
      </w:r>
      <w:r>
        <w:rPr>
          <w:rFonts w:hint="eastAsia" w:ascii="宋体" w:hAnsi="宋体"/>
        </w:rPr>
        <w:t>答疑</w:t>
      </w:r>
      <w:r>
        <w:rPr>
          <w:rFonts w:ascii="宋体" w:hAnsi="宋体"/>
        </w:rPr>
        <w:t>截止期</w:t>
      </w:r>
      <w:r>
        <w:rPr>
          <w:rFonts w:hint="eastAsia" w:ascii="宋体" w:hAnsi="宋体"/>
        </w:rPr>
        <w:t>规定时间以前</w:t>
      </w:r>
      <w:r>
        <w:rPr>
          <w:rFonts w:ascii="宋体" w:hAnsi="宋体"/>
        </w:rPr>
        <w:t>收到的</w:t>
      </w:r>
      <w:r>
        <w:rPr>
          <w:rFonts w:hint="eastAsia" w:ascii="宋体" w:hAnsi="宋体"/>
        </w:rPr>
        <w:t>合理疑问</w:t>
      </w:r>
      <w:r>
        <w:rPr>
          <w:rFonts w:ascii="宋体" w:hAnsi="宋体"/>
        </w:rPr>
        <w:t>将以书面形式予以答复，</w:t>
      </w:r>
      <w:r>
        <w:rPr>
          <w:rFonts w:ascii="_x000B__x000C_" w:hAnsi="_x000B__x000C_"/>
          <w:szCs w:val="21"/>
        </w:rPr>
        <w:t>同时将书面答复以</w:t>
      </w:r>
      <w:r>
        <w:rPr>
          <w:rFonts w:hint="eastAsia" w:ascii="_x000B__x000C_" w:hAnsi="_x000B__x000C_"/>
          <w:szCs w:val="21"/>
        </w:rPr>
        <w:t>更正公告形式在温州市公共资源交易网瑞安市分网、浙江省政府采购网发布通知</w:t>
      </w:r>
      <w:r>
        <w:rPr>
          <w:rFonts w:ascii="_x000B__x000C_" w:hAnsi="_x000B__x000C_"/>
          <w:szCs w:val="21"/>
        </w:rPr>
        <w:t>所有</w:t>
      </w:r>
      <w:r>
        <w:rPr>
          <w:rFonts w:hint="eastAsia" w:ascii="_x000B__x000C_" w:hAnsi="_x000B__x000C_"/>
          <w:szCs w:val="21"/>
        </w:rPr>
        <w:t>投标供应商</w:t>
      </w:r>
      <w:r>
        <w:rPr>
          <w:rFonts w:ascii="_x000B__x000C_" w:hAnsi="_x000B__x000C_"/>
          <w:szCs w:val="21"/>
        </w:rPr>
        <w:t>，</w:t>
      </w:r>
      <w:r>
        <w:rPr>
          <w:rFonts w:hint="eastAsia" w:ascii="_x000B__x000C_" w:hAnsi="_x000B__x000C_"/>
          <w:szCs w:val="21"/>
        </w:rPr>
        <w:t>投标供应商须于开标前一天登陆网站自行查看有无修改，风险自行承担。</w:t>
      </w:r>
      <w:r>
        <w:rPr>
          <w:rFonts w:ascii="宋体" w:hAnsi="宋体"/>
        </w:rPr>
        <w:t>答复中包括原提出的问题，但不包括问题的来源。</w:t>
      </w:r>
      <w:r>
        <w:rPr>
          <w:rFonts w:hint="eastAsia" w:ascii="_x000B__x000C_" w:hAnsi="_x000B__x000C_"/>
          <w:szCs w:val="21"/>
        </w:rPr>
        <w:t>该澄清均为采购文件组成部分，对</w:t>
      </w:r>
      <w:r>
        <w:rPr>
          <w:rFonts w:hint="eastAsia" w:ascii="宋体" w:hAnsi="宋体" w:cs="宋体"/>
          <w:szCs w:val="21"/>
        </w:rPr>
        <w:t>代理单位</w:t>
      </w:r>
      <w:r>
        <w:rPr>
          <w:rFonts w:hint="eastAsia" w:ascii="_x000B__x000C_" w:hAnsi="_x000B__x000C_"/>
          <w:szCs w:val="21"/>
        </w:rPr>
        <w:t>和投标供应商起约束作用，任何口头答复均不作为投标依据。</w:t>
      </w:r>
    </w:p>
    <w:p>
      <w:pPr>
        <w:numPr>
          <w:ilvl w:val="1"/>
          <w:numId w:val="4"/>
        </w:numPr>
        <w:snapToGrid w:val="0"/>
        <w:spacing w:line="400" w:lineRule="atLeast"/>
        <w:jc w:val="both"/>
        <w:rPr>
          <w:rFonts w:hint="eastAsia" w:ascii="宋体" w:hAnsi="宋体"/>
        </w:rPr>
      </w:pPr>
      <w:r>
        <w:rPr>
          <w:rFonts w:ascii="宋体" w:hAnsi="宋体"/>
        </w:rPr>
        <w:t>采购人将视情况确定是否有必要召开标前会，如果召开时会将标前会的通知（包括时间和地点）发给所有投标供应商。</w:t>
      </w:r>
    </w:p>
    <w:p>
      <w:pPr>
        <w:numPr>
          <w:ilvl w:val="0"/>
          <w:numId w:val="4"/>
        </w:numPr>
        <w:snapToGrid w:val="0"/>
        <w:spacing w:line="400" w:lineRule="atLeast"/>
        <w:jc w:val="both"/>
        <w:rPr>
          <w:rFonts w:hint="eastAsia" w:ascii="Arial" w:hAnsi="Arial"/>
          <w:b/>
          <w:sz w:val="24"/>
        </w:rPr>
      </w:pPr>
      <w:r>
        <w:rPr>
          <w:rFonts w:hint="eastAsia" w:ascii="Arial" w:hAnsi="Arial"/>
          <w:b/>
          <w:sz w:val="24"/>
        </w:rPr>
        <w:t>招标文件的修改</w:t>
      </w:r>
    </w:p>
    <w:p>
      <w:pPr>
        <w:numPr>
          <w:ilvl w:val="1"/>
          <w:numId w:val="4"/>
        </w:numPr>
        <w:snapToGrid w:val="0"/>
        <w:spacing w:line="400" w:lineRule="atLeast"/>
        <w:jc w:val="both"/>
        <w:rPr>
          <w:rFonts w:hint="eastAsia" w:ascii="宋体" w:hAnsi="宋体"/>
        </w:rPr>
      </w:pPr>
      <w:r>
        <w:rPr>
          <w:rFonts w:ascii="宋体" w:hAnsi="宋体"/>
        </w:rPr>
        <w:t>在投标截止</w:t>
      </w:r>
      <w:r>
        <w:rPr>
          <w:rFonts w:hint="eastAsia" w:ascii="宋体" w:hAnsi="宋体"/>
        </w:rPr>
        <w:t>时间</w:t>
      </w:r>
      <w:r>
        <w:rPr>
          <w:rFonts w:ascii="宋体" w:hAnsi="宋体"/>
        </w:rPr>
        <w:t>前，</w:t>
      </w:r>
      <w:r>
        <w:rPr>
          <w:rFonts w:hint="eastAsia" w:ascii="宋体" w:hAnsi="宋体"/>
        </w:rPr>
        <w:t>采购代理机构</w:t>
      </w:r>
      <w:r>
        <w:rPr>
          <w:rFonts w:ascii="宋体" w:hAnsi="宋体"/>
        </w:rPr>
        <w:t>无论是出于何种原因，均可对招标文件用补充文件的方式进行修改。</w:t>
      </w:r>
    </w:p>
    <w:p>
      <w:pPr>
        <w:numPr>
          <w:ilvl w:val="1"/>
          <w:numId w:val="4"/>
        </w:numPr>
        <w:snapToGrid w:val="0"/>
        <w:spacing w:line="400" w:lineRule="atLeast"/>
        <w:jc w:val="both"/>
        <w:rPr>
          <w:rFonts w:hint="eastAsia" w:ascii="宋体" w:hAnsi="宋体"/>
        </w:rPr>
      </w:pPr>
      <w:r>
        <w:rPr>
          <w:rFonts w:ascii="宋体" w:hAnsi="宋体"/>
        </w:rPr>
        <w:t>对招标文件的修改，将</w:t>
      </w:r>
      <w:r>
        <w:rPr>
          <w:rFonts w:ascii="_x000B__x000C_" w:hAnsi="_x000B__x000C_"/>
          <w:szCs w:val="21"/>
        </w:rPr>
        <w:t>以</w:t>
      </w:r>
      <w:r>
        <w:rPr>
          <w:rFonts w:hint="eastAsia" w:ascii="_x000B__x000C_" w:hAnsi="_x000B__x000C_"/>
          <w:szCs w:val="21"/>
        </w:rPr>
        <w:t>更正公告形式在温州市公共资源交易网瑞安市分网、浙江省政府采购网发布通知</w:t>
      </w:r>
      <w:r>
        <w:rPr>
          <w:rFonts w:ascii="_x000B__x000C_" w:hAnsi="_x000B__x000C_"/>
          <w:szCs w:val="21"/>
        </w:rPr>
        <w:t>所有</w:t>
      </w:r>
      <w:r>
        <w:rPr>
          <w:rFonts w:hint="eastAsia" w:ascii="_x000B__x000C_" w:hAnsi="_x000B__x000C_"/>
          <w:szCs w:val="21"/>
        </w:rPr>
        <w:t>投标供应商</w:t>
      </w:r>
      <w:r>
        <w:rPr>
          <w:rFonts w:ascii="_x000B__x000C_" w:hAnsi="_x000B__x000C_"/>
          <w:szCs w:val="21"/>
        </w:rPr>
        <w:t>，</w:t>
      </w:r>
      <w:r>
        <w:rPr>
          <w:rFonts w:hint="eastAsia" w:ascii="_x000B__x000C_" w:hAnsi="_x000B__x000C_"/>
          <w:szCs w:val="21"/>
        </w:rPr>
        <w:t>投标供应商须于开标前一天登陆网站自行查看有无修改，风险自行承担</w:t>
      </w:r>
      <w:r>
        <w:rPr>
          <w:rFonts w:ascii="宋体" w:hAnsi="宋体"/>
        </w:rPr>
        <w:t>。</w:t>
      </w:r>
      <w:r>
        <w:rPr>
          <w:rFonts w:hint="eastAsia" w:ascii="_x000B__x000C_" w:hAnsi="_x000B__x000C_"/>
          <w:szCs w:val="21"/>
        </w:rPr>
        <w:t>该修改均为采购文件组成部分，对</w:t>
      </w:r>
      <w:r>
        <w:rPr>
          <w:rFonts w:hint="eastAsia" w:ascii="宋体" w:hAnsi="宋体" w:cs="宋体"/>
          <w:szCs w:val="21"/>
        </w:rPr>
        <w:t>代理单位</w:t>
      </w:r>
      <w:r>
        <w:rPr>
          <w:rFonts w:hint="eastAsia" w:ascii="_x000B__x000C_" w:hAnsi="_x000B__x000C_"/>
          <w:szCs w:val="21"/>
        </w:rPr>
        <w:t>和投标供应商起约束作用。</w:t>
      </w:r>
    </w:p>
    <w:p>
      <w:pPr>
        <w:numPr>
          <w:ilvl w:val="1"/>
          <w:numId w:val="4"/>
        </w:numPr>
        <w:snapToGrid w:val="0"/>
        <w:spacing w:line="400" w:lineRule="atLeast"/>
        <w:jc w:val="both"/>
        <w:rPr>
          <w:rFonts w:hint="eastAsia" w:ascii="宋体" w:hAnsi="宋体"/>
        </w:rPr>
      </w:pPr>
      <w:r>
        <w:rPr>
          <w:rFonts w:ascii="宋体" w:hAnsi="宋体"/>
        </w:rPr>
        <w:t>为使投标供应商有足够的时间按招标文件的修改要求修正投标文件，</w:t>
      </w:r>
      <w:r>
        <w:rPr>
          <w:rFonts w:hint="eastAsia" w:ascii="宋体" w:hAnsi="宋体"/>
        </w:rPr>
        <w:t>采购代理机构</w:t>
      </w:r>
      <w:r>
        <w:rPr>
          <w:rFonts w:ascii="宋体" w:hAnsi="宋体"/>
        </w:rPr>
        <w:t>可酌情推迟投标的截止日期和开标日期，并将具体变更情况通知上述每一投标供应商。</w:t>
      </w:r>
    </w:p>
    <w:p>
      <w:pPr>
        <w:numPr>
          <w:ilvl w:val="1"/>
          <w:numId w:val="4"/>
        </w:numPr>
        <w:snapToGrid w:val="0"/>
        <w:spacing w:line="400" w:lineRule="atLeast"/>
        <w:jc w:val="both"/>
        <w:rPr>
          <w:rFonts w:hint="eastAsia" w:ascii="Arial" w:hAnsi="Arial"/>
        </w:rPr>
      </w:pPr>
      <w:r>
        <w:t>补充文件将作为招标文件的组成部分，对所有投标供应商有约束力。</w:t>
      </w:r>
    </w:p>
    <w:p>
      <w:pPr>
        <w:pStyle w:val="5"/>
        <w:spacing w:before="120" w:beforeLines="50" w:after="120" w:afterLines="50" w:line="400" w:lineRule="atLeast"/>
        <w:jc w:val="center"/>
        <w:rPr>
          <w:sz w:val="24"/>
          <w:szCs w:val="24"/>
        </w:rPr>
      </w:pPr>
      <w:bookmarkStart w:id="21" w:name="_Toc64913327"/>
      <w:r>
        <w:rPr>
          <w:rFonts w:hint="eastAsia"/>
          <w:sz w:val="24"/>
          <w:szCs w:val="24"/>
        </w:rPr>
        <w:t>（四）投标文件的编制</w:t>
      </w:r>
      <w:bookmarkEnd w:id="21"/>
    </w:p>
    <w:p>
      <w:pPr>
        <w:numPr>
          <w:ilvl w:val="0"/>
          <w:numId w:val="4"/>
        </w:numPr>
        <w:snapToGrid w:val="0"/>
        <w:spacing w:line="400" w:lineRule="atLeast"/>
        <w:jc w:val="both"/>
        <w:rPr>
          <w:rFonts w:hint="eastAsia" w:ascii="Arial" w:hAnsi="Arial"/>
          <w:b/>
          <w:bCs/>
          <w:sz w:val="24"/>
        </w:rPr>
      </w:pPr>
      <w:r>
        <w:rPr>
          <w:rFonts w:ascii="宋体" w:hAnsi="宋体"/>
          <w:b/>
          <w:bCs/>
          <w:sz w:val="24"/>
        </w:rPr>
        <w:t>投标文件的</w:t>
      </w:r>
      <w:r>
        <w:rPr>
          <w:rFonts w:hint="eastAsia" w:ascii="宋体" w:hAnsi="宋体"/>
          <w:b/>
          <w:bCs/>
          <w:sz w:val="24"/>
        </w:rPr>
        <w:t>说明</w:t>
      </w:r>
    </w:p>
    <w:p>
      <w:pPr>
        <w:numPr>
          <w:ilvl w:val="1"/>
          <w:numId w:val="4"/>
        </w:numPr>
        <w:snapToGrid w:val="0"/>
        <w:spacing w:line="400" w:lineRule="atLeast"/>
        <w:jc w:val="both"/>
        <w:rPr>
          <w:rFonts w:ascii="宋体" w:hAnsi="宋体"/>
        </w:rPr>
      </w:pPr>
      <w:r>
        <w:rPr>
          <w:rFonts w:ascii="宋体" w:hAnsi="宋体"/>
        </w:rPr>
        <w:t>投标供应商提交的投标书以及投标供应商与采购人就有关投标的所有来往函电均应使用中文。</w:t>
      </w:r>
    </w:p>
    <w:p>
      <w:pPr>
        <w:numPr>
          <w:ilvl w:val="1"/>
          <w:numId w:val="4"/>
        </w:numPr>
        <w:snapToGrid w:val="0"/>
        <w:spacing w:line="400" w:lineRule="atLeast"/>
        <w:jc w:val="both"/>
        <w:rPr>
          <w:rFonts w:hint="eastAsia" w:ascii="宋体" w:hAnsi="宋体"/>
        </w:rPr>
      </w:pPr>
      <w:r>
        <w:rPr>
          <w:rFonts w:ascii="宋体" w:hAnsi="宋体"/>
        </w:rPr>
        <w:t>投标文件应字迹清楚、内容齐全、不得涂改。如有修改，修改处须有法定代表人或其</w:t>
      </w:r>
      <w:r>
        <w:rPr>
          <w:rFonts w:hint="eastAsia" w:ascii="宋体" w:hAnsi="宋体"/>
        </w:rPr>
        <w:t>同一</w:t>
      </w:r>
      <w:r>
        <w:rPr>
          <w:rFonts w:ascii="宋体" w:hAnsi="宋体"/>
        </w:rPr>
        <w:t>授权代理人</w:t>
      </w:r>
      <w:r>
        <w:rPr>
          <w:rFonts w:hint="eastAsia" w:ascii="宋体" w:hAnsi="宋体"/>
        </w:rPr>
        <w:t>签</w:t>
      </w:r>
      <w:r>
        <w:rPr>
          <w:rFonts w:ascii="宋体" w:hAnsi="宋体"/>
        </w:rPr>
        <w:t>章。</w:t>
      </w:r>
    </w:p>
    <w:p>
      <w:pPr>
        <w:numPr>
          <w:ilvl w:val="1"/>
          <w:numId w:val="4"/>
        </w:numPr>
        <w:snapToGrid w:val="0"/>
        <w:spacing w:line="400" w:lineRule="atLeast"/>
        <w:jc w:val="both"/>
        <w:rPr>
          <w:rFonts w:hint="eastAsia" w:ascii="宋体" w:hAnsi="宋体"/>
        </w:rPr>
      </w:pPr>
      <w:r>
        <w:rPr>
          <w:rFonts w:ascii="宋体" w:hAnsi="宋体"/>
        </w:rPr>
        <w:t>投标供应商所提供的技术文件和资料，包括图纸中的说明，应使用中文简化字。所使用的计量单位，应使用</w:t>
      </w:r>
      <w:r>
        <w:rPr>
          <w:rFonts w:hint="eastAsia" w:ascii="宋体" w:hAnsi="宋体"/>
        </w:rPr>
        <w:t>中国</w:t>
      </w:r>
      <w:r>
        <w:rPr>
          <w:rFonts w:ascii="宋体" w:hAnsi="宋体"/>
        </w:rPr>
        <w:t>法定计量单位。</w:t>
      </w:r>
    </w:p>
    <w:p>
      <w:pPr>
        <w:numPr>
          <w:ilvl w:val="1"/>
          <w:numId w:val="4"/>
        </w:numPr>
        <w:snapToGrid w:val="0"/>
        <w:spacing w:line="400" w:lineRule="atLeast"/>
        <w:jc w:val="both"/>
        <w:rPr>
          <w:rFonts w:ascii="Arial" w:hAnsi="Arial"/>
        </w:rPr>
      </w:pPr>
      <w:r>
        <w:rPr>
          <w:rFonts w:hint="eastAsia" w:ascii="宋体" w:hAnsi="宋体"/>
        </w:rPr>
        <w:t>投标供应商必须按招标文件的要求提供相关技术参数、资料，包括采用的计量单位，并保证投标文件的正确性和真实性，否则评审委员会将作出不利于其投标的评定。技术和商务如有偏离均应填写偏离表。</w:t>
      </w:r>
      <w:r>
        <w:rPr>
          <w:rFonts w:hint="eastAsia" w:ascii="楷体_GB2312" w:eastAsia="楷体_GB2312"/>
          <w:u w:val="wave"/>
        </w:rPr>
        <w:t>不按招标文件的要求提供的投标文件将作无效标处理 。</w:t>
      </w:r>
    </w:p>
    <w:p>
      <w:pPr>
        <w:numPr>
          <w:ilvl w:val="0"/>
          <w:numId w:val="4"/>
        </w:numPr>
        <w:snapToGrid w:val="0"/>
        <w:spacing w:line="400" w:lineRule="atLeast"/>
        <w:jc w:val="both"/>
        <w:rPr>
          <w:rFonts w:hint="eastAsia" w:ascii="Arial" w:hAnsi="Arial"/>
          <w:b/>
          <w:sz w:val="24"/>
        </w:rPr>
      </w:pPr>
      <w:r>
        <w:rPr>
          <w:rFonts w:hint="eastAsia" w:ascii="Arial" w:hAnsi="Arial"/>
          <w:b/>
          <w:sz w:val="24"/>
        </w:rPr>
        <w:t>投标文件的组成：</w:t>
      </w:r>
      <w:r>
        <w:rPr>
          <w:rFonts w:hint="eastAsia" w:ascii="宋体" w:hAnsi="宋体"/>
        </w:rPr>
        <w:t>投标供应商编写的投标文件应包括资格文件、报价文件和技术、商务文件三个部分：</w:t>
      </w:r>
    </w:p>
    <w:p>
      <w:pPr>
        <w:numPr>
          <w:ilvl w:val="1"/>
          <w:numId w:val="4"/>
        </w:numPr>
        <w:snapToGrid w:val="0"/>
        <w:spacing w:line="400" w:lineRule="atLeast"/>
        <w:jc w:val="both"/>
        <w:rPr>
          <w:rFonts w:ascii="宋体" w:hAnsi="宋体"/>
          <w:b/>
          <w:bCs/>
        </w:rPr>
      </w:pPr>
      <w:r>
        <w:rPr>
          <w:rFonts w:hint="eastAsia" w:ascii="宋体" w:hAnsi="宋体"/>
          <w:b/>
          <w:bCs/>
        </w:rPr>
        <w:t>资格文件组成</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8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autoSpaceDE w:val="0"/>
              <w:autoSpaceDN w:val="0"/>
              <w:adjustRightInd w:val="0"/>
              <w:snapToGrid w:val="0"/>
              <w:spacing w:line="430" w:lineRule="atLeast"/>
              <w:jc w:val="center"/>
              <w:rPr>
                <w:rFonts w:ascii="宋体" w:hAnsi="宋体" w:cs="Courier New"/>
                <w:bCs/>
                <w:szCs w:val="21"/>
                <w:lang w:val="zh-CN"/>
              </w:rPr>
            </w:pPr>
            <w:r>
              <w:rPr>
                <w:rFonts w:hint="eastAsia" w:ascii="宋体" w:hAnsi="宋体" w:cs="Courier New"/>
                <w:bCs/>
                <w:szCs w:val="21"/>
                <w:lang w:val="zh-CN"/>
              </w:rPr>
              <w:t>序号</w:t>
            </w:r>
          </w:p>
        </w:tc>
        <w:tc>
          <w:tcPr>
            <w:tcW w:w="8532" w:type="dxa"/>
            <w:noWrap w:val="0"/>
            <w:vAlign w:val="top"/>
          </w:tcPr>
          <w:p>
            <w:pPr>
              <w:autoSpaceDE w:val="0"/>
              <w:autoSpaceDN w:val="0"/>
              <w:adjustRightInd w:val="0"/>
              <w:snapToGrid w:val="0"/>
              <w:spacing w:line="430" w:lineRule="atLeast"/>
              <w:rPr>
                <w:rFonts w:ascii="宋体" w:hAnsi="宋体" w:cs="Courier New"/>
                <w:b/>
                <w:szCs w:val="21"/>
                <w:lang w:val="zh-CN"/>
              </w:rPr>
            </w:pPr>
            <w:r>
              <w:rPr>
                <w:rFonts w:hint="eastAsia" w:ascii="宋体" w:hAnsi="宋体" w:cs="Courier New"/>
                <w:b/>
                <w:szCs w:val="21"/>
                <w:lang w:val="zh-CN"/>
              </w:rPr>
              <w:t>内容（以下</w:t>
            </w:r>
            <w:r>
              <w:rPr>
                <w:rFonts w:ascii="宋体" w:hAnsi="宋体" w:cs="Courier New"/>
                <w:b/>
                <w:szCs w:val="21"/>
                <w:lang w:val="zh-CN"/>
              </w:rPr>
              <w:t>1</w:t>
            </w:r>
            <w:r>
              <w:rPr>
                <w:rFonts w:hint="eastAsia" w:ascii="宋体" w:hAnsi="宋体" w:cs="Courier New"/>
                <w:b/>
                <w:szCs w:val="21"/>
                <w:lang w:val="zh-CN"/>
              </w:rPr>
              <w:t>-</w:t>
            </w:r>
            <w:r>
              <w:rPr>
                <w:rFonts w:ascii="宋体" w:hAnsi="宋体" w:cs="Courier New"/>
                <w:b/>
                <w:szCs w:val="21"/>
                <w:lang w:val="zh-CN"/>
              </w:rPr>
              <w:t>2</w:t>
            </w:r>
            <w:r>
              <w:rPr>
                <w:rFonts w:hint="eastAsia" w:ascii="宋体" w:hAnsi="宋体" w:cs="Courier New"/>
                <w:b/>
                <w:szCs w:val="21"/>
                <w:lang w:val="zh-CN"/>
              </w:rPr>
              <w:t>项内容投标供应商必须提供，否则不能通过资格审查的，责任自负）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5"/>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ascii="宋体" w:hAnsi="宋体" w:cs="Courier New"/>
                <w:bCs/>
                <w:szCs w:val="21"/>
              </w:rPr>
            </w:pPr>
            <w:r>
              <w:rPr>
                <w:rFonts w:hint="eastAsia" w:ascii="宋体" w:hAnsi="宋体" w:cs="Courier New"/>
                <w:bCs/>
                <w:szCs w:val="21"/>
              </w:rPr>
              <w:t>投标供应商的营业执照、税务登记证（如为多证合一仅需提供营业执照，加盖公章）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5"/>
              </w:numPr>
              <w:autoSpaceDE w:val="0"/>
              <w:autoSpaceDN w:val="0"/>
              <w:adjustRightInd w:val="0"/>
              <w:snapToGrid w:val="0"/>
              <w:spacing w:line="430" w:lineRule="atLeast"/>
              <w:jc w:val="center"/>
              <w:rPr>
                <w:rFonts w:ascii="宋体" w:hAnsi="宋体" w:cs="Courier New"/>
                <w:bCs/>
                <w:szCs w:val="21"/>
              </w:rPr>
            </w:pPr>
          </w:p>
        </w:tc>
        <w:tc>
          <w:tcPr>
            <w:tcW w:w="8532" w:type="dxa"/>
            <w:noWrap w:val="0"/>
            <w:vAlign w:val="top"/>
          </w:tcPr>
          <w:p>
            <w:pPr>
              <w:autoSpaceDE w:val="0"/>
              <w:autoSpaceDN w:val="0"/>
              <w:adjustRightInd w:val="0"/>
              <w:snapToGrid w:val="0"/>
              <w:spacing w:line="430" w:lineRule="atLeast"/>
              <w:rPr>
                <w:rFonts w:hint="eastAsia" w:ascii="宋体" w:hAnsi="宋体" w:cs="Courier New"/>
                <w:bCs/>
                <w:szCs w:val="21"/>
              </w:rPr>
            </w:pPr>
            <w:r>
              <w:rPr>
                <w:rFonts w:hint="eastAsia" w:ascii="宋体" w:hAnsi="宋体" w:cs="Courier New"/>
                <w:bCs/>
                <w:szCs w:val="21"/>
              </w:rPr>
              <w:t>投标供应商参与政府采购活动投标资格声明函（见第六部分附件一）</w:t>
            </w:r>
          </w:p>
        </w:tc>
      </w:tr>
    </w:tbl>
    <w:p>
      <w:pPr>
        <w:numPr>
          <w:ilvl w:val="1"/>
          <w:numId w:val="4"/>
        </w:numPr>
        <w:snapToGrid w:val="0"/>
        <w:spacing w:line="400" w:lineRule="atLeast"/>
        <w:jc w:val="both"/>
        <w:rPr>
          <w:rFonts w:ascii="宋体" w:hAnsi="宋体"/>
          <w:b/>
          <w:bCs/>
        </w:rPr>
      </w:pPr>
      <w:r>
        <w:rPr>
          <w:rFonts w:hint="eastAsia" w:ascii="宋体" w:hAnsi="宋体"/>
          <w:b/>
          <w:bCs/>
        </w:rPr>
        <w:t>报价文件组成</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5"/>
        <w:gridCol w:w="8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65" w:type="dxa"/>
            <w:noWrap w:val="0"/>
            <w:vAlign w:val="center"/>
          </w:tcPr>
          <w:p>
            <w:pPr>
              <w:autoSpaceDE w:val="0"/>
              <w:autoSpaceDN w:val="0"/>
              <w:adjustRightInd w:val="0"/>
              <w:snapToGrid w:val="0"/>
              <w:spacing w:line="430" w:lineRule="atLeast"/>
              <w:jc w:val="center"/>
              <w:rPr>
                <w:rFonts w:ascii="宋体" w:hAnsi="宋体" w:cs="Courier New"/>
                <w:b/>
                <w:szCs w:val="21"/>
                <w:lang w:val="zh-CN"/>
              </w:rPr>
            </w:pPr>
            <w:r>
              <w:rPr>
                <w:rFonts w:hint="eastAsia" w:ascii="宋体" w:hAnsi="宋体" w:cs="Courier New"/>
                <w:b/>
                <w:szCs w:val="21"/>
                <w:lang w:val="zh-CN"/>
              </w:rPr>
              <w:t>序号</w:t>
            </w:r>
          </w:p>
        </w:tc>
        <w:tc>
          <w:tcPr>
            <w:tcW w:w="8521" w:type="dxa"/>
            <w:noWrap w:val="0"/>
            <w:vAlign w:val="top"/>
          </w:tcPr>
          <w:p>
            <w:pPr>
              <w:autoSpaceDE w:val="0"/>
              <w:autoSpaceDN w:val="0"/>
              <w:adjustRightInd w:val="0"/>
              <w:snapToGrid w:val="0"/>
              <w:spacing w:line="430" w:lineRule="atLeast"/>
              <w:rPr>
                <w:rFonts w:ascii="宋体" w:hAnsi="宋体" w:cs="Courier New"/>
                <w:b/>
                <w:szCs w:val="21"/>
                <w:lang w:val="zh-CN"/>
              </w:rPr>
            </w:pPr>
            <w:r>
              <w:rPr>
                <w:rFonts w:hint="eastAsia" w:ascii="宋体" w:hAnsi="宋体" w:cs="Courier New"/>
                <w:b/>
                <w:szCs w:val="21"/>
                <w:lang w:val="zh-CN"/>
              </w:rPr>
              <w:t>内容（▲</w:t>
            </w:r>
            <w:r>
              <w:rPr>
                <w:rFonts w:hint="eastAsia" w:ascii="宋体" w:hAnsi="宋体" w:cs="Courier New"/>
                <w:szCs w:val="21"/>
                <w:lang w:val="zh-CN"/>
              </w:rPr>
              <w:t>序号2-3项投标供应商必须提供，否则不能通过符合性审查的，责任自负。</w:t>
            </w:r>
            <w:r>
              <w:rPr>
                <w:rFonts w:hint="eastAsia" w:ascii="宋体" w:hAnsi="宋体" w:cs="Courier New"/>
                <w:b/>
                <w:szCs w:val="21"/>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65" w:type="dxa"/>
            <w:noWrap w:val="0"/>
            <w:vAlign w:val="center"/>
          </w:tcPr>
          <w:p>
            <w:pPr>
              <w:autoSpaceDE w:val="0"/>
              <w:autoSpaceDN w:val="0"/>
              <w:adjustRightInd w:val="0"/>
              <w:snapToGrid w:val="0"/>
              <w:spacing w:line="430" w:lineRule="atLeast"/>
              <w:jc w:val="center"/>
              <w:rPr>
                <w:rFonts w:ascii="宋体" w:hAnsi="宋体" w:cs="Courier New"/>
                <w:b/>
                <w:szCs w:val="21"/>
                <w:lang w:val="zh-CN"/>
              </w:rPr>
            </w:pPr>
            <w:r>
              <w:rPr>
                <w:rFonts w:hint="eastAsia" w:ascii="宋体" w:hAnsi="宋体" w:cs="Courier New"/>
                <w:b/>
                <w:szCs w:val="21"/>
                <w:lang w:val="zh-CN"/>
              </w:rPr>
              <w:t>1</w:t>
            </w:r>
          </w:p>
        </w:tc>
        <w:tc>
          <w:tcPr>
            <w:tcW w:w="8521" w:type="dxa"/>
            <w:noWrap w:val="0"/>
            <w:vAlign w:val="top"/>
          </w:tcPr>
          <w:p>
            <w:pPr>
              <w:autoSpaceDE w:val="0"/>
              <w:autoSpaceDN w:val="0"/>
              <w:adjustRightInd w:val="0"/>
              <w:snapToGrid w:val="0"/>
              <w:spacing w:line="430" w:lineRule="atLeast"/>
              <w:rPr>
                <w:rFonts w:hint="eastAsia" w:ascii="宋体" w:hAnsi="宋体" w:cs="Courier New"/>
                <w:bCs/>
                <w:szCs w:val="21"/>
                <w:lang w:val="zh-CN"/>
              </w:rPr>
            </w:pPr>
            <w:r>
              <w:rPr>
                <w:rFonts w:hint="eastAsia" w:ascii="宋体" w:hAnsi="宋体"/>
                <w:bCs/>
                <w:szCs w:val="21"/>
              </w:rPr>
              <w:t>报价文件封面（格式自拟）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65" w:type="dxa"/>
            <w:noWrap w:val="0"/>
            <w:vAlign w:val="center"/>
          </w:tcPr>
          <w:p>
            <w:pPr>
              <w:autoSpaceDE w:val="0"/>
              <w:autoSpaceDN w:val="0"/>
              <w:adjustRightInd w:val="0"/>
              <w:snapToGrid w:val="0"/>
              <w:spacing w:line="430" w:lineRule="atLeast"/>
              <w:jc w:val="center"/>
              <w:rPr>
                <w:rFonts w:ascii="宋体" w:hAnsi="宋体" w:cs="Courier New"/>
                <w:b/>
                <w:szCs w:val="21"/>
                <w:lang w:val="zh-CN"/>
              </w:rPr>
            </w:pPr>
            <w:r>
              <w:rPr>
                <w:rFonts w:hint="eastAsia" w:ascii="宋体" w:hAnsi="宋体" w:cs="Courier New"/>
                <w:b/>
                <w:szCs w:val="21"/>
                <w:lang w:val="zh-CN"/>
              </w:rPr>
              <w:t>2</w:t>
            </w:r>
          </w:p>
        </w:tc>
        <w:tc>
          <w:tcPr>
            <w:tcW w:w="8521" w:type="dxa"/>
            <w:noWrap w:val="0"/>
            <w:vAlign w:val="top"/>
          </w:tcPr>
          <w:p>
            <w:pPr>
              <w:autoSpaceDE w:val="0"/>
              <w:autoSpaceDN w:val="0"/>
              <w:adjustRightInd w:val="0"/>
              <w:spacing w:line="430" w:lineRule="atLeast"/>
              <w:textAlignment w:val="bottom"/>
              <w:rPr>
                <w:rFonts w:ascii="宋体" w:hAnsi="宋体" w:cs="Courier New"/>
                <w:bCs/>
                <w:szCs w:val="21"/>
              </w:rPr>
            </w:pPr>
            <w:r>
              <w:rPr>
                <w:rFonts w:hint="eastAsia" w:ascii="宋体" w:hAnsi="宋体" w:cs="Courier New"/>
                <w:bCs/>
                <w:szCs w:val="21"/>
              </w:rPr>
              <w:t>开标一览表（见第六部分附件二）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65" w:type="dxa"/>
            <w:noWrap w:val="0"/>
            <w:vAlign w:val="center"/>
          </w:tcPr>
          <w:p>
            <w:pPr>
              <w:autoSpaceDE w:val="0"/>
              <w:autoSpaceDN w:val="0"/>
              <w:adjustRightInd w:val="0"/>
              <w:snapToGrid w:val="0"/>
              <w:spacing w:line="430" w:lineRule="atLeast"/>
              <w:jc w:val="center"/>
              <w:rPr>
                <w:rFonts w:ascii="宋体" w:hAnsi="宋体" w:cs="Courier New"/>
                <w:b/>
                <w:szCs w:val="21"/>
                <w:lang w:val="zh-CN"/>
              </w:rPr>
            </w:pPr>
            <w:r>
              <w:rPr>
                <w:rFonts w:hint="eastAsia" w:ascii="宋体" w:hAnsi="宋体" w:cs="Courier New"/>
                <w:b/>
                <w:szCs w:val="21"/>
                <w:lang w:val="zh-CN"/>
              </w:rPr>
              <w:t>3</w:t>
            </w:r>
          </w:p>
        </w:tc>
        <w:tc>
          <w:tcPr>
            <w:tcW w:w="8521" w:type="dxa"/>
            <w:noWrap w:val="0"/>
            <w:vAlign w:val="top"/>
          </w:tcPr>
          <w:p>
            <w:pPr>
              <w:autoSpaceDE w:val="0"/>
              <w:autoSpaceDN w:val="0"/>
              <w:adjustRightInd w:val="0"/>
              <w:spacing w:line="430" w:lineRule="atLeast"/>
              <w:textAlignment w:val="bottom"/>
              <w:rPr>
                <w:rFonts w:ascii="宋体" w:hAnsi="宋体"/>
                <w:bCs/>
                <w:szCs w:val="21"/>
              </w:rPr>
            </w:pPr>
            <w:r>
              <w:rPr>
                <w:rFonts w:hint="eastAsia" w:ascii="宋体" w:hAnsi="宋体"/>
                <w:bCs/>
                <w:szCs w:val="21"/>
              </w:rPr>
              <w:t>投标分项报价表（</w:t>
            </w:r>
            <w:r>
              <w:rPr>
                <w:rFonts w:hint="eastAsia" w:ascii="宋体" w:hAnsi="宋体" w:cs="Courier New"/>
                <w:bCs/>
                <w:szCs w:val="21"/>
              </w:rPr>
              <w:t>见第六部分</w:t>
            </w:r>
            <w:r>
              <w:rPr>
                <w:rFonts w:hint="eastAsia" w:ascii="宋体" w:hAnsi="宋体"/>
                <w:bCs/>
                <w:szCs w:val="21"/>
              </w:rPr>
              <w:t>附件三）：</w:t>
            </w:r>
            <w:r>
              <w:rPr>
                <w:rFonts w:hint="eastAsia" w:ascii="宋体" w:hAnsi="宋体"/>
                <w:color w:val="000000"/>
                <w:szCs w:val="21"/>
              </w:rPr>
              <w:t>投标分项报价表1.1</w:t>
            </w:r>
          </w:p>
          <w:p>
            <w:pPr>
              <w:pStyle w:val="2"/>
              <w:numPr>
                <w:ilvl w:val="0"/>
                <w:numId w:val="6"/>
              </w:numPr>
              <w:rPr>
                <w:rFonts w:ascii="宋体" w:hAnsi="宋体" w:eastAsia="宋体"/>
                <w:color w:val="000000"/>
                <w:sz w:val="21"/>
                <w:szCs w:val="21"/>
              </w:rPr>
            </w:pPr>
            <w:r>
              <w:rPr>
                <w:rFonts w:hint="eastAsia" w:ascii="宋体" w:hAnsi="宋体" w:eastAsia="宋体"/>
                <w:color w:val="000000"/>
                <w:sz w:val="21"/>
                <w:szCs w:val="21"/>
              </w:rPr>
              <w:t>投标分项报价表1.1.1（安阳街道道路公路、市政设施、小广告、装修垃圾清运等部分明细报价）</w:t>
            </w:r>
          </w:p>
          <w:p>
            <w:pPr>
              <w:pStyle w:val="2"/>
              <w:numPr>
                <w:ilvl w:val="0"/>
                <w:numId w:val="6"/>
              </w:numPr>
              <w:rPr>
                <w:rFonts w:ascii="宋体" w:hAnsi="宋体" w:eastAsia="宋体"/>
                <w:color w:val="000000"/>
                <w:sz w:val="21"/>
                <w:szCs w:val="21"/>
              </w:rPr>
            </w:pPr>
            <w:r>
              <w:rPr>
                <w:rFonts w:hint="eastAsia" w:ascii="宋体" w:hAnsi="宋体" w:eastAsia="宋体"/>
                <w:color w:val="000000"/>
                <w:sz w:val="21"/>
                <w:szCs w:val="21"/>
              </w:rPr>
              <w:t>投标分项报价表1.1.2（安阳街道河道部分明细报价）</w:t>
            </w:r>
          </w:p>
          <w:p>
            <w:pPr>
              <w:pStyle w:val="2"/>
              <w:numPr>
                <w:ilvl w:val="0"/>
                <w:numId w:val="6"/>
              </w:numPr>
              <w:rPr>
                <w:rFonts w:hint="eastAsia" w:ascii="宋体" w:hAnsi="宋体" w:eastAsia="宋体"/>
                <w:color w:val="000000"/>
                <w:sz w:val="21"/>
                <w:szCs w:val="21"/>
              </w:rPr>
            </w:pPr>
            <w:r>
              <w:rPr>
                <w:rFonts w:hint="eastAsia" w:ascii="宋体" w:hAnsi="宋体" w:eastAsia="宋体"/>
                <w:color w:val="000000"/>
                <w:sz w:val="21"/>
                <w:szCs w:val="21"/>
              </w:rPr>
              <w:t>投标分项报价表1.1.3（安阳街道公厕明细报价）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65" w:type="dxa"/>
            <w:noWrap w:val="0"/>
            <w:vAlign w:val="center"/>
          </w:tcPr>
          <w:p>
            <w:pPr>
              <w:autoSpaceDE w:val="0"/>
              <w:autoSpaceDN w:val="0"/>
              <w:adjustRightInd w:val="0"/>
              <w:snapToGrid w:val="0"/>
              <w:spacing w:line="430" w:lineRule="atLeast"/>
              <w:jc w:val="center"/>
              <w:rPr>
                <w:rFonts w:hint="eastAsia" w:ascii="宋体" w:hAnsi="宋体" w:cs="Courier New"/>
                <w:b/>
                <w:szCs w:val="21"/>
              </w:rPr>
            </w:pPr>
            <w:r>
              <w:rPr>
                <w:rFonts w:ascii="宋体" w:hAnsi="宋体" w:cs="Courier New"/>
                <w:b/>
                <w:szCs w:val="21"/>
              </w:rPr>
              <w:t>4</w:t>
            </w:r>
          </w:p>
        </w:tc>
        <w:tc>
          <w:tcPr>
            <w:tcW w:w="8521" w:type="dxa"/>
            <w:noWrap w:val="0"/>
            <w:vAlign w:val="top"/>
          </w:tcPr>
          <w:p>
            <w:pPr>
              <w:autoSpaceDE w:val="0"/>
              <w:autoSpaceDN w:val="0"/>
              <w:adjustRightInd w:val="0"/>
              <w:snapToGrid w:val="0"/>
              <w:spacing w:line="430" w:lineRule="atLeast"/>
              <w:rPr>
                <w:rFonts w:ascii="宋体" w:hAnsi="宋体"/>
                <w:bCs/>
                <w:szCs w:val="21"/>
              </w:rPr>
            </w:pPr>
            <w:r>
              <w:rPr>
                <w:rFonts w:hint="eastAsia" w:ascii="宋体" w:hAnsi="宋体"/>
                <w:bCs/>
                <w:szCs w:val="21"/>
              </w:rPr>
              <w:t>1、享受小微企业（含监狱企业、残疾人福利性单位）价格6%的折扣须提供以下证明材料（缺一不可）：</w:t>
            </w:r>
          </w:p>
          <w:p>
            <w:pPr>
              <w:numPr>
                <w:ilvl w:val="0"/>
                <w:numId w:val="7"/>
              </w:numPr>
              <w:autoSpaceDE w:val="0"/>
              <w:autoSpaceDN w:val="0"/>
              <w:adjustRightInd w:val="0"/>
              <w:snapToGrid w:val="0"/>
              <w:spacing w:line="430" w:lineRule="atLeast"/>
              <w:rPr>
                <w:rFonts w:ascii="宋体" w:hAnsi="宋体"/>
                <w:bCs/>
                <w:szCs w:val="21"/>
              </w:rPr>
            </w:pPr>
            <w:r>
              <w:rPr>
                <w:rFonts w:hint="eastAsia" w:ascii="宋体" w:hAnsi="宋体"/>
                <w:bCs/>
                <w:szCs w:val="21"/>
              </w:rPr>
              <w:t>《中小企业声明函》（加盖供应商公章，格式见招标文件第五部分附件</w:t>
            </w:r>
            <w:r>
              <w:rPr>
                <w:rFonts w:ascii="宋体" w:hAnsi="宋体"/>
                <w:bCs/>
                <w:szCs w:val="21"/>
              </w:rPr>
              <w:t>）</w:t>
            </w:r>
          </w:p>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2、监狱企业参加政府采购活动时，应当提供由省级以上监狱管理局、戒毒管理局(含新疆生产建设兵团)出具的属于监狱企业的证明文件（原件。在政府采购活动中，监狱企业视同小型、微型企业，享受评审中价格6%的扣除政策。</w:t>
            </w:r>
          </w:p>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3、残疾人福利性单位声明函（格式见招标文件第五部分附件3）在政府采购活动中，残疾人福利性单位视同小型、微型企业，享受评审中价格6%的扣除政策。</w:t>
            </w:r>
          </w:p>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如供应商企业属于以上多种性质的，仅享受一次，不重复享受扶持政策。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65" w:type="dxa"/>
            <w:noWrap w:val="0"/>
            <w:vAlign w:val="center"/>
          </w:tcPr>
          <w:p>
            <w:pPr>
              <w:autoSpaceDE w:val="0"/>
              <w:autoSpaceDN w:val="0"/>
              <w:adjustRightInd w:val="0"/>
              <w:snapToGrid w:val="0"/>
              <w:spacing w:line="430" w:lineRule="atLeast"/>
              <w:jc w:val="center"/>
              <w:rPr>
                <w:rFonts w:ascii="宋体" w:hAnsi="宋体" w:cs="Courier New"/>
                <w:b/>
                <w:szCs w:val="21"/>
              </w:rPr>
            </w:pPr>
            <w:r>
              <w:rPr>
                <w:rFonts w:hint="eastAsia" w:ascii="宋体" w:hAnsi="宋体" w:cs="Courier New"/>
                <w:b/>
                <w:szCs w:val="21"/>
              </w:rPr>
              <w:t>5</w:t>
            </w:r>
          </w:p>
        </w:tc>
        <w:tc>
          <w:tcPr>
            <w:tcW w:w="8521" w:type="dxa"/>
            <w:noWrap w:val="0"/>
            <w:vAlign w:val="top"/>
          </w:tcPr>
          <w:p>
            <w:pPr>
              <w:autoSpaceDE w:val="0"/>
              <w:autoSpaceDN w:val="0"/>
              <w:adjustRightInd w:val="0"/>
              <w:snapToGrid w:val="0"/>
              <w:spacing w:line="430" w:lineRule="atLeast"/>
              <w:rPr>
                <w:rFonts w:hint="eastAsia" w:ascii="宋体" w:hAnsi="宋体"/>
                <w:bCs/>
                <w:szCs w:val="21"/>
                <w:highlight w:val="yellow"/>
              </w:rPr>
            </w:pPr>
            <w:r>
              <w:rPr>
                <w:rFonts w:hint="eastAsia" w:ascii="宋体" w:hAnsi="宋体"/>
                <w:bCs/>
                <w:szCs w:val="21"/>
              </w:rPr>
              <w:t>根据《工业和信息化部、国家统计局、国家发展和改革委员会、财政部关于印发中小企业划型标准规定的通知》（工信部联企业[2011]300号），本项目所属行业为：</w:t>
            </w:r>
            <w:r>
              <w:rPr>
                <w:rFonts w:hint="eastAsia" w:ascii="宋体" w:hAnsi="宋体"/>
                <w:b/>
                <w:szCs w:val="21"/>
              </w:rPr>
              <w:t>其他未列明行业（包括科学研究和技术服务业，水利、环境和公共设施管理业，居民服务、修理和其他服务业，社会工作，文化、体育和娱乐业等）</w:t>
            </w:r>
            <w:r>
              <w:rPr>
                <w:rFonts w:hint="eastAsia" w:ascii="宋体" w:hAnsi="宋体"/>
                <w:bCs/>
                <w:szCs w:val="21"/>
              </w:rPr>
              <w:t>，投标供应商属于招标文件中明确的行业所对应的小微企业享受价格优惠折扣。</w:t>
            </w:r>
          </w:p>
        </w:tc>
      </w:tr>
    </w:tbl>
    <w:p>
      <w:pPr>
        <w:numPr>
          <w:ilvl w:val="1"/>
          <w:numId w:val="4"/>
        </w:numPr>
        <w:snapToGrid w:val="0"/>
        <w:spacing w:line="400" w:lineRule="atLeast"/>
        <w:jc w:val="both"/>
        <w:rPr>
          <w:rFonts w:ascii="宋体" w:hAnsi="宋体"/>
          <w:b/>
          <w:bCs/>
        </w:rPr>
      </w:pPr>
      <w:r>
        <w:rPr>
          <w:rFonts w:hint="eastAsia" w:ascii="宋体" w:hAnsi="宋体"/>
          <w:b/>
          <w:bCs/>
        </w:rPr>
        <w:t>技术、商务文件部分包括</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8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top"/>
          </w:tcPr>
          <w:p>
            <w:pPr>
              <w:autoSpaceDE w:val="0"/>
              <w:autoSpaceDN w:val="0"/>
              <w:adjustRightInd w:val="0"/>
              <w:snapToGrid w:val="0"/>
              <w:spacing w:line="430" w:lineRule="atLeast"/>
              <w:rPr>
                <w:rFonts w:ascii="宋体" w:hAnsi="宋体" w:cs="Courier New"/>
                <w:bCs/>
                <w:szCs w:val="21"/>
                <w:lang w:val="zh-CN"/>
              </w:rPr>
            </w:pPr>
            <w:r>
              <w:rPr>
                <w:rFonts w:hint="eastAsia" w:ascii="宋体" w:hAnsi="宋体" w:cs="Courier New"/>
                <w:bCs/>
                <w:szCs w:val="21"/>
                <w:lang w:val="zh-CN"/>
              </w:rPr>
              <w:t>序号</w:t>
            </w:r>
          </w:p>
        </w:tc>
        <w:tc>
          <w:tcPr>
            <w:tcW w:w="8532" w:type="dxa"/>
            <w:noWrap w:val="0"/>
            <w:vAlign w:val="top"/>
          </w:tcPr>
          <w:p>
            <w:pPr>
              <w:autoSpaceDE w:val="0"/>
              <w:autoSpaceDN w:val="0"/>
              <w:adjustRightInd w:val="0"/>
              <w:snapToGrid w:val="0"/>
              <w:spacing w:line="430" w:lineRule="atLeast"/>
              <w:rPr>
                <w:rFonts w:ascii="宋体" w:hAnsi="宋体" w:cs="Courier New"/>
                <w:b/>
                <w:szCs w:val="21"/>
                <w:lang w:val="zh-CN"/>
              </w:rPr>
            </w:pPr>
            <w:r>
              <w:rPr>
                <w:rFonts w:hint="eastAsia" w:ascii="宋体" w:hAnsi="宋体" w:cs="Courier New"/>
                <w:b/>
                <w:szCs w:val="21"/>
                <w:lang w:val="zh-CN"/>
              </w:rPr>
              <w:t>包含但不限于以下内容（投标供应商应提供相关内容，如不能通过符合性审查的，责任自负。）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hint="eastAsia" w:ascii="宋体" w:hAnsi="宋体" w:cs="Courier New"/>
                <w:bCs/>
                <w:szCs w:val="21"/>
                <w:lang w:val="zh-CN"/>
              </w:rPr>
            </w:pPr>
            <w:r>
              <w:rPr>
                <w:rFonts w:hint="eastAsia" w:ascii="宋体" w:hAnsi="宋体"/>
                <w:bCs/>
                <w:szCs w:val="21"/>
              </w:rPr>
              <w:t>技术和商务文件封面（格式自拟）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ascii="宋体" w:hAnsi="宋体"/>
                <w:bCs/>
                <w:szCs w:val="21"/>
              </w:rPr>
            </w:pPr>
            <w:r>
              <w:rPr>
                <w:rFonts w:hint="eastAsia" w:ascii="宋体" w:hAnsi="宋体"/>
                <w:bCs/>
                <w:szCs w:val="21"/>
              </w:rPr>
              <w:t>法定代表人授权委托书（法定代表人则提供身份证影印件）；        （见第六部分附件四）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投标函</w:t>
            </w:r>
            <w:r>
              <w:rPr>
                <w:rFonts w:ascii="宋体" w:hAnsi="宋体"/>
                <w:bCs/>
                <w:szCs w:val="21"/>
              </w:rPr>
              <w:t xml:space="preserve">                                               </w:t>
            </w:r>
            <w:r>
              <w:rPr>
                <w:rFonts w:hint="eastAsia" w:ascii="宋体" w:hAnsi="宋体"/>
                <w:bCs/>
                <w:szCs w:val="21"/>
              </w:rPr>
              <w:t>（见第六部分附件五）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 xml:space="preserve">环卫保洁承诺书 </w:t>
            </w:r>
            <w:r>
              <w:rPr>
                <w:rFonts w:ascii="宋体" w:hAnsi="宋体"/>
                <w:bCs/>
                <w:szCs w:val="21"/>
              </w:rPr>
              <w:t xml:space="preserve">                                      </w:t>
            </w:r>
            <w:r>
              <w:rPr>
                <w:rFonts w:hint="eastAsia" w:ascii="宋体" w:hAnsi="宋体"/>
                <w:bCs/>
                <w:szCs w:val="21"/>
              </w:rPr>
              <w:t>（见第六部分附件六）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供应商简介；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ascii="宋体" w:hAnsi="宋体"/>
                <w:bCs/>
                <w:szCs w:val="21"/>
              </w:rPr>
            </w:pPr>
            <w:r>
              <w:rPr>
                <w:rFonts w:hint="eastAsia" w:ascii="宋体" w:hAnsi="宋体"/>
                <w:bCs/>
                <w:szCs w:val="21"/>
              </w:rPr>
              <w:t xml:space="preserve">少量偏离表； </w:t>
            </w:r>
            <w:r>
              <w:rPr>
                <w:rFonts w:ascii="宋体" w:hAnsi="宋体"/>
                <w:bCs/>
                <w:szCs w:val="21"/>
              </w:rPr>
              <w:t xml:space="preserve">                                         </w:t>
            </w:r>
            <w:r>
              <w:rPr>
                <w:rFonts w:hint="eastAsia" w:ascii="宋体" w:hAnsi="宋体"/>
                <w:bCs/>
                <w:szCs w:val="21"/>
              </w:rPr>
              <w:t>（见第六部分附件七）</w:t>
            </w:r>
          </w:p>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注：如不填写，则视为完全响应投标文件的技术及商务要求，（此表格必须提供，否则有可能做无效标处理）。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0"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 xml:space="preserve">投标供应商基本情况表； </w:t>
            </w:r>
            <w:r>
              <w:rPr>
                <w:rFonts w:ascii="宋体" w:hAnsi="宋体"/>
                <w:bCs/>
                <w:szCs w:val="21"/>
              </w:rPr>
              <w:t xml:space="preserve">                              </w:t>
            </w:r>
            <w:r>
              <w:rPr>
                <w:rFonts w:hint="eastAsia" w:ascii="宋体" w:hAnsi="宋体"/>
                <w:bCs/>
                <w:szCs w:val="21"/>
              </w:rPr>
              <w:t>（见第六部分附件八）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16"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lang w:val="zh-CN"/>
              </w:rPr>
            </w:pPr>
          </w:p>
        </w:tc>
        <w:tc>
          <w:tcPr>
            <w:tcW w:w="8532" w:type="dxa"/>
            <w:noWrap w:val="0"/>
            <w:vAlign w:val="top"/>
          </w:tcPr>
          <w:p>
            <w:pPr>
              <w:autoSpaceDE w:val="0"/>
              <w:autoSpaceDN w:val="0"/>
              <w:adjustRightInd w:val="0"/>
              <w:snapToGrid w:val="0"/>
              <w:spacing w:line="430" w:lineRule="atLeast"/>
              <w:rPr>
                <w:rFonts w:ascii="宋体" w:hAnsi="宋体"/>
                <w:bCs/>
                <w:szCs w:val="21"/>
              </w:rPr>
            </w:pPr>
            <w:r>
              <w:rPr>
                <w:rFonts w:hint="eastAsia" w:ascii="宋体" w:hAnsi="宋体"/>
                <w:bCs/>
                <w:szCs w:val="21"/>
              </w:rPr>
              <w:t>供应商证书情况（如有则提供，证书必须有效，扫描件加盖公章，否则视无效提供）</w:t>
            </w:r>
          </w:p>
          <w:p>
            <w:pPr>
              <w:numPr>
                <w:ilvl w:val="0"/>
                <w:numId w:val="9"/>
              </w:numPr>
              <w:autoSpaceDE w:val="0"/>
              <w:autoSpaceDN w:val="0"/>
              <w:adjustRightInd w:val="0"/>
              <w:snapToGrid w:val="0"/>
              <w:spacing w:line="430" w:lineRule="atLeast"/>
              <w:rPr>
                <w:rFonts w:ascii="宋体" w:hAnsi="宋体"/>
                <w:bCs/>
                <w:szCs w:val="21"/>
              </w:rPr>
            </w:pPr>
            <w:r>
              <w:rPr>
                <w:rFonts w:hint="eastAsia" w:ascii="宋体" w:hAnsi="宋体" w:cs="宋体"/>
                <w:snapToGrid w:val="0"/>
                <w:szCs w:val="21"/>
              </w:rPr>
              <w:t>投标供应商提供2017年1月1日以来由县市级及以上人民政府或县市级人民政府所属的市容环卫主管部门颁发的市容环卫服务方面的荣誉证书或获奖证书</w:t>
            </w:r>
            <w:r>
              <w:rPr>
                <w:rFonts w:hint="eastAsia" w:ascii="宋体" w:hAnsi="宋体"/>
                <w:bCs/>
                <w:szCs w:val="21"/>
              </w:rPr>
              <w:t>；</w:t>
            </w:r>
          </w:p>
          <w:p>
            <w:pPr>
              <w:numPr>
                <w:ilvl w:val="0"/>
                <w:numId w:val="9"/>
              </w:numPr>
              <w:autoSpaceDE w:val="0"/>
              <w:autoSpaceDN w:val="0"/>
              <w:adjustRightInd w:val="0"/>
              <w:snapToGrid w:val="0"/>
              <w:spacing w:line="430" w:lineRule="atLeast"/>
              <w:rPr>
                <w:rFonts w:ascii="宋体" w:hAnsi="宋体"/>
                <w:bCs/>
                <w:szCs w:val="21"/>
              </w:rPr>
            </w:pPr>
            <w:r>
              <w:rPr>
                <w:rFonts w:hint="eastAsia" w:ascii="宋体" w:hAnsi="宋体"/>
                <w:bCs/>
                <w:szCs w:val="21"/>
              </w:rPr>
              <w:t>投标供应商资信等级证明等；</w:t>
            </w:r>
          </w:p>
          <w:p>
            <w:pPr>
              <w:numPr>
                <w:ilvl w:val="0"/>
                <w:numId w:val="9"/>
              </w:numPr>
              <w:autoSpaceDE w:val="0"/>
              <w:autoSpaceDN w:val="0"/>
              <w:adjustRightInd w:val="0"/>
              <w:snapToGrid w:val="0"/>
              <w:spacing w:line="430" w:lineRule="atLeast"/>
              <w:rPr>
                <w:rFonts w:hint="eastAsia" w:ascii="宋体" w:hAnsi="宋体"/>
                <w:bCs/>
                <w:szCs w:val="21"/>
              </w:rPr>
            </w:pPr>
            <w:r>
              <w:rPr>
                <w:rFonts w:hint="eastAsia" w:ascii="宋体" w:hAnsi="宋体"/>
                <w:bCs/>
                <w:szCs w:val="21"/>
              </w:rPr>
              <w:t>投标供应商具有的其它相关资质证书；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394" w:hRule="atLeast"/>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Cs w:val="21"/>
              </w:rPr>
            </w:pPr>
          </w:p>
        </w:tc>
        <w:tc>
          <w:tcPr>
            <w:tcW w:w="8532" w:type="dxa"/>
            <w:noWrap w:val="0"/>
            <w:vAlign w:val="top"/>
          </w:tcPr>
          <w:p>
            <w:pPr>
              <w:autoSpaceDE w:val="0"/>
              <w:autoSpaceDN w:val="0"/>
              <w:adjustRightInd w:val="0"/>
              <w:snapToGrid w:val="0"/>
              <w:spacing w:line="430" w:lineRule="atLeast"/>
              <w:rPr>
                <w:szCs w:val="21"/>
              </w:rPr>
            </w:pPr>
            <w:r>
              <w:rPr>
                <w:rFonts w:hint="eastAsia"/>
                <w:szCs w:val="21"/>
              </w:rPr>
              <w:t>供应商拟投入人员清单（见第六部分附件九）</w:t>
            </w:r>
          </w:p>
          <w:p>
            <w:pPr>
              <w:numPr>
                <w:ilvl w:val="0"/>
                <w:numId w:val="9"/>
              </w:numPr>
              <w:autoSpaceDE w:val="0"/>
              <w:autoSpaceDN w:val="0"/>
              <w:adjustRightInd w:val="0"/>
              <w:snapToGrid w:val="0"/>
              <w:spacing w:line="430" w:lineRule="atLeast"/>
              <w:rPr>
                <w:rFonts w:hint="eastAsia"/>
                <w:szCs w:val="21"/>
              </w:rPr>
            </w:pPr>
            <w:r>
              <w:rPr>
                <w:rFonts w:hint="eastAsia"/>
                <w:szCs w:val="21"/>
              </w:rPr>
              <w:t xml:space="preserve">拟派项目负责人情况表 ；       </w:t>
            </w:r>
            <w:r>
              <w:rPr>
                <w:szCs w:val="21"/>
              </w:rPr>
              <w:t xml:space="preserve">                      </w:t>
            </w:r>
            <w:r>
              <w:rPr>
                <w:rFonts w:hint="eastAsia"/>
                <w:szCs w:val="21"/>
              </w:rPr>
              <w:t>（见第六部分附件九-</w:t>
            </w:r>
            <w:r>
              <w:rPr>
                <w:szCs w:val="21"/>
              </w:rPr>
              <w:t>1</w:t>
            </w:r>
            <w:r>
              <w:rPr>
                <w:rFonts w:hint="eastAsia"/>
                <w:szCs w:val="21"/>
              </w:rPr>
              <w:t>）</w:t>
            </w:r>
          </w:p>
          <w:p>
            <w:pPr>
              <w:numPr>
                <w:ilvl w:val="0"/>
                <w:numId w:val="9"/>
              </w:numPr>
              <w:autoSpaceDE w:val="0"/>
              <w:autoSpaceDN w:val="0"/>
              <w:adjustRightInd w:val="0"/>
              <w:snapToGrid w:val="0"/>
              <w:spacing w:line="430" w:lineRule="atLeast"/>
              <w:rPr>
                <w:rFonts w:hint="eastAsia"/>
                <w:szCs w:val="21"/>
              </w:rPr>
            </w:pPr>
            <w:r>
              <w:rPr>
                <w:rFonts w:hint="eastAsia"/>
                <w:szCs w:val="21"/>
              </w:rPr>
              <w:t xml:space="preserve">岗位员工配置计划表； </w:t>
            </w:r>
            <w:r>
              <w:rPr>
                <w:szCs w:val="21"/>
              </w:rPr>
              <w:t xml:space="preserve">                         </w:t>
            </w:r>
            <w:r>
              <w:rPr>
                <w:rFonts w:hint="eastAsia"/>
                <w:szCs w:val="21"/>
              </w:rPr>
              <w:t>（见第六部分附件九-</w:t>
            </w:r>
            <w:r>
              <w:rPr>
                <w:szCs w:val="21"/>
              </w:rPr>
              <w:t>2</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14" w:hRule="atLeast"/>
        </w:trPr>
        <w:tc>
          <w:tcPr>
            <w:tcW w:w="754" w:type="dxa"/>
            <w:noWrap w:val="0"/>
            <w:vAlign w:val="center"/>
          </w:tcPr>
          <w:p>
            <w:pPr>
              <w:numPr>
                <w:ilvl w:val="0"/>
                <w:numId w:val="8"/>
              </w:numPr>
              <w:autoSpaceDE w:val="0"/>
              <w:autoSpaceDN w:val="0"/>
              <w:adjustRightInd w:val="0"/>
              <w:snapToGrid w:val="0"/>
              <w:spacing w:line="430" w:lineRule="atLeast"/>
              <w:jc w:val="center"/>
              <w:rPr>
                <w:rFonts w:hint="eastAsia" w:ascii="宋体" w:hAnsi="宋体" w:cs="宋体"/>
                <w:bCs/>
                <w:szCs w:val="21"/>
              </w:rPr>
            </w:pPr>
          </w:p>
        </w:tc>
        <w:tc>
          <w:tcPr>
            <w:tcW w:w="8532" w:type="dxa"/>
            <w:noWrap w:val="0"/>
            <w:vAlign w:val="top"/>
          </w:tcPr>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对本项目清扫保洁工作的现状调查与问题剖析（结合采购文件，自行编写）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173" w:hRule="atLeast"/>
        </w:trPr>
        <w:tc>
          <w:tcPr>
            <w:tcW w:w="754" w:type="dxa"/>
            <w:noWrap w:val="0"/>
            <w:vAlign w:val="center"/>
          </w:tcPr>
          <w:p>
            <w:pPr>
              <w:numPr>
                <w:ilvl w:val="0"/>
                <w:numId w:val="8"/>
              </w:numPr>
              <w:autoSpaceDE w:val="0"/>
              <w:autoSpaceDN w:val="0"/>
              <w:adjustRightInd w:val="0"/>
              <w:snapToGrid w:val="0"/>
              <w:spacing w:line="430" w:lineRule="atLeast"/>
              <w:jc w:val="center"/>
              <w:rPr>
                <w:rFonts w:hint="eastAsia" w:ascii="宋体" w:hAnsi="宋体" w:cs="宋体"/>
                <w:bCs/>
                <w:szCs w:val="21"/>
              </w:rPr>
            </w:pPr>
          </w:p>
        </w:tc>
        <w:tc>
          <w:tcPr>
            <w:tcW w:w="8532" w:type="dxa"/>
            <w:noWrap w:val="0"/>
            <w:vAlign w:val="top"/>
          </w:tcPr>
          <w:p>
            <w:pPr>
              <w:autoSpaceDE w:val="0"/>
              <w:autoSpaceDN w:val="0"/>
              <w:adjustRightInd w:val="0"/>
              <w:snapToGrid w:val="0"/>
              <w:spacing w:line="430" w:lineRule="atLeast"/>
              <w:rPr>
                <w:rFonts w:hint="eastAsia" w:ascii="宋体" w:hAnsi="宋体" w:cs="宋体"/>
                <w:bCs/>
                <w:szCs w:val="21"/>
              </w:rPr>
            </w:pPr>
            <w:r>
              <w:rPr>
                <w:rFonts w:hint="eastAsia" w:ascii="宋体" w:hAnsi="宋体"/>
                <w:bCs/>
                <w:szCs w:val="21"/>
              </w:rPr>
              <w:t>本项目清扫保洁具体实施计划和方案措施，扫保洁服务的工作排班、时间安排和分工计划，拟投入的管理、作业人员、作业设备、作业工具、耗材等所投入的数量、概况及力度.人员配备合理，作业计划、排班详细，可行性强。满足项目要求情况（包含以下内容，但不限于）（结合采购内容，自行编写）</w:t>
            </w:r>
            <w:r>
              <w:rPr>
                <w:rFonts w:hint="eastAsia" w:ascii="宋体" w:hAnsi="宋体" w:cs="宋体"/>
                <w:bCs/>
                <w:szCs w:val="21"/>
              </w:rPr>
              <w:t xml:space="preserve">： </w:t>
            </w:r>
            <w:r>
              <w:rPr>
                <w:rFonts w:ascii="宋体" w:hAnsi="宋体" w:cs="宋体"/>
                <w:bCs/>
                <w:szCs w:val="21"/>
              </w:rPr>
              <w:t xml:space="preserve">                             </w:t>
            </w:r>
            <w:r>
              <w:rPr>
                <w:rFonts w:hint="eastAsia"/>
                <w:szCs w:val="21"/>
              </w:rPr>
              <w:t>（见第六部分附件十）</w:t>
            </w:r>
          </w:p>
          <w:p>
            <w:pPr>
              <w:numPr>
                <w:ilvl w:val="0"/>
                <w:numId w:val="10"/>
              </w:numPr>
              <w:autoSpaceDE w:val="0"/>
              <w:autoSpaceDN w:val="0"/>
              <w:adjustRightInd w:val="0"/>
              <w:snapToGrid w:val="0"/>
              <w:spacing w:line="430" w:lineRule="atLeast"/>
              <w:rPr>
                <w:rFonts w:hint="eastAsia" w:ascii="宋体" w:hAnsi="宋体"/>
                <w:bCs/>
                <w:szCs w:val="21"/>
              </w:rPr>
            </w:pPr>
            <w:r>
              <w:rPr>
                <w:rFonts w:hint="eastAsia" w:ascii="宋体" w:hAnsi="宋体"/>
                <w:bCs/>
                <w:szCs w:val="21"/>
              </w:rPr>
              <w:t>道路（含车行道和人行道）保洁方案；(</w:t>
            </w:r>
            <w:r>
              <w:rPr>
                <w:rFonts w:hint="eastAsia" w:ascii="宋体" w:hAnsi="宋体" w:cs="宋体"/>
                <w:szCs w:val="21"/>
              </w:rPr>
              <w:t>集镇区道路保洁、</w:t>
            </w:r>
            <w:r>
              <w:rPr>
                <w:rFonts w:hint="eastAsia"/>
                <w:szCs w:val="21"/>
              </w:rPr>
              <w:t>经合社道路保洁、公路保洁等</w:t>
            </w:r>
            <w:r>
              <w:rPr>
                <w:rFonts w:ascii="宋体" w:hAnsi="宋体"/>
                <w:bCs/>
                <w:szCs w:val="21"/>
              </w:rPr>
              <w:t>)</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公园、广场及公共绿地保洁方案；</w:t>
            </w:r>
          </w:p>
          <w:p>
            <w:pPr>
              <w:numPr>
                <w:ilvl w:val="0"/>
                <w:numId w:val="10"/>
              </w:numPr>
              <w:autoSpaceDE w:val="0"/>
              <w:autoSpaceDN w:val="0"/>
              <w:adjustRightInd w:val="0"/>
              <w:snapToGrid w:val="0"/>
              <w:spacing w:line="430" w:lineRule="atLeast"/>
              <w:rPr>
                <w:rFonts w:hint="eastAsia" w:ascii="宋体" w:hAnsi="宋体"/>
                <w:bCs/>
                <w:szCs w:val="21"/>
              </w:rPr>
            </w:pPr>
            <w:r>
              <w:rPr>
                <w:rFonts w:hint="eastAsia" w:ascii="宋体" w:hAnsi="宋体"/>
                <w:bCs/>
                <w:szCs w:val="21"/>
              </w:rPr>
              <w:t>市政设施保洁方案；</w:t>
            </w:r>
          </w:p>
          <w:p>
            <w:pPr>
              <w:numPr>
                <w:ilvl w:val="0"/>
                <w:numId w:val="10"/>
              </w:numPr>
              <w:autoSpaceDE w:val="0"/>
              <w:autoSpaceDN w:val="0"/>
              <w:adjustRightInd w:val="0"/>
              <w:snapToGrid w:val="0"/>
              <w:spacing w:line="430" w:lineRule="atLeast"/>
              <w:rPr>
                <w:rFonts w:hint="eastAsia" w:ascii="宋体" w:hAnsi="宋体"/>
                <w:bCs/>
                <w:szCs w:val="21"/>
              </w:rPr>
            </w:pPr>
            <w:r>
              <w:rPr>
                <w:rFonts w:hint="eastAsia" w:ascii="宋体" w:hAnsi="宋体"/>
                <w:bCs/>
                <w:szCs w:val="21"/>
              </w:rPr>
              <w:t>城市家具保洁方案；</w:t>
            </w:r>
          </w:p>
          <w:p>
            <w:pPr>
              <w:numPr>
                <w:ilvl w:val="0"/>
                <w:numId w:val="10"/>
              </w:numPr>
              <w:autoSpaceDE w:val="0"/>
              <w:autoSpaceDN w:val="0"/>
              <w:adjustRightInd w:val="0"/>
              <w:snapToGrid w:val="0"/>
              <w:spacing w:line="430" w:lineRule="atLeast"/>
              <w:rPr>
                <w:rFonts w:hint="eastAsia" w:ascii="宋体" w:hAnsi="宋体"/>
                <w:bCs/>
                <w:szCs w:val="21"/>
              </w:rPr>
            </w:pPr>
            <w:r>
              <w:rPr>
                <w:rFonts w:hint="eastAsia" w:ascii="宋体" w:hAnsi="宋体"/>
                <w:bCs/>
                <w:szCs w:val="21"/>
              </w:rPr>
              <w:t>河道保洁方案；</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公厕保洁（含除臭设施）方案；</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垃圾收集及清运方案；</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小广告治理方案；</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无主建筑垃圾清运方案；</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垃圾分类运输方案；</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清扫保洁规范管理措施及保障方案；</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安全生产培训计划方案；</w:t>
            </w:r>
          </w:p>
          <w:p>
            <w:pPr>
              <w:numPr>
                <w:ilvl w:val="0"/>
                <w:numId w:val="10"/>
              </w:numPr>
              <w:autoSpaceDE w:val="0"/>
              <w:autoSpaceDN w:val="0"/>
              <w:adjustRightInd w:val="0"/>
              <w:snapToGrid w:val="0"/>
              <w:spacing w:line="430" w:lineRule="atLeast"/>
              <w:rPr>
                <w:rFonts w:hint="eastAsia" w:ascii="宋体" w:hAnsi="宋体"/>
                <w:color w:val="000000"/>
                <w:kern w:val="2"/>
                <w:szCs w:val="21"/>
              </w:rPr>
            </w:pPr>
            <w:r>
              <w:rPr>
                <w:rFonts w:hint="eastAsia" w:ascii="宋体" w:hAnsi="宋体"/>
                <w:bCs/>
                <w:szCs w:val="21"/>
              </w:rPr>
              <w:t>安全生产</w:t>
            </w:r>
            <w:r>
              <w:rPr>
                <w:rFonts w:hint="eastAsia" w:ascii="宋体" w:hAnsi="宋体"/>
                <w:color w:val="000000"/>
                <w:kern w:val="2"/>
                <w:szCs w:val="21"/>
              </w:rPr>
              <w:t>培训内容；</w:t>
            </w:r>
          </w:p>
          <w:p>
            <w:pPr>
              <w:numPr>
                <w:ilvl w:val="0"/>
                <w:numId w:val="10"/>
              </w:numPr>
              <w:autoSpaceDE w:val="0"/>
              <w:autoSpaceDN w:val="0"/>
              <w:adjustRightInd w:val="0"/>
              <w:snapToGrid w:val="0"/>
              <w:spacing w:line="430" w:lineRule="atLeast"/>
              <w:rPr>
                <w:rFonts w:ascii="宋体" w:hAnsi="宋体"/>
                <w:bCs/>
                <w:szCs w:val="21"/>
              </w:rPr>
            </w:pPr>
            <w:r>
              <w:rPr>
                <w:rFonts w:hint="eastAsia" w:ascii="宋体" w:hAnsi="宋体"/>
                <w:bCs/>
                <w:szCs w:val="21"/>
              </w:rPr>
              <w:t>与《瑞安市智慧环卫平台》对接承诺及相关措施方案和配置情况</w:t>
            </w:r>
          </w:p>
          <w:p>
            <w:pPr>
              <w:numPr>
                <w:ilvl w:val="0"/>
                <w:numId w:val="10"/>
              </w:numPr>
              <w:autoSpaceDE w:val="0"/>
              <w:autoSpaceDN w:val="0"/>
              <w:adjustRightInd w:val="0"/>
              <w:snapToGrid w:val="0"/>
              <w:spacing w:line="430" w:lineRule="atLeast"/>
              <w:rPr>
                <w:rFonts w:hint="eastAsia" w:ascii="宋体" w:hAnsi="宋体"/>
                <w:bCs/>
                <w:szCs w:val="21"/>
              </w:rPr>
            </w:pPr>
            <w:r>
              <w:rPr>
                <w:rFonts w:hint="eastAsia" w:ascii="宋体" w:hAnsi="宋体"/>
                <w:bCs/>
                <w:szCs w:val="21"/>
              </w:rPr>
              <w:t>在中标后与采购人（相应街道）、原承包单位的移交及对接方案；</w:t>
            </w:r>
          </w:p>
          <w:p>
            <w:pPr>
              <w:numPr>
                <w:ilvl w:val="0"/>
                <w:numId w:val="10"/>
              </w:numPr>
              <w:autoSpaceDE w:val="0"/>
              <w:autoSpaceDN w:val="0"/>
              <w:adjustRightInd w:val="0"/>
              <w:snapToGrid w:val="0"/>
              <w:spacing w:line="430" w:lineRule="atLeast"/>
              <w:rPr>
                <w:rFonts w:hint="eastAsia" w:ascii="宋体" w:hAnsi="宋体" w:cs="宋体"/>
                <w:szCs w:val="21"/>
              </w:rPr>
            </w:pPr>
            <w:r>
              <w:rPr>
                <w:rFonts w:hint="eastAsia" w:ascii="宋体" w:hAnsi="宋体"/>
                <w:bCs/>
                <w:szCs w:val="21"/>
              </w:rPr>
              <w:t>供应商认为需要提供的说明；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90" w:hRule="atLeast"/>
        </w:trPr>
        <w:tc>
          <w:tcPr>
            <w:tcW w:w="754" w:type="dxa"/>
            <w:noWrap w:val="0"/>
            <w:vAlign w:val="center"/>
          </w:tcPr>
          <w:p>
            <w:pPr>
              <w:numPr>
                <w:ilvl w:val="0"/>
                <w:numId w:val="8"/>
              </w:numPr>
              <w:autoSpaceDE w:val="0"/>
              <w:autoSpaceDN w:val="0"/>
              <w:adjustRightInd w:val="0"/>
              <w:snapToGrid w:val="0"/>
              <w:spacing w:line="430" w:lineRule="atLeast"/>
              <w:jc w:val="center"/>
              <w:rPr>
                <w:rFonts w:hint="eastAsia" w:ascii="宋体" w:hAnsi="宋体" w:cs="宋体"/>
                <w:bCs/>
                <w:szCs w:val="21"/>
              </w:rPr>
            </w:pPr>
          </w:p>
        </w:tc>
        <w:tc>
          <w:tcPr>
            <w:tcW w:w="8532" w:type="dxa"/>
            <w:noWrap w:val="0"/>
            <w:vAlign w:val="top"/>
          </w:tcPr>
          <w:p>
            <w:pPr>
              <w:autoSpaceDE w:val="0"/>
              <w:autoSpaceDN w:val="0"/>
              <w:adjustRightInd w:val="0"/>
              <w:snapToGrid w:val="0"/>
              <w:spacing w:line="430" w:lineRule="atLeast"/>
              <w:rPr>
                <w:rFonts w:hint="eastAsia" w:ascii="宋体" w:hAnsi="宋体"/>
                <w:bCs/>
                <w:szCs w:val="21"/>
              </w:rPr>
            </w:pPr>
            <w:r>
              <w:rPr>
                <w:rFonts w:hint="eastAsia" w:ascii="宋体" w:hAnsi="宋体"/>
                <w:bCs/>
                <w:szCs w:val="21"/>
              </w:rPr>
              <w:t>应付突发事情的响应及处理方案（包括但不限于公共卫生突发事件、自然灾害、重大安全事故等）（结合采购内容，自行编写）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173" w:hRule="atLeast"/>
        </w:trPr>
        <w:tc>
          <w:tcPr>
            <w:tcW w:w="754" w:type="dxa"/>
            <w:noWrap w:val="0"/>
            <w:vAlign w:val="center"/>
          </w:tcPr>
          <w:p>
            <w:pPr>
              <w:numPr>
                <w:ilvl w:val="0"/>
                <w:numId w:val="8"/>
              </w:numPr>
              <w:autoSpaceDE w:val="0"/>
              <w:autoSpaceDN w:val="0"/>
              <w:adjustRightInd w:val="0"/>
              <w:snapToGrid w:val="0"/>
              <w:spacing w:line="430" w:lineRule="atLeast"/>
              <w:jc w:val="center"/>
              <w:rPr>
                <w:rFonts w:hint="eastAsia" w:ascii="宋体" w:hAnsi="宋体" w:cs="宋体"/>
                <w:bCs/>
                <w:szCs w:val="21"/>
              </w:rPr>
            </w:pPr>
          </w:p>
        </w:tc>
        <w:tc>
          <w:tcPr>
            <w:tcW w:w="8532" w:type="dxa"/>
            <w:noWrap w:val="0"/>
            <w:vAlign w:val="top"/>
          </w:tcPr>
          <w:p>
            <w:pPr>
              <w:autoSpaceDE w:val="0"/>
              <w:autoSpaceDN w:val="0"/>
              <w:adjustRightInd w:val="0"/>
              <w:snapToGrid w:val="0"/>
              <w:spacing w:line="430" w:lineRule="atLeast"/>
              <w:rPr>
                <w:rFonts w:ascii="宋体" w:hAnsi="宋体"/>
                <w:bCs/>
                <w:szCs w:val="21"/>
              </w:rPr>
            </w:pPr>
            <w:r>
              <w:rPr>
                <w:rFonts w:hint="eastAsia" w:ascii="宋体" w:hAnsi="宋体"/>
                <w:bCs/>
                <w:szCs w:val="21"/>
              </w:rPr>
              <w:t>日常管理组织、拟设立的各项管理规章制度及档案资料的建立管理（包含以下内容，但不限于）（结合采购内容，自行编写）：</w:t>
            </w:r>
          </w:p>
          <w:p>
            <w:pPr>
              <w:numPr>
                <w:ilvl w:val="0"/>
                <w:numId w:val="11"/>
              </w:numPr>
              <w:autoSpaceDE w:val="0"/>
              <w:autoSpaceDN w:val="0"/>
              <w:adjustRightInd w:val="0"/>
              <w:snapToGrid w:val="0"/>
              <w:spacing w:line="430" w:lineRule="atLeast"/>
              <w:rPr>
                <w:rFonts w:ascii="宋体" w:hAnsi="宋体"/>
                <w:bCs/>
                <w:szCs w:val="21"/>
              </w:rPr>
            </w:pPr>
            <w:r>
              <w:rPr>
                <w:rFonts w:hint="eastAsia" w:ascii="宋体" w:hAnsi="宋体"/>
                <w:bCs/>
                <w:szCs w:val="21"/>
              </w:rPr>
              <w:t>日常管理组织、各项公众制度、内部岗位责任制度、管理运作制度、考核制度及标准等，要求符合规范，体现高标准、高档次、科学合理、详细完备；人员、设施、设备管理服务、业主方反馈资料、行政文件资料等档案的建立与管理情况；</w:t>
            </w:r>
          </w:p>
          <w:p>
            <w:pPr>
              <w:numPr>
                <w:ilvl w:val="0"/>
                <w:numId w:val="11"/>
              </w:numPr>
              <w:autoSpaceDE w:val="0"/>
              <w:autoSpaceDN w:val="0"/>
              <w:adjustRightInd w:val="0"/>
              <w:snapToGrid w:val="0"/>
              <w:spacing w:line="430" w:lineRule="atLeast"/>
              <w:rPr>
                <w:rFonts w:ascii="宋体" w:hAnsi="宋体"/>
                <w:bCs/>
                <w:szCs w:val="21"/>
              </w:rPr>
            </w:pPr>
            <w:r>
              <w:rPr>
                <w:rFonts w:hint="eastAsia" w:ascii="宋体" w:hAnsi="宋体"/>
                <w:bCs/>
                <w:szCs w:val="21"/>
              </w:rPr>
              <w:t>除采购人的瑞安市智慧环卫监管平台外，供应商企业内部服务于本项目信息化管理平台的便利性、系统性、先进性；</w:t>
            </w:r>
          </w:p>
          <w:p>
            <w:pPr>
              <w:numPr>
                <w:ilvl w:val="0"/>
                <w:numId w:val="11"/>
              </w:numPr>
              <w:autoSpaceDE w:val="0"/>
              <w:autoSpaceDN w:val="0"/>
              <w:adjustRightInd w:val="0"/>
              <w:snapToGrid w:val="0"/>
              <w:spacing w:line="430" w:lineRule="atLeast"/>
              <w:rPr>
                <w:rFonts w:hint="eastAsia" w:ascii="宋体" w:hAnsi="宋体"/>
                <w:bCs/>
                <w:szCs w:val="21"/>
              </w:rPr>
            </w:pPr>
            <w:r>
              <w:rPr>
                <w:rFonts w:hint="eastAsia" w:ascii="宋体" w:hAnsi="宋体"/>
                <w:bCs/>
                <w:szCs w:val="21"/>
              </w:rPr>
              <w:t>供应商认为需要提供的说明；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 w:val="22"/>
              </w:rPr>
            </w:pPr>
          </w:p>
        </w:tc>
        <w:tc>
          <w:tcPr>
            <w:tcW w:w="8532" w:type="dxa"/>
            <w:noWrap w:val="0"/>
            <w:vAlign w:val="top"/>
          </w:tcPr>
          <w:p>
            <w:pPr>
              <w:autoSpaceDE w:val="0"/>
              <w:autoSpaceDN w:val="0"/>
              <w:adjustRightInd w:val="0"/>
              <w:snapToGrid w:val="0"/>
              <w:spacing w:line="430" w:lineRule="atLeast"/>
              <w:rPr>
                <w:rFonts w:ascii="宋体" w:hAnsi="宋体"/>
                <w:bCs/>
              </w:rPr>
            </w:pPr>
            <w:r>
              <w:rPr>
                <w:rFonts w:hint="eastAsia" w:ascii="宋体" w:hAnsi="宋体"/>
                <w:bCs/>
              </w:rPr>
              <w:t>拟投入设备一览表—进场作业车辆明细表</w:t>
            </w:r>
            <w:r>
              <w:rPr>
                <w:rFonts w:hint="eastAsia"/>
              </w:rPr>
              <w:t>（见第六部分附件十）</w:t>
            </w:r>
          </w:p>
          <w:p>
            <w:pPr>
              <w:autoSpaceDE w:val="0"/>
              <w:autoSpaceDN w:val="0"/>
              <w:adjustRightInd w:val="0"/>
              <w:snapToGrid w:val="0"/>
              <w:spacing w:line="430" w:lineRule="atLeast"/>
              <w:rPr>
                <w:rFonts w:hint="eastAsia"/>
              </w:rPr>
            </w:pPr>
            <w:r>
              <w:rPr>
                <w:rFonts w:hint="eastAsia" w:ascii="宋体" w:hAnsi="宋体"/>
                <w:bCs/>
              </w:rPr>
              <w:t>提升技术、服务水平及履约能力评价（结合评审内容，自行提供）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 w:val="22"/>
              </w:rPr>
            </w:pPr>
          </w:p>
        </w:tc>
        <w:tc>
          <w:tcPr>
            <w:tcW w:w="8532" w:type="dxa"/>
            <w:noWrap w:val="0"/>
            <w:vAlign w:val="top"/>
          </w:tcPr>
          <w:p>
            <w:pPr>
              <w:autoSpaceDE w:val="0"/>
              <w:autoSpaceDN w:val="0"/>
              <w:adjustRightInd w:val="0"/>
              <w:snapToGrid w:val="0"/>
              <w:spacing w:line="430" w:lineRule="atLeast"/>
              <w:rPr>
                <w:rFonts w:ascii="宋体" w:hAnsi="宋体"/>
                <w:bCs/>
                <w:szCs w:val="21"/>
              </w:rPr>
            </w:pPr>
            <w:r>
              <w:rPr>
                <w:rFonts w:hint="eastAsia" w:ascii="宋体" w:hAnsi="宋体"/>
                <w:bCs/>
                <w:szCs w:val="21"/>
              </w:rPr>
              <w:t>投标车辆综合评价（结合评审内容，自行提供）</w:t>
            </w:r>
            <w:r>
              <w:rPr>
                <w:rFonts w:hint="eastAsia"/>
                <w:szCs w:val="21"/>
              </w:rPr>
              <w:t>（见第六部分附件十）</w:t>
            </w:r>
          </w:p>
          <w:p>
            <w:pPr>
              <w:pStyle w:val="2"/>
              <w:numPr>
                <w:ilvl w:val="0"/>
                <w:numId w:val="12"/>
              </w:numPr>
              <w:rPr>
                <w:rFonts w:ascii="宋体" w:hAnsi="宋体" w:eastAsia="宋体"/>
                <w:color w:val="000000"/>
                <w:sz w:val="21"/>
                <w:szCs w:val="21"/>
              </w:rPr>
            </w:pPr>
            <w:r>
              <w:rPr>
                <w:rFonts w:hint="eastAsia" w:ascii="宋体" w:hAnsi="宋体" w:eastAsia="宋体"/>
                <w:color w:val="000000"/>
                <w:sz w:val="21"/>
                <w:szCs w:val="21"/>
              </w:rPr>
              <w:t>供应商投入本项目的所有新能源车情况；</w:t>
            </w:r>
          </w:p>
          <w:p>
            <w:pPr>
              <w:pStyle w:val="2"/>
              <w:numPr>
                <w:ilvl w:val="0"/>
                <w:numId w:val="12"/>
              </w:numPr>
              <w:rPr>
                <w:rFonts w:hint="eastAsia" w:ascii="宋体" w:hAnsi="宋体" w:eastAsia="宋体"/>
                <w:color w:val="000000"/>
                <w:sz w:val="21"/>
                <w:szCs w:val="21"/>
              </w:rPr>
            </w:pPr>
            <w:r>
              <w:rPr>
                <w:rFonts w:hint="eastAsia" w:ascii="宋体" w:hAnsi="宋体" w:eastAsia="宋体"/>
                <w:color w:val="000000"/>
                <w:sz w:val="21"/>
                <w:szCs w:val="21"/>
              </w:rPr>
              <w:t>根据供应商投标文件中投入的重型、中型、轻型车辆性能、参数等情况；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 w:val="22"/>
              </w:rPr>
            </w:pPr>
          </w:p>
        </w:tc>
        <w:tc>
          <w:tcPr>
            <w:tcW w:w="8532" w:type="dxa"/>
            <w:noWrap w:val="0"/>
            <w:vAlign w:val="top"/>
          </w:tcPr>
          <w:p>
            <w:pPr>
              <w:autoSpaceDE w:val="0"/>
              <w:autoSpaceDN w:val="0"/>
              <w:adjustRightInd w:val="0"/>
              <w:snapToGrid w:val="0"/>
              <w:spacing w:line="430" w:lineRule="atLeast"/>
              <w:rPr>
                <w:rFonts w:ascii="宋体" w:hAnsi="宋体"/>
                <w:bCs/>
              </w:rPr>
            </w:pPr>
            <w:r>
              <w:rPr>
                <w:rFonts w:hint="eastAsia" w:ascii="宋体" w:hAnsi="宋体"/>
                <w:bCs/>
              </w:rPr>
              <w:t>供应商自201</w:t>
            </w:r>
            <w:r>
              <w:rPr>
                <w:rFonts w:ascii="宋体" w:hAnsi="宋体"/>
                <w:bCs/>
              </w:rPr>
              <w:t>7</w:t>
            </w:r>
            <w:r>
              <w:rPr>
                <w:rFonts w:hint="eastAsia" w:ascii="宋体" w:hAnsi="宋体"/>
                <w:bCs/>
              </w:rPr>
              <w:t>年</w:t>
            </w:r>
            <w:r>
              <w:rPr>
                <w:rFonts w:ascii="宋体" w:hAnsi="宋体"/>
                <w:bCs/>
              </w:rPr>
              <w:t>1</w:t>
            </w:r>
            <w:r>
              <w:rPr>
                <w:rFonts w:hint="eastAsia" w:ascii="宋体" w:hAnsi="宋体"/>
                <w:bCs/>
              </w:rPr>
              <w:t xml:space="preserve">月1日以来同类业绩一览表； </w:t>
            </w:r>
            <w:r>
              <w:rPr>
                <w:rFonts w:ascii="宋体" w:hAnsi="宋体"/>
                <w:bCs/>
              </w:rPr>
              <w:t xml:space="preserve">                 </w:t>
            </w:r>
            <w:r>
              <w:rPr>
                <w:rFonts w:hint="eastAsia" w:ascii="宋体" w:hAnsi="宋体"/>
                <w:bCs/>
              </w:rPr>
              <w:t>（见第六部分附件十）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 w:val="22"/>
              </w:rPr>
            </w:pPr>
          </w:p>
        </w:tc>
        <w:tc>
          <w:tcPr>
            <w:tcW w:w="8532" w:type="dxa"/>
            <w:noWrap w:val="0"/>
            <w:vAlign w:val="top"/>
          </w:tcPr>
          <w:p>
            <w:pPr>
              <w:autoSpaceDE w:val="0"/>
              <w:autoSpaceDN w:val="0"/>
              <w:adjustRightInd w:val="0"/>
              <w:snapToGrid w:val="0"/>
              <w:spacing w:line="430" w:lineRule="atLeast"/>
              <w:rPr>
                <w:rFonts w:hint="eastAsia" w:ascii="宋体" w:hAnsi="宋体"/>
                <w:szCs w:val="21"/>
              </w:rPr>
            </w:pPr>
            <w:r>
              <w:rPr>
                <w:rFonts w:hint="eastAsia" w:ascii="宋体" w:hAnsi="宋体"/>
                <w:szCs w:val="21"/>
              </w:rPr>
              <w:t>投入本项目小型车辆及其他配套设施综合评价</w:t>
            </w:r>
            <w:r>
              <w:rPr>
                <w:rFonts w:hint="eastAsia" w:ascii="宋体" w:hAnsi="宋体"/>
                <w:bCs/>
              </w:rPr>
              <w:t>（结合评审内容，自行提供）</w:t>
            </w:r>
            <w:r>
              <w:rPr>
                <w:rFonts w:hint="eastAsia" w:ascii="宋体" w:hAnsi="宋体"/>
                <w:szCs w:val="21"/>
              </w:rPr>
              <w:t>：小型冲洗车、小型高温高压冲洗车、垃圾分类上门收集车、有害垃圾运输车、垃圾桶自装卸式垃圾运输车、人员清扫保洁车（提供产品彩色图片、产地、功能说明）参数等情况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 w:val="22"/>
              </w:rPr>
            </w:pPr>
          </w:p>
        </w:tc>
        <w:tc>
          <w:tcPr>
            <w:tcW w:w="8532" w:type="dxa"/>
            <w:noWrap w:val="0"/>
            <w:vAlign w:val="top"/>
          </w:tcPr>
          <w:p>
            <w:pPr>
              <w:autoSpaceDE w:val="0"/>
              <w:autoSpaceDN w:val="0"/>
              <w:adjustRightInd w:val="0"/>
              <w:snapToGrid w:val="0"/>
              <w:spacing w:line="430" w:lineRule="atLeast"/>
              <w:rPr>
                <w:rFonts w:ascii="宋体" w:hAnsi="宋体"/>
                <w:bCs/>
              </w:rPr>
            </w:pPr>
            <w:r>
              <w:rPr>
                <w:rFonts w:hint="eastAsia" w:ascii="宋体" w:hAnsi="宋体"/>
                <w:szCs w:val="21"/>
              </w:rPr>
              <w:t>各种优惠条件（如有）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54" w:type="dxa"/>
            <w:noWrap w:val="0"/>
            <w:vAlign w:val="center"/>
          </w:tcPr>
          <w:p>
            <w:pPr>
              <w:numPr>
                <w:ilvl w:val="0"/>
                <w:numId w:val="8"/>
              </w:numPr>
              <w:autoSpaceDE w:val="0"/>
              <w:autoSpaceDN w:val="0"/>
              <w:adjustRightInd w:val="0"/>
              <w:snapToGrid w:val="0"/>
              <w:spacing w:line="430" w:lineRule="atLeast"/>
              <w:jc w:val="center"/>
              <w:rPr>
                <w:rFonts w:ascii="宋体" w:hAnsi="宋体" w:cs="Courier New"/>
                <w:bCs/>
                <w:sz w:val="22"/>
                <w:lang w:val="zh-CN"/>
              </w:rPr>
            </w:pPr>
          </w:p>
        </w:tc>
        <w:tc>
          <w:tcPr>
            <w:tcW w:w="8532" w:type="dxa"/>
            <w:noWrap w:val="0"/>
            <w:vAlign w:val="center"/>
          </w:tcPr>
          <w:p>
            <w:pPr>
              <w:autoSpaceDE w:val="0"/>
              <w:autoSpaceDN w:val="0"/>
              <w:adjustRightInd w:val="0"/>
              <w:snapToGrid w:val="0"/>
              <w:spacing w:line="430" w:lineRule="atLeast"/>
              <w:rPr>
                <w:rFonts w:ascii="宋体" w:hAnsi="宋体"/>
                <w:bCs/>
              </w:rPr>
            </w:pPr>
            <w:r>
              <w:rPr>
                <w:rFonts w:hint="eastAsia" w:ascii="宋体" w:hAnsi="宋体"/>
                <w:bCs/>
              </w:rPr>
              <w:t>根据招标文件中的采购内容与技术要求、评标细则，需要提供的其它文件和资料。</w:t>
            </w:r>
          </w:p>
        </w:tc>
      </w:tr>
    </w:tbl>
    <w:p>
      <w:pPr>
        <w:numPr>
          <w:ilvl w:val="0"/>
          <w:numId w:val="4"/>
        </w:numPr>
        <w:snapToGrid w:val="0"/>
        <w:spacing w:line="400" w:lineRule="atLeast"/>
        <w:jc w:val="both"/>
        <w:rPr>
          <w:rFonts w:hint="eastAsia" w:ascii="Arial" w:hAnsi="Arial"/>
          <w:b/>
          <w:sz w:val="24"/>
        </w:rPr>
      </w:pPr>
      <w:r>
        <w:rPr>
          <w:rFonts w:hint="eastAsia" w:ascii="Arial" w:hAnsi="Arial"/>
          <w:b/>
          <w:sz w:val="24"/>
        </w:rPr>
        <w:t>投标文件格式填写说明</w:t>
      </w:r>
    </w:p>
    <w:p>
      <w:pPr>
        <w:numPr>
          <w:ilvl w:val="1"/>
          <w:numId w:val="4"/>
        </w:numPr>
        <w:snapToGrid w:val="0"/>
        <w:spacing w:line="400" w:lineRule="atLeast"/>
        <w:jc w:val="both"/>
        <w:rPr>
          <w:rFonts w:hint="eastAsia" w:ascii="宋体" w:hAnsi="宋体"/>
        </w:rPr>
      </w:pPr>
      <w:r>
        <w:rPr>
          <w:rFonts w:ascii="宋体" w:hAnsi="宋体"/>
        </w:rPr>
        <w:t>投标供应商应在认真阅读招标文件所有内容的基础上，按照招标文件的要求</w:t>
      </w:r>
      <w:r>
        <w:rPr>
          <w:rFonts w:hint="eastAsia" w:ascii="宋体" w:hAnsi="宋体"/>
        </w:rPr>
        <w:t>逐一按顺序组成投标文件</w:t>
      </w:r>
      <w:r>
        <w:rPr>
          <w:rFonts w:ascii="宋体" w:hAnsi="宋体"/>
        </w:rPr>
        <w:t>。投标</w:t>
      </w:r>
      <w:r>
        <w:rPr>
          <w:rFonts w:hint="eastAsia" w:ascii="宋体" w:hAnsi="宋体"/>
        </w:rPr>
        <w:t>文件</w:t>
      </w:r>
      <w:r>
        <w:rPr>
          <w:rFonts w:ascii="宋体" w:hAnsi="宋体"/>
        </w:rPr>
        <w:t>应按照招标文件中规定</w:t>
      </w:r>
      <w:r>
        <w:rPr>
          <w:rFonts w:hint="eastAsia" w:ascii="宋体" w:hAnsi="宋体"/>
        </w:rPr>
        <w:t>进行提供</w:t>
      </w:r>
      <w:r>
        <w:rPr>
          <w:rFonts w:ascii="宋体" w:hAnsi="宋体"/>
        </w:rPr>
        <w:t>，混乱的</w:t>
      </w:r>
      <w:r>
        <w:rPr>
          <w:rFonts w:hint="eastAsia" w:ascii="宋体" w:hAnsi="宋体"/>
        </w:rPr>
        <w:t>提供</w:t>
      </w:r>
      <w:r>
        <w:rPr>
          <w:rFonts w:ascii="宋体" w:hAnsi="宋体"/>
        </w:rPr>
        <w:t>导致投标文件被误读或查找不到有效文件是投标供应商的风险。招标文件对投标文件格式有要求的应按格式逐项</w:t>
      </w:r>
      <w:r>
        <w:rPr>
          <w:rFonts w:hint="eastAsia" w:ascii="宋体" w:hAnsi="宋体"/>
        </w:rPr>
        <w:t>提供</w:t>
      </w:r>
      <w:r>
        <w:rPr>
          <w:rFonts w:ascii="宋体" w:hAnsi="宋体"/>
        </w:rPr>
        <w:t>内容，不准有空项；无相应内容可填的项应填写“无”、“未测试”、“没有相应指标”等明确的回答文字。</w:t>
      </w:r>
    </w:p>
    <w:p>
      <w:pPr>
        <w:numPr>
          <w:ilvl w:val="1"/>
          <w:numId w:val="4"/>
        </w:numPr>
        <w:snapToGrid w:val="0"/>
        <w:spacing w:line="400" w:lineRule="atLeast"/>
        <w:jc w:val="both"/>
        <w:rPr>
          <w:rFonts w:hint="eastAsia" w:ascii="宋体" w:hAnsi="宋体"/>
        </w:rPr>
      </w:pPr>
      <w:r>
        <w:rPr>
          <w:rFonts w:ascii="宋体" w:hAnsi="宋体"/>
        </w:rPr>
        <w:t>投标供应商必须保证投标文件所提供的全部资料真实可靠，并接受采购人对其中任何资料进一步审查的要求。</w:t>
      </w:r>
      <w:r>
        <w:rPr>
          <w:rFonts w:hint="eastAsia" w:ascii="宋体" w:hAnsi="宋体"/>
        </w:rPr>
        <w:t>提供虚假证明的投标供应商将被取消政府采购人资格，并在政府采购宣传媒体上予以公告。</w:t>
      </w:r>
    </w:p>
    <w:p>
      <w:pPr>
        <w:numPr>
          <w:ilvl w:val="1"/>
          <w:numId w:val="4"/>
        </w:numPr>
        <w:snapToGrid w:val="0"/>
        <w:spacing w:line="400" w:lineRule="atLeast"/>
        <w:jc w:val="both"/>
        <w:rPr>
          <w:rFonts w:hint="eastAsia" w:ascii="宋体" w:hAnsi="宋体"/>
        </w:rPr>
      </w:pPr>
      <w:r>
        <w:rPr>
          <w:rFonts w:ascii="宋体" w:hAnsi="宋体"/>
        </w:rPr>
        <w:t>《开标一览表》为唱标的内容，要求按格式填写、统一规范，不得自行增减内容。</w:t>
      </w:r>
      <w:r>
        <w:rPr>
          <w:rFonts w:hint="eastAsia" w:ascii="宋体" w:hAnsi="宋体"/>
        </w:rPr>
        <w:t>《</w:t>
      </w:r>
      <w:r>
        <w:rPr>
          <w:rFonts w:ascii="宋体" w:hAnsi="宋体"/>
        </w:rPr>
        <w:t>开标一览表</w:t>
      </w:r>
      <w:r>
        <w:rPr>
          <w:rFonts w:hint="eastAsia" w:ascii="宋体" w:hAnsi="宋体"/>
        </w:rPr>
        <w:t>》与《报价明细表》不一致时以《</w:t>
      </w:r>
      <w:r>
        <w:rPr>
          <w:rFonts w:ascii="宋体" w:hAnsi="宋体"/>
        </w:rPr>
        <w:t>开标一览表</w:t>
      </w:r>
      <w:r>
        <w:rPr>
          <w:rFonts w:hint="eastAsia" w:ascii="宋体" w:hAnsi="宋体"/>
        </w:rPr>
        <w:t>》为准。</w:t>
      </w:r>
    </w:p>
    <w:p>
      <w:pPr>
        <w:numPr>
          <w:ilvl w:val="1"/>
          <w:numId w:val="4"/>
        </w:numPr>
        <w:snapToGrid w:val="0"/>
        <w:spacing w:line="400" w:lineRule="atLeast"/>
        <w:jc w:val="both"/>
        <w:rPr>
          <w:rFonts w:hint="eastAsia"/>
          <w:szCs w:val="21"/>
        </w:rPr>
      </w:pPr>
      <w:r>
        <w:rPr>
          <w:rFonts w:ascii="宋体" w:hAnsi="宋体"/>
        </w:rPr>
        <w:t>投标文件须对招标文件中的内容做出实质性和完整的响应</w:t>
      </w:r>
      <w:r>
        <w:rPr>
          <w:rFonts w:hint="eastAsia" w:ascii="宋体" w:hAnsi="宋体"/>
        </w:rPr>
        <w:t>（文中带“▲”标识）</w:t>
      </w:r>
      <w:r>
        <w:rPr>
          <w:rFonts w:ascii="宋体" w:hAnsi="宋体"/>
        </w:rPr>
        <w:t>，否则其投标将</w:t>
      </w:r>
      <w:r>
        <w:rPr>
          <w:rFonts w:hint="eastAsia" w:ascii="宋体" w:hAnsi="宋体"/>
        </w:rPr>
        <w:t>作无效标处理</w:t>
      </w:r>
      <w:r>
        <w:rPr>
          <w:rFonts w:ascii="宋体" w:hAnsi="宋体"/>
        </w:rPr>
        <w:t>。如果投标书填报的内容资料不详，或没有提供招标文件中所要求的全部资料及数据，</w:t>
      </w:r>
      <w:r>
        <w:rPr>
          <w:rFonts w:hint="eastAsia" w:ascii="宋体" w:hAnsi="宋体"/>
        </w:rPr>
        <w:t>将可能会导致评审委员会作出对其不利的判断和分析。</w:t>
      </w:r>
    </w:p>
    <w:p>
      <w:pPr>
        <w:numPr>
          <w:ilvl w:val="0"/>
          <w:numId w:val="4"/>
        </w:numPr>
        <w:tabs>
          <w:tab w:val="left" w:pos="1145"/>
          <w:tab w:val="left" w:pos="1470"/>
        </w:tabs>
        <w:snapToGrid w:val="0"/>
        <w:spacing w:line="400" w:lineRule="atLeast"/>
        <w:jc w:val="both"/>
        <w:rPr>
          <w:rFonts w:hint="eastAsia" w:ascii="楷体_GB2312" w:eastAsia="楷体_GB2312"/>
          <w:sz w:val="24"/>
        </w:rPr>
      </w:pPr>
      <w:r>
        <w:rPr>
          <w:rFonts w:hint="eastAsia" w:ascii="Arial" w:hAnsi="Arial"/>
          <w:b/>
          <w:sz w:val="24"/>
        </w:rPr>
        <w:t>投标报价</w:t>
      </w:r>
    </w:p>
    <w:p>
      <w:pPr>
        <w:numPr>
          <w:ilvl w:val="1"/>
          <w:numId w:val="4"/>
        </w:numPr>
        <w:snapToGrid w:val="0"/>
        <w:spacing w:line="400" w:lineRule="atLeast"/>
        <w:jc w:val="both"/>
        <w:rPr>
          <w:rFonts w:hint="eastAsia" w:ascii="宋体" w:hAnsi="宋体"/>
        </w:rPr>
      </w:pPr>
      <w:r>
        <w:rPr>
          <w:rFonts w:hint="eastAsia" w:ascii="Arial" w:hAnsi="Arial"/>
        </w:rPr>
        <w:t>投标供应商提供的服务价格应该用人民币投标。</w:t>
      </w:r>
      <w:r>
        <w:rPr>
          <w:rFonts w:ascii="Arial" w:hAnsi="Arial"/>
        </w:rPr>
        <w:t>投标价格应该已经扣除所有</w:t>
      </w:r>
      <w:r>
        <w:rPr>
          <w:rFonts w:hint="eastAsia" w:ascii="Arial" w:hAnsi="Arial"/>
        </w:rPr>
        <w:t>商业</w:t>
      </w:r>
      <w:r>
        <w:rPr>
          <w:rFonts w:ascii="Arial" w:hAnsi="Arial"/>
        </w:rPr>
        <w:t>折扣以及现金折扣。投标报价应包括购买</w:t>
      </w:r>
      <w:r>
        <w:rPr>
          <w:rFonts w:hint="eastAsia" w:ascii="Arial" w:hAnsi="Arial"/>
        </w:rPr>
        <w:t>服务</w:t>
      </w:r>
      <w:r>
        <w:rPr>
          <w:rFonts w:ascii="Arial" w:hAnsi="Arial"/>
        </w:rPr>
        <w:t>所需缴纳的所有税费</w:t>
      </w:r>
      <w:r>
        <w:rPr>
          <w:rFonts w:hint="eastAsia" w:ascii="Arial" w:hAnsi="Arial"/>
        </w:rPr>
        <w:t>和</w:t>
      </w:r>
      <w:r>
        <w:rPr>
          <w:rFonts w:ascii="Arial" w:hAnsi="Arial"/>
        </w:rPr>
        <w:t>一切费用</w:t>
      </w:r>
      <w:r>
        <w:rPr>
          <w:rFonts w:hint="eastAsia" w:ascii="Arial" w:hAnsi="Arial"/>
        </w:rPr>
        <w:t>，费用包括送达使用单位指定地点的一切费用</w:t>
      </w:r>
      <w:r>
        <w:rPr>
          <w:rFonts w:hint="eastAsia" w:ascii="宋体" w:hAnsi="宋体"/>
        </w:rPr>
        <w:t>。</w:t>
      </w:r>
    </w:p>
    <w:p>
      <w:pPr>
        <w:numPr>
          <w:ilvl w:val="1"/>
          <w:numId w:val="4"/>
        </w:numPr>
        <w:snapToGrid w:val="0"/>
        <w:spacing w:line="400" w:lineRule="atLeast"/>
        <w:jc w:val="both"/>
        <w:rPr>
          <w:rFonts w:ascii="宋体" w:hAnsi="宋体"/>
        </w:rPr>
      </w:pPr>
      <w:r>
        <w:rPr>
          <w:rFonts w:hint="eastAsia" w:ascii="Arial" w:hAnsi="Arial"/>
        </w:rPr>
        <w:t>本次采购，只允许有一个报价，并只有一次投标报价，投标供应商应在各自技术和商务占优势的基础上并充分考虑本次采购的重要性，提供对采购人最优惠的投标报价</w:t>
      </w:r>
      <w:r>
        <w:rPr>
          <w:rFonts w:hint="eastAsia" w:ascii="宋体" w:hAnsi="宋体"/>
        </w:rPr>
        <w:t>。</w:t>
      </w:r>
    </w:p>
    <w:p>
      <w:pPr>
        <w:numPr>
          <w:ilvl w:val="1"/>
          <w:numId w:val="4"/>
        </w:numPr>
        <w:snapToGrid w:val="0"/>
        <w:spacing w:line="400" w:lineRule="atLeast"/>
        <w:jc w:val="both"/>
        <w:rPr>
          <w:rFonts w:hint="eastAsia" w:ascii="宋体" w:hAnsi="宋体"/>
        </w:rPr>
      </w:pPr>
      <w:r>
        <w:rPr>
          <w:rFonts w:hint="eastAsia" w:ascii="宋体" w:hAnsi="宋体" w:cs="宋体"/>
          <w:b/>
          <w:bCs/>
          <w:szCs w:val="21"/>
        </w:rPr>
        <w:t>本项目投标报价采用固定总价承包，</w:t>
      </w:r>
      <w:r>
        <w:rPr>
          <w:rFonts w:hint="eastAsia" w:ascii="宋体" w:hAnsi="宋体"/>
        </w:rPr>
        <w:t>投标报价包括完成采购内容中的所有工作，除采购文件特殊说明外，供应商自行承担的内容应包括为完成本项目服务可能发生的全部费用。</w:t>
      </w:r>
    </w:p>
    <w:p>
      <w:pPr>
        <w:numPr>
          <w:ilvl w:val="1"/>
          <w:numId w:val="4"/>
        </w:numPr>
        <w:snapToGrid w:val="0"/>
        <w:spacing w:line="400" w:lineRule="atLeast"/>
        <w:jc w:val="both"/>
        <w:rPr>
          <w:rFonts w:hint="eastAsia" w:ascii="宋体" w:hAnsi="宋体"/>
        </w:rPr>
      </w:pPr>
      <w:r>
        <w:rPr>
          <w:rFonts w:hint="eastAsia" w:ascii="宋体" w:hAnsi="宋体"/>
        </w:rPr>
        <w:t>最低报价不能作为中标的保证。恶意竞标或明显偏高的报价，有可能导致其作无效标处理。</w:t>
      </w:r>
    </w:p>
    <w:p>
      <w:pPr>
        <w:numPr>
          <w:ilvl w:val="1"/>
          <w:numId w:val="4"/>
        </w:numPr>
        <w:snapToGrid w:val="0"/>
        <w:spacing w:line="400" w:lineRule="atLeast"/>
        <w:jc w:val="both"/>
        <w:rPr>
          <w:rFonts w:hint="eastAsia" w:ascii="宋体" w:hAnsi="宋体"/>
        </w:rPr>
      </w:pPr>
      <w:r>
        <w:rPr>
          <w:rFonts w:hint="eastAsia" w:ascii="宋体" w:hAnsi="宋体"/>
        </w:rPr>
        <w:t>投标供应商若有方案和报价未被唱标，应在开标时及时声明或提请招标代理机构注意，否则是投标供应商自己的风险，招标代理机构对此不承担任何责任。</w:t>
      </w:r>
    </w:p>
    <w:p>
      <w:pPr>
        <w:numPr>
          <w:ilvl w:val="1"/>
          <w:numId w:val="4"/>
        </w:numPr>
        <w:snapToGrid w:val="0"/>
        <w:spacing w:line="400" w:lineRule="atLeast"/>
        <w:jc w:val="both"/>
        <w:rPr>
          <w:rFonts w:hint="eastAsia" w:ascii="Arial" w:hAnsi="Arial"/>
          <w:b/>
          <w:sz w:val="24"/>
        </w:rPr>
      </w:pPr>
      <w:r>
        <w:rPr>
          <w:rFonts w:hint="eastAsia" w:ascii="宋体" w:hAnsi="宋体"/>
        </w:rPr>
        <w:t>对于投标报价的具体要求详见本招标文件“第三部分”相应内容。</w:t>
      </w:r>
    </w:p>
    <w:p>
      <w:pPr>
        <w:numPr>
          <w:ilvl w:val="0"/>
          <w:numId w:val="4"/>
        </w:numPr>
        <w:snapToGrid w:val="0"/>
        <w:spacing w:line="400" w:lineRule="atLeast"/>
        <w:jc w:val="both"/>
        <w:rPr>
          <w:rFonts w:hint="eastAsia" w:ascii="Arial" w:hAnsi="Arial"/>
          <w:b/>
          <w:sz w:val="24"/>
        </w:rPr>
      </w:pPr>
      <w:r>
        <w:rPr>
          <w:rFonts w:hint="eastAsia" w:ascii="Arial" w:hAnsi="Arial"/>
          <w:b/>
          <w:sz w:val="24"/>
        </w:rPr>
        <w:t>投标有效期</w:t>
      </w:r>
    </w:p>
    <w:p>
      <w:pPr>
        <w:numPr>
          <w:ilvl w:val="1"/>
          <w:numId w:val="4"/>
        </w:numPr>
        <w:snapToGrid w:val="0"/>
        <w:spacing w:line="400" w:lineRule="atLeast"/>
        <w:jc w:val="both"/>
        <w:rPr>
          <w:rFonts w:hint="eastAsia" w:ascii="宋体" w:hAnsi="宋体"/>
        </w:rPr>
      </w:pPr>
      <w:r>
        <w:rPr>
          <w:rFonts w:hint="eastAsia" w:ascii="宋体" w:hAnsi="宋体"/>
        </w:rPr>
        <w:t>提交投标文件截止日起90天内，投标书应保持有效。投标有效期比规定期限短的将被视为非响应投标而予以拒绝。</w:t>
      </w:r>
    </w:p>
    <w:p>
      <w:pPr>
        <w:numPr>
          <w:ilvl w:val="1"/>
          <w:numId w:val="4"/>
        </w:numPr>
        <w:snapToGrid w:val="0"/>
        <w:spacing w:line="400" w:lineRule="atLeast"/>
        <w:jc w:val="both"/>
        <w:rPr>
          <w:rFonts w:hint="eastAsia" w:ascii="宋体" w:hAnsi="宋体"/>
        </w:rPr>
      </w:pPr>
      <w:r>
        <w:rPr>
          <w:rFonts w:hint="eastAsia" w:ascii="宋体" w:hAnsi="宋体"/>
        </w:rPr>
        <w:t>特殊情况下，采购人可于投标有效期满之前要求投标供应商同意延长有效期，要求与答复均应为书面形式。</w:t>
      </w:r>
    </w:p>
    <w:p>
      <w:pPr>
        <w:numPr>
          <w:ilvl w:val="0"/>
          <w:numId w:val="4"/>
        </w:numPr>
        <w:snapToGrid w:val="0"/>
        <w:spacing w:line="400" w:lineRule="atLeast"/>
        <w:jc w:val="both"/>
        <w:rPr>
          <w:rFonts w:hint="eastAsia" w:ascii="Arial" w:hAnsi="Arial"/>
        </w:rPr>
      </w:pPr>
      <w:r>
        <w:rPr>
          <w:rFonts w:hint="eastAsia" w:ascii="Arial" w:hAnsi="Arial"/>
          <w:b/>
          <w:sz w:val="24"/>
        </w:rPr>
        <w:t>投标文件的编制</w:t>
      </w:r>
    </w:p>
    <w:p>
      <w:pPr>
        <w:numPr>
          <w:ilvl w:val="1"/>
          <w:numId w:val="4"/>
        </w:numPr>
        <w:snapToGrid w:val="0"/>
        <w:spacing w:line="400" w:lineRule="atLeast"/>
        <w:jc w:val="both"/>
        <w:rPr>
          <w:rFonts w:hint="eastAsia" w:ascii="宋体" w:hAnsi="宋体"/>
        </w:rPr>
      </w:pPr>
      <w:r>
        <w:rPr>
          <w:rFonts w:hint="eastAsia" w:ascii="宋体" w:hAnsi="宋体"/>
        </w:rPr>
        <w:t>本项目通过“政府采购云平台（www.zcygov.cn）”实行在线投标响应（电子投标）。供应商应通过“政采云电子交易客户端”，并按照本招标文件和“政府采购云平台”的要求编制并加密投标文件。</w:t>
      </w:r>
    </w:p>
    <w:p>
      <w:pPr>
        <w:numPr>
          <w:ilvl w:val="1"/>
          <w:numId w:val="4"/>
        </w:numPr>
        <w:snapToGrid w:val="0"/>
        <w:spacing w:line="400" w:lineRule="atLeast"/>
        <w:jc w:val="both"/>
        <w:rPr>
          <w:rFonts w:ascii="宋体" w:hAnsi="宋体"/>
        </w:rPr>
      </w:pPr>
      <w:r>
        <w:rPr>
          <w:rFonts w:hint="eastAsia" w:ascii="宋体" w:hAnsi="宋体"/>
        </w:rPr>
        <w:t>投标供应商应当按照本章节 “投标文件组成”规定的内容及顺序在“政采云电子交易客户端”编制投标文件。其中《资格文件》和《商务技术文件》中不得出现本项目投标报价，如因投标供应商原因提前泄露投标报价，相关责任由投标供应商自负。</w:t>
      </w:r>
    </w:p>
    <w:p>
      <w:pPr>
        <w:numPr>
          <w:ilvl w:val="1"/>
          <w:numId w:val="4"/>
        </w:numPr>
        <w:snapToGrid w:val="0"/>
        <w:spacing w:line="400" w:lineRule="atLeast"/>
        <w:jc w:val="both"/>
        <w:rPr>
          <w:rFonts w:ascii="宋体" w:hAnsi="宋体"/>
        </w:rPr>
      </w:pPr>
      <w:r>
        <w:rPr>
          <w:rFonts w:hint="eastAsia" w:ascii="宋体" w:hAnsi="宋体"/>
        </w:rPr>
        <w:t>本文件《第六部分 投标文件格式》中有提供格式的，投标供应商须参照格式进行编制（格式中要求提供相关证明材料的还需后附相关证明材料），并按格式要求在指定位置根据要求进行签章；本文件《第六部分 投标文件格式》未提供格式的，请各投标单位自行拟定格式。</w:t>
      </w:r>
    </w:p>
    <w:p>
      <w:pPr>
        <w:numPr>
          <w:ilvl w:val="1"/>
          <w:numId w:val="4"/>
        </w:numPr>
        <w:snapToGrid w:val="0"/>
        <w:spacing w:line="400" w:lineRule="atLeast"/>
        <w:jc w:val="both"/>
        <w:rPr>
          <w:rFonts w:ascii="宋体" w:hAnsi="宋体"/>
        </w:rPr>
      </w:pPr>
      <w:r>
        <w:rPr>
          <w:rFonts w:hint="eastAsia" w:ascii="宋体" w:hAnsi="宋体"/>
        </w:rPr>
        <w:t>《投标文件》内容不完整、编排混乱导致《投标文件》被误读、漏读或者查找不到相关内容的，相关责任由投标供应商自负。</w:t>
      </w:r>
    </w:p>
    <w:p>
      <w:pPr>
        <w:numPr>
          <w:ilvl w:val="1"/>
          <w:numId w:val="4"/>
        </w:numPr>
        <w:snapToGrid w:val="0"/>
        <w:spacing w:line="400" w:lineRule="atLeast"/>
        <w:jc w:val="both"/>
        <w:rPr>
          <w:rFonts w:ascii="宋体" w:hAnsi="宋体"/>
        </w:rPr>
      </w:pPr>
      <w:r>
        <w:rPr>
          <w:rFonts w:hint="eastAsia" w:ascii="宋体" w:hAnsi="宋体"/>
        </w:rPr>
        <w:t>《投标文件》因字迹潦草或表达不清所引起的后果由投标供应商负责。</w:t>
      </w:r>
    </w:p>
    <w:p>
      <w:pPr>
        <w:numPr>
          <w:ilvl w:val="1"/>
          <w:numId w:val="4"/>
        </w:numPr>
        <w:snapToGrid w:val="0"/>
        <w:spacing w:line="400" w:lineRule="atLeast"/>
        <w:jc w:val="both"/>
        <w:rPr>
          <w:rFonts w:hint="eastAsia" w:ascii="宋体" w:hAnsi="宋体"/>
        </w:rPr>
      </w:pPr>
      <w:r>
        <w:rPr>
          <w:rFonts w:hint="eastAsia" w:ascii="宋体" w:hAnsi="宋体"/>
        </w:rPr>
        <w:t>投标供应商没有按照本章节“投标文件组成”要求提供全部资料，或者没有仔细阅读招标文件，或者没有对招标文件在各方面的要求作出实质性响应，由此造成的一切后果由投标供应商自行承担。</w:t>
      </w:r>
    </w:p>
    <w:p>
      <w:pPr>
        <w:numPr>
          <w:ilvl w:val="1"/>
          <w:numId w:val="4"/>
        </w:numPr>
        <w:snapToGrid w:val="0"/>
        <w:spacing w:line="400" w:lineRule="atLeast"/>
        <w:jc w:val="both"/>
        <w:rPr>
          <w:rFonts w:hint="eastAsia" w:ascii="宋体" w:hAnsi="宋体"/>
        </w:rPr>
      </w:pPr>
      <w:r>
        <w:rPr>
          <w:rFonts w:hint="eastAsia" w:ascii="宋体" w:hAnsi="宋体"/>
        </w:rPr>
        <w:t>投标文件不得涂改和增删，如有修改错漏处，必须由同一签署人签字或盖章。</w:t>
      </w:r>
    </w:p>
    <w:p>
      <w:pPr>
        <w:numPr>
          <w:ilvl w:val="0"/>
          <w:numId w:val="4"/>
        </w:numPr>
        <w:snapToGrid w:val="0"/>
        <w:spacing w:line="400" w:lineRule="atLeast"/>
        <w:jc w:val="both"/>
        <w:rPr>
          <w:rFonts w:ascii="Arial" w:hAnsi="Arial"/>
          <w:b/>
          <w:sz w:val="24"/>
        </w:rPr>
      </w:pPr>
      <w:r>
        <w:rPr>
          <w:rFonts w:hint="eastAsia" w:ascii="Arial" w:hAnsi="Arial"/>
          <w:b/>
          <w:sz w:val="24"/>
        </w:rPr>
        <w:t>投标文件的签章</w:t>
      </w:r>
    </w:p>
    <w:p>
      <w:pPr>
        <w:numPr>
          <w:ilvl w:val="1"/>
          <w:numId w:val="4"/>
        </w:numPr>
        <w:snapToGrid w:val="0"/>
        <w:spacing w:line="400" w:lineRule="atLeast"/>
        <w:jc w:val="both"/>
        <w:rPr>
          <w:rFonts w:ascii="宋体" w:hAnsi="宋体"/>
        </w:rPr>
      </w:pPr>
      <w:r>
        <w:rPr>
          <w:rFonts w:hint="eastAsia" w:ascii="宋体" w:hAnsi="宋体"/>
        </w:rPr>
        <w:t>《投标文件》的签章：见《第一部分    投标邀请函（投标须知前附表）》；</w:t>
      </w:r>
    </w:p>
    <w:p>
      <w:pPr>
        <w:numPr>
          <w:ilvl w:val="1"/>
          <w:numId w:val="4"/>
        </w:numPr>
        <w:snapToGrid w:val="0"/>
        <w:spacing w:line="400" w:lineRule="atLeast"/>
        <w:jc w:val="both"/>
        <w:rPr>
          <w:rFonts w:ascii="宋体" w:hAnsi="宋体"/>
        </w:rPr>
      </w:pPr>
      <w:r>
        <w:rPr>
          <w:rFonts w:hint="eastAsia" w:ascii="宋体" w:hAnsi="宋体"/>
        </w:rPr>
        <w:t>《投标文件》加盖投标供应商公章，并根据招标文件要求在投标文件相应位置由投标供应商法定代表人或授权代表签字（或盖章）。</w:t>
      </w:r>
    </w:p>
    <w:p>
      <w:pPr>
        <w:numPr>
          <w:ilvl w:val="1"/>
          <w:numId w:val="4"/>
        </w:numPr>
        <w:snapToGrid w:val="0"/>
        <w:spacing w:line="400" w:lineRule="atLeast"/>
        <w:jc w:val="both"/>
        <w:rPr>
          <w:rFonts w:ascii="宋体" w:hAnsi="宋体"/>
        </w:rPr>
      </w:pPr>
      <w:r>
        <w:rPr>
          <w:rFonts w:hint="eastAsia" w:ascii="宋体" w:hAnsi="宋体"/>
        </w:rPr>
        <w:t>CA电子签章操作指南详见《供应商-政府采购项目电子交易操作指南》（</w:t>
      </w:r>
      <w:r>
        <w:rPr>
          <w:rFonts w:ascii="宋体" w:hAnsi="宋体"/>
        </w:rPr>
        <w:fldChar w:fldCharType="begin"/>
      </w:r>
      <w:r>
        <w:rPr>
          <w:rFonts w:ascii="宋体" w:hAnsi="宋体"/>
        </w:rPr>
        <w:instrText xml:space="preserve"> HYPERLINK "</w:instrText>
      </w:r>
      <w:r>
        <w:rPr>
          <w:rFonts w:hint="eastAsia" w:ascii="宋体" w:hAnsi="宋体"/>
        </w:rPr>
        <w:instrText xml:space="preserve">https://help.zcygov.cn/web/site_2/2018/12-28/2573.html</w:instrText>
      </w:r>
      <w:r>
        <w:rPr>
          <w:rFonts w:ascii="宋体" w:hAnsi="宋体"/>
        </w:rPr>
        <w:instrText xml:space="preserve">" </w:instrText>
      </w:r>
      <w:r>
        <w:rPr>
          <w:rFonts w:ascii="宋体" w:hAnsi="宋体"/>
        </w:rPr>
        <w:fldChar w:fldCharType="separate"/>
      </w:r>
      <w:r>
        <w:rPr>
          <w:rStyle w:val="43"/>
          <w:rFonts w:hint="eastAsia" w:ascii="宋体" w:hAnsi="宋体"/>
        </w:rPr>
        <w:t>https://help.zcygov.cn/web/site_2/2018/12-28/2573.html</w:t>
      </w:r>
      <w:r>
        <w:rPr>
          <w:rFonts w:ascii="宋体" w:hAnsi="宋体"/>
        </w:rPr>
        <w:fldChar w:fldCharType="end"/>
      </w:r>
      <w:r>
        <w:rPr>
          <w:rFonts w:hint="eastAsia" w:ascii="宋体" w:hAnsi="宋体"/>
        </w:rPr>
        <w:t>）。</w:t>
      </w:r>
    </w:p>
    <w:p>
      <w:pPr>
        <w:numPr>
          <w:ilvl w:val="0"/>
          <w:numId w:val="4"/>
        </w:numPr>
        <w:snapToGrid w:val="0"/>
        <w:spacing w:line="400" w:lineRule="atLeast"/>
        <w:jc w:val="both"/>
        <w:rPr>
          <w:rFonts w:ascii="Arial" w:hAnsi="Arial"/>
          <w:b/>
          <w:sz w:val="24"/>
        </w:rPr>
      </w:pPr>
      <w:r>
        <w:rPr>
          <w:rFonts w:hint="eastAsia" w:ascii="Arial" w:hAnsi="Arial"/>
          <w:b/>
          <w:sz w:val="24"/>
        </w:rPr>
        <w:t>投标文件的形式</w:t>
      </w:r>
    </w:p>
    <w:p>
      <w:pPr>
        <w:numPr>
          <w:ilvl w:val="1"/>
          <w:numId w:val="4"/>
        </w:numPr>
        <w:snapToGrid w:val="0"/>
        <w:spacing w:line="400" w:lineRule="atLeast"/>
        <w:jc w:val="both"/>
        <w:rPr>
          <w:rFonts w:ascii="宋体" w:hAnsi="宋体"/>
        </w:rPr>
      </w:pPr>
      <w:r>
        <w:rPr>
          <w:rFonts w:hint="eastAsia" w:ascii="宋体" w:hAnsi="宋体"/>
        </w:rPr>
        <w:t>投标文件的形式：见《第一部分    投标邀请函（投标须知前附表）》；</w:t>
      </w:r>
    </w:p>
    <w:p>
      <w:pPr>
        <w:numPr>
          <w:ilvl w:val="1"/>
          <w:numId w:val="4"/>
        </w:numPr>
        <w:snapToGrid w:val="0"/>
        <w:spacing w:line="400" w:lineRule="atLeast"/>
        <w:jc w:val="both"/>
        <w:rPr>
          <w:rFonts w:ascii="宋体" w:hAnsi="宋体"/>
          <w:b/>
          <w:bCs/>
        </w:rPr>
      </w:pPr>
      <w:r>
        <w:rPr>
          <w:rFonts w:hint="eastAsia" w:ascii="宋体" w:hAnsi="宋体"/>
          <w:b/>
          <w:bCs/>
        </w:rPr>
        <w:t>“电子加密投标文件”：“电子加密投标文件”是指通过“政采云电子交易客户端”完成投标文件编制后生成并加密的数据电文形式的投标文件；</w:t>
      </w:r>
    </w:p>
    <w:p>
      <w:pPr>
        <w:numPr>
          <w:ilvl w:val="1"/>
          <w:numId w:val="4"/>
        </w:numPr>
        <w:snapToGrid w:val="0"/>
        <w:spacing w:line="400" w:lineRule="atLeast"/>
        <w:jc w:val="both"/>
        <w:rPr>
          <w:rFonts w:hint="eastAsia" w:ascii="宋体" w:hAnsi="宋体"/>
          <w:b/>
          <w:bCs/>
        </w:rPr>
      </w:pPr>
      <w:r>
        <w:rPr>
          <w:rFonts w:hint="eastAsia" w:ascii="宋体" w:hAnsi="宋体"/>
          <w:b/>
          <w:bCs/>
        </w:rPr>
        <w:t>投标文件的份数：投标文件的份数：见《第一部分    投标邀请函（投标须知前附表）》。</w:t>
      </w:r>
    </w:p>
    <w:p>
      <w:pPr>
        <w:numPr>
          <w:ilvl w:val="0"/>
          <w:numId w:val="4"/>
        </w:numPr>
        <w:snapToGrid w:val="0"/>
        <w:spacing w:line="400" w:lineRule="atLeast"/>
        <w:jc w:val="both"/>
        <w:rPr>
          <w:rFonts w:ascii="Arial" w:hAnsi="Arial"/>
          <w:b/>
          <w:sz w:val="24"/>
        </w:rPr>
      </w:pPr>
      <w:r>
        <w:rPr>
          <w:rFonts w:hint="eastAsia" w:ascii="Arial" w:hAnsi="Arial"/>
          <w:b/>
          <w:sz w:val="24"/>
        </w:rPr>
        <w:t>知识产权</w:t>
      </w:r>
    </w:p>
    <w:p>
      <w:pPr>
        <w:numPr>
          <w:ilvl w:val="1"/>
          <w:numId w:val="4"/>
        </w:numPr>
        <w:snapToGrid w:val="0"/>
        <w:spacing w:line="400" w:lineRule="atLeast"/>
        <w:jc w:val="both"/>
        <w:rPr>
          <w:rFonts w:hint="eastAsia" w:ascii="Arial" w:hAnsi="Arial"/>
          <w:b/>
          <w:sz w:val="24"/>
        </w:rPr>
      </w:pPr>
      <w:r>
        <w:rPr>
          <w:rFonts w:hint="eastAsia" w:ascii="Arial" w:hAnsi="Arial"/>
        </w:rPr>
        <w:t>投标供应商应保证，采购人在中华人民共和国使用货物的任何一部分时，采购人免受第三方提出侵犯其专利权、商标权或其它知识产权的起诉；</w:t>
      </w:r>
    </w:p>
    <w:p>
      <w:pPr>
        <w:numPr>
          <w:ilvl w:val="1"/>
          <w:numId w:val="4"/>
        </w:numPr>
        <w:snapToGrid w:val="0"/>
        <w:spacing w:line="400" w:lineRule="atLeast"/>
        <w:jc w:val="both"/>
        <w:rPr>
          <w:rFonts w:ascii="Arial" w:hAnsi="Arial"/>
          <w:b/>
          <w:sz w:val="24"/>
        </w:rPr>
      </w:pPr>
      <w:r>
        <w:rPr>
          <w:rFonts w:hint="eastAsia" w:ascii="宋体"/>
          <w:sz w:val="22"/>
        </w:rPr>
        <w:t>投标供应商应对采购人在使用该产品时所涉及到的专利权负责，不损害采购人的利益；</w:t>
      </w:r>
    </w:p>
    <w:p>
      <w:pPr>
        <w:numPr>
          <w:ilvl w:val="1"/>
          <w:numId w:val="4"/>
        </w:numPr>
        <w:snapToGrid w:val="0"/>
        <w:spacing w:line="400" w:lineRule="atLeast"/>
        <w:jc w:val="both"/>
        <w:rPr>
          <w:rFonts w:hint="eastAsia" w:ascii="Arial" w:hAnsi="Arial"/>
          <w:b/>
          <w:sz w:val="24"/>
        </w:rPr>
      </w:pPr>
      <w:r>
        <w:rPr>
          <w:rFonts w:hint="eastAsia" w:ascii="Arial" w:hAnsi="Arial"/>
        </w:rPr>
        <w:t>投标报价应包括所有应支付的对专利权和</w:t>
      </w:r>
      <w:r>
        <w:rPr>
          <w:rFonts w:hint="eastAsia" w:ascii="Arial" w:hAnsi="Arial"/>
          <w:spacing w:val="-10"/>
        </w:rPr>
        <w:t>版权、设计或其他知识产权而需要向其他方支付的版税</w:t>
      </w:r>
    </w:p>
    <w:p>
      <w:pPr>
        <w:numPr>
          <w:ilvl w:val="1"/>
          <w:numId w:val="4"/>
        </w:numPr>
        <w:snapToGrid w:val="0"/>
        <w:spacing w:line="400" w:lineRule="atLeast"/>
        <w:jc w:val="both"/>
        <w:rPr>
          <w:rFonts w:hint="eastAsia" w:ascii="Arial" w:hAnsi="Arial"/>
          <w:b/>
          <w:sz w:val="24"/>
        </w:rPr>
      </w:pPr>
      <w:r>
        <w:rPr>
          <w:rFonts w:hint="eastAsia" w:ascii="宋体"/>
          <w:sz w:val="22"/>
        </w:rPr>
        <w:t>投标供应商提供得货物中如使用其他公司的相关专利，应在标书中出示相关授权，如未出示但使用了其他公司的专利，导致供应商中标而引起相关诉讼，由投标供应商承担</w:t>
      </w:r>
      <w:r>
        <w:rPr>
          <w:rFonts w:hint="eastAsia" w:ascii="Arial" w:hAnsi="Arial"/>
          <w:spacing w:val="-10"/>
        </w:rPr>
        <w:t>。</w:t>
      </w:r>
    </w:p>
    <w:p>
      <w:pPr>
        <w:numPr>
          <w:ilvl w:val="0"/>
          <w:numId w:val="4"/>
        </w:numPr>
        <w:snapToGrid w:val="0"/>
        <w:spacing w:line="400" w:lineRule="atLeast"/>
        <w:jc w:val="both"/>
        <w:rPr>
          <w:rFonts w:hint="eastAsia" w:ascii="Arial" w:hAnsi="Arial"/>
          <w:b/>
          <w:bCs/>
          <w:sz w:val="24"/>
        </w:rPr>
      </w:pPr>
      <w:r>
        <w:rPr>
          <w:rFonts w:ascii="宋体" w:hAnsi="宋体"/>
          <w:b/>
          <w:bCs/>
          <w:sz w:val="24"/>
        </w:rPr>
        <w:t>投标保证金和履约保证金</w:t>
      </w:r>
      <w:r>
        <w:rPr>
          <w:rFonts w:hint="eastAsia" w:ascii="宋体" w:hAnsi="宋体"/>
          <w:b/>
          <w:bCs/>
          <w:sz w:val="24"/>
        </w:rPr>
        <w:t>：</w:t>
      </w:r>
    </w:p>
    <w:p>
      <w:pPr>
        <w:numPr>
          <w:ilvl w:val="1"/>
          <w:numId w:val="4"/>
        </w:numPr>
        <w:snapToGrid w:val="0"/>
        <w:spacing w:line="400" w:lineRule="atLeast"/>
        <w:jc w:val="both"/>
        <w:rPr>
          <w:rFonts w:hint="eastAsia" w:ascii="Arial" w:hAnsi="Arial"/>
        </w:rPr>
      </w:pPr>
      <w:r>
        <w:rPr>
          <w:rFonts w:hint="eastAsia" w:ascii="Arial" w:hAnsi="Arial"/>
        </w:rPr>
        <w:t>投标保证金：无。</w:t>
      </w:r>
    </w:p>
    <w:p>
      <w:pPr>
        <w:numPr>
          <w:ilvl w:val="1"/>
          <w:numId w:val="4"/>
        </w:numPr>
        <w:snapToGrid w:val="0"/>
        <w:spacing w:line="400" w:lineRule="atLeast"/>
        <w:jc w:val="both"/>
        <w:rPr>
          <w:rFonts w:hint="eastAsia" w:ascii="Arial" w:hAnsi="Arial"/>
        </w:rPr>
      </w:pPr>
      <w:r>
        <w:rPr>
          <w:rFonts w:hint="eastAsia" w:ascii="Arial" w:hAnsi="Arial"/>
        </w:rPr>
        <w:t>履约保证金：投标供应商与采购人签署采购合同后7日内须向采购人缴纳一年合同总价5%的履约保证金</w:t>
      </w:r>
      <w:r>
        <w:rPr>
          <w:rFonts w:hint="eastAsia" w:ascii="宋体" w:hAnsi="宋体"/>
        </w:rPr>
        <w:t>。</w:t>
      </w:r>
    </w:p>
    <w:p>
      <w:pPr>
        <w:numPr>
          <w:ilvl w:val="0"/>
          <w:numId w:val="4"/>
        </w:numPr>
        <w:snapToGrid w:val="0"/>
        <w:spacing w:line="400" w:lineRule="atLeast"/>
        <w:jc w:val="both"/>
        <w:rPr>
          <w:rFonts w:hint="eastAsia" w:ascii="宋体" w:hAnsi="宋体"/>
          <w:b/>
          <w:bCs/>
          <w:sz w:val="24"/>
        </w:rPr>
      </w:pPr>
      <w:r>
        <w:rPr>
          <w:rFonts w:hint="eastAsia" w:ascii="宋体" w:hAnsi="宋体"/>
          <w:b/>
          <w:bCs/>
          <w:sz w:val="24"/>
        </w:rPr>
        <w:t>其他</w:t>
      </w:r>
    </w:p>
    <w:p>
      <w:pPr>
        <w:numPr>
          <w:ilvl w:val="1"/>
          <w:numId w:val="4"/>
        </w:numPr>
        <w:snapToGrid w:val="0"/>
        <w:spacing w:line="400" w:lineRule="atLeast"/>
        <w:jc w:val="both"/>
        <w:rPr>
          <w:rFonts w:hint="eastAsia"/>
        </w:rPr>
      </w:pPr>
      <w:r>
        <w:rPr>
          <w:rFonts w:hint="eastAsia" w:ascii="Arial" w:hAnsi="Arial"/>
        </w:rPr>
        <w:t>投标供应商</w:t>
      </w:r>
      <w:r>
        <w:rPr>
          <w:rFonts w:ascii="Arial" w:hAnsi="Arial"/>
        </w:rPr>
        <w:t>有下列情形之一的，应按串</w:t>
      </w:r>
      <w:r>
        <w:rPr>
          <w:rFonts w:hint="eastAsia" w:ascii="Arial" w:hAnsi="Arial"/>
        </w:rPr>
        <w:t>标</w:t>
      </w:r>
      <w:r>
        <w:rPr>
          <w:rFonts w:ascii="Arial" w:hAnsi="Arial"/>
        </w:rPr>
        <w:t>行为认定</w:t>
      </w:r>
      <w:r>
        <w:rPr>
          <w:rFonts w:hint="eastAsia" w:ascii="Arial" w:hAnsi="Arial"/>
        </w:rPr>
        <w:t>，按照相关法律法规执行：</w:t>
      </w:r>
    </w:p>
    <w:p>
      <w:pPr>
        <w:numPr>
          <w:ilvl w:val="0"/>
          <w:numId w:val="13"/>
        </w:numPr>
        <w:snapToGrid w:val="0"/>
        <w:spacing w:line="400" w:lineRule="atLeast"/>
        <w:ind w:left="840" w:hanging="840" w:hangingChars="400"/>
        <w:jc w:val="both"/>
        <w:rPr>
          <w:rFonts w:ascii="宋体" w:hAnsi="宋体"/>
        </w:rPr>
      </w:pPr>
      <w:r>
        <w:rPr>
          <w:rFonts w:ascii="宋体" w:hAnsi="宋体"/>
        </w:rPr>
        <w:t>不同</w:t>
      </w:r>
      <w:r>
        <w:rPr>
          <w:rFonts w:hint="eastAsia" w:ascii="宋体" w:hAnsi="宋体"/>
        </w:rPr>
        <w:t>投标供应商</w:t>
      </w:r>
      <w:r>
        <w:rPr>
          <w:rFonts w:ascii="宋体" w:hAnsi="宋体"/>
        </w:rPr>
        <w:t>的</w:t>
      </w:r>
      <w:r>
        <w:rPr>
          <w:rFonts w:hint="eastAsia" w:ascii="宋体" w:hAnsi="宋体"/>
        </w:rPr>
        <w:t>投标</w:t>
      </w:r>
      <w:r>
        <w:rPr>
          <w:rFonts w:ascii="宋体" w:hAnsi="宋体"/>
        </w:rPr>
        <w:t xml:space="preserve">文件由同一单位或人员编制的； </w:t>
      </w:r>
    </w:p>
    <w:p>
      <w:pPr>
        <w:numPr>
          <w:ilvl w:val="0"/>
          <w:numId w:val="13"/>
        </w:numPr>
        <w:snapToGrid w:val="0"/>
        <w:spacing w:line="400" w:lineRule="atLeast"/>
        <w:ind w:left="840" w:hanging="840" w:hangingChars="400"/>
        <w:jc w:val="both"/>
        <w:rPr>
          <w:rFonts w:ascii="宋体" w:hAnsi="宋体"/>
        </w:rPr>
      </w:pPr>
      <w:r>
        <w:rPr>
          <w:rFonts w:ascii="宋体" w:hAnsi="宋体"/>
        </w:rPr>
        <w:t>不同供应商委托同一单位或人员办理投标事宜的；</w:t>
      </w:r>
    </w:p>
    <w:p>
      <w:pPr>
        <w:numPr>
          <w:ilvl w:val="0"/>
          <w:numId w:val="13"/>
        </w:numPr>
        <w:snapToGrid w:val="0"/>
        <w:spacing w:line="400" w:lineRule="atLeast"/>
        <w:ind w:left="840" w:hanging="840" w:hangingChars="400"/>
        <w:jc w:val="both"/>
        <w:rPr>
          <w:rFonts w:ascii="宋体" w:hAnsi="宋体"/>
        </w:rPr>
      </w:pPr>
      <w:r>
        <w:rPr>
          <w:rFonts w:ascii="宋体" w:hAnsi="宋体"/>
        </w:rPr>
        <w:t>不同</w:t>
      </w:r>
      <w:r>
        <w:rPr>
          <w:rFonts w:hint="eastAsia" w:ascii="宋体" w:hAnsi="宋体"/>
        </w:rPr>
        <w:t>投标供应商</w:t>
      </w:r>
      <w:r>
        <w:rPr>
          <w:rFonts w:ascii="宋体" w:hAnsi="宋体"/>
        </w:rPr>
        <w:t>的</w:t>
      </w:r>
      <w:r>
        <w:rPr>
          <w:rFonts w:hint="eastAsia" w:ascii="宋体" w:hAnsi="宋体"/>
        </w:rPr>
        <w:t>投标</w:t>
      </w:r>
      <w:r>
        <w:rPr>
          <w:rFonts w:ascii="宋体" w:hAnsi="宋体"/>
        </w:rPr>
        <w:t xml:space="preserve">文件中的内容出现非正常的一致，或者报价细目呈明显规律性变化，或在完全可比的情况下投标总价均高于市场平均价的； </w:t>
      </w:r>
    </w:p>
    <w:p>
      <w:pPr>
        <w:numPr>
          <w:ilvl w:val="0"/>
          <w:numId w:val="13"/>
        </w:numPr>
        <w:snapToGrid w:val="0"/>
        <w:spacing w:line="400" w:lineRule="atLeast"/>
        <w:ind w:left="840" w:hanging="840" w:hangingChars="400"/>
        <w:jc w:val="both"/>
        <w:rPr>
          <w:rFonts w:ascii="宋体" w:hAnsi="宋体"/>
        </w:rPr>
      </w:pPr>
      <w:r>
        <w:rPr>
          <w:rFonts w:ascii="宋体" w:hAnsi="宋体"/>
        </w:rPr>
        <w:t>不同</w:t>
      </w:r>
      <w:r>
        <w:rPr>
          <w:rFonts w:hint="eastAsia" w:ascii="宋体" w:hAnsi="宋体"/>
        </w:rPr>
        <w:t>投标供应商</w:t>
      </w:r>
      <w:r>
        <w:rPr>
          <w:rFonts w:ascii="宋体" w:hAnsi="宋体"/>
        </w:rPr>
        <w:t>的</w:t>
      </w:r>
      <w:r>
        <w:rPr>
          <w:rFonts w:hint="eastAsia" w:ascii="宋体" w:hAnsi="宋体"/>
        </w:rPr>
        <w:t>投标</w:t>
      </w:r>
      <w:r>
        <w:rPr>
          <w:rFonts w:ascii="宋体" w:hAnsi="宋体"/>
        </w:rPr>
        <w:t>文件载明的项目管理人员出现同一单位的工作人员或同一人的；</w:t>
      </w:r>
    </w:p>
    <w:p>
      <w:pPr>
        <w:numPr>
          <w:ilvl w:val="0"/>
          <w:numId w:val="13"/>
        </w:numPr>
        <w:snapToGrid w:val="0"/>
        <w:spacing w:line="400" w:lineRule="atLeast"/>
        <w:ind w:left="840" w:hanging="840" w:hangingChars="400"/>
        <w:jc w:val="both"/>
        <w:rPr>
          <w:rFonts w:ascii="宋体" w:hAnsi="宋体"/>
        </w:rPr>
      </w:pPr>
      <w:r>
        <w:rPr>
          <w:rFonts w:ascii="宋体" w:hAnsi="宋体"/>
        </w:rPr>
        <w:t>不同</w:t>
      </w:r>
      <w:r>
        <w:rPr>
          <w:rFonts w:hint="eastAsia" w:ascii="宋体" w:hAnsi="宋体"/>
        </w:rPr>
        <w:t>投标供应商</w:t>
      </w:r>
      <w:r>
        <w:rPr>
          <w:rFonts w:ascii="宋体" w:hAnsi="宋体"/>
        </w:rPr>
        <w:t xml:space="preserve">的授权代表为同一单位的工作人员的； </w:t>
      </w:r>
    </w:p>
    <w:p>
      <w:pPr>
        <w:numPr>
          <w:ilvl w:val="0"/>
          <w:numId w:val="13"/>
        </w:numPr>
        <w:snapToGrid w:val="0"/>
        <w:spacing w:line="400" w:lineRule="atLeast"/>
        <w:ind w:left="840" w:hanging="840" w:hangingChars="400"/>
        <w:jc w:val="both"/>
        <w:rPr>
          <w:rFonts w:ascii="宋体" w:hAnsi="宋体"/>
        </w:rPr>
      </w:pPr>
      <w:r>
        <w:rPr>
          <w:rFonts w:ascii="宋体" w:hAnsi="宋体"/>
        </w:rPr>
        <w:t>不同</w:t>
      </w:r>
      <w:r>
        <w:rPr>
          <w:rFonts w:hint="eastAsia" w:ascii="宋体" w:hAnsi="宋体"/>
        </w:rPr>
        <w:t>投标供应商</w:t>
      </w:r>
      <w:r>
        <w:rPr>
          <w:rFonts w:ascii="宋体" w:hAnsi="宋体"/>
        </w:rPr>
        <w:t>的</w:t>
      </w:r>
      <w:r>
        <w:rPr>
          <w:rFonts w:hint="eastAsia" w:ascii="宋体" w:hAnsi="宋体"/>
        </w:rPr>
        <w:t>投标</w:t>
      </w:r>
      <w:r>
        <w:rPr>
          <w:rFonts w:ascii="宋体" w:hAnsi="宋体"/>
        </w:rPr>
        <w:t>文件相互混装，或在一个</w:t>
      </w:r>
      <w:r>
        <w:rPr>
          <w:rFonts w:hint="eastAsia" w:ascii="宋体" w:hAnsi="宋体"/>
        </w:rPr>
        <w:t>投标供应商</w:t>
      </w:r>
      <w:r>
        <w:rPr>
          <w:rFonts w:ascii="宋体" w:hAnsi="宋体"/>
        </w:rPr>
        <w:t>的</w:t>
      </w:r>
      <w:r>
        <w:rPr>
          <w:rFonts w:hint="eastAsia" w:ascii="宋体" w:hAnsi="宋体"/>
        </w:rPr>
        <w:t>投标</w:t>
      </w:r>
      <w:r>
        <w:rPr>
          <w:rFonts w:ascii="宋体" w:hAnsi="宋体"/>
        </w:rPr>
        <w:t>文件内遗留有其他</w:t>
      </w:r>
      <w:r>
        <w:rPr>
          <w:rFonts w:hint="eastAsia" w:ascii="宋体" w:hAnsi="宋体"/>
        </w:rPr>
        <w:t>投标供应商</w:t>
      </w:r>
      <w:r>
        <w:rPr>
          <w:rFonts w:ascii="宋体" w:hAnsi="宋体"/>
        </w:rPr>
        <w:t>的签名、盖章等不属于本</w:t>
      </w:r>
      <w:r>
        <w:rPr>
          <w:rFonts w:hint="eastAsia" w:ascii="宋体" w:hAnsi="宋体"/>
        </w:rPr>
        <w:t>投标供应商</w:t>
      </w:r>
      <w:r>
        <w:rPr>
          <w:rFonts w:ascii="宋体" w:hAnsi="宋体"/>
        </w:rPr>
        <w:t xml:space="preserve">参加政府采购必需的信息资料的； </w:t>
      </w:r>
    </w:p>
    <w:p>
      <w:pPr>
        <w:numPr>
          <w:ilvl w:val="0"/>
          <w:numId w:val="13"/>
        </w:numPr>
        <w:snapToGrid w:val="0"/>
        <w:spacing w:line="400" w:lineRule="atLeast"/>
        <w:ind w:left="840" w:hanging="840" w:hangingChars="400"/>
        <w:jc w:val="both"/>
        <w:rPr>
          <w:rFonts w:ascii="宋体" w:hAnsi="宋体"/>
        </w:rPr>
      </w:pPr>
      <w:r>
        <w:rPr>
          <w:rFonts w:ascii="宋体" w:hAnsi="宋体"/>
        </w:rPr>
        <w:t>采购响应截止时间后，</w:t>
      </w:r>
      <w:r>
        <w:rPr>
          <w:rFonts w:hint="eastAsia" w:ascii="Arial" w:hAnsi="Arial"/>
        </w:rPr>
        <w:t>采购人</w:t>
      </w:r>
      <w:r>
        <w:rPr>
          <w:rFonts w:ascii="宋体" w:hAnsi="宋体"/>
        </w:rPr>
        <w:t>协助</w:t>
      </w:r>
      <w:r>
        <w:rPr>
          <w:rFonts w:hint="eastAsia" w:ascii="宋体" w:hAnsi="宋体"/>
        </w:rPr>
        <w:t>投标供应商</w:t>
      </w:r>
      <w:r>
        <w:rPr>
          <w:rFonts w:ascii="宋体" w:hAnsi="宋体"/>
        </w:rPr>
        <w:t>撤换或更改</w:t>
      </w:r>
      <w:r>
        <w:rPr>
          <w:rFonts w:hint="eastAsia" w:ascii="宋体" w:hAnsi="宋体"/>
        </w:rPr>
        <w:t>投标</w:t>
      </w:r>
      <w:r>
        <w:rPr>
          <w:rFonts w:ascii="宋体" w:hAnsi="宋体"/>
        </w:rPr>
        <w:t xml:space="preserve">文件的； </w:t>
      </w:r>
    </w:p>
    <w:p>
      <w:pPr>
        <w:numPr>
          <w:ilvl w:val="0"/>
          <w:numId w:val="13"/>
        </w:numPr>
        <w:snapToGrid w:val="0"/>
        <w:spacing w:line="400" w:lineRule="atLeast"/>
        <w:ind w:left="840" w:hanging="840" w:hangingChars="400"/>
        <w:jc w:val="both"/>
        <w:rPr>
          <w:rFonts w:ascii="宋体" w:hAnsi="宋体"/>
        </w:rPr>
      </w:pPr>
      <w:r>
        <w:rPr>
          <w:rFonts w:hint="eastAsia" w:ascii="Arial" w:hAnsi="Arial"/>
        </w:rPr>
        <w:t>采购人</w:t>
      </w:r>
      <w:r>
        <w:rPr>
          <w:rFonts w:ascii="宋体" w:hAnsi="宋体"/>
        </w:rPr>
        <w:t>泄露有意向参加政府采购的</w:t>
      </w:r>
      <w:r>
        <w:rPr>
          <w:rFonts w:hint="eastAsia" w:ascii="宋体" w:hAnsi="宋体"/>
        </w:rPr>
        <w:t>投标供应商</w:t>
      </w:r>
      <w:r>
        <w:rPr>
          <w:rFonts w:ascii="宋体" w:hAnsi="宋体"/>
        </w:rPr>
        <w:t>名称、数量等应当保密的事项的；</w:t>
      </w:r>
    </w:p>
    <w:p>
      <w:pPr>
        <w:numPr>
          <w:ilvl w:val="0"/>
          <w:numId w:val="13"/>
        </w:numPr>
        <w:snapToGrid w:val="0"/>
        <w:spacing w:line="400" w:lineRule="atLeast"/>
        <w:ind w:left="840" w:hanging="840" w:hangingChars="400"/>
        <w:jc w:val="both"/>
        <w:rPr>
          <w:rFonts w:hint="eastAsia" w:ascii="宋体" w:hAnsi="宋体"/>
        </w:rPr>
      </w:pPr>
      <w:r>
        <w:rPr>
          <w:rFonts w:ascii="宋体" w:hAnsi="宋体"/>
        </w:rPr>
        <w:t xml:space="preserve"> 不同</w:t>
      </w:r>
      <w:r>
        <w:rPr>
          <w:rFonts w:hint="eastAsia" w:ascii="宋体" w:hAnsi="宋体"/>
        </w:rPr>
        <w:t>投标供应商</w:t>
      </w:r>
      <w:r>
        <w:rPr>
          <w:rFonts w:ascii="宋体" w:hAnsi="宋体"/>
        </w:rPr>
        <w:t>之间私下达成书面或口头协议，指定一家</w:t>
      </w:r>
      <w:r>
        <w:rPr>
          <w:rFonts w:hint="eastAsia" w:ascii="宋体" w:hAnsi="宋体"/>
        </w:rPr>
        <w:t>投标供应商</w:t>
      </w:r>
      <w:r>
        <w:rPr>
          <w:rFonts w:ascii="宋体" w:hAnsi="宋体"/>
        </w:rPr>
        <w:t>中标或轮流中标的；</w:t>
      </w:r>
    </w:p>
    <w:p>
      <w:pPr>
        <w:numPr>
          <w:ilvl w:val="0"/>
          <w:numId w:val="13"/>
        </w:numPr>
        <w:snapToGrid w:val="0"/>
        <w:spacing w:line="400" w:lineRule="atLeast"/>
        <w:ind w:left="840" w:hanging="840" w:hangingChars="400"/>
        <w:jc w:val="both"/>
        <w:rPr>
          <w:rFonts w:hint="eastAsia" w:ascii="宋体" w:hAnsi="宋体"/>
        </w:rPr>
      </w:pPr>
      <w:r>
        <w:rPr>
          <w:rFonts w:hint="eastAsia" w:ascii="宋体" w:hAnsi="宋体"/>
        </w:rPr>
        <w:t xml:space="preserve"> </w:t>
      </w:r>
      <w:r>
        <w:rPr>
          <w:rFonts w:ascii="宋体" w:hAnsi="宋体"/>
        </w:rPr>
        <w:t>法律、法规或规章规定的其他</w:t>
      </w:r>
      <w:r>
        <w:rPr>
          <w:rFonts w:ascii="Arial" w:hAnsi="Arial"/>
        </w:rPr>
        <w:t>串</w:t>
      </w:r>
      <w:r>
        <w:rPr>
          <w:rFonts w:hint="eastAsia" w:ascii="Arial" w:hAnsi="Arial"/>
        </w:rPr>
        <w:t>标</w:t>
      </w:r>
      <w:r>
        <w:rPr>
          <w:rFonts w:ascii="宋体" w:hAnsi="宋体"/>
        </w:rPr>
        <w:t>行为。</w:t>
      </w:r>
    </w:p>
    <w:p>
      <w:pPr>
        <w:snapToGrid w:val="0"/>
        <w:spacing w:line="400" w:lineRule="atLeast"/>
        <w:ind w:left="840"/>
        <w:jc w:val="both"/>
        <w:rPr>
          <w:rFonts w:hint="eastAsia" w:ascii="宋体" w:hAnsi="宋体"/>
        </w:rPr>
      </w:pPr>
    </w:p>
    <w:p>
      <w:pPr>
        <w:pStyle w:val="5"/>
        <w:spacing w:before="120" w:beforeLines="50" w:after="120" w:afterLines="50" w:line="400" w:lineRule="atLeast"/>
        <w:jc w:val="center"/>
        <w:rPr>
          <w:sz w:val="24"/>
          <w:szCs w:val="24"/>
        </w:rPr>
      </w:pPr>
      <w:bookmarkStart w:id="22" w:name="_Toc64913328"/>
      <w:r>
        <w:rPr>
          <w:rFonts w:hint="eastAsia"/>
          <w:sz w:val="24"/>
          <w:szCs w:val="24"/>
        </w:rPr>
        <w:t>（五）投标文件的递交</w:t>
      </w:r>
      <w:bookmarkEnd w:id="22"/>
    </w:p>
    <w:p>
      <w:pPr>
        <w:numPr>
          <w:ilvl w:val="0"/>
          <w:numId w:val="4"/>
        </w:numPr>
        <w:snapToGrid w:val="0"/>
        <w:spacing w:line="400" w:lineRule="atLeast"/>
        <w:jc w:val="both"/>
        <w:rPr>
          <w:rFonts w:ascii="Arial" w:hAnsi="Arial"/>
          <w:b/>
          <w:sz w:val="24"/>
        </w:rPr>
      </w:pPr>
      <w:r>
        <w:rPr>
          <w:rFonts w:hint="eastAsia" w:ascii="Arial" w:hAnsi="Arial"/>
          <w:b/>
          <w:sz w:val="24"/>
        </w:rPr>
        <w:t>投标文件的上传和递交：</w:t>
      </w:r>
    </w:p>
    <w:p>
      <w:pPr>
        <w:numPr>
          <w:ilvl w:val="1"/>
          <w:numId w:val="4"/>
        </w:numPr>
        <w:snapToGrid w:val="0"/>
        <w:spacing w:line="400" w:lineRule="atLeast"/>
        <w:jc w:val="both"/>
        <w:rPr>
          <w:rFonts w:ascii="Arial" w:hAnsi="Arial"/>
          <w:b/>
          <w:sz w:val="24"/>
        </w:rPr>
      </w:pPr>
      <w:r>
        <w:rPr>
          <w:rFonts w:hint="eastAsia" w:ascii="Arial" w:hAnsi="Arial"/>
        </w:rPr>
        <w:t>“投标文件”的上传、递交：见《第一部分    投标邀请函（投标须知前附表）》。</w:t>
      </w:r>
    </w:p>
    <w:p>
      <w:pPr>
        <w:numPr>
          <w:ilvl w:val="0"/>
          <w:numId w:val="4"/>
        </w:numPr>
        <w:snapToGrid w:val="0"/>
        <w:spacing w:line="400" w:lineRule="atLeast"/>
        <w:jc w:val="both"/>
        <w:rPr>
          <w:rFonts w:ascii="Arial" w:hAnsi="Arial"/>
          <w:b/>
          <w:sz w:val="24"/>
        </w:rPr>
      </w:pPr>
      <w:r>
        <w:rPr>
          <w:rFonts w:hint="eastAsia" w:ascii="Arial" w:hAnsi="Arial"/>
          <w:b/>
          <w:sz w:val="24"/>
        </w:rPr>
        <w:t>“电子加密投标文件”解密和异常情况处理</w:t>
      </w:r>
    </w:p>
    <w:p>
      <w:pPr>
        <w:numPr>
          <w:ilvl w:val="1"/>
          <w:numId w:val="4"/>
        </w:numPr>
        <w:snapToGrid w:val="0"/>
        <w:spacing w:line="400" w:lineRule="atLeast"/>
        <w:jc w:val="both"/>
        <w:rPr>
          <w:rFonts w:ascii="Arial" w:hAnsi="Arial"/>
        </w:rPr>
      </w:pPr>
      <w:r>
        <w:rPr>
          <w:rFonts w:hint="eastAsia" w:ascii="Arial" w:hAnsi="Arial"/>
        </w:rPr>
        <w:t>“电子加密投标文件”解密：见《第一部分    投标邀请函（投标须知前附表）》。</w:t>
      </w:r>
    </w:p>
    <w:p>
      <w:pPr>
        <w:numPr>
          <w:ilvl w:val="0"/>
          <w:numId w:val="4"/>
        </w:numPr>
        <w:snapToGrid w:val="0"/>
        <w:spacing w:line="400" w:lineRule="atLeast"/>
        <w:jc w:val="both"/>
        <w:rPr>
          <w:rFonts w:ascii="Arial" w:hAnsi="Arial"/>
          <w:b/>
          <w:sz w:val="24"/>
        </w:rPr>
      </w:pPr>
      <w:r>
        <w:rPr>
          <w:rFonts w:hint="eastAsia" w:ascii="Arial" w:hAnsi="Arial"/>
          <w:b/>
          <w:sz w:val="24"/>
        </w:rPr>
        <w:t>投标文件的补充、修改或撤回</w:t>
      </w:r>
    </w:p>
    <w:p>
      <w:pPr>
        <w:numPr>
          <w:ilvl w:val="1"/>
          <w:numId w:val="4"/>
        </w:numPr>
        <w:snapToGrid w:val="0"/>
        <w:spacing w:line="400" w:lineRule="atLeast"/>
        <w:jc w:val="both"/>
        <w:rPr>
          <w:rFonts w:ascii="Arial" w:hAnsi="Arial"/>
        </w:rPr>
      </w:pPr>
      <w:r>
        <w:rPr>
          <w:rFonts w:hint="eastAsia" w:ascii="Arial" w:hAnsi="Arial"/>
        </w:rPr>
        <w:t>供应商应当在投标截止时间前完成投标文件的上传、递交，并可以补充、修改或者撤回投标文件。补充或者修改投标文件的，应当先行撤回原文件，补充、修改后重新上传、递交。投标截止时间前未完成上传、递交的，视为撤回投标文件。投标截止时间后递交的投标文件，</w:t>
      </w:r>
      <w:r>
        <w:rPr>
          <w:rFonts w:hint="eastAsia" w:ascii="宋体" w:hAnsi="宋体"/>
          <w:szCs w:val="21"/>
        </w:rPr>
        <w:t>视为撤回投标响应文件，</w:t>
      </w:r>
      <w:r>
        <w:rPr>
          <w:rFonts w:hint="eastAsia" w:ascii="Arial" w:hAnsi="Arial"/>
        </w:rPr>
        <w:t>“政府采购云平台”将予以拒收。</w:t>
      </w:r>
    </w:p>
    <w:p>
      <w:pPr>
        <w:numPr>
          <w:ilvl w:val="1"/>
          <w:numId w:val="4"/>
        </w:numPr>
        <w:snapToGrid w:val="0"/>
        <w:spacing w:line="400" w:lineRule="atLeast"/>
        <w:jc w:val="both"/>
        <w:rPr>
          <w:rFonts w:ascii="Arial" w:hAnsi="Arial"/>
        </w:rPr>
      </w:pPr>
      <w:r>
        <w:rPr>
          <w:rFonts w:hint="eastAsia" w:ascii="Arial" w:hAnsi="Arial"/>
        </w:rPr>
        <w:t>投标截止时间后，投标供应商不得撤回、修改《投标文件》。</w:t>
      </w:r>
    </w:p>
    <w:p>
      <w:pPr>
        <w:numPr>
          <w:ilvl w:val="0"/>
          <w:numId w:val="4"/>
        </w:numPr>
        <w:snapToGrid w:val="0"/>
        <w:spacing w:line="400" w:lineRule="atLeast"/>
        <w:jc w:val="both"/>
        <w:rPr>
          <w:rFonts w:ascii="Arial" w:hAnsi="Arial"/>
          <w:b/>
          <w:sz w:val="24"/>
        </w:rPr>
      </w:pPr>
      <w:r>
        <w:rPr>
          <w:rFonts w:hint="eastAsia" w:ascii="Arial" w:hAnsi="Arial"/>
          <w:b/>
          <w:sz w:val="24"/>
        </w:rPr>
        <w:t>投标文件的备选方案</w:t>
      </w:r>
    </w:p>
    <w:p>
      <w:pPr>
        <w:numPr>
          <w:ilvl w:val="1"/>
          <w:numId w:val="4"/>
        </w:numPr>
        <w:snapToGrid w:val="0"/>
        <w:spacing w:line="400" w:lineRule="atLeast"/>
        <w:jc w:val="both"/>
        <w:rPr>
          <w:rFonts w:ascii="Arial" w:hAnsi="Arial"/>
        </w:rPr>
      </w:pPr>
      <w:r>
        <w:rPr>
          <w:rFonts w:hint="eastAsia" w:ascii="Arial" w:hAnsi="Arial"/>
        </w:rPr>
        <w:t>投标供应商不得递交任何的投标备选（替代）方案，否则其投标文件将作无效标处理。</w:t>
      </w:r>
    </w:p>
    <w:p>
      <w:pPr>
        <w:numPr>
          <w:ilvl w:val="0"/>
          <w:numId w:val="4"/>
        </w:numPr>
        <w:snapToGrid w:val="0"/>
        <w:spacing w:line="400" w:lineRule="atLeast"/>
        <w:jc w:val="both"/>
        <w:rPr>
          <w:rFonts w:hint="eastAsia" w:ascii="Arial" w:hAnsi="Arial"/>
          <w:b/>
          <w:sz w:val="24"/>
        </w:rPr>
      </w:pPr>
      <w:r>
        <w:rPr>
          <w:rFonts w:hint="eastAsia" w:ascii="Arial" w:hAnsi="Arial"/>
          <w:b/>
          <w:sz w:val="24"/>
        </w:rPr>
        <w:t>投标截止时间</w:t>
      </w:r>
    </w:p>
    <w:p>
      <w:pPr>
        <w:numPr>
          <w:ilvl w:val="1"/>
          <w:numId w:val="4"/>
        </w:numPr>
        <w:snapToGrid w:val="0"/>
        <w:spacing w:line="400" w:lineRule="atLeast"/>
        <w:jc w:val="both"/>
        <w:rPr>
          <w:rFonts w:hint="eastAsia" w:ascii="Arial" w:hAnsi="Arial"/>
        </w:rPr>
      </w:pPr>
      <w:r>
        <w:rPr>
          <w:rFonts w:hint="eastAsia" w:ascii="Arial" w:hAnsi="Arial"/>
        </w:rPr>
        <w:t>本次采购的投标截止时间及投标文件递交截止时间：见本招标文件“招标公告”。</w:t>
      </w:r>
    </w:p>
    <w:p>
      <w:pPr>
        <w:numPr>
          <w:ilvl w:val="1"/>
          <w:numId w:val="4"/>
        </w:numPr>
        <w:snapToGrid w:val="0"/>
        <w:spacing w:line="400" w:lineRule="atLeast"/>
        <w:jc w:val="both"/>
        <w:rPr>
          <w:rFonts w:hint="eastAsia" w:ascii="Arial" w:hAnsi="Arial"/>
        </w:rPr>
      </w:pPr>
      <w:r>
        <w:rPr>
          <w:rFonts w:hint="eastAsia" w:ascii="Arial" w:hAnsi="Arial"/>
        </w:rPr>
        <w:t>在推迟了投标截止时间的情况下，采购代理机构、采购人和投标供应商受投标截止时间制约的所 有权利和义务均应延长至新的截止时间。</w:t>
      </w:r>
    </w:p>
    <w:p>
      <w:pPr>
        <w:pStyle w:val="5"/>
        <w:spacing w:before="120" w:beforeLines="50" w:after="120" w:afterLines="50" w:line="400" w:lineRule="atLeast"/>
        <w:jc w:val="center"/>
        <w:rPr>
          <w:sz w:val="24"/>
          <w:szCs w:val="24"/>
        </w:rPr>
      </w:pPr>
      <w:bookmarkStart w:id="23" w:name="_Toc64913329"/>
      <w:r>
        <w:rPr>
          <w:rFonts w:hint="eastAsia"/>
          <w:sz w:val="24"/>
          <w:szCs w:val="24"/>
        </w:rPr>
        <w:t>（六）开标与评审</w:t>
      </w:r>
      <w:bookmarkEnd w:id="23"/>
    </w:p>
    <w:p>
      <w:pPr>
        <w:numPr>
          <w:ilvl w:val="0"/>
          <w:numId w:val="4"/>
        </w:numPr>
        <w:snapToGrid w:val="0"/>
        <w:spacing w:line="400" w:lineRule="atLeast"/>
        <w:jc w:val="both"/>
        <w:rPr>
          <w:rFonts w:hint="eastAsia" w:ascii="Arial" w:hAnsi="Arial"/>
          <w:b/>
          <w:sz w:val="24"/>
        </w:rPr>
      </w:pPr>
      <w:r>
        <w:rPr>
          <w:rFonts w:hint="eastAsia" w:ascii="Arial" w:hAnsi="Arial"/>
          <w:b/>
          <w:sz w:val="24"/>
        </w:rPr>
        <w:t>开标</w:t>
      </w:r>
    </w:p>
    <w:p>
      <w:pPr>
        <w:numPr>
          <w:ilvl w:val="1"/>
          <w:numId w:val="4"/>
        </w:numPr>
        <w:snapToGrid w:val="0"/>
        <w:spacing w:line="400" w:lineRule="atLeast"/>
        <w:jc w:val="both"/>
        <w:rPr>
          <w:rFonts w:ascii="Arial" w:hAnsi="Arial"/>
        </w:rPr>
      </w:pPr>
      <w:r>
        <w:rPr>
          <w:rFonts w:hint="eastAsia" w:ascii="Arial" w:hAnsi="Arial"/>
        </w:rPr>
        <w:t>开标时间和地点：见本招标文件“招标公告”。</w:t>
      </w:r>
    </w:p>
    <w:p>
      <w:pPr>
        <w:numPr>
          <w:ilvl w:val="1"/>
          <w:numId w:val="4"/>
        </w:numPr>
        <w:snapToGrid w:val="0"/>
        <w:spacing w:line="400" w:lineRule="atLeast"/>
        <w:jc w:val="both"/>
        <w:rPr>
          <w:rFonts w:ascii="Arial" w:hAnsi="Arial"/>
        </w:rPr>
      </w:pPr>
      <w:r>
        <w:rPr>
          <w:rFonts w:hint="eastAsia" w:ascii="Arial" w:hAnsi="Arial"/>
        </w:rPr>
        <w:t>采购代理机构按招标文件规定的时间、地点通过“政府采购云平台”组织开标、开启投标文件，所有供应商均应当准时在线参加。投标供应商因未在线参加开标而导致投标文件无法按时解密等一切后果由供应商自己承担。</w:t>
      </w:r>
    </w:p>
    <w:p>
      <w:pPr>
        <w:numPr>
          <w:ilvl w:val="1"/>
          <w:numId w:val="4"/>
        </w:numPr>
        <w:snapToGrid w:val="0"/>
        <w:spacing w:line="400" w:lineRule="atLeast"/>
        <w:jc w:val="both"/>
        <w:rPr>
          <w:rFonts w:ascii="Arial" w:hAnsi="Arial"/>
        </w:rPr>
      </w:pPr>
      <w:r>
        <w:rPr>
          <w:rFonts w:hint="eastAsia" w:ascii="Arial" w:hAnsi="Arial"/>
        </w:rPr>
        <w:t>开标流程</w:t>
      </w:r>
    </w:p>
    <w:p>
      <w:pPr>
        <w:snapToGrid w:val="0"/>
        <w:spacing w:line="400" w:lineRule="atLeast"/>
        <w:ind w:left="851"/>
        <w:jc w:val="both"/>
        <w:rPr>
          <w:rFonts w:ascii="Arial" w:hAnsi="Arial"/>
        </w:rPr>
      </w:pPr>
      <w:r>
        <w:rPr>
          <w:rFonts w:hint="eastAsia" w:ascii="Arial" w:hAnsi="Arial"/>
        </w:rPr>
        <w:t>（1）向各投标供应商发出电子加密投标文件【开始解密】通知，由供应商按招标文件规定的时间内自行进行投标文件解密。投标供应商在规定的时间内无法完成已递交的“电子加密投标文件”解密的，其投标文件按拒收处理。</w:t>
      </w:r>
    </w:p>
    <w:p>
      <w:pPr>
        <w:snapToGrid w:val="0"/>
        <w:spacing w:line="400" w:lineRule="atLeast"/>
        <w:ind w:left="851"/>
        <w:jc w:val="both"/>
        <w:rPr>
          <w:rFonts w:ascii="Arial" w:hAnsi="Arial"/>
        </w:rPr>
      </w:pPr>
      <w:r>
        <w:rPr>
          <w:rFonts w:hint="eastAsia" w:ascii="Arial" w:hAnsi="Arial"/>
        </w:rPr>
        <w:t>（2）投标文件解密结束，开启资格文件，进入资格审查环节，采购人或采购代理机构将对依法对投标供应商的资格进行审查，具体见本章节“投标供应商资格审查”相关规定。</w:t>
      </w:r>
    </w:p>
    <w:p>
      <w:pPr>
        <w:snapToGrid w:val="0"/>
        <w:spacing w:line="400" w:lineRule="atLeast"/>
        <w:ind w:left="851"/>
        <w:jc w:val="both"/>
        <w:rPr>
          <w:rFonts w:ascii="Arial" w:hAnsi="Arial"/>
        </w:rPr>
      </w:pPr>
      <w:r>
        <w:rPr>
          <w:rFonts w:hint="eastAsia" w:ascii="Arial" w:hAnsi="Arial"/>
        </w:rPr>
        <w:t>（3）开启资格审查通过的投标供应商的商务技术文件进入符合性审查及商务技术评审。</w:t>
      </w:r>
    </w:p>
    <w:p>
      <w:pPr>
        <w:snapToGrid w:val="0"/>
        <w:spacing w:line="400" w:lineRule="atLeast"/>
        <w:ind w:left="851"/>
        <w:jc w:val="both"/>
        <w:rPr>
          <w:rFonts w:hint="eastAsia" w:ascii="Arial" w:hAnsi="Arial"/>
        </w:rPr>
      </w:pPr>
      <w:r>
        <w:rPr>
          <w:rFonts w:hint="eastAsia" w:ascii="Arial" w:hAnsi="Arial"/>
        </w:rPr>
        <w:t>（4）符合性审查、商务技术评审结束后，公布符合性审查、商务技术评审无效供应商名称及理由；同时公布经商务技术评审后有效投标供应商的名单及其商务技术部分得分。</w:t>
      </w:r>
    </w:p>
    <w:p>
      <w:pPr>
        <w:snapToGrid w:val="0"/>
        <w:spacing w:line="400" w:lineRule="atLeast"/>
        <w:ind w:left="851"/>
        <w:jc w:val="both"/>
        <w:rPr>
          <w:rFonts w:ascii="Arial" w:hAnsi="Arial"/>
        </w:rPr>
      </w:pPr>
      <w:r>
        <w:rPr>
          <w:rFonts w:hint="eastAsia" w:ascii="Arial" w:hAnsi="Arial"/>
        </w:rPr>
        <w:t>（</w:t>
      </w:r>
      <w:r>
        <w:rPr>
          <w:rFonts w:ascii="Arial" w:hAnsi="Arial"/>
        </w:rPr>
        <w:t>5</w:t>
      </w:r>
      <w:r>
        <w:rPr>
          <w:rFonts w:hint="eastAsia" w:ascii="Arial" w:hAnsi="Arial"/>
        </w:rPr>
        <w:t>）开启符合性审查、商务技术评审有效投标供应商的《报价文件》，由评标委员会对报价文件的符合性等进行审查核实。投标供应商在线制作投标文件时《开标一览表》中填写的金额与解密后“电子加密投标文件”中《开标一览表》填写的金额不一致的，以解密后“电子加密投标文件”中《开标一览表》填写的金额为准，投标供应商拒绝接受此调整的，按无效投标处理。</w:t>
      </w:r>
    </w:p>
    <w:p>
      <w:pPr>
        <w:snapToGrid w:val="0"/>
        <w:spacing w:line="400" w:lineRule="atLeast"/>
        <w:ind w:left="851"/>
        <w:jc w:val="both"/>
        <w:rPr>
          <w:rFonts w:ascii="Arial" w:hAnsi="Arial"/>
        </w:rPr>
      </w:pPr>
      <w:r>
        <w:rPr>
          <w:rFonts w:hint="eastAsia" w:ascii="Arial" w:hAnsi="Arial"/>
        </w:rPr>
        <w:t>（6）由评标委员会确认无误后，当场制作开标记录表并公布开标一览表有关内容，供应商应对开标记录表内容进行签字确认（不予确认的应说明理由，否则视为无异议）。</w:t>
      </w:r>
    </w:p>
    <w:p>
      <w:pPr>
        <w:snapToGrid w:val="0"/>
        <w:spacing w:line="400" w:lineRule="atLeast"/>
        <w:ind w:left="851" w:firstLine="420" w:firstLineChars="200"/>
        <w:jc w:val="both"/>
        <w:rPr>
          <w:rFonts w:hint="eastAsia" w:ascii="Arial" w:hAnsi="Arial"/>
        </w:rPr>
      </w:pPr>
      <w:r>
        <w:rPr>
          <w:rFonts w:hint="eastAsia" w:ascii="Arial" w:hAnsi="Arial"/>
        </w:rPr>
        <w:t>开标时，报价文件中投标报价出现前后不一致的，按照下列规定修正：</w:t>
      </w:r>
    </w:p>
    <w:p>
      <w:pPr>
        <w:snapToGrid w:val="0"/>
        <w:spacing w:line="400" w:lineRule="atLeast"/>
        <w:ind w:left="851"/>
        <w:jc w:val="both"/>
        <w:rPr>
          <w:rFonts w:hint="eastAsia" w:ascii="Arial" w:hAnsi="Arial"/>
        </w:rPr>
      </w:pPr>
      <w:r>
        <w:rPr>
          <w:rFonts w:hint="eastAsia" w:ascii="Arial" w:hAnsi="Arial"/>
        </w:rPr>
        <w:t>（一）投标文件中开标一览表内容与投标文件中相应内容不一致的，以开标一览表为准；</w:t>
      </w:r>
    </w:p>
    <w:p>
      <w:pPr>
        <w:snapToGrid w:val="0"/>
        <w:spacing w:line="400" w:lineRule="atLeast"/>
        <w:ind w:left="851"/>
        <w:jc w:val="both"/>
        <w:rPr>
          <w:rFonts w:hint="eastAsia" w:ascii="Arial" w:hAnsi="Arial"/>
        </w:rPr>
      </w:pPr>
      <w:r>
        <w:rPr>
          <w:rFonts w:hint="eastAsia" w:ascii="Arial" w:hAnsi="Arial"/>
        </w:rPr>
        <w:t>（二）大写金额和小写金额不一致的，以大写金额为准；</w:t>
      </w:r>
    </w:p>
    <w:p>
      <w:pPr>
        <w:snapToGrid w:val="0"/>
        <w:spacing w:line="400" w:lineRule="atLeast"/>
        <w:ind w:left="851"/>
        <w:jc w:val="both"/>
        <w:rPr>
          <w:rFonts w:hint="eastAsia" w:ascii="Arial" w:hAnsi="Arial"/>
        </w:rPr>
      </w:pPr>
      <w:r>
        <w:rPr>
          <w:rFonts w:hint="eastAsia" w:ascii="Arial" w:hAnsi="Arial"/>
        </w:rPr>
        <w:t>（三）单价金额小数点或者百分比有明显错位的，以开标一览表的总价为准，并修改单价；</w:t>
      </w:r>
    </w:p>
    <w:p>
      <w:pPr>
        <w:snapToGrid w:val="0"/>
        <w:spacing w:line="400" w:lineRule="atLeast"/>
        <w:ind w:left="851"/>
        <w:jc w:val="both"/>
        <w:rPr>
          <w:rFonts w:hint="eastAsia" w:ascii="Arial" w:hAnsi="Arial"/>
        </w:rPr>
      </w:pPr>
      <w:r>
        <w:rPr>
          <w:rFonts w:hint="eastAsia" w:ascii="Arial" w:hAnsi="Arial"/>
        </w:rPr>
        <w:t>（四）总价金额与按单价汇总金额不一致的，以单价金额计算结果为准。</w:t>
      </w:r>
    </w:p>
    <w:p>
      <w:pPr>
        <w:snapToGrid w:val="0"/>
        <w:spacing w:line="400" w:lineRule="atLeast"/>
        <w:ind w:left="851"/>
        <w:jc w:val="both"/>
        <w:rPr>
          <w:rFonts w:hint="eastAsia" w:ascii="Arial" w:hAnsi="Arial"/>
        </w:rPr>
      </w:pPr>
      <w:r>
        <w:rPr>
          <w:rFonts w:hint="eastAsia" w:ascii="Arial" w:hAnsi="Arial"/>
        </w:rPr>
        <w:t>同时出现两种以上不一致的，按照前款规定的顺序修正。修正后的报价按照《中华人民共和国财政部令第87号--政府采购货物和服务招标投标管理办法》第五十一条第二款的规定经投标供应商确认后产生约束力，投标供应商不确认的，其投标无效。</w:t>
      </w:r>
    </w:p>
    <w:p>
      <w:pPr>
        <w:snapToGrid w:val="0"/>
        <w:spacing w:line="400" w:lineRule="atLeast"/>
        <w:ind w:left="851"/>
        <w:jc w:val="both"/>
        <w:rPr>
          <w:rFonts w:ascii="Arial" w:hAnsi="Arial"/>
        </w:rPr>
      </w:pPr>
      <w:r>
        <w:rPr>
          <w:rFonts w:hint="eastAsia" w:ascii="Arial" w:hAnsi="Arial"/>
        </w:rPr>
        <w:t>评审委员会将按上述修正错误的方法调整投标文件中的投标报价，调整后的报价对投标供应商具有约束力。如果投标供应商不接受修正后的价格，则其投标将被拒绝。</w:t>
      </w:r>
    </w:p>
    <w:p>
      <w:pPr>
        <w:snapToGrid w:val="0"/>
        <w:spacing w:line="400" w:lineRule="atLeast"/>
        <w:ind w:left="851"/>
        <w:jc w:val="both"/>
        <w:rPr>
          <w:rFonts w:ascii="Arial" w:hAnsi="Arial"/>
        </w:rPr>
      </w:pPr>
      <w:r>
        <w:rPr>
          <w:rFonts w:hint="eastAsia" w:ascii="Arial" w:hAnsi="Arial"/>
        </w:rPr>
        <w:t>（7）评审结束后，公布</w:t>
      </w:r>
      <w:r>
        <w:rPr>
          <w:rFonts w:ascii="Arial" w:hAnsi="Arial"/>
        </w:rPr>
        <w:t>投标供应商名称、投标价格，以及采购人认为合适的其</w:t>
      </w:r>
      <w:r>
        <w:rPr>
          <w:rFonts w:hint="eastAsia" w:ascii="Arial" w:hAnsi="Arial"/>
        </w:rPr>
        <w:t>它</w:t>
      </w:r>
      <w:r>
        <w:rPr>
          <w:rFonts w:ascii="Arial" w:hAnsi="Arial"/>
        </w:rPr>
        <w:t>内容</w:t>
      </w:r>
      <w:r>
        <w:rPr>
          <w:rFonts w:hint="eastAsia" w:ascii="Arial" w:hAnsi="Arial"/>
        </w:rPr>
        <w:t>，以及中标（成交）候选供应商名单、及采购人最终确定中标或成交供应商名单的时间和公告方式等。</w:t>
      </w:r>
    </w:p>
    <w:p>
      <w:pPr>
        <w:snapToGrid w:val="0"/>
        <w:spacing w:line="400" w:lineRule="atLeast"/>
        <w:ind w:left="851"/>
        <w:jc w:val="both"/>
        <w:rPr>
          <w:rFonts w:ascii="Arial" w:hAnsi="Arial"/>
        </w:rPr>
      </w:pPr>
      <w:r>
        <w:rPr>
          <w:rFonts w:hint="eastAsia" w:ascii="Arial" w:hAnsi="Arial"/>
        </w:rPr>
        <w:t>（8）特别说明：</w:t>
      </w:r>
    </w:p>
    <w:p>
      <w:pPr>
        <w:numPr>
          <w:ilvl w:val="0"/>
          <w:numId w:val="14"/>
        </w:numPr>
        <w:snapToGrid w:val="0"/>
        <w:spacing w:line="400" w:lineRule="atLeast"/>
        <w:jc w:val="both"/>
        <w:rPr>
          <w:rFonts w:ascii="Arial" w:hAnsi="Arial"/>
        </w:rPr>
      </w:pPr>
      <w:r>
        <w:rPr>
          <w:rFonts w:hint="eastAsia" w:ascii="Arial" w:hAnsi="Arial"/>
        </w:rPr>
        <w:t>如遇“政府采购云平台”电子化开标或评审程序调整的，按调整后程序执行。</w:t>
      </w:r>
    </w:p>
    <w:p>
      <w:pPr>
        <w:numPr>
          <w:ilvl w:val="0"/>
          <w:numId w:val="14"/>
        </w:numPr>
        <w:snapToGrid w:val="0"/>
        <w:spacing w:line="400" w:lineRule="atLeast"/>
        <w:jc w:val="both"/>
        <w:rPr>
          <w:rFonts w:ascii="Arial" w:hAnsi="Arial"/>
        </w:rPr>
      </w:pPr>
      <w:r>
        <w:rPr>
          <w:rFonts w:hint="eastAsia" w:ascii="Arial" w:hAnsi="Arial"/>
        </w:rPr>
        <w:t>各投标供应商须确保所留授权代表通讯方式保存畅通、邮箱正确。</w:t>
      </w:r>
    </w:p>
    <w:p>
      <w:pPr>
        <w:numPr>
          <w:ilvl w:val="0"/>
          <w:numId w:val="4"/>
        </w:numPr>
        <w:snapToGrid w:val="0"/>
        <w:spacing w:line="400" w:lineRule="atLeast"/>
        <w:jc w:val="both"/>
        <w:rPr>
          <w:rFonts w:hint="eastAsia" w:ascii="Arial" w:hAnsi="Arial"/>
          <w:b/>
          <w:sz w:val="24"/>
        </w:rPr>
      </w:pPr>
      <w:r>
        <w:rPr>
          <w:rFonts w:hint="eastAsia" w:ascii="Arial" w:hAnsi="Arial"/>
          <w:b/>
          <w:sz w:val="24"/>
        </w:rPr>
        <w:t>评审委员会</w:t>
      </w:r>
    </w:p>
    <w:p>
      <w:pPr>
        <w:numPr>
          <w:ilvl w:val="1"/>
          <w:numId w:val="4"/>
        </w:numPr>
        <w:snapToGrid w:val="0"/>
        <w:spacing w:line="400" w:lineRule="atLeast"/>
        <w:jc w:val="both"/>
        <w:rPr>
          <w:rFonts w:hint="eastAsia" w:ascii="Arial" w:hAnsi="Arial"/>
        </w:rPr>
      </w:pPr>
      <w:r>
        <w:rPr>
          <w:rFonts w:hint="eastAsia" w:ascii="Arial" w:hAnsi="Arial"/>
        </w:rPr>
        <w:t>本次采购依法组建评审委员会。</w:t>
      </w:r>
    </w:p>
    <w:p>
      <w:pPr>
        <w:numPr>
          <w:ilvl w:val="1"/>
          <w:numId w:val="4"/>
        </w:numPr>
        <w:snapToGrid w:val="0"/>
        <w:spacing w:line="400" w:lineRule="atLeast"/>
        <w:jc w:val="both"/>
        <w:rPr>
          <w:rFonts w:hint="eastAsia" w:ascii="Arial" w:hAnsi="Arial"/>
        </w:rPr>
      </w:pPr>
      <w:r>
        <w:rPr>
          <w:rFonts w:hint="eastAsia" w:ascii="Arial" w:hAnsi="Arial"/>
        </w:rPr>
        <w:t>评审委员会依法根据招标文件的规定，对每一个投标供应商的投标文件进行评审、提交评审报告。</w:t>
      </w:r>
    </w:p>
    <w:p>
      <w:pPr>
        <w:numPr>
          <w:ilvl w:val="0"/>
          <w:numId w:val="4"/>
        </w:numPr>
        <w:snapToGrid w:val="0"/>
        <w:spacing w:line="400" w:lineRule="atLeast"/>
        <w:jc w:val="both"/>
        <w:rPr>
          <w:rFonts w:hint="eastAsia" w:ascii="Arial" w:hAnsi="Arial"/>
          <w:b/>
          <w:sz w:val="24"/>
        </w:rPr>
      </w:pPr>
      <w:r>
        <w:rPr>
          <w:rFonts w:hint="eastAsia" w:ascii="Arial" w:hAnsi="Arial"/>
          <w:b/>
          <w:sz w:val="24"/>
        </w:rPr>
        <w:t>评审原则和评审方法</w:t>
      </w:r>
    </w:p>
    <w:p>
      <w:pPr>
        <w:numPr>
          <w:ilvl w:val="1"/>
          <w:numId w:val="4"/>
        </w:numPr>
        <w:snapToGrid w:val="0"/>
        <w:spacing w:line="400" w:lineRule="atLeast"/>
        <w:jc w:val="both"/>
        <w:rPr>
          <w:rFonts w:ascii="Arial" w:hAnsi="Arial"/>
        </w:rPr>
      </w:pPr>
      <w:r>
        <w:rPr>
          <w:rFonts w:hint="eastAsia" w:ascii="Arial" w:hAnsi="Arial"/>
        </w:rPr>
        <w:t>评审基本原则：评审工作应依据《政府采购法》以及国家和地方政府有关政府采购的有关规定，遵循“公开、公平、公正、择优、信用”的原则。</w:t>
      </w:r>
    </w:p>
    <w:p>
      <w:pPr>
        <w:numPr>
          <w:ilvl w:val="1"/>
          <w:numId w:val="4"/>
        </w:numPr>
        <w:snapToGrid w:val="0"/>
        <w:spacing w:line="400" w:lineRule="atLeast"/>
        <w:jc w:val="both"/>
        <w:rPr>
          <w:rFonts w:hint="eastAsia" w:ascii="Arial" w:hAnsi="Arial"/>
        </w:rPr>
      </w:pPr>
      <w:r>
        <w:rPr>
          <w:rFonts w:hint="eastAsia" w:ascii="Arial" w:hAnsi="Arial"/>
        </w:rPr>
        <w:t>评审方法：本次采购的评审方法采用综合评分法；评审委员会根据所投产品的技术性能、功能、品牌认可度、投标价格（优惠率）、投标供应商承诺给予采购人的各种优惠条件等相关内容进行全面审查、比较、评估，加权计分后，按分值从高到低、推荐中标候选人，采购人应对评审委员会所推荐的中标候选人的情况进行必要的核实，并经公示后无异议的，依法予以确认中标供应商。</w:t>
      </w:r>
    </w:p>
    <w:p>
      <w:pPr>
        <w:numPr>
          <w:ilvl w:val="0"/>
          <w:numId w:val="4"/>
        </w:numPr>
        <w:snapToGrid w:val="0"/>
        <w:spacing w:line="400" w:lineRule="atLeast"/>
        <w:jc w:val="both"/>
        <w:rPr>
          <w:rFonts w:hint="eastAsia" w:ascii="Arial" w:hAnsi="Arial"/>
        </w:rPr>
      </w:pPr>
      <w:r>
        <w:rPr>
          <w:rFonts w:hint="eastAsia" w:ascii="Arial" w:hAnsi="Arial"/>
          <w:b/>
          <w:sz w:val="24"/>
        </w:rPr>
        <w:t>评审工作程序</w:t>
      </w:r>
    </w:p>
    <w:p>
      <w:pPr>
        <w:numPr>
          <w:ilvl w:val="1"/>
          <w:numId w:val="4"/>
        </w:numPr>
        <w:snapToGrid w:val="0"/>
        <w:spacing w:line="400" w:lineRule="atLeast"/>
        <w:jc w:val="both"/>
        <w:rPr>
          <w:rFonts w:hint="eastAsia" w:ascii="Arial" w:hAnsi="Arial"/>
        </w:rPr>
      </w:pPr>
      <w:r>
        <w:rPr>
          <w:rFonts w:hint="eastAsia" w:ascii="Arial" w:hAnsi="Arial"/>
        </w:rPr>
        <w:t xml:space="preserve">初步评审： </w:t>
      </w:r>
    </w:p>
    <w:p>
      <w:pPr>
        <w:numPr>
          <w:ilvl w:val="0"/>
          <w:numId w:val="1"/>
        </w:numPr>
        <w:snapToGrid w:val="0"/>
        <w:spacing w:line="400" w:lineRule="atLeast"/>
        <w:jc w:val="both"/>
        <w:rPr>
          <w:rFonts w:ascii="Arial" w:hAnsi="Arial"/>
        </w:rPr>
      </w:pPr>
      <w:r>
        <w:rPr>
          <w:rFonts w:hint="eastAsia" w:ascii="Arial" w:hAnsi="Arial"/>
        </w:rPr>
        <w:t>资格性检查：</w:t>
      </w:r>
    </w:p>
    <w:p>
      <w:pPr>
        <w:snapToGrid w:val="0"/>
        <w:spacing w:line="400" w:lineRule="atLeast"/>
        <w:ind w:left="1140"/>
        <w:jc w:val="both"/>
        <w:rPr>
          <w:rFonts w:ascii="Arial" w:hAnsi="Arial"/>
        </w:rPr>
      </w:pPr>
      <w:r>
        <w:rPr>
          <w:rFonts w:hint="eastAsia" w:ascii="Arial" w:hAnsi="Arial"/>
        </w:rPr>
        <w:t>（1）</w:t>
      </w:r>
      <w:r>
        <w:rPr>
          <w:rFonts w:ascii="宋体" w:hAnsi="宋体"/>
          <w:sz w:val="22"/>
          <w:szCs w:val="22"/>
        </w:rPr>
        <w:t>开标后，采购人或者采购代理机构应当依法对投标供应商的资格进行审查，审查各投标供应商的资格是否满足招标文件的要求。采购人或采购代理机构对投标供应商所提交的资格证明材料仅负审核的责任。如发现投标供应商所提交的资格证明材料不合法或与事实不符，采购人可取消其中标资格并追究投标供应商的法律责任</w:t>
      </w:r>
      <w:r>
        <w:rPr>
          <w:rFonts w:hint="eastAsia" w:ascii="Arial" w:hAnsi="Arial"/>
        </w:rPr>
        <w:t>。</w:t>
      </w:r>
    </w:p>
    <w:p>
      <w:pPr>
        <w:snapToGrid w:val="0"/>
        <w:spacing w:line="400" w:lineRule="atLeast"/>
        <w:ind w:left="1140"/>
        <w:jc w:val="both"/>
        <w:rPr>
          <w:rFonts w:ascii="宋体" w:hAnsi="宋体"/>
          <w:sz w:val="22"/>
          <w:szCs w:val="22"/>
        </w:rPr>
      </w:pPr>
      <w:r>
        <w:rPr>
          <w:rFonts w:hint="eastAsia" w:ascii="Arial" w:hAnsi="Arial"/>
        </w:rPr>
        <w:t>（2）</w:t>
      </w:r>
      <w:r>
        <w:rPr>
          <w:rFonts w:ascii="宋体" w:hAnsi="宋体"/>
          <w:sz w:val="22"/>
          <w:szCs w:val="22"/>
        </w:rPr>
        <w:t>投标供应商提交的资格证明材料无法证明其符合招标文件规定的“投标供应商资格要求”的，采购人或采购代理机构将对其作资格审查不通过处理（无效投标），并不再将其投标提交评标委员会进行后续评审</w:t>
      </w:r>
      <w:r>
        <w:rPr>
          <w:rFonts w:hint="eastAsia" w:ascii="宋体" w:hAnsi="宋体"/>
          <w:sz w:val="22"/>
          <w:szCs w:val="22"/>
        </w:rPr>
        <w:t>。</w:t>
      </w:r>
    </w:p>
    <w:p>
      <w:pPr>
        <w:snapToGrid w:val="0"/>
        <w:spacing w:line="400" w:lineRule="atLeast"/>
        <w:ind w:left="1140"/>
        <w:jc w:val="both"/>
        <w:rPr>
          <w:rFonts w:hint="eastAsia" w:ascii="宋体" w:hAnsi="宋体"/>
          <w:sz w:val="22"/>
          <w:szCs w:val="22"/>
        </w:rPr>
      </w:pPr>
      <w:r>
        <w:rPr>
          <w:rFonts w:hint="eastAsia" w:ascii="宋体" w:hAnsi="宋体"/>
          <w:sz w:val="22"/>
          <w:szCs w:val="22"/>
        </w:rPr>
        <w:t>（3）</w:t>
      </w:r>
      <w:r>
        <w:rPr>
          <w:rFonts w:ascii="宋体" w:hAnsi="宋体"/>
          <w:sz w:val="22"/>
          <w:szCs w:val="22"/>
        </w:rPr>
        <w:t>单位负责人为同一人或者存在直接控股、管理关系的不同供应商参加同一合同项下的政府采购活动的，相关投标供应商均作资格无效处理</w:t>
      </w:r>
      <w:r>
        <w:rPr>
          <w:rFonts w:hint="eastAsia" w:ascii="宋体" w:hAnsi="宋体"/>
          <w:sz w:val="22"/>
          <w:szCs w:val="22"/>
        </w:rPr>
        <w:t>。</w:t>
      </w:r>
    </w:p>
    <w:p>
      <w:pPr>
        <w:numPr>
          <w:ilvl w:val="0"/>
          <w:numId w:val="1"/>
        </w:numPr>
        <w:snapToGrid w:val="0"/>
        <w:spacing w:line="400" w:lineRule="atLeast"/>
        <w:jc w:val="both"/>
        <w:rPr>
          <w:rFonts w:hint="eastAsia" w:ascii="Arial" w:hAnsi="Arial"/>
        </w:rPr>
      </w:pPr>
      <w:r>
        <w:rPr>
          <w:rFonts w:hint="eastAsia" w:ascii="Arial" w:hAnsi="Arial"/>
        </w:rPr>
        <w:t>符合性检查：评审委员会根据招标文件的规定，从投标文件的有效性、完整性和对招标文件的响应程度进行检查，以确定是否对招标文件的实质性要求作出响应。</w:t>
      </w:r>
    </w:p>
    <w:p>
      <w:pPr>
        <w:numPr>
          <w:ilvl w:val="0"/>
          <w:numId w:val="1"/>
        </w:numPr>
        <w:snapToGrid w:val="0"/>
        <w:spacing w:line="400" w:lineRule="atLeast"/>
        <w:jc w:val="both"/>
        <w:rPr>
          <w:rFonts w:hint="eastAsia" w:ascii="Arial" w:hAnsi="Arial"/>
        </w:rPr>
      </w:pPr>
      <w:r>
        <w:rPr>
          <w:rFonts w:hint="eastAsia" w:ascii="Arial" w:hAnsi="Arial"/>
        </w:rPr>
        <w:t>▲投标供应商存在下列情况之一的，投标无效</w:t>
      </w:r>
      <w:r>
        <w:rPr>
          <w:rFonts w:hint="eastAsia" w:ascii="Arial" w:hAnsi="Arial"/>
          <w:b/>
          <w:bCs/>
        </w:rPr>
        <w:t>：</w:t>
      </w:r>
    </w:p>
    <w:p>
      <w:pPr>
        <w:numPr>
          <w:ilvl w:val="1"/>
          <w:numId w:val="15"/>
        </w:numPr>
        <w:tabs>
          <w:tab w:val="left" w:pos="1680"/>
          <w:tab w:val="clear" w:pos="2166"/>
        </w:tabs>
        <w:snapToGrid w:val="0"/>
        <w:spacing w:line="400" w:lineRule="atLeast"/>
        <w:ind w:hanging="801"/>
        <w:jc w:val="both"/>
        <w:rPr>
          <w:rFonts w:ascii="Arial" w:hAnsi="Arial"/>
        </w:rPr>
      </w:pPr>
      <w:r>
        <w:rPr>
          <w:rFonts w:ascii="宋体" w:hAnsi="宋体"/>
          <w:sz w:val="22"/>
          <w:szCs w:val="22"/>
        </w:rPr>
        <w:t>投标文件未按招标文件要求签署、CA</w:t>
      </w:r>
      <w:r>
        <w:rPr>
          <w:rFonts w:hAnsi="宋体"/>
          <w:sz w:val="22"/>
          <w:szCs w:val="22"/>
        </w:rPr>
        <w:t>电子签章</w:t>
      </w:r>
      <w:r>
        <w:rPr>
          <w:rFonts w:ascii="宋体" w:hAnsi="宋体"/>
          <w:sz w:val="22"/>
          <w:szCs w:val="22"/>
        </w:rPr>
        <w:t>的</w:t>
      </w:r>
      <w:r>
        <w:rPr>
          <w:rFonts w:hint="eastAsia" w:ascii="宋体" w:hAnsi="宋体"/>
          <w:sz w:val="22"/>
          <w:szCs w:val="22"/>
        </w:rPr>
        <w:t>；</w:t>
      </w:r>
    </w:p>
    <w:p>
      <w:pPr>
        <w:numPr>
          <w:ilvl w:val="1"/>
          <w:numId w:val="15"/>
        </w:numPr>
        <w:tabs>
          <w:tab w:val="left" w:pos="1680"/>
          <w:tab w:val="clear" w:pos="2166"/>
        </w:tabs>
        <w:snapToGrid w:val="0"/>
        <w:spacing w:line="400" w:lineRule="atLeast"/>
        <w:ind w:hanging="801"/>
        <w:jc w:val="both"/>
        <w:rPr>
          <w:rFonts w:ascii="Arial" w:hAnsi="Arial"/>
        </w:rPr>
      </w:pPr>
      <w:r>
        <w:rPr>
          <w:rFonts w:ascii="Arial" w:hAnsi="Arial"/>
        </w:rPr>
        <w:t>投标不是固定价</w:t>
      </w:r>
      <w:r>
        <w:rPr>
          <w:rFonts w:hint="eastAsia" w:ascii="Arial" w:hAnsi="Arial"/>
        </w:rPr>
        <w:t>；</w:t>
      </w:r>
    </w:p>
    <w:p>
      <w:pPr>
        <w:numPr>
          <w:ilvl w:val="1"/>
          <w:numId w:val="15"/>
        </w:numPr>
        <w:tabs>
          <w:tab w:val="left" w:pos="1680"/>
          <w:tab w:val="clear" w:pos="2166"/>
        </w:tabs>
        <w:snapToGrid w:val="0"/>
        <w:spacing w:line="400" w:lineRule="atLeast"/>
        <w:ind w:hanging="801"/>
        <w:jc w:val="both"/>
        <w:rPr>
          <w:rFonts w:hint="eastAsia" w:ascii="Arial" w:hAnsi="Arial"/>
        </w:rPr>
      </w:pPr>
      <w:r>
        <w:rPr>
          <w:rFonts w:ascii="宋体" w:hAnsi="宋体"/>
          <w:sz w:val="22"/>
          <w:szCs w:val="22"/>
        </w:rPr>
        <w:t>报价超过招标文件中规定的预算金额或者最高限价的</w:t>
      </w:r>
      <w:r>
        <w:rPr>
          <w:rFonts w:hint="eastAsia" w:ascii="宋体" w:hAnsi="宋体"/>
          <w:sz w:val="22"/>
          <w:szCs w:val="22"/>
        </w:rPr>
        <w:t>；</w:t>
      </w:r>
    </w:p>
    <w:p>
      <w:pPr>
        <w:numPr>
          <w:ilvl w:val="1"/>
          <w:numId w:val="15"/>
        </w:numPr>
        <w:tabs>
          <w:tab w:val="left" w:pos="1680"/>
          <w:tab w:val="clear" w:pos="2166"/>
        </w:tabs>
        <w:snapToGrid w:val="0"/>
        <w:spacing w:line="400" w:lineRule="atLeast"/>
        <w:ind w:hanging="801"/>
        <w:jc w:val="both"/>
        <w:rPr>
          <w:rFonts w:ascii="Arial" w:hAnsi="Arial"/>
        </w:rPr>
      </w:pPr>
      <w:r>
        <w:rPr>
          <w:rFonts w:ascii="Arial" w:hAnsi="Arial"/>
        </w:rPr>
        <w:t>投标有效期不足的；</w:t>
      </w:r>
    </w:p>
    <w:p>
      <w:pPr>
        <w:numPr>
          <w:ilvl w:val="1"/>
          <w:numId w:val="15"/>
        </w:numPr>
        <w:tabs>
          <w:tab w:val="left" w:pos="1680"/>
          <w:tab w:val="clear" w:pos="2166"/>
        </w:tabs>
        <w:snapToGrid w:val="0"/>
        <w:spacing w:line="400" w:lineRule="atLeast"/>
        <w:ind w:hanging="801"/>
        <w:jc w:val="both"/>
        <w:rPr>
          <w:rFonts w:ascii="Arial" w:hAnsi="Arial"/>
        </w:rPr>
      </w:pPr>
      <w:r>
        <w:rPr>
          <w:rFonts w:ascii="宋体" w:hAnsi="宋体"/>
          <w:sz w:val="22"/>
          <w:szCs w:val="22"/>
        </w:rPr>
        <w:t>供应商递交两份或两份以上内容不同的投标文件，未声明哪一份有效的</w:t>
      </w:r>
      <w:r>
        <w:rPr>
          <w:rFonts w:hint="eastAsia" w:ascii="宋体" w:hAnsi="宋体"/>
          <w:sz w:val="22"/>
          <w:szCs w:val="22"/>
        </w:rPr>
        <w:t>；</w:t>
      </w:r>
    </w:p>
    <w:p>
      <w:pPr>
        <w:numPr>
          <w:ilvl w:val="1"/>
          <w:numId w:val="15"/>
        </w:numPr>
        <w:tabs>
          <w:tab w:val="left" w:pos="1418"/>
          <w:tab w:val="clear" w:pos="2166"/>
        </w:tabs>
        <w:snapToGrid w:val="0"/>
        <w:spacing w:line="400" w:lineRule="atLeast"/>
        <w:ind w:left="1701" w:hanging="336"/>
        <w:jc w:val="both"/>
        <w:rPr>
          <w:rFonts w:ascii="宋体" w:hAnsi="宋体"/>
          <w:sz w:val="22"/>
          <w:szCs w:val="22"/>
        </w:rPr>
      </w:pPr>
      <w:r>
        <w:rPr>
          <w:rFonts w:hint="eastAsia" w:ascii="宋体" w:hAnsi="宋体"/>
          <w:sz w:val="22"/>
          <w:szCs w:val="22"/>
        </w:rPr>
        <w:t>投标供应商在线制作投标文件时《开标一览表》中填写的金额与解密后“电子加密投标文件”中《开标一览表》填写的金额不一致并拒绝按招标文件要求接受此调整的。</w:t>
      </w:r>
    </w:p>
    <w:p>
      <w:pPr>
        <w:numPr>
          <w:ilvl w:val="1"/>
          <w:numId w:val="15"/>
        </w:numPr>
        <w:tabs>
          <w:tab w:val="left" w:pos="1680"/>
          <w:tab w:val="clear" w:pos="2166"/>
        </w:tabs>
        <w:snapToGrid w:val="0"/>
        <w:spacing w:line="400" w:lineRule="atLeast"/>
        <w:ind w:left="1680" w:hanging="315"/>
        <w:jc w:val="both"/>
        <w:rPr>
          <w:rFonts w:hint="eastAsia" w:ascii="Arial" w:hAnsi="Arial"/>
        </w:rPr>
      </w:pPr>
      <w:r>
        <w:rPr>
          <w:rFonts w:ascii="Arial" w:hAnsi="Arial"/>
        </w:rPr>
        <w:t>单价与总价不相符，又不接受评标委员会修正的投标总价或投标明显不合理而投标供应商不能合理说明的；</w:t>
      </w:r>
    </w:p>
    <w:p>
      <w:pPr>
        <w:numPr>
          <w:ilvl w:val="1"/>
          <w:numId w:val="15"/>
        </w:numPr>
        <w:tabs>
          <w:tab w:val="left" w:pos="1680"/>
          <w:tab w:val="clear" w:pos="2166"/>
        </w:tabs>
        <w:snapToGrid w:val="0"/>
        <w:spacing w:line="400" w:lineRule="atLeast"/>
        <w:ind w:hanging="801"/>
        <w:jc w:val="both"/>
        <w:rPr>
          <w:rFonts w:ascii="Arial" w:hAnsi="Arial"/>
        </w:rPr>
      </w:pPr>
      <w:r>
        <w:rPr>
          <w:rFonts w:ascii="Arial" w:hAnsi="Arial"/>
        </w:rPr>
        <w:t>存在串标、抬标或弄虚作假情况的；</w:t>
      </w:r>
    </w:p>
    <w:p>
      <w:pPr>
        <w:numPr>
          <w:ilvl w:val="1"/>
          <w:numId w:val="15"/>
        </w:numPr>
        <w:tabs>
          <w:tab w:val="left" w:pos="1680"/>
          <w:tab w:val="clear" w:pos="2166"/>
        </w:tabs>
        <w:snapToGrid w:val="0"/>
        <w:spacing w:line="400" w:lineRule="atLeast"/>
        <w:ind w:hanging="801"/>
        <w:jc w:val="both"/>
        <w:rPr>
          <w:rFonts w:ascii="Arial" w:hAnsi="Arial"/>
        </w:rPr>
      </w:pPr>
      <w:r>
        <w:rPr>
          <w:rFonts w:ascii="Arial" w:hAnsi="Arial"/>
        </w:rPr>
        <w:t>不具备招标文件中规定资格要求的；</w:t>
      </w:r>
    </w:p>
    <w:p>
      <w:pPr>
        <w:numPr>
          <w:ilvl w:val="1"/>
          <w:numId w:val="15"/>
        </w:numPr>
        <w:tabs>
          <w:tab w:val="left" w:pos="1418"/>
          <w:tab w:val="clear" w:pos="2166"/>
        </w:tabs>
        <w:snapToGrid w:val="0"/>
        <w:spacing w:line="400" w:lineRule="atLeast"/>
        <w:ind w:left="1701" w:hanging="336"/>
        <w:jc w:val="both"/>
        <w:rPr>
          <w:rFonts w:ascii="宋体" w:hAnsi="宋体"/>
          <w:sz w:val="22"/>
          <w:szCs w:val="22"/>
        </w:rPr>
      </w:pPr>
      <w:r>
        <w:rPr>
          <w:rFonts w:ascii="宋体" w:hAnsi="宋体"/>
          <w:sz w:val="22"/>
          <w:szCs w:val="22"/>
        </w:rPr>
        <w:t>对关键条文的偏离、保留或反对，例如关于付款方式、完工期、免费质保期、适用法律法规、标准、税费等其他内容</w:t>
      </w:r>
      <w:r>
        <w:rPr>
          <w:rFonts w:hint="eastAsia" w:ascii="宋体" w:hAnsi="宋体"/>
          <w:sz w:val="22"/>
          <w:szCs w:val="22"/>
        </w:rPr>
        <w:t>；</w:t>
      </w:r>
    </w:p>
    <w:p>
      <w:pPr>
        <w:numPr>
          <w:ilvl w:val="1"/>
          <w:numId w:val="15"/>
        </w:numPr>
        <w:tabs>
          <w:tab w:val="left" w:pos="1418"/>
          <w:tab w:val="clear" w:pos="2166"/>
        </w:tabs>
        <w:snapToGrid w:val="0"/>
        <w:spacing w:line="400" w:lineRule="atLeast"/>
        <w:ind w:left="1701" w:hanging="336"/>
        <w:jc w:val="both"/>
        <w:rPr>
          <w:rFonts w:ascii="宋体" w:hAnsi="宋体"/>
          <w:sz w:val="22"/>
          <w:szCs w:val="22"/>
        </w:rPr>
      </w:pPr>
      <w:r>
        <w:rPr>
          <w:rFonts w:hint="eastAsia" w:ascii="宋体" w:hAnsi="宋体"/>
          <w:sz w:val="22"/>
          <w:szCs w:val="22"/>
        </w:rPr>
        <w:t>供应商所投产品属于政府强制采购节能产品，投标时未提供相关产品的认证证书的；（具体品目见《关于印发节能产品政府采购品目清单的通知》（财库〔2019〕19号））；</w:t>
      </w:r>
    </w:p>
    <w:p>
      <w:pPr>
        <w:numPr>
          <w:ilvl w:val="1"/>
          <w:numId w:val="15"/>
        </w:numPr>
        <w:tabs>
          <w:tab w:val="left" w:pos="1418"/>
          <w:tab w:val="clear" w:pos="2166"/>
        </w:tabs>
        <w:snapToGrid w:val="0"/>
        <w:spacing w:line="400" w:lineRule="atLeast"/>
        <w:ind w:left="1701" w:hanging="336"/>
        <w:jc w:val="both"/>
        <w:rPr>
          <w:rFonts w:hint="eastAsia" w:ascii="宋体" w:hAnsi="宋体"/>
          <w:sz w:val="22"/>
          <w:szCs w:val="22"/>
        </w:rPr>
      </w:pPr>
      <w:r>
        <w:rPr>
          <w:rFonts w:hint="eastAsia" w:ascii="宋体" w:hAnsi="宋体"/>
          <w:sz w:val="22"/>
          <w:szCs w:val="22"/>
        </w:rPr>
        <w:t>供应商的资格文件或者商务技术文件中出现投标报价的；</w:t>
      </w:r>
    </w:p>
    <w:p>
      <w:pPr>
        <w:numPr>
          <w:ilvl w:val="1"/>
          <w:numId w:val="15"/>
        </w:numPr>
        <w:tabs>
          <w:tab w:val="left" w:pos="1680"/>
          <w:tab w:val="clear" w:pos="2166"/>
        </w:tabs>
        <w:snapToGrid w:val="0"/>
        <w:spacing w:line="400" w:lineRule="atLeast"/>
        <w:ind w:hanging="801"/>
        <w:jc w:val="both"/>
        <w:rPr>
          <w:rFonts w:ascii="Arial" w:hAnsi="Arial"/>
        </w:rPr>
      </w:pPr>
      <w:r>
        <w:rPr>
          <w:rFonts w:ascii="Arial" w:hAnsi="Arial"/>
        </w:rPr>
        <w:t>投标供应商法定代表人的授权代表无法定代表人</w:t>
      </w:r>
      <w:r>
        <w:rPr>
          <w:rFonts w:hint="eastAsia" w:ascii="Arial" w:hAnsi="Arial"/>
        </w:rPr>
        <w:t>有效</w:t>
      </w:r>
      <w:r>
        <w:rPr>
          <w:rFonts w:ascii="Arial" w:hAnsi="Arial"/>
        </w:rPr>
        <w:t>授权委托书的；</w:t>
      </w:r>
    </w:p>
    <w:p>
      <w:pPr>
        <w:numPr>
          <w:ilvl w:val="1"/>
          <w:numId w:val="15"/>
        </w:numPr>
        <w:tabs>
          <w:tab w:val="left" w:pos="1418"/>
          <w:tab w:val="clear" w:pos="2166"/>
        </w:tabs>
        <w:snapToGrid w:val="0"/>
        <w:spacing w:line="400" w:lineRule="atLeast"/>
        <w:ind w:left="1701" w:hanging="336"/>
        <w:jc w:val="both"/>
        <w:rPr>
          <w:rFonts w:ascii="宋体" w:hAnsi="宋体"/>
          <w:sz w:val="22"/>
          <w:szCs w:val="22"/>
        </w:rPr>
      </w:pPr>
      <w:r>
        <w:rPr>
          <w:rFonts w:ascii="宋体" w:hAnsi="宋体"/>
          <w:sz w:val="22"/>
          <w:szCs w:val="22"/>
        </w:rPr>
        <w:t>评标委员会发现投标文件有下列情形之一的属于重大偏差(评标委员会按少数服从多数原则认定)：</w:t>
      </w:r>
    </w:p>
    <w:p>
      <w:pPr>
        <w:numPr>
          <w:ilvl w:val="0"/>
          <w:numId w:val="16"/>
        </w:numPr>
        <w:tabs>
          <w:tab w:val="left" w:pos="1418"/>
        </w:tabs>
        <w:snapToGrid w:val="0"/>
        <w:spacing w:line="400" w:lineRule="atLeast"/>
        <w:jc w:val="both"/>
        <w:rPr>
          <w:rFonts w:ascii="宋体" w:hAnsi="宋体"/>
          <w:sz w:val="22"/>
          <w:szCs w:val="22"/>
        </w:rPr>
      </w:pPr>
      <w:r>
        <w:rPr>
          <w:rFonts w:hint="eastAsia" w:ascii="宋体" w:hAnsi="宋体"/>
          <w:sz w:val="22"/>
          <w:szCs w:val="22"/>
        </w:rPr>
        <w:t>出现其它明显不符合技术规格、技术标准的要求或不满足招标文件技术规格书中的主要参数的投标文件；</w:t>
      </w:r>
    </w:p>
    <w:p>
      <w:pPr>
        <w:numPr>
          <w:ilvl w:val="0"/>
          <w:numId w:val="16"/>
        </w:numPr>
        <w:tabs>
          <w:tab w:val="left" w:pos="1418"/>
        </w:tabs>
        <w:snapToGrid w:val="0"/>
        <w:spacing w:line="400" w:lineRule="atLeast"/>
        <w:jc w:val="both"/>
        <w:rPr>
          <w:rFonts w:ascii="宋体" w:hAnsi="宋体"/>
          <w:sz w:val="22"/>
          <w:szCs w:val="22"/>
        </w:rPr>
      </w:pPr>
      <w:r>
        <w:rPr>
          <w:rFonts w:hint="eastAsia" w:ascii="宋体" w:hAnsi="宋体"/>
          <w:sz w:val="22"/>
          <w:szCs w:val="22"/>
        </w:rPr>
        <w:t>出现投标货物数量与招标文件对比出现较大偏差或商务报价明细表计算错误，出现较大差错；</w:t>
      </w:r>
    </w:p>
    <w:p>
      <w:pPr>
        <w:numPr>
          <w:ilvl w:val="0"/>
          <w:numId w:val="16"/>
        </w:numPr>
        <w:tabs>
          <w:tab w:val="left" w:pos="1418"/>
        </w:tabs>
        <w:snapToGrid w:val="0"/>
        <w:spacing w:line="400" w:lineRule="atLeast"/>
        <w:jc w:val="both"/>
        <w:rPr>
          <w:rFonts w:ascii="宋体" w:hAnsi="宋体"/>
          <w:sz w:val="22"/>
          <w:szCs w:val="22"/>
        </w:rPr>
      </w:pPr>
      <w:r>
        <w:rPr>
          <w:rFonts w:hint="eastAsia" w:ascii="宋体" w:hAnsi="宋体"/>
          <w:sz w:val="22"/>
          <w:szCs w:val="22"/>
        </w:rPr>
        <w:t>出现其它不符合招标文件中规定的实质性要求的投标文件，是否为偏离实质性要求由评标委员会认定；</w:t>
      </w:r>
    </w:p>
    <w:p>
      <w:pPr>
        <w:numPr>
          <w:ilvl w:val="0"/>
          <w:numId w:val="16"/>
        </w:numPr>
        <w:tabs>
          <w:tab w:val="left" w:pos="1418"/>
        </w:tabs>
        <w:snapToGrid w:val="0"/>
        <w:spacing w:line="400" w:lineRule="atLeast"/>
        <w:jc w:val="both"/>
        <w:rPr>
          <w:rFonts w:hint="eastAsia" w:ascii="宋体" w:hAnsi="宋体"/>
          <w:sz w:val="22"/>
          <w:szCs w:val="22"/>
        </w:rPr>
      </w:pPr>
      <w:r>
        <w:rPr>
          <w:rFonts w:ascii="Arial" w:hAnsi="Arial"/>
        </w:rPr>
        <w:t>主要</w:t>
      </w:r>
      <w:r>
        <w:rPr>
          <w:rFonts w:hint="eastAsia" w:ascii="Arial" w:hAnsi="Arial"/>
        </w:rPr>
        <w:t>技术</w:t>
      </w:r>
      <w:r>
        <w:rPr>
          <w:rFonts w:ascii="Arial" w:hAnsi="Arial"/>
        </w:rPr>
        <w:t>要求不满足用户的要求以及商务有重大偏离或保留的</w:t>
      </w:r>
      <w:r>
        <w:rPr>
          <w:rFonts w:hint="eastAsia" w:ascii="Arial" w:hAnsi="Arial"/>
        </w:rPr>
        <w:t>；</w:t>
      </w:r>
    </w:p>
    <w:p>
      <w:pPr>
        <w:numPr>
          <w:ilvl w:val="1"/>
          <w:numId w:val="15"/>
        </w:numPr>
        <w:tabs>
          <w:tab w:val="left" w:pos="1680"/>
          <w:tab w:val="clear" w:pos="2166"/>
        </w:tabs>
        <w:snapToGrid w:val="0"/>
        <w:spacing w:line="400" w:lineRule="atLeast"/>
        <w:ind w:hanging="801"/>
        <w:jc w:val="both"/>
        <w:rPr>
          <w:rFonts w:hint="eastAsia" w:ascii="Arial" w:hAnsi="Arial"/>
        </w:rPr>
      </w:pPr>
      <w:r>
        <w:rPr>
          <w:rFonts w:ascii="Arial" w:hAnsi="Arial"/>
        </w:rPr>
        <w:t>不符合法律、法规和招标文件中规定的其他实质性要求的。</w:t>
      </w:r>
    </w:p>
    <w:p>
      <w:pPr>
        <w:numPr>
          <w:ilvl w:val="0"/>
          <w:numId w:val="1"/>
        </w:numPr>
        <w:snapToGrid w:val="0"/>
        <w:spacing w:line="400" w:lineRule="atLeast"/>
        <w:jc w:val="both"/>
        <w:rPr>
          <w:rFonts w:hint="eastAsia" w:ascii="Arial" w:hAnsi="Arial"/>
        </w:rPr>
      </w:pPr>
      <w:r>
        <w:rPr>
          <w:rFonts w:hint="eastAsia" w:ascii="Arial" w:hAnsi="Arial"/>
        </w:rPr>
        <w:t>其他相关问题：</w:t>
      </w:r>
    </w:p>
    <w:p>
      <w:pPr>
        <w:tabs>
          <w:tab w:val="left" w:pos="1680"/>
        </w:tabs>
        <w:snapToGrid w:val="0"/>
        <w:spacing w:line="400" w:lineRule="atLeast"/>
        <w:ind w:left="1785" w:leftChars="650" w:hanging="420" w:hangingChars="200"/>
        <w:jc w:val="both"/>
        <w:rPr>
          <w:rFonts w:hint="eastAsia" w:ascii="Arial" w:hAnsi="Arial"/>
        </w:rPr>
      </w:pPr>
      <w:r>
        <w:rPr>
          <w:rFonts w:hint="eastAsia" w:ascii="Arial" w:hAnsi="Arial"/>
        </w:rPr>
        <w:t>1）单位负责人为同一人或者存在直接控股、管理关系的不同供应商，不得参加同一合同项下的政府采购活动。如在评标过程中发现供应商间存在上述关系，评标委员会可以对存在上述关系的供应商做无效投标处理。</w:t>
      </w:r>
    </w:p>
    <w:p>
      <w:pPr>
        <w:tabs>
          <w:tab w:val="left" w:pos="1680"/>
        </w:tabs>
        <w:snapToGrid w:val="0"/>
        <w:spacing w:line="400" w:lineRule="atLeast"/>
        <w:ind w:left="1785" w:leftChars="650" w:hanging="420" w:hangingChars="200"/>
        <w:jc w:val="both"/>
        <w:rPr>
          <w:rFonts w:hint="eastAsia" w:ascii="宋体"/>
          <w:b/>
          <w:sz w:val="22"/>
        </w:rPr>
      </w:pPr>
      <w:r>
        <w:rPr>
          <w:rFonts w:hint="eastAsia" w:ascii="Arial" w:hAnsi="Arial"/>
        </w:rPr>
        <w:t>2）</w:t>
      </w:r>
      <w:r>
        <w:rPr>
          <w:rFonts w:hint="eastAsia" w:ascii="宋体"/>
          <w:b/>
          <w:sz w:val="22"/>
        </w:rPr>
        <w:t>除单一来源采购项目外，为采购项目提供整体设计、规范编制或者项目管理、监理、检测等服务的供应商，不得再参加该采购项目的其他采购活动。</w:t>
      </w:r>
    </w:p>
    <w:p>
      <w:pPr>
        <w:tabs>
          <w:tab w:val="left" w:pos="1680"/>
        </w:tabs>
        <w:snapToGrid w:val="0"/>
        <w:spacing w:line="400" w:lineRule="atLeast"/>
        <w:ind w:left="1785" w:leftChars="650" w:hanging="420" w:hangingChars="200"/>
        <w:jc w:val="both"/>
        <w:rPr>
          <w:rFonts w:hint="eastAsia" w:ascii="Arial" w:hAnsi="Arial"/>
        </w:rPr>
      </w:pPr>
      <w:r>
        <w:rPr>
          <w:rFonts w:hint="eastAsia" w:ascii="Arial" w:hAnsi="Arial"/>
        </w:rPr>
        <w:t>3）进口产品参与政府采购，按财政部《关于印发〈政府采购进口产品管理办法〉的通知》（财库[2007]119号）和财政部办公厅《关于政府采购进口产品管理有关问题的通知》（财办库〔2008〕248号）、《浙江省财政厅关于进一步加强政府采购进口产品管理的通知》（浙财采监[2010]51号）等相关文件规定处理。</w:t>
      </w:r>
    </w:p>
    <w:p>
      <w:pPr>
        <w:snapToGrid w:val="0"/>
        <w:spacing w:line="400" w:lineRule="atLeast"/>
        <w:ind w:left="420" w:leftChars="200" w:firstLine="315" w:firstLineChars="150"/>
        <w:jc w:val="both"/>
        <w:rPr>
          <w:rFonts w:hint="eastAsia" w:ascii="Arial" w:hAnsi="Arial"/>
        </w:rPr>
      </w:pPr>
      <w:r>
        <w:rPr>
          <w:rFonts w:hint="eastAsia" w:ascii="Arial" w:hAnsi="Arial"/>
        </w:rPr>
        <w:t>28.2</w:t>
      </w:r>
      <w:r>
        <w:rPr>
          <w:rFonts w:hint="eastAsia" w:ascii="Arial" w:hAnsi="Arial"/>
        </w:rPr>
        <w:tab/>
      </w:r>
      <w:r>
        <w:rPr>
          <w:rFonts w:hint="eastAsia" w:ascii="Arial" w:hAnsi="Arial"/>
        </w:rPr>
        <w:t>澄清有关问题：招标代理机构会对通不过资格性检查的供应商进行告知说明，并出具相关说明；评审委员会对符合性检查合格的投标文件进行澄清，对投标文件中含义不明确、同类问题表述不一致或者有明显文字和计算错误的内容，评审委员会可以书面形式（应当由评审委员会专家签字）要求投标供应商作出必要的澄清、说明或者纠正。投标供应商的澄清、说明或者补正答复先以口头形式答辩，然后在要求的时间内以书面形式提交，书面由其授权的代表签字，并不得超出投标文件的范围或者改变投标文件的实质性内容。</w:t>
      </w:r>
    </w:p>
    <w:p>
      <w:pPr>
        <w:snapToGrid w:val="0"/>
        <w:spacing w:line="400" w:lineRule="atLeast"/>
        <w:ind w:left="420" w:leftChars="200" w:firstLine="315" w:firstLineChars="150"/>
        <w:jc w:val="both"/>
        <w:rPr>
          <w:rFonts w:hint="eastAsia" w:ascii="Arial" w:hAnsi="Arial"/>
        </w:rPr>
      </w:pPr>
      <w:r>
        <w:rPr>
          <w:rFonts w:ascii="Arial" w:hAnsi="Arial" w:cs="Arial"/>
        </w:rPr>
        <w:t></w:t>
      </w:r>
      <w:r>
        <w:rPr>
          <w:rFonts w:hint="eastAsia" w:ascii="Arial" w:hAnsi="Arial"/>
        </w:rPr>
        <w:t>比较与评价：评审委员会按招标文件第七部分“评标、决标办法”。规定的评标方法和标准，对符合性检查合格的投标文件进行商务和资信、技术评估，综合比较与评价。评审委员会对投标文件的判定，只依据投标文件内容本身，不依据任何外来证明 。评标委员会在评标中，不得改变招标文件中规定的评标标准、方法和中标条件。</w:t>
      </w:r>
    </w:p>
    <w:p>
      <w:pPr>
        <w:numPr>
          <w:ilvl w:val="1"/>
          <w:numId w:val="4"/>
        </w:numPr>
        <w:snapToGrid w:val="0"/>
        <w:spacing w:line="400" w:lineRule="atLeast"/>
        <w:jc w:val="both"/>
        <w:rPr>
          <w:rFonts w:ascii="Arial" w:hAnsi="Arial"/>
        </w:rPr>
      </w:pPr>
      <w:r>
        <w:rPr>
          <w:rFonts w:hint="eastAsia" w:ascii="Arial" w:hAnsi="Arial"/>
        </w:rPr>
        <w:t>评标委员会对投标供应商报价文件评审时发现价格、数量有误，其投标价将按下述原则处理：</w:t>
      </w:r>
    </w:p>
    <w:p>
      <w:pPr>
        <w:snapToGrid w:val="0"/>
        <w:spacing w:line="400" w:lineRule="atLeast"/>
        <w:ind w:left="851"/>
        <w:jc w:val="both"/>
        <w:rPr>
          <w:rFonts w:hint="eastAsia" w:ascii="Arial" w:hAnsi="Arial"/>
        </w:rPr>
      </w:pPr>
      <w:r>
        <w:rPr>
          <w:rFonts w:hint="eastAsia" w:ascii="Arial" w:hAnsi="Arial"/>
        </w:rPr>
        <w:t>1）任何有漏去一些小项货物或服务的投标将被视为其费用已包含在投标总价中，投标价格不予调整。</w:t>
      </w:r>
    </w:p>
    <w:p>
      <w:pPr>
        <w:snapToGrid w:val="0"/>
        <w:spacing w:line="400" w:lineRule="atLeast"/>
        <w:ind w:left="851"/>
        <w:jc w:val="both"/>
        <w:rPr>
          <w:rFonts w:hint="eastAsia" w:ascii="Arial" w:hAnsi="Arial"/>
        </w:rPr>
      </w:pPr>
      <w:r>
        <w:rPr>
          <w:rFonts w:hint="eastAsia" w:ascii="Arial" w:hAnsi="Arial"/>
        </w:rPr>
        <w:t>2）任何有多报一些小项工程或货物的投标其投标价不予调整，如果该投标供应商中标，则合同价格必须为核减掉多报的一些小项工程或货物后的价格。</w:t>
      </w:r>
    </w:p>
    <w:p>
      <w:pPr>
        <w:snapToGrid w:val="0"/>
        <w:spacing w:line="400" w:lineRule="atLeast"/>
        <w:ind w:left="851"/>
        <w:jc w:val="both"/>
        <w:rPr>
          <w:rFonts w:hint="eastAsia" w:ascii="Arial" w:hAnsi="Arial"/>
        </w:rPr>
      </w:pPr>
      <w:r>
        <w:rPr>
          <w:rFonts w:hint="eastAsia" w:ascii="Arial" w:hAnsi="Arial"/>
        </w:rPr>
        <w:t>3）对于计算错误的其投标价不予调整，如果该投标供应商中标，如其投标价格计算错误导致多报者合同价格予以据实核减，少报者合同价格不予调整。</w:t>
      </w:r>
    </w:p>
    <w:p>
      <w:pPr>
        <w:snapToGrid w:val="0"/>
        <w:spacing w:line="400" w:lineRule="atLeast"/>
        <w:ind w:left="851"/>
        <w:jc w:val="both"/>
        <w:rPr>
          <w:rFonts w:hint="eastAsia" w:ascii="Arial" w:hAnsi="Arial"/>
        </w:rPr>
      </w:pPr>
      <w:r>
        <w:rPr>
          <w:rFonts w:hint="eastAsia" w:ascii="Arial" w:hAnsi="Arial"/>
        </w:rPr>
        <w:t>4）对于计算错误，多报或漏报的一些小项工程或货物、服务的仅仅为非实质性重大偏差范围内的偏离，并经过评标委员会按少数服从多数原则认定为细微偏差，评审时其投标价不予调整。</w:t>
      </w:r>
    </w:p>
    <w:p>
      <w:pPr>
        <w:snapToGrid w:val="0"/>
        <w:spacing w:line="400" w:lineRule="atLeast"/>
        <w:ind w:left="851"/>
        <w:jc w:val="both"/>
        <w:rPr>
          <w:rFonts w:hint="eastAsia" w:ascii="Arial" w:hAnsi="Arial"/>
        </w:rPr>
      </w:pPr>
      <w:r>
        <w:rPr>
          <w:rFonts w:hint="eastAsia" w:ascii="Arial" w:hAnsi="Arial"/>
        </w:rPr>
        <w:t>5）供应商不接受上述处理方式，将按无效投标处理。</w:t>
      </w:r>
    </w:p>
    <w:p>
      <w:pPr>
        <w:numPr>
          <w:ilvl w:val="1"/>
          <w:numId w:val="4"/>
        </w:numPr>
        <w:snapToGrid w:val="0"/>
        <w:spacing w:line="400" w:lineRule="atLeast"/>
        <w:jc w:val="both"/>
        <w:rPr>
          <w:rFonts w:hint="eastAsia" w:ascii="Arial" w:hAnsi="Arial"/>
        </w:rPr>
      </w:pPr>
      <w:r>
        <w:rPr>
          <w:rFonts w:hint="eastAsia" w:ascii="Arial" w:hAnsi="Arial"/>
        </w:rPr>
        <w:t>评标时如遇到招标文件未规定的特殊情况，由评标委员会按少数服从多数原则集体决定处理。</w:t>
      </w:r>
    </w:p>
    <w:p>
      <w:pPr>
        <w:numPr>
          <w:ilvl w:val="1"/>
          <w:numId w:val="4"/>
        </w:numPr>
        <w:snapToGrid w:val="0"/>
        <w:spacing w:line="400" w:lineRule="atLeast"/>
        <w:jc w:val="both"/>
        <w:rPr>
          <w:rFonts w:hint="eastAsia" w:ascii="Arial" w:hAnsi="Arial"/>
        </w:rPr>
      </w:pPr>
      <w:r>
        <w:rPr>
          <w:rFonts w:hint="eastAsia" w:ascii="Arial" w:hAnsi="Arial"/>
        </w:rPr>
        <w:t>评标委员会对未中标的供应商不作解释。同时根据政府采购法实施条例第四十条规定，本项目不对供应商公布详细的评审情况，不公布具体评标细则中小项得分。</w:t>
      </w:r>
    </w:p>
    <w:p>
      <w:pPr>
        <w:numPr>
          <w:ilvl w:val="1"/>
          <w:numId w:val="4"/>
        </w:numPr>
        <w:snapToGrid w:val="0"/>
        <w:spacing w:line="400" w:lineRule="atLeast"/>
        <w:jc w:val="both"/>
        <w:rPr>
          <w:rFonts w:hint="eastAsia" w:ascii="Arial" w:hAnsi="Arial"/>
        </w:rPr>
      </w:pPr>
      <w:r>
        <w:rPr>
          <w:rFonts w:hint="eastAsia" w:ascii="Arial" w:hAnsi="Arial"/>
        </w:rPr>
        <w:t>评审委员会推荐中标候选人名单：按评审得分之和由高到低顺序推荐1名投标供应商作为候选人</w:t>
      </w:r>
      <w:r>
        <w:rPr>
          <w:rFonts w:hint="eastAsia"/>
        </w:rPr>
        <w:t>（得分高者），其余有效投标供应商按得分由高到低依次确定为备选中标供应商，并出具评审报告</w:t>
      </w:r>
      <w:r>
        <w:rPr>
          <w:rFonts w:hint="eastAsia" w:ascii="Arial" w:hAnsi="Arial"/>
        </w:rPr>
        <w:t>。合计得分相同的，按投标报价由低到高顺序排列；合计得分且投标报价相同的，则按技术、商务文件得分高低顺序排列；若所有得分均相同，则由</w:t>
      </w:r>
      <w:r>
        <w:rPr>
          <w:rFonts w:hint="eastAsia" w:ascii="宋体" w:hAnsi="宋体"/>
          <w:bCs/>
          <w:szCs w:val="21"/>
        </w:rPr>
        <w:t>采购人</w:t>
      </w:r>
      <w:r>
        <w:rPr>
          <w:rFonts w:hint="eastAsia" w:ascii="Arial" w:hAnsi="Arial"/>
        </w:rPr>
        <w:t>在所有得分均相同者中随机抽取其中一名为名次优先者；依法予以确认为中标供应商。</w:t>
      </w:r>
    </w:p>
    <w:p>
      <w:pPr>
        <w:numPr>
          <w:ilvl w:val="1"/>
          <w:numId w:val="4"/>
        </w:numPr>
        <w:snapToGrid w:val="0"/>
        <w:spacing w:line="400" w:lineRule="atLeast"/>
        <w:jc w:val="both"/>
        <w:rPr>
          <w:rFonts w:hint="eastAsia" w:ascii="Arial" w:hAnsi="Arial"/>
        </w:rPr>
      </w:pPr>
      <w:r>
        <w:rPr>
          <w:rFonts w:hint="eastAsia" w:ascii="Arial" w:hAnsi="Arial"/>
        </w:rPr>
        <w:t>投标报价低于市场平均价有效。</w:t>
      </w:r>
    </w:p>
    <w:p>
      <w:pPr>
        <w:numPr>
          <w:ilvl w:val="1"/>
          <w:numId w:val="4"/>
        </w:numPr>
        <w:snapToGrid w:val="0"/>
        <w:spacing w:line="400" w:lineRule="atLeast"/>
        <w:jc w:val="both"/>
        <w:rPr>
          <w:rFonts w:hint="eastAsia" w:ascii="Arial" w:hAnsi="Arial"/>
        </w:rPr>
      </w:pPr>
      <w:r>
        <w:rPr>
          <w:rFonts w:ascii="Arial" w:hAnsi="Arial"/>
        </w:rPr>
        <w:t>如评</w:t>
      </w:r>
      <w:r>
        <w:rPr>
          <w:rFonts w:hint="eastAsia" w:ascii="Arial" w:hAnsi="Arial"/>
        </w:rPr>
        <w:t>审</w:t>
      </w:r>
      <w:r>
        <w:rPr>
          <w:rFonts w:ascii="Arial" w:hAnsi="Arial"/>
        </w:rPr>
        <w:t>委</w:t>
      </w:r>
      <w:r>
        <w:rPr>
          <w:rFonts w:hint="eastAsia" w:ascii="Arial" w:hAnsi="Arial"/>
        </w:rPr>
        <w:t>员</w:t>
      </w:r>
      <w:r>
        <w:rPr>
          <w:rFonts w:ascii="Arial" w:hAnsi="Arial"/>
        </w:rPr>
        <w:t>会一致认为某个投标供应商的报价明显不合理，有降低</w:t>
      </w:r>
      <w:r>
        <w:rPr>
          <w:rFonts w:hint="eastAsia" w:ascii="Arial" w:hAnsi="Arial"/>
        </w:rPr>
        <w:t>服务</w:t>
      </w:r>
      <w:r>
        <w:rPr>
          <w:rFonts w:ascii="Arial" w:hAnsi="Arial"/>
        </w:rPr>
        <w:t>质量、不能诚信履行</w:t>
      </w:r>
      <w:r>
        <w:rPr>
          <w:rFonts w:hint="eastAsia" w:ascii="Arial" w:hAnsi="Arial"/>
        </w:rPr>
        <w:t>及不正当竞争</w:t>
      </w:r>
      <w:r>
        <w:rPr>
          <w:rFonts w:ascii="Arial" w:hAnsi="Arial"/>
        </w:rPr>
        <w:t>的可能时，评</w:t>
      </w:r>
      <w:r>
        <w:rPr>
          <w:rFonts w:hint="eastAsia" w:ascii="Arial" w:hAnsi="Arial"/>
        </w:rPr>
        <w:t>审</w:t>
      </w:r>
      <w:r>
        <w:rPr>
          <w:rFonts w:ascii="Arial" w:hAnsi="Arial"/>
        </w:rPr>
        <w:t>委员会有权通知投标供应商限期进行解释。若该投标供应商未在规定期限内做出解释，或做出的解释不合理，经评</w:t>
      </w:r>
      <w:r>
        <w:rPr>
          <w:rFonts w:hint="eastAsia" w:ascii="Arial" w:hAnsi="Arial"/>
        </w:rPr>
        <w:t>审</w:t>
      </w:r>
      <w:r>
        <w:rPr>
          <w:rFonts w:ascii="Arial" w:hAnsi="Arial"/>
        </w:rPr>
        <w:t>委员会取得一致意见后，可确定拒绝该投标</w:t>
      </w:r>
      <w:r>
        <w:rPr>
          <w:rFonts w:hint="eastAsia" w:ascii="Arial" w:hAnsi="Arial"/>
        </w:rPr>
        <w:t>。</w:t>
      </w:r>
    </w:p>
    <w:p>
      <w:pPr>
        <w:numPr>
          <w:ilvl w:val="0"/>
          <w:numId w:val="4"/>
        </w:numPr>
        <w:snapToGrid w:val="0"/>
        <w:spacing w:line="400" w:lineRule="atLeast"/>
        <w:jc w:val="both"/>
        <w:rPr>
          <w:rFonts w:ascii="Arial" w:hAnsi="Arial"/>
          <w:b/>
          <w:sz w:val="24"/>
        </w:rPr>
      </w:pPr>
      <w:r>
        <w:rPr>
          <w:rFonts w:hint="eastAsia" w:ascii="Arial" w:hAnsi="Arial"/>
          <w:b/>
          <w:sz w:val="24"/>
        </w:rPr>
        <w:t>投标文件的澄清</w:t>
      </w:r>
    </w:p>
    <w:p>
      <w:pPr>
        <w:numPr>
          <w:ilvl w:val="1"/>
          <w:numId w:val="4"/>
        </w:numPr>
        <w:snapToGrid w:val="0"/>
        <w:spacing w:line="400" w:lineRule="atLeast"/>
        <w:jc w:val="both"/>
        <w:rPr>
          <w:rFonts w:hint="eastAsia" w:ascii="Arial" w:hAnsi="Arial"/>
        </w:rPr>
      </w:pPr>
      <w:r>
        <w:rPr>
          <w:rFonts w:hint="eastAsia" w:ascii="Arial" w:hAnsi="Arial"/>
        </w:rPr>
        <w:t>为有利于对投标文件的比较和评议，必要时评标委员会可要求投标供应商对投标文件相关事宜进行澄清。评标委员会将通过“政府采购云平台”在线询标的形式要求</w:t>
      </w:r>
      <w:r>
        <w:rPr>
          <w:rFonts w:ascii="Arial" w:hAnsi="Arial"/>
        </w:rPr>
        <w:t>投标供应商</w:t>
      </w:r>
      <w:r>
        <w:rPr>
          <w:rFonts w:hint="eastAsia" w:ascii="Arial" w:hAnsi="Arial"/>
        </w:rPr>
        <w:t>在规定的时间内作出必要的澄清、说明，投标供应商澄清、说明时间为30分钟。</w:t>
      </w:r>
    </w:p>
    <w:p>
      <w:pPr>
        <w:numPr>
          <w:ilvl w:val="1"/>
          <w:numId w:val="4"/>
        </w:numPr>
        <w:snapToGrid w:val="0"/>
        <w:spacing w:line="400" w:lineRule="atLeast"/>
        <w:jc w:val="both"/>
        <w:rPr>
          <w:rFonts w:hint="eastAsia" w:ascii="Arial" w:hAnsi="Arial"/>
        </w:rPr>
      </w:pPr>
      <w:r>
        <w:rPr>
          <w:rFonts w:ascii="Arial" w:hAnsi="Arial"/>
        </w:rPr>
        <w:t>投标供应商</w:t>
      </w:r>
      <w:r>
        <w:rPr>
          <w:rFonts w:hint="eastAsia" w:ascii="Arial" w:hAnsi="Arial"/>
        </w:rPr>
        <w:t>的澄清、说明应当通过“政府采购云平台”在线答复形式提交，并加盖公章。</w:t>
      </w:r>
      <w:r>
        <w:rPr>
          <w:rFonts w:ascii="Arial" w:hAnsi="Arial"/>
        </w:rPr>
        <w:t>投标供应商</w:t>
      </w:r>
      <w:r>
        <w:rPr>
          <w:rFonts w:hint="eastAsia" w:ascii="Arial" w:hAnsi="Arial"/>
        </w:rPr>
        <w:t>的澄清、说明不得超出投标文件的范围或者改变投标文件的实质性内容。</w:t>
      </w:r>
    </w:p>
    <w:p>
      <w:pPr>
        <w:numPr>
          <w:ilvl w:val="0"/>
          <w:numId w:val="4"/>
        </w:numPr>
        <w:snapToGrid w:val="0"/>
        <w:spacing w:line="400" w:lineRule="atLeast"/>
        <w:jc w:val="both"/>
        <w:rPr>
          <w:rFonts w:ascii="Arial" w:hAnsi="Arial"/>
          <w:b/>
          <w:sz w:val="24"/>
        </w:rPr>
      </w:pPr>
      <w:r>
        <w:rPr>
          <w:rFonts w:hint="eastAsia" w:ascii="Arial" w:hAnsi="Arial"/>
          <w:b/>
          <w:sz w:val="24"/>
        </w:rPr>
        <w:t>可中止电子交易活动的情形</w:t>
      </w:r>
    </w:p>
    <w:p>
      <w:pPr>
        <w:snapToGrid w:val="0"/>
        <w:spacing w:line="400" w:lineRule="atLeast"/>
        <w:ind w:left="851"/>
        <w:jc w:val="both"/>
        <w:rPr>
          <w:rFonts w:hint="eastAsia" w:ascii="Arial" w:hAnsi="Arial"/>
          <w:bCs/>
          <w:szCs w:val="21"/>
        </w:rPr>
      </w:pPr>
      <w:r>
        <w:rPr>
          <w:rFonts w:hint="eastAsia" w:ascii="Arial" w:hAnsi="Arial"/>
          <w:bCs/>
          <w:szCs w:val="21"/>
        </w:rPr>
        <w:t>采购过程中出现以下情形，导致电子交易平台无法正常运行，或者无法保证电子交易的公平、公正和安全时，采购组织机构可中止电子交易活动：</w:t>
      </w:r>
    </w:p>
    <w:p>
      <w:pPr>
        <w:snapToGrid w:val="0"/>
        <w:spacing w:line="400" w:lineRule="atLeast"/>
        <w:ind w:left="851"/>
        <w:jc w:val="both"/>
        <w:rPr>
          <w:rFonts w:hint="eastAsia" w:ascii="Arial" w:hAnsi="Arial"/>
          <w:bCs/>
          <w:szCs w:val="21"/>
        </w:rPr>
      </w:pPr>
      <w:r>
        <w:rPr>
          <w:rFonts w:hint="eastAsia" w:ascii="Arial" w:hAnsi="Arial"/>
          <w:bCs/>
          <w:szCs w:val="21"/>
        </w:rPr>
        <w:t>1）电子交易平台发生故障而无法登录访问的；</w:t>
      </w:r>
    </w:p>
    <w:p>
      <w:pPr>
        <w:snapToGrid w:val="0"/>
        <w:spacing w:line="400" w:lineRule="atLeast"/>
        <w:ind w:left="851"/>
        <w:jc w:val="both"/>
        <w:rPr>
          <w:rFonts w:hint="eastAsia" w:ascii="Arial" w:hAnsi="Arial"/>
          <w:bCs/>
          <w:szCs w:val="21"/>
        </w:rPr>
      </w:pPr>
      <w:r>
        <w:rPr>
          <w:rFonts w:hint="eastAsia" w:ascii="Arial" w:hAnsi="Arial"/>
          <w:bCs/>
          <w:szCs w:val="21"/>
        </w:rPr>
        <w:t>2）电子交易平台应用或数据库出现错误，不能进行正常操作的；</w:t>
      </w:r>
    </w:p>
    <w:p>
      <w:pPr>
        <w:snapToGrid w:val="0"/>
        <w:spacing w:line="400" w:lineRule="atLeast"/>
        <w:ind w:left="851"/>
        <w:jc w:val="both"/>
        <w:rPr>
          <w:rFonts w:hint="eastAsia" w:ascii="Arial" w:hAnsi="Arial"/>
          <w:bCs/>
          <w:szCs w:val="21"/>
        </w:rPr>
      </w:pPr>
      <w:r>
        <w:rPr>
          <w:rFonts w:hint="eastAsia" w:ascii="Arial" w:hAnsi="Arial"/>
          <w:bCs/>
          <w:szCs w:val="21"/>
        </w:rPr>
        <w:t>3）电子交易平台发现严重安全漏洞，有潜在泄密危险的；</w:t>
      </w:r>
    </w:p>
    <w:p>
      <w:pPr>
        <w:snapToGrid w:val="0"/>
        <w:spacing w:line="400" w:lineRule="atLeast"/>
        <w:ind w:left="851"/>
        <w:jc w:val="both"/>
        <w:rPr>
          <w:rFonts w:hint="eastAsia" w:ascii="Arial" w:hAnsi="Arial"/>
          <w:bCs/>
          <w:szCs w:val="21"/>
        </w:rPr>
      </w:pPr>
      <w:r>
        <w:rPr>
          <w:rFonts w:hint="eastAsia" w:ascii="Arial" w:hAnsi="Arial"/>
          <w:bCs/>
          <w:szCs w:val="21"/>
        </w:rPr>
        <w:t>4）病毒发作导致不能进行正常操作的；</w:t>
      </w:r>
    </w:p>
    <w:p>
      <w:pPr>
        <w:snapToGrid w:val="0"/>
        <w:spacing w:line="400" w:lineRule="atLeast"/>
        <w:ind w:left="851"/>
        <w:jc w:val="both"/>
        <w:rPr>
          <w:rFonts w:hint="eastAsia" w:ascii="Arial" w:hAnsi="Arial"/>
          <w:bCs/>
          <w:szCs w:val="21"/>
        </w:rPr>
      </w:pPr>
      <w:r>
        <w:rPr>
          <w:rFonts w:hint="eastAsia" w:ascii="Arial" w:hAnsi="Arial"/>
          <w:bCs/>
          <w:szCs w:val="21"/>
        </w:rPr>
        <w:t>5）其他无法保证电子交易的公平、公正和安全的情况。</w:t>
      </w:r>
    </w:p>
    <w:p>
      <w:pPr>
        <w:snapToGrid w:val="0"/>
        <w:spacing w:line="400" w:lineRule="atLeast"/>
        <w:ind w:left="851"/>
        <w:jc w:val="both"/>
        <w:rPr>
          <w:rFonts w:hint="eastAsia" w:ascii="Arial" w:hAnsi="Arial"/>
          <w:bCs/>
          <w:szCs w:val="21"/>
        </w:rPr>
      </w:pPr>
      <w:r>
        <w:rPr>
          <w:rFonts w:hint="eastAsia" w:ascii="Arial" w:hAnsi="Arial"/>
          <w:bCs/>
          <w:szCs w:val="21"/>
        </w:rPr>
        <w:t>出现前款规定情形，不影响采购公平、公正性的，采购组织机构可以待上述情形消除后继续组织电子交易活动；影响或可能影响采购公平、公正性的，应当重新采购。</w:t>
      </w:r>
    </w:p>
    <w:p>
      <w:pPr>
        <w:numPr>
          <w:ilvl w:val="0"/>
          <w:numId w:val="4"/>
        </w:numPr>
        <w:snapToGrid w:val="0"/>
        <w:spacing w:line="400" w:lineRule="atLeast"/>
        <w:jc w:val="both"/>
        <w:rPr>
          <w:rFonts w:hint="eastAsia" w:ascii="Arial" w:hAnsi="Arial"/>
          <w:b/>
          <w:sz w:val="24"/>
        </w:rPr>
      </w:pPr>
      <w:r>
        <w:rPr>
          <w:rFonts w:ascii="Arial" w:hAnsi="Arial"/>
          <w:b/>
          <w:sz w:val="24"/>
        </w:rPr>
        <w:t>评标过程保密</w:t>
      </w:r>
    </w:p>
    <w:p>
      <w:pPr>
        <w:numPr>
          <w:ilvl w:val="1"/>
          <w:numId w:val="4"/>
        </w:numPr>
        <w:snapToGrid w:val="0"/>
        <w:spacing w:line="400" w:lineRule="atLeast"/>
        <w:jc w:val="both"/>
        <w:rPr>
          <w:rFonts w:ascii="Arial" w:hAnsi="Arial"/>
        </w:rPr>
      </w:pPr>
      <w:r>
        <w:rPr>
          <w:rFonts w:ascii="Arial" w:hAnsi="Arial"/>
        </w:rPr>
        <w:t>开标之后，直到授予投标供应商合同止，凡是属于审查、澄清、评价和比较投标的有关资料以及授标意向等，均不得向投标供应商或其他无关的人员透露。</w:t>
      </w:r>
    </w:p>
    <w:p>
      <w:pPr>
        <w:numPr>
          <w:ilvl w:val="1"/>
          <w:numId w:val="4"/>
        </w:numPr>
        <w:snapToGrid w:val="0"/>
        <w:spacing w:line="400" w:lineRule="atLeast"/>
        <w:jc w:val="both"/>
        <w:rPr>
          <w:rFonts w:hint="eastAsia" w:ascii="Arial" w:hAnsi="Arial"/>
        </w:rPr>
      </w:pPr>
      <w:r>
        <w:rPr>
          <w:rFonts w:ascii="Arial" w:hAnsi="Arial"/>
        </w:rPr>
        <w:t>在评标期间，投标供应商企图影响采购人或评审委员会的任何活动，都将导致投标</w:t>
      </w:r>
      <w:r>
        <w:rPr>
          <w:rFonts w:hint="eastAsia" w:ascii="Arial" w:hAnsi="Arial"/>
        </w:rPr>
        <w:t>无效</w:t>
      </w:r>
      <w:r>
        <w:rPr>
          <w:rFonts w:ascii="Arial" w:hAnsi="Arial"/>
        </w:rPr>
        <w:t>，并由其承担相应的法律责任</w:t>
      </w:r>
      <w:r>
        <w:rPr>
          <w:rFonts w:hint="eastAsia" w:ascii="Arial" w:hAnsi="Arial"/>
        </w:rPr>
        <w:t>。</w:t>
      </w:r>
    </w:p>
    <w:p>
      <w:pPr>
        <w:numPr>
          <w:ilvl w:val="0"/>
          <w:numId w:val="4"/>
        </w:numPr>
        <w:snapToGrid w:val="0"/>
        <w:spacing w:line="400" w:lineRule="atLeast"/>
        <w:jc w:val="both"/>
        <w:rPr>
          <w:rFonts w:hint="eastAsia" w:ascii="Arial" w:hAnsi="Arial"/>
          <w:b/>
          <w:sz w:val="24"/>
        </w:rPr>
      </w:pPr>
      <w:r>
        <w:rPr>
          <w:rFonts w:hint="eastAsia" w:ascii="Arial" w:hAnsi="Arial"/>
          <w:b/>
          <w:sz w:val="24"/>
        </w:rPr>
        <w:t>中标供应商的确定</w:t>
      </w:r>
    </w:p>
    <w:p>
      <w:pPr>
        <w:numPr>
          <w:ilvl w:val="1"/>
          <w:numId w:val="4"/>
        </w:numPr>
        <w:snapToGrid w:val="0"/>
        <w:spacing w:line="400" w:lineRule="atLeast"/>
        <w:jc w:val="both"/>
        <w:rPr>
          <w:rFonts w:hint="eastAsia" w:ascii="Arial" w:hAnsi="Arial"/>
        </w:rPr>
      </w:pPr>
      <w:r>
        <w:rPr>
          <w:rFonts w:hint="eastAsia" w:ascii="Arial" w:hAnsi="Arial"/>
        </w:rPr>
        <w:t>采购人按评审委员会的评审结果，在评审委员会推荐的1-2名候选人中依法确定排名第一的候选人（投标价不超过财政预算价的前提下）为中标供应商。招标采购机构将在“瑞安市公共资源交易网”与“浙江省政府采购网”发布《</w:t>
      </w:r>
      <w:r>
        <w:rPr>
          <w:rFonts w:hint="eastAsia" w:ascii="宋体" w:hAnsi="宋体"/>
          <w:szCs w:val="21"/>
        </w:rPr>
        <w:t>中标</w:t>
      </w:r>
      <w:r>
        <w:rPr>
          <w:rFonts w:hint="eastAsia" w:ascii="Arial" w:hAnsi="Arial"/>
        </w:rPr>
        <w:t>结果公告》。</w:t>
      </w:r>
    </w:p>
    <w:p>
      <w:pPr>
        <w:numPr>
          <w:ilvl w:val="0"/>
          <w:numId w:val="4"/>
        </w:numPr>
        <w:snapToGrid w:val="0"/>
        <w:spacing w:line="400" w:lineRule="atLeast"/>
        <w:jc w:val="both"/>
        <w:rPr>
          <w:rFonts w:hint="eastAsia" w:ascii="Arial" w:hAnsi="Arial"/>
          <w:b/>
          <w:sz w:val="24"/>
        </w:rPr>
      </w:pPr>
      <w:r>
        <w:rPr>
          <w:rFonts w:hint="eastAsia" w:ascii="Arial" w:hAnsi="Arial"/>
          <w:b/>
          <w:sz w:val="24"/>
        </w:rPr>
        <w:t>拒绝任何或所有投标的权利</w:t>
      </w:r>
    </w:p>
    <w:p>
      <w:pPr>
        <w:numPr>
          <w:ilvl w:val="1"/>
          <w:numId w:val="4"/>
        </w:numPr>
        <w:snapToGrid w:val="0"/>
        <w:spacing w:line="400" w:lineRule="atLeast"/>
        <w:jc w:val="both"/>
        <w:rPr>
          <w:rFonts w:ascii="Arial" w:hAnsi="Arial"/>
        </w:rPr>
      </w:pPr>
      <w:r>
        <w:rPr>
          <w:rFonts w:hint="eastAsia" w:ascii="Arial" w:hAnsi="Arial"/>
        </w:rPr>
        <w:t>评标委员会经评审，认为所有投标都不符合招标文件要求的，可以否决所有投标。</w:t>
      </w:r>
    </w:p>
    <w:p>
      <w:pPr>
        <w:numPr>
          <w:ilvl w:val="1"/>
          <w:numId w:val="4"/>
        </w:numPr>
        <w:snapToGrid w:val="0"/>
        <w:spacing w:line="400" w:lineRule="atLeast"/>
        <w:jc w:val="both"/>
        <w:rPr>
          <w:rFonts w:ascii="Arial" w:hAnsi="Arial"/>
        </w:rPr>
      </w:pPr>
      <w:r>
        <w:rPr>
          <w:rFonts w:hint="eastAsia" w:ascii="Arial" w:hAnsi="Arial"/>
        </w:rPr>
        <w:t>如果候选人的部分或全部投标高于财政预算价时，采购机构将取消其中标资格，对受影响的投标供应商不承担任何责任，也无义务向受影响的投标供应商解释采取这一行动的理由。</w:t>
      </w:r>
    </w:p>
    <w:p>
      <w:pPr>
        <w:numPr>
          <w:ilvl w:val="1"/>
          <w:numId w:val="4"/>
        </w:numPr>
        <w:snapToGrid w:val="0"/>
        <w:spacing w:line="400" w:lineRule="atLeast"/>
        <w:jc w:val="both"/>
        <w:rPr>
          <w:rFonts w:ascii="Arial" w:hAnsi="Arial"/>
        </w:rPr>
      </w:pPr>
      <w:r>
        <w:rPr>
          <w:rFonts w:hint="eastAsia" w:ascii="Arial" w:hAnsi="Arial"/>
        </w:rPr>
        <w:t>如果第一候选人不能按照招标文件要求及其投标文件的承诺签订合同或其投标文件与事实不符，影响采购的公平公开及合同的实施，采购人有权在授予合同前任何时候依照法定程序将合同授予第二候选人。如果第二候选人仍无法签订合同，采购人将依法接受或拒绝任何投标，并宣布采购无效，对受影响的投标供应商不承担任何责任，也无义务向受影响的投标供应商解释采取这一行动的理由。</w:t>
      </w:r>
    </w:p>
    <w:p>
      <w:pPr>
        <w:numPr>
          <w:ilvl w:val="0"/>
          <w:numId w:val="4"/>
        </w:numPr>
        <w:snapToGrid w:val="0"/>
        <w:spacing w:line="400" w:lineRule="atLeast"/>
        <w:jc w:val="both"/>
        <w:rPr>
          <w:rFonts w:hint="eastAsia" w:ascii="Arial" w:hAnsi="Arial"/>
          <w:b/>
          <w:sz w:val="24"/>
        </w:rPr>
      </w:pPr>
      <w:r>
        <w:rPr>
          <w:rFonts w:hint="eastAsia" w:ascii="Arial" w:hAnsi="Arial"/>
          <w:b/>
          <w:sz w:val="24"/>
        </w:rPr>
        <w:t>质疑与投诉</w:t>
      </w:r>
    </w:p>
    <w:p>
      <w:pPr>
        <w:numPr>
          <w:ilvl w:val="1"/>
          <w:numId w:val="4"/>
        </w:numPr>
        <w:snapToGrid w:val="0"/>
        <w:spacing w:line="400" w:lineRule="atLeast"/>
        <w:jc w:val="both"/>
        <w:rPr>
          <w:rFonts w:hint="eastAsia" w:ascii="Arial" w:hAnsi="Arial"/>
        </w:rPr>
      </w:pPr>
      <w:r>
        <w:rPr>
          <w:rFonts w:ascii="Arial" w:hAnsi="Arial"/>
        </w:rPr>
        <w:t>投标供应商认为招标文件、招标过程和中标结果使自己的合法权益受到损害的，</w:t>
      </w:r>
      <w:r>
        <w:rPr>
          <w:rFonts w:hint="eastAsia" w:ascii="Arial" w:hAnsi="Arial"/>
        </w:rPr>
        <w:t>应于自招标文件提供期限满之日起七个工作日内</w:t>
      </w:r>
      <w:r>
        <w:rPr>
          <w:rFonts w:ascii="Arial" w:hAnsi="Arial"/>
        </w:rPr>
        <w:t>，以书面形式向采购人、</w:t>
      </w:r>
      <w:r>
        <w:rPr>
          <w:rFonts w:hint="eastAsia" w:ascii="Arial" w:hAnsi="Arial"/>
        </w:rPr>
        <w:t>采购代理机构</w:t>
      </w:r>
      <w:r>
        <w:rPr>
          <w:rFonts w:ascii="Arial" w:hAnsi="Arial"/>
        </w:rPr>
        <w:t>提出质疑。投标供应商对采购人的质疑答复不满意或者采购人未在规定时间内作出答复的，可以在答复期满后十五个工作日内向同级采购监管部门投诉</w:t>
      </w:r>
      <w:r>
        <w:rPr>
          <w:rFonts w:hint="eastAsia" w:ascii="Arial" w:hAnsi="Arial"/>
        </w:rPr>
        <w:t>。</w:t>
      </w:r>
    </w:p>
    <w:p>
      <w:pPr>
        <w:numPr>
          <w:ilvl w:val="1"/>
          <w:numId w:val="4"/>
        </w:numPr>
        <w:snapToGrid w:val="0"/>
        <w:spacing w:line="400" w:lineRule="atLeast"/>
        <w:jc w:val="both"/>
        <w:rPr>
          <w:rFonts w:hint="eastAsia" w:ascii="Arial" w:hAnsi="Arial"/>
        </w:rPr>
      </w:pPr>
      <w:r>
        <w:rPr>
          <w:rFonts w:ascii="Arial" w:hAnsi="Arial"/>
        </w:rPr>
        <w:t>对</w:t>
      </w:r>
      <w:r>
        <w:rPr>
          <w:rFonts w:hint="eastAsia" w:ascii="Arial" w:hAnsi="Arial"/>
        </w:rPr>
        <w:t>采购</w:t>
      </w:r>
      <w:r>
        <w:rPr>
          <w:rFonts w:ascii="Arial" w:hAnsi="Arial"/>
        </w:rPr>
        <w:t>公告信息（含供应商资格条件）</w:t>
      </w:r>
      <w:r>
        <w:rPr>
          <w:rFonts w:hint="eastAsia" w:ascii="Arial" w:hAnsi="Arial"/>
        </w:rPr>
        <w:t>或网上下载的采购</w:t>
      </w:r>
      <w:r>
        <w:rPr>
          <w:rFonts w:ascii="Arial" w:hAnsi="Arial"/>
        </w:rPr>
        <w:t>文件提出质疑的，质疑期限自</w:t>
      </w:r>
      <w:r>
        <w:rPr>
          <w:rFonts w:hint="eastAsia" w:ascii="Arial" w:hAnsi="Arial"/>
        </w:rPr>
        <w:t>采购</w:t>
      </w:r>
      <w:r>
        <w:rPr>
          <w:rFonts w:ascii="Arial" w:hAnsi="Arial"/>
        </w:rPr>
        <w:t>公告</w:t>
      </w:r>
      <w:r>
        <w:rPr>
          <w:rFonts w:hint="eastAsia" w:ascii="Arial" w:hAnsi="Arial"/>
        </w:rPr>
        <w:t>或采购</w:t>
      </w:r>
      <w:r>
        <w:rPr>
          <w:rFonts w:ascii="Arial" w:hAnsi="Arial"/>
        </w:rPr>
        <w:t>文件发布之日起计算。对</w:t>
      </w:r>
      <w:r>
        <w:rPr>
          <w:rFonts w:hint="eastAsia" w:ascii="Arial" w:hAnsi="Arial"/>
        </w:rPr>
        <w:t>已依法获取的采购</w:t>
      </w:r>
      <w:r>
        <w:rPr>
          <w:rFonts w:ascii="Arial" w:hAnsi="Arial"/>
        </w:rPr>
        <w:t>文件提出质疑的，质疑期限自供应商获得</w:t>
      </w:r>
      <w:r>
        <w:rPr>
          <w:rFonts w:hint="eastAsia" w:ascii="Arial" w:hAnsi="Arial"/>
        </w:rPr>
        <w:t>采购</w:t>
      </w:r>
      <w:r>
        <w:rPr>
          <w:rFonts w:ascii="Arial" w:hAnsi="Arial"/>
        </w:rPr>
        <w:t>文件之日起计算（但</w:t>
      </w:r>
      <w:r>
        <w:rPr>
          <w:rFonts w:hint="eastAsia" w:ascii="Arial" w:hAnsi="Arial"/>
        </w:rPr>
        <w:t>采购</w:t>
      </w:r>
      <w:r>
        <w:rPr>
          <w:rFonts w:ascii="Arial" w:hAnsi="Arial"/>
        </w:rPr>
        <w:t>文件在</w:t>
      </w:r>
      <w:r>
        <w:rPr>
          <w:rFonts w:hint="eastAsia" w:ascii="Arial" w:hAnsi="Arial"/>
        </w:rPr>
        <w:t>提供期限</w:t>
      </w:r>
      <w:r>
        <w:rPr>
          <w:rFonts w:ascii="Arial" w:hAnsi="Arial"/>
        </w:rPr>
        <w:t>截止日后获得的，应当自截止之日起计算），且应当在采购响应截止时间之前提出，否则，被质疑人可不予接受</w:t>
      </w:r>
      <w:r>
        <w:rPr>
          <w:rFonts w:hint="eastAsia" w:ascii="Arial" w:hAnsi="Arial"/>
        </w:rPr>
        <w:t>，对采购过程提出质疑的，为各采购程序环节结束之日；对中标或者成交结果提出质疑的，为中标或者成交结果公告期限届满之日</w:t>
      </w:r>
      <w:r>
        <w:rPr>
          <w:rFonts w:ascii="Arial" w:hAnsi="Arial"/>
        </w:rPr>
        <w:t>。</w:t>
      </w:r>
    </w:p>
    <w:p>
      <w:pPr>
        <w:numPr>
          <w:ilvl w:val="1"/>
          <w:numId w:val="4"/>
        </w:numPr>
        <w:snapToGrid w:val="0"/>
        <w:spacing w:line="400" w:lineRule="atLeast"/>
        <w:jc w:val="both"/>
        <w:rPr>
          <w:rFonts w:hint="eastAsia" w:ascii="Arial" w:hAnsi="Arial"/>
        </w:rPr>
      </w:pPr>
      <w:r>
        <w:rPr>
          <w:rFonts w:ascii="Arial" w:hAnsi="Arial"/>
        </w:rPr>
        <w:t>质疑、投诉应当采用书面形式，质疑书、投诉书均应明确阐述招标文件、招标过程和中标结果中使自己合法权益受到损害的实质性内容，提供相关事实、依据和证据及其来源或线索，便于有关单位调查、答复和处理</w:t>
      </w:r>
      <w:r>
        <w:rPr>
          <w:rFonts w:hint="eastAsia" w:ascii="Arial" w:hAnsi="Arial"/>
        </w:rPr>
        <w:t>。质疑书格式可参考瑞安市公共资源交易网表格下载处相关格式。</w:t>
      </w:r>
    </w:p>
    <w:p>
      <w:pPr>
        <w:numPr>
          <w:ilvl w:val="0"/>
          <w:numId w:val="17"/>
        </w:numPr>
        <w:snapToGrid w:val="0"/>
        <w:spacing w:line="400" w:lineRule="atLeast"/>
        <w:jc w:val="both"/>
        <w:rPr>
          <w:rFonts w:ascii="Arial" w:hAnsi="Arial"/>
        </w:rPr>
      </w:pPr>
      <w:r>
        <w:rPr>
          <w:rFonts w:hint="eastAsia" w:ascii="Arial" w:hAnsi="Arial"/>
        </w:rPr>
        <w:t xml:space="preserve"> 质疑受理机构：杭州华旗招标代理有限公司</w:t>
      </w:r>
    </w:p>
    <w:p>
      <w:pPr>
        <w:tabs>
          <w:tab w:val="left" w:pos="900"/>
        </w:tabs>
        <w:spacing w:line="400" w:lineRule="atLeast"/>
        <w:ind w:left="750" w:leftChars="357" w:firstLine="630" w:firstLineChars="300"/>
        <w:rPr>
          <w:rFonts w:ascii="Arial" w:hAnsi="Arial"/>
        </w:rPr>
      </w:pPr>
      <w:r>
        <w:rPr>
          <w:rFonts w:hint="eastAsia" w:ascii="Arial" w:hAnsi="Arial"/>
        </w:rPr>
        <w:t>联系电话：0577-85696867</w:t>
      </w:r>
    </w:p>
    <w:p>
      <w:pPr>
        <w:numPr>
          <w:ilvl w:val="0"/>
          <w:numId w:val="17"/>
        </w:numPr>
        <w:snapToGrid w:val="0"/>
        <w:spacing w:line="400" w:lineRule="atLeast"/>
        <w:jc w:val="both"/>
        <w:rPr>
          <w:rFonts w:ascii="宋体" w:hAnsi="宋体"/>
        </w:rPr>
      </w:pPr>
      <w:r>
        <w:rPr>
          <w:rFonts w:hint="eastAsia" w:ascii="宋体" w:hAnsi="宋体"/>
        </w:rPr>
        <w:t xml:space="preserve"> 投诉受理机构：瑞安市财政局政府采购监督管理科</w:t>
      </w:r>
    </w:p>
    <w:p>
      <w:pPr>
        <w:tabs>
          <w:tab w:val="left" w:pos="425"/>
          <w:tab w:val="left" w:pos="1133"/>
        </w:tabs>
        <w:spacing w:line="400" w:lineRule="atLeast"/>
        <w:ind w:left="1418"/>
        <w:rPr>
          <w:rFonts w:hint="eastAsia" w:ascii="Arial" w:hAnsi="Arial"/>
        </w:rPr>
      </w:pPr>
      <w:r>
        <w:rPr>
          <w:rFonts w:hint="eastAsia" w:ascii="Arial" w:hAnsi="Arial"/>
        </w:rPr>
        <w:t>联系人：张先生  联系电话：0577-65827567  传真：0577-65827570</w:t>
      </w:r>
    </w:p>
    <w:p>
      <w:pPr>
        <w:pStyle w:val="5"/>
        <w:spacing w:before="120" w:beforeLines="50" w:after="120" w:afterLines="50" w:line="400" w:lineRule="atLeast"/>
        <w:jc w:val="center"/>
        <w:rPr>
          <w:sz w:val="24"/>
          <w:szCs w:val="24"/>
        </w:rPr>
      </w:pPr>
      <w:bookmarkStart w:id="24" w:name="_Toc64913330"/>
      <w:r>
        <w:rPr>
          <w:rFonts w:hint="eastAsia"/>
          <w:sz w:val="24"/>
          <w:szCs w:val="24"/>
        </w:rPr>
        <w:t>（七）授予合同</w:t>
      </w:r>
      <w:bookmarkEnd w:id="24"/>
    </w:p>
    <w:p>
      <w:pPr>
        <w:numPr>
          <w:ilvl w:val="0"/>
          <w:numId w:val="4"/>
        </w:numPr>
        <w:snapToGrid w:val="0"/>
        <w:spacing w:line="400" w:lineRule="atLeast"/>
        <w:jc w:val="both"/>
        <w:rPr>
          <w:rFonts w:hint="eastAsia" w:ascii="Arial" w:hAnsi="Arial"/>
          <w:b/>
          <w:sz w:val="24"/>
        </w:rPr>
      </w:pPr>
      <w:r>
        <w:rPr>
          <w:rFonts w:hint="eastAsia" w:ascii="Arial" w:hAnsi="Arial"/>
          <w:b/>
          <w:sz w:val="24"/>
        </w:rPr>
        <w:t>中标通知</w:t>
      </w:r>
    </w:p>
    <w:p>
      <w:pPr>
        <w:numPr>
          <w:ilvl w:val="1"/>
          <w:numId w:val="4"/>
        </w:numPr>
        <w:snapToGrid w:val="0"/>
        <w:spacing w:line="400" w:lineRule="atLeast"/>
        <w:jc w:val="both"/>
        <w:rPr>
          <w:rFonts w:hint="eastAsia" w:ascii="Arial" w:hAnsi="Arial"/>
        </w:rPr>
      </w:pPr>
      <w:r>
        <w:rPr>
          <w:rFonts w:hint="eastAsia" w:ascii="Arial" w:hAnsi="Arial"/>
        </w:rPr>
        <w:t>在投标有效期期满之前，招标采购机构将以书面形式向获接受的投标供应商发出书面的《中标通知书》。《中标通知书》将是合同的一个组成部分。</w:t>
      </w:r>
    </w:p>
    <w:p>
      <w:pPr>
        <w:numPr>
          <w:ilvl w:val="0"/>
          <w:numId w:val="4"/>
        </w:numPr>
        <w:snapToGrid w:val="0"/>
        <w:spacing w:line="400" w:lineRule="atLeast"/>
        <w:jc w:val="both"/>
        <w:rPr>
          <w:rFonts w:hint="eastAsia" w:ascii="Arial" w:hAnsi="Arial"/>
          <w:b/>
          <w:sz w:val="24"/>
        </w:rPr>
      </w:pPr>
      <w:r>
        <w:rPr>
          <w:rFonts w:hint="eastAsia" w:ascii="Arial" w:hAnsi="Arial"/>
          <w:b/>
          <w:sz w:val="24"/>
        </w:rPr>
        <w:t>签订合同</w:t>
      </w:r>
    </w:p>
    <w:p>
      <w:pPr>
        <w:numPr>
          <w:ilvl w:val="1"/>
          <w:numId w:val="4"/>
        </w:numPr>
        <w:snapToGrid w:val="0"/>
        <w:spacing w:line="400" w:lineRule="atLeast"/>
        <w:jc w:val="both"/>
        <w:rPr>
          <w:rFonts w:hint="eastAsia" w:ascii="Arial" w:hAnsi="Arial"/>
        </w:rPr>
      </w:pPr>
      <w:r>
        <w:rPr>
          <w:rFonts w:hint="eastAsia" w:ascii="Arial" w:hAnsi="Arial"/>
        </w:rPr>
        <w:t>中标供应商须主动联系采购人或采购机构领取中标通知书。中标供应商应当在中标通知书发出之日起30日内与采购人签订合同。中标供应商未经采购人许可，在规定时间内未到采购人处与采购人签订合同，则视为拒签合同。</w:t>
      </w:r>
    </w:p>
    <w:p>
      <w:pPr>
        <w:numPr>
          <w:ilvl w:val="1"/>
          <w:numId w:val="4"/>
        </w:numPr>
        <w:snapToGrid w:val="0"/>
        <w:spacing w:line="400" w:lineRule="atLeast"/>
        <w:jc w:val="both"/>
        <w:rPr>
          <w:rFonts w:hint="eastAsia" w:ascii="Arial" w:hAnsi="Arial"/>
        </w:rPr>
      </w:pPr>
      <w:r>
        <w:rPr>
          <w:rFonts w:hint="eastAsia" w:ascii="Arial" w:hAnsi="Arial"/>
        </w:rPr>
        <w:t>招标文件、中标供应商的投标文件及其澄清文件等，均为签订经济合同的依据。中标供应商不得再要求订立背离合同实质性内容的其它合同或要求采购人签署其它任何声明或合同，否则将被取消其政府采购供应商资格。</w:t>
      </w:r>
    </w:p>
    <w:p>
      <w:pPr>
        <w:numPr>
          <w:ilvl w:val="1"/>
          <w:numId w:val="4"/>
        </w:numPr>
        <w:snapToGrid w:val="0"/>
        <w:spacing w:line="400" w:lineRule="atLeast"/>
        <w:jc w:val="both"/>
        <w:rPr>
          <w:rFonts w:hint="eastAsia" w:ascii="Arial" w:hAnsi="Arial"/>
        </w:rPr>
      </w:pPr>
      <w:r>
        <w:rPr>
          <w:rFonts w:hint="eastAsia" w:ascii="Arial" w:hAnsi="Arial"/>
        </w:rPr>
        <w:t>拒签合同的责任：中标供应商在中标通知书发出之日起，在规定时间内借故否认已经承诺的条件而拒签合同，以投标违约处理，须按合同总价10%的金额赔偿给采购人，并由此造成的直接经济损失均有中标供应商承担。瑞安市公共资源交易中心将此行为作为不良记录入库，并上报相关管理部门。采购人未按规定的时间、地点与中标供应商签订合同，按中标金额的2%支付违约金。</w:t>
      </w:r>
    </w:p>
    <w:p>
      <w:pPr>
        <w:numPr>
          <w:ilvl w:val="0"/>
          <w:numId w:val="4"/>
        </w:numPr>
        <w:snapToGrid w:val="0"/>
        <w:spacing w:line="400" w:lineRule="atLeast"/>
        <w:jc w:val="both"/>
        <w:rPr>
          <w:rFonts w:ascii="Arial" w:hAnsi="Arial"/>
          <w:b/>
          <w:sz w:val="24"/>
        </w:rPr>
      </w:pPr>
      <w:r>
        <w:rPr>
          <w:rFonts w:hint="eastAsia" w:ascii="Arial" w:hAnsi="Arial"/>
          <w:b/>
          <w:sz w:val="24"/>
        </w:rPr>
        <w:t>采购结果通知</w:t>
      </w:r>
    </w:p>
    <w:p>
      <w:pPr>
        <w:numPr>
          <w:ilvl w:val="1"/>
          <w:numId w:val="4"/>
        </w:numPr>
        <w:snapToGrid w:val="0"/>
        <w:spacing w:line="400" w:lineRule="atLeast"/>
        <w:jc w:val="both"/>
        <w:rPr>
          <w:rFonts w:ascii="宋体" w:hAnsi="宋体"/>
          <w:szCs w:val="21"/>
        </w:rPr>
      </w:pPr>
      <w:r>
        <w:rPr>
          <w:rFonts w:hint="eastAsia" w:ascii="宋体" w:hAnsi="宋体"/>
          <w:szCs w:val="21"/>
        </w:rPr>
        <w:t>招标采购机构在发出《中标通知书》的同时在“瑞安市公共资源交易网”与“浙江省政府采购网”发布中标结果公告。</w:t>
      </w:r>
    </w:p>
    <w:p>
      <w:pPr>
        <w:numPr>
          <w:ilvl w:val="0"/>
          <w:numId w:val="4"/>
        </w:numPr>
        <w:snapToGrid w:val="0"/>
        <w:spacing w:line="400" w:lineRule="atLeast"/>
        <w:jc w:val="both"/>
        <w:rPr>
          <w:rFonts w:hint="eastAsia" w:ascii="Arial" w:hAnsi="Arial"/>
          <w:b/>
          <w:sz w:val="24"/>
        </w:rPr>
      </w:pPr>
      <w:r>
        <w:rPr>
          <w:rFonts w:hint="eastAsia" w:ascii="Arial" w:hAnsi="Arial"/>
          <w:b/>
          <w:sz w:val="24"/>
        </w:rPr>
        <w:t>招标代理服务费</w:t>
      </w:r>
    </w:p>
    <w:p>
      <w:pPr>
        <w:numPr>
          <w:ilvl w:val="1"/>
          <w:numId w:val="4"/>
        </w:numPr>
        <w:snapToGrid w:val="0"/>
        <w:spacing w:line="400" w:lineRule="atLeast"/>
        <w:jc w:val="both"/>
        <w:rPr>
          <w:rFonts w:hint="eastAsia" w:ascii="Arial" w:hAnsi="宋体" w:cs="Arial"/>
          <w:b/>
          <w:sz w:val="22"/>
        </w:rPr>
      </w:pPr>
      <w:r>
        <w:rPr>
          <w:rFonts w:hint="eastAsia" w:ascii="Arial" w:hAnsi="宋体" w:cs="Arial"/>
          <w:b/>
          <w:sz w:val="22"/>
        </w:rPr>
        <w:t>经采购人和代理人双方协商，本次采购代理服务费由成交供应商支付，</w:t>
      </w:r>
      <w:r>
        <w:rPr>
          <w:rFonts w:hint="eastAsia" w:ascii="宋体" w:hAnsi="宋体"/>
          <w:b/>
          <w:szCs w:val="21"/>
        </w:rPr>
        <w:t xml:space="preserve">采购代理服务费以叁年的投标总价作为收费基准价格，按发改办价格（2003）857号文件及国家计委印发的《招标代理服务收费管理暂行办法》计价格【2002】1980号文件的收费标准收取。采购代理服务费不在报价中单列（各投标供应商应在报价中予以考虑），该费用必须在领取中标通知书前付清。 </w:t>
      </w:r>
    </w:p>
    <w:p>
      <w:pPr>
        <w:numPr>
          <w:ilvl w:val="1"/>
          <w:numId w:val="4"/>
        </w:numPr>
        <w:snapToGrid w:val="0"/>
        <w:spacing w:line="400" w:lineRule="atLeast"/>
        <w:jc w:val="both"/>
        <w:rPr>
          <w:rFonts w:hint="eastAsia" w:ascii="宋体" w:hAnsi="宋体"/>
          <w:szCs w:val="21"/>
        </w:rPr>
      </w:pPr>
      <w:r>
        <w:rPr>
          <w:rFonts w:hint="eastAsia" w:ascii="宋体" w:hAnsi="宋体"/>
          <w:szCs w:val="21"/>
        </w:rPr>
        <w:t>投标供应商应把代理服务费加在投标报价中。</w:t>
      </w:r>
    </w:p>
    <w:p>
      <w:pPr>
        <w:numPr>
          <w:ilvl w:val="1"/>
          <w:numId w:val="4"/>
        </w:numPr>
        <w:snapToGrid w:val="0"/>
        <w:spacing w:line="400" w:lineRule="atLeast"/>
        <w:jc w:val="both"/>
        <w:rPr>
          <w:rFonts w:hint="eastAsia" w:ascii="宋体" w:hAnsi="宋体"/>
          <w:szCs w:val="21"/>
        </w:rPr>
      </w:pPr>
      <w:r>
        <w:rPr>
          <w:rFonts w:hint="eastAsia" w:ascii="宋体" w:hAnsi="宋体"/>
          <w:szCs w:val="21"/>
        </w:rPr>
        <w:t>代理服务费可以是现金或汇票。</w:t>
      </w:r>
    </w:p>
    <w:p>
      <w:pPr>
        <w:numPr>
          <w:ilvl w:val="1"/>
          <w:numId w:val="4"/>
        </w:numPr>
        <w:snapToGrid w:val="0"/>
        <w:spacing w:line="400" w:lineRule="atLeast"/>
        <w:jc w:val="both"/>
        <w:rPr>
          <w:rFonts w:hint="eastAsia" w:ascii="宋体" w:hAnsi="宋体"/>
          <w:szCs w:val="21"/>
        </w:rPr>
      </w:pPr>
      <w:r>
        <w:rPr>
          <w:rFonts w:hint="eastAsia" w:ascii="宋体" w:hAnsi="宋体"/>
          <w:szCs w:val="21"/>
        </w:rPr>
        <w:t>代理服务费可按以下帐户、帐号汇入：</w:t>
      </w:r>
    </w:p>
    <w:p>
      <w:pPr>
        <w:tabs>
          <w:tab w:val="left" w:pos="5565"/>
        </w:tabs>
        <w:spacing w:line="460" w:lineRule="atLeast"/>
        <w:ind w:firstLine="1141" w:firstLineChars="541"/>
        <w:rPr>
          <w:rFonts w:ascii="宋体" w:hAnsi="宋体"/>
          <w:b/>
          <w:szCs w:val="21"/>
        </w:rPr>
      </w:pPr>
      <w:bookmarkStart w:id="25" w:name="_Toc176658517"/>
      <w:bookmarkStart w:id="26" w:name="_Toc506113645"/>
      <w:bookmarkStart w:id="27" w:name="_Toc176666480"/>
      <w:bookmarkStart w:id="28" w:name="_Toc176666481"/>
      <w:bookmarkStart w:id="29" w:name="_Toc176658518"/>
      <w:bookmarkStart w:id="30" w:name="_Toc455994561"/>
      <w:r>
        <w:rPr>
          <w:rFonts w:hint="eastAsia" w:ascii="宋体" w:hAnsi="宋体"/>
          <w:b/>
          <w:szCs w:val="21"/>
        </w:rPr>
        <w:t>开户</w:t>
      </w:r>
      <w:r>
        <w:rPr>
          <w:rFonts w:hint="eastAsia" w:ascii="宋体" w:hAnsi="宋体" w:cs="Arial"/>
          <w:b/>
          <w:szCs w:val="21"/>
        </w:rPr>
        <w:t>银行</w:t>
      </w:r>
      <w:r>
        <w:rPr>
          <w:rFonts w:hint="eastAsia" w:ascii="宋体" w:hAnsi="宋体"/>
          <w:b/>
          <w:szCs w:val="21"/>
        </w:rPr>
        <w:t>：平安银行杭州湖墅支行</w:t>
      </w:r>
    </w:p>
    <w:p>
      <w:pPr>
        <w:tabs>
          <w:tab w:val="left" w:pos="5565"/>
        </w:tabs>
        <w:spacing w:line="460" w:lineRule="atLeast"/>
        <w:ind w:firstLine="1141" w:firstLineChars="541"/>
        <w:rPr>
          <w:rFonts w:hint="eastAsia" w:ascii="宋体" w:hAnsi="宋体"/>
          <w:b/>
          <w:szCs w:val="21"/>
        </w:rPr>
      </w:pPr>
      <w:r>
        <w:rPr>
          <w:rFonts w:hint="eastAsia" w:ascii="宋体" w:hAnsi="宋体"/>
          <w:b/>
          <w:szCs w:val="21"/>
        </w:rPr>
        <w:t>开户名称：杭州华旗招标代理有限公司</w:t>
      </w:r>
    </w:p>
    <w:p>
      <w:pPr>
        <w:tabs>
          <w:tab w:val="left" w:pos="5565"/>
        </w:tabs>
        <w:spacing w:line="460" w:lineRule="atLeast"/>
        <w:ind w:firstLine="1141" w:firstLineChars="541"/>
        <w:rPr>
          <w:rFonts w:hint="eastAsia" w:ascii="宋体" w:hAnsi="宋体"/>
          <w:szCs w:val="21"/>
        </w:rPr>
      </w:pPr>
      <w:r>
        <w:rPr>
          <w:rFonts w:hint="eastAsia" w:ascii="宋体" w:hAnsi="宋体"/>
          <w:b/>
          <w:szCs w:val="21"/>
        </w:rPr>
        <w:t>开户帐号：11004847888501</w:t>
      </w:r>
    </w:p>
    <w:p>
      <w:pPr>
        <w:tabs>
          <w:tab w:val="left" w:pos="5565"/>
        </w:tabs>
        <w:spacing w:line="460" w:lineRule="atLeast"/>
        <w:ind w:firstLine="1514" w:firstLineChars="541"/>
        <w:rPr>
          <w:rFonts w:hAnsi="宋体"/>
          <w:sz w:val="28"/>
          <w:szCs w:val="36"/>
        </w:rPr>
      </w:pPr>
    </w:p>
    <w:p>
      <w:pPr>
        <w:pStyle w:val="2"/>
        <w:rPr>
          <w:rFonts w:hint="eastAsia" w:ascii="宋体" w:hAnsi="宋体" w:eastAsia="宋体"/>
          <w:color w:val="000000"/>
          <w:sz w:val="22"/>
          <w:szCs w:val="22"/>
        </w:rPr>
      </w:pPr>
    </w:p>
    <w:p>
      <w:pPr>
        <w:pStyle w:val="3"/>
        <w:keepNext w:val="0"/>
        <w:keepLines w:val="0"/>
        <w:pageBreakBefore/>
        <w:jc w:val="center"/>
        <w:rPr>
          <w:rFonts w:hint="eastAsia"/>
          <w:sz w:val="36"/>
        </w:rPr>
      </w:pPr>
      <w:bookmarkStart w:id="31" w:name="_Toc64913331"/>
      <w:r>
        <w:rPr>
          <w:rFonts w:hint="eastAsia"/>
          <w:sz w:val="36"/>
        </w:rPr>
        <w:t>第三部分  招标内容及技术要求</w:t>
      </w:r>
      <w:bookmarkEnd w:id="25"/>
      <w:bookmarkEnd w:id="26"/>
      <w:bookmarkEnd w:id="27"/>
      <w:bookmarkEnd w:id="31"/>
    </w:p>
    <w:p>
      <w:pPr>
        <w:widowControl w:val="0"/>
        <w:spacing w:line="400" w:lineRule="exact"/>
        <w:jc w:val="both"/>
        <w:rPr>
          <w:rFonts w:hint="eastAsia" w:ascii="宋体" w:hAnsi="宋体"/>
          <w:b/>
          <w:bCs/>
          <w:sz w:val="22"/>
          <w:szCs w:val="22"/>
        </w:rPr>
      </w:pPr>
      <w:r>
        <w:rPr>
          <w:rFonts w:hint="eastAsia" w:ascii="宋体" w:hAnsi="宋体"/>
          <w:b/>
          <w:bCs/>
          <w:sz w:val="22"/>
          <w:szCs w:val="22"/>
        </w:rPr>
        <w:t>一、概述</w:t>
      </w:r>
    </w:p>
    <w:p>
      <w:pPr>
        <w:spacing w:line="460" w:lineRule="exact"/>
        <w:ind w:firstLine="420" w:firstLineChars="200"/>
        <w:rPr>
          <w:rFonts w:hint="eastAsia" w:ascii="宋体" w:hAnsi="宋体"/>
          <w:color w:val="000000"/>
          <w:szCs w:val="21"/>
        </w:rPr>
      </w:pPr>
      <w:r>
        <w:rPr>
          <w:rFonts w:hint="eastAsia" w:ascii="宋体" w:hAnsi="宋体"/>
          <w:color w:val="000000"/>
          <w:szCs w:val="21"/>
        </w:rPr>
        <w:t>（一）投标供应商必须完成招标内容和合同规定义务，不允许只对部分内容进行报价。</w:t>
      </w:r>
    </w:p>
    <w:p>
      <w:pPr>
        <w:spacing w:line="460" w:lineRule="exact"/>
        <w:ind w:firstLine="420" w:firstLineChars="200"/>
        <w:rPr>
          <w:rFonts w:hint="eastAsia" w:ascii="宋体" w:hAnsi="宋体"/>
          <w:color w:val="000000"/>
          <w:szCs w:val="21"/>
        </w:rPr>
      </w:pPr>
      <w:r>
        <w:rPr>
          <w:rFonts w:hint="eastAsia" w:ascii="宋体" w:hAnsi="宋体"/>
          <w:color w:val="000000"/>
          <w:szCs w:val="21"/>
        </w:rPr>
        <w:t>（二）现场踏勘：各投标供应商于投标截止时间前自行到现场进行踏勘，以获取本次投标所需的现场资料及数据，投标供应商若未到现场踏勘，引起的一切后果均由其自行负责，由此造成投标价的偏差均不予调整。现场踏勘费用自理。</w:t>
      </w:r>
    </w:p>
    <w:p>
      <w:pPr>
        <w:spacing w:line="460" w:lineRule="exact"/>
        <w:ind w:firstLine="420" w:firstLineChars="200"/>
        <w:rPr>
          <w:rFonts w:hint="eastAsia" w:ascii="宋体" w:hAnsi="宋体"/>
          <w:color w:val="000000"/>
          <w:szCs w:val="21"/>
        </w:rPr>
      </w:pPr>
      <w:r>
        <w:rPr>
          <w:rFonts w:hint="eastAsia" w:ascii="宋体" w:hAnsi="宋体"/>
          <w:color w:val="000000"/>
          <w:szCs w:val="21"/>
        </w:rPr>
        <w:t>（三）▲投标供应商需要对本次招标的全部招标内容进行投标，不允许只对其中部分内容进行投标，谢绝联合投标。</w:t>
      </w:r>
    </w:p>
    <w:p>
      <w:pPr>
        <w:spacing w:line="460" w:lineRule="exact"/>
        <w:ind w:firstLine="420" w:firstLineChars="200"/>
        <w:rPr>
          <w:rFonts w:hint="eastAsia" w:ascii="宋体" w:hAnsi="宋体"/>
          <w:color w:val="000000"/>
          <w:szCs w:val="21"/>
        </w:rPr>
      </w:pPr>
      <w:r>
        <w:rPr>
          <w:rFonts w:hint="eastAsia" w:ascii="宋体" w:hAnsi="宋体"/>
          <w:color w:val="000000"/>
          <w:szCs w:val="21"/>
        </w:rPr>
        <w:t>（四）投标供应商应按招标文件的要求完成采购工作。按工作顺序提交所需的无论其是否被明细列在合同文件中的所有资料，提供的货物和服务必须满足招标文件中提出的相关要求。</w:t>
      </w:r>
    </w:p>
    <w:p>
      <w:pPr>
        <w:spacing w:line="460" w:lineRule="exact"/>
        <w:ind w:firstLine="420" w:firstLineChars="200"/>
        <w:rPr>
          <w:rFonts w:hint="eastAsia" w:ascii="宋体" w:hAnsi="宋体"/>
          <w:color w:val="000000"/>
          <w:szCs w:val="21"/>
        </w:rPr>
      </w:pPr>
      <w:r>
        <w:rPr>
          <w:rFonts w:hint="eastAsia" w:ascii="宋体" w:hAnsi="宋体"/>
          <w:color w:val="000000"/>
          <w:szCs w:val="21"/>
        </w:rPr>
        <w:t>（五）在投标之前，投标供应商须仔细阅读招标文件，如发现有任何疑问、冲突或技术问题，投标供应商在答疑截止时间前以书面形式向采购代理机构提出。逾期采购人不再作答复，有关风险及责任由投标供应商自行承担。</w:t>
      </w:r>
    </w:p>
    <w:p>
      <w:pPr>
        <w:spacing w:line="460" w:lineRule="exact"/>
        <w:ind w:firstLine="420" w:firstLineChars="200"/>
        <w:rPr>
          <w:rFonts w:hint="eastAsia" w:ascii="宋体" w:hAnsi="宋体"/>
          <w:color w:val="000000"/>
          <w:szCs w:val="21"/>
        </w:rPr>
      </w:pPr>
      <w:r>
        <w:rPr>
          <w:rFonts w:hint="eastAsia" w:ascii="宋体" w:hAnsi="宋体"/>
          <w:color w:val="000000"/>
          <w:szCs w:val="21"/>
        </w:rPr>
        <w:t>（六）投标供应商须对招标文件中各个条款一一给予实质性答复，否则有可能导致作无效标处理。</w:t>
      </w:r>
    </w:p>
    <w:p>
      <w:pPr>
        <w:widowControl w:val="0"/>
        <w:spacing w:line="360" w:lineRule="auto"/>
        <w:jc w:val="both"/>
        <w:rPr>
          <w:rFonts w:hint="eastAsia" w:ascii="宋体" w:hAnsi="宋体"/>
          <w:b/>
          <w:bCs/>
          <w:sz w:val="22"/>
          <w:szCs w:val="22"/>
        </w:rPr>
      </w:pPr>
      <w:bookmarkStart w:id="32" w:name="_Toc309920269"/>
      <w:r>
        <w:rPr>
          <w:rFonts w:hint="eastAsia" w:ascii="宋体" w:hAnsi="宋体"/>
          <w:b/>
          <w:bCs/>
          <w:sz w:val="22"/>
          <w:szCs w:val="22"/>
        </w:rPr>
        <w:t>二、招标范围</w:t>
      </w:r>
    </w:p>
    <w:p>
      <w:pPr>
        <w:adjustRightInd w:val="0"/>
        <w:snapToGrid w:val="0"/>
        <w:spacing w:line="360" w:lineRule="auto"/>
        <w:rPr>
          <w:rFonts w:ascii="宋体" w:hAnsi="宋体" w:cs="Arial"/>
          <w:b/>
          <w:bCs/>
        </w:rPr>
      </w:pPr>
      <w:r>
        <w:rPr>
          <w:rFonts w:hint="eastAsia" w:ascii="宋体" w:hAnsi="宋体" w:cs="Arial"/>
          <w:b/>
          <w:bCs/>
        </w:rPr>
        <w:t>（一）项目概况</w:t>
      </w:r>
    </w:p>
    <w:tbl>
      <w:tblPr>
        <w:tblStyle w:val="35"/>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1"/>
        <w:gridCol w:w="1814"/>
        <w:gridCol w:w="1400"/>
        <w:gridCol w:w="4593"/>
        <w:gridCol w:w="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trPr>
        <w:tc>
          <w:tcPr>
            <w:tcW w:w="309" w:type="pct"/>
            <w:noWrap w:val="0"/>
            <w:vAlign w:val="center"/>
          </w:tcPr>
          <w:p>
            <w:pPr>
              <w:wordWrap w:val="0"/>
              <w:overflowPunct w:val="0"/>
              <w:spacing w:line="276" w:lineRule="auto"/>
              <w:jc w:val="center"/>
              <w:rPr>
                <w:rFonts w:ascii="Arial" w:hAnsi="Arial" w:cs="Arial"/>
                <w:szCs w:val="21"/>
              </w:rPr>
            </w:pPr>
            <w:r>
              <w:rPr>
                <w:rFonts w:hint="eastAsia" w:ascii="Arial" w:hAnsi="Arial" w:cs="Arial"/>
                <w:szCs w:val="21"/>
              </w:rPr>
              <w:t>序号</w:t>
            </w:r>
          </w:p>
        </w:tc>
        <w:tc>
          <w:tcPr>
            <w:tcW w:w="999" w:type="pct"/>
            <w:noWrap w:val="0"/>
            <w:vAlign w:val="center"/>
          </w:tcPr>
          <w:p>
            <w:pPr>
              <w:tabs>
                <w:tab w:val="left" w:pos="426"/>
              </w:tabs>
              <w:wordWrap w:val="0"/>
              <w:overflowPunct w:val="0"/>
              <w:snapToGrid w:val="0"/>
              <w:spacing w:line="300" w:lineRule="auto"/>
              <w:ind w:left="13"/>
              <w:jc w:val="center"/>
              <w:rPr>
                <w:rFonts w:ascii="宋体" w:hAnsi="宋体"/>
                <w:szCs w:val="21"/>
              </w:rPr>
            </w:pPr>
            <w:r>
              <w:rPr>
                <w:rFonts w:ascii="宋体" w:hAnsi="宋体"/>
                <w:szCs w:val="21"/>
              </w:rPr>
              <w:t>标项内容</w:t>
            </w:r>
          </w:p>
        </w:tc>
        <w:tc>
          <w:tcPr>
            <w:tcW w:w="771" w:type="pct"/>
            <w:noWrap w:val="0"/>
            <w:tcMar>
              <w:top w:w="30" w:type="dxa"/>
              <w:left w:w="30" w:type="dxa"/>
              <w:bottom w:w="30" w:type="dxa"/>
              <w:right w:w="30" w:type="dxa"/>
            </w:tcMar>
            <w:vAlign w:val="center"/>
          </w:tcPr>
          <w:p>
            <w:pPr>
              <w:wordWrap w:val="0"/>
              <w:overflowPunct w:val="0"/>
              <w:spacing w:line="276" w:lineRule="auto"/>
              <w:jc w:val="center"/>
              <w:rPr>
                <w:rFonts w:ascii="Arial" w:hAnsi="Arial" w:cs="Arial"/>
                <w:szCs w:val="21"/>
              </w:rPr>
            </w:pPr>
            <w:r>
              <w:rPr>
                <w:rFonts w:hint="eastAsia" w:ascii="Arial" w:hAnsi="Arial" w:cs="Arial"/>
                <w:szCs w:val="21"/>
              </w:rPr>
              <w:t>采购</w:t>
            </w:r>
            <w:r>
              <w:rPr>
                <w:rFonts w:ascii="Arial" w:hAnsi="Arial" w:cs="Arial"/>
                <w:szCs w:val="21"/>
              </w:rPr>
              <w:t>人</w:t>
            </w:r>
          </w:p>
        </w:tc>
        <w:tc>
          <w:tcPr>
            <w:tcW w:w="2529" w:type="pct"/>
            <w:noWrap w:val="0"/>
            <w:tcMar>
              <w:top w:w="30" w:type="dxa"/>
              <w:left w:w="30" w:type="dxa"/>
              <w:bottom w:w="30" w:type="dxa"/>
              <w:right w:w="30" w:type="dxa"/>
            </w:tcMar>
            <w:vAlign w:val="center"/>
          </w:tcPr>
          <w:p>
            <w:pPr>
              <w:wordWrap w:val="0"/>
              <w:overflowPunct w:val="0"/>
              <w:spacing w:line="276" w:lineRule="auto"/>
              <w:rPr>
                <w:rFonts w:ascii="新宋体" w:hAnsi="新宋体" w:eastAsia="新宋体"/>
                <w:b/>
                <w:szCs w:val="21"/>
              </w:rPr>
            </w:pPr>
            <w:r>
              <w:rPr>
                <w:rFonts w:ascii="新宋体" w:hAnsi="新宋体" w:eastAsia="新宋体"/>
                <w:b/>
                <w:szCs w:val="21"/>
              </w:rPr>
              <w:t>简要技术要求、用途</w:t>
            </w:r>
          </w:p>
        </w:tc>
        <w:tc>
          <w:tcPr>
            <w:tcW w:w="392" w:type="pct"/>
            <w:noWrap w:val="0"/>
            <w:vAlign w:val="top"/>
          </w:tcPr>
          <w:p>
            <w:pPr>
              <w:wordWrap w:val="0"/>
              <w:overflowPunct w:val="0"/>
              <w:spacing w:line="276" w:lineRule="auto"/>
              <w:rPr>
                <w:rFonts w:ascii="新宋体" w:hAnsi="新宋体" w:eastAsia="新宋体"/>
                <w:sz w:val="22"/>
              </w:rPr>
            </w:pPr>
            <w:r>
              <w:rPr>
                <w:rFonts w:hint="eastAsia" w:ascii="新宋体" w:hAnsi="新宋体" w:eastAsia="新宋体"/>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0" w:hRule="atLeast"/>
        </w:trPr>
        <w:tc>
          <w:tcPr>
            <w:tcW w:w="309" w:type="pct"/>
            <w:noWrap w:val="0"/>
            <w:vAlign w:val="center"/>
          </w:tcPr>
          <w:p>
            <w:pPr>
              <w:wordWrap w:val="0"/>
              <w:overflowPunct w:val="0"/>
              <w:spacing w:line="276" w:lineRule="auto"/>
              <w:jc w:val="center"/>
              <w:rPr>
                <w:rFonts w:ascii="Arial" w:hAnsi="Arial" w:cs="Arial"/>
                <w:szCs w:val="21"/>
              </w:rPr>
            </w:pPr>
            <w:r>
              <w:rPr>
                <w:rFonts w:hint="eastAsia" w:ascii="Arial" w:hAnsi="Arial" w:cs="Arial"/>
                <w:szCs w:val="21"/>
              </w:rPr>
              <w:t>1</w:t>
            </w:r>
          </w:p>
        </w:tc>
        <w:tc>
          <w:tcPr>
            <w:tcW w:w="999" w:type="pct"/>
            <w:noWrap w:val="0"/>
            <w:vAlign w:val="center"/>
          </w:tcPr>
          <w:p>
            <w:pPr>
              <w:wordWrap w:val="0"/>
              <w:overflowPunct w:val="0"/>
              <w:spacing w:line="276" w:lineRule="auto"/>
              <w:rPr>
                <w:rFonts w:ascii="新宋体" w:hAnsi="新宋体" w:eastAsia="新宋体"/>
                <w:szCs w:val="21"/>
              </w:rPr>
            </w:pPr>
            <w:r>
              <w:rPr>
                <w:rFonts w:hint="eastAsia" w:ascii="新宋体" w:hAnsi="新宋体" w:eastAsia="新宋体"/>
                <w:szCs w:val="21"/>
              </w:rPr>
              <w:t>安阳街道“一把扫帚”环卫保洁一体化项目</w:t>
            </w:r>
          </w:p>
        </w:tc>
        <w:tc>
          <w:tcPr>
            <w:tcW w:w="771" w:type="pct"/>
            <w:noWrap w:val="0"/>
            <w:tcMar>
              <w:top w:w="30" w:type="dxa"/>
              <w:left w:w="30" w:type="dxa"/>
              <w:bottom w:w="30" w:type="dxa"/>
              <w:right w:w="30" w:type="dxa"/>
            </w:tcMar>
            <w:vAlign w:val="center"/>
          </w:tcPr>
          <w:p>
            <w:pPr>
              <w:wordWrap w:val="0"/>
              <w:overflowPunct w:val="0"/>
              <w:spacing w:line="276" w:lineRule="auto"/>
              <w:jc w:val="both"/>
              <w:rPr>
                <w:rFonts w:hint="eastAsia" w:ascii="新宋体" w:hAnsi="新宋体" w:eastAsia="新宋体"/>
                <w:szCs w:val="21"/>
              </w:rPr>
            </w:pPr>
            <w:r>
              <w:rPr>
                <w:rFonts w:hint="eastAsia" w:ascii="宋体" w:hAnsi="宋体" w:eastAsia="新宋体" w:cs="Arial Unicode MS"/>
                <w:szCs w:val="21"/>
              </w:rPr>
              <w:t>瑞安市综合行政执法局、瑞安市安阳街道办事处</w:t>
            </w:r>
          </w:p>
        </w:tc>
        <w:tc>
          <w:tcPr>
            <w:tcW w:w="2529" w:type="pct"/>
            <w:noWrap w:val="0"/>
            <w:tcMar>
              <w:top w:w="30" w:type="dxa"/>
              <w:left w:w="30" w:type="dxa"/>
              <w:bottom w:w="30" w:type="dxa"/>
              <w:right w:w="30" w:type="dxa"/>
            </w:tcMar>
            <w:vAlign w:val="center"/>
          </w:tcPr>
          <w:p>
            <w:pPr>
              <w:wordWrap w:val="0"/>
              <w:overflowPunct w:val="0"/>
              <w:spacing w:line="276" w:lineRule="auto"/>
              <w:jc w:val="both"/>
              <w:rPr>
                <w:rFonts w:ascii="新宋体" w:hAnsi="新宋体" w:eastAsia="新宋体"/>
                <w:szCs w:val="21"/>
              </w:rPr>
            </w:pPr>
            <w:r>
              <w:rPr>
                <w:rFonts w:hint="eastAsia" w:ascii="新宋体" w:hAnsi="新宋体" w:eastAsia="新宋体"/>
                <w:szCs w:val="21"/>
              </w:rPr>
              <w:t>包括道路（含公路）、公园、广场及公共绿地、市政设施、城市家具、河道、公厕的保洁清运；小广告的治理；无主的建筑垃圾清运处置；垃圾分类及清运、等公共区域内所有环卫保洁项目、非保洁区域垃圾分类统一收运；具体要求以招标文件及采购人业务要求为准。</w:t>
            </w:r>
          </w:p>
        </w:tc>
        <w:tc>
          <w:tcPr>
            <w:tcW w:w="392" w:type="pct"/>
            <w:noWrap w:val="0"/>
            <w:vAlign w:val="center"/>
          </w:tcPr>
          <w:p>
            <w:pPr>
              <w:wordWrap w:val="0"/>
              <w:overflowPunct w:val="0"/>
              <w:spacing w:line="276" w:lineRule="auto"/>
              <w:jc w:val="both"/>
              <w:rPr>
                <w:rFonts w:ascii="新宋体" w:hAnsi="新宋体" w:eastAsia="新宋体"/>
                <w:szCs w:val="21"/>
              </w:rPr>
            </w:pPr>
          </w:p>
        </w:tc>
      </w:tr>
    </w:tbl>
    <w:p>
      <w:pPr>
        <w:adjustRightInd w:val="0"/>
        <w:snapToGrid w:val="0"/>
        <w:spacing w:line="360" w:lineRule="auto"/>
        <w:rPr>
          <w:rFonts w:ascii="宋体" w:hAnsi="宋体" w:cs="Arial"/>
        </w:rPr>
      </w:pPr>
    </w:p>
    <w:p>
      <w:pPr>
        <w:adjustRightInd w:val="0"/>
        <w:snapToGrid w:val="0"/>
        <w:spacing w:line="360" w:lineRule="auto"/>
        <w:rPr>
          <w:rFonts w:ascii="宋体" w:hAnsi="宋体" w:cs="Arial"/>
          <w:b/>
          <w:bCs/>
        </w:rPr>
      </w:pPr>
      <w:r>
        <w:rPr>
          <w:rFonts w:hint="eastAsia" w:ascii="宋体" w:hAnsi="宋体" w:cs="Arial"/>
          <w:b/>
          <w:bCs/>
        </w:rPr>
        <w:t>（二）具体保洁范围清单（作业量清单提供电子版，供应商自行下载核对）</w:t>
      </w:r>
    </w:p>
    <w:p>
      <w:pPr>
        <w:adjustRightInd w:val="0"/>
        <w:snapToGrid w:val="0"/>
        <w:spacing w:line="360" w:lineRule="auto"/>
        <w:ind w:firstLine="422" w:firstLineChars="200"/>
        <w:rPr>
          <w:rFonts w:ascii="宋体" w:hAnsi="宋体" w:cs="Arial"/>
          <w:b/>
          <w:bCs/>
        </w:rPr>
      </w:pPr>
      <w:r>
        <w:rPr>
          <w:rFonts w:ascii="宋体" w:hAnsi="宋体" w:cs="Arial"/>
          <w:b/>
          <w:bCs/>
        </w:rPr>
        <w:t>1</w:t>
      </w:r>
      <w:r>
        <w:rPr>
          <w:rFonts w:hint="eastAsia" w:ascii="宋体" w:hAnsi="宋体" w:cs="Arial"/>
          <w:b/>
          <w:bCs/>
        </w:rPr>
        <w:t>、瑞安市安阳街道行政区域范围的所有公共区域，具体见招标文件附件1-《瑞安市安阳街道环卫保洁作业量清单》。</w:t>
      </w:r>
    </w:p>
    <w:p>
      <w:pPr>
        <w:adjustRightInd w:val="0"/>
        <w:snapToGrid w:val="0"/>
        <w:spacing w:line="360" w:lineRule="auto"/>
        <w:ind w:firstLine="422" w:firstLineChars="200"/>
        <w:rPr>
          <w:rFonts w:ascii="宋体" w:hAnsi="宋体"/>
          <w:b/>
          <w:bCs/>
          <w:color w:val="000000"/>
          <w:kern w:val="2"/>
          <w:szCs w:val="21"/>
        </w:rPr>
      </w:pPr>
      <w:r>
        <w:rPr>
          <w:rFonts w:hint="eastAsia" w:ascii="宋体" w:hAnsi="宋体"/>
          <w:b/>
          <w:bCs/>
          <w:color w:val="000000"/>
          <w:kern w:val="2"/>
          <w:szCs w:val="21"/>
        </w:rPr>
        <w:t>2、作业量清单说明</w:t>
      </w:r>
    </w:p>
    <w:p>
      <w:pPr>
        <w:adjustRightInd w:val="0"/>
        <w:snapToGrid w:val="0"/>
        <w:spacing w:line="360" w:lineRule="auto"/>
        <w:ind w:firstLine="420" w:firstLineChars="200"/>
        <w:rPr>
          <w:rFonts w:hint="eastAsia" w:ascii="宋体" w:hAnsi="宋体"/>
          <w:color w:val="000000"/>
          <w:kern w:val="2"/>
          <w:szCs w:val="21"/>
        </w:rPr>
      </w:pPr>
      <w:r>
        <w:rPr>
          <w:rFonts w:hint="eastAsia" w:ascii="宋体" w:hAnsi="宋体"/>
          <w:color w:val="000000"/>
          <w:kern w:val="2"/>
          <w:szCs w:val="21"/>
        </w:rPr>
        <w:t>（1）保洁区域内的公园、广场、公共绿地、公共绿化、公共花坛等包含在本次招标范围中，总价包干，具体数量不一一列出，由供应商实地勘察自行测算；</w:t>
      </w:r>
    </w:p>
    <w:p>
      <w:pPr>
        <w:adjustRightInd w:val="0"/>
        <w:snapToGrid w:val="0"/>
        <w:spacing w:line="360" w:lineRule="auto"/>
        <w:ind w:firstLine="420" w:firstLineChars="200"/>
        <w:rPr>
          <w:rFonts w:hint="eastAsia" w:ascii="宋体" w:hAnsi="宋体"/>
          <w:color w:val="000000"/>
          <w:kern w:val="2"/>
          <w:szCs w:val="21"/>
        </w:rPr>
      </w:pPr>
      <w:r>
        <w:rPr>
          <w:rFonts w:hint="eastAsia" w:ascii="宋体" w:hAnsi="宋体"/>
          <w:color w:val="000000"/>
          <w:kern w:val="2"/>
          <w:szCs w:val="21"/>
        </w:rPr>
        <w:t>（2）保洁区域内的道路（含公路）护栏，隔离栏、公交站台、站牌、电杆、监控杆、灯箱、广告牌、弱电设施、固定室外座椅等市政设施包含在本次招标范围中，总价包干，具体数量不一一列出，由供应商实地勘察自行测算。</w:t>
      </w:r>
    </w:p>
    <w:p>
      <w:pPr>
        <w:adjustRightInd w:val="0"/>
        <w:snapToGrid w:val="0"/>
        <w:spacing w:line="360" w:lineRule="auto"/>
        <w:ind w:firstLine="420" w:firstLineChars="200"/>
        <w:rPr>
          <w:rFonts w:ascii="宋体" w:hAnsi="宋体"/>
          <w:kern w:val="2"/>
          <w:szCs w:val="21"/>
        </w:rPr>
      </w:pPr>
      <w:r>
        <w:rPr>
          <w:rFonts w:hint="eastAsia" w:ascii="宋体" w:hAnsi="宋体"/>
          <w:color w:val="000000"/>
          <w:kern w:val="2"/>
          <w:szCs w:val="21"/>
        </w:rPr>
        <w:t>（3）保洁区域内的池塘、溪流、沟、渠、小微水体等包含在本次招标范围内，总价包干，具体数量</w:t>
      </w:r>
      <w:r>
        <w:rPr>
          <w:rFonts w:hint="eastAsia" w:ascii="宋体" w:hAnsi="宋体"/>
          <w:kern w:val="2"/>
          <w:szCs w:val="21"/>
        </w:rPr>
        <w:t>不一一列出，由供应商实地勘察自行测算。</w:t>
      </w:r>
    </w:p>
    <w:p>
      <w:pPr>
        <w:adjustRightInd w:val="0"/>
        <w:snapToGrid w:val="0"/>
        <w:spacing w:line="360" w:lineRule="auto"/>
        <w:ind w:firstLine="420" w:firstLineChars="200"/>
        <w:rPr>
          <w:rFonts w:ascii="宋体" w:hAnsi="宋体"/>
          <w:kern w:val="2"/>
          <w:szCs w:val="21"/>
        </w:rPr>
      </w:pPr>
      <w:r>
        <w:rPr>
          <w:rFonts w:hint="eastAsia" w:ascii="宋体" w:hAnsi="宋体"/>
          <w:kern w:val="2"/>
          <w:szCs w:val="21"/>
        </w:rPr>
        <w:t>（4）已列入本项目保洁范围的开放式小区今后如实行封闭式管理，自实行封闭管理之日起退出本项目保洁范围并扣除相应保洁费用，供应商须无条件服从。</w:t>
      </w:r>
    </w:p>
    <w:p>
      <w:pPr>
        <w:adjustRightInd w:val="0"/>
        <w:snapToGrid w:val="0"/>
        <w:spacing w:line="360" w:lineRule="auto"/>
        <w:ind w:firstLine="440" w:firstLineChars="200"/>
        <w:rPr>
          <w:rFonts w:hint="eastAsia" w:ascii="宋体" w:hAnsi="宋体"/>
          <w:kern w:val="2"/>
          <w:sz w:val="22"/>
          <w:szCs w:val="22"/>
        </w:rPr>
      </w:pPr>
      <w:r>
        <w:rPr>
          <w:rFonts w:hint="eastAsia" w:ascii="宋体" w:hAnsi="宋体"/>
          <w:kern w:val="2"/>
          <w:sz w:val="22"/>
          <w:szCs w:val="22"/>
        </w:rPr>
        <w:t>（5）本次招标范围包括烟墩山周边无主生活垃圾，无主建筑垃圾的及时收运，加强日常巡查，发现问题及时报告，及时清运，其它保洁要求须响应采购人要求，纳入考核范围。费用包含在投标总价中。</w:t>
      </w:r>
    </w:p>
    <w:p>
      <w:pPr>
        <w:adjustRightInd w:val="0"/>
        <w:snapToGrid w:val="0"/>
        <w:spacing w:line="360" w:lineRule="auto"/>
        <w:ind w:firstLine="420" w:firstLineChars="200"/>
        <w:rPr>
          <w:rFonts w:ascii="宋体" w:hAnsi="宋体"/>
          <w:color w:val="000000"/>
          <w:kern w:val="2"/>
          <w:szCs w:val="21"/>
        </w:rPr>
      </w:pPr>
      <w:r>
        <w:rPr>
          <w:rFonts w:hint="eastAsia" w:ascii="宋体" w:hAnsi="宋体"/>
          <w:color w:val="000000"/>
          <w:kern w:val="2"/>
          <w:szCs w:val="21"/>
        </w:rPr>
        <w:t>5、本项目提供的市政道路、公路、河道、水体、公园、广场等保洁面积为参考数据，合同执行过程保洁面积以实际面积为准，供应商须现场踏勘，以求得准确的报价依据，并自行承担投标报价风险。保洁范围特别说明如下：</w:t>
      </w:r>
    </w:p>
    <w:p>
      <w:pPr>
        <w:pStyle w:val="2"/>
        <w:ind w:firstLine="420" w:firstLineChars="200"/>
        <w:rPr>
          <w:rFonts w:hint="eastAsia" w:ascii="宋体" w:hAnsi="宋体" w:eastAsia="宋体"/>
          <w:color w:val="000000"/>
          <w:sz w:val="21"/>
          <w:szCs w:val="21"/>
        </w:rPr>
      </w:pPr>
      <w:r>
        <w:rPr>
          <w:rFonts w:hint="eastAsia" w:ascii="宋体" w:hAnsi="宋体" w:eastAsia="宋体"/>
          <w:color w:val="000000"/>
          <w:sz w:val="21"/>
          <w:szCs w:val="21"/>
        </w:rPr>
        <w:t>1）纳入保洁区域内漏算面积（不含中标后新建面积），不超过总面积10%的，多算面积不超过总面积5%的，由供应商予以承担保洁任务且合同总价（中标价）不变。如区域内漏算面积，超过总面积10%的，超出部分按实际投入人员，机械情况，合同各方视情况协商解决。如区域内多算面积，超过总面积5%的，多算部分按投标单价予以扣除。公厕按座数，参照以上比例的范围予以调整。</w:t>
      </w:r>
    </w:p>
    <w:p>
      <w:pPr>
        <w:pStyle w:val="2"/>
        <w:ind w:firstLine="420" w:firstLineChars="200"/>
        <w:rPr>
          <w:rFonts w:hint="eastAsia" w:ascii="宋体" w:hAnsi="宋体" w:eastAsia="宋体"/>
          <w:color w:val="000000"/>
          <w:sz w:val="21"/>
          <w:szCs w:val="21"/>
        </w:rPr>
      </w:pPr>
      <w:r>
        <w:rPr>
          <w:rFonts w:hint="eastAsia" w:ascii="宋体" w:hAnsi="宋体" w:eastAsia="宋体"/>
          <w:color w:val="000000"/>
          <w:sz w:val="21"/>
          <w:szCs w:val="21"/>
        </w:rPr>
        <w:t>（2）在合同期内，因市政建设或河道清淤需要征用、临时占用需要调整供应商清扫保洁面积时，采购人根据占用的时间和面积数，扣除相应的清扫保洁费，供应商须无条件服从，</w:t>
      </w:r>
      <w:r>
        <w:rPr>
          <w:rFonts w:hint="eastAsia" w:ascii="宋体" w:hAnsi="宋体" w:eastAsia="宋体" w:cs="宋体"/>
          <w:sz w:val="21"/>
          <w:szCs w:val="21"/>
        </w:rPr>
        <w:t>由属地镇街将核减区域面积、人数、机械化作业及核减经费以书面形式告知瑞安市执法局，具体核减方式按该核减区域面积与区域总面积比例来测算此次需要核减的经费</w:t>
      </w:r>
      <w:r>
        <w:rPr>
          <w:rFonts w:hint="eastAsia" w:ascii="宋体" w:hAnsi="宋体" w:eastAsia="宋体"/>
          <w:sz w:val="21"/>
          <w:szCs w:val="21"/>
        </w:rPr>
        <w:t>。</w:t>
      </w:r>
    </w:p>
    <w:p>
      <w:pPr>
        <w:pStyle w:val="2"/>
        <w:ind w:firstLine="420" w:firstLineChars="200"/>
        <w:rPr>
          <w:rFonts w:hint="eastAsia" w:ascii="宋体" w:hAnsi="宋体" w:eastAsia="宋体"/>
          <w:sz w:val="21"/>
          <w:szCs w:val="21"/>
        </w:rPr>
      </w:pPr>
      <w:r>
        <w:rPr>
          <w:rFonts w:hint="eastAsia" w:ascii="宋体" w:hAnsi="宋体" w:eastAsia="宋体"/>
          <w:color w:val="000000"/>
          <w:sz w:val="21"/>
          <w:szCs w:val="21"/>
        </w:rPr>
        <w:t>（3）在合同期内，出现新增道路、河道，新增社区或因改造、改建、新增清扫保洁面积时，采购人</w:t>
      </w:r>
      <w:r>
        <w:rPr>
          <w:rFonts w:hint="eastAsia" w:ascii="宋体" w:hAnsi="宋体" w:eastAsia="宋体"/>
          <w:sz w:val="21"/>
          <w:szCs w:val="21"/>
        </w:rPr>
        <w:t>将根据实际情况对作业量做出调整，供应商须无条件服从。增加的费用双方协商确定。</w:t>
      </w:r>
    </w:p>
    <w:p>
      <w:pPr>
        <w:pStyle w:val="2"/>
        <w:ind w:firstLine="422" w:firstLineChars="200"/>
        <w:rPr>
          <w:rFonts w:ascii="宋体" w:hAnsi="宋体" w:eastAsia="宋体"/>
          <w:b/>
          <w:bCs/>
          <w:sz w:val="21"/>
          <w:szCs w:val="21"/>
        </w:rPr>
      </w:pPr>
      <w:r>
        <w:rPr>
          <w:rFonts w:hint="eastAsia" w:ascii="宋体" w:hAnsi="宋体" w:eastAsia="宋体"/>
          <w:b/>
          <w:bCs/>
          <w:sz w:val="21"/>
          <w:szCs w:val="21"/>
        </w:rPr>
        <w:t>（4）采购人有权对保洁范围进行调整。本项目预计进场作业时间为2021年</w:t>
      </w:r>
      <w:r>
        <w:rPr>
          <w:rFonts w:ascii="宋体" w:hAnsi="宋体" w:eastAsia="宋体"/>
          <w:b/>
          <w:bCs/>
          <w:sz w:val="21"/>
          <w:szCs w:val="21"/>
        </w:rPr>
        <w:t>6</w:t>
      </w:r>
      <w:r>
        <w:rPr>
          <w:rFonts w:hint="eastAsia" w:ascii="宋体" w:hAnsi="宋体" w:eastAsia="宋体"/>
          <w:b/>
          <w:bCs/>
          <w:sz w:val="21"/>
          <w:szCs w:val="21"/>
        </w:rPr>
        <w:t>月</w:t>
      </w:r>
      <w:r>
        <w:rPr>
          <w:rFonts w:ascii="宋体" w:hAnsi="宋体" w:eastAsia="宋体"/>
          <w:b/>
          <w:bCs/>
          <w:sz w:val="21"/>
          <w:szCs w:val="21"/>
        </w:rPr>
        <w:t>1</w:t>
      </w:r>
      <w:r>
        <w:rPr>
          <w:rFonts w:hint="eastAsia" w:ascii="宋体" w:hAnsi="宋体" w:eastAsia="宋体"/>
          <w:b/>
          <w:bCs/>
          <w:sz w:val="21"/>
          <w:szCs w:val="21"/>
        </w:rPr>
        <w:t>日，个别区域进场作业时间由采购人根据实际情况确定，保洁经费按实际进场作业开始时间计算。</w:t>
      </w:r>
    </w:p>
    <w:p>
      <w:pPr>
        <w:widowControl w:val="0"/>
        <w:spacing w:line="360" w:lineRule="auto"/>
        <w:jc w:val="both"/>
        <w:rPr>
          <w:rFonts w:hint="eastAsia" w:ascii="宋体" w:hAnsi="宋体"/>
          <w:b/>
          <w:bCs/>
          <w:sz w:val="22"/>
          <w:szCs w:val="22"/>
        </w:rPr>
      </w:pPr>
      <w:r>
        <w:rPr>
          <w:rFonts w:hint="eastAsia" w:ascii="宋体" w:hAnsi="宋体"/>
          <w:b/>
          <w:bCs/>
          <w:sz w:val="22"/>
          <w:szCs w:val="22"/>
        </w:rPr>
        <w:t>三、环境卫生保洁服务内容及要求</w:t>
      </w:r>
    </w:p>
    <w:p>
      <w:pPr>
        <w:adjustRightInd w:val="0"/>
        <w:snapToGrid w:val="0"/>
        <w:spacing w:line="360" w:lineRule="auto"/>
        <w:rPr>
          <w:rFonts w:ascii="宋体" w:hAnsi="宋体" w:cs="Arial"/>
          <w:b/>
          <w:bCs/>
        </w:rPr>
      </w:pPr>
      <w:r>
        <w:rPr>
          <w:rFonts w:hint="eastAsia" w:ascii="宋体" w:hAnsi="宋体" w:cs="Arial"/>
          <w:b/>
          <w:bCs/>
        </w:rPr>
        <w:t>（一）道路（含公路）保洁要求</w:t>
      </w:r>
    </w:p>
    <w:p>
      <w:pPr>
        <w:overflowPunct w:val="0"/>
        <w:snapToGrid w:val="0"/>
        <w:spacing w:line="360" w:lineRule="auto"/>
        <w:ind w:firstLine="422" w:firstLineChars="200"/>
        <w:outlineLvl w:val="3"/>
        <w:rPr>
          <w:rFonts w:hint="eastAsia" w:ascii="宋体" w:hAnsi="宋体" w:cs="楷体"/>
          <w:b/>
          <w:szCs w:val="21"/>
        </w:rPr>
      </w:pPr>
      <w:bookmarkStart w:id="33" w:name="_Toc1899"/>
      <w:bookmarkStart w:id="34" w:name="_Toc30288"/>
      <w:bookmarkStart w:id="35" w:name="_Toc88"/>
      <w:r>
        <w:rPr>
          <w:rFonts w:hint="eastAsia" w:ascii="宋体" w:hAnsi="宋体" w:cs="楷体"/>
          <w:b/>
          <w:szCs w:val="21"/>
        </w:rPr>
        <w:t>1、道路（含公路）清扫保洁范围</w:t>
      </w:r>
      <w:bookmarkEnd w:id="33"/>
      <w:bookmarkEnd w:id="34"/>
      <w:bookmarkEnd w:id="35"/>
    </w:p>
    <w:p>
      <w:pPr>
        <w:pStyle w:val="2"/>
        <w:ind w:firstLine="420" w:firstLineChars="200"/>
        <w:rPr>
          <w:rFonts w:ascii="宋体" w:hAnsi="宋体" w:eastAsia="宋体"/>
          <w:color w:val="000000"/>
          <w:sz w:val="21"/>
          <w:szCs w:val="21"/>
        </w:rPr>
      </w:pPr>
      <w:r>
        <w:rPr>
          <w:rFonts w:hint="eastAsia" w:ascii="宋体" w:hAnsi="宋体" w:eastAsia="宋体"/>
          <w:color w:val="000000"/>
          <w:sz w:val="21"/>
          <w:szCs w:val="21"/>
        </w:rPr>
        <w:t>保洁范围为主次道路、道路两侧人行道、绿化带、排水沟渠、边沟、伸缩缝及背街小巷等，不同承包单位间交叉保洁范围不少于5米，公路两侧管理控制区域（国、省道单侧10米，县道单侧5米，通村公路单侧3米，绿化带宽于上述标准的，按绿化带宽度）。</w:t>
      </w:r>
    </w:p>
    <w:p>
      <w:pPr>
        <w:overflowPunct w:val="0"/>
        <w:snapToGrid w:val="0"/>
        <w:spacing w:line="360" w:lineRule="auto"/>
        <w:ind w:firstLine="422" w:firstLineChars="200"/>
        <w:outlineLvl w:val="3"/>
        <w:rPr>
          <w:rFonts w:hint="eastAsia" w:ascii="宋体" w:hAnsi="宋体" w:cs="楷体"/>
          <w:b/>
          <w:szCs w:val="21"/>
        </w:rPr>
      </w:pPr>
      <w:bookmarkStart w:id="36" w:name="_Toc31319"/>
      <w:bookmarkStart w:id="37" w:name="_Toc25143"/>
      <w:bookmarkStart w:id="38" w:name="_Toc8824"/>
      <w:r>
        <w:rPr>
          <w:rFonts w:hint="eastAsia" w:ascii="宋体" w:hAnsi="宋体" w:cs="楷体"/>
          <w:b/>
          <w:szCs w:val="21"/>
        </w:rPr>
        <w:t>2、道路（含公路）清扫保洁质量要求</w:t>
      </w:r>
      <w:bookmarkEnd w:id="36"/>
      <w:bookmarkEnd w:id="37"/>
      <w:bookmarkEnd w:id="38"/>
    </w:p>
    <w:p>
      <w:pPr>
        <w:overflowPunct w:val="0"/>
        <w:adjustRightInd w:val="0"/>
        <w:spacing w:line="360" w:lineRule="auto"/>
        <w:ind w:firstLine="420" w:firstLineChars="200"/>
        <w:textAlignment w:val="bottom"/>
        <w:outlineLvl w:val="4"/>
        <w:rPr>
          <w:rFonts w:hint="eastAsia" w:ascii="宋体" w:hAnsi="宋体"/>
          <w:szCs w:val="21"/>
        </w:rPr>
      </w:pPr>
      <w:r>
        <w:rPr>
          <w:rFonts w:hint="eastAsia" w:ascii="宋体" w:hAnsi="宋体"/>
          <w:szCs w:val="21"/>
        </w:rPr>
        <w:t>（1）普扫</w:t>
      </w:r>
      <w:r>
        <w:rPr>
          <w:rFonts w:hint="eastAsia" w:ascii="宋体" w:hAnsi="宋体" w:cs="楷体"/>
          <w:szCs w:val="21"/>
        </w:rPr>
        <w:t>质量</w:t>
      </w:r>
      <w:r>
        <w:rPr>
          <w:rFonts w:hint="eastAsia" w:ascii="宋体" w:hAnsi="宋体"/>
          <w:szCs w:val="21"/>
        </w:rPr>
        <w:t>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达到“七无”、“五净”、“一通”标准，既无杂物，无瓜皮果壳，无纸屑、烟蒂、塑料袋，无淤泥积土，无污水，无堵塞窨井沟眼，无卫生死角。路面、路牙净，窨井沟眼净，树穴净，边角净，花坛周围净。落水口、排水渠畅通。</w:t>
      </w:r>
    </w:p>
    <w:p>
      <w:pPr>
        <w:wordWrap w:val="0"/>
        <w:overflowPunct w:val="0"/>
        <w:adjustRightInd w:val="0"/>
        <w:spacing w:line="360" w:lineRule="auto"/>
        <w:ind w:firstLine="420" w:firstLineChars="200"/>
        <w:textAlignment w:val="bottom"/>
        <w:outlineLvl w:val="4"/>
        <w:rPr>
          <w:rFonts w:hint="eastAsia" w:ascii="宋体" w:hAnsi="宋体"/>
          <w:szCs w:val="21"/>
        </w:rPr>
      </w:pPr>
      <w:r>
        <w:rPr>
          <w:rFonts w:hint="eastAsia" w:ascii="宋体" w:hAnsi="宋体"/>
          <w:szCs w:val="21"/>
        </w:rPr>
        <w:t>（2）动态保洁</w:t>
      </w:r>
      <w:r>
        <w:rPr>
          <w:rFonts w:hint="eastAsia" w:ascii="宋体" w:hAnsi="宋体" w:cs="楷体"/>
          <w:szCs w:val="21"/>
        </w:rPr>
        <w:t>质量</w:t>
      </w:r>
      <w:r>
        <w:rPr>
          <w:rFonts w:hint="eastAsia" w:ascii="宋体" w:hAnsi="宋体"/>
          <w:szCs w:val="21"/>
        </w:rPr>
        <w:t>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承包责任区域内无垃圾废弃物（包括烟头、纸屑、瓜果皮核、包装壳、塑料袋、砖瓦、石子等各类明显废弃物）；无散装、袋装垃圾滞留路面及路边绿化带；果壳箱及时加盖、关门；人行道、步阶、墙跟、树穴无明显杂草、杂物。晴天路面无积水，无蚊蝇孳生，路两旁及隔离护栏下无淤泥，路面基本见本色。</w:t>
      </w:r>
    </w:p>
    <w:p>
      <w:pPr>
        <w:wordWrap w:val="0"/>
        <w:overflowPunct w:val="0"/>
        <w:adjustRightInd w:val="0"/>
        <w:spacing w:line="360" w:lineRule="auto"/>
        <w:ind w:firstLine="420" w:firstLineChars="200"/>
        <w:textAlignment w:val="bottom"/>
        <w:outlineLvl w:val="4"/>
        <w:rPr>
          <w:rFonts w:hint="eastAsia" w:ascii="宋体" w:hAnsi="宋体"/>
          <w:szCs w:val="21"/>
        </w:rPr>
      </w:pPr>
      <w:r>
        <w:rPr>
          <w:rFonts w:hint="eastAsia" w:ascii="宋体" w:hAnsi="宋体"/>
          <w:szCs w:val="21"/>
        </w:rPr>
        <w:t>（3）道路机扫</w:t>
      </w:r>
      <w:r>
        <w:rPr>
          <w:rFonts w:hint="eastAsia" w:ascii="宋体" w:hAnsi="宋体" w:cs="楷体"/>
          <w:szCs w:val="21"/>
        </w:rPr>
        <w:t>质量</w:t>
      </w:r>
      <w:r>
        <w:rPr>
          <w:rFonts w:hint="eastAsia" w:ascii="宋体" w:hAnsi="宋体"/>
          <w:szCs w:val="21"/>
        </w:rPr>
        <w:t>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机扫到边、到位效果明显，路面无垃圾、无积泥、无沙石</w:t>
      </w:r>
      <w:r>
        <w:rPr>
          <w:rFonts w:hint="eastAsia" w:ascii="宋体"/>
          <w:szCs w:val="21"/>
        </w:rPr>
        <w:t>，路牙无浮土。</w:t>
      </w:r>
      <w:r>
        <w:rPr>
          <w:rFonts w:hint="eastAsia" w:ascii="宋体" w:hAnsi="宋体"/>
          <w:szCs w:val="21"/>
        </w:rPr>
        <w:t>作业期间基本无扬尘，清扫途中无垃圾撒落。</w:t>
      </w:r>
    </w:p>
    <w:p>
      <w:pPr>
        <w:wordWrap w:val="0"/>
        <w:overflowPunct w:val="0"/>
        <w:adjustRightInd w:val="0"/>
        <w:spacing w:line="360" w:lineRule="auto"/>
        <w:ind w:firstLine="420" w:firstLineChars="200"/>
        <w:textAlignment w:val="bottom"/>
        <w:outlineLvl w:val="4"/>
        <w:rPr>
          <w:rFonts w:hint="eastAsia" w:ascii="宋体" w:hAnsi="宋体"/>
          <w:szCs w:val="21"/>
        </w:rPr>
      </w:pPr>
      <w:r>
        <w:rPr>
          <w:rFonts w:hint="eastAsia" w:ascii="宋体" w:hAnsi="宋体"/>
          <w:szCs w:val="21"/>
        </w:rPr>
        <w:t>（4）道路洒水</w:t>
      </w:r>
      <w:r>
        <w:rPr>
          <w:rFonts w:hint="eastAsia" w:ascii="宋体" w:hAnsi="宋体" w:cs="楷体"/>
          <w:szCs w:val="21"/>
        </w:rPr>
        <w:t>质量</w:t>
      </w:r>
      <w:r>
        <w:rPr>
          <w:rFonts w:hint="eastAsia" w:ascii="宋体" w:hAnsi="宋体"/>
          <w:szCs w:val="21"/>
        </w:rPr>
        <w:t>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1）有明显的降温压尘的效果，实行全年洒水作业。</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2）喷雾降尘作业时，水要喷射成雾状，达到“路面见潮不见水流”的效果。</w:t>
      </w:r>
    </w:p>
    <w:p>
      <w:pPr>
        <w:wordWrap w:val="0"/>
        <w:overflowPunct w:val="0"/>
        <w:adjustRightInd w:val="0"/>
        <w:spacing w:line="360" w:lineRule="auto"/>
        <w:ind w:firstLine="420" w:firstLineChars="200"/>
        <w:textAlignment w:val="bottom"/>
        <w:outlineLvl w:val="4"/>
        <w:rPr>
          <w:rFonts w:hint="eastAsia" w:ascii="宋体" w:hAnsi="宋体"/>
          <w:szCs w:val="21"/>
        </w:rPr>
      </w:pPr>
      <w:r>
        <w:rPr>
          <w:rFonts w:hint="eastAsia" w:ascii="宋体" w:hAnsi="宋体"/>
          <w:szCs w:val="21"/>
        </w:rPr>
        <w:t>（5）道路清洗质量要求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1）道路冲水路段，要求水冲后无积水、无灰尘、无烟蒂、无果壳散落；冲洗路面时如发现路面有垃圾应及时清理。</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2）人行道 (包括侧石、花岗岩路面)实行人工药水冲刷，彩砖地面不得使用破坏釉面的药水。冲洗后路面无积垢、无灰尘、无烟蒂、无果壳散落。</w:t>
      </w:r>
    </w:p>
    <w:p>
      <w:pPr>
        <w:wordWrap w:val="0"/>
        <w:overflowPunct w:val="0"/>
        <w:snapToGrid w:val="0"/>
        <w:spacing w:line="360" w:lineRule="auto"/>
        <w:ind w:firstLine="422" w:firstLineChars="200"/>
        <w:outlineLvl w:val="3"/>
        <w:rPr>
          <w:rFonts w:hint="eastAsia" w:ascii="宋体" w:hAnsi="宋体" w:cs="楷体"/>
          <w:b/>
          <w:szCs w:val="21"/>
        </w:rPr>
      </w:pPr>
      <w:bookmarkStart w:id="39" w:name="_Toc17527"/>
      <w:bookmarkStart w:id="40" w:name="_Toc31409"/>
      <w:bookmarkStart w:id="41" w:name="_Toc2621"/>
      <w:r>
        <w:rPr>
          <w:rFonts w:hint="eastAsia" w:ascii="宋体" w:hAnsi="宋体" w:cs="楷体"/>
          <w:b/>
          <w:szCs w:val="21"/>
        </w:rPr>
        <w:t>3、道路（含公路）清扫保洁作业要求</w:t>
      </w:r>
      <w:bookmarkEnd w:id="39"/>
      <w:bookmarkEnd w:id="40"/>
      <w:bookmarkEnd w:id="41"/>
    </w:p>
    <w:p>
      <w:pPr>
        <w:wordWrap w:val="0"/>
        <w:overflowPunct w:val="0"/>
        <w:adjustRightInd w:val="0"/>
        <w:spacing w:line="360" w:lineRule="auto"/>
        <w:ind w:firstLine="420" w:firstLineChars="200"/>
        <w:textAlignment w:val="bottom"/>
        <w:outlineLvl w:val="4"/>
        <w:rPr>
          <w:rFonts w:hint="eastAsia" w:ascii="宋体" w:hAnsi="宋体"/>
          <w:szCs w:val="21"/>
        </w:rPr>
      </w:pPr>
      <w:r>
        <w:rPr>
          <w:rFonts w:hint="eastAsia" w:ascii="宋体" w:hAnsi="宋体"/>
          <w:szCs w:val="21"/>
        </w:rPr>
        <w:t>（1）人工作业要求</w:t>
      </w:r>
    </w:p>
    <w:p>
      <w:pPr>
        <w:wordWrap w:val="0"/>
        <w:overflowPunct w:val="0"/>
        <w:adjustRightInd w:val="0"/>
        <w:spacing w:line="360" w:lineRule="auto"/>
        <w:ind w:firstLine="522" w:firstLineChars="249"/>
        <w:textAlignment w:val="bottom"/>
        <w:rPr>
          <w:rFonts w:hint="eastAsia" w:ascii="宋体"/>
          <w:szCs w:val="21"/>
        </w:rPr>
      </w:pPr>
      <w:r>
        <w:rPr>
          <w:rFonts w:hint="eastAsia"/>
          <w:szCs w:val="21"/>
        </w:rPr>
        <w:t>1</w:t>
      </w:r>
      <w:r>
        <w:rPr>
          <w:rFonts w:hint="eastAsia" w:ascii="宋体" w:hAnsi="宋体"/>
          <w:szCs w:val="21"/>
        </w:rPr>
        <w:t>)</w:t>
      </w:r>
      <w:r>
        <w:rPr>
          <w:rFonts w:hint="eastAsia" w:ascii="宋体"/>
          <w:szCs w:val="21"/>
        </w:rPr>
        <w:t xml:space="preserve"> 作业人员工作期间须穿戴统一的工作服，工作服要求具有明显的公司名称标识，同时具有反光安全服的功能，作业人员工作服须整洁干净。</w:t>
      </w:r>
    </w:p>
    <w:p>
      <w:pPr>
        <w:pStyle w:val="16"/>
        <w:wordWrap w:val="0"/>
        <w:overflowPunct w:val="0"/>
        <w:spacing w:after="0" w:line="360" w:lineRule="auto"/>
        <w:ind w:left="0" w:leftChars="0" w:firstLine="420" w:firstLineChars="200"/>
        <w:rPr>
          <w:rFonts w:hint="eastAsia"/>
          <w:szCs w:val="21"/>
        </w:rPr>
      </w:pPr>
      <w:r>
        <w:rPr>
          <w:rFonts w:hint="eastAsia"/>
          <w:szCs w:val="21"/>
        </w:rPr>
        <w:t>2）作业前准备好作业工具，作业过程中工具规范放置。</w:t>
      </w:r>
    </w:p>
    <w:p>
      <w:pPr>
        <w:pStyle w:val="16"/>
        <w:wordWrap w:val="0"/>
        <w:overflowPunct w:val="0"/>
        <w:spacing w:after="0" w:line="360" w:lineRule="auto"/>
        <w:ind w:left="0" w:leftChars="0" w:firstLine="420" w:firstLineChars="200"/>
        <w:rPr>
          <w:rFonts w:hint="eastAsia"/>
          <w:szCs w:val="21"/>
        </w:rPr>
      </w:pPr>
      <w:r>
        <w:rPr>
          <w:rFonts w:hint="eastAsia"/>
          <w:szCs w:val="21"/>
        </w:rPr>
        <w:t>3）道路实行普扫、巡回保洁。重点要求对路面（含人行道）、路角、落水口、排水沟及树穴进行清扫，及时捡拾路边垃圾，清除沿路挂树垃圾。</w:t>
      </w:r>
    </w:p>
    <w:p>
      <w:pPr>
        <w:pStyle w:val="16"/>
        <w:wordWrap w:val="0"/>
        <w:overflowPunct w:val="0"/>
        <w:spacing w:after="0" w:line="360" w:lineRule="auto"/>
        <w:ind w:left="0" w:leftChars="0" w:firstLine="420" w:firstLineChars="200"/>
        <w:rPr>
          <w:rFonts w:hint="eastAsia"/>
          <w:szCs w:val="21"/>
        </w:rPr>
      </w:pPr>
      <w:r>
        <w:rPr>
          <w:rFonts w:hint="eastAsia"/>
          <w:szCs w:val="21"/>
        </w:rPr>
        <w:t>4）人员作业时</w:t>
      </w:r>
      <w:r>
        <w:rPr>
          <w:rFonts w:hint="eastAsia" w:ascii="宋体"/>
          <w:szCs w:val="21"/>
        </w:rPr>
        <w:t>遵守交通法规，</w:t>
      </w:r>
      <w:r>
        <w:rPr>
          <w:rFonts w:hint="eastAsia"/>
          <w:szCs w:val="21"/>
        </w:rPr>
        <w:t>应面向来车作业，保洁车辆静放。应与车行线保持安全距离，做到不妨碍交通、车容整洁。</w:t>
      </w:r>
    </w:p>
    <w:p>
      <w:pPr>
        <w:pStyle w:val="16"/>
        <w:wordWrap w:val="0"/>
        <w:overflowPunct w:val="0"/>
        <w:spacing w:after="0" w:line="360" w:lineRule="auto"/>
        <w:ind w:left="0" w:leftChars="0" w:firstLine="420" w:firstLineChars="200"/>
        <w:rPr>
          <w:rFonts w:hint="eastAsia"/>
          <w:szCs w:val="21"/>
        </w:rPr>
      </w:pPr>
      <w:r>
        <w:rPr>
          <w:rFonts w:hint="eastAsia"/>
          <w:szCs w:val="21"/>
        </w:rPr>
        <w:t>5）道路保洁人员应文明作业，不应将垃圾、污水扫到或溅到行人身上。在岗作业人员应勤走、勤看、勤扫，循回作业，无离岗及在岗不作为现象。</w:t>
      </w:r>
    </w:p>
    <w:p>
      <w:pPr>
        <w:pStyle w:val="16"/>
        <w:wordWrap w:val="0"/>
        <w:overflowPunct w:val="0"/>
        <w:spacing w:after="0" w:line="360" w:lineRule="auto"/>
        <w:ind w:left="0" w:leftChars="0" w:firstLine="420" w:firstLineChars="200"/>
        <w:rPr>
          <w:rFonts w:hint="eastAsia"/>
          <w:szCs w:val="21"/>
        </w:rPr>
      </w:pPr>
      <w:r>
        <w:rPr>
          <w:rFonts w:hint="eastAsia"/>
          <w:szCs w:val="21"/>
        </w:rPr>
        <w:t>6）人员作业不应将垃圾扫入或倒入窨井、</w:t>
      </w:r>
      <w:r>
        <w:rPr>
          <w:rFonts w:hint="eastAsia" w:ascii="宋体"/>
          <w:szCs w:val="21"/>
        </w:rPr>
        <w:t>绿地、河道、河岸、花坛、绿化</w:t>
      </w:r>
      <w:r>
        <w:rPr>
          <w:rFonts w:hint="eastAsia"/>
          <w:szCs w:val="21"/>
        </w:rPr>
        <w:t>等处，且不应将垃圾堆放或停留在窨井盖上。</w:t>
      </w:r>
    </w:p>
    <w:p>
      <w:pPr>
        <w:pStyle w:val="16"/>
        <w:wordWrap w:val="0"/>
        <w:overflowPunct w:val="0"/>
        <w:spacing w:after="0" w:line="360" w:lineRule="auto"/>
        <w:ind w:left="0" w:leftChars="0" w:firstLine="420" w:firstLineChars="200"/>
        <w:rPr>
          <w:rFonts w:hint="eastAsia"/>
          <w:szCs w:val="21"/>
        </w:rPr>
      </w:pPr>
      <w:r>
        <w:rPr>
          <w:rFonts w:hint="eastAsia"/>
          <w:szCs w:val="21"/>
        </w:rPr>
        <w:t>7）保持路面排水通畅，不积水。路面积水应在雨停后一天内排除干净。</w:t>
      </w:r>
    </w:p>
    <w:p>
      <w:pPr>
        <w:pStyle w:val="16"/>
        <w:wordWrap w:val="0"/>
        <w:overflowPunct w:val="0"/>
        <w:spacing w:after="0" w:line="360" w:lineRule="auto"/>
        <w:ind w:left="0" w:leftChars="0" w:firstLine="420" w:firstLineChars="200"/>
        <w:rPr>
          <w:rFonts w:hint="eastAsia"/>
          <w:szCs w:val="21"/>
        </w:rPr>
      </w:pPr>
      <w:r>
        <w:rPr>
          <w:rFonts w:hint="eastAsia"/>
          <w:szCs w:val="21"/>
        </w:rPr>
        <w:t>8）清除影响道路安全通行的路面、路角上的杂草、灌木等。</w:t>
      </w:r>
    </w:p>
    <w:p>
      <w:pPr>
        <w:wordWrap w:val="0"/>
        <w:overflowPunct w:val="0"/>
        <w:adjustRightInd w:val="0"/>
        <w:spacing w:line="360" w:lineRule="auto"/>
        <w:ind w:firstLine="420" w:firstLineChars="200"/>
        <w:textAlignment w:val="bottom"/>
        <w:rPr>
          <w:rFonts w:ascii="宋体"/>
          <w:szCs w:val="21"/>
        </w:rPr>
      </w:pPr>
      <w:r>
        <w:rPr>
          <w:rFonts w:hint="eastAsia" w:ascii="宋体"/>
          <w:szCs w:val="21"/>
        </w:rPr>
        <w:t>9）服务人员在作业时间内，不集聚闲聊，工期休息不超过10分钟；作业期间不做与作业无关的事；严禁作业人员擅自向责任区内单位收取各种费用。</w:t>
      </w:r>
    </w:p>
    <w:p>
      <w:pPr>
        <w:wordWrap w:val="0"/>
        <w:overflowPunct w:val="0"/>
        <w:adjustRightInd w:val="0"/>
        <w:spacing w:line="360" w:lineRule="auto"/>
        <w:ind w:firstLine="420" w:firstLineChars="200"/>
        <w:textAlignment w:val="bottom"/>
        <w:rPr>
          <w:rFonts w:ascii="宋体"/>
          <w:szCs w:val="21"/>
        </w:rPr>
      </w:pPr>
      <w:r>
        <w:rPr>
          <w:rFonts w:hint="eastAsia" w:ascii="宋体"/>
          <w:szCs w:val="21"/>
        </w:rPr>
        <w:t>10）清扫作业中不得漏扫、甩扫；交接班不得出现空档，责任区交界处清扫保洁各过界5米；垃圾在指定地点倾倒，不得焚烧垃圾。</w:t>
      </w:r>
    </w:p>
    <w:p>
      <w:pPr>
        <w:wordWrap w:val="0"/>
        <w:overflowPunct w:val="0"/>
        <w:adjustRightInd w:val="0"/>
        <w:spacing w:line="360" w:lineRule="auto"/>
        <w:ind w:firstLine="420" w:firstLineChars="200"/>
        <w:textAlignment w:val="bottom"/>
        <w:rPr>
          <w:rFonts w:hint="eastAsia" w:ascii="宋体"/>
          <w:szCs w:val="21"/>
        </w:rPr>
      </w:pPr>
      <w:r>
        <w:rPr>
          <w:rFonts w:hint="eastAsia" w:ascii="宋体"/>
          <w:szCs w:val="21"/>
        </w:rPr>
        <w:t>1</w:t>
      </w:r>
      <w:r>
        <w:rPr>
          <w:rFonts w:ascii="宋体"/>
          <w:szCs w:val="21"/>
        </w:rPr>
        <w:t>1</w:t>
      </w:r>
      <w:r>
        <w:rPr>
          <w:rFonts w:hint="eastAsia" w:ascii="宋体"/>
          <w:szCs w:val="21"/>
        </w:rPr>
        <w:t>）人行道、非机动车道冲洗应当定人定车定时定岗，确保保洁质量。</w:t>
      </w:r>
    </w:p>
    <w:p>
      <w:pPr>
        <w:wordWrap w:val="0"/>
        <w:overflowPunct w:val="0"/>
        <w:adjustRightInd w:val="0"/>
        <w:spacing w:line="360" w:lineRule="auto"/>
        <w:ind w:firstLine="420" w:firstLineChars="200"/>
        <w:textAlignment w:val="bottom"/>
        <w:outlineLvl w:val="4"/>
        <w:rPr>
          <w:rFonts w:hint="eastAsia" w:ascii="宋体" w:hAnsi="宋体"/>
          <w:szCs w:val="21"/>
        </w:rPr>
      </w:pPr>
      <w:r>
        <w:rPr>
          <w:rFonts w:hint="eastAsia" w:ascii="宋体" w:hAnsi="宋体"/>
          <w:szCs w:val="21"/>
        </w:rPr>
        <w:t>（2）机械作业要求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1）机扫作业要求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①机扫时间应规避上下班高峰期。</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②在计划作业时间内，遇到雨天天气时，中标供应商可以在采购人上班之前通过智慧平台进行申报延后作业，半天申报一次，经采购人同意后方可停止作业，如未申报的，则视为当天未作业。</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③机扫作业时应避免“干扫”，做到喷水压尘，不漏土。不应侧刷或吸盘不落地空跑。</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④机扫车应有提示音乐音量调节装置，警示灯完好。22:00-7:00期间机扫作业时不得播放提示音乐，应使用警示灯光。</w:t>
      </w:r>
    </w:p>
    <w:p>
      <w:pPr>
        <w:wordWrap w:val="0"/>
        <w:overflowPunct w:val="0"/>
        <w:adjustRightInd w:val="0"/>
        <w:spacing w:line="360" w:lineRule="auto"/>
        <w:ind w:firstLine="422" w:firstLineChars="200"/>
        <w:textAlignment w:val="bottom"/>
        <w:rPr>
          <w:rFonts w:hint="eastAsia" w:ascii="宋体" w:hAnsi="宋体"/>
          <w:b/>
          <w:bCs/>
          <w:szCs w:val="21"/>
        </w:rPr>
      </w:pPr>
      <w:r>
        <w:rPr>
          <w:rFonts w:hint="eastAsia" w:ascii="宋体" w:hAnsi="宋体"/>
          <w:b/>
          <w:bCs/>
          <w:szCs w:val="21"/>
        </w:rPr>
        <w:t>⑤▲机械清扫作业时速≤10km/h。</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2）洒水作业要求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①雨后地面潮湿，行车无扬尘，不安排洒水、喷雾降尘作业，气温低于3℃时停止洒水。</w:t>
      </w:r>
    </w:p>
    <w:p>
      <w:pPr>
        <w:widowControl w:val="0"/>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②</w:t>
      </w:r>
      <w:r>
        <w:rPr>
          <w:rFonts w:hint="eastAsia" w:ascii="新宋体" w:hAnsi="新宋体" w:eastAsia="新宋体"/>
          <w:szCs w:val="21"/>
        </w:rPr>
        <w:t>作业时适应当控制好水压和车速，避免把水溅到路边的行人，人行道侧喷嘴需采用鸭嘴式喷头，经过公交车站头、十字路口、人行横道、机动车道与非机动车道混行的路段等人流密集的地方需降低速度，控制好水幅。</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③洒水车应有提示音乐音量调节装置，警示灯完好。22:00-7:00期间洒水作业时不得播放提示音乐，应使用警示灯光。</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④</w:t>
      </w:r>
      <w:r>
        <w:rPr>
          <w:rFonts w:hint="eastAsia" w:ascii="新宋体" w:hAnsi="新宋体" w:eastAsia="新宋体"/>
          <w:szCs w:val="21"/>
        </w:rPr>
        <w:t>建筑工地、绿化工地、市政工地等周边的易扬尘道路，应开展机械洒水和喷雾作业，抑制道路扬尘。</w:t>
      </w:r>
    </w:p>
    <w:p>
      <w:pPr>
        <w:wordWrap w:val="0"/>
        <w:overflowPunct w:val="0"/>
        <w:adjustRightInd w:val="0"/>
        <w:spacing w:line="360" w:lineRule="auto"/>
        <w:ind w:firstLine="422" w:firstLineChars="200"/>
        <w:textAlignment w:val="bottom"/>
        <w:rPr>
          <w:rFonts w:hint="eastAsia" w:ascii="宋体" w:hAnsi="宋体"/>
          <w:b/>
          <w:bCs/>
          <w:szCs w:val="21"/>
        </w:rPr>
      </w:pPr>
      <w:r>
        <w:rPr>
          <w:rFonts w:hint="eastAsia" w:ascii="宋体" w:hAnsi="宋体"/>
          <w:b/>
          <w:bCs/>
          <w:szCs w:val="21"/>
        </w:rPr>
        <w:t>⑤▲洒水作业行车速度最高时速≤25 km/h，经过医院、学校、公交站台等人流密集地方作业行车速度最高时速≤10 km/h；</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3）道路清洗作业要求</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①道路冲洗时间一般应在晚上或清晨。</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②清洗作业时注意调整喷架高度及水压，可以与洒水车、机扫车、人工洗刷相互配合，以消除路面的积泥、砂石、污迹。</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③冲洗车应有提示音乐音量调节装置，警示灯完好。22:00-7:00期间冲洗作业时不得播放提示音乐，应使用警示灯光。</w:t>
      </w:r>
    </w:p>
    <w:p>
      <w:pPr>
        <w:wordWrap w:val="0"/>
        <w:overflowPunct w:val="0"/>
        <w:adjustRightInd w:val="0"/>
        <w:spacing w:line="360" w:lineRule="auto"/>
        <w:ind w:firstLine="422" w:firstLineChars="200"/>
        <w:textAlignment w:val="bottom"/>
        <w:rPr>
          <w:rFonts w:ascii="宋体" w:hAnsi="宋体"/>
          <w:b/>
          <w:bCs/>
          <w:szCs w:val="21"/>
        </w:rPr>
      </w:pPr>
      <w:r>
        <w:rPr>
          <w:rFonts w:hint="eastAsia" w:ascii="宋体" w:hAnsi="宋体"/>
          <w:b/>
          <w:bCs/>
          <w:szCs w:val="21"/>
        </w:rPr>
        <w:t>④▲作业速度：机械冲洗作业时速≤15km/h。</w:t>
      </w:r>
    </w:p>
    <w:p>
      <w:pPr>
        <w:wordWrap w:val="0"/>
        <w:overflowPunct w:val="0"/>
        <w:snapToGrid w:val="0"/>
        <w:spacing w:line="360" w:lineRule="auto"/>
        <w:ind w:firstLine="422" w:firstLineChars="200"/>
        <w:outlineLvl w:val="3"/>
        <w:rPr>
          <w:rFonts w:hint="eastAsia" w:ascii="宋体" w:hAnsi="宋体"/>
          <w:b/>
          <w:szCs w:val="21"/>
        </w:rPr>
      </w:pPr>
      <w:bookmarkStart w:id="42" w:name="_Toc28915"/>
      <w:bookmarkStart w:id="43" w:name="_Toc23232"/>
      <w:bookmarkStart w:id="44" w:name="_Toc8459"/>
      <w:r>
        <w:rPr>
          <w:rFonts w:hint="eastAsia" w:ascii="宋体" w:hAnsi="宋体"/>
          <w:b/>
          <w:szCs w:val="21"/>
        </w:rPr>
        <w:t>4、机械配置要求</w:t>
      </w:r>
      <w:bookmarkEnd w:id="42"/>
      <w:bookmarkEnd w:id="43"/>
      <w:bookmarkEnd w:id="44"/>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洗扫一体车、冲洗车、洒水车、清扫车等机械作业车辆，运输车辆须经相关主管部门核准，办理核准手续到采购方备案后方可使用。所有车辆外观整洁，及时清洗。</w:t>
      </w:r>
    </w:p>
    <w:p>
      <w:pPr>
        <w:wordWrap w:val="0"/>
        <w:overflowPunct w:val="0"/>
        <w:snapToGrid w:val="0"/>
        <w:spacing w:line="360" w:lineRule="auto"/>
        <w:ind w:firstLine="422" w:firstLineChars="200"/>
        <w:outlineLvl w:val="3"/>
        <w:rPr>
          <w:rFonts w:hint="eastAsia" w:ascii="宋体" w:hAnsi="宋体"/>
          <w:b/>
          <w:szCs w:val="21"/>
        </w:rPr>
      </w:pPr>
      <w:bookmarkStart w:id="45" w:name="_Toc25032"/>
      <w:bookmarkStart w:id="46" w:name="_Toc31236"/>
      <w:bookmarkStart w:id="47" w:name="_Toc8529"/>
      <w:r>
        <w:rPr>
          <w:rFonts w:hint="eastAsia" w:ascii="宋体" w:hAnsi="宋体"/>
          <w:b/>
          <w:szCs w:val="21"/>
        </w:rPr>
        <w:t>5、日常工作要求</w:t>
      </w:r>
      <w:bookmarkEnd w:id="45"/>
      <w:bookmarkEnd w:id="46"/>
      <w:bookmarkEnd w:id="47"/>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（1）在每天最后一次清扫完成后将垃圾集中收集至指定的垃圾中转站。</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（2）道路两侧水沟、水渠等小微水体中的垃圾收集清运。</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（3）承包范围内垃圾应在每天早上7:00之前清理完毕。保洁垃圾应袋装，并及时收集，严禁裸露</w:t>
      </w:r>
      <w:r>
        <w:rPr>
          <w:rFonts w:ascii="宋体" w:hAnsi="宋体"/>
          <w:szCs w:val="21"/>
        </w:rPr>
        <w:t>堆放</w:t>
      </w:r>
      <w:r>
        <w:rPr>
          <w:rFonts w:hint="eastAsia" w:ascii="宋体" w:hAnsi="宋体"/>
          <w:szCs w:val="21"/>
        </w:rPr>
        <w:t>在路面，并对夜间保洁垃圾和门店垃圾进行收集，做到垃圾不过夜。</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（4）清除影响道路安全通行的路面、路肩、人行道上的杂草、灌木等。</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（5）发现有主物品在道路上堆放时，如劝说无效的，须及时报告行政主管部门。</w:t>
      </w:r>
    </w:p>
    <w:p>
      <w:pPr>
        <w:wordWrap w:val="0"/>
        <w:overflowPunct w:val="0"/>
        <w:adjustRightInd w:val="0"/>
        <w:spacing w:line="360" w:lineRule="auto"/>
        <w:ind w:firstLine="420" w:firstLineChars="200"/>
        <w:textAlignment w:val="bottom"/>
        <w:rPr>
          <w:rFonts w:hint="eastAsia" w:ascii="宋体" w:hAnsi="宋体"/>
          <w:szCs w:val="21"/>
        </w:rPr>
      </w:pPr>
      <w:r>
        <w:rPr>
          <w:rFonts w:hint="eastAsia" w:ascii="宋体" w:hAnsi="宋体"/>
          <w:szCs w:val="21"/>
        </w:rPr>
        <w:t>（6）道路及区内各类设施、建筑及构筑物立面上违法小广告的清除。</w:t>
      </w:r>
    </w:p>
    <w:p>
      <w:pPr>
        <w:wordWrap w:val="0"/>
        <w:overflowPunct w:val="0"/>
        <w:adjustRightInd w:val="0"/>
        <w:spacing w:line="360" w:lineRule="auto"/>
        <w:ind w:firstLine="420" w:firstLineChars="200"/>
        <w:textAlignment w:val="bottom"/>
        <w:rPr>
          <w:rFonts w:hint="eastAsia"/>
        </w:rPr>
      </w:pPr>
      <w:r>
        <w:rPr>
          <w:rFonts w:hint="eastAsia" w:ascii="宋体" w:hAnsi="宋体"/>
          <w:szCs w:val="21"/>
        </w:rPr>
        <w:t>（7）道路（含公路）保洁等级要求</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1233"/>
        <w:gridCol w:w="1371"/>
        <w:gridCol w:w="1174"/>
        <w:gridCol w:w="1174"/>
        <w:gridCol w:w="1174"/>
        <w:gridCol w:w="1174"/>
        <w:gridCol w:w="1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1100" w:type="pct"/>
            <w:gridSpan w:val="2"/>
            <w:tcBorders>
              <w:tl2br w:val="single" w:color="auto" w:sz="4" w:space="0"/>
            </w:tcBorders>
            <w:noWrap w:val="0"/>
            <w:vAlign w:val="center"/>
          </w:tcPr>
          <w:p>
            <w:pPr>
              <w:autoSpaceDE w:val="0"/>
              <w:autoSpaceDN w:val="0"/>
              <w:adjustRightInd w:val="0"/>
              <w:ind w:firstLine="900" w:firstLineChars="500"/>
              <w:textAlignment w:val="bottom"/>
              <w:rPr>
                <w:rFonts w:ascii="宋体" w:hAnsi="宋体"/>
                <w:sz w:val="18"/>
                <w:szCs w:val="18"/>
              </w:rPr>
            </w:pPr>
            <w:r>
              <w:rPr>
                <w:rFonts w:hint="eastAsia" w:ascii="宋体" w:hAnsi="宋体"/>
                <w:sz w:val="18"/>
                <w:szCs w:val="18"/>
              </w:rPr>
              <w:t>道路等级</w:t>
            </w:r>
          </w:p>
          <w:p>
            <w:pPr>
              <w:autoSpaceDE w:val="0"/>
              <w:autoSpaceDN w:val="0"/>
              <w:adjustRightInd w:val="0"/>
              <w:textAlignment w:val="bottom"/>
              <w:rPr>
                <w:rFonts w:ascii="宋体" w:hAnsi="宋体"/>
                <w:sz w:val="18"/>
                <w:szCs w:val="18"/>
              </w:rPr>
            </w:pPr>
            <w:r>
              <w:rPr>
                <w:rFonts w:hint="eastAsia" w:ascii="宋体" w:hAnsi="宋体"/>
                <w:sz w:val="18"/>
                <w:szCs w:val="18"/>
              </w:rPr>
              <w:t>质量标准</w:t>
            </w:r>
          </w:p>
        </w:tc>
        <w:tc>
          <w:tcPr>
            <w:tcW w:w="738"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一级道路</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二级道路</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三级道路</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四级道路</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公路一级道路</w:t>
            </w:r>
          </w:p>
        </w:tc>
        <w:tc>
          <w:tcPr>
            <w:tcW w:w="633"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100" w:type="pct"/>
            <w:gridSpan w:val="2"/>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质量要求</w:t>
            </w:r>
          </w:p>
        </w:tc>
        <w:tc>
          <w:tcPr>
            <w:tcW w:w="1370" w:type="pct"/>
            <w:gridSpan w:val="2"/>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按招标文件要求</w:t>
            </w:r>
          </w:p>
        </w:tc>
        <w:tc>
          <w:tcPr>
            <w:tcW w:w="1264" w:type="pct"/>
            <w:gridSpan w:val="2"/>
            <w:noWrap w:val="0"/>
            <w:vAlign w:val="center"/>
          </w:tcPr>
          <w:p>
            <w:pPr>
              <w:autoSpaceDE w:val="0"/>
              <w:autoSpaceDN w:val="0"/>
              <w:adjustRightInd w:val="0"/>
              <w:jc w:val="center"/>
              <w:textAlignment w:val="bottom"/>
              <w:rPr>
                <w:rFonts w:ascii="宋体" w:hAnsi="宋体"/>
                <w:sz w:val="18"/>
                <w:szCs w:val="18"/>
              </w:rPr>
            </w:pPr>
          </w:p>
        </w:tc>
        <w:tc>
          <w:tcPr>
            <w:tcW w:w="1265" w:type="pct"/>
            <w:gridSpan w:val="2"/>
            <w:noWrap w:val="0"/>
            <w:vAlign w:val="center"/>
          </w:tcPr>
          <w:p>
            <w:pPr>
              <w:autoSpaceDE w:val="0"/>
              <w:autoSpaceDN w:val="0"/>
              <w:adjustRightInd w:val="0"/>
              <w:jc w:val="center"/>
              <w:textAlignment w:val="bottom"/>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00" w:type="pct"/>
            <w:gridSpan w:val="2"/>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保洁时间、频次</w:t>
            </w:r>
          </w:p>
        </w:tc>
        <w:tc>
          <w:tcPr>
            <w:tcW w:w="738"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1</w:t>
            </w:r>
            <w:r>
              <w:rPr>
                <w:rFonts w:ascii="宋体" w:hAnsi="宋体"/>
                <w:sz w:val="18"/>
                <w:szCs w:val="18"/>
              </w:rPr>
              <w:t>8</w:t>
            </w:r>
            <w:r>
              <w:rPr>
                <w:rFonts w:hint="eastAsia" w:ascii="宋体" w:hAnsi="宋体"/>
                <w:sz w:val="18"/>
                <w:szCs w:val="18"/>
              </w:rPr>
              <w:t>小时巡回</w:t>
            </w:r>
          </w:p>
          <w:p>
            <w:pPr>
              <w:pStyle w:val="2"/>
              <w:jc w:val="center"/>
              <w:rPr>
                <w:rFonts w:hint="eastAsia" w:ascii="宋体" w:hAnsi="宋体" w:eastAsia="宋体"/>
                <w:kern w:val="0"/>
                <w:sz w:val="18"/>
                <w:szCs w:val="18"/>
              </w:rPr>
            </w:pPr>
            <w:r>
              <w:rPr>
                <w:rFonts w:ascii="宋体" w:hAnsi="宋体" w:eastAsia="宋体"/>
                <w:kern w:val="0"/>
                <w:sz w:val="18"/>
                <w:szCs w:val="18"/>
              </w:rPr>
              <w:t>4:00-22:00</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ascii="宋体" w:hAnsi="宋体"/>
                <w:sz w:val="18"/>
                <w:szCs w:val="18"/>
              </w:rPr>
              <w:t>18</w:t>
            </w:r>
            <w:r>
              <w:rPr>
                <w:rFonts w:hint="eastAsia" w:ascii="宋体" w:hAnsi="宋体"/>
                <w:sz w:val="18"/>
                <w:szCs w:val="18"/>
              </w:rPr>
              <w:t>小时巡回</w:t>
            </w:r>
          </w:p>
          <w:p>
            <w:pPr>
              <w:pStyle w:val="2"/>
              <w:jc w:val="center"/>
              <w:rPr>
                <w:rFonts w:hint="eastAsia" w:ascii="宋体" w:hAnsi="宋体" w:eastAsia="宋体"/>
                <w:sz w:val="18"/>
                <w:szCs w:val="18"/>
              </w:rPr>
            </w:pPr>
            <w:r>
              <w:rPr>
                <w:rFonts w:ascii="宋体" w:hAnsi="宋体" w:eastAsia="宋体"/>
                <w:kern w:val="0"/>
                <w:sz w:val="18"/>
                <w:szCs w:val="18"/>
              </w:rPr>
              <w:t>4:00-22:00</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ascii="宋体" w:hAnsi="宋体"/>
                <w:sz w:val="18"/>
                <w:szCs w:val="18"/>
              </w:rPr>
              <w:t>16</w:t>
            </w:r>
            <w:r>
              <w:rPr>
                <w:rFonts w:hint="eastAsia" w:ascii="宋体" w:hAnsi="宋体"/>
                <w:sz w:val="18"/>
                <w:szCs w:val="18"/>
              </w:rPr>
              <w:t>小时巡回</w:t>
            </w:r>
          </w:p>
          <w:p>
            <w:pPr>
              <w:pStyle w:val="2"/>
              <w:rPr>
                <w:rFonts w:hint="eastAsia" w:ascii="宋体" w:hAnsi="宋体" w:eastAsia="宋体"/>
                <w:sz w:val="18"/>
                <w:szCs w:val="18"/>
              </w:rPr>
            </w:pPr>
            <w:r>
              <w:rPr>
                <w:rFonts w:ascii="宋体" w:hAnsi="宋体" w:eastAsia="宋体"/>
                <w:kern w:val="0"/>
                <w:sz w:val="18"/>
                <w:szCs w:val="18"/>
              </w:rPr>
              <w:t>4:00-20:00</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ascii="宋体" w:hAnsi="宋体"/>
                <w:sz w:val="18"/>
                <w:szCs w:val="18"/>
              </w:rPr>
              <w:t>16</w:t>
            </w:r>
            <w:r>
              <w:rPr>
                <w:rFonts w:hint="eastAsia" w:ascii="宋体" w:hAnsi="宋体"/>
                <w:sz w:val="18"/>
                <w:szCs w:val="18"/>
              </w:rPr>
              <w:t>小时巡回</w:t>
            </w:r>
          </w:p>
          <w:p>
            <w:pPr>
              <w:pStyle w:val="2"/>
              <w:rPr>
                <w:rFonts w:hint="eastAsia" w:ascii="宋体" w:hAnsi="宋体" w:eastAsia="宋体"/>
                <w:sz w:val="18"/>
                <w:szCs w:val="18"/>
              </w:rPr>
            </w:pPr>
            <w:r>
              <w:rPr>
                <w:rFonts w:ascii="宋体" w:hAnsi="宋体" w:eastAsia="宋体"/>
                <w:kern w:val="0"/>
                <w:sz w:val="18"/>
                <w:szCs w:val="18"/>
              </w:rPr>
              <w:t>4:00-20:00</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12小时巡回</w:t>
            </w:r>
          </w:p>
          <w:p>
            <w:pPr>
              <w:pStyle w:val="2"/>
              <w:rPr>
                <w:rFonts w:hint="eastAsia" w:ascii="宋体" w:hAnsi="宋体" w:eastAsia="宋体"/>
                <w:sz w:val="18"/>
                <w:szCs w:val="18"/>
              </w:rPr>
            </w:pPr>
            <w:r>
              <w:rPr>
                <w:rFonts w:ascii="宋体" w:hAnsi="宋体" w:eastAsia="宋体"/>
                <w:kern w:val="0"/>
                <w:sz w:val="18"/>
                <w:szCs w:val="18"/>
              </w:rPr>
              <w:t>5:00-17:00</w:t>
            </w:r>
          </w:p>
        </w:tc>
        <w:tc>
          <w:tcPr>
            <w:tcW w:w="633" w:type="pct"/>
            <w:noWrap w:val="0"/>
            <w:vAlign w:val="center"/>
          </w:tcPr>
          <w:p>
            <w:pPr>
              <w:autoSpaceDE w:val="0"/>
              <w:autoSpaceDN w:val="0"/>
              <w:adjustRightInd w:val="0"/>
              <w:jc w:val="center"/>
              <w:textAlignment w:val="bottom"/>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100" w:type="pct"/>
            <w:gridSpan w:val="2"/>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普扫次数</w:t>
            </w:r>
          </w:p>
        </w:tc>
        <w:tc>
          <w:tcPr>
            <w:tcW w:w="738"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每天3次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w:t>
            </w:r>
            <w:r>
              <w:rPr>
                <w:rFonts w:ascii="宋体" w:hAnsi="宋体"/>
                <w:sz w:val="18"/>
                <w:szCs w:val="18"/>
              </w:rPr>
              <w:t>3</w:t>
            </w:r>
            <w:r>
              <w:rPr>
                <w:rFonts w:hint="eastAsia" w:ascii="宋体" w:hAnsi="宋体"/>
                <w:sz w:val="18"/>
                <w:szCs w:val="18"/>
              </w:rPr>
              <w:t>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w:t>
            </w:r>
            <w:r>
              <w:rPr>
                <w:rFonts w:ascii="宋体" w:hAnsi="宋体"/>
                <w:sz w:val="18"/>
                <w:szCs w:val="18"/>
              </w:rPr>
              <w:t>2</w:t>
            </w:r>
            <w:r>
              <w:rPr>
                <w:rFonts w:hint="eastAsia" w:ascii="宋体" w:hAnsi="宋体"/>
                <w:sz w:val="18"/>
                <w:szCs w:val="18"/>
              </w:rPr>
              <w:t>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每天1次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每天1次</w:t>
            </w:r>
          </w:p>
        </w:tc>
        <w:tc>
          <w:tcPr>
            <w:tcW w:w="633" w:type="pct"/>
            <w:noWrap w:val="0"/>
            <w:vAlign w:val="center"/>
          </w:tcPr>
          <w:p>
            <w:pPr>
              <w:autoSpaceDE w:val="0"/>
              <w:autoSpaceDN w:val="0"/>
              <w:adjustRightInd w:val="0"/>
              <w:jc w:val="center"/>
              <w:textAlignment w:val="bottom"/>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100" w:type="pct"/>
            <w:gridSpan w:val="2"/>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机扫次数</w:t>
            </w:r>
          </w:p>
        </w:tc>
        <w:tc>
          <w:tcPr>
            <w:tcW w:w="738"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每天3次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每天2次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w:t>
            </w:r>
            <w:r>
              <w:rPr>
                <w:rFonts w:ascii="宋体" w:hAnsi="宋体"/>
                <w:sz w:val="18"/>
                <w:szCs w:val="18"/>
              </w:rPr>
              <w:t>-----</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w:t>
            </w:r>
            <w:r>
              <w:rPr>
                <w:rFonts w:ascii="宋体" w:hAnsi="宋体"/>
                <w:sz w:val="18"/>
                <w:szCs w:val="18"/>
              </w:rPr>
              <w:t>3</w:t>
            </w:r>
            <w:r>
              <w:rPr>
                <w:rFonts w:hint="eastAsia" w:ascii="宋体" w:hAnsi="宋体"/>
                <w:sz w:val="18"/>
                <w:szCs w:val="18"/>
              </w:rPr>
              <w:t>次</w:t>
            </w:r>
          </w:p>
        </w:tc>
        <w:tc>
          <w:tcPr>
            <w:tcW w:w="633" w:type="pct"/>
            <w:noWrap w:val="0"/>
            <w:vAlign w:val="center"/>
          </w:tcPr>
          <w:p>
            <w:pPr>
              <w:autoSpaceDE w:val="0"/>
              <w:autoSpaceDN w:val="0"/>
              <w:adjustRightInd w:val="0"/>
              <w:jc w:val="center"/>
              <w:textAlignment w:val="bottom"/>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100" w:type="pct"/>
            <w:gridSpan w:val="2"/>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洒水次数</w:t>
            </w:r>
          </w:p>
        </w:tc>
        <w:tc>
          <w:tcPr>
            <w:tcW w:w="738"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每天3次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每天2次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w:t>
            </w:r>
            <w:r>
              <w:rPr>
                <w:rFonts w:ascii="宋体" w:hAnsi="宋体"/>
                <w:sz w:val="18"/>
                <w:szCs w:val="18"/>
              </w:rPr>
              <w:t>1</w:t>
            </w:r>
            <w:r>
              <w:rPr>
                <w:rFonts w:hint="eastAsia" w:ascii="宋体" w:hAnsi="宋体"/>
                <w:sz w:val="18"/>
                <w:szCs w:val="18"/>
              </w:rPr>
              <w:t>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w:t>
            </w:r>
            <w:r>
              <w:rPr>
                <w:rFonts w:ascii="宋体" w:hAnsi="宋体"/>
                <w:sz w:val="18"/>
                <w:szCs w:val="18"/>
              </w:rPr>
              <w:t>3</w:t>
            </w:r>
            <w:r>
              <w:rPr>
                <w:rFonts w:hint="eastAsia" w:ascii="宋体" w:hAnsi="宋体"/>
                <w:sz w:val="18"/>
                <w:szCs w:val="18"/>
              </w:rPr>
              <w:t>次</w:t>
            </w:r>
          </w:p>
        </w:tc>
        <w:tc>
          <w:tcPr>
            <w:tcW w:w="633" w:type="pct"/>
            <w:noWrap w:val="0"/>
            <w:vAlign w:val="center"/>
          </w:tcPr>
          <w:p>
            <w:pPr>
              <w:autoSpaceDE w:val="0"/>
              <w:autoSpaceDN w:val="0"/>
              <w:adjustRightInd w:val="0"/>
              <w:jc w:val="center"/>
              <w:textAlignment w:val="bottom"/>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36" w:type="pct"/>
            <w:vMerge w:val="restart"/>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冲洗次数</w:t>
            </w:r>
          </w:p>
        </w:tc>
        <w:tc>
          <w:tcPr>
            <w:tcW w:w="664" w:type="pct"/>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车行道</w:t>
            </w:r>
          </w:p>
        </w:tc>
        <w:tc>
          <w:tcPr>
            <w:tcW w:w="738"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w:t>
            </w:r>
            <w:r>
              <w:rPr>
                <w:rFonts w:ascii="宋体" w:hAnsi="宋体"/>
                <w:sz w:val="18"/>
                <w:szCs w:val="18"/>
              </w:rPr>
              <w:t>1</w:t>
            </w:r>
            <w:r>
              <w:rPr>
                <w:rFonts w:hint="eastAsia" w:ascii="宋体" w:hAnsi="宋体"/>
                <w:sz w:val="18"/>
                <w:szCs w:val="18"/>
              </w:rPr>
              <w:t>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w:t>
            </w:r>
            <w:r>
              <w:rPr>
                <w:rFonts w:ascii="宋体" w:hAnsi="宋体"/>
                <w:sz w:val="18"/>
                <w:szCs w:val="18"/>
              </w:rPr>
              <w:t>1</w:t>
            </w:r>
            <w:r>
              <w:rPr>
                <w:rFonts w:hint="eastAsia" w:ascii="宋体" w:hAnsi="宋体"/>
                <w:sz w:val="18"/>
                <w:szCs w:val="18"/>
              </w:rPr>
              <w:t>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每天1次</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w:t>
            </w:r>
          </w:p>
        </w:tc>
        <w:tc>
          <w:tcPr>
            <w:tcW w:w="632" w:type="pct"/>
            <w:noWrap w:val="0"/>
            <w:vAlign w:val="center"/>
          </w:tcPr>
          <w:p>
            <w:pPr>
              <w:autoSpaceDE w:val="0"/>
              <w:autoSpaceDN w:val="0"/>
              <w:adjustRightInd w:val="0"/>
              <w:jc w:val="center"/>
              <w:textAlignment w:val="bottom"/>
              <w:rPr>
                <w:rFonts w:ascii="宋体" w:hAnsi="宋体"/>
                <w:sz w:val="18"/>
                <w:szCs w:val="18"/>
              </w:rPr>
            </w:pPr>
            <w:r>
              <w:rPr>
                <w:rFonts w:hint="eastAsia" w:ascii="宋体" w:hAnsi="宋体"/>
                <w:sz w:val="18"/>
                <w:szCs w:val="18"/>
              </w:rPr>
              <w:t>每天1次</w:t>
            </w:r>
          </w:p>
        </w:tc>
        <w:tc>
          <w:tcPr>
            <w:tcW w:w="633" w:type="pct"/>
            <w:noWrap w:val="0"/>
            <w:vAlign w:val="center"/>
          </w:tcPr>
          <w:p>
            <w:pPr>
              <w:autoSpaceDE w:val="0"/>
              <w:autoSpaceDN w:val="0"/>
              <w:adjustRightInd w:val="0"/>
              <w:jc w:val="center"/>
              <w:textAlignment w:val="bottom"/>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36" w:type="pct"/>
            <w:vMerge w:val="continue"/>
            <w:noWrap w:val="0"/>
            <w:vAlign w:val="center"/>
          </w:tcPr>
          <w:p>
            <w:pPr>
              <w:autoSpaceDE w:val="0"/>
              <w:autoSpaceDN w:val="0"/>
              <w:adjustRightInd w:val="0"/>
              <w:textAlignment w:val="bottom"/>
              <w:rPr>
                <w:rFonts w:hint="eastAsia" w:ascii="宋体" w:hAnsi="宋体"/>
                <w:sz w:val="18"/>
                <w:szCs w:val="18"/>
              </w:rPr>
            </w:pPr>
          </w:p>
        </w:tc>
        <w:tc>
          <w:tcPr>
            <w:tcW w:w="664" w:type="pct"/>
            <w:noWrap w:val="0"/>
            <w:vAlign w:val="center"/>
          </w:tcPr>
          <w:p>
            <w:pPr>
              <w:autoSpaceDE w:val="0"/>
              <w:autoSpaceDN w:val="0"/>
              <w:adjustRightInd w:val="0"/>
              <w:textAlignment w:val="bottom"/>
              <w:rPr>
                <w:rFonts w:hint="eastAsia" w:ascii="宋体" w:hAnsi="宋体"/>
                <w:sz w:val="18"/>
                <w:szCs w:val="18"/>
              </w:rPr>
            </w:pPr>
            <w:r>
              <w:rPr>
                <w:rFonts w:hint="eastAsia" w:ascii="宋体" w:hAnsi="宋体"/>
                <w:sz w:val="18"/>
                <w:szCs w:val="18"/>
              </w:rPr>
              <w:t>人行道、非机动车道</w:t>
            </w:r>
          </w:p>
        </w:tc>
        <w:tc>
          <w:tcPr>
            <w:tcW w:w="738" w:type="pct"/>
            <w:noWrap w:val="0"/>
            <w:vAlign w:val="center"/>
          </w:tcPr>
          <w:p>
            <w:pPr>
              <w:autoSpaceDE w:val="0"/>
              <w:autoSpaceDN w:val="0"/>
              <w:adjustRightInd w:val="0"/>
              <w:jc w:val="center"/>
              <w:textAlignment w:val="bottom"/>
              <w:rPr>
                <w:rFonts w:hint="eastAsia" w:ascii="宋体" w:hAnsi="宋体"/>
                <w:sz w:val="18"/>
                <w:szCs w:val="18"/>
              </w:rPr>
            </w:pPr>
            <w:r>
              <w:rPr>
                <w:rFonts w:hint="eastAsia" w:ascii="宋体" w:hAnsi="宋体"/>
                <w:sz w:val="18"/>
                <w:szCs w:val="18"/>
              </w:rPr>
              <w:t>每周</w:t>
            </w:r>
            <w:r>
              <w:rPr>
                <w:rFonts w:ascii="宋体" w:hAnsi="宋体"/>
                <w:sz w:val="18"/>
                <w:szCs w:val="18"/>
              </w:rPr>
              <w:t>3</w:t>
            </w:r>
            <w:r>
              <w:rPr>
                <w:rFonts w:hint="eastAsia" w:ascii="宋体" w:hAnsi="宋体"/>
                <w:sz w:val="18"/>
                <w:szCs w:val="18"/>
              </w:rPr>
              <w:t>次</w:t>
            </w:r>
          </w:p>
        </w:tc>
        <w:tc>
          <w:tcPr>
            <w:tcW w:w="632" w:type="pct"/>
            <w:noWrap w:val="0"/>
            <w:vAlign w:val="center"/>
          </w:tcPr>
          <w:p>
            <w:pPr>
              <w:autoSpaceDE w:val="0"/>
              <w:autoSpaceDN w:val="0"/>
              <w:adjustRightInd w:val="0"/>
              <w:jc w:val="center"/>
              <w:textAlignment w:val="bottom"/>
              <w:rPr>
                <w:rFonts w:hint="eastAsia" w:ascii="宋体" w:hAnsi="宋体"/>
                <w:sz w:val="18"/>
                <w:szCs w:val="18"/>
              </w:rPr>
            </w:pPr>
            <w:r>
              <w:rPr>
                <w:rFonts w:hint="eastAsia" w:ascii="宋体" w:hAnsi="宋体"/>
                <w:sz w:val="18"/>
                <w:szCs w:val="18"/>
              </w:rPr>
              <w:t>每周</w:t>
            </w:r>
            <w:r>
              <w:rPr>
                <w:rFonts w:ascii="宋体" w:hAnsi="宋体"/>
                <w:sz w:val="18"/>
                <w:szCs w:val="18"/>
              </w:rPr>
              <w:t>2</w:t>
            </w:r>
            <w:r>
              <w:rPr>
                <w:rFonts w:hint="eastAsia" w:ascii="宋体" w:hAnsi="宋体"/>
                <w:sz w:val="18"/>
                <w:szCs w:val="18"/>
              </w:rPr>
              <w:t>次</w:t>
            </w:r>
          </w:p>
        </w:tc>
        <w:tc>
          <w:tcPr>
            <w:tcW w:w="632" w:type="pct"/>
            <w:noWrap w:val="0"/>
            <w:vAlign w:val="center"/>
          </w:tcPr>
          <w:p>
            <w:pPr>
              <w:autoSpaceDE w:val="0"/>
              <w:autoSpaceDN w:val="0"/>
              <w:adjustRightInd w:val="0"/>
              <w:jc w:val="center"/>
              <w:textAlignment w:val="bottom"/>
              <w:rPr>
                <w:rFonts w:hint="eastAsia" w:ascii="宋体" w:hAnsi="宋体"/>
                <w:sz w:val="18"/>
                <w:szCs w:val="18"/>
              </w:rPr>
            </w:pPr>
            <w:r>
              <w:rPr>
                <w:rFonts w:hint="eastAsia" w:ascii="宋体" w:hAnsi="宋体"/>
                <w:sz w:val="18"/>
                <w:szCs w:val="18"/>
              </w:rPr>
              <w:t>每周1次</w:t>
            </w:r>
          </w:p>
        </w:tc>
        <w:tc>
          <w:tcPr>
            <w:tcW w:w="632" w:type="pct"/>
            <w:noWrap w:val="0"/>
            <w:vAlign w:val="center"/>
          </w:tcPr>
          <w:p>
            <w:pPr>
              <w:autoSpaceDE w:val="0"/>
              <w:autoSpaceDN w:val="0"/>
              <w:adjustRightInd w:val="0"/>
              <w:jc w:val="center"/>
              <w:textAlignment w:val="bottom"/>
              <w:rPr>
                <w:rFonts w:hint="eastAsia" w:ascii="宋体" w:hAnsi="宋体"/>
                <w:sz w:val="18"/>
                <w:szCs w:val="18"/>
              </w:rPr>
            </w:pPr>
            <w:r>
              <w:rPr>
                <w:rFonts w:hint="eastAsia" w:ascii="宋体" w:hAnsi="宋体"/>
                <w:sz w:val="18"/>
                <w:szCs w:val="18"/>
              </w:rPr>
              <w:t>----</w:t>
            </w:r>
          </w:p>
        </w:tc>
        <w:tc>
          <w:tcPr>
            <w:tcW w:w="632" w:type="pct"/>
            <w:noWrap w:val="0"/>
            <w:vAlign w:val="center"/>
          </w:tcPr>
          <w:p>
            <w:pPr>
              <w:autoSpaceDE w:val="0"/>
              <w:autoSpaceDN w:val="0"/>
              <w:adjustRightInd w:val="0"/>
              <w:jc w:val="center"/>
              <w:textAlignment w:val="bottom"/>
              <w:rPr>
                <w:rFonts w:hint="eastAsia" w:ascii="宋体" w:hAnsi="宋体"/>
                <w:sz w:val="18"/>
                <w:szCs w:val="18"/>
              </w:rPr>
            </w:pPr>
            <w:r>
              <w:rPr>
                <w:rFonts w:hint="eastAsia" w:ascii="宋体" w:hAnsi="宋体"/>
                <w:sz w:val="18"/>
                <w:szCs w:val="18"/>
              </w:rPr>
              <w:t>每周1次</w:t>
            </w:r>
          </w:p>
        </w:tc>
        <w:tc>
          <w:tcPr>
            <w:tcW w:w="633" w:type="pct"/>
            <w:noWrap w:val="0"/>
            <w:vAlign w:val="center"/>
          </w:tcPr>
          <w:p>
            <w:pPr>
              <w:autoSpaceDE w:val="0"/>
              <w:autoSpaceDN w:val="0"/>
              <w:adjustRightInd w:val="0"/>
              <w:jc w:val="center"/>
              <w:textAlignment w:val="bottom"/>
              <w:rPr>
                <w:rFonts w:hint="eastAsia"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100" w:type="pct"/>
            <w:gridSpan w:val="2"/>
            <w:noWrap w:val="0"/>
            <w:vAlign w:val="center"/>
          </w:tcPr>
          <w:p>
            <w:pPr>
              <w:autoSpaceDE w:val="0"/>
              <w:autoSpaceDN w:val="0"/>
              <w:adjustRightInd w:val="0"/>
              <w:textAlignment w:val="bottom"/>
              <w:rPr>
                <w:rFonts w:ascii="宋体" w:hAnsi="宋体"/>
                <w:sz w:val="18"/>
                <w:szCs w:val="18"/>
              </w:rPr>
            </w:pPr>
            <w:r>
              <w:rPr>
                <w:rFonts w:hint="eastAsia" w:ascii="宋体" w:hAnsi="宋体"/>
                <w:sz w:val="18"/>
                <w:szCs w:val="18"/>
              </w:rPr>
              <w:t>备注</w:t>
            </w:r>
          </w:p>
        </w:tc>
        <w:tc>
          <w:tcPr>
            <w:tcW w:w="3900" w:type="pct"/>
            <w:gridSpan w:val="6"/>
            <w:noWrap w:val="0"/>
            <w:vAlign w:val="top"/>
          </w:tcPr>
          <w:p>
            <w:pPr>
              <w:autoSpaceDE w:val="0"/>
              <w:autoSpaceDN w:val="0"/>
              <w:adjustRightInd w:val="0"/>
              <w:textAlignment w:val="bottom"/>
              <w:rPr>
                <w:rFonts w:ascii="宋体" w:hAnsi="宋体"/>
                <w:sz w:val="18"/>
                <w:szCs w:val="18"/>
              </w:rPr>
            </w:pPr>
            <w:r>
              <w:rPr>
                <w:rFonts w:hint="eastAsia" w:ascii="宋体" w:hAnsi="宋体"/>
                <w:sz w:val="18"/>
                <w:szCs w:val="18"/>
              </w:rPr>
              <w:t>1、第一次普扫即晨扫必须在夏季6:30、冬季7:00以前完成，第二次普扫在下午13:30前完成，第三次普扫在夏季17:00、冬季16:30前完成。</w:t>
            </w:r>
          </w:p>
          <w:p>
            <w:pPr>
              <w:autoSpaceDE w:val="0"/>
              <w:autoSpaceDN w:val="0"/>
              <w:adjustRightInd w:val="0"/>
              <w:textAlignment w:val="bottom"/>
              <w:rPr>
                <w:rFonts w:ascii="宋体" w:hAnsi="宋体"/>
                <w:sz w:val="18"/>
                <w:szCs w:val="18"/>
              </w:rPr>
            </w:pPr>
            <w:r>
              <w:rPr>
                <w:rFonts w:ascii="宋体" w:hAnsi="宋体"/>
                <w:sz w:val="18"/>
                <w:szCs w:val="18"/>
              </w:rPr>
              <w:t>2</w:t>
            </w:r>
            <w:r>
              <w:rPr>
                <w:rFonts w:hint="eastAsia" w:ascii="宋体" w:hAnsi="宋体"/>
                <w:sz w:val="18"/>
                <w:szCs w:val="18"/>
              </w:rPr>
              <w:t>、菜市场、步行商业街的保洁时间应覆盖菜市场、步行商业街的开放时间；采购人有特殊要求的，保洁时间按采购人要求执行。</w:t>
            </w:r>
          </w:p>
          <w:p>
            <w:pPr>
              <w:autoSpaceDE w:val="0"/>
              <w:autoSpaceDN w:val="0"/>
              <w:adjustRightInd w:val="0"/>
              <w:textAlignment w:val="bottom"/>
              <w:rPr>
                <w:rFonts w:ascii="宋体" w:hAnsi="宋体"/>
                <w:sz w:val="18"/>
                <w:szCs w:val="18"/>
              </w:rPr>
            </w:pPr>
            <w:r>
              <w:rPr>
                <w:rFonts w:hint="eastAsia" w:ascii="宋体" w:hAnsi="宋体"/>
                <w:sz w:val="18"/>
                <w:szCs w:val="18"/>
              </w:rPr>
              <w:t>3、垃圾中转站、农贸市场（菜市场）、学校、医院等重要场所200米范围周边道路每天冲洗不少于一次。</w:t>
            </w:r>
          </w:p>
          <w:p>
            <w:pPr>
              <w:autoSpaceDE w:val="0"/>
              <w:autoSpaceDN w:val="0"/>
              <w:adjustRightInd w:val="0"/>
              <w:textAlignment w:val="bottom"/>
              <w:rPr>
                <w:rFonts w:ascii="宋体" w:hAnsi="宋体"/>
                <w:sz w:val="18"/>
                <w:szCs w:val="18"/>
              </w:rPr>
            </w:pPr>
            <w:r>
              <w:rPr>
                <w:rFonts w:hint="eastAsia" w:ascii="宋体" w:hAnsi="宋体"/>
                <w:sz w:val="18"/>
                <w:szCs w:val="18"/>
              </w:rPr>
              <w:t>4、采购人认为有必要采用机械化作业的道路，供应商应无条件服从。</w:t>
            </w:r>
          </w:p>
          <w:p>
            <w:pPr>
              <w:autoSpaceDE w:val="0"/>
              <w:autoSpaceDN w:val="0"/>
              <w:adjustRightInd w:val="0"/>
              <w:textAlignment w:val="bottom"/>
              <w:rPr>
                <w:rFonts w:ascii="宋体" w:hAnsi="宋体"/>
                <w:sz w:val="18"/>
                <w:szCs w:val="18"/>
              </w:rPr>
            </w:pPr>
            <w:r>
              <w:rPr>
                <w:rFonts w:hint="eastAsia" w:ascii="宋体" w:hAnsi="宋体"/>
                <w:sz w:val="18"/>
                <w:szCs w:val="18"/>
              </w:rPr>
              <w:t>5、道路人行道（公路、通村道路路肩），边沟包括绿化带等机械清扫无法覆盖的位置辅以人工清扫方式清扫。</w:t>
            </w:r>
          </w:p>
          <w:p>
            <w:pPr>
              <w:autoSpaceDE w:val="0"/>
              <w:autoSpaceDN w:val="0"/>
              <w:adjustRightInd w:val="0"/>
              <w:textAlignment w:val="bottom"/>
              <w:rPr>
                <w:rFonts w:hint="eastAsia" w:ascii="宋体" w:hAnsi="宋体"/>
                <w:sz w:val="18"/>
                <w:szCs w:val="18"/>
              </w:rPr>
            </w:pPr>
            <w:r>
              <w:rPr>
                <w:rFonts w:hint="eastAsia" w:ascii="宋体" w:hAnsi="宋体"/>
                <w:sz w:val="18"/>
                <w:szCs w:val="18"/>
              </w:rPr>
              <w:t>6、招标范围内隧道墙壁每周清洗一次，人行道、道路、护栏等按照标书规定执行。</w:t>
            </w:r>
          </w:p>
          <w:p>
            <w:pPr>
              <w:autoSpaceDE w:val="0"/>
              <w:autoSpaceDN w:val="0"/>
              <w:adjustRightInd w:val="0"/>
              <w:textAlignment w:val="bottom"/>
              <w:rPr>
                <w:rFonts w:ascii="宋体" w:hAnsi="宋体"/>
                <w:sz w:val="18"/>
                <w:szCs w:val="18"/>
              </w:rPr>
            </w:pPr>
            <w:r>
              <w:rPr>
                <w:rFonts w:ascii="宋体" w:hAnsi="宋体"/>
                <w:sz w:val="18"/>
                <w:szCs w:val="18"/>
              </w:rPr>
              <w:t>7</w:t>
            </w:r>
            <w:r>
              <w:rPr>
                <w:rFonts w:hint="eastAsia" w:ascii="宋体" w:hAnsi="宋体"/>
                <w:sz w:val="18"/>
                <w:szCs w:val="18"/>
              </w:rPr>
              <w:t>、▲交通兼有城市化功能的公路路段，保洁标准参照市区道路一级或二级标准执行（采购人要求的公路路段）；</w:t>
            </w:r>
          </w:p>
          <w:p>
            <w:pPr>
              <w:autoSpaceDE w:val="0"/>
              <w:autoSpaceDN w:val="0"/>
              <w:adjustRightInd w:val="0"/>
              <w:textAlignment w:val="bottom"/>
              <w:rPr>
                <w:rFonts w:hint="eastAsia" w:ascii="宋体" w:hAnsi="宋体"/>
                <w:b/>
                <w:bCs/>
                <w:sz w:val="18"/>
                <w:szCs w:val="18"/>
              </w:rPr>
            </w:pPr>
            <w:r>
              <w:rPr>
                <w:rFonts w:hint="eastAsia" w:ascii="宋体" w:hAnsi="宋体"/>
                <w:b/>
                <w:bCs/>
                <w:sz w:val="18"/>
                <w:szCs w:val="18"/>
              </w:rPr>
              <w:t>8、各街道应按需配备加水点：安阳街道配备不少于</w:t>
            </w:r>
            <w:r>
              <w:rPr>
                <w:rFonts w:ascii="宋体" w:hAnsi="宋体"/>
                <w:b/>
                <w:bCs/>
                <w:sz w:val="18"/>
                <w:szCs w:val="18"/>
                <w:u w:val="single"/>
              </w:rPr>
              <w:t>3</w:t>
            </w:r>
            <w:r>
              <w:rPr>
                <w:rFonts w:hint="eastAsia" w:ascii="宋体" w:hAnsi="宋体"/>
                <w:b/>
                <w:bCs/>
                <w:sz w:val="18"/>
                <w:szCs w:val="18"/>
              </w:rPr>
              <w:t>个加水点，分布位置需合理。</w:t>
            </w:r>
          </w:p>
        </w:tc>
      </w:tr>
    </w:tbl>
    <w:p>
      <w:pPr>
        <w:wordWrap w:val="0"/>
        <w:overflowPunct w:val="0"/>
        <w:snapToGrid w:val="0"/>
        <w:spacing w:line="360" w:lineRule="auto"/>
        <w:ind w:firstLine="422" w:firstLineChars="200"/>
        <w:outlineLvl w:val="3"/>
        <w:rPr>
          <w:rFonts w:ascii="宋体" w:hAnsi="宋体" w:cs="黑体"/>
          <w:b/>
          <w:szCs w:val="21"/>
        </w:rPr>
      </w:pPr>
      <w:bookmarkStart w:id="48" w:name="_Toc30075"/>
      <w:r>
        <w:rPr>
          <w:rFonts w:ascii="宋体" w:hAnsi="宋体" w:cs="黑体"/>
          <w:b/>
          <w:szCs w:val="21"/>
        </w:rPr>
        <w:t>6</w:t>
      </w:r>
      <w:r>
        <w:rPr>
          <w:rFonts w:hint="eastAsia" w:ascii="宋体" w:hAnsi="宋体" w:cs="黑体"/>
          <w:b/>
          <w:szCs w:val="21"/>
        </w:rPr>
        <w:t>、应急作业要求</w:t>
      </w:r>
      <w:bookmarkEnd w:id="48"/>
    </w:p>
    <w:p>
      <w:pPr>
        <w:pStyle w:val="16"/>
        <w:widowControl w:val="0"/>
        <w:wordWrap w:val="0"/>
        <w:overflowPunct w:val="0"/>
        <w:adjustRightInd w:val="0"/>
        <w:snapToGrid w:val="0"/>
        <w:spacing w:after="0" w:line="360" w:lineRule="auto"/>
        <w:ind w:left="0" w:leftChars="0" w:firstLine="420" w:firstLineChars="200"/>
        <w:rPr>
          <w:rFonts w:ascii="宋体"/>
          <w:szCs w:val="21"/>
        </w:rPr>
      </w:pPr>
      <w:bookmarkStart w:id="49" w:name="_Hlk497139671"/>
      <w:r>
        <w:rPr>
          <w:rFonts w:hint="eastAsia" w:ascii="宋体"/>
          <w:szCs w:val="21"/>
        </w:rPr>
        <w:t>（1）中标供应商须根据采购人要求及道路突发情况24小时待命。</w:t>
      </w:r>
    </w:p>
    <w:p>
      <w:pPr>
        <w:pStyle w:val="16"/>
        <w:widowControl w:val="0"/>
        <w:wordWrap w:val="0"/>
        <w:overflowPunct w:val="0"/>
        <w:adjustRightInd w:val="0"/>
        <w:snapToGrid w:val="0"/>
        <w:spacing w:after="0" w:line="360" w:lineRule="auto"/>
        <w:ind w:left="0" w:leftChars="0" w:firstLine="420" w:firstLineChars="200"/>
        <w:rPr>
          <w:rFonts w:hint="eastAsia" w:ascii="宋体"/>
          <w:szCs w:val="21"/>
        </w:rPr>
      </w:pPr>
      <w:r>
        <w:rPr>
          <w:rFonts w:hint="eastAsia" w:ascii="宋体"/>
          <w:szCs w:val="21"/>
        </w:rPr>
        <w:t xml:space="preserve">（2）责任路段范围内出现大面积遗撒物、交通安全事故，自接到通知后，应在2小时内清理干净。 </w:t>
      </w:r>
    </w:p>
    <w:p>
      <w:pPr>
        <w:pStyle w:val="16"/>
        <w:wordWrap w:val="0"/>
        <w:overflowPunct w:val="0"/>
        <w:adjustRightInd w:val="0"/>
        <w:snapToGrid w:val="0"/>
        <w:spacing w:after="0" w:line="360" w:lineRule="auto"/>
        <w:ind w:left="0" w:leftChars="0" w:firstLine="420" w:firstLineChars="200"/>
        <w:rPr>
          <w:rFonts w:hint="eastAsia" w:ascii="宋体"/>
          <w:szCs w:val="21"/>
        </w:rPr>
      </w:pPr>
      <w:r>
        <w:rPr>
          <w:rFonts w:hint="eastAsia" w:ascii="宋体"/>
          <w:szCs w:val="21"/>
        </w:rPr>
        <w:t>（3）路面液态油质，如机油、柴油、汽油、润滑油等污染物应在4小时内清理干净。</w:t>
      </w:r>
    </w:p>
    <w:p>
      <w:pPr>
        <w:pStyle w:val="16"/>
        <w:wordWrap w:val="0"/>
        <w:overflowPunct w:val="0"/>
        <w:adjustRightInd w:val="0"/>
        <w:snapToGrid w:val="0"/>
        <w:spacing w:after="0" w:line="360" w:lineRule="auto"/>
        <w:ind w:left="0" w:leftChars="0" w:firstLine="420" w:firstLineChars="200"/>
        <w:rPr>
          <w:rFonts w:hint="eastAsia" w:ascii="宋体"/>
          <w:szCs w:val="21"/>
        </w:rPr>
      </w:pPr>
      <w:r>
        <w:rPr>
          <w:rFonts w:hint="eastAsia" w:ascii="宋体"/>
          <w:szCs w:val="21"/>
        </w:rPr>
        <w:t>（4）责任路段范围内出现易燃易爆、有毒有害物质遗撒泄露，服务提供组织应及时报告行政主管部门。</w:t>
      </w:r>
    </w:p>
    <w:p>
      <w:pPr>
        <w:pStyle w:val="16"/>
        <w:wordWrap w:val="0"/>
        <w:overflowPunct w:val="0"/>
        <w:adjustRightInd w:val="0"/>
        <w:snapToGrid w:val="0"/>
        <w:spacing w:after="0" w:line="360" w:lineRule="auto"/>
        <w:ind w:left="0" w:leftChars="0" w:firstLine="420" w:firstLineChars="200"/>
        <w:rPr>
          <w:rFonts w:hint="eastAsia" w:ascii="宋体"/>
          <w:szCs w:val="21"/>
        </w:rPr>
      </w:pPr>
      <w:r>
        <w:rPr>
          <w:rFonts w:hint="eastAsia" w:ascii="宋体"/>
          <w:szCs w:val="21"/>
        </w:rPr>
        <w:t>（5）出现降雪天气时，提供服务组织应及时进行融雪和路面清理。应保证4小时至10小时内完成融雪，在 2 至 3 天内完成路面清理。</w:t>
      </w:r>
      <w:bookmarkEnd w:id="49"/>
    </w:p>
    <w:p>
      <w:pPr>
        <w:pStyle w:val="16"/>
        <w:wordWrap w:val="0"/>
        <w:overflowPunct w:val="0"/>
        <w:adjustRightInd w:val="0"/>
        <w:snapToGrid w:val="0"/>
        <w:spacing w:after="0" w:line="360" w:lineRule="auto"/>
        <w:ind w:left="0" w:leftChars="0" w:firstLine="420" w:firstLineChars="200"/>
        <w:rPr>
          <w:rFonts w:hint="eastAsia" w:ascii="宋体"/>
          <w:szCs w:val="21"/>
        </w:rPr>
      </w:pPr>
      <w:r>
        <w:rPr>
          <w:rFonts w:hint="eastAsia" w:ascii="宋体"/>
          <w:szCs w:val="21"/>
        </w:rPr>
        <w:t>（6）台风、暴雨、洪水及冰冻等灾害性天气结束后，应及时进行保洁。增加保洁工作量的，采购人可以按实际工作增加量，给予中标供应商适当的补助经费。如实际保洁未增加费用的，则不予以补助，具体以采购人审定为准。</w:t>
      </w:r>
    </w:p>
    <w:p>
      <w:pPr>
        <w:pStyle w:val="16"/>
        <w:wordWrap w:val="0"/>
        <w:overflowPunct w:val="0"/>
        <w:adjustRightInd w:val="0"/>
        <w:snapToGrid w:val="0"/>
        <w:spacing w:after="0" w:line="360" w:lineRule="auto"/>
        <w:ind w:left="0" w:leftChars="0" w:firstLine="420" w:firstLineChars="200"/>
        <w:rPr>
          <w:rFonts w:ascii="宋体"/>
          <w:szCs w:val="21"/>
        </w:rPr>
      </w:pPr>
      <w:r>
        <w:rPr>
          <w:rFonts w:hint="eastAsia" w:ascii="宋体"/>
          <w:szCs w:val="21"/>
        </w:rPr>
        <w:t>（7）因车辆原因或其它自身原因不能及时处理应急事件时，须及时报告行政主管部门。</w:t>
      </w:r>
    </w:p>
    <w:p>
      <w:pPr>
        <w:wordWrap w:val="0"/>
        <w:overflowPunct w:val="0"/>
        <w:spacing w:line="360" w:lineRule="auto"/>
        <w:ind w:firstLine="413" w:firstLineChars="196"/>
        <w:outlineLvl w:val="2"/>
        <w:rPr>
          <w:rFonts w:ascii="宋体" w:hAnsi="宋体" w:cs="黑体"/>
          <w:b/>
          <w:szCs w:val="21"/>
        </w:rPr>
      </w:pPr>
      <w:bookmarkStart w:id="50" w:name="_Toc5184"/>
      <w:bookmarkStart w:id="51" w:name="_Toc403"/>
      <w:bookmarkStart w:id="52" w:name="_Toc64901748"/>
      <w:bookmarkStart w:id="53" w:name="_Toc64913332"/>
      <w:bookmarkStart w:id="54" w:name="_Toc2930"/>
      <w:r>
        <w:rPr>
          <w:rFonts w:hint="eastAsia" w:ascii="宋体" w:hAnsi="宋体" w:cs="黑体"/>
          <w:b/>
          <w:szCs w:val="21"/>
        </w:rPr>
        <w:t>（二）公园、广场及公共绿地保洁要求</w:t>
      </w:r>
      <w:bookmarkEnd w:id="50"/>
      <w:bookmarkEnd w:id="51"/>
      <w:bookmarkEnd w:id="52"/>
      <w:bookmarkEnd w:id="53"/>
      <w:bookmarkEnd w:id="54"/>
    </w:p>
    <w:p>
      <w:pPr>
        <w:wordWrap w:val="0"/>
        <w:overflowPunct w:val="0"/>
        <w:snapToGrid w:val="0"/>
        <w:spacing w:line="360" w:lineRule="auto"/>
        <w:ind w:firstLine="422" w:firstLineChars="200"/>
        <w:outlineLvl w:val="3"/>
        <w:rPr>
          <w:rFonts w:ascii="宋体" w:hAnsi="宋体" w:cs="黑体"/>
          <w:b/>
          <w:szCs w:val="21"/>
        </w:rPr>
      </w:pPr>
      <w:bookmarkStart w:id="55" w:name="_Toc3041"/>
      <w:bookmarkStart w:id="56" w:name="_Toc28069"/>
      <w:bookmarkStart w:id="57" w:name="_Toc22299"/>
      <w:r>
        <w:rPr>
          <w:rFonts w:hint="eastAsia" w:ascii="宋体" w:hAnsi="宋体" w:cs="黑体"/>
          <w:b/>
          <w:szCs w:val="21"/>
        </w:rPr>
        <w:t>1、公园、广场及公共绿地保洁范围</w:t>
      </w:r>
      <w:bookmarkEnd w:id="55"/>
      <w:bookmarkEnd w:id="56"/>
      <w:bookmarkEnd w:id="57"/>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公园、广场及公共绿地（含道路绿化隔离带、道路两侧绿地、假山公园、小游园、园林景观道路绿地（带）、园林休闲道绿地（带）及配套的人工附属设施设备，下同）内的保洁（含垃圾筒、果皮箱等卫生设施、护栏、护树设施、灯光及各类电气设施、座椅、指示牌、宣传牌、警示牌等标识系统等）；公园、广场及公共绿地内建筑及构筑物的地面保洁及立面清洗（含亭、台、楼、榭、登山道、挡土墙、花基、围墙、大门、小品、雕塑等）；公园、广场及公共绿地内道路及铺装的保洁（道路、活动广场、入口广场、停车场等）；水体保洁（含给水系统、喷灌系统、排水沟及防洪设施、喷泉、水池、溪流、湖等）；道路及区内各类设施、建筑及构筑物立面上违法小广告的清除；公园、广场内公厕保洁；其他园林设施的清洁。</w:t>
      </w:r>
    </w:p>
    <w:p>
      <w:pPr>
        <w:wordWrap w:val="0"/>
        <w:overflowPunct w:val="0"/>
        <w:snapToGrid w:val="0"/>
        <w:spacing w:line="360" w:lineRule="auto"/>
        <w:ind w:firstLine="422" w:firstLineChars="200"/>
        <w:outlineLvl w:val="3"/>
        <w:rPr>
          <w:rFonts w:hint="eastAsia" w:ascii="宋体" w:hAnsi="宋体" w:cs="黑体"/>
          <w:b/>
          <w:szCs w:val="21"/>
        </w:rPr>
      </w:pPr>
      <w:bookmarkStart w:id="58" w:name="_Toc17604"/>
      <w:bookmarkStart w:id="59" w:name="_Toc11404"/>
      <w:bookmarkStart w:id="60" w:name="_Toc16601"/>
      <w:r>
        <w:rPr>
          <w:rFonts w:hint="eastAsia" w:ascii="宋体" w:hAnsi="宋体" w:cs="黑体"/>
          <w:b/>
          <w:szCs w:val="21"/>
        </w:rPr>
        <w:t>2、公园、广场及公共绿地保洁质量要求</w:t>
      </w:r>
      <w:bookmarkEnd w:id="58"/>
      <w:bookmarkEnd w:id="59"/>
      <w:bookmarkEnd w:id="60"/>
    </w:p>
    <w:p>
      <w:pPr>
        <w:numPr>
          <w:ilvl w:val="0"/>
          <w:numId w:val="18"/>
        </w:numPr>
        <w:wordWrap w:val="0"/>
        <w:overflowPunct w:val="0"/>
        <w:adjustRightInd w:val="0"/>
        <w:snapToGrid w:val="0"/>
        <w:spacing w:line="360" w:lineRule="auto"/>
        <w:ind w:firstLine="420" w:firstLineChars="200"/>
        <w:textAlignment w:val="bottom"/>
        <w:rPr>
          <w:rFonts w:hint="eastAsia" w:ascii="宋体" w:hAnsi="宋体"/>
          <w:szCs w:val="21"/>
        </w:rPr>
      </w:pPr>
      <w:r>
        <w:rPr>
          <w:rFonts w:hint="eastAsia" w:ascii="宋体" w:hAnsi="宋体"/>
          <w:szCs w:val="21"/>
        </w:rPr>
        <w:t>公园、广场、绿地、绿化带（地）干净整洁无垃圾污染，无卫生死角，无杂物积存，空旷绿地无明显垃圾，要求清理垃圾（含养护公司清理出的垃圾）。</w:t>
      </w:r>
    </w:p>
    <w:p>
      <w:pPr>
        <w:numPr>
          <w:ilvl w:val="0"/>
          <w:numId w:val="18"/>
        </w:numPr>
        <w:wordWrap w:val="0"/>
        <w:overflowPunct w:val="0"/>
        <w:adjustRightInd w:val="0"/>
        <w:snapToGrid w:val="0"/>
        <w:spacing w:line="360" w:lineRule="auto"/>
        <w:ind w:firstLine="420" w:firstLineChars="200"/>
        <w:textAlignment w:val="bottom"/>
        <w:rPr>
          <w:rFonts w:hint="eastAsia" w:ascii="宋体" w:hAnsi="宋体"/>
          <w:szCs w:val="21"/>
        </w:rPr>
      </w:pPr>
      <w:r>
        <w:rPr>
          <w:rFonts w:hint="eastAsia" w:ascii="宋体" w:hAnsi="宋体"/>
          <w:szCs w:val="21"/>
        </w:rPr>
        <w:t>人工附属设施设备</w:t>
      </w:r>
      <w:r>
        <w:rPr>
          <w:rFonts w:hint="eastAsia" w:ascii="宋体" w:hAnsi="宋体" w:cs="黑体"/>
          <w:szCs w:val="21"/>
        </w:rPr>
        <w:t>（各类灯、音响、指示牌、宣传栏、休闲椅、桥面、栏杆、扶手、凉亭、走廊、花架、园林小品等，下同）</w:t>
      </w:r>
      <w:r>
        <w:rPr>
          <w:rFonts w:hint="eastAsia" w:ascii="宋体" w:hAnsi="宋体"/>
          <w:szCs w:val="21"/>
        </w:rPr>
        <w:t>、体育健身区域器材设施表面无积尘，干净整洁，无乱涂写，乱粘贴和悬挂物。</w:t>
      </w:r>
    </w:p>
    <w:p>
      <w:pPr>
        <w:numPr>
          <w:ilvl w:val="0"/>
          <w:numId w:val="18"/>
        </w:numPr>
        <w:wordWrap w:val="0"/>
        <w:overflowPunct w:val="0"/>
        <w:adjustRightInd w:val="0"/>
        <w:snapToGrid w:val="0"/>
        <w:spacing w:line="360" w:lineRule="auto"/>
        <w:ind w:firstLine="420" w:firstLineChars="200"/>
        <w:textAlignment w:val="bottom"/>
        <w:rPr>
          <w:rFonts w:ascii="宋体" w:hAnsi="宋体"/>
          <w:szCs w:val="21"/>
          <w:lang w:val="zh-CN"/>
        </w:rPr>
      </w:pPr>
      <w:r>
        <w:rPr>
          <w:rFonts w:hint="eastAsia" w:ascii="宋体" w:hAnsi="宋体"/>
          <w:szCs w:val="21"/>
          <w:lang w:val="zh-CN"/>
        </w:rPr>
        <w:t>眼看水体、水面及水面周围无杂物、水葫芦、青苔等漂浮物。排水沟目视干净无杂草、杂物，排水畅通。</w:t>
      </w:r>
    </w:p>
    <w:p>
      <w:pPr>
        <w:pStyle w:val="16"/>
        <w:numPr>
          <w:ilvl w:val="0"/>
          <w:numId w:val="18"/>
        </w:numPr>
        <w:wordWrap w:val="0"/>
        <w:overflowPunct w:val="0"/>
        <w:adjustRightInd w:val="0"/>
        <w:snapToGrid w:val="0"/>
        <w:spacing w:after="0" w:line="360" w:lineRule="auto"/>
        <w:ind w:left="0" w:leftChars="0" w:firstLine="440" w:firstLineChars="200"/>
        <w:rPr>
          <w:rFonts w:hint="eastAsia" w:ascii="宋体" w:hAnsi="宋体"/>
          <w:kern w:val="2"/>
          <w:sz w:val="22"/>
          <w:szCs w:val="22"/>
          <w:lang w:val="zh-CN"/>
        </w:rPr>
      </w:pPr>
      <w:r>
        <w:rPr>
          <w:rFonts w:hint="eastAsia" w:ascii="宋体" w:hAnsi="宋体"/>
          <w:kern w:val="2"/>
          <w:sz w:val="22"/>
          <w:szCs w:val="22"/>
          <w:lang w:val="zh-CN"/>
        </w:rPr>
        <w:t>禁止把清扫的落叶、枯枝等倾倒入绿地。</w:t>
      </w:r>
    </w:p>
    <w:p>
      <w:pPr>
        <w:pStyle w:val="16"/>
        <w:numPr>
          <w:ilvl w:val="0"/>
          <w:numId w:val="18"/>
        </w:numPr>
        <w:wordWrap w:val="0"/>
        <w:overflowPunct w:val="0"/>
        <w:adjustRightInd w:val="0"/>
        <w:snapToGrid w:val="0"/>
        <w:spacing w:after="0" w:line="360" w:lineRule="auto"/>
        <w:ind w:left="0" w:leftChars="0" w:firstLine="420" w:firstLineChars="200"/>
        <w:rPr>
          <w:rFonts w:hint="eastAsia" w:ascii="宋体" w:hAnsi="宋体"/>
          <w:szCs w:val="21"/>
        </w:rPr>
      </w:pPr>
      <w:r>
        <w:rPr>
          <w:rFonts w:hint="eastAsia" w:ascii="宋体" w:hAnsi="宋体"/>
          <w:szCs w:val="21"/>
        </w:rPr>
        <w:t>公厕保洁按现一类公厕标准执行。</w:t>
      </w:r>
    </w:p>
    <w:p>
      <w:pPr>
        <w:wordWrap w:val="0"/>
        <w:overflowPunct w:val="0"/>
        <w:snapToGrid w:val="0"/>
        <w:spacing w:line="360" w:lineRule="auto"/>
        <w:ind w:firstLine="422" w:firstLineChars="200"/>
        <w:outlineLvl w:val="3"/>
        <w:rPr>
          <w:rFonts w:hint="eastAsia" w:ascii="宋体" w:hAnsi="宋体" w:cs="黑体"/>
          <w:b/>
          <w:szCs w:val="21"/>
        </w:rPr>
      </w:pPr>
      <w:bookmarkStart w:id="61" w:name="_Toc13178"/>
      <w:bookmarkStart w:id="62" w:name="_Toc18481"/>
      <w:bookmarkStart w:id="63" w:name="_Toc16190"/>
      <w:r>
        <w:rPr>
          <w:rFonts w:hint="eastAsia" w:ascii="宋体" w:hAnsi="宋体" w:cs="黑体"/>
          <w:b/>
          <w:szCs w:val="21"/>
        </w:rPr>
        <w:t>3、公园、广场及公共绿地保洁作业要求</w:t>
      </w:r>
      <w:bookmarkEnd w:id="61"/>
      <w:bookmarkEnd w:id="62"/>
      <w:bookmarkEnd w:id="63"/>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1）公园、广场要求实施16小时（5:00-21:00）动态巡回保洁，保洁要达到“七无”、“五净”标准。公园、广场内道路及铺装、建筑及构筑物的地面每天普扫3次，每周冲洗3次；公园、广场内各类设施、建筑及构筑物立面（2米以下部分）每天清洗1次；水体保洁按河道保洁要求执行；公园、广场内公厕按一类公厕保洁标准执行。</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w:t>
      </w:r>
      <w:r>
        <w:rPr>
          <w:rFonts w:ascii="宋体" w:hAnsi="宋体" w:cs="黑体"/>
          <w:szCs w:val="21"/>
        </w:rPr>
        <w:t>2</w:t>
      </w:r>
      <w:r>
        <w:rPr>
          <w:rFonts w:hint="eastAsia" w:ascii="宋体" w:hAnsi="宋体" w:cs="黑体"/>
          <w:szCs w:val="21"/>
        </w:rPr>
        <w:t>）公共绿地要求清理绿化中的垃圾（含养护公司清理出的垃圾）、抛洒物、零星废弃物，卫生死角、积存垃圾杂物，确保绿化区域干净整洁。</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（3）</w:t>
      </w:r>
      <w:r>
        <w:rPr>
          <w:rFonts w:ascii="宋体" w:hAnsi="宋体" w:cs="黑体"/>
          <w:szCs w:val="21"/>
        </w:rPr>
        <w:t>大型树木季节性砍杈养护，造成的树杈、落枝、落叶由中标供应商负责在12小时内清运完毕。</w:t>
      </w:r>
    </w:p>
    <w:p>
      <w:pPr>
        <w:wordWrap w:val="0"/>
        <w:overflowPunct w:val="0"/>
        <w:snapToGrid w:val="0"/>
        <w:spacing w:line="360" w:lineRule="auto"/>
        <w:ind w:firstLine="422" w:firstLineChars="200"/>
        <w:outlineLvl w:val="3"/>
        <w:rPr>
          <w:rFonts w:hint="eastAsia" w:ascii="宋体" w:hAnsi="宋体" w:cs="黑体"/>
          <w:b/>
          <w:szCs w:val="21"/>
        </w:rPr>
      </w:pPr>
      <w:bookmarkStart w:id="64" w:name="_Toc19327"/>
      <w:r>
        <w:rPr>
          <w:rFonts w:hint="eastAsia" w:ascii="宋体" w:hAnsi="宋体" w:cs="黑体"/>
          <w:b/>
          <w:szCs w:val="21"/>
        </w:rPr>
        <w:t>4、船只配备要求</w:t>
      </w:r>
      <w:bookmarkEnd w:id="64"/>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人工河打捞漂浮物时结合实际情况选择使用充气船或木船等作业船只，作业行船安全，防止超载、颠覆、进水。安全救生用具配戴齐全，定期实施设施安全检查。</w:t>
      </w:r>
    </w:p>
    <w:p>
      <w:pPr>
        <w:wordWrap w:val="0"/>
        <w:overflowPunct w:val="0"/>
        <w:snapToGrid w:val="0"/>
        <w:spacing w:line="360" w:lineRule="auto"/>
        <w:ind w:firstLine="422" w:firstLineChars="200"/>
        <w:outlineLvl w:val="3"/>
        <w:rPr>
          <w:rFonts w:hint="eastAsia" w:ascii="宋体" w:hAnsi="宋体" w:cs="黑体"/>
          <w:b/>
          <w:szCs w:val="21"/>
        </w:rPr>
      </w:pPr>
      <w:bookmarkStart w:id="65" w:name="_Toc24841"/>
      <w:r>
        <w:rPr>
          <w:rFonts w:hint="eastAsia" w:ascii="宋体" w:hAnsi="宋体" w:cs="黑体"/>
          <w:b/>
          <w:szCs w:val="21"/>
        </w:rPr>
        <w:t>5、日常工作要求</w:t>
      </w:r>
      <w:bookmarkEnd w:id="65"/>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（1）路面上的口香糖等粘性物体应及时清理干净。</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（2）垃圾桶、果皮箱垃圾袋里的垃圾不得超过三分之二，每天至少清理1次并将垃圾集中收集至指定的垃圾中转站。</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（3）绿化地每天巡回保洁，确保草坪、花园内无瓜果皮壳、枯叶、饮料盒、纸屑、碎石、塑料袋等杂物。</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w:t>
      </w:r>
      <w:r>
        <w:rPr>
          <w:rFonts w:ascii="宋体" w:hAnsi="宋体" w:cs="黑体"/>
          <w:szCs w:val="21"/>
        </w:rPr>
        <w:t>4</w:t>
      </w:r>
      <w:r>
        <w:rPr>
          <w:rFonts w:hint="eastAsia" w:ascii="宋体" w:hAnsi="宋体" w:cs="黑体"/>
          <w:szCs w:val="21"/>
        </w:rPr>
        <w:t>）枯枝、落叶、泥土等垃圾经养护公司整理打包后，由保洁公司负责清理、处置，确保日产日清。</w:t>
      </w:r>
    </w:p>
    <w:p>
      <w:pPr>
        <w:wordWrap w:val="0"/>
        <w:overflowPunct w:val="0"/>
        <w:adjustRightInd w:val="0"/>
        <w:snapToGrid w:val="0"/>
        <w:spacing w:line="360" w:lineRule="auto"/>
        <w:ind w:firstLine="420" w:firstLineChars="200"/>
        <w:textAlignment w:val="bottom"/>
        <w:rPr>
          <w:rFonts w:hint="eastAsia" w:ascii="宋体" w:hAnsi="宋体"/>
          <w:kern w:val="2"/>
          <w:sz w:val="22"/>
          <w:szCs w:val="22"/>
        </w:rPr>
      </w:pPr>
      <w:r>
        <w:rPr>
          <w:rFonts w:hint="eastAsia" w:ascii="宋体" w:hAnsi="宋体" w:cs="黑体"/>
          <w:szCs w:val="21"/>
        </w:rPr>
        <w:t>（</w:t>
      </w:r>
      <w:r>
        <w:rPr>
          <w:rFonts w:ascii="宋体" w:hAnsi="宋体" w:cs="黑体"/>
          <w:szCs w:val="21"/>
        </w:rPr>
        <w:t>5</w:t>
      </w:r>
      <w:r>
        <w:rPr>
          <w:rFonts w:hint="eastAsia" w:ascii="宋体" w:hAnsi="宋体" w:cs="黑体"/>
          <w:szCs w:val="21"/>
        </w:rPr>
        <w:t>）园区内喷泉的水体及设施，每2个月清洗次数不少于1次。</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w:t>
      </w:r>
      <w:r>
        <w:rPr>
          <w:rFonts w:ascii="宋体" w:hAnsi="宋体" w:cs="黑体"/>
          <w:szCs w:val="21"/>
        </w:rPr>
        <w:t>6</w:t>
      </w:r>
      <w:r>
        <w:rPr>
          <w:rFonts w:hint="eastAsia" w:ascii="宋体" w:hAnsi="宋体" w:cs="黑体"/>
          <w:szCs w:val="21"/>
        </w:rPr>
        <w:t>）人工附属设施设备、体育健身区域器材设施每周擦洗1次。</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w:t>
      </w:r>
      <w:r>
        <w:rPr>
          <w:rFonts w:ascii="宋体" w:hAnsi="宋体" w:cs="黑体"/>
          <w:szCs w:val="21"/>
        </w:rPr>
        <w:t>7</w:t>
      </w:r>
      <w:r>
        <w:rPr>
          <w:rFonts w:hint="eastAsia" w:ascii="宋体" w:hAnsi="宋体" w:cs="黑体"/>
          <w:szCs w:val="21"/>
        </w:rPr>
        <w:t>）人工河保洁每天不得少于2次，打捞人员必须穿戴救身衣、</w:t>
      </w:r>
      <w:r>
        <w:rPr>
          <w:rFonts w:ascii="宋体" w:hAnsi="宋体" w:cs="黑体"/>
          <w:szCs w:val="21"/>
        </w:rPr>
        <w:t>会游泳、习水性。</w:t>
      </w:r>
    </w:p>
    <w:p>
      <w:pPr>
        <w:wordWrap w:val="0"/>
        <w:overflowPunct w:val="0"/>
        <w:adjustRightInd w:val="0"/>
        <w:snapToGrid w:val="0"/>
        <w:spacing w:line="360" w:lineRule="auto"/>
        <w:ind w:firstLine="527" w:firstLineChars="250"/>
        <w:textAlignment w:val="bottom"/>
        <w:rPr>
          <w:rFonts w:hint="eastAsia" w:ascii="宋体" w:hAnsi="宋体" w:cs="黑体"/>
          <w:b/>
          <w:szCs w:val="21"/>
        </w:rPr>
      </w:pPr>
      <w:bookmarkStart w:id="66" w:name="_Toc10625"/>
      <w:r>
        <w:rPr>
          <w:rFonts w:hint="eastAsia" w:ascii="宋体" w:hAnsi="宋体" w:cs="黑体"/>
          <w:b/>
          <w:szCs w:val="21"/>
        </w:rPr>
        <w:t>6、应急要求</w:t>
      </w:r>
      <w:bookmarkEnd w:id="66"/>
    </w:p>
    <w:p>
      <w:pPr>
        <w:wordWrap w:val="0"/>
        <w:overflowPunct w:val="0"/>
        <w:adjustRightInd w:val="0"/>
        <w:snapToGrid w:val="0"/>
        <w:spacing w:line="360" w:lineRule="auto"/>
        <w:ind w:firstLine="525" w:firstLineChars="250"/>
        <w:textAlignment w:val="bottom"/>
        <w:rPr>
          <w:rFonts w:ascii="宋体" w:hAnsi="宋体" w:cs="黑体"/>
          <w:szCs w:val="21"/>
        </w:rPr>
      </w:pPr>
      <w:r>
        <w:rPr>
          <w:rFonts w:hint="eastAsia" w:ascii="宋体" w:hAnsi="宋体" w:cs="黑体"/>
          <w:szCs w:val="21"/>
        </w:rPr>
        <w:t>公园、广场及公共绿地内遇到可疑人员须及时汇报行业主管部门。</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7、</w:t>
      </w:r>
      <w:bookmarkStart w:id="67" w:name="_Hlk69252842"/>
      <w:r>
        <w:rPr>
          <w:rFonts w:hint="eastAsia" w:ascii="宋体" w:hAnsi="宋体"/>
          <w:b/>
          <w:bCs/>
          <w:kern w:val="2"/>
          <w:szCs w:val="21"/>
        </w:rPr>
        <w:t>公园“席地而坐”需求</w:t>
      </w:r>
      <w:bookmarkEnd w:id="67"/>
    </w:p>
    <w:p>
      <w:pPr>
        <w:wordWrap w:val="0"/>
        <w:overflowPunct w:val="0"/>
        <w:adjustRightInd w:val="0"/>
        <w:snapToGrid w:val="0"/>
        <w:spacing w:line="360" w:lineRule="auto"/>
        <w:ind w:firstLine="525" w:firstLineChars="250"/>
        <w:textAlignment w:val="bottom"/>
        <w:rPr>
          <w:rFonts w:ascii="宋体" w:hAnsi="宋体"/>
          <w:b/>
          <w:bCs/>
          <w:kern w:val="2"/>
          <w:szCs w:val="21"/>
        </w:rPr>
      </w:pPr>
      <w:bookmarkStart w:id="68" w:name="_Hlk69252854"/>
      <w:r>
        <w:rPr>
          <w:rFonts w:hint="eastAsia" w:ascii="宋体" w:hAnsi="宋体"/>
          <w:kern w:val="2"/>
          <w:szCs w:val="21"/>
        </w:rPr>
        <w:t>（1）</w:t>
      </w:r>
      <w:r>
        <w:rPr>
          <w:rFonts w:hint="eastAsia" w:ascii="宋体" w:hAnsi="宋体"/>
          <w:b/>
          <w:bCs/>
          <w:kern w:val="2"/>
          <w:szCs w:val="21"/>
        </w:rPr>
        <w:t>暂定范围：瑞安广场、万松广场、瑞祥公园等三处；如因政策要求，采购人可在服务期内增加数量，各投标供应商应无条件响应。</w:t>
      </w:r>
    </w:p>
    <w:p>
      <w:pPr>
        <w:wordWrap w:val="0"/>
        <w:overflowPunct w:val="0"/>
        <w:adjustRightInd w:val="0"/>
        <w:snapToGrid w:val="0"/>
        <w:spacing w:line="360" w:lineRule="auto"/>
        <w:ind w:firstLine="525" w:firstLineChars="250"/>
        <w:textAlignment w:val="bottom"/>
        <w:rPr>
          <w:rFonts w:ascii="宋体" w:hAnsi="宋体" w:cs="黑体"/>
          <w:b/>
          <w:szCs w:val="21"/>
        </w:rPr>
      </w:pPr>
      <w:r>
        <w:rPr>
          <w:rFonts w:hint="eastAsia" w:ascii="宋体" w:hAnsi="宋体"/>
          <w:kern w:val="2"/>
          <w:szCs w:val="21"/>
        </w:rPr>
        <w:t>（2）</w:t>
      </w:r>
      <w:r>
        <w:rPr>
          <w:rFonts w:hint="eastAsia" w:ascii="宋体" w:hAnsi="宋体" w:cs="黑体"/>
          <w:b/>
          <w:szCs w:val="21"/>
        </w:rPr>
        <w:t>保洁质量要求：</w:t>
      </w:r>
    </w:p>
    <w:p>
      <w:pPr>
        <w:wordWrap w:val="0"/>
        <w:overflowPunct w:val="0"/>
        <w:adjustRightInd w:val="0"/>
        <w:snapToGrid w:val="0"/>
        <w:spacing w:line="360" w:lineRule="auto"/>
        <w:ind w:firstLine="527" w:firstLineChars="250"/>
        <w:textAlignment w:val="bottom"/>
        <w:rPr>
          <w:rFonts w:ascii="宋体" w:hAnsi="宋体" w:cs="黑体"/>
          <w:b/>
          <w:szCs w:val="21"/>
        </w:rPr>
      </w:pPr>
      <w:r>
        <w:rPr>
          <w:rFonts w:hint="eastAsia" w:ascii="宋体" w:hAnsi="宋体" w:cs="黑体"/>
          <w:b/>
          <w:szCs w:val="21"/>
        </w:rPr>
        <w:t>① 地面路面深度保洁，达到干净清爽、席地而坐标准</w:t>
      </w:r>
    </w:p>
    <w:p>
      <w:pPr>
        <w:wordWrap w:val="0"/>
        <w:overflowPunct w:val="0"/>
        <w:adjustRightInd w:val="0"/>
        <w:snapToGrid w:val="0"/>
        <w:spacing w:line="360" w:lineRule="auto"/>
        <w:ind w:firstLine="527" w:firstLineChars="250"/>
        <w:textAlignment w:val="bottom"/>
        <w:rPr>
          <w:rFonts w:ascii="宋体" w:hAnsi="宋体" w:cs="黑体"/>
          <w:b/>
          <w:szCs w:val="21"/>
        </w:rPr>
      </w:pPr>
      <w:r>
        <w:rPr>
          <w:rFonts w:hint="eastAsia" w:ascii="宋体" w:hAnsi="宋体" w:cs="黑体"/>
          <w:b/>
          <w:szCs w:val="21"/>
        </w:rPr>
        <w:t>要求实施16小时（5:00-21:00）动态巡回保洁，动态垃圾停留时间小于5分钟。使用人工清洁和深度保洁装备及适合广场、人行道等作业小型机扫车、油污清除车等作业车辆，实施深度除污、除尘，路面及人行道保持干净整洁，还原路面本色，对公共广场地面进行洗刷。对侧挡石、墙角、树穴、砖（墙）缝等区域的积泥、杂草进行清除，保持干净整洁、无污渍、无杂物堆放、无零星垃圾，具体清扫频次：地面每天普扫不少于5次，每天冲洗不少于1次。</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② 立面屋面规范保洁，达到整洁靓丽、视觉舒适标准</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全面清理“空中垃圾”、建筑物（构筑物）立面（2米以下部分）积灰积尘，每天擦洗不少于2次；景观水体可见垃圾和附着污物，每1小时巡回保洁一次。</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③ 城市家俱精洗保洁，达到洁净如洗、随手可摸标准</w:t>
      </w:r>
    </w:p>
    <w:p>
      <w:pPr>
        <w:wordWrap w:val="0"/>
        <w:overflowPunct w:val="0"/>
        <w:adjustRightInd w:val="0"/>
        <w:snapToGrid w:val="0"/>
        <w:spacing w:line="360" w:lineRule="auto"/>
        <w:ind w:firstLine="527" w:firstLineChars="250"/>
        <w:textAlignment w:val="bottom"/>
        <w:rPr>
          <w:rFonts w:hint="eastAsia" w:ascii="宋体" w:hAnsi="宋体"/>
          <w:b/>
          <w:bCs/>
          <w:kern w:val="2"/>
          <w:szCs w:val="21"/>
        </w:rPr>
      </w:pPr>
      <w:r>
        <w:rPr>
          <w:rFonts w:hint="eastAsia" w:ascii="宋体" w:hAnsi="宋体"/>
          <w:b/>
          <w:bCs/>
          <w:kern w:val="2"/>
          <w:szCs w:val="21"/>
        </w:rPr>
        <w:t>着眼细节，对条椅、石凳、花坛边、可坐台阶等可坐的区域，实行精洗保洁+巡回擦洗作业方式，每天擦洗不少于3次，确保可坐人区域可正常如坐。</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果壳箱等各类城市家俱进行精洗保洁，每天擦洗不少于2次，实现设施上无杂物、无灰尘、无污渍、无张贴。采用防黏贴新材料对路灯杆、配电箱等表面处理确保洁净。</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④ 绿化绿地冲洗保洁，达到绿地整洁有序、绿叶如新标准</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绿化隔离带、街头绿地以冲洗、捡拾为主，清除暴露垃圾、杂草，绿化带内无杂物悬挂、堆放，绿地无裸露。利用高压冲洗车冲洗绿植，实现绿植表面无浮尘，每天冲洗不少于1次。</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（3）工作要求</w:t>
      </w:r>
    </w:p>
    <w:p>
      <w:pPr>
        <w:wordWrap w:val="0"/>
        <w:overflowPunct w:val="0"/>
        <w:adjustRightInd w:val="0"/>
        <w:snapToGrid w:val="0"/>
        <w:spacing w:line="360" w:lineRule="auto"/>
        <w:ind w:firstLine="527" w:firstLineChars="250"/>
        <w:textAlignment w:val="bottom"/>
        <w:rPr>
          <w:rFonts w:hint="eastAsia" w:ascii="宋体" w:hAnsi="宋体"/>
          <w:b/>
          <w:bCs/>
          <w:kern w:val="2"/>
          <w:szCs w:val="21"/>
        </w:rPr>
      </w:pPr>
      <w:r>
        <w:rPr>
          <w:rFonts w:hint="eastAsia" w:ascii="宋体" w:hAnsi="宋体"/>
          <w:b/>
          <w:bCs/>
          <w:kern w:val="2"/>
          <w:szCs w:val="21"/>
        </w:rPr>
        <w:t>① 按照最高标准保洁作业要求，建立“扫、捡、冲、刷、洗、拔、捞、擦、吸、巡”等组合式作业方式进行保洁。</w:t>
      </w:r>
    </w:p>
    <w:p>
      <w:pPr>
        <w:wordWrap w:val="0"/>
        <w:overflowPunct w:val="0"/>
        <w:adjustRightInd w:val="0"/>
        <w:snapToGrid w:val="0"/>
        <w:spacing w:line="360" w:lineRule="auto"/>
        <w:ind w:firstLine="527" w:firstLineChars="250"/>
        <w:textAlignment w:val="bottom"/>
        <w:rPr>
          <w:rFonts w:hint="eastAsia" w:ascii="宋体" w:hAnsi="宋体"/>
          <w:b/>
          <w:bCs/>
          <w:kern w:val="2"/>
          <w:szCs w:val="21"/>
        </w:rPr>
      </w:pPr>
      <w:r>
        <w:rPr>
          <w:rFonts w:hint="eastAsia" w:ascii="宋体" w:hAnsi="宋体"/>
          <w:b/>
          <w:bCs/>
          <w:kern w:val="2"/>
          <w:szCs w:val="21"/>
        </w:rPr>
        <w:t>② 配备专人，采用专业设备对保洁区域进行不间断的巡回保洁模式，确保所保洁区域能达到席地而坐的保准。</w:t>
      </w:r>
    </w:p>
    <w:p>
      <w:pPr>
        <w:wordWrap w:val="0"/>
        <w:overflowPunct w:val="0"/>
        <w:adjustRightInd w:val="0"/>
        <w:snapToGrid w:val="0"/>
        <w:spacing w:line="360" w:lineRule="auto"/>
        <w:ind w:firstLine="527" w:firstLineChars="250"/>
        <w:textAlignment w:val="bottom"/>
        <w:rPr>
          <w:rFonts w:ascii="宋体" w:hAnsi="宋体"/>
          <w:b/>
          <w:bCs/>
          <w:kern w:val="2"/>
          <w:szCs w:val="21"/>
        </w:rPr>
      </w:pPr>
      <w:r>
        <w:rPr>
          <w:rFonts w:hint="eastAsia" w:ascii="宋体" w:hAnsi="宋体"/>
          <w:b/>
          <w:bCs/>
          <w:kern w:val="2"/>
          <w:szCs w:val="21"/>
        </w:rPr>
        <w:t>③ 如因节假日游览人员增加，中标供应商应加派人员和设备，确保到达保洁质量的要求。</w:t>
      </w:r>
    </w:p>
    <w:p>
      <w:pPr>
        <w:wordWrap w:val="0"/>
        <w:overflowPunct w:val="0"/>
        <w:adjustRightInd w:val="0"/>
        <w:snapToGrid w:val="0"/>
        <w:spacing w:line="360" w:lineRule="auto"/>
        <w:ind w:firstLine="527" w:firstLineChars="250"/>
        <w:textAlignment w:val="bottom"/>
        <w:rPr>
          <w:rFonts w:hint="eastAsia" w:ascii="宋体" w:hAnsi="宋体"/>
          <w:b/>
          <w:bCs/>
          <w:kern w:val="2"/>
          <w:szCs w:val="21"/>
        </w:rPr>
      </w:pPr>
      <w:r>
        <w:rPr>
          <w:rFonts w:hint="eastAsia" w:ascii="宋体" w:hAnsi="宋体"/>
          <w:b/>
          <w:bCs/>
          <w:kern w:val="2"/>
          <w:szCs w:val="21"/>
        </w:rPr>
        <w:t>（4）人员和设备配置：投标供应商自行配备，确保能满足服务要求；</w:t>
      </w:r>
    </w:p>
    <w:bookmarkEnd w:id="68"/>
    <w:p>
      <w:pPr>
        <w:wordWrap w:val="0"/>
        <w:overflowPunct w:val="0"/>
        <w:spacing w:line="360" w:lineRule="auto"/>
        <w:ind w:firstLine="413" w:firstLineChars="196"/>
        <w:outlineLvl w:val="2"/>
        <w:rPr>
          <w:rFonts w:ascii="宋体"/>
          <w:b/>
          <w:szCs w:val="21"/>
        </w:rPr>
      </w:pPr>
      <w:bookmarkStart w:id="69" w:name="_Toc64901749"/>
      <w:bookmarkStart w:id="70" w:name="_Toc16004"/>
      <w:bookmarkStart w:id="71" w:name="_Toc2463"/>
      <w:bookmarkStart w:id="72" w:name="_Toc64913333"/>
      <w:bookmarkStart w:id="73" w:name="_Toc16230"/>
      <w:r>
        <w:rPr>
          <w:rFonts w:hint="eastAsia" w:ascii="新宋体" w:hAnsi="新宋体" w:eastAsia="新宋体"/>
          <w:b/>
          <w:szCs w:val="21"/>
        </w:rPr>
        <w:t>（三）</w:t>
      </w:r>
      <w:r>
        <w:rPr>
          <w:rFonts w:hint="eastAsia" w:ascii="宋体"/>
          <w:b/>
          <w:szCs w:val="21"/>
        </w:rPr>
        <w:t>市政设施保洁要求</w:t>
      </w:r>
      <w:bookmarkEnd w:id="69"/>
      <w:bookmarkEnd w:id="70"/>
      <w:bookmarkEnd w:id="71"/>
      <w:bookmarkEnd w:id="72"/>
      <w:bookmarkEnd w:id="73"/>
    </w:p>
    <w:p>
      <w:pPr>
        <w:wordWrap w:val="0"/>
        <w:overflowPunct w:val="0"/>
        <w:snapToGrid w:val="0"/>
        <w:spacing w:line="360" w:lineRule="auto"/>
        <w:ind w:firstLine="422" w:firstLineChars="200"/>
        <w:outlineLvl w:val="3"/>
        <w:rPr>
          <w:rFonts w:ascii="宋体" w:hAnsi="宋体" w:cs="黑体"/>
          <w:b/>
          <w:szCs w:val="21"/>
        </w:rPr>
      </w:pPr>
      <w:bookmarkStart w:id="74" w:name="_Toc22311"/>
      <w:r>
        <w:rPr>
          <w:rFonts w:hint="eastAsia" w:ascii="宋体" w:hAnsi="宋体" w:cs="黑体"/>
          <w:b/>
          <w:szCs w:val="21"/>
        </w:rPr>
        <w:t>1、市政设施保洁范围</w:t>
      </w:r>
      <w:bookmarkEnd w:id="74"/>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含道路（含公路、桥梁）护栏、隔离栏、电杆、监控杆、弱电设施等一切公共室外市政设施。</w:t>
      </w:r>
    </w:p>
    <w:p>
      <w:pPr>
        <w:wordWrap w:val="0"/>
        <w:overflowPunct w:val="0"/>
        <w:snapToGrid w:val="0"/>
        <w:spacing w:line="360" w:lineRule="auto"/>
        <w:ind w:firstLine="422" w:firstLineChars="200"/>
        <w:outlineLvl w:val="3"/>
        <w:rPr>
          <w:rFonts w:hint="eastAsia" w:ascii="宋体" w:hAnsi="宋体" w:cs="黑体"/>
          <w:b/>
          <w:szCs w:val="21"/>
        </w:rPr>
      </w:pPr>
      <w:bookmarkStart w:id="75" w:name="_Toc23914"/>
      <w:r>
        <w:rPr>
          <w:rFonts w:hint="eastAsia" w:ascii="宋体" w:hAnsi="宋体" w:cs="黑体"/>
          <w:b/>
          <w:szCs w:val="21"/>
        </w:rPr>
        <w:t>2、市政设施保洁质量要求</w:t>
      </w:r>
      <w:bookmarkEnd w:id="75"/>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（1）护栏、隔离栏清洗必须达到目测无污痕，擦拭无污垢。</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（2）市政设施表面无积尘，干净整洁。</w:t>
      </w:r>
    </w:p>
    <w:p>
      <w:pPr>
        <w:wordWrap w:val="0"/>
        <w:overflowPunct w:val="0"/>
        <w:snapToGrid w:val="0"/>
        <w:spacing w:line="360" w:lineRule="auto"/>
        <w:ind w:firstLine="422" w:firstLineChars="200"/>
        <w:outlineLvl w:val="3"/>
        <w:rPr>
          <w:rFonts w:hint="eastAsia" w:ascii="宋体" w:hAnsi="宋体" w:cs="黑体"/>
          <w:b/>
          <w:szCs w:val="21"/>
        </w:rPr>
      </w:pPr>
      <w:bookmarkStart w:id="76" w:name="_Toc10538"/>
      <w:bookmarkStart w:id="77" w:name="_Toc26346"/>
      <w:bookmarkStart w:id="78" w:name="_Toc5262"/>
      <w:r>
        <w:rPr>
          <w:rFonts w:hint="eastAsia" w:ascii="宋体" w:hAnsi="宋体" w:cs="黑体"/>
          <w:b/>
          <w:szCs w:val="21"/>
        </w:rPr>
        <w:t>3、市政设施保洁作业要求</w:t>
      </w:r>
      <w:bookmarkEnd w:id="76"/>
      <w:bookmarkEnd w:id="77"/>
      <w:bookmarkEnd w:id="78"/>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（1）护栏、隔离栏每周清洗不少于1次，清洗保洁作业时间尽量错开交通高峰期，遇重大活动、节假日，护栏、隔离栏要随时保持清洁。</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（2）电杆、监控杆、弱电设施等一切公共室外市政设施每周按规范清洁不得少于</w:t>
      </w:r>
      <w:r>
        <w:rPr>
          <w:rFonts w:ascii="宋体" w:hAnsi="宋体" w:cs="黑体"/>
          <w:szCs w:val="21"/>
        </w:rPr>
        <w:t>1</w:t>
      </w:r>
      <w:r>
        <w:rPr>
          <w:rFonts w:hint="eastAsia" w:ascii="宋体" w:hAnsi="宋体" w:cs="黑体"/>
          <w:szCs w:val="21"/>
        </w:rPr>
        <w:t>次。电杆、监控杆高于2米的市政设施，只需负责2米以下部分擦洗及保洁。</w:t>
      </w:r>
    </w:p>
    <w:p>
      <w:pPr>
        <w:wordWrap w:val="0"/>
        <w:overflowPunct w:val="0"/>
        <w:spacing w:line="360" w:lineRule="auto"/>
        <w:ind w:firstLine="413" w:firstLineChars="196"/>
        <w:outlineLvl w:val="2"/>
        <w:rPr>
          <w:rFonts w:hint="eastAsia" w:ascii="宋体" w:hAnsi="宋体" w:cs="黑体"/>
          <w:b/>
          <w:szCs w:val="21"/>
        </w:rPr>
      </w:pPr>
      <w:bookmarkStart w:id="79" w:name="_Toc8717"/>
      <w:bookmarkStart w:id="80" w:name="_Toc27258"/>
      <w:bookmarkStart w:id="81" w:name="_Toc64913334"/>
      <w:bookmarkStart w:id="82" w:name="_Toc7946"/>
      <w:bookmarkStart w:id="83" w:name="_Toc64901750"/>
      <w:r>
        <w:rPr>
          <w:rFonts w:hint="eastAsia" w:ascii="宋体" w:hAnsi="宋体" w:cs="黑体"/>
          <w:b/>
          <w:szCs w:val="21"/>
        </w:rPr>
        <w:t>（四）城市家具保洁要求</w:t>
      </w:r>
      <w:bookmarkEnd w:id="79"/>
      <w:bookmarkEnd w:id="80"/>
      <w:bookmarkEnd w:id="81"/>
      <w:bookmarkEnd w:id="82"/>
      <w:bookmarkEnd w:id="83"/>
    </w:p>
    <w:p>
      <w:pPr>
        <w:wordWrap w:val="0"/>
        <w:overflowPunct w:val="0"/>
        <w:snapToGrid w:val="0"/>
        <w:spacing w:line="360" w:lineRule="auto"/>
        <w:ind w:firstLine="422" w:firstLineChars="200"/>
        <w:outlineLvl w:val="3"/>
        <w:rPr>
          <w:rFonts w:ascii="宋体" w:hAnsi="宋体" w:cs="黑体"/>
          <w:b/>
          <w:szCs w:val="21"/>
        </w:rPr>
      </w:pPr>
      <w:bookmarkStart w:id="84" w:name="_Toc7586"/>
      <w:bookmarkStart w:id="85" w:name="_Toc28351"/>
      <w:bookmarkStart w:id="86" w:name="_Toc10572"/>
      <w:r>
        <w:rPr>
          <w:rFonts w:hint="eastAsia" w:ascii="宋体" w:hAnsi="宋体" w:cs="黑体"/>
          <w:b/>
          <w:szCs w:val="21"/>
        </w:rPr>
        <w:t>1、城市家具保洁范围</w:t>
      </w:r>
      <w:bookmarkEnd w:id="84"/>
      <w:bookmarkEnd w:id="85"/>
      <w:bookmarkEnd w:id="86"/>
    </w:p>
    <w:p>
      <w:pPr>
        <w:wordWrap w:val="0"/>
        <w:overflowPunct w:val="0"/>
        <w:adjustRightInd w:val="0"/>
        <w:snapToGrid w:val="0"/>
        <w:spacing w:line="360" w:lineRule="auto"/>
        <w:ind w:firstLine="525" w:firstLineChars="250"/>
        <w:textAlignment w:val="bottom"/>
        <w:rPr>
          <w:rFonts w:hint="eastAsia" w:ascii="宋体" w:hAnsi="宋体" w:cs="黑体"/>
          <w:szCs w:val="21"/>
        </w:rPr>
      </w:pPr>
      <w:r>
        <w:rPr>
          <w:rFonts w:hint="eastAsia" w:ascii="宋体" w:hAnsi="宋体" w:cs="黑体"/>
          <w:szCs w:val="21"/>
        </w:rPr>
        <w:t>含环卫设施（果壳箱、垃圾桶、垃圾房、垃圾坞）、公交站台、站牌、灯箱、广告牌、报刊（信息）亭、电话亭、邮政信箱、固定室外座椅等一切城市家具。</w:t>
      </w:r>
    </w:p>
    <w:p>
      <w:pPr>
        <w:wordWrap w:val="0"/>
        <w:overflowPunct w:val="0"/>
        <w:snapToGrid w:val="0"/>
        <w:spacing w:line="360" w:lineRule="auto"/>
        <w:ind w:firstLine="422" w:firstLineChars="200"/>
        <w:outlineLvl w:val="3"/>
        <w:rPr>
          <w:rFonts w:hint="eastAsia" w:ascii="宋体" w:hAnsi="宋体" w:cs="黑体"/>
          <w:b/>
          <w:szCs w:val="21"/>
        </w:rPr>
      </w:pPr>
      <w:bookmarkStart w:id="87" w:name="_Toc16200"/>
      <w:bookmarkStart w:id="88" w:name="_Toc1553"/>
      <w:bookmarkStart w:id="89" w:name="_Toc111"/>
      <w:r>
        <w:rPr>
          <w:rFonts w:hint="eastAsia" w:ascii="宋体" w:hAnsi="宋体" w:cs="黑体"/>
          <w:b/>
          <w:szCs w:val="21"/>
        </w:rPr>
        <w:t>2、城市家具保洁质量要求</w:t>
      </w:r>
      <w:bookmarkEnd w:id="87"/>
      <w:bookmarkEnd w:id="88"/>
      <w:bookmarkEnd w:id="89"/>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（1）环卫设施（果壳箱、垃圾桶、垃圾房、垃圾坞）内的垃圾应日产日清，不过夜，不溢满，保持外观整洁。</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（2）果壳箱、垃圾桶放置整齐规范、无敞门、无破损、歪斜、油漆剥落（或严重褪色）现象。收集、清洗后要归位复原，桶盖</w:t>
      </w:r>
      <w:r>
        <w:rPr>
          <w:rFonts w:ascii="宋体" w:hAnsi="宋体" w:cs="黑体"/>
          <w:szCs w:val="21"/>
        </w:rPr>
        <w:t>(</w:t>
      </w:r>
      <w:r>
        <w:rPr>
          <w:rFonts w:hint="eastAsia" w:ascii="宋体" w:hAnsi="宋体" w:cs="黑体"/>
          <w:szCs w:val="21"/>
        </w:rPr>
        <w:t>箱门</w:t>
      </w:r>
      <w:r>
        <w:rPr>
          <w:rFonts w:ascii="宋体" w:hAnsi="宋体" w:cs="黑体"/>
          <w:szCs w:val="21"/>
        </w:rPr>
        <w:t>)</w:t>
      </w:r>
      <w:r>
        <w:rPr>
          <w:rFonts w:hint="eastAsia" w:ascii="宋体" w:hAnsi="宋体" w:cs="黑体"/>
          <w:szCs w:val="21"/>
        </w:rPr>
        <w:t>及时盖上（关闭），做到车走地净。</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（3）每日巡查时检查垃圾桶、果壳箱、垃圾坞等垃圾分类的标识，如出现模糊或掉落等情况的，中标供应商须将标识修复。</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szCs w:val="21"/>
        </w:rPr>
        <w:t>（</w:t>
      </w:r>
      <w:r>
        <w:rPr>
          <w:rFonts w:ascii="宋体"/>
          <w:szCs w:val="21"/>
        </w:rPr>
        <w:t>4</w:t>
      </w:r>
      <w:r>
        <w:rPr>
          <w:rFonts w:hint="eastAsia" w:ascii="宋体"/>
          <w:szCs w:val="21"/>
        </w:rPr>
        <w:t>）</w:t>
      </w:r>
      <w:r>
        <w:rPr>
          <w:rFonts w:hint="eastAsia" w:ascii="宋体" w:hAnsi="宋体" w:cs="黑体"/>
          <w:szCs w:val="21"/>
        </w:rPr>
        <w:t>作业时间内禁止环卫工人在果壳箱、垃圾桶内翻捡废品。</w:t>
      </w:r>
    </w:p>
    <w:p>
      <w:pPr>
        <w:wordWrap w:val="0"/>
        <w:overflowPunct w:val="0"/>
        <w:adjustRightInd w:val="0"/>
        <w:snapToGrid w:val="0"/>
        <w:spacing w:line="360" w:lineRule="auto"/>
        <w:ind w:firstLine="420" w:firstLineChars="200"/>
        <w:textAlignment w:val="bottom"/>
        <w:rPr>
          <w:szCs w:val="21"/>
        </w:rPr>
      </w:pPr>
      <w:r>
        <w:rPr>
          <w:rFonts w:hint="eastAsia" w:ascii="宋体" w:hAnsi="宋体" w:cs="黑体"/>
          <w:szCs w:val="21"/>
        </w:rPr>
        <w:t>（</w:t>
      </w:r>
      <w:r>
        <w:rPr>
          <w:rFonts w:ascii="宋体" w:hAnsi="宋体" w:cs="黑体"/>
          <w:szCs w:val="21"/>
        </w:rPr>
        <w:t>5</w:t>
      </w:r>
      <w:r>
        <w:rPr>
          <w:rFonts w:hint="eastAsia" w:ascii="宋体" w:hAnsi="宋体" w:cs="黑体"/>
          <w:szCs w:val="21"/>
        </w:rPr>
        <w:t>）</w:t>
      </w:r>
      <w:r>
        <w:rPr>
          <w:rFonts w:hint="eastAsia" w:ascii="宋体" w:hAnsi="宋体" w:cs="宋体"/>
          <w:szCs w:val="21"/>
        </w:rPr>
        <w:t>配备相应的操作工具、材料及专职工作人员，确保城市家具表面无积尘，干净整洁</w:t>
      </w:r>
      <w:r>
        <w:rPr>
          <w:rFonts w:hint="eastAsia" w:ascii="宋体" w:hAnsi="宋体"/>
          <w:szCs w:val="21"/>
        </w:rPr>
        <w:t>。</w:t>
      </w:r>
    </w:p>
    <w:p>
      <w:pPr>
        <w:wordWrap w:val="0"/>
        <w:overflowPunct w:val="0"/>
        <w:snapToGrid w:val="0"/>
        <w:spacing w:line="360" w:lineRule="auto"/>
        <w:ind w:firstLine="422" w:firstLineChars="200"/>
        <w:outlineLvl w:val="3"/>
        <w:rPr>
          <w:rFonts w:ascii="宋体" w:hAnsi="宋体" w:cs="黑体"/>
          <w:b/>
          <w:szCs w:val="21"/>
        </w:rPr>
      </w:pPr>
      <w:bookmarkStart w:id="90" w:name="_Toc21692"/>
      <w:bookmarkStart w:id="91" w:name="_Toc11409"/>
      <w:bookmarkStart w:id="92" w:name="_Toc10044"/>
      <w:r>
        <w:rPr>
          <w:rFonts w:hint="eastAsia" w:ascii="宋体" w:hAnsi="宋体" w:cs="黑体"/>
          <w:b/>
          <w:szCs w:val="21"/>
        </w:rPr>
        <w:t>3、城市家具保洁作业设备要求</w:t>
      </w:r>
    </w:p>
    <w:p>
      <w:pPr>
        <w:wordWrap w:val="0"/>
        <w:overflowPunct w:val="0"/>
        <w:adjustRightInd w:val="0"/>
        <w:snapToGrid w:val="0"/>
        <w:spacing w:line="360" w:lineRule="auto"/>
        <w:ind w:firstLine="440" w:firstLineChars="200"/>
        <w:textAlignment w:val="bottom"/>
        <w:rPr>
          <w:rFonts w:hint="eastAsia" w:ascii="宋体" w:hAnsi="宋体"/>
          <w:kern w:val="2"/>
          <w:sz w:val="22"/>
          <w:szCs w:val="22"/>
        </w:rPr>
      </w:pPr>
      <w:r>
        <w:rPr>
          <w:rFonts w:hint="eastAsia" w:ascii="宋体" w:hAnsi="宋体"/>
          <w:kern w:val="2"/>
          <w:sz w:val="22"/>
          <w:szCs w:val="22"/>
        </w:rPr>
        <w:t>保洁设备机具配置种类应完备，适用于不同类别城市家具的保洁工况及工序要求，包含但不限于以下要求：电动巡捡车、水桶、扫把、捡拾器、簸箕、伸缩刷（钩）、铲子、抹布、喷壶等工具，能够满足捡拾、清扫、擦拭、清理等作业要求。</w:t>
      </w:r>
    </w:p>
    <w:p>
      <w:pPr>
        <w:wordWrap w:val="0"/>
        <w:overflowPunct w:val="0"/>
        <w:snapToGrid w:val="0"/>
        <w:spacing w:line="360" w:lineRule="auto"/>
        <w:ind w:firstLine="422" w:firstLineChars="200"/>
        <w:outlineLvl w:val="3"/>
        <w:rPr>
          <w:rFonts w:hint="eastAsia" w:ascii="宋体" w:hAnsi="宋体" w:cs="黑体"/>
          <w:b/>
          <w:szCs w:val="21"/>
        </w:rPr>
      </w:pPr>
      <w:r>
        <w:rPr>
          <w:rFonts w:hint="eastAsia" w:ascii="宋体" w:hAnsi="宋体" w:cs="黑体"/>
          <w:b/>
          <w:szCs w:val="21"/>
        </w:rPr>
        <w:t>4、城市家具保洁作业要求</w:t>
      </w:r>
      <w:bookmarkEnd w:id="90"/>
      <w:bookmarkEnd w:id="91"/>
      <w:bookmarkEnd w:id="92"/>
    </w:p>
    <w:p>
      <w:pPr>
        <w:wordWrap w:val="0"/>
        <w:overflowPunct w:val="0"/>
        <w:adjustRightInd w:val="0"/>
        <w:snapToGrid w:val="0"/>
        <w:spacing w:line="360" w:lineRule="auto"/>
        <w:ind w:firstLine="420" w:firstLineChars="200"/>
        <w:textAlignment w:val="bottom"/>
        <w:rPr>
          <w:rFonts w:ascii="宋体"/>
          <w:szCs w:val="21"/>
        </w:rPr>
      </w:pPr>
      <w:r>
        <w:rPr>
          <w:rFonts w:hint="eastAsia" w:ascii="宋体" w:hAnsi="宋体" w:cs="黑体"/>
          <w:szCs w:val="21"/>
        </w:rPr>
        <w:t>（1）需在垃圾清运后清洗环卫设施箱体1次（含内壁冲洗），环卫设施及周边路面每天清洗不少于</w:t>
      </w:r>
      <w:r>
        <w:rPr>
          <w:rFonts w:ascii="宋体" w:hAnsi="宋体" w:cs="黑体"/>
          <w:szCs w:val="21"/>
        </w:rPr>
        <w:t>2</w:t>
      </w:r>
      <w:r>
        <w:rPr>
          <w:rFonts w:hint="eastAsia" w:ascii="宋体" w:hAnsi="宋体" w:cs="黑体"/>
          <w:szCs w:val="21"/>
        </w:rPr>
        <w:t>次，并确保周围地面无暴露垃圾、污水。</w:t>
      </w:r>
    </w:p>
    <w:p>
      <w:pPr>
        <w:wordWrap w:val="0"/>
        <w:overflowPunct w:val="0"/>
        <w:adjustRightInd w:val="0"/>
        <w:snapToGrid w:val="0"/>
        <w:spacing w:line="360" w:lineRule="auto"/>
        <w:ind w:firstLine="420" w:firstLineChars="200"/>
        <w:textAlignment w:val="bottom"/>
        <w:rPr>
          <w:rFonts w:hint="eastAsia" w:ascii="宋体"/>
          <w:szCs w:val="21"/>
        </w:rPr>
      </w:pPr>
      <w:r>
        <w:rPr>
          <w:rFonts w:hint="eastAsia" w:ascii="宋体" w:hAnsi="宋体" w:cs="黑体"/>
          <w:szCs w:val="21"/>
        </w:rPr>
        <w:t>（2）公交站台、站牌、果壳箱、灯箱、广告牌、报刊（信息）亭、电话亭、邮政信箱、固定室外座椅等城市家具，每两天清洁擦洗不得少于</w:t>
      </w:r>
      <w:r>
        <w:rPr>
          <w:rFonts w:ascii="宋体" w:hAnsi="宋体" w:cs="黑体"/>
          <w:szCs w:val="21"/>
        </w:rPr>
        <w:t>1</w:t>
      </w:r>
      <w:r>
        <w:rPr>
          <w:rFonts w:hint="eastAsia" w:ascii="宋体" w:hAnsi="宋体" w:cs="黑体"/>
          <w:szCs w:val="21"/>
        </w:rPr>
        <w:t>次，公交站台座椅每天擦洗不少于</w:t>
      </w:r>
      <w:r>
        <w:rPr>
          <w:rFonts w:ascii="宋体" w:hAnsi="宋体" w:cs="黑体"/>
          <w:szCs w:val="21"/>
        </w:rPr>
        <w:t>2</w:t>
      </w:r>
      <w:r>
        <w:rPr>
          <w:rFonts w:hint="eastAsia" w:ascii="宋体" w:hAnsi="宋体" w:cs="黑体"/>
          <w:szCs w:val="21"/>
        </w:rPr>
        <w:t>次。</w:t>
      </w:r>
    </w:p>
    <w:p>
      <w:pPr>
        <w:wordWrap w:val="0"/>
        <w:overflowPunct w:val="0"/>
        <w:adjustRightInd w:val="0"/>
        <w:snapToGrid w:val="0"/>
        <w:spacing w:line="360" w:lineRule="auto"/>
        <w:ind w:firstLine="420" w:firstLineChars="200"/>
        <w:textAlignment w:val="bottom"/>
        <w:rPr>
          <w:rFonts w:hint="eastAsia" w:ascii="宋体"/>
          <w:szCs w:val="21"/>
        </w:rPr>
      </w:pPr>
      <w:r>
        <w:rPr>
          <w:rFonts w:hint="eastAsia" w:ascii="宋体"/>
          <w:szCs w:val="21"/>
        </w:rPr>
        <w:t>（3）每日巡查时检查垃圾桶、果壳箱、垃圾坞等垃圾分类的标识，如出现模糊、掉落、错误等情况的，中标供应商须将标识修复或更换。</w:t>
      </w:r>
    </w:p>
    <w:p>
      <w:pPr>
        <w:wordWrap w:val="0"/>
        <w:overflowPunct w:val="0"/>
        <w:snapToGrid w:val="0"/>
        <w:spacing w:line="360" w:lineRule="auto"/>
        <w:ind w:firstLine="422" w:firstLineChars="200"/>
        <w:outlineLvl w:val="3"/>
        <w:rPr>
          <w:rFonts w:hint="eastAsia" w:ascii="宋体" w:hAnsi="宋体" w:cs="黑体"/>
          <w:b/>
          <w:szCs w:val="21"/>
        </w:rPr>
      </w:pPr>
      <w:bookmarkStart w:id="93" w:name="_Toc10854"/>
      <w:bookmarkStart w:id="94" w:name="_Toc26560"/>
      <w:bookmarkStart w:id="95" w:name="_Toc11900"/>
      <w:r>
        <w:rPr>
          <w:rFonts w:hint="eastAsia" w:ascii="宋体" w:hAnsi="宋体" w:cs="黑体"/>
          <w:b/>
          <w:szCs w:val="21"/>
        </w:rPr>
        <w:t>4、特殊要求</w:t>
      </w:r>
      <w:bookmarkEnd w:id="93"/>
      <w:bookmarkEnd w:id="94"/>
      <w:bookmarkEnd w:id="95"/>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（1）非保洁区</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非保洁区垃圾桶由各社区自行负责。</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（2）保洁区</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1）本项目保洁区垃圾桶纳入《瑞安市智慧环卫监管平台》进行监管；</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2）合同履行期间，中标供应商负责垃圾桶、果壳箱的保管与维护。垃圾桶的采购原则上由采购人负责，采购人视垃圾桶折损情况逐步更换补齐，但每年度至多采购垃圾桶总量的33%，超出部分由中标供应商负责采购。</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3）合同履行期间，采购人投放的垃圾桶、果壳箱如有破损（含第三方人为破损）与丢失情况，由中标供应商向采购人报备并在12小时内按原样式、规格、质量标准、配置要求予以免费维修或更换补齐。中标供应商将垃圾桶设置清单台账报至采购人处备查。</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4）合同履行到期，中标供应商须按原样式、规格、质量标准、数量，将垃圾桶、果壳箱按采购人投放数量补齐，并与采购人办理相关移交手续。否则采购人将从履约保证金中一次性扣回，其中垃圾桶120L脚踏式塑料垃圾桶（含垃圾桶盖及轮子）按128元/只、240L脚踏式塑料垃圾桶（含垃圾桶盖及轮子）按156元/只扣回。</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（3）因垃圾分类工作深入推进，需增加投放垃圾收集容器，则由采购人设置后移交中标供应商进行运维，及时做好分类清运，并按城市家具保洁要求做好日常维护。</w:t>
      </w:r>
    </w:p>
    <w:p>
      <w:pPr>
        <w:wordWrap w:val="0"/>
        <w:overflowPunct w:val="0"/>
        <w:spacing w:line="360" w:lineRule="auto"/>
        <w:ind w:firstLine="413" w:firstLineChars="196"/>
        <w:outlineLvl w:val="2"/>
        <w:rPr>
          <w:rFonts w:hint="eastAsia" w:ascii="宋体" w:hAnsi="宋体" w:cs="黑体"/>
          <w:b/>
          <w:szCs w:val="21"/>
        </w:rPr>
      </w:pPr>
      <w:r>
        <w:rPr>
          <w:rFonts w:hint="eastAsia" w:ascii="宋体" w:hAnsi="宋体" w:cs="黑体"/>
          <w:b/>
          <w:szCs w:val="21"/>
        </w:rPr>
        <w:t>（五）河道保洁要求</w:t>
      </w:r>
    </w:p>
    <w:p>
      <w:pPr>
        <w:wordWrap w:val="0"/>
        <w:overflowPunct w:val="0"/>
        <w:snapToGrid w:val="0"/>
        <w:spacing w:line="360" w:lineRule="auto"/>
        <w:ind w:firstLine="422" w:firstLineChars="200"/>
        <w:outlineLvl w:val="3"/>
        <w:rPr>
          <w:rFonts w:ascii="宋体"/>
          <w:b/>
          <w:szCs w:val="21"/>
        </w:rPr>
      </w:pPr>
      <w:bookmarkStart w:id="96" w:name="_Toc11063"/>
      <w:bookmarkStart w:id="97" w:name="_Toc24395"/>
      <w:bookmarkStart w:id="98" w:name="_Toc12708"/>
      <w:r>
        <w:rPr>
          <w:rFonts w:hint="eastAsia" w:ascii="宋体"/>
          <w:b/>
          <w:szCs w:val="21"/>
        </w:rPr>
        <w:t>1、河道保洁范围</w:t>
      </w:r>
      <w:bookmarkEnd w:id="96"/>
      <w:bookmarkEnd w:id="97"/>
      <w:bookmarkEnd w:id="98"/>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包括保洁区域范围的河道、湖泊、水库、池塘、溪流、沟、渠、小微水体保洁。保洁范围为水体侧向陆域延伸不少于8米（陆域有其它单位保洁的除外，具体保洁范围包括两侧公用绿地区域）。</w:t>
      </w:r>
    </w:p>
    <w:p>
      <w:pPr>
        <w:wordWrap w:val="0"/>
        <w:overflowPunct w:val="0"/>
        <w:snapToGrid w:val="0"/>
        <w:spacing w:line="360" w:lineRule="auto"/>
        <w:ind w:firstLine="422" w:firstLineChars="200"/>
        <w:outlineLvl w:val="3"/>
        <w:rPr>
          <w:rFonts w:hint="eastAsia" w:ascii="宋体"/>
          <w:b/>
          <w:szCs w:val="21"/>
        </w:rPr>
      </w:pPr>
      <w:bookmarkStart w:id="99" w:name="_Toc8117"/>
      <w:bookmarkStart w:id="100" w:name="_Toc19360"/>
      <w:bookmarkStart w:id="101" w:name="_Toc31680"/>
      <w:r>
        <w:rPr>
          <w:rFonts w:hint="eastAsia" w:ascii="宋体"/>
          <w:b/>
          <w:szCs w:val="21"/>
        </w:rPr>
        <w:t>2、河道保洁质量要求</w:t>
      </w:r>
      <w:bookmarkEnd w:id="99"/>
      <w:bookmarkEnd w:id="100"/>
      <w:bookmarkEnd w:id="101"/>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河道保洁质量要求达到“三无三净”。“三无”即：河面无漂浮物、岸边无水生植物、河边无暴露垃圾；“三净”即：水面干净、浅滩干净、堤岸干净。</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(1) 河道畅通，水面无垃圾、病死动物，无影响水生态的浮萍、水葫芦等水生植物，无阻碍行洪的高杆植物等。</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(2) 水域中无漂浮障碍物。</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(3) 堤岸及桥下无垃圾及堆放的杂物。</w:t>
      </w:r>
    </w:p>
    <w:p>
      <w:pPr>
        <w:wordWrap w:val="0"/>
        <w:overflowPunct w:val="0"/>
        <w:snapToGrid w:val="0"/>
        <w:spacing w:line="360" w:lineRule="auto"/>
        <w:ind w:firstLine="422" w:firstLineChars="200"/>
        <w:outlineLvl w:val="3"/>
        <w:rPr>
          <w:rFonts w:ascii="宋体"/>
          <w:b/>
          <w:szCs w:val="21"/>
        </w:rPr>
      </w:pPr>
      <w:bookmarkStart w:id="102" w:name="_Toc21957"/>
      <w:bookmarkStart w:id="103" w:name="_Toc15512"/>
      <w:bookmarkStart w:id="104" w:name="_Toc30252"/>
      <w:r>
        <w:rPr>
          <w:rFonts w:hint="eastAsia" w:ascii="宋体"/>
          <w:b/>
          <w:szCs w:val="21"/>
        </w:rPr>
        <w:t>3、河道保洁作业要求</w:t>
      </w:r>
      <w:bookmarkEnd w:id="102"/>
      <w:bookmarkEnd w:id="103"/>
      <w:bookmarkEnd w:id="104"/>
    </w:p>
    <w:p>
      <w:pPr>
        <w:wordWrap w:val="0"/>
        <w:overflowPunct w:val="0"/>
        <w:adjustRightInd w:val="0"/>
        <w:snapToGrid w:val="0"/>
        <w:spacing w:line="360" w:lineRule="auto"/>
        <w:ind w:firstLine="422" w:firstLineChars="200"/>
        <w:textAlignment w:val="bottom"/>
        <w:rPr>
          <w:rFonts w:hint="eastAsia" w:ascii="宋体"/>
          <w:b/>
          <w:szCs w:val="21"/>
        </w:rPr>
      </w:pPr>
      <w:r>
        <w:rPr>
          <w:rFonts w:hint="eastAsia" w:ascii="宋体"/>
          <w:b/>
          <w:szCs w:val="21"/>
        </w:rPr>
        <w:t>（1）</w:t>
      </w:r>
      <w:r>
        <w:rPr>
          <w:rFonts w:hint="eastAsia" w:ascii="宋体" w:hAnsi="宋体" w:cs="宋体"/>
          <w:b/>
          <w:szCs w:val="21"/>
        </w:rPr>
        <w:t>人员集中居住地段（或景区河道）：一级河道每天保洁时间不少于12小时，巡回保洁每天不少于4次，二级河道每天保洁时间不少于8小时，巡回保洁每天不少于2次，三级河道巡回保洁每天不少于1次</w:t>
      </w:r>
      <w:r>
        <w:rPr>
          <w:rFonts w:hint="eastAsia" w:ascii="宋体"/>
          <w:b/>
          <w:szCs w:val="21"/>
        </w:rPr>
        <w:t>。</w:t>
      </w:r>
    </w:p>
    <w:p>
      <w:pPr>
        <w:wordWrap w:val="0"/>
        <w:overflowPunct w:val="0"/>
        <w:adjustRightInd w:val="0"/>
        <w:snapToGrid w:val="0"/>
        <w:spacing w:line="360" w:lineRule="auto"/>
        <w:ind w:firstLine="422" w:firstLineChars="200"/>
        <w:textAlignment w:val="bottom"/>
        <w:rPr>
          <w:rFonts w:ascii="宋体"/>
          <w:b/>
          <w:szCs w:val="21"/>
        </w:rPr>
      </w:pPr>
      <w:r>
        <w:rPr>
          <w:rFonts w:hint="eastAsia" w:ascii="宋体"/>
          <w:b/>
          <w:szCs w:val="21"/>
        </w:rPr>
        <w:t>（2）空阔地段：河道巡回保洁每天不少于1次。</w:t>
      </w:r>
    </w:p>
    <w:p>
      <w:pPr>
        <w:wordWrap w:val="0"/>
        <w:overflowPunct w:val="0"/>
        <w:adjustRightInd w:val="0"/>
        <w:snapToGrid w:val="0"/>
        <w:spacing w:line="360" w:lineRule="auto"/>
        <w:ind w:firstLine="420" w:firstLineChars="200"/>
        <w:textAlignment w:val="bottom"/>
        <w:rPr>
          <w:rFonts w:ascii="宋体"/>
          <w:szCs w:val="21"/>
        </w:rPr>
      </w:pPr>
      <w:r>
        <w:rPr>
          <w:rFonts w:hint="eastAsia" w:ascii="宋体"/>
          <w:szCs w:val="21"/>
        </w:rPr>
        <w:t>（</w:t>
      </w:r>
      <w:r>
        <w:rPr>
          <w:rFonts w:ascii="宋体"/>
          <w:szCs w:val="21"/>
        </w:rPr>
        <w:t>3</w:t>
      </w:r>
      <w:r>
        <w:rPr>
          <w:rFonts w:hint="eastAsia" w:ascii="宋体"/>
          <w:szCs w:val="21"/>
        </w:rPr>
        <w:t>）水面保洁</w:t>
      </w:r>
    </w:p>
    <w:p>
      <w:pPr>
        <w:wordWrap w:val="0"/>
        <w:overflowPunct w:val="0"/>
        <w:adjustRightInd w:val="0"/>
        <w:snapToGrid w:val="0"/>
        <w:spacing w:line="360" w:lineRule="auto"/>
        <w:ind w:firstLine="420" w:firstLineChars="200"/>
        <w:textAlignment w:val="bottom"/>
        <w:rPr>
          <w:rFonts w:ascii="宋体"/>
          <w:szCs w:val="21"/>
        </w:rPr>
      </w:pPr>
      <w:r>
        <w:rPr>
          <w:rFonts w:ascii="宋体"/>
          <w:szCs w:val="21"/>
        </w:rPr>
        <w:t>1</w:t>
      </w:r>
      <w:r>
        <w:rPr>
          <w:rFonts w:hint="eastAsia" w:ascii="宋体"/>
          <w:szCs w:val="21"/>
        </w:rPr>
        <w:t>）对漂入乡镇（街道）区内河的漂浮物应及时清理；对大面积爆发的浮萍等应及时清理。</w:t>
      </w:r>
    </w:p>
    <w:p>
      <w:pPr>
        <w:wordWrap w:val="0"/>
        <w:overflowPunct w:val="0"/>
        <w:adjustRightInd w:val="0"/>
        <w:snapToGrid w:val="0"/>
        <w:spacing w:line="360" w:lineRule="auto"/>
        <w:ind w:firstLine="420" w:firstLineChars="200"/>
        <w:textAlignment w:val="bottom"/>
        <w:rPr>
          <w:rFonts w:ascii="宋体"/>
          <w:szCs w:val="21"/>
        </w:rPr>
      </w:pPr>
      <w:r>
        <w:rPr>
          <w:rFonts w:ascii="宋体"/>
          <w:szCs w:val="21"/>
        </w:rPr>
        <w:t>2</w:t>
      </w:r>
      <w:r>
        <w:rPr>
          <w:rFonts w:hint="eastAsia" w:ascii="宋体"/>
          <w:szCs w:val="21"/>
        </w:rPr>
        <w:t>）发现漂浮垃圾时，作业船只应减速慢行，打捞的垃圾及时送入船舱。对不易打捞入船舱的体积较大的漂浮物，可用绳子将其系挂于船尾拖至码头吊运；若无法系挂于船尾，应上报相关部门，并协助打捞。保洁过程中发现河道里有沉船，应及时报告当地政府部门。</w:t>
      </w:r>
    </w:p>
    <w:p>
      <w:pPr>
        <w:wordWrap w:val="0"/>
        <w:overflowPunct w:val="0"/>
        <w:adjustRightInd w:val="0"/>
        <w:snapToGrid w:val="0"/>
        <w:spacing w:line="360" w:lineRule="auto"/>
        <w:ind w:firstLine="420" w:firstLineChars="200"/>
        <w:textAlignment w:val="bottom"/>
        <w:rPr>
          <w:rFonts w:ascii="宋体"/>
          <w:szCs w:val="21"/>
        </w:rPr>
      </w:pPr>
      <w:r>
        <w:rPr>
          <w:rFonts w:ascii="宋体"/>
          <w:szCs w:val="21"/>
        </w:rPr>
        <w:t>3</w:t>
      </w:r>
      <w:r>
        <w:rPr>
          <w:rFonts w:hint="eastAsia" w:ascii="宋体"/>
          <w:szCs w:val="21"/>
        </w:rPr>
        <w:t>）保洁员发现污水直排、偷排以及重大水污染事件，应立即向所属乡镇（街道）相关部门汇报。</w:t>
      </w:r>
    </w:p>
    <w:p>
      <w:pPr>
        <w:wordWrap w:val="0"/>
        <w:overflowPunct w:val="0"/>
        <w:adjustRightInd w:val="0"/>
        <w:snapToGrid w:val="0"/>
        <w:spacing w:line="360" w:lineRule="auto"/>
        <w:ind w:firstLine="420" w:firstLineChars="200"/>
        <w:textAlignment w:val="bottom"/>
        <w:rPr>
          <w:rFonts w:hint="eastAsia" w:ascii="宋体"/>
          <w:szCs w:val="21"/>
        </w:rPr>
      </w:pPr>
      <w:r>
        <w:rPr>
          <w:rFonts w:ascii="宋体"/>
          <w:szCs w:val="21"/>
        </w:rPr>
        <w:t>4</w:t>
      </w:r>
      <w:r>
        <w:rPr>
          <w:rFonts w:hint="eastAsia" w:ascii="宋体"/>
          <w:szCs w:val="21"/>
        </w:rPr>
        <w:t>）保洁员禁止酒后作业，作业时不得拾荒、捕鱼、游泳，不得做与工作无关之事。打捞作业时要集中注意力，避免发生撞船或落水意外事故。</w:t>
      </w:r>
    </w:p>
    <w:p>
      <w:pPr>
        <w:wordWrap w:val="0"/>
        <w:overflowPunct w:val="0"/>
        <w:adjustRightInd w:val="0"/>
        <w:snapToGrid w:val="0"/>
        <w:spacing w:line="360" w:lineRule="auto"/>
        <w:ind w:firstLine="420" w:firstLineChars="200"/>
        <w:textAlignment w:val="bottom"/>
        <w:rPr>
          <w:rFonts w:ascii="宋体"/>
          <w:szCs w:val="21"/>
        </w:rPr>
      </w:pPr>
      <w:r>
        <w:rPr>
          <w:rFonts w:ascii="宋体"/>
          <w:szCs w:val="21"/>
        </w:rPr>
        <w:t>5</w:t>
      </w:r>
      <w:r>
        <w:rPr>
          <w:rFonts w:hint="eastAsia" w:ascii="宋体"/>
          <w:szCs w:val="21"/>
        </w:rPr>
        <w:t>）规范作业，保证安全，保洁工作人员每日按时上班，作业必须穿着救生衣。</w:t>
      </w:r>
    </w:p>
    <w:p>
      <w:pPr>
        <w:wordWrap w:val="0"/>
        <w:overflowPunct w:val="0"/>
        <w:adjustRightInd w:val="0"/>
        <w:snapToGrid w:val="0"/>
        <w:spacing w:line="360" w:lineRule="auto"/>
        <w:ind w:firstLine="420" w:firstLineChars="200"/>
        <w:textAlignment w:val="bottom"/>
        <w:rPr>
          <w:rFonts w:ascii="宋体"/>
          <w:szCs w:val="21"/>
        </w:rPr>
      </w:pPr>
      <w:r>
        <w:rPr>
          <w:rFonts w:hint="eastAsia" w:ascii="宋体"/>
          <w:szCs w:val="21"/>
        </w:rPr>
        <w:t>（</w:t>
      </w:r>
      <w:r>
        <w:rPr>
          <w:rFonts w:ascii="宋体"/>
          <w:szCs w:val="21"/>
        </w:rPr>
        <w:t>4</w:t>
      </w:r>
      <w:r>
        <w:rPr>
          <w:rFonts w:hint="eastAsia" w:ascii="宋体"/>
          <w:szCs w:val="21"/>
        </w:rPr>
        <w:t>）堤岸保洁</w:t>
      </w:r>
    </w:p>
    <w:p>
      <w:pPr>
        <w:wordWrap w:val="0"/>
        <w:overflowPunct w:val="0"/>
        <w:adjustRightInd w:val="0"/>
        <w:snapToGrid w:val="0"/>
        <w:spacing w:line="360" w:lineRule="auto"/>
        <w:ind w:firstLine="420" w:firstLineChars="200"/>
        <w:textAlignment w:val="bottom"/>
        <w:rPr>
          <w:rFonts w:ascii="宋体"/>
          <w:szCs w:val="21"/>
        </w:rPr>
      </w:pPr>
      <w:r>
        <w:rPr>
          <w:rFonts w:ascii="宋体"/>
          <w:szCs w:val="21"/>
        </w:rPr>
        <w:t>1</w:t>
      </w:r>
      <w:r>
        <w:rPr>
          <w:rFonts w:hint="eastAsia" w:ascii="宋体"/>
          <w:szCs w:val="21"/>
        </w:rPr>
        <w:t>）防汛墙、驳岸、边坡等建（构）筑物的临水侧应定期清洗，清除垃圾。</w:t>
      </w:r>
    </w:p>
    <w:p>
      <w:pPr>
        <w:wordWrap w:val="0"/>
        <w:overflowPunct w:val="0"/>
        <w:adjustRightInd w:val="0"/>
        <w:snapToGrid w:val="0"/>
        <w:spacing w:line="360" w:lineRule="auto"/>
        <w:ind w:firstLine="420" w:firstLineChars="200"/>
        <w:textAlignment w:val="bottom"/>
        <w:rPr>
          <w:rFonts w:ascii="宋体"/>
          <w:szCs w:val="21"/>
        </w:rPr>
      </w:pPr>
      <w:r>
        <w:rPr>
          <w:rFonts w:ascii="宋体"/>
          <w:szCs w:val="21"/>
        </w:rPr>
        <w:t>2</w:t>
      </w:r>
      <w:r>
        <w:rPr>
          <w:rFonts w:hint="eastAsia" w:ascii="宋体"/>
          <w:szCs w:val="21"/>
        </w:rPr>
        <w:t>）对河道的堤岸、绿地、慢行系统等设施进行保洁，应做到干净整洁、无杂物堆积、无痰迹烟蒂、无青苔、无积水积泥等。</w:t>
      </w:r>
    </w:p>
    <w:p>
      <w:pPr>
        <w:wordWrap w:val="0"/>
        <w:overflowPunct w:val="0"/>
        <w:adjustRightInd w:val="0"/>
        <w:snapToGrid w:val="0"/>
        <w:spacing w:line="360" w:lineRule="auto"/>
        <w:ind w:firstLine="420" w:firstLineChars="200"/>
        <w:textAlignment w:val="bottom"/>
        <w:rPr>
          <w:rFonts w:ascii="宋体"/>
          <w:szCs w:val="21"/>
        </w:rPr>
      </w:pPr>
      <w:r>
        <w:rPr>
          <w:rFonts w:ascii="宋体"/>
          <w:szCs w:val="21"/>
        </w:rPr>
        <w:t>3</w:t>
      </w:r>
      <w:r>
        <w:rPr>
          <w:rFonts w:hint="eastAsia" w:ascii="宋体"/>
          <w:szCs w:val="21"/>
        </w:rPr>
        <w:t>）作业时应保护好堤岸上的其他设施。</w:t>
      </w:r>
    </w:p>
    <w:p>
      <w:pPr>
        <w:wordWrap w:val="0"/>
        <w:overflowPunct w:val="0"/>
        <w:adjustRightInd w:val="0"/>
        <w:snapToGrid w:val="0"/>
        <w:spacing w:line="360" w:lineRule="auto"/>
        <w:ind w:firstLine="420" w:firstLineChars="200"/>
        <w:textAlignment w:val="bottom"/>
        <w:rPr>
          <w:rFonts w:ascii="宋体"/>
          <w:szCs w:val="21"/>
        </w:rPr>
      </w:pPr>
      <w:r>
        <w:rPr>
          <w:rFonts w:hint="eastAsia" w:ascii="宋体"/>
          <w:szCs w:val="21"/>
        </w:rPr>
        <w:t>（</w:t>
      </w:r>
      <w:r>
        <w:rPr>
          <w:rFonts w:ascii="宋体"/>
          <w:szCs w:val="21"/>
        </w:rPr>
        <w:t>5</w:t>
      </w:r>
      <w:r>
        <w:rPr>
          <w:rFonts w:hint="eastAsia" w:ascii="宋体"/>
          <w:szCs w:val="21"/>
        </w:rPr>
        <w:t>）垃圾处置</w:t>
      </w:r>
    </w:p>
    <w:p>
      <w:pPr>
        <w:tabs>
          <w:tab w:val="left" w:pos="1890"/>
        </w:tabs>
        <w:wordWrap w:val="0"/>
        <w:overflowPunct w:val="0"/>
        <w:adjustRightInd w:val="0"/>
        <w:snapToGrid w:val="0"/>
        <w:spacing w:line="360" w:lineRule="auto"/>
        <w:ind w:firstLine="420" w:firstLineChars="200"/>
        <w:rPr>
          <w:rFonts w:ascii="宋体" w:hAnsi="宋体"/>
          <w:szCs w:val="21"/>
        </w:rPr>
      </w:pPr>
      <w:r>
        <w:rPr>
          <w:rFonts w:hint="eastAsia" w:ascii="宋体" w:hAnsi="宋体"/>
          <w:szCs w:val="21"/>
        </w:rPr>
        <w:t>1）河道水体打捞垃圾不得堆放在堤岸、路边，上岸即清，清理出来的垃圾及其他漂浮物等均由中标供应商负责清运到采购人指定地点。</w:t>
      </w:r>
    </w:p>
    <w:p>
      <w:pPr>
        <w:wordWrap w:val="0"/>
        <w:overflowPunct w:val="0"/>
        <w:adjustRightInd w:val="0"/>
        <w:snapToGrid w:val="0"/>
        <w:spacing w:line="360" w:lineRule="auto"/>
        <w:ind w:firstLine="420" w:firstLineChars="200"/>
        <w:textAlignment w:val="bottom"/>
        <w:rPr>
          <w:rFonts w:ascii="宋体"/>
          <w:szCs w:val="21"/>
        </w:rPr>
      </w:pPr>
      <w:r>
        <w:rPr>
          <w:rFonts w:hint="eastAsia" w:ascii="宋体" w:hAnsi="宋体"/>
          <w:szCs w:val="21"/>
        </w:rPr>
        <w:t>2）生活垃圾、工业垃圾及漂浮物须进行分类，清运至指定地点。</w:t>
      </w:r>
    </w:p>
    <w:p>
      <w:pPr>
        <w:wordWrap w:val="0"/>
        <w:overflowPunct w:val="0"/>
        <w:adjustRightInd w:val="0"/>
        <w:snapToGrid w:val="0"/>
        <w:spacing w:line="360" w:lineRule="auto"/>
        <w:ind w:firstLine="420" w:firstLineChars="200"/>
        <w:textAlignment w:val="bottom"/>
        <w:rPr>
          <w:rFonts w:ascii="宋体" w:hAnsi="宋体"/>
          <w:szCs w:val="21"/>
        </w:rPr>
      </w:pPr>
      <w:r>
        <w:rPr>
          <w:rFonts w:ascii="宋体"/>
          <w:szCs w:val="21"/>
        </w:rPr>
        <w:t>3</w:t>
      </w:r>
      <w:r>
        <w:rPr>
          <w:rFonts w:hint="eastAsia" w:ascii="宋体"/>
          <w:szCs w:val="21"/>
        </w:rPr>
        <w:t>）清运途中应采取密闭措施，防止抛洒、泄漏出现二次污染。</w:t>
      </w:r>
    </w:p>
    <w:p>
      <w:pPr>
        <w:tabs>
          <w:tab w:val="left" w:pos="1890"/>
        </w:tabs>
        <w:wordWrap w:val="0"/>
        <w:overflowPunct w:val="0"/>
        <w:adjustRightInd w:val="0"/>
        <w:snapToGrid w:val="0"/>
        <w:spacing w:line="360" w:lineRule="auto"/>
        <w:ind w:firstLine="420" w:firstLineChars="200"/>
        <w:rPr>
          <w:rFonts w:ascii="宋体" w:hAnsi="宋体"/>
          <w:szCs w:val="21"/>
        </w:rPr>
      </w:pPr>
      <w:r>
        <w:rPr>
          <w:rFonts w:ascii="宋体" w:hAnsi="宋体"/>
          <w:szCs w:val="21"/>
        </w:rPr>
        <w:t>4</w:t>
      </w:r>
      <w:r>
        <w:rPr>
          <w:rFonts w:hint="eastAsia" w:ascii="宋体" w:hAnsi="宋体"/>
          <w:szCs w:val="21"/>
        </w:rPr>
        <w:t>）沿河两侧坎边垃圾必须日产日清，清理完毕。</w:t>
      </w:r>
    </w:p>
    <w:p>
      <w:pPr>
        <w:wordWrap w:val="0"/>
        <w:overflowPunct w:val="0"/>
        <w:adjustRightInd w:val="0"/>
        <w:snapToGrid w:val="0"/>
        <w:spacing w:line="360" w:lineRule="auto"/>
        <w:ind w:firstLine="420" w:firstLineChars="200"/>
        <w:textAlignment w:val="bottom"/>
        <w:rPr>
          <w:rFonts w:ascii="宋体" w:hAnsi="宋体"/>
          <w:kern w:val="2"/>
          <w:szCs w:val="21"/>
        </w:rPr>
      </w:pPr>
      <w:r>
        <w:rPr>
          <w:rFonts w:hint="eastAsia" w:ascii="宋体" w:hAnsi="宋体"/>
          <w:kern w:val="2"/>
          <w:szCs w:val="21"/>
        </w:rPr>
        <w:t>（6）日常河道保洁根据河道水位深度进行岸边打捞或下水打捞两种，所有河道保洁人员须佩戴GPS纳入《瑞安市智慧环卫监管平台》管理，如遇到暴雨、涨潮等特殊情况导致河道水位上涨后使用船只进行打捞。</w:t>
      </w:r>
    </w:p>
    <w:p>
      <w:pPr>
        <w:wordWrap w:val="0"/>
        <w:overflowPunct w:val="0"/>
        <w:adjustRightInd w:val="0"/>
        <w:snapToGrid w:val="0"/>
        <w:spacing w:line="360" w:lineRule="auto"/>
        <w:ind w:firstLine="420" w:firstLineChars="200"/>
        <w:textAlignment w:val="bottom"/>
        <w:rPr>
          <w:rFonts w:hint="eastAsia" w:ascii="宋体" w:hAnsi="宋体"/>
          <w:kern w:val="2"/>
          <w:szCs w:val="21"/>
        </w:rPr>
      </w:pPr>
      <w:r>
        <w:rPr>
          <w:rFonts w:hint="eastAsia" w:ascii="宋体" w:hAnsi="宋体"/>
          <w:kern w:val="2"/>
          <w:szCs w:val="21"/>
        </w:rPr>
        <w:t>（7）发现河道内有妨碍行洪的障碍物、生活垃圾、有害或废弃的漂浮物、阻碍行洪的高杆作物等时，要及时打捞和清运河面，及时清运至指定地点倾倒，避免造成二次污染。</w:t>
      </w:r>
    </w:p>
    <w:p>
      <w:pPr>
        <w:wordWrap w:val="0"/>
        <w:overflowPunct w:val="0"/>
        <w:snapToGrid w:val="0"/>
        <w:spacing w:line="360" w:lineRule="auto"/>
        <w:ind w:firstLine="422" w:firstLineChars="200"/>
        <w:outlineLvl w:val="3"/>
        <w:rPr>
          <w:rFonts w:hint="eastAsia" w:ascii="宋体"/>
          <w:b/>
          <w:szCs w:val="21"/>
        </w:rPr>
      </w:pPr>
      <w:bookmarkStart w:id="105" w:name="_Toc6362"/>
      <w:bookmarkStart w:id="106" w:name="_Toc20962"/>
      <w:bookmarkStart w:id="107" w:name="_Toc22995"/>
      <w:r>
        <w:rPr>
          <w:rFonts w:hint="eastAsia" w:ascii="宋体"/>
          <w:b/>
          <w:szCs w:val="21"/>
        </w:rPr>
        <w:t>4、船只配备要求</w:t>
      </w:r>
      <w:bookmarkEnd w:id="105"/>
      <w:bookmarkEnd w:id="106"/>
      <w:bookmarkEnd w:id="107"/>
    </w:p>
    <w:p>
      <w:pPr>
        <w:wordWrap w:val="0"/>
        <w:overflowPunct w:val="0"/>
        <w:adjustRightInd w:val="0"/>
        <w:snapToGrid w:val="0"/>
        <w:spacing w:line="360" w:lineRule="auto"/>
        <w:ind w:firstLine="420" w:firstLineChars="200"/>
        <w:textAlignment w:val="bottom"/>
        <w:rPr>
          <w:rFonts w:ascii="宋体"/>
          <w:szCs w:val="21"/>
        </w:rPr>
      </w:pPr>
      <w:r>
        <w:rPr>
          <w:rFonts w:hint="eastAsia" w:ascii="宋体" w:hAnsi="宋体" w:cs="黑体"/>
          <w:szCs w:val="21"/>
        </w:rPr>
        <w:t>（1）</w:t>
      </w:r>
      <w:r>
        <w:rPr>
          <w:rFonts w:hint="eastAsia" w:ascii="宋体"/>
          <w:szCs w:val="21"/>
        </w:rPr>
        <w:t>河道保洁船舶符合航管部门要求，宜选用清洁能源或无油污染、噪声低的环保型船舶，并应安全可靠。作业船只船容应整洁、无明显污渍和破损。废弃物储存设施应整洁、完好，无残余物品吊挂，及时消杀船舱内垃圾，减少蝇蛆滋生。</w:t>
      </w:r>
    </w:p>
    <w:p>
      <w:pPr>
        <w:wordWrap w:val="0"/>
        <w:overflowPunct w:val="0"/>
        <w:adjustRightInd w:val="0"/>
        <w:snapToGrid w:val="0"/>
        <w:spacing w:line="360" w:lineRule="auto"/>
        <w:ind w:firstLine="420" w:firstLineChars="200"/>
        <w:textAlignment w:val="bottom"/>
        <w:rPr>
          <w:rFonts w:hint="eastAsia" w:ascii="宋体"/>
          <w:szCs w:val="21"/>
        </w:rPr>
      </w:pPr>
      <w:r>
        <w:rPr>
          <w:rFonts w:hint="eastAsia" w:ascii="宋体" w:hAnsi="宋体" w:cs="黑体"/>
          <w:szCs w:val="21"/>
        </w:rPr>
        <w:t>（2）</w:t>
      </w:r>
      <w:r>
        <w:rPr>
          <w:rFonts w:hint="eastAsia" w:ascii="宋体"/>
          <w:szCs w:val="21"/>
        </w:rPr>
        <w:t>作业器具标识明显，作业行船安全，防止超载、颠覆、进水。</w:t>
      </w:r>
    </w:p>
    <w:p>
      <w:pPr>
        <w:wordWrap w:val="0"/>
        <w:overflowPunct w:val="0"/>
        <w:adjustRightInd w:val="0"/>
        <w:snapToGrid w:val="0"/>
        <w:spacing w:line="360" w:lineRule="auto"/>
        <w:ind w:firstLine="420" w:firstLineChars="200"/>
        <w:textAlignment w:val="bottom"/>
        <w:rPr>
          <w:szCs w:val="21"/>
        </w:rPr>
      </w:pPr>
      <w:r>
        <w:rPr>
          <w:rFonts w:hint="eastAsia" w:ascii="宋体"/>
          <w:szCs w:val="21"/>
        </w:rPr>
        <w:t>（3）安全救生用具配戴齐全，定期实施设施安全检查。</w:t>
      </w:r>
    </w:p>
    <w:p>
      <w:pPr>
        <w:wordWrap w:val="0"/>
        <w:overflowPunct w:val="0"/>
        <w:snapToGrid w:val="0"/>
        <w:spacing w:line="360" w:lineRule="auto"/>
        <w:ind w:firstLine="422" w:firstLineChars="200"/>
        <w:outlineLvl w:val="3"/>
        <w:rPr>
          <w:rFonts w:ascii="宋体"/>
          <w:b/>
          <w:szCs w:val="21"/>
        </w:rPr>
      </w:pPr>
      <w:bookmarkStart w:id="108" w:name="_Toc12067"/>
      <w:bookmarkStart w:id="109" w:name="_Toc11674"/>
      <w:bookmarkStart w:id="110" w:name="_Toc360729980"/>
      <w:bookmarkStart w:id="111" w:name="_Toc10292"/>
      <w:r>
        <w:rPr>
          <w:rFonts w:hint="eastAsia" w:ascii="宋体"/>
          <w:b/>
          <w:szCs w:val="21"/>
        </w:rPr>
        <w:t>5、特殊要求</w:t>
      </w:r>
      <w:bookmarkEnd w:id="108"/>
      <w:bookmarkEnd w:id="109"/>
      <w:bookmarkEnd w:id="110"/>
      <w:bookmarkEnd w:id="111"/>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（1）发现河道内病死动物及病死动物产品，发现河道内的病死动物及病死动物产品时，河道保洁责任单位及时向采购人、卫生、畜牧兽医等相关部门报告。</w:t>
      </w:r>
    </w:p>
    <w:p>
      <w:pPr>
        <w:wordWrap w:val="0"/>
        <w:overflowPunct w:val="0"/>
        <w:adjustRightInd w:val="0"/>
        <w:snapToGrid w:val="0"/>
        <w:spacing w:line="360" w:lineRule="auto"/>
        <w:ind w:firstLine="420" w:firstLineChars="200"/>
        <w:textAlignment w:val="bottom"/>
        <w:rPr>
          <w:rFonts w:hint="eastAsia" w:ascii="宋体" w:hAnsi="宋体" w:cs="黑体"/>
          <w:szCs w:val="21"/>
        </w:rPr>
      </w:pPr>
      <w:r>
        <w:rPr>
          <w:rFonts w:hint="eastAsia" w:ascii="宋体" w:hAnsi="宋体" w:cs="黑体"/>
          <w:szCs w:val="21"/>
        </w:rPr>
        <w:t>（2）台风、暴雨过后，河道内会产生因暴风雨带来的垃圾，所以发生台风、暴雨后3日内，河道保洁责任单位应相应加强保洁力度，增加保洁次数，及时清理河道中的垃圾、废弃漂浮物、杂草、障碍物等，确保河道的畅通和河面、河岸干净整洁。</w:t>
      </w:r>
    </w:p>
    <w:p>
      <w:pPr>
        <w:wordWrap w:val="0"/>
        <w:overflowPunct w:val="0"/>
        <w:adjustRightInd w:val="0"/>
        <w:snapToGrid w:val="0"/>
        <w:spacing w:line="360" w:lineRule="auto"/>
        <w:ind w:firstLine="420" w:firstLineChars="200"/>
        <w:textAlignment w:val="bottom"/>
        <w:rPr>
          <w:rFonts w:ascii="宋体" w:hAnsi="宋体" w:cs="黑体"/>
          <w:szCs w:val="21"/>
        </w:rPr>
      </w:pPr>
      <w:r>
        <w:rPr>
          <w:rFonts w:hint="eastAsia" w:ascii="宋体" w:hAnsi="宋体" w:cs="黑体"/>
          <w:szCs w:val="21"/>
        </w:rPr>
        <w:t>（3）发生突发水污染事件可分为4大类：1、剧毒农药和有毒有害化学物质泄漏事故，如DDT、乐果、氰化钾等；2、溢油事故，如油罐车泄漏、油船触礁等；3、非正常大量排放废水事故，如化工厂废水、矿业废水等；4、放射性污染事故，如放射性废料渗出。</w:t>
      </w:r>
    </w:p>
    <w:p>
      <w:pPr>
        <w:wordWrap w:val="0"/>
        <w:overflowPunct w:val="0"/>
        <w:adjustRightInd w:val="0"/>
        <w:snapToGrid w:val="0"/>
        <w:spacing w:line="360" w:lineRule="auto"/>
        <w:ind w:firstLine="420" w:firstLineChars="200"/>
        <w:textAlignment w:val="bottom"/>
        <w:rPr>
          <w:rFonts w:ascii="宋体"/>
          <w:szCs w:val="21"/>
        </w:rPr>
      </w:pPr>
      <w:r>
        <w:rPr>
          <w:rFonts w:hint="eastAsia" w:ascii="宋体"/>
          <w:szCs w:val="21"/>
        </w:rPr>
        <w:t>发生突发水污染事件时，保洁单位或保洁人员应立即向采购人、当地人民政府、街道办事处以及环保局报告，并积极配合有关部门采取相应措施。</w:t>
      </w:r>
    </w:p>
    <w:p>
      <w:pPr>
        <w:wordWrap w:val="0"/>
        <w:overflowPunct w:val="0"/>
        <w:adjustRightInd w:val="0"/>
        <w:snapToGrid w:val="0"/>
        <w:spacing w:line="360" w:lineRule="auto"/>
        <w:ind w:firstLine="420" w:firstLineChars="200"/>
        <w:textAlignment w:val="bottom"/>
        <w:rPr>
          <w:rFonts w:ascii="宋体"/>
          <w:szCs w:val="21"/>
        </w:rPr>
      </w:pPr>
      <w:r>
        <w:rPr>
          <w:rFonts w:hint="eastAsia" w:ascii="宋体" w:hAnsi="宋体" w:cs="黑体"/>
          <w:szCs w:val="21"/>
        </w:rPr>
        <w:t>（4）</w:t>
      </w:r>
      <w:r>
        <w:rPr>
          <w:rFonts w:hint="eastAsia" w:ascii="宋体"/>
          <w:szCs w:val="21"/>
        </w:rPr>
        <w:t>发生其它影响河道保洁的情况时，保洁单位或保洁人员应及时向采购人、当地政府报告，各乡镇（街道）应及时通知水利局和环保分局等相关部门，尽快研究对策，并迅速采取处理措施。</w:t>
      </w:r>
    </w:p>
    <w:p>
      <w:pPr>
        <w:overflowPunct w:val="0"/>
        <w:adjustRightInd w:val="0"/>
        <w:snapToGrid w:val="0"/>
        <w:spacing w:line="360" w:lineRule="auto"/>
        <w:ind w:firstLine="420" w:firstLineChars="200"/>
        <w:textAlignment w:val="bottom"/>
        <w:rPr>
          <w:rFonts w:ascii="宋体" w:hAnsi="宋体" w:cs="黑体"/>
          <w:b/>
          <w:szCs w:val="21"/>
        </w:rPr>
      </w:pPr>
      <w:r>
        <w:rPr>
          <w:rFonts w:hint="eastAsia" w:ascii="宋体" w:hAnsi="宋体" w:cs="黑体"/>
          <w:szCs w:val="21"/>
        </w:rPr>
        <w:t>（5）</w:t>
      </w:r>
      <w:r>
        <w:rPr>
          <w:rFonts w:hint="eastAsia" w:ascii="宋体"/>
          <w:szCs w:val="21"/>
        </w:rPr>
        <w:t>河道保洁其它要求以水利部门要求为准。</w:t>
      </w:r>
    </w:p>
    <w:p>
      <w:pPr>
        <w:overflowPunct w:val="0"/>
        <w:spacing w:line="360" w:lineRule="auto"/>
        <w:ind w:firstLine="413" w:firstLineChars="196"/>
        <w:outlineLvl w:val="2"/>
        <w:rPr>
          <w:rFonts w:ascii="宋体" w:hAnsi="宋体" w:cs="黑体"/>
          <w:b/>
          <w:szCs w:val="21"/>
        </w:rPr>
      </w:pPr>
      <w:bookmarkStart w:id="112" w:name="_Toc13719"/>
      <w:bookmarkStart w:id="113" w:name="_Toc64901751"/>
      <w:bookmarkStart w:id="114" w:name="_Toc8462"/>
      <w:bookmarkStart w:id="115" w:name="_Toc64913335"/>
      <w:bookmarkStart w:id="116" w:name="_Toc5406"/>
      <w:r>
        <w:rPr>
          <w:rFonts w:hint="eastAsia" w:ascii="宋体" w:hAnsi="宋体" w:cs="黑体"/>
          <w:b/>
          <w:szCs w:val="21"/>
        </w:rPr>
        <w:t>（六）公厕保洁要求</w:t>
      </w:r>
      <w:bookmarkEnd w:id="112"/>
      <w:bookmarkEnd w:id="113"/>
      <w:bookmarkEnd w:id="114"/>
      <w:bookmarkEnd w:id="115"/>
      <w:bookmarkEnd w:id="116"/>
    </w:p>
    <w:p>
      <w:pPr>
        <w:overflowPunct w:val="0"/>
        <w:snapToGrid w:val="0"/>
        <w:spacing w:line="360" w:lineRule="auto"/>
        <w:ind w:firstLine="422" w:firstLineChars="200"/>
        <w:outlineLvl w:val="3"/>
        <w:rPr>
          <w:rFonts w:hint="eastAsia" w:ascii="宋体"/>
          <w:b/>
          <w:szCs w:val="21"/>
        </w:rPr>
      </w:pPr>
      <w:bookmarkStart w:id="117" w:name="_Toc25211"/>
      <w:bookmarkStart w:id="118" w:name="_Toc4019"/>
      <w:bookmarkStart w:id="119" w:name="_Toc3722"/>
      <w:r>
        <w:rPr>
          <w:rFonts w:hint="eastAsia" w:ascii="宋体"/>
          <w:b/>
          <w:szCs w:val="21"/>
        </w:rPr>
        <w:t>1、公厕保洁范围</w:t>
      </w:r>
      <w:bookmarkEnd w:id="117"/>
      <w:bookmarkEnd w:id="118"/>
      <w:bookmarkEnd w:id="119"/>
    </w:p>
    <w:p>
      <w:pPr>
        <w:pStyle w:val="16"/>
        <w:overflowPunct w:val="0"/>
        <w:adjustRightInd w:val="0"/>
        <w:snapToGrid w:val="0"/>
        <w:spacing w:after="0" w:line="360" w:lineRule="auto"/>
        <w:ind w:left="0" w:leftChars="0" w:firstLine="525" w:firstLineChars="250"/>
        <w:rPr>
          <w:szCs w:val="21"/>
        </w:rPr>
      </w:pPr>
      <w:r>
        <w:rPr>
          <w:rFonts w:hint="eastAsia" w:ascii="宋体" w:hAnsi="宋体"/>
          <w:szCs w:val="21"/>
        </w:rPr>
        <w:t>保洁区域内公厕及公厕周边5米范围。</w:t>
      </w:r>
    </w:p>
    <w:p>
      <w:pPr>
        <w:overflowPunct w:val="0"/>
        <w:snapToGrid w:val="0"/>
        <w:spacing w:line="360" w:lineRule="auto"/>
        <w:ind w:firstLine="422" w:firstLineChars="200"/>
        <w:outlineLvl w:val="3"/>
        <w:rPr>
          <w:rFonts w:hint="eastAsia" w:ascii="宋体"/>
          <w:b/>
          <w:szCs w:val="21"/>
        </w:rPr>
      </w:pPr>
      <w:bookmarkStart w:id="120" w:name="_Toc19346"/>
      <w:bookmarkStart w:id="121" w:name="_Toc30813"/>
      <w:bookmarkStart w:id="122" w:name="_Toc6076"/>
      <w:r>
        <w:rPr>
          <w:rFonts w:hint="eastAsia" w:ascii="宋体"/>
          <w:b/>
          <w:szCs w:val="21"/>
        </w:rPr>
        <w:t>2、公厕保洁质量要求</w:t>
      </w:r>
      <w:bookmarkEnd w:id="120"/>
      <w:bookmarkEnd w:id="121"/>
      <w:bookmarkEnd w:id="122"/>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（1）公厕保洁要达到“十净、六无、一整洁”标准：</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1）十净：地面净、墙壁净、蹲台净、门窗净、隔板净、便池净、洁具净、灯具净、天花板净、周围环境净；</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2）六无：蹲坑便槽无杂物，厕内外无乱涂写、乱张贴、乱堆乱放，定期消毒无蝇蛆，厕内无明显臭味，上水通畅、下水无堵塞（包括坑位到化粪池的管道），厕内无灰网；</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3）一整洁：管理间、工具间干净整洁无杂物。</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（2）保证室内设施设备</w:t>
      </w:r>
      <w:r>
        <w:rPr>
          <w:rFonts w:ascii="宋体"/>
          <w:szCs w:val="21"/>
        </w:rPr>
        <w:t>(</w:t>
      </w:r>
      <w:r>
        <w:rPr>
          <w:rFonts w:hint="eastAsia" w:ascii="宋体"/>
          <w:szCs w:val="21"/>
        </w:rPr>
        <w:t>门、窗、供水、供电、照明等</w:t>
      </w:r>
      <w:r>
        <w:rPr>
          <w:rFonts w:ascii="宋体"/>
          <w:szCs w:val="21"/>
        </w:rPr>
        <w:t>)</w:t>
      </w:r>
      <w:r>
        <w:rPr>
          <w:rFonts w:hint="eastAsia" w:ascii="宋体"/>
          <w:szCs w:val="21"/>
        </w:rPr>
        <w:t>完好和正常使用，无漏雨、透风及管道堵塞现象；</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（3）地面、蹲位、便池、墙壁、挡板等保持完好和整洁；无地面积水、纸屑、烟头、痰迹，无积存尿液、尿垢，无蚊蝇；</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（4）换气、除臭等设施必须使用。保持厕内通风良好，无异味，厕内燃点盘香，男小便器内投放专用樟脑球，废纸篓内套放标准垃圾袋（均由中标供应商提供，计入投标报价成本中）；</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（5）保持公共厕所外周边</w:t>
      </w:r>
      <w:r>
        <w:rPr>
          <w:rFonts w:ascii="宋体"/>
          <w:szCs w:val="21"/>
        </w:rPr>
        <w:t>5</w:t>
      </w:r>
      <w:r>
        <w:rPr>
          <w:rFonts w:hint="eastAsia" w:ascii="宋体"/>
          <w:szCs w:val="21"/>
        </w:rPr>
        <w:t>米范围环境整洁，无乱堆杂物、杂草、垃圾、粪便、污水等；</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（6）蝇蚊孳生季节，定时喷洒药物，有效控制蝇蛆孳生；</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（7）治理清除公厕内外非法小广告；</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（8）保洁工具应放置整齐，照明灯具、洗手器具、镜子、挂衣钩、烘手器、冲水等设备完好，无积灰、污物。</w:t>
      </w:r>
    </w:p>
    <w:p>
      <w:pPr>
        <w:overflowPunct w:val="0"/>
        <w:adjustRightInd w:val="0"/>
        <w:snapToGrid w:val="0"/>
        <w:spacing w:line="360" w:lineRule="auto"/>
        <w:ind w:firstLine="420" w:firstLineChars="200"/>
        <w:textAlignment w:val="bottom"/>
        <w:rPr>
          <w:rFonts w:hint="eastAsia" w:ascii="宋体"/>
          <w:szCs w:val="21"/>
        </w:rPr>
      </w:pPr>
      <w:r>
        <w:rPr>
          <w:rFonts w:hint="eastAsia" w:ascii="宋体"/>
          <w:szCs w:val="21"/>
        </w:rPr>
        <w:t>（9）发现公厕水龙头未拧紧导致漏水的情况，须及时拧紧水龙头。</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（10）中标供应商保洁服务期间，如采购人对公厕类别进行提升的，保洁服务等级要求须做相应的提升，相关费用双方协商解决。</w:t>
      </w:r>
    </w:p>
    <w:p>
      <w:pPr>
        <w:overflowPunct w:val="0"/>
        <w:snapToGrid w:val="0"/>
        <w:spacing w:line="360" w:lineRule="auto"/>
        <w:ind w:firstLine="422" w:firstLineChars="200"/>
        <w:outlineLvl w:val="3"/>
        <w:rPr>
          <w:rFonts w:hint="eastAsia" w:ascii="宋体"/>
          <w:b/>
          <w:szCs w:val="21"/>
        </w:rPr>
      </w:pPr>
      <w:bookmarkStart w:id="123" w:name="_Toc7961"/>
      <w:bookmarkStart w:id="124" w:name="_Toc13365"/>
      <w:bookmarkStart w:id="125" w:name="_Toc19363"/>
      <w:r>
        <w:rPr>
          <w:rFonts w:hint="eastAsia" w:ascii="宋体"/>
          <w:b/>
          <w:szCs w:val="21"/>
        </w:rPr>
        <w:t>3、公厕保洁作业要求</w:t>
      </w:r>
      <w:bookmarkEnd w:id="123"/>
      <w:bookmarkEnd w:id="124"/>
      <w:bookmarkEnd w:id="125"/>
    </w:p>
    <w:p>
      <w:pPr>
        <w:overflowPunct w:val="0"/>
        <w:adjustRightInd w:val="0"/>
        <w:spacing w:line="360" w:lineRule="auto"/>
        <w:ind w:firstLine="420" w:firstLineChars="200"/>
        <w:textAlignment w:val="bottom"/>
        <w:outlineLvl w:val="4"/>
        <w:rPr>
          <w:rFonts w:hint="eastAsia" w:ascii="宋体"/>
          <w:szCs w:val="21"/>
        </w:rPr>
      </w:pPr>
      <w:r>
        <w:rPr>
          <w:rFonts w:hint="eastAsia" w:ascii="宋体"/>
          <w:szCs w:val="21"/>
        </w:rPr>
        <w:t>（1）公厕保洁员到岗后的保洁程序为：</w:t>
      </w:r>
    </w:p>
    <w:p>
      <w:pPr>
        <w:pStyle w:val="16"/>
        <w:overflowPunct w:val="0"/>
        <w:adjustRightInd w:val="0"/>
        <w:snapToGrid w:val="0"/>
        <w:spacing w:after="0" w:line="360" w:lineRule="auto"/>
        <w:ind w:left="0" w:leftChars="0" w:firstLine="525" w:firstLineChars="250"/>
        <w:rPr>
          <w:rFonts w:hint="eastAsia" w:ascii="宋体" w:hAnsi="宋体" w:cs="宋体"/>
          <w:szCs w:val="21"/>
        </w:rPr>
      </w:pPr>
      <w:r>
        <w:rPr>
          <w:rFonts w:hint="eastAsia" w:ascii="宋体" w:hAnsi="宋体" w:cs="宋体"/>
          <w:szCs w:val="21"/>
        </w:rPr>
        <w:t>一掸：即使用清洁工具掸除公厕内的蛛网、灰尘；</w:t>
      </w:r>
    </w:p>
    <w:p>
      <w:pPr>
        <w:pStyle w:val="16"/>
        <w:overflowPunct w:val="0"/>
        <w:adjustRightInd w:val="0"/>
        <w:snapToGrid w:val="0"/>
        <w:spacing w:after="0" w:line="360" w:lineRule="auto"/>
        <w:ind w:left="0" w:leftChars="0" w:firstLine="525" w:firstLineChars="250"/>
        <w:rPr>
          <w:rFonts w:hint="eastAsia" w:ascii="宋体" w:hAnsi="宋体" w:cs="宋体"/>
          <w:szCs w:val="21"/>
        </w:rPr>
      </w:pPr>
      <w:r>
        <w:rPr>
          <w:rFonts w:hint="eastAsia" w:ascii="宋体" w:hAnsi="宋体" w:cs="宋体"/>
          <w:szCs w:val="21"/>
        </w:rPr>
        <w:t>二抹：即用抹布清洗门窗、洗手器具、隔断板、墙面等；</w:t>
      </w:r>
    </w:p>
    <w:p>
      <w:pPr>
        <w:pStyle w:val="16"/>
        <w:overflowPunct w:val="0"/>
        <w:adjustRightInd w:val="0"/>
        <w:snapToGrid w:val="0"/>
        <w:spacing w:after="0" w:line="360" w:lineRule="auto"/>
        <w:ind w:left="0" w:leftChars="0" w:firstLine="525" w:firstLineChars="250"/>
        <w:rPr>
          <w:rFonts w:hint="eastAsia" w:ascii="宋体" w:hAnsi="宋体" w:cs="宋体"/>
          <w:szCs w:val="21"/>
        </w:rPr>
      </w:pPr>
      <w:r>
        <w:rPr>
          <w:rFonts w:hint="eastAsia" w:ascii="宋体" w:hAnsi="宋体" w:cs="宋体"/>
          <w:szCs w:val="21"/>
        </w:rPr>
        <w:t>三冲：即对公厕蹲便器、座便器、小便斗进行冲洗；</w:t>
      </w:r>
    </w:p>
    <w:p>
      <w:pPr>
        <w:pStyle w:val="16"/>
        <w:overflowPunct w:val="0"/>
        <w:adjustRightInd w:val="0"/>
        <w:snapToGrid w:val="0"/>
        <w:spacing w:after="0" w:line="360" w:lineRule="auto"/>
        <w:ind w:left="0" w:leftChars="0" w:firstLine="525" w:firstLineChars="250"/>
        <w:rPr>
          <w:rFonts w:hint="eastAsia" w:ascii="宋体" w:hAnsi="宋体" w:cs="宋体"/>
          <w:szCs w:val="21"/>
        </w:rPr>
      </w:pPr>
      <w:r>
        <w:rPr>
          <w:rFonts w:hint="eastAsia" w:ascii="宋体" w:hAnsi="宋体" w:cs="宋体"/>
          <w:szCs w:val="21"/>
        </w:rPr>
        <w:t>四拖：即用拖把清除地面污垢、积水，保持干燥整洁；</w:t>
      </w:r>
    </w:p>
    <w:p>
      <w:pPr>
        <w:pStyle w:val="16"/>
        <w:overflowPunct w:val="0"/>
        <w:adjustRightInd w:val="0"/>
        <w:snapToGrid w:val="0"/>
        <w:spacing w:after="0" w:line="360" w:lineRule="auto"/>
        <w:ind w:left="0" w:leftChars="0" w:firstLine="525" w:firstLineChars="250"/>
        <w:rPr>
          <w:rFonts w:hint="eastAsia" w:ascii="宋体" w:hAnsi="宋体" w:cs="宋体"/>
          <w:szCs w:val="21"/>
        </w:rPr>
      </w:pPr>
      <w:r>
        <w:rPr>
          <w:rFonts w:hint="eastAsia" w:ascii="宋体" w:hAnsi="宋体" w:cs="宋体"/>
          <w:szCs w:val="21"/>
        </w:rPr>
        <w:t>五扫：即清扫公厕周边环境；</w:t>
      </w:r>
    </w:p>
    <w:p>
      <w:pPr>
        <w:pStyle w:val="16"/>
        <w:overflowPunct w:val="0"/>
        <w:adjustRightInd w:val="0"/>
        <w:snapToGrid w:val="0"/>
        <w:spacing w:after="0" w:line="360" w:lineRule="auto"/>
        <w:ind w:left="0" w:leftChars="0" w:firstLine="525" w:firstLineChars="250"/>
        <w:rPr>
          <w:rFonts w:hint="eastAsia" w:ascii="宋体" w:hAnsi="宋体" w:cs="宋体"/>
          <w:szCs w:val="21"/>
        </w:rPr>
      </w:pPr>
      <w:r>
        <w:rPr>
          <w:rFonts w:hint="eastAsia" w:ascii="宋体" w:hAnsi="宋体" w:cs="宋体"/>
          <w:szCs w:val="21"/>
        </w:rPr>
        <w:t>六理：即清理垃圾；</w:t>
      </w:r>
    </w:p>
    <w:p>
      <w:pPr>
        <w:pStyle w:val="16"/>
        <w:overflowPunct w:val="0"/>
        <w:adjustRightInd w:val="0"/>
        <w:snapToGrid w:val="0"/>
        <w:spacing w:after="0" w:line="360" w:lineRule="auto"/>
        <w:ind w:left="0" w:leftChars="0" w:firstLine="525" w:firstLineChars="250"/>
        <w:rPr>
          <w:rFonts w:hint="eastAsia"/>
          <w:szCs w:val="21"/>
        </w:rPr>
      </w:pPr>
      <w:r>
        <w:rPr>
          <w:rFonts w:hint="eastAsia" w:ascii="宋体" w:hAnsi="宋体" w:cs="宋体"/>
          <w:szCs w:val="21"/>
        </w:rPr>
        <w:t>七查：即检查水龙头、干手器、水箱等设施是否完好，发现损坏</w:t>
      </w:r>
      <w:r>
        <w:rPr>
          <w:rFonts w:hint="eastAsia"/>
          <w:szCs w:val="21"/>
        </w:rPr>
        <w:t>损坏及时修理；</w:t>
      </w:r>
    </w:p>
    <w:p>
      <w:pPr>
        <w:pStyle w:val="16"/>
        <w:overflowPunct w:val="0"/>
        <w:adjustRightInd w:val="0"/>
        <w:snapToGrid w:val="0"/>
        <w:spacing w:after="0" w:line="360" w:lineRule="auto"/>
        <w:ind w:left="0" w:leftChars="0" w:firstLine="525" w:firstLineChars="250"/>
        <w:rPr>
          <w:rFonts w:hint="eastAsia"/>
          <w:szCs w:val="21"/>
        </w:rPr>
      </w:pPr>
      <w:r>
        <w:rPr>
          <w:rFonts w:hint="eastAsia"/>
          <w:szCs w:val="21"/>
        </w:rPr>
        <w:t>八喷：即喷洒消毒药水。</w:t>
      </w:r>
    </w:p>
    <w:p>
      <w:pPr>
        <w:overflowPunct w:val="0"/>
        <w:adjustRightInd w:val="0"/>
        <w:spacing w:line="360" w:lineRule="auto"/>
        <w:ind w:firstLine="420" w:firstLineChars="200"/>
        <w:textAlignment w:val="bottom"/>
        <w:outlineLvl w:val="4"/>
        <w:rPr>
          <w:rFonts w:hint="eastAsia" w:ascii="宋体"/>
          <w:szCs w:val="21"/>
        </w:rPr>
      </w:pPr>
      <w:r>
        <w:rPr>
          <w:rFonts w:hint="eastAsia" w:ascii="宋体"/>
          <w:szCs w:val="21"/>
        </w:rPr>
        <w:t>（2）坑位内冲洗、坑位周边保持干净、及时清理垃圾篓（垃圾篓内垃圾不超过三分之二），做到公厕内部地面（坑位）干净整洁、无污迹水迹。</w:t>
      </w:r>
    </w:p>
    <w:p>
      <w:pPr>
        <w:overflowPunct w:val="0"/>
        <w:adjustRightInd w:val="0"/>
        <w:spacing w:line="360" w:lineRule="auto"/>
        <w:ind w:firstLine="420" w:firstLineChars="200"/>
        <w:textAlignment w:val="bottom"/>
        <w:outlineLvl w:val="4"/>
        <w:rPr>
          <w:rFonts w:hint="eastAsia" w:ascii="宋体"/>
          <w:szCs w:val="21"/>
        </w:rPr>
      </w:pPr>
      <w:r>
        <w:rPr>
          <w:rFonts w:hint="eastAsia" w:ascii="宋体"/>
          <w:szCs w:val="21"/>
        </w:rPr>
        <w:t>（3）严格区分保洁工具：男厕与女厕、地面、与踏步的保洁扫帚、拖把分开使用，分别使用不同的擦洗工具清理门窗、洗手器具、分隔板、墙面。保洁工具使用后，必须立即清洗，确保无异味。</w:t>
      </w:r>
    </w:p>
    <w:p>
      <w:pPr>
        <w:overflowPunct w:val="0"/>
        <w:adjustRightInd w:val="0"/>
        <w:spacing w:line="360" w:lineRule="auto"/>
        <w:ind w:firstLine="420" w:firstLineChars="200"/>
        <w:textAlignment w:val="bottom"/>
        <w:outlineLvl w:val="4"/>
        <w:rPr>
          <w:rFonts w:hint="eastAsia" w:ascii="宋体"/>
          <w:szCs w:val="21"/>
        </w:rPr>
      </w:pPr>
      <w:r>
        <w:rPr>
          <w:rFonts w:hint="eastAsia" w:ascii="宋体"/>
          <w:szCs w:val="21"/>
        </w:rPr>
        <w:t>（4）供洗手用的水龙头不得用于保洁作业。</w:t>
      </w:r>
    </w:p>
    <w:p>
      <w:pPr>
        <w:overflowPunct w:val="0"/>
        <w:adjustRightInd w:val="0"/>
        <w:spacing w:line="360" w:lineRule="auto"/>
        <w:ind w:firstLine="420" w:firstLineChars="200"/>
        <w:textAlignment w:val="bottom"/>
        <w:outlineLvl w:val="4"/>
        <w:rPr>
          <w:rFonts w:hint="eastAsia" w:ascii="宋体"/>
          <w:szCs w:val="21"/>
        </w:rPr>
      </w:pPr>
      <w:bookmarkStart w:id="126" w:name="_Toc13352"/>
      <w:bookmarkStart w:id="127" w:name="_Toc13479"/>
      <w:bookmarkStart w:id="128" w:name="_Toc20236"/>
      <w:r>
        <w:rPr>
          <w:rFonts w:hint="eastAsia" w:ascii="宋体"/>
          <w:szCs w:val="21"/>
        </w:rPr>
        <w:t>（5）公厕保洁等级要求</w:t>
      </w:r>
      <w:bookmarkEnd w:id="126"/>
      <w:bookmarkEnd w:id="127"/>
      <w:bookmarkEnd w:id="128"/>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5"/>
        <w:gridCol w:w="3109"/>
        <w:gridCol w:w="3111"/>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983" w:type="pct"/>
            <w:tcBorders>
              <w:tl2br w:val="single" w:color="auto" w:sz="4" w:space="0"/>
            </w:tcBorders>
            <w:noWrap w:val="0"/>
            <w:vAlign w:val="center"/>
          </w:tcPr>
          <w:p>
            <w:pPr>
              <w:overflowPunct w:val="0"/>
              <w:adjustRightInd w:val="0"/>
              <w:spacing w:line="360" w:lineRule="auto"/>
              <w:ind w:firstLine="540" w:firstLineChars="300"/>
              <w:textAlignment w:val="bottom"/>
              <w:rPr>
                <w:rFonts w:ascii="宋体"/>
                <w:sz w:val="18"/>
                <w:szCs w:val="18"/>
              </w:rPr>
            </w:pPr>
            <w:r>
              <w:rPr>
                <w:rFonts w:hint="eastAsia" w:ascii="宋体"/>
                <w:sz w:val="18"/>
                <w:szCs w:val="18"/>
              </w:rPr>
              <w:t>公厕等级</w:t>
            </w:r>
          </w:p>
          <w:p>
            <w:pPr>
              <w:overflowPunct w:val="0"/>
              <w:adjustRightInd w:val="0"/>
              <w:spacing w:line="360" w:lineRule="auto"/>
              <w:textAlignment w:val="bottom"/>
              <w:rPr>
                <w:rFonts w:ascii="宋体"/>
                <w:sz w:val="18"/>
                <w:szCs w:val="18"/>
              </w:rPr>
            </w:pPr>
            <w:r>
              <w:rPr>
                <w:rFonts w:hint="eastAsia" w:ascii="宋体"/>
                <w:sz w:val="18"/>
                <w:szCs w:val="18"/>
              </w:rPr>
              <w:t>质量标准</w:t>
            </w:r>
          </w:p>
        </w:tc>
        <w:tc>
          <w:tcPr>
            <w:tcW w:w="1674"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一类公厕</w:t>
            </w:r>
          </w:p>
        </w:tc>
        <w:tc>
          <w:tcPr>
            <w:tcW w:w="1675"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二类公厕</w:t>
            </w:r>
          </w:p>
        </w:tc>
        <w:tc>
          <w:tcPr>
            <w:tcW w:w="668"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983" w:type="pct"/>
            <w:noWrap w:val="0"/>
            <w:vAlign w:val="center"/>
          </w:tcPr>
          <w:p>
            <w:pPr>
              <w:overflowPunct w:val="0"/>
              <w:adjustRightInd w:val="0"/>
              <w:spacing w:line="360" w:lineRule="auto"/>
              <w:jc w:val="center"/>
              <w:textAlignment w:val="bottom"/>
              <w:rPr>
                <w:rFonts w:hint="eastAsia" w:ascii="宋体"/>
                <w:sz w:val="18"/>
                <w:szCs w:val="18"/>
              </w:rPr>
            </w:pPr>
            <w:r>
              <w:rPr>
                <w:rFonts w:hint="eastAsia" w:ascii="宋体"/>
                <w:sz w:val="18"/>
                <w:szCs w:val="18"/>
              </w:rPr>
              <w:t>质量要求</w:t>
            </w:r>
          </w:p>
        </w:tc>
        <w:tc>
          <w:tcPr>
            <w:tcW w:w="4017" w:type="pct"/>
            <w:gridSpan w:val="3"/>
            <w:noWrap w:val="0"/>
            <w:vAlign w:val="center"/>
          </w:tcPr>
          <w:p>
            <w:pPr>
              <w:overflowPunct w:val="0"/>
              <w:adjustRightInd w:val="0"/>
              <w:spacing w:line="360" w:lineRule="auto"/>
              <w:jc w:val="center"/>
              <w:textAlignment w:val="bottom"/>
              <w:rPr>
                <w:rFonts w:hint="eastAsia" w:ascii="宋体"/>
                <w:sz w:val="18"/>
                <w:szCs w:val="18"/>
              </w:rPr>
            </w:pPr>
            <w:r>
              <w:rPr>
                <w:rFonts w:hint="eastAsia" w:ascii="宋体"/>
                <w:sz w:val="18"/>
                <w:szCs w:val="18"/>
              </w:rPr>
              <w:t>按招标文件要求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983"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保洁时间</w:t>
            </w:r>
          </w:p>
        </w:tc>
        <w:tc>
          <w:tcPr>
            <w:tcW w:w="1674" w:type="pct"/>
            <w:noWrap w:val="0"/>
            <w:vAlign w:val="center"/>
          </w:tcPr>
          <w:p>
            <w:pPr>
              <w:overflowPunct w:val="0"/>
              <w:adjustRightInd w:val="0"/>
              <w:spacing w:line="360" w:lineRule="auto"/>
              <w:jc w:val="center"/>
              <w:textAlignment w:val="bottom"/>
              <w:rPr>
                <w:rFonts w:ascii="宋体"/>
                <w:sz w:val="18"/>
                <w:szCs w:val="18"/>
              </w:rPr>
            </w:pPr>
            <w:r>
              <w:rPr>
                <w:rFonts w:ascii="宋体"/>
                <w:sz w:val="18"/>
                <w:szCs w:val="18"/>
              </w:rPr>
              <w:t>18</w:t>
            </w:r>
            <w:r>
              <w:rPr>
                <w:rFonts w:hint="eastAsia" w:ascii="宋体"/>
                <w:sz w:val="18"/>
                <w:szCs w:val="18"/>
              </w:rPr>
              <w:t>小时巡回（5:00-23:00)</w:t>
            </w:r>
          </w:p>
        </w:tc>
        <w:tc>
          <w:tcPr>
            <w:tcW w:w="1675"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1</w:t>
            </w:r>
            <w:r>
              <w:rPr>
                <w:rFonts w:ascii="宋体"/>
                <w:sz w:val="18"/>
                <w:szCs w:val="18"/>
              </w:rPr>
              <w:t>6</w:t>
            </w:r>
            <w:r>
              <w:rPr>
                <w:rFonts w:hint="eastAsia" w:ascii="宋体"/>
                <w:sz w:val="18"/>
                <w:szCs w:val="18"/>
              </w:rPr>
              <w:t>小时巡回（6:00-22:00)</w:t>
            </w:r>
          </w:p>
        </w:tc>
        <w:tc>
          <w:tcPr>
            <w:tcW w:w="668" w:type="pct"/>
            <w:noWrap w:val="0"/>
            <w:vAlign w:val="center"/>
          </w:tcPr>
          <w:p>
            <w:pPr>
              <w:overflowPunct w:val="0"/>
              <w:adjustRightInd w:val="0"/>
              <w:spacing w:line="360" w:lineRule="auto"/>
              <w:jc w:val="center"/>
              <w:textAlignment w:val="bottom"/>
              <w:rPr>
                <w:rFonts w:asci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983"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保洁频次</w:t>
            </w:r>
          </w:p>
        </w:tc>
        <w:tc>
          <w:tcPr>
            <w:tcW w:w="1674"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早、中、晚蹲位、便池、地面、挡板等全面清洗一遍，门、窗、墙面每天擦洗</w:t>
            </w:r>
            <w:r>
              <w:rPr>
                <w:rFonts w:ascii="宋体"/>
                <w:sz w:val="18"/>
                <w:szCs w:val="18"/>
              </w:rPr>
              <w:t>1</w:t>
            </w:r>
            <w:r>
              <w:rPr>
                <w:rFonts w:hint="eastAsia" w:ascii="宋体"/>
                <w:sz w:val="18"/>
                <w:szCs w:val="18"/>
              </w:rPr>
              <w:t>次。</w:t>
            </w:r>
          </w:p>
        </w:tc>
        <w:tc>
          <w:tcPr>
            <w:tcW w:w="1675"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早、晚蹲位、便池、地面、挡板等全面清洗一遍，门、窗、墙面每2天擦洗</w:t>
            </w:r>
            <w:r>
              <w:rPr>
                <w:rFonts w:ascii="宋体"/>
                <w:sz w:val="18"/>
                <w:szCs w:val="18"/>
              </w:rPr>
              <w:t>1</w:t>
            </w:r>
            <w:r>
              <w:rPr>
                <w:rFonts w:hint="eastAsia" w:ascii="宋体"/>
                <w:sz w:val="18"/>
                <w:szCs w:val="18"/>
              </w:rPr>
              <w:t>次</w:t>
            </w:r>
          </w:p>
        </w:tc>
        <w:tc>
          <w:tcPr>
            <w:tcW w:w="668" w:type="pct"/>
            <w:noWrap w:val="0"/>
            <w:vAlign w:val="center"/>
          </w:tcPr>
          <w:p>
            <w:pPr>
              <w:overflowPunct w:val="0"/>
              <w:adjustRightInd w:val="0"/>
              <w:spacing w:line="360" w:lineRule="auto"/>
              <w:jc w:val="center"/>
              <w:textAlignment w:val="bottom"/>
              <w:rPr>
                <w:rFonts w:asci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983"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巡回频次</w:t>
            </w:r>
          </w:p>
        </w:tc>
        <w:tc>
          <w:tcPr>
            <w:tcW w:w="1674"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每1小时巡回保洁一次</w:t>
            </w:r>
          </w:p>
        </w:tc>
        <w:tc>
          <w:tcPr>
            <w:tcW w:w="1675"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每</w:t>
            </w:r>
            <w:r>
              <w:rPr>
                <w:rFonts w:ascii="宋体"/>
                <w:sz w:val="18"/>
                <w:szCs w:val="18"/>
              </w:rPr>
              <w:t>1</w:t>
            </w:r>
            <w:r>
              <w:rPr>
                <w:rFonts w:hint="eastAsia" w:ascii="宋体"/>
                <w:sz w:val="18"/>
                <w:szCs w:val="18"/>
              </w:rPr>
              <w:t>小时巡回保洁一次</w:t>
            </w:r>
          </w:p>
        </w:tc>
        <w:tc>
          <w:tcPr>
            <w:tcW w:w="668" w:type="pct"/>
            <w:noWrap w:val="0"/>
            <w:vAlign w:val="center"/>
          </w:tcPr>
          <w:p>
            <w:pPr>
              <w:overflowPunct w:val="0"/>
              <w:adjustRightInd w:val="0"/>
              <w:spacing w:line="360" w:lineRule="auto"/>
              <w:jc w:val="center"/>
              <w:textAlignment w:val="bottom"/>
              <w:rPr>
                <w:rFonts w:asci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983"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耗材</w:t>
            </w:r>
          </w:p>
        </w:tc>
        <w:tc>
          <w:tcPr>
            <w:tcW w:w="1674"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卫生纸、洗手液、垃圾袋、盘香、樟脑球等由中标供应商提供</w:t>
            </w:r>
          </w:p>
        </w:tc>
        <w:tc>
          <w:tcPr>
            <w:tcW w:w="1675"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卫生纸、垃圾袋、盘香、樟脑球等由中标供应商提供</w:t>
            </w:r>
          </w:p>
        </w:tc>
        <w:tc>
          <w:tcPr>
            <w:tcW w:w="668" w:type="pct"/>
            <w:noWrap w:val="0"/>
            <w:vAlign w:val="center"/>
          </w:tcPr>
          <w:p>
            <w:pPr>
              <w:overflowPunct w:val="0"/>
              <w:adjustRightInd w:val="0"/>
              <w:spacing w:line="360" w:lineRule="auto"/>
              <w:jc w:val="center"/>
              <w:textAlignment w:val="bottom"/>
              <w:rPr>
                <w:rFonts w:asci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983"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臭味强度</w:t>
            </w:r>
          </w:p>
        </w:tc>
        <w:tc>
          <w:tcPr>
            <w:tcW w:w="1674"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≤1级</w:t>
            </w:r>
          </w:p>
        </w:tc>
        <w:tc>
          <w:tcPr>
            <w:tcW w:w="1675"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≤2级</w:t>
            </w:r>
          </w:p>
        </w:tc>
        <w:tc>
          <w:tcPr>
            <w:tcW w:w="668" w:type="pct"/>
            <w:noWrap w:val="0"/>
            <w:vAlign w:val="center"/>
          </w:tcPr>
          <w:p>
            <w:pPr>
              <w:overflowPunct w:val="0"/>
              <w:adjustRightInd w:val="0"/>
              <w:spacing w:line="360" w:lineRule="auto"/>
              <w:jc w:val="center"/>
              <w:textAlignment w:val="bottom"/>
              <w:rPr>
                <w:rFonts w:asci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983"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维护维修</w:t>
            </w:r>
          </w:p>
        </w:tc>
        <w:tc>
          <w:tcPr>
            <w:tcW w:w="1674"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由中标供应商承担</w:t>
            </w:r>
          </w:p>
        </w:tc>
        <w:tc>
          <w:tcPr>
            <w:tcW w:w="1675" w:type="pct"/>
            <w:noWrap w:val="0"/>
            <w:vAlign w:val="center"/>
          </w:tcPr>
          <w:p>
            <w:pPr>
              <w:overflowPunct w:val="0"/>
              <w:adjustRightInd w:val="0"/>
              <w:spacing w:line="360" w:lineRule="auto"/>
              <w:jc w:val="center"/>
              <w:textAlignment w:val="bottom"/>
              <w:rPr>
                <w:rFonts w:ascii="宋体"/>
                <w:sz w:val="18"/>
                <w:szCs w:val="18"/>
              </w:rPr>
            </w:pPr>
            <w:r>
              <w:rPr>
                <w:rFonts w:hint="eastAsia" w:ascii="宋体"/>
                <w:sz w:val="18"/>
                <w:szCs w:val="18"/>
              </w:rPr>
              <w:t>由中标供应商承担</w:t>
            </w:r>
          </w:p>
        </w:tc>
        <w:tc>
          <w:tcPr>
            <w:tcW w:w="668" w:type="pct"/>
            <w:noWrap w:val="0"/>
            <w:vAlign w:val="center"/>
          </w:tcPr>
          <w:p>
            <w:pPr>
              <w:overflowPunct w:val="0"/>
              <w:adjustRightInd w:val="0"/>
              <w:spacing w:line="360" w:lineRule="auto"/>
              <w:jc w:val="center"/>
              <w:textAlignment w:val="bottom"/>
              <w:rPr>
                <w:rFonts w:ascii="宋体"/>
                <w:sz w:val="18"/>
                <w:szCs w:val="18"/>
              </w:rPr>
            </w:pPr>
          </w:p>
        </w:tc>
      </w:tr>
    </w:tbl>
    <w:p>
      <w:pPr>
        <w:overflowPunct w:val="0"/>
        <w:adjustRightInd w:val="0"/>
        <w:spacing w:line="360" w:lineRule="auto"/>
        <w:textAlignment w:val="bottom"/>
        <w:rPr>
          <w:rFonts w:ascii="宋体"/>
          <w:szCs w:val="21"/>
        </w:rPr>
      </w:pPr>
      <w:r>
        <w:rPr>
          <w:rFonts w:hint="eastAsia" w:ascii="宋体"/>
          <w:szCs w:val="21"/>
        </w:rPr>
        <w:t>注：</w:t>
      </w:r>
      <w:r>
        <w:rPr>
          <w:rFonts w:ascii="宋体"/>
          <w:szCs w:val="21"/>
        </w:rPr>
        <w:t xml:space="preserve"> </w:t>
      </w:r>
      <w:r>
        <w:rPr>
          <w:rFonts w:hint="eastAsia" w:ascii="宋体" w:hAnsi="宋体" w:cs="宋体"/>
          <w:szCs w:val="21"/>
        </w:rPr>
        <w:t>①一类公厕：需配备独立式大小便器、采保暖设施、手纸架、先进节水器，需设置1.8米高的独立单间等，设有无障碍设施，地面、墙裙装饰用才标准较高；②二类公厕：可以设置独立式便器的单间，也可建设通槽式便器，采用瓷砖面小便池</w:t>
      </w:r>
      <w:r>
        <w:rPr>
          <w:rFonts w:hint="eastAsia" w:ascii="宋体"/>
          <w:szCs w:val="21"/>
        </w:rPr>
        <w:t>。</w:t>
      </w:r>
    </w:p>
    <w:p>
      <w:pPr>
        <w:overflowPunct w:val="0"/>
        <w:snapToGrid w:val="0"/>
        <w:spacing w:line="360" w:lineRule="auto"/>
        <w:ind w:firstLine="422" w:firstLineChars="200"/>
        <w:outlineLvl w:val="3"/>
        <w:rPr>
          <w:rFonts w:ascii="宋体"/>
          <w:b/>
          <w:szCs w:val="21"/>
        </w:rPr>
      </w:pPr>
      <w:bookmarkStart w:id="129" w:name="_Toc4843"/>
      <w:bookmarkStart w:id="130" w:name="_Toc21982"/>
      <w:bookmarkStart w:id="131" w:name="_Toc29960"/>
      <w:r>
        <w:rPr>
          <w:rFonts w:hint="eastAsia" w:ascii="宋体"/>
          <w:b/>
          <w:szCs w:val="21"/>
        </w:rPr>
        <w:t>4、公厕管理要求</w:t>
      </w:r>
      <w:bookmarkEnd w:id="129"/>
      <w:bookmarkEnd w:id="130"/>
      <w:bookmarkEnd w:id="131"/>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（1）按规定要求公厕实行全天候免费开放使用，不得擅自停业、歇业，影响公众使用；如需停止开放的，要征得业主同意后，公示停业原由和期限。</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2）各项制度（内容包括但不限于公厕名称、类别、公厕编号、管理单位、服务公约、联系电话、监管电话、开放时间等信息）、责任内容按规定要求上墙，文明规范用语按要求配置，设置规范且醒目，便于市民监督；设置节约用水、禁止吸烟、文明如厕、爱护公物等提示性、劝导性标识。</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（3）严禁公厕内经营活动和私自收费现象，责任范围内不得有乱搭建、乱堆放；</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（4）公厕管理间卫生整洁、秩序井然，无闲杂人员，无乱堆杂物，无人员留宿；</w:t>
      </w:r>
    </w:p>
    <w:p>
      <w:pPr>
        <w:overflowPunct w:val="0"/>
        <w:adjustRightInd w:val="0"/>
        <w:snapToGrid w:val="0"/>
        <w:spacing w:line="360" w:lineRule="auto"/>
        <w:ind w:firstLine="420" w:firstLineChars="200"/>
        <w:textAlignment w:val="bottom"/>
        <w:rPr>
          <w:rFonts w:hint="eastAsia" w:ascii="宋体"/>
          <w:szCs w:val="21"/>
        </w:rPr>
      </w:pPr>
      <w:r>
        <w:rPr>
          <w:rFonts w:hint="eastAsia" w:ascii="宋体"/>
          <w:szCs w:val="21"/>
        </w:rPr>
        <w:t>（5）公厕保洁人员统一服装、统一佩证上岗、礼貌待人、服务周到。</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（6）公厕保洁人员不得在公厕内私设厨房及就餐，在保洁时间范围外不得在公厕内住宿，不得占用妨碍残疾人公共厕所、第三卫生间的正常使用；</w:t>
      </w:r>
    </w:p>
    <w:p>
      <w:pPr>
        <w:overflowPunct w:val="0"/>
        <w:adjustRightInd w:val="0"/>
        <w:snapToGrid w:val="0"/>
        <w:spacing w:line="360" w:lineRule="auto"/>
        <w:ind w:firstLine="420" w:firstLineChars="200"/>
        <w:textAlignment w:val="bottom"/>
        <w:rPr>
          <w:rFonts w:hint="eastAsia" w:ascii="宋体"/>
          <w:szCs w:val="21"/>
        </w:rPr>
      </w:pPr>
      <w:r>
        <w:rPr>
          <w:rFonts w:hint="eastAsia" w:ascii="宋体"/>
          <w:szCs w:val="21"/>
        </w:rPr>
        <w:t>（7）除公厕固有用电设施外，其他设备不得在公厕内进行充电，违反一次处罚1000元，第二次加倍扣罚，以此类推。</w:t>
      </w:r>
    </w:p>
    <w:p>
      <w:pPr>
        <w:overflowPunct w:val="0"/>
        <w:adjustRightInd w:val="0"/>
        <w:snapToGrid w:val="0"/>
        <w:spacing w:line="360" w:lineRule="auto"/>
        <w:ind w:firstLine="420" w:firstLineChars="200"/>
        <w:textAlignment w:val="bottom"/>
        <w:rPr>
          <w:rFonts w:ascii="宋体"/>
          <w:szCs w:val="21"/>
        </w:rPr>
      </w:pPr>
      <w:r>
        <w:rPr>
          <w:rFonts w:hint="eastAsia" w:ascii="宋体"/>
          <w:szCs w:val="21"/>
        </w:rPr>
        <w:t>（</w:t>
      </w:r>
      <w:r>
        <w:rPr>
          <w:rFonts w:ascii="宋体"/>
          <w:szCs w:val="21"/>
        </w:rPr>
        <w:t>8</w:t>
      </w:r>
      <w:r>
        <w:rPr>
          <w:rFonts w:hint="eastAsia" w:ascii="宋体"/>
          <w:szCs w:val="21"/>
        </w:rPr>
        <w:t>）积极配合完成管理部门的各项工作或临时突击性和检查任务。</w:t>
      </w:r>
    </w:p>
    <w:p>
      <w:pPr>
        <w:overflowPunct w:val="0"/>
        <w:snapToGrid w:val="0"/>
        <w:spacing w:line="360" w:lineRule="auto"/>
        <w:ind w:firstLine="422" w:firstLineChars="200"/>
        <w:outlineLvl w:val="3"/>
        <w:rPr>
          <w:rFonts w:hint="eastAsia" w:ascii="宋体"/>
          <w:b/>
          <w:szCs w:val="21"/>
        </w:rPr>
      </w:pPr>
      <w:bookmarkStart w:id="132" w:name="_Toc1398"/>
      <w:bookmarkStart w:id="133" w:name="_Toc9929"/>
      <w:bookmarkStart w:id="134" w:name="_Toc26397"/>
      <w:r>
        <w:rPr>
          <w:rFonts w:hint="eastAsia" w:ascii="宋体"/>
          <w:b/>
          <w:szCs w:val="21"/>
        </w:rPr>
        <w:t>5、作业设备要求</w:t>
      </w:r>
      <w:bookmarkEnd w:id="132"/>
      <w:bookmarkEnd w:id="133"/>
      <w:bookmarkEnd w:id="134"/>
    </w:p>
    <w:p>
      <w:pPr>
        <w:overflowPunct w:val="0"/>
        <w:adjustRightInd w:val="0"/>
        <w:spacing w:line="360" w:lineRule="auto"/>
        <w:ind w:firstLine="525" w:firstLineChars="250"/>
        <w:textAlignment w:val="bottom"/>
        <w:rPr>
          <w:rFonts w:ascii="宋体"/>
          <w:szCs w:val="21"/>
        </w:rPr>
      </w:pPr>
      <w:r>
        <w:rPr>
          <w:rFonts w:hint="eastAsia" w:ascii="宋体"/>
          <w:szCs w:val="21"/>
        </w:rPr>
        <w:t>（1）一类公厕服务人员须配置专用公厕保洁布草车。公厕保洁服务人员、布草车均纳入《瑞安市智慧环卫监管平台》监管，要求布草车中专用擦洗毛巾抹布不少于4条；扫把、拖布不少于3把；均按保洁部位做分类使用，不得混用。</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（2）一类公厕采购人设置臭味传感器的，纳入《瑞安市智慧环卫监管平台》监管。</w:t>
      </w:r>
    </w:p>
    <w:p>
      <w:pPr>
        <w:overflowPunct w:val="0"/>
        <w:snapToGrid w:val="0"/>
        <w:spacing w:line="360" w:lineRule="auto"/>
        <w:ind w:firstLine="422" w:firstLineChars="200"/>
        <w:outlineLvl w:val="3"/>
        <w:rPr>
          <w:rFonts w:ascii="宋体"/>
          <w:b/>
          <w:szCs w:val="21"/>
        </w:rPr>
      </w:pPr>
      <w:bookmarkStart w:id="135" w:name="_Toc31964"/>
      <w:bookmarkStart w:id="136" w:name="_Toc30631"/>
      <w:r>
        <w:rPr>
          <w:rFonts w:hint="eastAsia" w:ascii="宋体"/>
          <w:b/>
          <w:szCs w:val="21"/>
        </w:rPr>
        <w:t>6、卫生消毒要求</w:t>
      </w:r>
      <w:bookmarkEnd w:id="135"/>
      <w:bookmarkEnd w:id="136"/>
    </w:p>
    <w:p>
      <w:pPr>
        <w:overflowPunct w:val="0"/>
        <w:adjustRightInd w:val="0"/>
        <w:spacing w:line="360" w:lineRule="auto"/>
        <w:ind w:firstLine="525" w:firstLineChars="250"/>
        <w:textAlignment w:val="bottom"/>
        <w:rPr>
          <w:rFonts w:hint="eastAsia" w:ascii="宋体"/>
          <w:szCs w:val="21"/>
        </w:rPr>
      </w:pPr>
      <w:bookmarkStart w:id="137" w:name="_Toc1796"/>
      <w:r>
        <w:rPr>
          <w:rFonts w:hint="eastAsia" w:ascii="宋体"/>
          <w:szCs w:val="21"/>
        </w:rPr>
        <w:t>（1）公厕内的便器、洗手器具、扶手等每日消毒1次及以上，通风、给排水设施、烘手器等设施设备每周消毒1次及以上。（一次未按时消毒扣罚500元）</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（2）蚊蝇孳生季节（4月至10月），根据实际情况每日至少1次喷洒灭蚊蝇药物，控制蚊蝇孳生。（一次未按时喷洒药物的扣罚500元）</w:t>
      </w:r>
    </w:p>
    <w:p>
      <w:pPr>
        <w:overflowPunct w:val="0"/>
        <w:adjustRightInd w:val="0"/>
        <w:spacing w:line="360" w:lineRule="auto"/>
        <w:ind w:firstLine="525" w:firstLineChars="250"/>
        <w:textAlignment w:val="bottom"/>
        <w:rPr>
          <w:rFonts w:ascii="宋体"/>
          <w:szCs w:val="21"/>
        </w:rPr>
      </w:pPr>
      <w:r>
        <w:rPr>
          <w:rFonts w:hint="eastAsia" w:ascii="宋体"/>
          <w:szCs w:val="21"/>
        </w:rPr>
        <w:t>（3）在传染病流行期间，应做好公厕的卫生消毒工作，提高消毒次数，无条件服从政策和业主的消毒要求。</w:t>
      </w:r>
    </w:p>
    <w:p>
      <w:pPr>
        <w:overflowPunct w:val="0"/>
        <w:adjustRightInd w:val="0"/>
        <w:spacing w:line="360" w:lineRule="auto"/>
        <w:ind w:firstLine="550" w:firstLineChars="250"/>
        <w:textAlignment w:val="bottom"/>
        <w:rPr>
          <w:rFonts w:hint="eastAsia" w:ascii="宋体" w:hAnsi="宋体"/>
          <w:color w:val="000000"/>
          <w:kern w:val="2"/>
          <w:sz w:val="22"/>
          <w:szCs w:val="22"/>
        </w:rPr>
      </w:pPr>
      <w:r>
        <w:rPr>
          <w:rFonts w:hint="eastAsia" w:ascii="宋体" w:hAnsi="宋体"/>
          <w:color w:val="000000"/>
          <w:kern w:val="2"/>
          <w:sz w:val="22"/>
          <w:szCs w:val="22"/>
        </w:rPr>
        <w:t>（4）消毒、灭蚊蝇所需药水药物和作业工具由中标供应商负责。</w:t>
      </w:r>
    </w:p>
    <w:p>
      <w:pPr>
        <w:overflowPunct w:val="0"/>
        <w:snapToGrid w:val="0"/>
        <w:spacing w:line="360" w:lineRule="auto"/>
        <w:ind w:firstLine="422" w:firstLineChars="200"/>
        <w:outlineLvl w:val="3"/>
        <w:rPr>
          <w:rFonts w:ascii="宋体"/>
          <w:b/>
          <w:szCs w:val="21"/>
        </w:rPr>
      </w:pPr>
      <w:r>
        <w:rPr>
          <w:rFonts w:hint="eastAsia" w:ascii="宋体"/>
          <w:b/>
          <w:szCs w:val="21"/>
        </w:rPr>
        <w:t>7、硬件设备采购要求（每座公厕的配置）</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（1）服务期结束后，设备的所有权归采购人所有，中标供应商应确保移交时设备的正常运行，否则由中标供应商承担相应的维修费用。</w:t>
      </w:r>
    </w:p>
    <w:p>
      <w:pPr>
        <w:overflowPunct w:val="0"/>
        <w:adjustRightInd w:val="0"/>
        <w:spacing w:line="360" w:lineRule="auto"/>
        <w:ind w:firstLine="525" w:firstLineChars="250"/>
        <w:textAlignment w:val="bottom"/>
        <w:rPr>
          <w:rFonts w:ascii="宋体"/>
          <w:szCs w:val="21"/>
        </w:rPr>
      </w:pPr>
      <w:r>
        <w:rPr>
          <w:rFonts w:hint="eastAsia" w:ascii="宋体"/>
          <w:szCs w:val="21"/>
        </w:rPr>
        <w:t>（</w:t>
      </w:r>
      <w:r>
        <w:rPr>
          <w:rFonts w:ascii="宋体"/>
          <w:szCs w:val="21"/>
        </w:rPr>
        <w:t>2</w:t>
      </w:r>
      <w:r>
        <w:rPr>
          <w:rFonts w:hint="eastAsia" w:ascii="宋体"/>
          <w:szCs w:val="21"/>
        </w:rPr>
        <w:t>）纳入本次保洁范围的公厕，需根据下述清单内容进行改造，供应商在投标报价中综合考虑所需费用，今后不再调整。</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832"/>
        <w:gridCol w:w="696"/>
        <w:gridCol w:w="696"/>
        <w:gridCol w:w="4935"/>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noWrap w:val="0"/>
            <w:vAlign w:val="center"/>
          </w:tcPr>
          <w:p>
            <w:pPr>
              <w:jc w:val="center"/>
              <w:rPr>
                <w:rFonts w:hint="eastAsia" w:ascii="宋体" w:hAnsi="宋体" w:cs="宋体"/>
                <w:kern w:val="2"/>
                <w:szCs w:val="21"/>
              </w:rPr>
            </w:pPr>
            <w:r>
              <w:rPr>
                <w:rFonts w:hint="eastAsia" w:ascii="宋体" w:hAnsi="宋体" w:cs="宋体"/>
                <w:kern w:val="2"/>
                <w:szCs w:val="21"/>
              </w:rPr>
              <w:t>序号</w:t>
            </w:r>
          </w:p>
        </w:tc>
        <w:tc>
          <w:tcPr>
            <w:tcW w:w="448" w:type="pct"/>
            <w:noWrap w:val="0"/>
            <w:vAlign w:val="center"/>
          </w:tcPr>
          <w:p>
            <w:pPr>
              <w:jc w:val="center"/>
              <w:rPr>
                <w:rFonts w:hint="eastAsia" w:ascii="宋体" w:hAnsi="宋体" w:cs="宋体"/>
                <w:kern w:val="2"/>
                <w:szCs w:val="21"/>
              </w:rPr>
            </w:pPr>
            <w:r>
              <w:rPr>
                <w:rFonts w:hint="eastAsia" w:ascii="宋体" w:hAnsi="宋体" w:cs="宋体"/>
                <w:kern w:val="2"/>
                <w:szCs w:val="21"/>
              </w:rPr>
              <w:t>名称</w:t>
            </w:r>
          </w:p>
        </w:tc>
        <w:tc>
          <w:tcPr>
            <w:tcW w:w="375" w:type="pct"/>
            <w:noWrap w:val="0"/>
            <w:vAlign w:val="center"/>
          </w:tcPr>
          <w:p>
            <w:pPr>
              <w:jc w:val="center"/>
              <w:rPr>
                <w:rFonts w:hint="eastAsia" w:ascii="宋体" w:hAnsi="宋体" w:cs="宋体"/>
                <w:kern w:val="2"/>
                <w:szCs w:val="21"/>
              </w:rPr>
            </w:pPr>
            <w:r>
              <w:rPr>
                <w:rFonts w:hint="eastAsia" w:ascii="宋体" w:hAnsi="宋体" w:cs="宋体"/>
                <w:kern w:val="2"/>
                <w:szCs w:val="21"/>
              </w:rPr>
              <w:t>数量</w:t>
            </w:r>
          </w:p>
        </w:tc>
        <w:tc>
          <w:tcPr>
            <w:tcW w:w="375" w:type="pct"/>
            <w:noWrap w:val="0"/>
            <w:vAlign w:val="center"/>
          </w:tcPr>
          <w:p>
            <w:pPr>
              <w:jc w:val="center"/>
              <w:rPr>
                <w:rFonts w:hint="eastAsia" w:ascii="宋体" w:hAnsi="宋体" w:cs="宋体"/>
                <w:kern w:val="2"/>
                <w:szCs w:val="21"/>
              </w:rPr>
            </w:pPr>
            <w:r>
              <w:rPr>
                <w:rFonts w:hint="eastAsia" w:ascii="宋体" w:hAnsi="宋体" w:cs="宋体"/>
                <w:kern w:val="2"/>
                <w:szCs w:val="21"/>
              </w:rPr>
              <w:t>单位</w:t>
            </w:r>
          </w:p>
        </w:tc>
        <w:tc>
          <w:tcPr>
            <w:tcW w:w="2657"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参数及要求</w:t>
            </w:r>
          </w:p>
        </w:tc>
        <w:tc>
          <w:tcPr>
            <w:tcW w:w="640" w:type="pct"/>
            <w:noWrap w:val="0"/>
            <w:vAlign w:val="center"/>
          </w:tcPr>
          <w:p>
            <w:pPr>
              <w:jc w:val="center"/>
              <w:rPr>
                <w:rFonts w:hint="eastAsia" w:ascii="宋体" w:hAnsi="宋体" w:cs="宋体"/>
                <w:kern w:val="2"/>
                <w:szCs w:val="21"/>
              </w:rPr>
            </w:pPr>
            <w:r>
              <w:rPr>
                <w:rFonts w:hint="eastAsia" w:ascii="宋体" w:hAnsi="宋体" w:cs="宋体"/>
                <w:kern w:val="2"/>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noWrap w:val="0"/>
            <w:vAlign w:val="center"/>
          </w:tcPr>
          <w:p>
            <w:pPr>
              <w:numPr>
                <w:ilvl w:val="0"/>
                <w:numId w:val="19"/>
              </w:numPr>
              <w:jc w:val="center"/>
              <w:rPr>
                <w:rFonts w:hint="eastAsia" w:ascii="宋体" w:hAnsi="宋体" w:cs="宋体"/>
                <w:kern w:val="2"/>
                <w:szCs w:val="21"/>
              </w:rPr>
            </w:pPr>
          </w:p>
        </w:tc>
        <w:tc>
          <w:tcPr>
            <w:tcW w:w="448" w:type="pct"/>
            <w:noWrap w:val="0"/>
            <w:vAlign w:val="center"/>
          </w:tcPr>
          <w:p>
            <w:pPr>
              <w:jc w:val="center"/>
              <w:rPr>
                <w:rFonts w:hint="eastAsia" w:ascii="宋体" w:hAnsi="宋体" w:cs="宋体"/>
                <w:kern w:val="2"/>
                <w:szCs w:val="21"/>
              </w:rPr>
            </w:pPr>
            <w:r>
              <w:rPr>
                <w:rFonts w:hint="eastAsia" w:ascii="宋体" w:hAnsi="宋体" w:cs="宋体"/>
                <w:kern w:val="2"/>
                <w:szCs w:val="21"/>
              </w:rPr>
              <w:t>人脸识别考勤机</w:t>
            </w:r>
          </w:p>
        </w:tc>
        <w:tc>
          <w:tcPr>
            <w:tcW w:w="375" w:type="pct"/>
            <w:noWrap w:val="0"/>
            <w:vAlign w:val="center"/>
          </w:tcPr>
          <w:p>
            <w:pPr>
              <w:jc w:val="center"/>
              <w:rPr>
                <w:rFonts w:hint="eastAsia" w:ascii="宋体" w:hAnsi="宋体" w:cs="宋体"/>
                <w:kern w:val="2"/>
                <w:szCs w:val="21"/>
              </w:rPr>
            </w:pPr>
            <w:r>
              <w:rPr>
                <w:rFonts w:hint="eastAsia" w:ascii="宋体" w:hAnsi="宋体" w:cs="宋体"/>
                <w:kern w:val="2"/>
                <w:szCs w:val="21"/>
              </w:rPr>
              <w:t>1</w:t>
            </w:r>
          </w:p>
        </w:tc>
        <w:tc>
          <w:tcPr>
            <w:tcW w:w="375" w:type="pct"/>
            <w:noWrap w:val="0"/>
            <w:vAlign w:val="center"/>
          </w:tcPr>
          <w:p>
            <w:pPr>
              <w:jc w:val="center"/>
              <w:rPr>
                <w:rFonts w:hint="eastAsia" w:ascii="宋体" w:hAnsi="宋体" w:cs="宋体"/>
                <w:kern w:val="2"/>
                <w:szCs w:val="21"/>
              </w:rPr>
            </w:pPr>
            <w:r>
              <w:rPr>
                <w:rFonts w:hint="eastAsia" w:ascii="宋体" w:hAnsi="宋体" w:cs="宋体"/>
                <w:kern w:val="2"/>
                <w:szCs w:val="21"/>
              </w:rPr>
              <w:t>台</w:t>
            </w:r>
          </w:p>
        </w:tc>
        <w:tc>
          <w:tcPr>
            <w:tcW w:w="2657" w:type="pct"/>
            <w:noWrap w:val="0"/>
            <w:vAlign w:val="top"/>
          </w:tcPr>
          <w:p>
            <w:pPr>
              <w:widowControl w:val="0"/>
              <w:rPr>
                <w:rFonts w:hint="eastAsia" w:ascii="宋体" w:hAnsi="宋体" w:cs="宋体"/>
                <w:kern w:val="2"/>
                <w:szCs w:val="21"/>
              </w:rPr>
            </w:pPr>
            <w:r>
              <w:rPr>
                <w:rFonts w:hint="eastAsia" w:ascii="宋体" w:hAnsi="宋体" w:cs="宋体"/>
                <w:kern w:val="2"/>
                <w:szCs w:val="21"/>
              </w:rPr>
              <w:t>1、摄像头像素≥30W像素彩色摄像头和红外摄像头；</w:t>
            </w:r>
          </w:p>
          <w:p>
            <w:pPr>
              <w:pStyle w:val="2"/>
              <w:rPr>
                <w:rFonts w:hint="eastAsia" w:ascii="宋体" w:hAnsi="宋体" w:eastAsia="宋体" w:cs="宋体"/>
                <w:sz w:val="21"/>
                <w:szCs w:val="21"/>
              </w:rPr>
            </w:pPr>
            <w:r>
              <w:rPr>
                <w:rFonts w:hint="eastAsia" w:ascii="宋体" w:hAnsi="宋体" w:eastAsia="宋体" w:cs="宋体"/>
                <w:sz w:val="21"/>
                <w:szCs w:val="21"/>
              </w:rPr>
              <w:t>2、显示屏：2.4寸液晶屏；</w:t>
            </w:r>
          </w:p>
          <w:p>
            <w:pPr>
              <w:pStyle w:val="2"/>
              <w:rPr>
                <w:rFonts w:hint="eastAsia" w:ascii="宋体" w:hAnsi="宋体" w:eastAsia="宋体" w:cs="宋体"/>
                <w:sz w:val="21"/>
                <w:szCs w:val="21"/>
              </w:rPr>
            </w:pPr>
            <w:r>
              <w:rPr>
                <w:rFonts w:hint="eastAsia" w:ascii="宋体" w:hAnsi="宋体" w:eastAsia="宋体" w:cs="宋体"/>
                <w:sz w:val="21"/>
                <w:szCs w:val="21"/>
              </w:rPr>
              <w:t>3、人脸识别时间≤1.0S；</w:t>
            </w:r>
          </w:p>
          <w:p>
            <w:pPr>
              <w:pStyle w:val="2"/>
              <w:rPr>
                <w:rFonts w:hint="eastAsia" w:ascii="宋体" w:hAnsi="宋体" w:eastAsia="宋体" w:cs="宋体"/>
                <w:sz w:val="21"/>
                <w:szCs w:val="21"/>
              </w:rPr>
            </w:pPr>
            <w:r>
              <w:rPr>
                <w:rFonts w:hint="eastAsia" w:ascii="宋体" w:hAnsi="宋体" w:eastAsia="宋体" w:cs="宋体"/>
                <w:sz w:val="21"/>
                <w:szCs w:val="21"/>
              </w:rPr>
              <w:t>4、识别距离：30-80cm；</w:t>
            </w:r>
          </w:p>
          <w:p>
            <w:pPr>
              <w:pStyle w:val="2"/>
              <w:rPr>
                <w:rFonts w:hint="eastAsia" w:ascii="宋体" w:hAnsi="宋体" w:eastAsia="宋体" w:cs="宋体"/>
                <w:sz w:val="21"/>
                <w:szCs w:val="21"/>
              </w:rPr>
            </w:pPr>
            <w:r>
              <w:rPr>
                <w:rFonts w:hint="eastAsia" w:ascii="宋体" w:hAnsi="宋体" w:eastAsia="宋体" w:cs="宋体"/>
                <w:sz w:val="21"/>
                <w:szCs w:val="21"/>
              </w:rPr>
              <w:t>5、验证方式：人脸识别验证，掌纹纹验证，指纹验证，密码验证；</w:t>
            </w:r>
          </w:p>
          <w:p>
            <w:pPr>
              <w:pStyle w:val="2"/>
              <w:rPr>
                <w:rFonts w:hint="eastAsia" w:ascii="宋体" w:hAnsi="宋体" w:eastAsia="宋体" w:cs="宋体"/>
                <w:sz w:val="21"/>
                <w:szCs w:val="21"/>
              </w:rPr>
            </w:pPr>
            <w:r>
              <w:rPr>
                <w:rFonts w:hint="eastAsia" w:ascii="宋体" w:hAnsi="宋体" w:eastAsia="宋体" w:cs="宋体"/>
                <w:sz w:val="21"/>
                <w:szCs w:val="21"/>
              </w:rPr>
              <w:t>6、容量：用户容量、人脸容量、密码容量掌纹容量各500个；指纹容量5000【每人10个指纹】；用户记录20万。</w:t>
            </w:r>
          </w:p>
          <w:p>
            <w:pPr>
              <w:pStyle w:val="2"/>
              <w:rPr>
                <w:rFonts w:hint="eastAsia" w:ascii="宋体" w:hAnsi="宋体" w:eastAsia="宋体" w:cs="宋体"/>
                <w:sz w:val="21"/>
                <w:szCs w:val="21"/>
              </w:rPr>
            </w:pPr>
            <w:r>
              <w:rPr>
                <w:rFonts w:hint="eastAsia" w:ascii="宋体" w:hAnsi="宋体" w:eastAsia="宋体" w:cs="宋体"/>
                <w:sz w:val="21"/>
                <w:szCs w:val="21"/>
              </w:rPr>
              <w:t>7、拒识率&lt;= 0.1%，误识率&lt;= 0.01%。</w:t>
            </w:r>
          </w:p>
          <w:p>
            <w:pPr>
              <w:pStyle w:val="2"/>
              <w:rPr>
                <w:rFonts w:hint="eastAsia" w:ascii="宋体" w:hAnsi="宋体" w:eastAsia="宋体" w:cs="宋体"/>
                <w:sz w:val="21"/>
                <w:szCs w:val="21"/>
              </w:rPr>
            </w:pPr>
            <w:r>
              <w:rPr>
                <w:rFonts w:hint="eastAsia" w:ascii="宋体" w:hAnsi="宋体" w:eastAsia="宋体" w:cs="宋体"/>
                <w:sz w:val="21"/>
                <w:szCs w:val="21"/>
              </w:rPr>
              <w:t>8、其他：支持夜间识别；支持人脸，掌纹，指纹，考勤方式；支持异地考勤，总部统一管理。</w:t>
            </w:r>
          </w:p>
        </w:tc>
        <w:tc>
          <w:tcPr>
            <w:tcW w:w="640" w:type="pct"/>
            <w:noWrap w:val="0"/>
            <w:vAlign w:val="center"/>
          </w:tcPr>
          <w:p>
            <w:pPr>
              <w:jc w:val="center"/>
              <w:rPr>
                <w:rFonts w:hint="eastAsia" w:ascii="宋体" w:hAnsi="宋体" w:cs="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noWrap w:val="0"/>
            <w:vAlign w:val="center"/>
          </w:tcPr>
          <w:p>
            <w:pPr>
              <w:widowControl w:val="0"/>
              <w:numPr>
                <w:ilvl w:val="0"/>
                <w:numId w:val="19"/>
              </w:numPr>
              <w:jc w:val="center"/>
              <w:rPr>
                <w:rFonts w:hint="eastAsia" w:ascii="宋体" w:hAnsi="宋体" w:cs="宋体"/>
                <w:kern w:val="2"/>
                <w:szCs w:val="21"/>
              </w:rPr>
            </w:pPr>
          </w:p>
        </w:tc>
        <w:tc>
          <w:tcPr>
            <w:tcW w:w="448"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通讯费</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3</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年</w:t>
            </w:r>
          </w:p>
        </w:tc>
        <w:tc>
          <w:tcPr>
            <w:tcW w:w="2657" w:type="pct"/>
            <w:noWrap w:val="0"/>
            <w:vAlign w:val="top"/>
          </w:tcPr>
          <w:p>
            <w:pPr>
              <w:widowControl w:val="0"/>
              <w:jc w:val="both"/>
              <w:rPr>
                <w:rFonts w:hint="eastAsia" w:ascii="宋体" w:hAnsi="宋体" w:cs="宋体"/>
                <w:kern w:val="2"/>
                <w:szCs w:val="21"/>
              </w:rPr>
            </w:pPr>
            <w:r>
              <w:rPr>
                <w:rFonts w:hint="eastAsia" w:ascii="宋体" w:hAnsi="宋体" w:cs="宋体"/>
                <w:kern w:val="2"/>
                <w:szCs w:val="21"/>
              </w:rPr>
              <w:t>3年 通讯费</w:t>
            </w:r>
          </w:p>
        </w:tc>
        <w:tc>
          <w:tcPr>
            <w:tcW w:w="640" w:type="pct"/>
            <w:noWrap w:val="0"/>
            <w:vAlign w:val="center"/>
          </w:tcPr>
          <w:p>
            <w:pPr>
              <w:widowControl w:val="0"/>
              <w:jc w:val="center"/>
              <w:rPr>
                <w:rFonts w:hint="eastAsia" w:ascii="宋体" w:hAnsi="宋体" w:cs="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noWrap w:val="0"/>
            <w:vAlign w:val="center"/>
          </w:tcPr>
          <w:p>
            <w:pPr>
              <w:widowControl w:val="0"/>
              <w:numPr>
                <w:ilvl w:val="0"/>
                <w:numId w:val="19"/>
              </w:numPr>
              <w:jc w:val="center"/>
              <w:rPr>
                <w:rFonts w:hint="eastAsia" w:ascii="宋体" w:hAnsi="宋体" w:cs="宋体"/>
                <w:kern w:val="2"/>
                <w:szCs w:val="21"/>
              </w:rPr>
            </w:pPr>
          </w:p>
        </w:tc>
        <w:tc>
          <w:tcPr>
            <w:tcW w:w="448"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平台接入</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1</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项</w:t>
            </w:r>
          </w:p>
        </w:tc>
        <w:tc>
          <w:tcPr>
            <w:tcW w:w="2657" w:type="pct"/>
            <w:noWrap w:val="0"/>
            <w:vAlign w:val="center"/>
          </w:tcPr>
          <w:p>
            <w:pPr>
              <w:widowControl w:val="0"/>
              <w:jc w:val="both"/>
              <w:rPr>
                <w:rFonts w:hint="eastAsia" w:ascii="宋体" w:hAnsi="宋体" w:cs="宋体"/>
                <w:kern w:val="2"/>
                <w:szCs w:val="21"/>
              </w:rPr>
            </w:pPr>
            <w:r>
              <w:rPr>
                <w:rFonts w:hint="eastAsia" w:ascii="宋体" w:hAnsi="宋体" w:cs="宋体"/>
                <w:kern w:val="2"/>
                <w:szCs w:val="21"/>
              </w:rPr>
              <w:t>含，采购人指定平台</w:t>
            </w:r>
          </w:p>
        </w:tc>
        <w:tc>
          <w:tcPr>
            <w:tcW w:w="640" w:type="pct"/>
            <w:noWrap w:val="0"/>
            <w:vAlign w:val="center"/>
          </w:tcPr>
          <w:p>
            <w:pPr>
              <w:widowControl w:val="0"/>
              <w:jc w:val="center"/>
              <w:rPr>
                <w:rFonts w:hint="eastAsia" w:ascii="宋体" w:hAnsi="宋体" w:cs="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noWrap w:val="0"/>
            <w:vAlign w:val="center"/>
          </w:tcPr>
          <w:p>
            <w:pPr>
              <w:widowControl w:val="0"/>
              <w:numPr>
                <w:ilvl w:val="0"/>
                <w:numId w:val="19"/>
              </w:numPr>
              <w:jc w:val="center"/>
              <w:rPr>
                <w:rFonts w:hint="eastAsia" w:ascii="宋体" w:hAnsi="宋体" w:cs="宋体"/>
                <w:kern w:val="2"/>
                <w:szCs w:val="21"/>
              </w:rPr>
            </w:pPr>
          </w:p>
        </w:tc>
        <w:tc>
          <w:tcPr>
            <w:tcW w:w="448"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防滑地垫</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1</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张</w:t>
            </w:r>
          </w:p>
        </w:tc>
        <w:tc>
          <w:tcPr>
            <w:tcW w:w="2657" w:type="pct"/>
            <w:noWrap w:val="0"/>
            <w:vAlign w:val="center"/>
          </w:tcPr>
          <w:p>
            <w:pPr>
              <w:widowControl w:val="0"/>
              <w:jc w:val="both"/>
              <w:rPr>
                <w:rFonts w:hint="eastAsia" w:ascii="宋体" w:hAnsi="宋体" w:cs="宋体"/>
                <w:kern w:val="2"/>
                <w:szCs w:val="21"/>
              </w:rPr>
            </w:pPr>
            <w:r>
              <w:rPr>
                <w:rFonts w:hint="eastAsia" w:ascii="宋体" w:hAnsi="宋体" w:cs="宋体"/>
                <w:kern w:val="2"/>
                <w:szCs w:val="21"/>
              </w:rPr>
              <w:t>含</w:t>
            </w:r>
          </w:p>
        </w:tc>
        <w:tc>
          <w:tcPr>
            <w:tcW w:w="640" w:type="pct"/>
            <w:noWrap w:val="0"/>
            <w:vAlign w:val="center"/>
          </w:tcPr>
          <w:p>
            <w:pPr>
              <w:widowControl w:val="0"/>
              <w:jc w:val="center"/>
              <w:rPr>
                <w:rFonts w:hint="eastAsia" w:ascii="宋体" w:hAnsi="宋体" w:cs="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noWrap w:val="0"/>
            <w:vAlign w:val="center"/>
          </w:tcPr>
          <w:p>
            <w:pPr>
              <w:widowControl w:val="0"/>
              <w:numPr>
                <w:ilvl w:val="0"/>
                <w:numId w:val="19"/>
              </w:numPr>
              <w:jc w:val="center"/>
              <w:rPr>
                <w:rFonts w:hint="eastAsia" w:ascii="宋体" w:hAnsi="宋体" w:cs="宋体"/>
                <w:kern w:val="2"/>
                <w:szCs w:val="21"/>
              </w:rPr>
            </w:pPr>
          </w:p>
        </w:tc>
        <w:tc>
          <w:tcPr>
            <w:tcW w:w="448"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防滑毯</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1</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张</w:t>
            </w:r>
          </w:p>
        </w:tc>
        <w:tc>
          <w:tcPr>
            <w:tcW w:w="2657" w:type="pct"/>
            <w:noWrap w:val="0"/>
            <w:vAlign w:val="center"/>
          </w:tcPr>
          <w:p>
            <w:pPr>
              <w:widowControl w:val="0"/>
              <w:jc w:val="both"/>
              <w:rPr>
                <w:rFonts w:hint="eastAsia" w:ascii="宋体" w:hAnsi="宋体" w:cs="宋体"/>
                <w:kern w:val="2"/>
                <w:szCs w:val="21"/>
              </w:rPr>
            </w:pPr>
            <w:r>
              <w:rPr>
                <w:rFonts w:hint="eastAsia" w:ascii="宋体" w:hAnsi="宋体" w:cs="宋体"/>
                <w:kern w:val="2"/>
                <w:szCs w:val="21"/>
              </w:rPr>
              <w:t>与公厕的实际面积匹配</w:t>
            </w:r>
          </w:p>
        </w:tc>
        <w:tc>
          <w:tcPr>
            <w:tcW w:w="640"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drawing>
                <wp:inline distT="0" distB="0" distL="114300" distR="114300">
                  <wp:extent cx="617220" cy="822960"/>
                  <wp:effectExtent l="0" t="0" r="11430" b="15240"/>
                  <wp:docPr id="4" name="图片 55" descr="e0263b051f94bfaa9a28cce5eedbf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5" descr="e0263b051f94bfaa9a28cce5eedbf97"/>
                          <pic:cNvPicPr>
                            <a:picLocks noChangeAspect="1"/>
                          </pic:cNvPicPr>
                        </pic:nvPicPr>
                        <pic:blipFill>
                          <a:blip r:embed="rId22"/>
                          <a:stretch>
                            <a:fillRect/>
                          </a:stretch>
                        </pic:blipFill>
                        <pic:spPr>
                          <a:xfrm>
                            <a:off x="0" y="0"/>
                            <a:ext cx="617220" cy="822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noWrap w:val="0"/>
            <w:vAlign w:val="center"/>
          </w:tcPr>
          <w:p>
            <w:pPr>
              <w:widowControl w:val="0"/>
              <w:numPr>
                <w:ilvl w:val="0"/>
                <w:numId w:val="19"/>
              </w:numPr>
              <w:jc w:val="center"/>
              <w:rPr>
                <w:rFonts w:hint="eastAsia" w:ascii="宋体" w:hAnsi="宋体" w:cs="宋体"/>
                <w:kern w:val="2"/>
                <w:szCs w:val="21"/>
              </w:rPr>
            </w:pPr>
          </w:p>
        </w:tc>
        <w:tc>
          <w:tcPr>
            <w:tcW w:w="448"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辅材及安装</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1</w:t>
            </w:r>
          </w:p>
        </w:tc>
        <w:tc>
          <w:tcPr>
            <w:tcW w:w="375" w:type="pct"/>
            <w:noWrap w:val="0"/>
            <w:vAlign w:val="center"/>
          </w:tcPr>
          <w:p>
            <w:pPr>
              <w:widowControl w:val="0"/>
              <w:jc w:val="center"/>
              <w:rPr>
                <w:rFonts w:hint="eastAsia" w:ascii="宋体" w:hAnsi="宋体" w:cs="宋体"/>
                <w:kern w:val="2"/>
                <w:szCs w:val="21"/>
              </w:rPr>
            </w:pPr>
            <w:r>
              <w:rPr>
                <w:rFonts w:hint="eastAsia" w:ascii="宋体" w:hAnsi="宋体" w:cs="宋体"/>
                <w:kern w:val="2"/>
                <w:szCs w:val="21"/>
              </w:rPr>
              <w:t>项</w:t>
            </w:r>
          </w:p>
        </w:tc>
        <w:tc>
          <w:tcPr>
            <w:tcW w:w="2657" w:type="pct"/>
            <w:noWrap w:val="0"/>
            <w:vAlign w:val="center"/>
          </w:tcPr>
          <w:p>
            <w:pPr>
              <w:widowControl w:val="0"/>
              <w:jc w:val="both"/>
              <w:rPr>
                <w:rFonts w:hint="eastAsia" w:ascii="宋体" w:hAnsi="宋体" w:cs="宋体"/>
                <w:kern w:val="2"/>
                <w:szCs w:val="21"/>
              </w:rPr>
            </w:pPr>
            <w:r>
              <w:rPr>
                <w:rFonts w:hint="eastAsia" w:ascii="宋体" w:hAnsi="宋体" w:cs="宋体"/>
                <w:kern w:val="2"/>
                <w:szCs w:val="21"/>
              </w:rPr>
              <w:t>含</w:t>
            </w:r>
          </w:p>
        </w:tc>
        <w:tc>
          <w:tcPr>
            <w:tcW w:w="640" w:type="pct"/>
            <w:noWrap w:val="0"/>
            <w:vAlign w:val="center"/>
          </w:tcPr>
          <w:p>
            <w:pPr>
              <w:widowControl w:val="0"/>
              <w:jc w:val="center"/>
              <w:rPr>
                <w:rFonts w:hint="eastAsia" w:ascii="宋体" w:hAnsi="宋体" w:cs="宋体"/>
                <w:kern w:val="2"/>
                <w:szCs w:val="21"/>
              </w:rPr>
            </w:pPr>
          </w:p>
        </w:tc>
      </w:tr>
    </w:tbl>
    <w:p>
      <w:pPr>
        <w:overflowPunct w:val="0"/>
        <w:snapToGrid w:val="0"/>
        <w:spacing w:line="360" w:lineRule="auto"/>
        <w:ind w:firstLine="422" w:firstLineChars="200"/>
        <w:outlineLvl w:val="3"/>
        <w:rPr>
          <w:rFonts w:hint="eastAsia" w:ascii="宋体"/>
          <w:b/>
          <w:szCs w:val="21"/>
        </w:rPr>
      </w:pPr>
      <w:r>
        <w:rPr>
          <w:rFonts w:ascii="宋体"/>
          <w:b/>
          <w:szCs w:val="21"/>
        </w:rPr>
        <w:t>8</w:t>
      </w:r>
      <w:r>
        <w:rPr>
          <w:rFonts w:hint="eastAsia" w:ascii="宋体"/>
          <w:b/>
          <w:szCs w:val="21"/>
        </w:rPr>
        <w:t>、特殊要求</w:t>
      </w:r>
      <w:bookmarkEnd w:id="137"/>
    </w:p>
    <w:p>
      <w:pPr>
        <w:autoSpaceDE w:val="0"/>
        <w:autoSpaceDN w:val="0"/>
        <w:adjustRightInd w:val="0"/>
        <w:spacing w:line="360" w:lineRule="auto"/>
        <w:ind w:firstLine="525" w:firstLineChars="250"/>
        <w:textAlignment w:val="bottom"/>
        <w:rPr>
          <w:rFonts w:hint="eastAsia" w:ascii="宋体"/>
          <w:szCs w:val="21"/>
        </w:rPr>
      </w:pPr>
      <w:r>
        <w:rPr>
          <w:rFonts w:hint="eastAsia" w:ascii="宋体"/>
          <w:szCs w:val="21"/>
        </w:rPr>
        <w:t>（1）采购人确保室内设施设备</w:t>
      </w:r>
      <w:r>
        <w:rPr>
          <w:rFonts w:ascii="宋体"/>
          <w:szCs w:val="21"/>
        </w:rPr>
        <w:t>(</w:t>
      </w:r>
      <w:r>
        <w:rPr>
          <w:rFonts w:hint="eastAsia" w:ascii="宋体"/>
          <w:szCs w:val="21"/>
        </w:rPr>
        <w:t>门、窗、供水、供电、照明、</w:t>
      </w:r>
      <w:r>
        <w:rPr>
          <w:rFonts w:hint="eastAsia" w:ascii="宋体" w:hAnsi="宋体" w:cs="宋体"/>
          <w:szCs w:val="21"/>
        </w:rPr>
        <w:t>警报器（如有）</w:t>
      </w:r>
      <w:r>
        <w:rPr>
          <w:rFonts w:hint="eastAsia" w:ascii="宋体"/>
          <w:szCs w:val="21"/>
        </w:rPr>
        <w:t>等</w:t>
      </w:r>
      <w:r>
        <w:rPr>
          <w:rFonts w:ascii="宋体"/>
          <w:szCs w:val="21"/>
        </w:rPr>
        <w:t>)</w:t>
      </w:r>
      <w:r>
        <w:rPr>
          <w:rFonts w:hint="eastAsia" w:ascii="宋体"/>
          <w:szCs w:val="21"/>
        </w:rPr>
        <w:t>完好和正常使用后，以清单和照片留存的形式移交给中标供应商维修维护。</w:t>
      </w:r>
      <w:r>
        <w:rPr>
          <w:rFonts w:hint="eastAsia" w:ascii="宋体" w:hAnsi="宋体" w:cs="黑体"/>
          <w:szCs w:val="21"/>
        </w:rPr>
        <w:t>合同履行到期，中标供应商须按原样与采购人办理相关移交手续。</w:t>
      </w:r>
    </w:p>
    <w:p>
      <w:pPr>
        <w:autoSpaceDE w:val="0"/>
        <w:autoSpaceDN w:val="0"/>
        <w:adjustRightInd w:val="0"/>
        <w:spacing w:line="360" w:lineRule="auto"/>
        <w:ind w:firstLine="525" w:firstLineChars="250"/>
        <w:textAlignment w:val="bottom"/>
        <w:rPr>
          <w:rFonts w:hint="eastAsia" w:ascii="宋体"/>
          <w:b/>
          <w:bCs/>
          <w:szCs w:val="21"/>
        </w:rPr>
      </w:pPr>
      <w:r>
        <w:rPr>
          <w:rFonts w:hint="eastAsia" w:ascii="宋体"/>
          <w:szCs w:val="21"/>
        </w:rPr>
        <w:t>（2）中标供应商发现公厕内设施设备损坏的，须在进场作业后30日历天内提出，经采购人现场确认后由采购人负责维修或更换，逾期视为设施设备完好，由中标供应商负责维修或更换。</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3）供应商须配备专职的水电综合维修工，并都要有相关工作经验，需持有对应的上岗证书。公厕除结构性大修以外，管道、水龙头、马桶（蹲坑）、电风扇（空调）、除臭设施（含加装除臭药水）、门窗、门帘、制度牌、文明用语牌及其冲洗装置的维修，管道疏通等设备、材料、人工均由中标供应商负责，水电费由采购人负责（如水电费需中标供应商支付的，则按实际使用量另行支付），供应商应做到节水节电。</w:t>
      </w:r>
    </w:p>
    <w:p>
      <w:pPr>
        <w:overflowPunct w:val="0"/>
        <w:spacing w:line="360" w:lineRule="auto"/>
        <w:ind w:firstLine="413" w:firstLineChars="196"/>
        <w:outlineLvl w:val="2"/>
        <w:rPr>
          <w:rFonts w:ascii="宋体" w:hAnsi="宋体" w:cs="黑体"/>
          <w:b/>
          <w:szCs w:val="21"/>
        </w:rPr>
      </w:pPr>
      <w:bookmarkStart w:id="138" w:name="_Toc3067"/>
      <w:bookmarkStart w:id="139" w:name="_Toc32105"/>
      <w:bookmarkStart w:id="140" w:name="_Toc17127"/>
      <w:bookmarkStart w:id="141" w:name="_Toc64901752"/>
      <w:bookmarkStart w:id="142" w:name="_Toc64913336"/>
      <w:r>
        <w:rPr>
          <w:rFonts w:hint="eastAsia" w:ascii="宋体" w:hAnsi="宋体" w:cs="黑体"/>
          <w:b/>
          <w:szCs w:val="21"/>
        </w:rPr>
        <w:t>（七）垃圾收集与清运要求</w:t>
      </w:r>
      <w:bookmarkEnd w:id="138"/>
      <w:bookmarkEnd w:id="139"/>
      <w:bookmarkEnd w:id="140"/>
      <w:bookmarkEnd w:id="141"/>
      <w:bookmarkEnd w:id="142"/>
    </w:p>
    <w:p>
      <w:pPr>
        <w:overflowPunct w:val="0"/>
        <w:snapToGrid w:val="0"/>
        <w:spacing w:line="360" w:lineRule="auto"/>
        <w:ind w:firstLine="422" w:firstLineChars="200"/>
        <w:outlineLvl w:val="3"/>
        <w:rPr>
          <w:rFonts w:hint="eastAsia" w:ascii="宋体"/>
          <w:b/>
          <w:bCs/>
          <w:szCs w:val="21"/>
        </w:rPr>
      </w:pPr>
      <w:bookmarkStart w:id="143" w:name="_Toc4845"/>
      <w:bookmarkStart w:id="144" w:name="_Toc19842"/>
      <w:bookmarkStart w:id="145" w:name="_Toc11457"/>
      <w:r>
        <w:rPr>
          <w:rFonts w:hint="eastAsia" w:ascii="宋体"/>
          <w:b/>
          <w:bCs/>
          <w:szCs w:val="21"/>
        </w:rPr>
        <w:t>1、垃圾收集与清运范围</w:t>
      </w:r>
      <w:bookmarkEnd w:id="143"/>
      <w:bookmarkEnd w:id="144"/>
      <w:bookmarkEnd w:id="145"/>
    </w:p>
    <w:p>
      <w:pPr>
        <w:overflowPunct w:val="0"/>
        <w:adjustRightInd w:val="0"/>
        <w:spacing w:line="360" w:lineRule="auto"/>
        <w:ind w:firstLine="525" w:firstLineChars="250"/>
        <w:textAlignment w:val="bottom"/>
        <w:rPr>
          <w:rFonts w:hint="eastAsia" w:ascii="宋体"/>
          <w:szCs w:val="21"/>
        </w:rPr>
      </w:pPr>
      <w:r>
        <w:rPr>
          <w:rFonts w:hint="eastAsia" w:ascii="宋体"/>
          <w:szCs w:val="21"/>
        </w:rPr>
        <w:t>区域内生活垃圾实行统一清运，包括但不限于道路（含公路）、公园、广场、公共绿地、河道及公厕、机关事业单位、学校、企业、物管小区、经营性场所等区域所产生的所有生活垃圾。</w:t>
      </w:r>
    </w:p>
    <w:p>
      <w:pPr>
        <w:overflowPunct w:val="0"/>
        <w:snapToGrid w:val="0"/>
        <w:spacing w:line="360" w:lineRule="auto"/>
        <w:ind w:firstLine="420" w:firstLineChars="200"/>
        <w:outlineLvl w:val="3"/>
        <w:rPr>
          <w:rFonts w:hint="eastAsia" w:ascii="宋体"/>
          <w:bCs/>
          <w:szCs w:val="21"/>
        </w:rPr>
      </w:pPr>
      <w:bookmarkStart w:id="146" w:name="_Toc32717"/>
      <w:bookmarkStart w:id="147" w:name="_Toc7648"/>
      <w:bookmarkStart w:id="148" w:name="_Toc7185"/>
      <w:r>
        <w:rPr>
          <w:rFonts w:hint="eastAsia" w:ascii="宋体"/>
          <w:bCs/>
          <w:szCs w:val="21"/>
        </w:rPr>
        <w:t>2、垃圾收集与清运质量要求</w:t>
      </w:r>
      <w:bookmarkEnd w:id="146"/>
      <w:bookmarkEnd w:id="147"/>
      <w:bookmarkEnd w:id="148"/>
    </w:p>
    <w:p>
      <w:pPr>
        <w:overflowPunct w:val="0"/>
        <w:adjustRightInd w:val="0"/>
        <w:spacing w:line="360" w:lineRule="auto"/>
        <w:ind w:firstLine="420" w:firstLineChars="200"/>
        <w:textAlignment w:val="bottom"/>
        <w:rPr>
          <w:rFonts w:hint="eastAsia" w:ascii="宋体"/>
          <w:szCs w:val="21"/>
        </w:rPr>
      </w:pPr>
      <w:r>
        <w:rPr>
          <w:rFonts w:hint="eastAsia" w:ascii="宋体"/>
          <w:szCs w:val="21"/>
        </w:rPr>
        <w:t>（1）一级、二级道路沿街实行上门分类收集垃圾，时间为07:00和12:00和17:00左右（根据实际情况，时间可作适当调整）。垃圾上门收集时，工作人员着统一工作服，摇铃提示。</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（2）每日生活垃圾必须日产日清，及时收集清运, 无积压、溢满，周围无散落垃圾及污水；定时喷洒除臭剂、杀虫剂、消毒剂等，确保废物箱（果壳箱、垃圾桶）、垃圾坞无四害滋生。</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3）按照要求配套装备分类收集清运车辆设备，生活垃圾统一清运到就近垃圾中转站，清理、收集的其它类垃圾必须按指定地点倾倒；垃圾运输密闭，无抛洒、吊挂和污水滴漏。清运路线要合理规划设置，并报采购人备案认可。</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（4）收运垃圾时控制噪声防止扰民。</w:t>
      </w:r>
    </w:p>
    <w:p>
      <w:pPr>
        <w:overflowPunct w:val="0"/>
        <w:snapToGrid w:val="0"/>
        <w:spacing w:line="360" w:lineRule="auto"/>
        <w:ind w:firstLine="422" w:firstLineChars="200"/>
        <w:outlineLvl w:val="3"/>
        <w:rPr>
          <w:rFonts w:hint="eastAsia" w:ascii="宋体"/>
          <w:b/>
          <w:szCs w:val="21"/>
        </w:rPr>
      </w:pPr>
      <w:bookmarkStart w:id="149" w:name="_Toc30540"/>
      <w:bookmarkStart w:id="150" w:name="_Toc27911"/>
      <w:bookmarkStart w:id="151" w:name="_Toc10116"/>
      <w:r>
        <w:rPr>
          <w:rFonts w:hint="eastAsia" w:ascii="宋体"/>
          <w:b/>
          <w:szCs w:val="21"/>
        </w:rPr>
        <w:t>3、配置车辆要求</w:t>
      </w:r>
      <w:bookmarkEnd w:id="149"/>
      <w:bookmarkEnd w:id="150"/>
      <w:bookmarkEnd w:id="151"/>
    </w:p>
    <w:p>
      <w:pPr>
        <w:overflowPunct w:val="0"/>
        <w:adjustRightInd w:val="0"/>
        <w:spacing w:line="360" w:lineRule="auto"/>
        <w:ind w:firstLine="420" w:firstLineChars="200"/>
        <w:textAlignment w:val="bottom"/>
        <w:rPr>
          <w:rFonts w:hint="eastAsia" w:ascii="宋体"/>
          <w:szCs w:val="21"/>
        </w:rPr>
      </w:pPr>
      <w:r>
        <w:rPr>
          <w:rFonts w:hint="eastAsia" w:ascii="宋体"/>
          <w:szCs w:val="21"/>
        </w:rPr>
        <w:t>（1）根据垃圾的类型和数量，自行科学合理的配置垃圾分类收集和运输车辆的种类、规格、数量；</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（2）垃圾运输车辆干净整洁（不准安装外挂袋），一日一洗，保持安全正常运转，定期维护，停放有序。</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（3）垃圾运输车车身应印刷公司名称、编号、分类标识，字迹清晰、整洁。</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（4）垃圾运输车辆应与垃圾中转站设施设备相配套，垃圾装卸方便。</w:t>
      </w:r>
    </w:p>
    <w:p>
      <w:pPr>
        <w:overflowPunct w:val="0"/>
        <w:adjustRightInd w:val="0"/>
        <w:spacing w:line="360" w:lineRule="auto"/>
        <w:ind w:firstLine="420" w:firstLineChars="200"/>
        <w:textAlignment w:val="bottom"/>
        <w:rPr>
          <w:rFonts w:ascii="宋体"/>
          <w:szCs w:val="21"/>
        </w:rPr>
      </w:pPr>
      <w:r>
        <w:rPr>
          <w:rFonts w:hint="eastAsia" w:ascii="宋体"/>
          <w:szCs w:val="21"/>
        </w:rPr>
        <w:t>（5）垃圾运输车辆应保证整车密封性，设有防遗洒、渗漏装置，确保运输过程中不扬、撤、拖挂，澎溢超载和污水滴漏。</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（6）垃圾运输车辆外部和垃圾箱体应完好无损，如遇磕碰漆皮脱落等应及时修补。</w:t>
      </w:r>
    </w:p>
    <w:p>
      <w:pPr>
        <w:overflowPunct w:val="0"/>
        <w:snapToGrid w:val="0"/>
        <w:spacing w:line="360" w:lineRule="auto"/>
        <w:ind w:firstLine="422" w:firstLineChars="200"/>
        <w:outlineLvl w:val="3"/>
        <w:rPr>
          <w:rFonts w:hint="eastAsia" w:ascii="宋体"/>
          <w:b/>
          <w:szCs w:val="21"/>
        </w:rPr>
      </w:pPr>
      <w:bookmarkStart w:id="152" w:name="_Toc7444"/>
      <w:bookmarkStart w:id="153" w:name="_Toc27061"/>
      <w:bookmarkStart w:id="154" w:name="_Toc18053"/>
      <w:r>
        <w:rPr>
          <w:rFonts w:hint="eastAsia" w:ascii="宋体"/>
          <w:b/>
          <w:szCs w:val="21"/>
        </w:rPr>
        <w:t>4、垃圾收集与清运作业要求</w:t>
      </w:r>
      <w:bookmarkEnd w:id="152"/>
      <w:bookmarkEnd w:id="153"/>
      <w:bookmarkEnd w:id="154"/>
    </w:p>
    <w:p>
      <w:pPr>
        <w:overflowPunct w:val="0"/>
        <w:adjustRightInd w:val="0"/>
        <w:spacing w:line="360" w:lineRule="auto"/>
        <w:ind w:firstLine="420" w:firstLineChars="200"/>
        <w:textAlignment w:val="bottom"/>
        <w:rPr>
          <w:rFonts w:hint="eastAsia" w:ascii="宋体"/>
          <w:szCs w:val="21"/>
        </w:rPr>
      </w:pPr>
      <w:r>
        <w:rPr>
          <w:rFonts w:hint="eastAsia" w:ascii="宋体"/>
          <w:szCs w:val="21"/>
        </w:rPr>
        <w:t>（1）道路、公园、广场、绿地垃圾收集及清运</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1）每日生活垃圾必须日产日清，及时收集清运，在作业和运输过程中不得遗洒垃圾和污水。</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2）废物箱（果壳箱、垃圾桶）、垃圾坞无四害孳生, 无积压、溢满，废物箱（果壳箱、垃圾桶）周围散落垃圾及时收集清运。</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3）果壳箱垃圾收集每日不少于1次、垃圾桶垃圾收集每日不少于3次、垃圾坞垃圾收集每日不少于3次。学校、医院、农贸市场、车站等重要区域应按实际需要增加收集与清运频次。</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4）作业时车辆应靠边停放，不能太靠近车行线。</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5）车辆上的作业工具应摆放整齐，不能对交通安全产生影响。</w:t>
      </w:r>
    </w:p>
    <w:p>
      <w:pPr>
        <w:overflowPunct w:val="0"/>
        <w:adjustRightInd w:val="0"/>
        <w:spacing w:line="360" w:lineRule="auto"/>
        <w:ind w:firstLine="525" w:firstLineChars="250"/>
        <w:textAlignment w:val="bottom"/>
        <w:rPr>
          <w:rFonts w:hint="eastAsia" w:ascii="宋体"/>
          <w:szCs w:val="21"/>
        </w:rPr>
      </w:pPr>
      <w:r>
        <w:rPr>
          <w:rFonts w:hint="eastAsia" w:ascii="宋体"/>
          <w:szCs w:val="21"/>
        </w:rPr>
        <w:t>6）对已经实施垃圾分类的区域或单位，须进行分类收集、分类运输，分类运输车辆分类标识应完整清晰。</w:t>
      </w:r>
    </w:p>
    <w:p>
      <w:pPr>
        <w:pStyle w:val="16"/>
        <w:overflowPunct w:val="0"/>
        <w:spacing w:line="360" w:lineRule="auto"/>
        <w:ind w:firstLine="105" w:firstLineChars="50"/>
        <w:rPr>
          <w:rFonts w:hint="eastAsia" w:ascii="宋体"/>
          <w:szCs w:val="21"/>
        </w:rPr>
      </w:pPr>
      <w:r>
        <w:rPr>
          <w:rFonts w:hint="eastAsia" w:ascii="宋体"/>
          <w:szCs w:val="21"/>
        </w:rPr>
        <w:t>7）驾驶员应文明行车、车辆运输尽量避开人口密集区和交通拥堵区。</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（2）河道垃圾收集及清运</w:t>
      </w:r>
    </w:p>
    <w:p>
      <w:pPr>
        <w:tabs>
          <w:tab w:val="left" w:pos="1890"/>
        </w:tabs>
        <w:overflowPunct w:val="0"/>
        <w:spacing w:line="360" w:lineRule="auto"/>
        <w:ind w:firstLine="420" w:firstLineChars="200"/>
        <w:rPr>
          <w:rFonts w:ascii="宋体" w:hAnsi="宋体"/>
          <w:szCs w:val="21"/>
        </w:rPr>
      </w:pPr>
      <w:r>
        <w:rPr>
          <w:rFonts w:hint="eastAsia" w:ascii="宋体" w:hAnsi="宋体"/>
          <w:szCs w:val="21"/>
        </w:rPr>
        <w:t>1）河道水体打捞垃圾不得堆放在堤岸、路边，上岸即清，清理出来的垃圾及其他漂浮物等均由中标供应商负责清运到采购人指定地点。</w:t>
      </w:r>
    </w:p>
    <w:p>
      <w:pPr>
        <w:overflowPunct w:val="0"/>
        <w:adjustRightInd w:val="0"/>
        <w:spacing w:line="360" w:lineRule="auto"/>
        <w:ind w:firstLine="420" w:firstLineChars="200"/>
        <w:textAlignment w:val="bottom"/>
        <w:rPr>
          <w:rFonts w:ascii="宋体"/>
          <w:szCs w:val="21"/>
        </w:rPr>
      </w:pPr>
      <w:r>
        <w:rPr>
          <w:rFonts w:hint="eastAsia" w:ascii="宋体" w:hAnsi="宋体"/>
          <w:szCs w:val="21"/>
        </w:rPr>
        <w:t>2）生活垃圾、工业垃圾及漂浮物须进行分类，清运至指定地点。</w:t>
      </w:r>
    </w:p>
    <w:p>
      <w:pPr>
        <w:overflowPunct w:val="0"/>
        <w:adjustRightInd w:val="0"/>
        <w:spacing w:line="360" w:lineRule="auto"/>
        <w:ind w:firstLine="420" w:firstLineChars="200"/>
        <w:textAlignment w:val="bottom"/>
        <w:rPr>
          <w:rFonts w:ascii="宋体" w:hAnsi="宋体"/>
          <w:szCs w:val="21"/>
        </w:rPr>
      </w:pPr>
      <w:r>
        <w:rPr>
          <w:rFonts w:ascii="宋体"/>
          <w:szCs w:val="21"/>
        </w:rPr>
        <w:t>3</w:t>
      </w:r>
      <w:r>
        <w:rPr>
          <w:rFonts w:hint="eastAsia" w:ascii="宋体"/>
          <w:szCs w:val="21"/>
        </w:rPr>
        <w:t>）清运途中应采取密闭措施，防止抛洒、泄漏出现二次污染。</w:t>
      </w:r>
    </w:p>
    <w:p>
      <w:pPr>
        <w:overflowPunct w:val="0"/>
        <w:adjustRightInd w:val="0"/>
        <w:spacing w:line="360" w:lineRule="auto"/>
        <w:ind w:firstLine="420" w:firstLineChars="200"/>
        <w:textAlignment w:val="bottom"/>
        <w:rPr>
          <w:rFonts w:hint="eastAsia" w:ascii="宋体" w:hAnsi="宋体"/>
          <w:szCs w:val="21"/>
        </w:rPr>
      </w:pPr>
      <w:r>
        <w:rPr>
          <w:rFonts w:ascii="宋体" w:hAnsi="宋体"/>
          <w:szCs w:val="21"/>
        </w:rPr>
        <w:t>4</w:t>
      </w:r>
      <w:r>
        <w:rPr>
          <w:rFonts w:hint="eastAsia" w:ascii="宋体" w:hAnsi="宋体"/>
          <w:szCs w:val="21"/>
        </w:rPr>
        <w:t>）沿河两侧坎边垃圾必须日产日清，清理完毕。</w:t>
      </w:r>
    </w:p>
    <w:p>
      <w:pPr>
        <w:overflowPunct w:val="0"/>
        <w:adjustRightInd w:val="0"/>
        <w:spacing w:line="360" w:lineRule="auto"/>
        <w:ind w:firstLine="420" w:firstLineChars="200"/>
        <w:textAlignment w:val="bottom"/>
        <w:rPr>
          <w:rFonts w:ascii="宋体"/>
          <w:szCs w:val="21"/>
        </w:rPr>
      </w:pPr>
      <w:r>
        <w:rPr>
          <w:rFonts w:hint="eastAsia" w:ascii="宋体"/>
          <w:szCs w:val="21"/>
        </w:rPr>
        <w:t>（3）瑞祥新区生活垃圾清洁直运</w:t>
      </w:r>
    </w:p>
    <w:p>
      <w:pPr>
        <w:overflowPunct w:val="0"/>
        <w:adjustRightInd w:val="0"/>
        <w:spacing w:line="360" w:lineRule="auto"/>
        <w:ind w:firstLine="420" w:firstLineChars="200"/>
        <w:textAlignment w:val="bottom"/>
        <w:rPr>
          <w:rFonts w:ascii="宋体" w:hAnsi="宋体"/>
          <w:kern w:val="2"/>
          <w:szCs w:val="21"/>
        </w:rPr>
      </w:pPr>
      <w:r>
        <w:rPr>
          <w:rFonts w:hint="eastAsia" w:ascii="宋体" w:hAnsi="宋体"/>
          <w:kern w:val="2"/>
          <w:szCs w:val="21"/>
        </w:rPr>
        <w:t>1）收运频次：瑞祥新区生活垃圾做到日产日清，应收尽收。每天收运不少于2次，垃圾产生量多的收集点，采购人有权要求中标供应商增加清运收集次数，中标供应商须无条件服从。</w:t>
      </w:r>
    </w:p>
    <w:p>
      <w:pPr>
        <w:overflowPunct w:val="0"/>
        <w:adjustRightInd w:val="0"/>
        <w:spacing w:line="360" w:lineRule="auto"/>
        <w:ind w:firstLine="420" w:firstLineChars="200"/>
        <w:textAlignment w:val="bottom"/>
        <w:rPr>
          <w:rFonts w:ascii="宋体" w:hAnsi="宋体"/>
          <w:kern w:val="2"/>
          <w:szCs w:val="21"/>
        </w:rPr>
      </w:pPr>
      <w:r>
        <w:rPr>
          <w:rFonts w:hint="eastAsia" w:ascii="宋体" w:hAnsi="宋体"/>
          <w:kern w:val="2"/>
          <w:szCs w:val="21"/>
        </w:rPr>
        <w:t>2）收集点设置：中标供应商在不影响交通和市容市貌的基础上，方便居民投放和收集运行为原则，合理布置垃圾清运收集点。</w:t>
      </w:r>
    </w:p>
    <w:p>
      <w:pPr>
        <w:overflowPunct w:val="0"/>
        <w:adjustRightInd w:val="0"/>
        <w:spacing w:line="360" w:lineRule="auto"/>
        <w:ind w:firstLine="440" w:firstLineChars="200"/>
        <w:textAlignment w:val="bottom"/>
        <w:rPr>
          <w:rFonts w:ascii="宋体" w:hAnsi="宋体"/>
          <w:kern w:val="2"/>
          <w:sz w:val="22"/>
          <w:szCs w:val="22"/>
        </w:rPr>
      </w:pPr>
      <w:r>
        <w:rPr>
          <w:rFonts w:hint="eastAsia" w:ascii="宋体" w:hAnsi="宋体"/>
          <w:kern w:val="2"/>
          <w:sz w:val="22"/>
          <w:szCs w:val="22"/>
        </w:rPr>
        <w:t>3）收集方式：清扫保洁人员将收集的垃圾桶摆放在直运点，由压缩车辆“无缝对接”进行清运。</w:t>
      </w:r>
    </w:p>
    <w:p>
      <w:pPr>
        <w:overflowPunct w:val="0"/>
        <w:adjustRightInd w:val="0"/>
        <w:spacing w:line="360" w:lineRule="auto"/>
        <w:ind w:firstLine="440" w:firstLineChars="200"/>
        <w:textAlignment w:val="bottom"/>
        <w:rPr>
          <w:rFonts w:ascii="宋体" w:hAnsi="宋体"/>
          <w:kern w:val="2"/>
          <w:sz w:val="22"/>
          <w:szCs w:val="22"/>
        </w:rPr>
      </w:pPr>
      <w:r>
        <w:rPr>
          <w:rFonts w:hint="eastAsia" w:ascii="宋体" w:hAnsi="宋体"/>
          <w:kern w:val="2"/>
          <w:sz w:val="22"/>
          <w:szCs w:val="22"/>
        </w:rPr>
        <w:t>4）</w:t>
      </w:r>
      <w:r>
        <w:rPr>
          <w:rFonts w:hint="eastAsia" w:ascii="宋体" w:hAnsi="宋体"/>
          <w:kern w:val="2"/>
          <w:szCs w:val="21"/>
        </w:rPr>
        <w:t>中标供应商</w:t>
      </w:r>
      <w:r>
        <w:rPr>
          <w:rFonts w:hint="eastAsia" w:ascii="宋体" w:hAnsi="宋体"/>
          <w:kern w:val="2"/>
          <w:sz w:val="22"/>
          <w:szCs w:val="22"/>
        </w:rPr>
        <w:t>负责对接好区域内各小区、学校、医院、机构企事业等单位的垃圾清运收集点的设置工作，并规划最便捷的行车路线，实行“四定二公开”，即线路“定点、定时、定次、定向”，公开每个小区或路段垃圾桶收集清运时间和投诉电话与责任人。</w:t>
      </w:r>
    </w:p>
    <w:p>
      <w:pPr>
        <w:overflowPunct w:val="0"/>
        <w:adjustRightInd w:val="0"/>
        <w:spacing w:line="360" w:lineRule="auto"/>
        <w:ind w:firstLine="440" w:firstLineChars="200"/>
        <w:textAlignment w:val="bottom"/>
        <w:rPr>
          <w:rFonts w:ascii="宋体" w:hAnsi="宋体"/>
          <w:kern w:val="2"/>
          <w:sz w:val="22"/>
          <w:szCs w:val="22"/>
        </w:rPr>
      </w:pPr>
      <w:r>
        <w:rPr>
          <w:rFonts w:hint="eastAsia" w:ascii="宋体" w:hAnsi="宋体"/>
          <w:kern w:val="2"/>
          <w:sz w:val="22"/>
          <w:szCs w:val="22"/>
        </w:rPr>
        <w:t>5）如区域内有新增垃圾清运收集点，</w:t>
      </w:r>
      <w:r>
        <w:rPr>
          <w:rFonts w:hint="eastAsia" w:ascii="宋体" w:hAnsi="宋体"/>
          <w:kern w:val="2"/>
          <w:szCs w:val="21"/>
        </w:rPr>
        <w:t>中标供应商</w:t>
      </w:r>
      <w:r>
        <w:rPr>
          <w:rFonts w:hint="eastAsia" w:ascii="宋体" w:hAnsi="宋体"/>
          <w:kern w:val="2"/>
          <w:sz w:val="22"/>
          <w:szCs w:val="22"/>
        </w:rPr>
        <w:t>负责申报点位，需无条件对区域内新增垃圾进行清运，</w:t>
      </w:r>
      <w:r>
        <w:rPr>
          <w:rFonts w:hint="eastAsia" w:ascii="宋体" w:hAnsi="宋体"/>
          <w:kern w:val="2"/>
          <w:szCs w:val="21"/>
        </w:rPr>
        <w:t>中标供应商</w:t>
      </w:r>
      <w:r>
        <w:rPr>
          <w:rFonts w:hint="eastAsia" w:ascii="宋体" w:hAnsi="宋体"/>
          <w:kern w:val="2"/>
          <w:sz w:val="22"/>
          <w:szCs w:val="22"/>
        </w:rPr>
        <w:t>负责统计上报直运点位的垃圾桶更新更换数据，并督促业主进行及时更新更换。</w:t>
      </w:r>
    </w:p>
    <w:p>
      <w:pPr>
        <w:overflowPunct w:val="0"/>
        <w:adjustRightInd w:val="0"/>
        <w:spacing w:line="360" w:lineRule="auto"/>
        <w:ind w:firstLine="420" w:firstLineChars="200"/>
        <w:textAlignment w:val="bottom"/>
        <w:rPr>
          <w:rFonts w:ascii="宋体" w:hAnsi="宋体"/>
          <w:szCs w:val="21"/>
        </w:rPr>
      </w:pPr>
      <w:r>
        <w:rPr>
          <w:rFonts w:ascii="宋体"/>
          <w:szCs w:val="21"/>
        </w:rPr>
        <w:t>（4）</w:t>
      </w:r>
      <w:r>
        <w:rPr>
          <w:rFonts w:hint="eastAsia"/>
          <w:szCs w:val="21"/>
        </w:rPr>
        <w:t>机关事业单位、学校、企业、物管小区、经营性场所</w:t>
      </w:r>
      <w:r>
        <w:rPr>
          <w:rFonts w:ascii="宋体"/>
          <w:szCs w:val="21"/>
        </w:rPr>
        <w:t>等垃圾收运</w:t>
      </w:r>
    </w:p>
    <w:p>
      <w:pPr>
        <w:overflowPunct w:val="0"/>
        <w:adjustRightInd w:val="0"/>
        <w:spacing w:line="360" w:lineRule="auto"/>
        <w:ind w:firstLine="420" w:firstLineChars="200"/>
        <w:textAlignment w:val="bottom"/>
        <w:rPr>
          <w:rFonts w:ascii="宋体" w:hAnsi="宋体"/>
          <w:szCs w:val="21"/>
        </w:rPr>
      </w:pPr>
      <w:r>
        <w:rPr>
          <w:rFonts w:ascii="宋体" w:hAnsi="宋体"/>
          <w:szCs w:val="21"/>
        </w:rPr>
        <w:t>1）中标供应商中标后积极对接</w:t>
      </w:r>
      <w:r>
        <w:rPr>
          <w:rFonts w:hint="eastAsia"/>
          <w:szCs w:val="21"/>
        </w:rPr>
        <w:t>机关事业单位、学校、企业、物管小区、经营性场所</w:t>
      </w:r>
      <w:r>
        <w:rPr>
          <w:rFonts w:ascii="宋体" w:hAnsi="宋体"/>
          <w:szCs w:val="21"/>
        </w:rPr>
        <w:t>，提出合理化的垃圾收集点设置方案和收运流程，已经实施垃圾分类的须</w:t>
      </w:r>
      <w:r>
        <w:rPr>
          <w:rFonts w:hint="eastAsia" w:ascii="宋体" w:hAnsi="宋体"/>
          <w:szCs w:val="21"/>
        </w:rPr>
        <w:t>按</w:t>
      </w:r>
      <w:r>
        <w:rPr>
          <w:rFonts w:ascii="宋体" w:hAnsi="宋体"/>
          <w:szCs w:val="21"/>
        </w:rPr>
        <w:t>分类要求进行收集运输</w:t>
      </w:r>
      <w:r>
        <w:rPr>
          <w:rFonts w:hint="eastAsia" w:ascii="宋体" w:hAnsi="宋体"/>
          <w:szCs w:val="21"/>
        </w:rPr>
        <w:t>，</w:t>
      </w:r>
      <w:r>
        <w:rPr>
          <w:rFonts w:ascii="宋体" w:hAnsi="宋体"/>
          <w:szCs w:val="21"/>
        </w:rPr>
        <w:t>同时制作定时定点上门垃圾收集宣传手册进行发放。</w:t>
      </w:r>
    </w:p>
    <w:p>
      <w:pPr>
        <w:overflowPunct w:val="0"/>
        <w:adjustRightInd w:val="0"/>
        <w:spacing w:line="360" w:lineRule="auto"/>
        <w:ind w:firstLine="420" w:firstLineChars="200"/>
        <w:textAlignment w:val="bottom"/>
        <w:rPr>
          <w:rFonts w:ascii="宋体" w:hAnsi="宋体"/>
          <w:szCs w:val="21"/>
        </w:rPr>
      </w:pPr>
      <w:r>
        <w:rPr>
          <w:rFonts w:ascii="宋体" w:hAnsi="宋体"/>
          <w:szCs w:val="21"/>
        </w:rPr>
        <w:t>2）</w:t>
      </w:r>
      <w:r>
        <w:rPr>
          <w:rFonts w:hint="eastAsia"/>
          <w:szCs w:val="21"/>
        </w:rPr>
        <w:t>机关事业单位、学校、企业、物管小区、经营性场所</w:t>
      </w:r>
      <w:r>
        <w:rPr>
          <w:rFonts w:ascii="宋体" w:hAnsi="宋体"/>
          <w:szCs w:val="21"/>
        </w:rPr>
        <w:t>等因垃圾分类不到位或拒缴垃圾处理</w:t>
      </w:r>
      <w:r>
        <w:rPr>
          <w:rFonts w:hint="eastAsia" w:ascii="宋体" w:hAnsi="宋体"/>
          <w:szCs w:val="21"/>
        </w:rPr>
        <w:t>费</w:t>
      </w:r>
      <w:r>
        <w:rPr>
          <w:rFonts w:ascii="宋体" w:hAnsi="宋体"/>
          <w:szCs w:val="21"/>
        </w:rPr>
        <w:t>，采购人需要采取垃圾暂停清运服务的，中标供应商要无条件予以配合，</w:t>
      </w:r>
      <w:r>
        <w:rPr>
          <w:rFonts w:hint="eastAsia" w:ascii="宋体" w:hAnsi="宋体"/>
          <w:szCs w:val="21"/>
        </w:rPr>
        <w:t>每</w:t>
      </w:r>
      <w:r>
        <w:rPr>
          <w:rFonts w:ascii="宋体" w:hAnsi="宋体"/>
          <w:szCs w:val="21"/>
        </w:rPr>
        <w:t>发现一次不配合扣罚</w:t>
      </w:r>
      <w:r>
        <w:rPr>
          <w:rFonts w:hint="eastAsia" w:ascii="宋体" w:hAnsi="宋体"/>
          <w:szCs w:val="21"/>
        </w:rPr>
        <w:t>5</w:t>
      </w:r>
      <w:r>
        <w:rPr>
          <w:rFonts w:ascii="宋体" w:hAnsi="宋体"/>
          <w:szCs w:val="21"/>
        </w:rPr>
        <w:t>000元。</w:t>
      </w:r>
    </w:p>
    <w:p>
      <w:pPr>
        <w:overflowPunct w:val="0"/>
        <w:adjustRightInd w:val="0"/>
        <w:spacing w:line="360" w:lineRule="auto"/>
        <w:ind w:firstLine="420" w:firstLineChars="200"/>
        <w:textAlignment w:val="bottom"/>
        <w:rPr>
          <w:rFonts w:ascii="宋体" w:hAnsi="宋体"/>
          <w:szCs w:val="21"/>
        </w:rPr>
      </w:pPr>
      <w:r>
        <w:rPr>
          <w:rFonts w:ascii="宋体" w:hAnsi="宋体"/>
          <w:szCs w:val="21"/>
        </w:rPr>
        <w:t>3）</w:t>
      </w:r>
      <w:bookmarkStart w:id="155" w:name="_Hlk69252428"/>
      <w:r>
        <w:rPr>
          <w:rFonts w:hint="eastAsia"/>
          <w:szCs w:val="21"/>
        </w:rPr>
        <w:t>机关事业单位、学校、企业、物管小区、经营性场所</w:t>
      </w:r>
      <w:bookmarkEnd w:id="155"/>
      <w:r>
        <w:rPr>
          <w:rFonts w:ascii="宋体" w:hAnsi="宋体"/>
          <w:szCs w:val="21"/>
        </w:rPr>
        <w:t>，设置1-2处垃圾集中收集点供保洁公司收运。垃圾产生单位提供按分类要求垃圾收集容器，并负责清洗和维护。</w:t>
      </w:r>
    </w:p>
    <w:p>
      <w:pPr>
        <w:overflowPunct w:val="0"/>
        <w:snapToGrid w:val="0"/>
        <w:spacing w:line="360" w:lineRule="auto"/>
        <w:ind w:firstLine="422" w:firstLineChars="200"/>
        <w:outlineLvl w:val="3"/>
        <w:rPr>
          <w:rFonts w:hint="eastAsia" w:ascii="宋体"/>
          <w:b/>
          <w:szCs w:val="21"/>
        </w:rPr>
      </w:pPr>
      <w:bookmarkStart w:id="156" w:name="_Toc24779"/>
      <w:bookmarkStart w:id="157" w:name="_Toc3868"/>
      <w:bookmarkStart w:id="158" w:name="_Toc29834"/>
      <w:r>
        <w:rPr>
          <w:rFonts w:hint="eastAsia" w:ascii="宋体"/>
          <w:b/>
          <w:szCs w:val="21"/>
        </w:rPr>
        <w:t>5、特殊要求</w:t>
      </w:r>
      <w:bookmarkEnd w:id="156"/>
      <w:bookmarkEnd w:id="157"/>
      <w:bookmarkEnd w:id="158"/>
    </w:p>
    <w:p>
      <w:pPr>
        <w:overflowPunct w:val="0"/>
        <w:adjustRightInd w:val="0"/>
        <w:spacing w:line="360" w:lineRule="auto"/>
        <w:ind w:firstLine="420" w:firstLineChars="200"/>
        <w:textAlignment w:val="bottom"/>
        <w:rPr>
          <w:rFonts w:hint="eastAsia" w:ascii="宋体"/>
          <w:szCs w:val="21"/>
        </w:rPr>
      </w:pPr>
      <w:r>
        <w:rPr>
          <w:rFonts w:hint="eastAsia" w:ascii="宋体"/>
          <w:szCs w:val="21"/>
        </w:rPr>
        <w:t>（1）</w:t>
      </w:r>
      <w:r>
        <w:rPr>
          <w:rFonts w:hint="eastAsia" w:ascii="宋体" w:hAnsi="宋体" w:cs="宋体"/>
          <w:szCs w:val="21"/>
        </w:rPr>
        <w:t>本项目清扫保洁、垃圾清运范围限定于招标行政区域内，不经采购人及相关部门同意，不得到区域外清扫保洁作业或将行政区域外垃圾运输至本区域内</w:t>
      </w:r>
      <w:r>
        <w:rPr>
          <w:rFonts w:hint="eastAsia" w:ascii="宋体"/>
          <w:szCs w:val="21"/>
        </w:rPr>
        <w:t>。</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（2）后续中转站进行市场化经营、改造提升的，中标供应商须服从采购人、中转站运营方的相关管理规定。</w:t>
      </w:r>
    </w:p>
    <w:p>
      <w:pPr>
        <w:overflowPunct w:val="0"/>
        <w:adjustRightInd w:val="0"/>
        <w:spacing w:line="360" w:lineRule="auto"/>
        <w:ind w:firstLine="420" w:firstLineChars="200"/>
        <w:textAlignment w:val="bottom"/>
        <w:rPr>
          <w:rFonts w:ascii="宋体"/>
          <w:szCs w:val="21"/>
        </w:rPr>
      </w:pPr>
      <w:r>
        <w:rPr>
          <w:rFonts w:hint="eastAsia" w:ascii="宋体"/>
          <w:szCs w:val="21"/>
        </w:rPr>
        <w:t>（3）当垃圾中转站运力不足时或采购人有特殊要求时，使用重型压缩车直运至采购人指定垃圾焚烧厂，相关费用包含在投标报价内。</w:t>
      </w:r>
    </w:p>
    <w:p>
      <w:pPr>
        <w:overflowPunct w:val="0"/>
        <w:adjustRightInd w:val="0"/>
        <w:spacing w:line="360" w:lineRule="auto"/>
        <w:ind w:firstLine="420" w:firstLineChars="200"/>
        <w:textAlignment w:val="bottom"/>
        <w:rPr>
          <w:rFonts w:ascii="宋体" w:hAnsi="宋体"/>
          <w:kern w:val="2"/>
          <w:szCs w:val="21"/>
        </w:rPr>
      </w:pPr>
      <w:r>
        <w:rPr>
          <w:rFonts w:hint="eastAsia" w:ascii="宋体" w:hAnsi="宋体"/>
          <w:kern w:val="2"/>
          <w:szCs w:val="21"/>
        </w:rPr>
        <w:t>（4）每辆中型及以上车型：每车次均须配备人员不少于2人（驾驶员和跟车人员各1名）。</w:t>
      </w:r>
    </w:p>
    <w:p>
      <w:pPr>
        <w:overflowPunct w:val="0"/>
        <w:adjustRightInd w:val="0"/>
        <w:spacing w:line="360" w:lineRule="auto"/>
        <w:ind w:firstLine="420" w:firstLineChars="200"/>
        <w:textAlignment w:val="bottom"/>
        <w:rPr>
          <w:rFonts w:hint="eastAsia" w:ascii="宋体" w:hAnsi="宋体"/>
          <w:kern w:val="2"/>
          <w:szCs w:val="21"/>
        </w:rPr>
      </w:pPr>
      <w:r>
        <w:rPr>
          <w:rFonts w:hint="eastAsia" w:ascii="宋体" w:hAnsi="宋体"/>
          <w:kern w:val="2"/>
          <w:szCs w:val="21"/>
        </w:rPr>
        <w:t>（5）由于中转站基础设施原因，暂无法将收集的垃圾倾倒至中转站的，须将垃圾统一运送至焚烧厂统一处理，待中转站具备该项功能后，运送至中转站统一处理，供应商应自行考虑其报价风险。</w:t>
      </w:r>
    </w:p>
    <w:p>
      <w:pPr>
        <w:overflowPunct w:val="0"/>
        <w:snapToGrid w:val="0"/>
        <w:spacing w:line="360" w:lineRule="auto"/>
        <w:ind w:firstLine="422" w:firstLineChars="200"/>
        <w:outlineLvl w:val="3"/>
        <w:rPr>
          <w:rFonts w:hint="eastAsia" w:ascii="宋体"/>
          <w:b/>
          <w:szCs w:val="21"/>
        </w:rPr>
      </w:pPr>
      <w:r>
        <w:rPr>
          <w:rFonts w:hint="eastAsia" w:ascii="宋体"/>
          <w:b/>
          <w:szCs w:val="21"/>
        </w:rPr>
        <w:t>6、</w:t>
      </w:r>
      <w:bookmarkStart w:id="159" w:name="_Hlk69252883"/>
      <w:r>
        <w:rPr>
          <w:rFonts w:hint="eastAsia" w:ascii="宋体"/>
          <w:b/>
          <w:szCs w:val="21"/>
        </w:rPr>
        <w:t>生活垃圾分类收运支付标准及处罚标准等</w:t>
      </w:r>
      <w:bookmarkEnd w:id="159"/>
    </w:p>
    <w:p>
      <w:pPr>
        <w:overflowPunct w:val="0"/>
        <w:adjustRightInd w:val="0"/>
        <w:spacing w:line="360" w:lineRule="auto"/>
        <w:ind w:firstLine="420" w:firstLineChars="200"/>
        <w:textAlignment w:val="bottom"/>
        <w:rPr>
          <w:rFonts w:ascii="宋体"/>
          <w:szCs w:val="21"/>
        </w:rPr>
      </w:pPr>
      <w:bookmarkStart w:id="160" w:name="_Hlk69252890"/>
      <w:r>
        <w:rPr>
          <w:rFonts w:hint="eastAsia" w:ascii="宋体"/>
          <w:szCs w:val="21"/>
        </w:rPr>
        <w:t>6</w:t>
      </w:r>
      <w:r>
        <w:rPr>
          <w:rFonts w:ascii="宋体"/>
          <w:szCs w:val="21"/>
        </w:rPr>
        <w:t>.1</w:t>
      </w:r>
      <w:r>
        <w:rPr>
          <w:rFonts w:hint="eastAsia" w:ascii="宋体"/>
          <w:szCs w:val="21"/>
        </w:rPr>
        <w:t>、物管小区部分：根据不完全统计，本区域物管小区的户数约为</w:t>
      </w:r>
      <w:r>
        <w:rPr>
          <w:rFonts w:ascii="宋体"/>
          <w:szCs w:val="21"/>
        </w:rPr>
        <w:t>31698</w:t>
      </w:r>
      <w:r>
        <w:rPr>
          <w:rFonts w:hint="eastAsia" w:ascii="宋体"/>
          <w:szCs w:val="21"/>
        </w:rPr>
        <w:t>户，在服务期内，实行生活垃圾分类统一收运的物管小区，采购人根据每户每天平均0</w:t>
      </w:r>
      <w:r>
        <w:rPr>
          <w:rFonts w:ascii="宋体"/>
          <w:szCs w:val="21"/>
        </w:rPr>
        <w:t>.117</w:t>
      </w:r>
      <w:r>
        <w:rPr>
          <w:rFonts w:hint="eastAsia" w:ascii="宋体"/>
          <w:szCs w:val="21"/>
        </w:rPr>
        <w:t>元的标准给与支付此项服务款，支付上限金额（每年）为1</w:t>
      </w:r>
      <w:r>
        <w:rPr>
          <w:rFonts w:ascii="宋体"/>
          <w:szCs w:val="21"/>
        </w:rPr>
        <w:t>354701</w:t>
      </w:r>
      <w:r>
        <w:rPr>
          <w:rFonts w:hint="eastAsia" w:ascii="宋体"/>
          <w:szCs w:val="21"/>
        </w:rPr>
        <w:t>元时，超出部分采购人不予支付，由中标单位直接包干，低于支付上限金额的，则按实际数量进行结算，具体户数以街道出具数据为准，各投标供应商应充分考虑其报价风险。</w:t>
      </w:r>
    </w:p>
    <w:p>
      <w:pPr>
        <w:overflowPunct w:val="0"/>
        <w:adjustRightInd w:val="0"/>
        <w:spacing w:line="360" w:lineRule="auto"/>
        <w:ind w:firstLine="420" w:firstLineChars="200"/>
        <w:textAlignment w:val="bottom"/>
        <w:rPr>
          <w:rFonts w:ascii="宋体"/>
          <w:szCs w:val="21"/>
        </w:rPr>
      </w:pPr>
      <w:r>
        <w:rPr>
          <w:rFonts w:hint="eastAsia" w:ascii="宋体"/>
          <w:szCs w:val="21"/>
        </w:rPr>
        <w:t>注：</w:t>
      </w:r>
    </w:p>
    <w:p>
      <w:pPr>
        <w:overflowPunct w:val="0"/>
        <w:adjustRightInd w:val="0"/>
        <w:spacing w:line="360" w:lineRule="auto"/>
        <w:ind w:firstLine="420" w:firstLineChars="200"/>
        <w:textAlignment w:val="bottom"/>
        <w:rPr>
          <w:rFonts w:ascii="宋体"/>
          <w:szCs w:val="21"/>
        </w:rPr>
      </w:pPr>
      <w:r>
        <w:rPr>
          <w:rFonts w:hint="eastAsia" w:ascii="宋体"/>
          <w:szCs w:val="21"/>
        </w:rPr>
        <w:t>① 每户每天平均0</w:t>
      </w:r>
      <w:r>
        <w:rPr>
          <w:rFonts w:ascii="宋体"/>
          <w:szCs w:val="21"/>
        </w:rPr>
        <w:t>.117</w:t>
      </w:r>
      <w:r>
        <w:rPr>
          <w:rFonts w:hint="eastAsia" w:ascii="宋体"/>
          <w:szCs w:val="21"/>
        </w:rPr>
        <w:t>元的标准以中标供应商投标总价下浮比例进行等比例下调；</w:t>
      </w:r>
    </w:p>
    <w:p>
      <w:pPr>
        <w:overflowPunct w:val="0"/>
        <w:adjustRightInd w:val="0"/>
        <w:spacing w:line="360" w:lineRule="auto"/>
        <w:ind w:firstLine="420" w:firstLineChars="200"/>
        <w:textAlignment w:val="bottom"/>
        <w:rPr>
          <w:rFonts w:ascii="宋体"/>
          <w:szCs w:val="21"/>
        </w:rPr>
      </w:pPr>
      <w:r>
        <w:rPr>
          <w:rFonts w:hint="eastAsia" w:ascii="宋体"/>
          <w:szCs w:val="21"/>
        </w:rPr>
        <w:t>②</w:t>
      </w:r>
      <w:r>
        <w:rPr>
          <w:rFonts w:ascii="宋体"/>
          <w:szCs w:val="21"/>
        </w:rPr>
        <w:t xml:space="preserve"> </w:t>
      </w:r>
      <w:r>
        <w:rPr>
          <w:rFonts w:hint="eastAsia" w:ascii="宋体"/>
          <w:szCs w:val="21"/>
        </w:rPr>
        <w:t>预算支付上限金额（每年）为1</w:t>
      </w:r>
      <w:r>
        <w:rPr>
          <w:rFonts w:ascii="宋体"/>
          <w:szCs w:val="21"/>
        </w:rPr>
        <w:t>354701</w:t>
      </w:r>
      <w:r>
        <w:rPr>
          <w:rFonts w:hint="eastAsia" w:ascii="宋体"/>
          <w:szCs w:val="21"/>
        </w:rPr>
        <w:t>元，已包含在本次报价中，最终支付上限金额（每年）以中标供应商投标总价下浮比例进行等比例下调，并且该项费用由采购人根据实际户数及天数，按上述规定进行支付。</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③ 经采购人监督或者投诉发现，因中标供应商原因导致统一收运无法开展的，每个物管小区则按照200元/天的金额进行处罚，15天内未整改到位的，记1次书面警告（或严重警告），以此类推。</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6</w:t>
      </w:r>
      <w:r>
        <w:rPr>
          <w:rFonts w:ascii="宋体"/>
          <w:szCs w:val="21"/>
        </w:rPr>
        <w:t>.2</w:t>
      </w:r>
      <w:r>
        <w:rPr>
          <w:rFonts w:hint="eastAsia" w:ascii="宋体"/>
          <w:szCs w:val="21"/>
        </w:rPr>
        <w:t>、机关事业单位、学校、企业、经营性场所等须1</w:t>
      </w:r>
      <w:r>
        <w:rPr>
          <w:rFonts w:ascii="宋体"/>
          <w:szCs w:val="21"/>
        </w:rPr>
        <w:t>00</w:t>
      </w:r>
      <w:r>
        <w:rPr>
          <w:rFonts w:hint="eastAsia" w:ascii="宋体"/>
          <w:szCs w:val="21"/>
        </w:rPr>
        <w:t>%实行生活垃圾分类统一收运工作，如未能对分类生活垃圾进行统一收运的，经采购人监督或者投诉发现，每个单位（收集点）按照100元/天的金额进行处罚，如发现是中标供应商原因导致工作无法开展的，则按照200元/天的金额进行处罚，15天内未整改到位的，记1次书面警告（或严重警告），以此类推。</w:t>
      </w:r>
    </w:p>
    <w:bookmarkEnd w:id="160"/>
    <w:p>
      <w:pPr>
        <w:overflowPunct w:val="0"/>
        <w:spacing w:line="360" w:lineRule="auto"/>
        <w:ind w:firstLine="413" w:firstLineChars="196"/>
        <w:outlineLvl w:val="2"/>
        <w:rPr>
          <w:rFonts w:ascii="宋体"/>
          <w:b/>
          <w:szCs w:val="21"/>
        </w:rPr>
      </w:pPr>
      <w:bookmarkStart w:id="161" w:name="_Toc64901753"/>
      <w:bookmarkStart w:id="162" w:name="_Toc64913337"/>
      <w:bookmarkStart w:id="163" w:name="_Toc14875"/>
      <w:bookmarkStart w:id="164" w:name="_Toc10140"/>
      <w:bookmarkStart w:id="165" w:name="_Toc10777"/>
      <w:r>
        <w:rPr>
          <w:rFonts w:hint="eastAsia" w:ascii="宋体"/>
          <w:b/>
          <w:szCs w:val="21"/>
        </w:rPr>
        <w:t>（八）小广告治理</w:t>
      </w:r>
      <w:r>
        <w:rPr>
          <w:rFonts w:hint="eastAsia" w:ascii="宋体" w:hAnsi="宋体" w:cs="黑体"/>
          <w:b/>
          <w:szCs w:val="21"/>
        </w:rPr>
        <w:t>要求</w:t>
      </w:r>
      <w:bookmarkEnd w:id="161"/>
      <w:bookmarkEnd w:id="162"/>
      <w:bookmarkEnd w:id="163"/>
      <w:bookmarkEnd w:id="164"/>
      <w:bookmarkEnd w:id="165"/>
    </w:p>
    <w:p>
      <w:pPr>
        <w:overflowPunct w:val="0"/>
        <w:snapToGrid w:val="0"/>
        <w:spacing w:line="360" w:lineRule="auto"/>
        <w:ind w:firstLine="422" w:firstLineChars="200"/>
        <w:outlineLvl w:val="3"/>
        <w:rPr>
          <w:rFonts w:ascii="宋体"/>
          <w:b/>
          <w:szCs w:val="21"/>
        </w:rPr>
      </w:pPr>
      <w:bookmarkStart w:id="166" w:name="_Toc18599"/>
      <w:bookmarkStart w:id="167" w:name="_Toc13812"/>
      <w:bookmarkStart w:id="168" w:name="_Toc20774"/>
      <w:r>
        <w:rPr>
          <w:rFonts w:hint="eastAsia" w:ascii="宋体"/>
          <w:b/>
          <w:szCs w:val="21"/>
        </w:rPr>
        <w:t>1、小广告治理范围</w:t>
      </w:r>
      <w:bookmarkEnd w:id="166"/>
      <w:bookmarkEnd w:id="167"/>
      <w:bookmarkEnd w:id="168"/>
    </w:p>
    <w:p>
      <w:pPr>
        <w:overflowPunct w:val="0"/>
        <w:adjustRightInd w:val="0"/>
        <w:spacing w:line="360" w:lineRule="auto"/>
        <w:ind w:firstLine="420" w:firstLineChars="200"/>
        <w:textAlignment w:val="bottom"/>
        <w:rPr>
          <w:rFonts w:ascii="宋体"/>
          <w:szCs w:val="21"/>
        </w:rPr>
      </w:pPr>
      <w:r>
        <w:rPr>
          <w:rFonts w:hint="eastAsia" w:ascii="宋体"/>
          <w:szCs w:val="21"/>
        </w:rPr>
        <w:t>道路、公园、广场、公厕、道路两侧构筑物、建筑物、道路辅助设施、市政（家具）设施上可见的小广告、非法喷涂广告。区域内利用废弃木板、纸片等涂写广告，并在公交站台、沿街外立面、绿化带等处放置的，视作乱涂乱贴进行清理。</w:t>
      </w:r>
    </w:p>
    <w:p>
      <w:pPr>
        <w:overflowPunct w:val="0"/>
        <w:snapToGrid w:val="0"/>
        <w:spacing w:line="360" w:lineRule="auto"/>
        <w:ind w:firstLine="422" w:firstLineChars="200"/>
        <w:outlineLvl w:val="3"/>
        <w:rPr>
          <w:rFonts w:hint="eastAsia" w:ascii="宋体"/>
          <w:b/>
          <w:szCs w:val="21"/>
        </w:rPr>
      </w:pPr>
      <w:bookmarkStart w:id="169" w:name="_Toc5117"/>
      <w:bookmarkStart w:id="170" w:name="_Toc8905"/>
      <w:bookmarkStart w:id="171" w:name="_Toc27260"/>
      <w:r>
        <w:rPr>
          <w:rFonts w:hint="eastAsia" w:ascii="宋体"/>
          <w:b/>
          <w:szCs w:val="21"/>
        </w:rPr>
        <w:t>2、小广告治理质量要求</w:t>
      </w:r>
      <w:bookmarkEnd w:id="169"/>
      <w:bookmarkEnd w:id="170"/>
      <w:bookmarkEnd w:id="171"/>
    </w:p>
    <w:p>
      <w:pPr>
        <w:overflowPunct w:val="0"/>
        <w:adjustRightInd w:val="0"/>
        <w:spacing w:line="360" w:lineRule="auto"/>
        <w:ind w:firstLine="420" w:firstLineChars="200"/>
        <w:textAlignment w:val="bottom"/>
        <w:rPr>
          <w:rFonts w:hint="eastAsia" w:ascii="宋体"/>
          <w:szCs w:val="21"/>
        </w:rPr>
      </w:pPr>
      <w:r>
        <w:rPr>
          <w:rFonts w:hint="eastAsia" w:ascii="宋体"/>
          <w:szCs w:val="21"/>
        </w:rPr>
        <w:t>（1）随时发现，随时清理干净。并配合执法部门取证打击非法张贴小广告行为。</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（2）外墙（含沿街外立面、开放式小区外立面）、地面、栏杆、店面卷帘门、空调外机等清理保洁做到“日有日清”。</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3）外墙（含沿街外立面、开放式小区外立面）、地面、栏杆、灯箱、电话亭、书报亭清理乱张贴或乱涂写保洁基本上做到“同色覆盖”。选用环保材料、涂料、油漆、清除乱张贴、乱涂写的涂料要用与墙体、地面、栏杆相同或相接近的颜色进行有规则（正方形、长方形等）的覆盖，对花岗岩、大理石等墙面、地面应通过清洗方式进行保洁，不能出现“白癜风”的涂写、覆盖方式。</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4）清除乱张贴乱涂写时注意不得污损周围墙体、地面、桥面，保持整洁。在清理乱张贴乱涂写时，要注意保护市政公用设施、绿化树木，在清理路灯杆、配电箱、果皮箱等上面的纸质宣传品时，要注意保护防锈涂层。</w:t>
      </w:r>
    </w:p>
    <w:p>
      <w:pPr>
        <w:overflowPunct w:val="0"/>
        <w:snapToGrid w:val="0"/>
        <w:spacing w:line="360" w:lineRule="auto"/>
        <w:ind w:firstLine="422" w:firstLineChars="200"/>
        <w:outlineLvl w:val="3"/>
        <w:rPr>
          <w:rFonts w:hint="eastAsia" w:ascii="宋体"/>
          <w:b/>
          <w:szCs w:val="21"/>
        </w:rPr>
      </w:pPr>
      <w:bookmarkStart w:id="172" w:name="_Toc9694"/>
      <w:bookmarkStart w:id="173" w:name="_Toc22104"/>
      <w:bookmarkStart w:id="174" w:name="_Toc13830"/>
      <w:r>
        <w:rPr>
          <w:rFonts w:hint="eastAsia" w:ascii="宋体"/>
          <w:b/>
          <w:szCs w:val="21"/>
        </w:rPr>
        <w:t>3、配置要求</w:t>
      </w:r>
      <w:bookmarkEnd w:id="172"/>
      <w:bookmarkEnd w:id="173"/>
      <w:bookmarkEnd w:id="174"/>
    </w:p>
    <w:p>
      <w:pPr>
        <w:overflowPunct w:val="0"/>
        <w:adjustRightInd w:val="0"/>
        <w:spacing w:line="360" w:lineRule="auto"/>
        <w:ind w:firstLine="525" w:firstLineChars="250"/>
        <w:textAlignment w:val="bottom"/>
        <w:rPr>
          <w:rFonts w:hint="eastAsia" w:ascii="宋体"/>
          <w:szCs w:val="21"/>
        </w:rPr>
      </w:pPr>
      <w:r>
        <w:rPr>
          <w:rFonts w:hint="eastAsia" w:ascii="宋体"/>
          <w:szCs w:val="21"/>
        </w:rPr>
        <w:t>清理小广告配备相应的操作工具、材料及专职工作人员。</w:t>
      </w:r>
    </w:p>
    <w:p>
      <w:pPr>
        <w:overflowPunct w:val="0"/>
        <w:snapToGrid w:val="0"/>
        <w:spacing w:line="360" w:lineRule="auto"/>
        <w:ind w:firstLine="422" w:firstLineChars="200"/>
        <w:outlineLvl w:val="3"/>
        <w:rPr>
          <w:rFonts w:hint="eastAsia" w:ascii="宋体"/>
          <w:b/>
          <w:szCs w:val="21"/>
        </w:rPr>
      </w:pPr>
      <w:bookmarkStart w:id="175" w:name="_Toc31906"/>
      <w:bookmarkStart w:id="176" w:name="_Toc21868"/>
      <w:bookmarkStart w:id="177" w:name="_Toc12638"/>
      <w:r>
        <w:rPr>
          <w:rFonts w:hint="eastAsia" w:ascii="宋体"/>
          <w:b/>
          <w:szCs w:val="21"/>
        </w:rPr>
        <w:t>4、小广告治理作业要求</w:t>
      </w:r>
      <w:bookmarkEnd w:id="175"/>
      <w:bookmarkEnd w:id="176"/>
      <w:bookmarkEnd w:id="177"/>
    </w:p>
    <w:p>
      <w:pPr>
        <w:overflowPunct w:val="0"/>
        <w:adjustRightInd w:val="0"/>
        <w:spacing w:line="360" w:lineRule="auto"/>
        <w:ind w:firstLine="420" w:firstLineChars="200"/>
        <w:textAlignment w:val="bottom"/>
        <w:rPr>
          <w:rFonts w:hint="eastAsia" w:ascii="宋体"/>
          <w:szCs w:val="21"/>
        </w:rPr>
      </w:pPr>
      <w:r>
        <w:rPr>
          <w:rFonts w:hint="eastAsia" w:ascii="宋体"/>
          <w:szCs w:val="21"/>
        </w:rPr>
        <w:t>（1）实施12小时动态巡回保洁，同一地方的乱张贴或乱涂写存续时间主次干道（桥梁）不能超过2小时，特殊情况不得超过1小时；其它地方不能超过3小时，特殊情况不能超过2小时。</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（2）实行定街、定段、定人、定时、定保洁标准责任到人管理。原则上应在每日上午9点以前清除完毕。</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（3）接到承包范围内反映“小广告”问题的投诉或新闻舆论曝光后，须在 1 小时内及时处理完毕并反馈信息。</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（4）在对外墙等保洁之前，应向有关建筑物的产权单位先行告知，避免产生不必要的纠纷。</w:t>
      </w:r>
    </w:p>
    <w:p>
      <w:pPr>
        <w:overflowPunct w:val="0"/>
        <w:snapToGrid w:val="0"/>
        <w:spacing w:line="360" w:lineRule="auto"/>
        <w:ind w:firstLine="422" w:firstLineChars="200"/>
        <w:outlineLvl w:val="3"/>
        <w:rPr>
          <w:rFonts w:hint="eastAsia" w:ascii="宋体"/>
          <w:b/>
          <w:szCs w:val="21"/>
        </w:rPr>
      </w:pPr>
      <w:bookmarkStart w:id="178" w:name="_Toc21421"/>
      <w:bookmarkStart w:id="179" w:name="_Toc23299"/>
      <w:bookmarkStart w:id="180" w:name="_Toc22312"/>
      <w:r>
        <w:rPr>
          <w:rFonts w:hint="eastAsia" w:ascii="宋体"/>
          <w:b/>
          <w:szCs w:val="21"/>
        </w:rPr>
        <w:t>5、特殊要求</w:t>
      </w:r>
      <w:bookmarkEnd w:id="178"/>
      <w:bookmarkEnd w:id="179"/>
      <w:bookmarkEnd w:id="180"/>
    </w:p>
    <w:p>
      <w:pPr>
        <w:overflowPunct w:val="0"/>
        <w:adjustRightInd w:val="0"/>
        <w:spacing w:line="360" w:lineRule="auto"/>
        <w:ind w:firstLine="420" w:firstLineChars="200"/>
        <w:textAlignment w:val="bottom"/>
        <w:rPr>
          <w:rFonts w:hint="eastAsia" w:ascii="宋体"/>
          <w:szCs w:val="21"/>
        </w:rPr>
      </w:pPr>
      <w:r>
        <w:rPr>
          <w:rFonts w:hint="eastAsia" w:ascii="宋体"/>
          <w:szCs w:val="21"/>
        </w:rPr>
        <w:t>加强小广告电话号码管控。在实施小广告清楚工作的同时，对小广告中公示的电话号码等联系方式进行逐一登记、分类、汇总，并将汇总分类情况汇报管理部门进行处置。</w:t>
      </w:r>
    </w:p>
    <w:p>
      <w:pPr>
        <w:overflowPunct w:val="0"/>
        <w:snapToGrid w:val="0"/>
        <w:spacing w:line="360" w:lineRule="auto"/>
        <w:ind w:firstLine="422" w:firstLineChars="200"/>
        <w:outlineLvl w:val="3"/>
        <w:rPr>
          <w:rFonts w:hint="eastAsia" w:ascii="宋体"/>
          <w:b/>
          <w:szCs w:val="21"/>
        </w:rPr>
      </w:pPr>
      <w:bookmarkStart w:id="181" w:name="_Toc25867"/>
      <w:bookmarkStart w:id="182" w:name="_Toc8416"/>
      <w:bookmarkStart w:id="183" w:name="_Toc20423"/>
      <w:r>
        <w:rPr>
          <w:rFonts w:hint="eastAsia" w:ascii="宋体"/>
          <w:b/>
          <w:szCs w:val="21"/>
        </w:rPr>
        <w:t>6、应急要求</w:t>
      </w:r>
      <w:bookmarkEnd w:id="181"/>
      <w:bookmarkEnd w:id="182"/>
      <w:bookmarkEnd w:id="183"/>
    </w:p>
    <w:p>
      <w:pPr>
        <w:overflowPunct w:val="0"/>
        <w:adjustRightInd w:val="0"/>
        <w:spacing w:line="360" w:lineRule="auto"/>
        <w:ind w:firstLine="420" w:firstLineChars="200"/>
        <w:textAlignment w:val="bottom"/>
        <w:rPr>
          <w:rFonts w:hint="eastAsia"/>
        </w:rPr>
      </w:pPr>
      <w:bookmarkStart w:id="184" w:name="_Toc23026"/>
      <w:bookmarkStart w:id="185" w:name="_Toc14757"/>
      <w:bookmarkStart w:id="186" w:name="_Toc20674"/>
      <w:bookmarkStart w:id="187" w:name="_Toc19170"/>
      <w:r>
        <w:rPr>
          <w:rFonts w:hint="eastAsia"/>
        </w:rPr>
        <w:t>出现大规模低俗、反社会等小广告时，须组织人员在最短时间内进行清除。</w:t>
      </w:r>
      <w:bookmarkEnd w:id="184"/>
      <w:bookmarkEnd w:id="185"/>
      <w:bookmarkEnd w:id="186"/>
      <w:bookmarkEnd w:id="187"/>
    </w:p>
    <w:p>
      <w:pPr>
        <w:overflowPunct w:val="0"/>
        <w:spacing w:line="360" w:lineRule="auto"/>
        <w:ind w:firstLine="413" w:firstLineChars="196"/>
        <w:outlineLvl w:val="2"/>
        <w:rPr>
          <w:rFonts w:ascii="宋体"/>
          <w:b/>
          <w:szCs w:val="21"/>
        </w:rPr>
      </w:pPr>
      <w:bookmarkStart w:id="188" w:name="_Toc64901754"/>
      <w:bookmarkStart w:id="189" w:name="_Toc64913338"/>
      <w:bookmarkStart w:id="190" w:name="_Toc21531"/>
      <w:bookmarkStart w:id="191" w:name="_Toc28116"/>
      <w:bookmarkStart w:id="192" w:name="_Toc7050"/>
      <w:r>
        <w:rPr>
          <w:rFonts w:hint="eastAsia" w:ascii="宋体"/>
          <w:b/>
          <w:szCs w:val="21"/>
        </w:rPr>
        <w:t>（九）无主的建筑垃圾（含装修垃圾，废弃家具，下同）及其他零星垃圾清理要求</w:t>
      </w:r>
      <w:bookmarkEnd w:id="188"/>
      <w:bookmarkEnd w:id="189"/>
      <w:bookmarkEnd w:id="190"/>
      <w:bookmarkEnd w:id="191"/>
      <w:bookmarkEnd w:id="192"/>
    </w:p>
    <w:p>
      <w:pPr>
        <w:overflowPunct w:val="0"/>
        <w:snapToGrid w:val="0"/>
        <w:spacing w:line="360" w:lineRule="auto"/>
        <w:ind w:firstLine="422" w:firstLineChars="200"/>
        <w:outlineLvl w:val="3"/>
        <w:rPr>
          <w:rFonts w:hint="eastAsia" w:ascii="宋体"/>
          <w:b/>
          <w:szCs w:val="21"/>
        </w:rPr>
      </w:pPr>
      <w:bookmarkStart w:id="193" w:name="_Toc20729"/>
      <w:bookmarkStart w:id="194" w:name="_Toc17607"/>
      <w:bookmarkStart w:id="195" w:name="_Toc14957"/>
      <w:r>
        <w:rPr>
          <w:rFonts w:hint="eastAsia" w:ascii="宋体"/>
          <w:b/>
          <w:szCs w:val="21"/>
        </w:rPr>
        <w:t>1、无主的建筑垃圾及其他零星垃圾清理范围</w:t>
      </w:r>
      <w:bookmarkEnd w:id="193"/>
      <w:bookmarkEnd w:id="194"/>
      <w:bookmarkEnd w:id="195"/>
    </w:p>
    <w:p>
      <w:pPr>
        <w:overflowPunct w:val="0"/>
        <w:adjustRightInd w:val="0"/>
        <w:spacing w:line="360" w:lineRule="auto"/>
        <w:ind w:firstLine="420" w:firstLineChars="200"/>
        <w:textAlignment w:val="bottom"/>
        <w:rPr>
          <w:rFonts w:hint="eastAsia" w:ascii="宋体"/>
          <w:szCs w:val="21"/>
        </w:rPr>
      </w:pPr>
      <w:r>
        <w:rPr>
          <w:rFonts w:hint="eastAsia" w:ascii="宋体"/>
          <w:szCs w:val="21"/>
        </w:rPr>
        <w:t>保洁区域内无主的建筑垃圾及其他零星垃圾。</w:t>
      </w:r>
    </w:p>
    <w:p>
      <w:pPr>
        <w:overflowPunct w:val="0"/>
        <w:snapToGrid w:val="0"/>
        <w:spacing w:line="360" w:lineRule="auto"/>
        <w:ind w:firstLine="422" w:firstLineChars="200"/>
        <w:outlineLvl w:val="3"/>
        <w:rPr>
          <w:rFonts w:hint="eastAsia" w:ascii="宋体"/>
          <w:b/>
          <w:szCs w:val="21"/>
        </w:rPr>
      </w:pPr>
      <w:bookmarkStart w:id="196" w:name="_Toc19418"/>
      <w:bookmarkStart w:id="197" w:name="_Toc22541"/>
      <w:bookmarkStart w:id="198" w:name="_Toc16426"/>
      <w:r>
        <w:rPr>
          <w:rFonts w:hint="eastAsia" w:ascii="宋体"/>
          <w:b/>
          <w:szCs w:val="21"/>
        </w:rPr>
        <w:t>2、无主的建筑垃圾及其他零星垃圾清理质量要求</w:t>
      </w:r>
      <w:bookmarkEnd w:id="196"/>
      <w:bookmarkEnd w:id="197"/>
      <w:bookmarkEnd w:id="198"/>
    </w:p>
    <w:p>
      <w:pPr>
        <w:overflowPunct w:val="0"/>
        <w:adjustRightInd w:val="0"/>
        <w:spacing w:line="360" w:lineRule="auto"/>
        <w:ind w:firstLine="420" w:firstLineChars="200"/>
        <w:textAlignment w:val="bottom"/>
        <w:rPr>
          <w:rFonts w:hint="eastAsia" w:ascii="宋体"/>
          <w:b/>
          <w:bCs/>
          <w:szCs w:val="21"/>
        </w:rPr>
      </w:pPr>
      <w:r>
        <w:rPr>
          <w:rFonts w:hint="eastAsia" w:ascii="宋体"/>
          <w:szCs w:val="21"/>
        </w:rPr>
        <w:t>（1）无主的建筑垃圾及其他零星垃圾不得与生活垃圾混运、混放，由中标供应商自行筛分、拆卸、分类后运至相应合格消纳场进行分类消纳，可委托有资质的企业进行无害化、资源化处置，但须事先向采购人审核报备，</w:t>
      </w:r>
      <w:r>
        <w:rPr>
          <w:rFonts w:hint="eastAsia" w:ascii="宋体"/>
          <w:b/>
          <w:bCs/>
          <w:szCs w:val="21"/>
        </w:rPr>
        <w:t>所需费用均已包含在投标总价中。</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（2）中标供应商有义务对负责区域内的建筑垃圾乱倾倒，乱堆放负有监督义务，如发现有人乱倾倒建筑垃圾须及时上报采购人处理。</w:t>
      </w:r>
    </w:p>
    <w:p>
      <w:pPr>
        <w:overflowPunct w:val="0"/>
        <w:snapToGrid w:val="0"/>
        <w:spacing w:line="360" w:lineRule="auto"/>
        <w:ind w:firstLine="420" w:firstLineChars="200"/>
        <w:outlineLvl w:val="3"/>
        <w:rPr>
          <w:rFonts w:hint="eastAsia" w:ascii="宋体"/>
          <w:szCs w:val="21"/>
        </w:rPr>
      </w:pPr>
      <w:bookmarkStart w:id="199" w:name="_Toc32169"/>
      <w:bookmarkStart w:id="200" w:name="_Toc29451"/>
      <w:bookmarkStart w:id="201" w:name="_Toc16900"/>
      <w:r>
        <w:rPr>
          <w:rFonts w:hint="eastAsia" w:ascii="宋体"/>
          <w:szCs w:val="21"/>
        </w:rPr>
        <w:t>3、无主的建筑垃圾及其他零星垃圾清理作业要求</w:t>
      </w:r>
      <w:bookmarkEnd w:id="199"/>
      <w:bookmarkEnd w:id="200"/>
      <w:bookmarkEnd w:id="201"/>
    </w:p>
    <w:p>
      <w:pPr>
        <w:overflowPunct w:val="0"/>
        <w:adjustRightInd w:val="0"/>
        <w:spacing w:line="360" w:lineRule="auto"/>
        <w:ind w:firstLine="420" w:firstLineChars="200"/>
        <w:textAlignment w:val="bottom"/>
        <w:rPr>
          <w:rFonts w:ascii="宋体"/>
          <w:szCs w:val="21"/>
        </w:rPr>
      </w:pPr>
      <w:r>
        <w:rPr>
          <w:rFonts w:hint="eastAsia" w:ascii="宋体"/>
          <w:szCs w:val="21"/>
        </w:rPr>
        <w:t>（1）做业期间基本无扬尘，控制噪声污染，运输途中无抛洒；垃圾在指定地点倾倒，不得随意倾倒、偷到、乱倒垃圾；</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（2）保洁责任区域内应当发现的（保洁过程中应该发现）渣土、装修垃圾，要在24小时内清运完毕；采购人要求清运的渣土、装修垃圾，供应商接到通知要在12小时内清运完毕。</w:t>
      </w:r>
    </w:p>
    <w:p>
      <w:pPr>
        <w:overflowPunct w:val="0"/>
        <w:snapToGrid w:val="0"/>
        <w:spacing w:line="360" w:lineRule="auto"/>
        <w:ind w:firstLine="422" w:firstLineChars="200"/>
        <w:outlineLvl w:val="3"/>
        <w:rPr>
          <w:rFonts w:hint="eastAsia" w:ascii="宋体"/>
          <w:b/>
          <w:szCs w:val="21"/>
        </w:rPr>
      </w:pPr>
      <w:bookmarkStart w:id="202" w:name="_Toc3134"/>
      <w:bookmarkStart w:id="203" w:name="_Toc10919"/>
      <w:bookmarkStart w:id="204" w:name="_Toc11782"/>
      <w:r>
        <w:rPr>
          <w:rFonts w:hint="eastAsia" w:ascii="宋体"/>
          <w:b/>
          <w:szCs w:val="21"/>
        </w:rPr>
        <w:t>4、配置要求</w:t>
      </w:r>
      <w:bookmarkEnd w:id="202"/>
      <w:bookmarkEnd w:id="203"/>
      <w:bookmarkEnd w:id="204"/>
    </w:p>
    <w:p>
      <w:pPr>
        <w:overflowPunct w:val="0"/>
        <w:adjustRightInd w:val="0"/>
        <w:spacing w:line="360" w:lineRule="auto"/>
        <w:ind w:firstLine="525" w:firstLineChars="250"/>
        <w:textAlignment w:val="bottom"/>
        <w:rPr>
          <w:rFonts w:ascii="宋体"/>
          <w:szCs w:val="21"/>
        </w:rPr>
      </w:pPr>
      <w:r>
        <w:rPr>
          <w:rFonts w:hint="eastAsia" w:ascii="宋体"/>
          <w:szCs w:val="21"/>
        </w:rPr>
        <w:t>渣土运输车和轮式铲车须经相关主管部门核准，办理核准手续到采购方备案后方可使用。所有车辆外观整洁，及时清洗。</w:t>
      </w:r>
    </w:p>
    <w:p>
      <w:pPr>
        <w:overflowPunct w:val="0"/>
        <w:spacing w:line="360" w:lineRule="auto"/>
        <w:ind w:firstLine="413" w:firstLineChars="196"/>
        <w:outlineLvl w:val="2"/>
        <w:rPr>
          <w:rFonts w:ascii="宋体"/>
          <w:b/>
          <w:szCs w:val="21"/>
        </w:rPr>
      </w:pPr>
      <w:bookmarkStart w:id="205" w:name="_Toc20881"/>
      <w:bookmarkStart w:id="206" w:name="_Toc5589"/>
      <w:bookmarkStart w:id="207" w:name="_Toc22345"/>
      <w:bookmarkStart w:id="208" w:name="_Toc64913339"/>
      <w:bookmarkStart w:id="209" w:name="_Toc64901755"/>
      <w:r>
        <w:rPr>
          <w:rFonts w:hint="eastAsia" w:ascii="宋体"/>
          <w:b/>
          <w:szCs w:val="21"/>
        </w:rPr>
        <w:t>（十）垃圾分类要求</w:t>
      </w:r>
      <w:bookmarkEnd w:id="205"/>
      <w:bookmarkEnd w:id="206"/>
      <w:bookmarkEnd w:id="207"/>
      <w:bookmarkEnd w:id="208"/>
      <w:bookmarkEnd w:id="209"/>
    </w:p>
    <w:p>
      <w:pPr>
        <w:overflowPunct w:val="0"/>
        <w:snapToGrid w:val="0"/>
        <w:spacing w:line="360" w:lineRule="auto"/>
        <w:ind w:firstLine="422" w:firstLineChars="200"/>
        <w:outlineLvl w:val="3"/>
        <w:rPr>
          <w:rFonts w:hint="eastAsia" w:ascii="宋体"/>
          <w:b/>
          <w:szCs w:val="21"/>
        </w:rPr>
      </w:pPr>
      <w:bookmarkStart w:id="210" w:name="_Toc7044"/>
      <w:bookmarkStart w:id="211" w:name="_Toc16356"/>
      <w:bookmarkStart w:id="212" w:name="_Toc31042"/>
      <w:r>
        <w:rPr>
          <w:rFonts w:hint="eastAsia" w:ascii="宋体"/>
          <w:b/>
          <w:szCs w:val="21"/>
        </w:rPr>
        <w:t>1、垃圾分类范围</w:t>
      </w:r>
      <w:bookmarkEnd w:id="210"/>
      <w:bookmarkEnd w:id="211"/>
      <w:bookmarkEnd w:id="212"/>
    </w:p>
    <w:p>
      <w:pPr>
        <w:overflowPunct w:val="0"/>
        <w:adjustRightInd w:val="0"/>
        <w:spacing w:line="360" w:lineRule="auto"/>
        <w:ind w:firstLine="420" w:firstLineChars="200"/>
        <w:textAlignment w:val="bottom"/>
        <w:rPr>
          <w:rFonts w:ascii="宋体"/>
          <w:szCs w:val="21"/>
        </w:rPr>
      </w:pPr>
      <w:r>
        <w:rPr>
          <w:rFonts w:hint="eastAsia" w:ascii="宋体"/>
          <w:szCs w:val="21"/>
        </w:rPr>
        <w:t>保洁区域内的垃圾分类收集及运输</w:t>
      </w:r>
    </w:p>
    <w:p>
      <w:pPr>
        <w:overflowPunct w:val="0"/>
        <w:snapToGrid w:val="0"/>
        <w:spacing w:line="360" w:lineRule="auto"/>
        <w:ind w:firstLine="422" w:firstLineChars="200"/>
        <w:outlineLvl w:val="3"/>
        <w:rPr>
          <w:rFonts w:hint="eastAsia" w:ascii="宋体"/>
          <w:b/>
          <w:szCs w:val="21"/>
        </w:rPr>
      </w:pPr>
      <w:bookmarkStart w:id="213" w:name="_Toc11641"/>
      <w:bookmarkStart w:id="214" w:name="_Toc18899"/>
      <w:bookmarkStart w:id="215" w:name="_Toc22142"/>
      <w:r>
        <w:rPr>
          <w:rFonts w:hint="eastAsia" w:ascii="宋体"/>
          <w:b/>
          <w:szCs w:val="21"/>
        </w:rPr>
        <w:t>2、垃圾分类质量要求</w:t>
      </w:r>
      <w:bookmarkEnd w:id="213"/>
      <w:bookmarkEnd w:id="214"/>
      <w:bookmarkEnd w:id="215"/>
    </w:p>
    <w:p>
      <w:pPr>
        <w:overflowPunct w:val="0"/>
        <w:adjustRightInd w:val="0"/>
        <w:spacing w:line="360" w:lineRule="auto"/>
        <w:ind w:firstLine="420" w:firstLineChars="200"/>
        <w:textAlignment w:val="bottom"/>
        <w:rPr>
          <w:rFonts w:hint="eastAsia" w:ascii="宋体"/>
          <w:szCs w:val="21"/>
        </w:rPr>
      </w:pPr>
      <w:r>
        <w:rPr>
          <w:rFonts w:hint="eastAsia" w:ascii="宋体"/>
          <w:szCs w:val="21"/>
        </w:rPr>
        <w:t>按照确定的分类方法以及年度工作目标，科学合理设置生活垃圾分类运输路线，统一配置数量充足、规格适宜、标识醒目一致的分类运输车辆，确保垃圾分类运输率达到100%。</w:t>
      </w:r>
    </w:p>
    <w:p>
      <w:pPr>
        <w:overflowPunct w:val="0"/>
        <w:snapToGrid w:val="0"/>
        <w:spacing w:line="360" w:lineRule="auto"/>
        <w:ind w:firstLine="422" w:firstLineChars="200"/>
        <w:outlineLvl w:val="3"/>
        <w:rPr>
          <w:rFonts w:hint="eastAsia" w:ascii="宋体"/>
          <w:b/>
          <w:szCs w:val="21"/>
        </w:rPr>
      </w:pPr>
      <w:bookmarkStart w:id="216" w:name="_Toc3679"/>
      <w:bookmarkStart w:id="217" w:name="_Toc3505"/>
      <w:bookmarkStart w:id="218" w:name="_Toc19616"/>
      <w:r>
        <w:rPr>
          <w:rFonts w:hint="eastAsia" w:ascii="宋体"/>
          <w:b/>
          <w:szCs w:val="21"/>
        </w:rPr>
        <w:t>3、垃圾分类作业要求</w:t>
      </w:r>
      <w:bookmarkEnd w:id="216"/>
      <w:bookmarkEnd w:id="217"/>
      <w:bookmarkEnd w:id="218"/>
    </w:p>
    <w:p>
      <w:pPr>
        <w:autoSpaceDE w:val="0"/>
        <w:autoSpaceDN w:val="0"/>
        <w:adjustRightInd w:val="0"/>
        <w:spacing w:line="360" w:lineRule="auto"/>
        <w:ind w:firstLine="420" w:firstLineChars="200"/>
        <w:textAlignment w:val="bottom"/>
        <w:outlineLvl w:val="4"/>
        <w:rPr>
          <w:rFonts w:hint="eastAsia"/>
          <w:szCs w:val="22"/>
        </w:rPr>
      </w:pPr>
      <w:r>
        <w:rPr>
          <w:rFonts w:hint="eastAsia"/>
          <w:szCs w:val="22"/>
        </w:rPr>
        <w:t>（1）易腐垃圾收集</w:t>
      </w:r>
    </w:p>
    <w:p>
      <w:pPr>
        <w:autoSpaceDE w:val="0"/>
        <w:autoSpaceDN w:val="0"/>
        <w:adjustRightInd w:val="0"/>
        <w:spacing w:line="360" w:lineRule="auto"/>
        <w:ind w:firstLine="420" w:firstLineChars="200"/>
        <w:textAlignment w:val="bottom"/>
        <w:rPr>
          <w:rFonts w:hint="eastAsia" w:ascii="宋体"/>
          <w:szCs w:val="21"/>
        </w:rPr>
      </w:pPr>
      <w:r>
        <w:rPr>
          <w:rFonts w:hint="eastAsia" w:ascii="宋体"/>
          <w:szCs w:val="21"/>
        </w:rPr>
        <w:t>1）频次：每天收集不少于2次，有特殊需求的须及时收集。</w:t>
      </w:r>
    </w:p>
    <w:p>
      <w:pPr>
        <w:autoSpaceDE w:val="0"/>
        <w:autoSpaceDN w:val="0"/>
        <w:adjustRightInd w:val="0"/>
        <w:spacing w:line="360" w:lineRule="auto"/>
        <w:ind w:left="420" w:leftChars="200"/>
        <w:textAlignment w:val="bottom"/>
        <w:rPr>
          <w:rFonts w:hint="eastAsia"/>
        </w:rPr>
      </w:pPr>
      <w:r>
        <w:rPr>
          <w:rFonts w:hint="eastAsia" w:ascii="宋体"/>
          <w:szCs w:val="21"/>
        </w:rPr>
        <w:t>2）要求：保洁区域内的易腐垃圾由中标单位采用专用运输车辆运送至采购单位指定的易腐垃圾处理中心进行处理，但保洁区域内的大中型</w:t>
      </w:r>
      <w:r>
        <w:rPr>
          <w:rFonts w:hint="eastAsia"/>
        </w:rPr>
        <w:t>酒店、餐饮单位的餐厨垃圾由第三方餐厨垃圾收运公司负责收运处理的除外。</w:t>
      </w:r>
    </w:p>
    <w:p>
      <w:pPr>
        <w:autoSpaceDE w:val="0"/>
        <w:autoSpaceDN w:val="0"/>
        <w:adjustRightInd w:val="0"/>
        <w:spacing w:line="360" w:lineRule="auto"/>
        <w:ind w:firstLine="420" w:firstLineChars="200"/>
        <w:textAlignment w:val="bottom"/>
        <w:outlineLvl w:val="4"/>
        <w:rPr>
          <w:rFonts w:hint="eastAsia"/>
          <w:szCs w:val="22"/>
        </w:rPr>
      </w:pPr>
      <w:r>
        <w:rPr>
          <w:rFonts w:hint="eastAsia"/>
          <w:szCs w:val="22"/>
        </w:rPr>
        <w:t>（2）可回收物收集</w:t>
      </w:r>
    </w:p>
    <w:p>
      <w:pPr>
        <w:autoSpaceDE w:val="0"/>
        <w:autoSpaceDN w:val="0"/>
        <w:adjustRightInd w:val="0"/>
        <w:spacing w:line="360" w:lineRule="auto"/>
        <w:ind w:firstLine="420" w:firstLineChars="200"/>
        <w:textAlignment w:val="bottom"/>
        <w:rPr>
          <w:rFonts w:hint="eastAsia" w:ascii="宋体"/>
          <w:szCs w:val="21"/>
        </w:rPr>
      </w:pPr>
      <w:r>
        <w:rPr>
          <w:rFonts w:hint="eastAsia" w:ascii="宋体"/>
          <w:szCs w:val="21"/>
        </w:rPr>
        <w:t>1）频次：每天收集不少于2次，有特殊需求的须及时收集。</w:t>
      </w:r>
    </w:p>
    <w:p>
      <w:pPr>
        <w:autoSpaceDE w:val="0"/>
        <w:autoSpaceDN w:val="0"/>
        <w:adjustRightInd w:val="0"/>
        <w:spacing w:line="360" w:lineRule="auto"/>
        <w:ind w:firstLine="420" w:firstLineChars="200"/>
        <w:textAlignment w:val="bottom"/>
        <w:rPr>
          <w:rFonts w:hint="eastAsia" w:ascii="宋体"/>
          <w:szCs w:val="21"/>
        </w:rPr>
      </w:pPr>
      <w:r>
        <w:rPr>
          <w:rFonts w:hint="eastAsia" w:ascii="宋体"/>
          <w:szCs w:val="21"/>
        </w:rPr>
        <w:t>2）要求：所有区域内的可回收物，由中标供应商统一采用专用车辆收运至采购人指定的第三方回收中心。</w:t>
      </w:r>
    </w:p>
    <w:p>
      <w:pPr>
        <w:autoSpaceDE w:val="0"/>
        <w:autoSpaceDN w:val="0"/>
        <w:adjustRightInd w:val="0"/>
        <w:spacing w:line="360" w:lineRule="auto"/>
        <w:ind w:firstLine="420" w:firstLineChars="200"/>
        <w:textAlignment w:val="bottom"/>
        <w:outlineLvl w:val="4"/>
        <w:rPr>
          <w:rFonts w:hint="eastAsia" w:ascii="宋体"/>
          <w:szCs w:val="21"/>
        </w:rPr>
      </w:pPr>
      <w:r>
        <w:rPr>
          <w:rFonts w:hint="eastAsia" w:ascii="宋体"/>
          <w:szCs w:val="21"/>
        </w:rPr>
        <w:t>（3）有害垃圾收集</w:t>
      </w:r>
    </w:p>
    <w:p>
      <w:pPr>
        <w:autoSpaceDE w:val="0"/>
        <w:autoSpaceDN w:val="0"/>
        <w:adjustRightInd w:val="0"/>
        <w:spacing w:line="360" w:lineRule="auto"/>
        <w:ind w:firstLine="420" w:firstLineChars="200"/>
        <w:textAlignment w:val="bottom"/>
        <w:rPr>
          <w:rFonts w:hint="eastAsia" w:ascii="宋体"/>
          <w:szCs w:val="21"/>
        </w:rPr>
      </w:pPr>
      <w:r>
        <w:rPr>
          <w:rFonts w:hint="eastAsia" w:ascii="宋体"/>
          <w:szCs w:val="21"/>
        </w:rPr>
        <w:t>1）频次：每月收集不少于2次，有特殊需求的须及时收集并做好登记，如实记录有害垃圾来源、重量等相关信息。</w:t>
      </w:r>
    </w:p>
    <w:p>
      <w:pPr>
        <w:autoSpaceDE w:val="0"/>
        <w:autoSpaceDN w:val="0"/>
        <w:adjustRightInd w:val="0"/>
        <w:spacing w:line="360" w:lineRule="auto"/>
        <w:ind w:firstLine="420" w:firstLineChars="200"/>
        <w:textAlignment w:val="bottom"/>
        <w:rPr>
          <w:rFonts w:hint="eastAsia" w:ascii="宋体"/>
          <w:szCs w:val="21"/>
        </w:rPr>
      </w:pPr>
      <w:r>
        <w:rPr>
          <w:rFonts w:hint="eastAsia" w:ascii="宋体"/>
          <w:szCs w:val="21"/>
        </w:rPr>
        <w:t>2）要求：</w:t>
      </w:r>
    </w:p>
    <w:p>
      <w:pPr>
        <w:numPr>
          <w:ilvl w:val="0"/>
          <w:numId w:val="20"/>
        </w:numPr>
        <w:autoSpaceDE w:val="0"/>
        <w:autoSpaceDN w:val="0"/>
        <w:adjustRightInd w:val="0"/>
        <w:spacing w:line="360" w:lineRule="auto"/>
        <w:ind w:left="0" w:firstLine="420" w:firstLineChars="200"/>
        <w:textAlignment w:val="bottom"/>
        <w:rPr>
          <w:rFonts w:hint="eastAsia" w:ascii="宋体"/>
          <w:szCs w:val="21"/>
        </w:rPr>
      </w:pPr>
      <w:r>
        <w:rPr>
          <w:rFonts w:hint="eastAsia" w:ascii="宋体"/>
          <w:szCs w:val="21"/>
        </w:rPr>
        <w:t>做到当天收集当天入库，不得将装有有害垃圾的车辆随意停放</w:t>
      </w:r>
    </w:p>
    <w:p>
      <w:pPr>
        <w:numPr>
          <w:ilvl w:val="0"/>
          <w:numId w:val="20"/>
        </w:numPr>
        <w:autoSpaceDE w:val="0"/>
        <w:autoSpaceDN w:val="0"/>
        <w:adjustRightInd w:val="0"/>
        <w:spacing w:line="360" w:lineRule="auto"/>
        <w:ind w:left="0" w:firstLine="420" w:firstLineChars="200"/>
        <w:textAlignment w:val="bottom"/>
        <w:rPr>
          <w:rFonts w:hint="eastAsia" w:ascii="宋体"/>
          <w:szCs w:val="21"/>
        </w:rPr>
      </w:pPr>
      <w:r>
        <w:rPr>
          <w:rFonts w:hint="eastAsia" w:ascii="宋体"/>
          <w:szCs w:val="21"/>
        </w:rPr>
        <w:t>有害垃圾收集必须专人、专车，配备专用封闭车辆或封闭容器，收集过程须保持全程封闭，无遗洒、飘撒</w:t>
      </w:r>
    </w:p>
    <w:p>
      <w:pPr>
        <w:numPr>
          <w:ilvl w:val="0"/>
          <w:numId w:val="20"/>
        </w:numPr>
        <w:autoSpaceDE w:val="0"/>
        <w:autoSpaceDN w:val="0"/>
        <w:adjustRightInd w:val="0"/>
        <w:spacing w:line="360" w:lineRule="auto"/>
        <w:ind w:left="0" w:firstLine="420" w:firstLineChars="200"/>
        <w:textAlignment w:val="bottom"/>
        <w:rPr>
          <w:rFonts w:hint="eastAsia" w:ascii="宋体"/>
          <w:szCs w:val="21"/>
        </w:rPr>
      </w:pPr>
      <w:r>
        <w:rPr>
          <w:rFonts w:hint="eastAsia" w:ascii="宋体"/>
          <w:szCs w:val="21"/>
        </w:rPr>
        <w:t>收集人员做好自身防护，作业车辆配备灭火器，作业期间严禁烟火。</w:t>
      </w:r>
    </w:p>
    <w:p>
      <w:pPr>
        <w:numPr>
          <w:ilvl w:val="0"/>
          <w:numId w:val="20"/>
        </w:numPr>
        <w:autoSpaceDE w:val="0"/>
        <w:autoSpaceDN w:val="0"/>
        <w:adjustRightInd w:val="0"/>
        <w:spacing w:line="360" w:lineRule="auto"/>
        <w:ind w:left="0" w:firstLine="420" w:firstLineChars="200"/>
        <w:textAlignment w:val="bottom"/>
        <w:rPr>
          <w:rFonts w:hint="eastAsia" w:ascii="宋体"/>
          <w:szCs w:val="21"/>
        </w:rPr>
      </w:pPr>
      <w:r>
        <w:rPr>
          <w:rFonts w:hint="eastAsia" w:ascii="宋体"/>
          <w:szCs w:val="21"/>
        </w:rPr>
        <w:t>有害垃圾收集必须收集至指定场所（有害垃圾暂存点），不得自行处置有害垃圾。</w:t>
      </w:r>
    </w:p>
    <w:p>
      <w:pPr>
        <w:numPr>
          <w:ilvl w:val="0"/>
          <w:numId w:val="20"/>
        </w:numPr>
        <w:autoSpaceDE w:val="0"/>
        <w:autoSpaceDN w:val="0"/>
        <w:adjustRightInd w:val="0"/>
        <w:spacing w:line="360" w:lineRule="auto"/>
        <w:ind w:left="0" w:firstLine="420" w:firstLineChars="200"/>
        <w:textAlignment w:val="bottom"/>
        <w:rPr>
          <w:rFonts w:hint="eastAsia" w:ascii="宋体"/>
          <w:szCs w:val="21"/>
        </w:rPr>
      </w:pPr>
      <w:r>
        <w:rPr>
          <w:rFonts w:hint="eastAsia" w:ascii="宋体"/>
          <w:szCs w:val="21"/>
        </w:rPr>
        <w:t>建立有害垃圾收集应急预案。</w:t>
      </w:r>
    </w:p>
    <w:p>
      <w:pPr>
        <w:numPr>
          <w:ilvl w:val="0"/>
          <w:numId w:val="20"/>
        </w:numPr>
        <w:autoSpaceDE w:val="0"/>
        <w:autoSpaceDN w:val="0"/>
        <w:adjustRightInd w:val="0"/>
        <w:spacing w:line="360" w:lineRule="auto"/>
        <w:ind w:left="0" w:firstLine="420" w:firstLineChars="200"/>
        <w:textAlignment w:val="bottom"/>
        <w:rPr>
          <w:rFonts w:hint="eastAsia"/>
        </w:rPr>
      </w:pPr>
      <w:r>
        <w:rPr>
          <w:rFonts w:hint="eastAsia" w:ascii="宋体"/>
          <w:szCs w:val="21"/>
        </w:rPr>
        <w:t>收集运输中做好“三防”措施，参照危废管理相关要求。</w:t>
      </w:r>
    </w:p>
    <w:p>
      <w:pPr>
        <w:numPr>
          <w:ilvl w:val="0"/>
          <w:numId w:val="20"/>
        </w:numPr>
        <w:autoSpaceDE w:val="0"/>
        <w:autoSpaceDN w:val="0"/>
        <w:adjustRightInd w:val="0"/>
        <w:spacing w:line="360" w:lineRule="auto"/>
        <w:ind w:left="0" w:firstLine="420" w:firstLineChars="200"/>
        <w:textAlignment w:val="bottom"/>
        <w:rPr>
          <w:rFonts w:hint="eastAsia"/>
        </w:rPr>
      </w:pPr>
      <w:r>
        <w:rPr>
          <w:rFonts w:hint="eastAsia" w:ascii="宋体"/>
          <w:szCs w:val="21"/>
        </w:rPr>
        <w:t>公布有害垃圾收集预约联系人，预约时间要求等。</w:t>
      </w:r>
    </w:p>
    <w:p>
      <w:pPr>
        <w:overflowPunct w:val="0"/>
        <w:snapToGrid w:val="0"/>
        <w:spacing w:line="360" w:lineRule="auto"/>
        <w:ind w:firstLine="420" w:firstLineChars="200"/>
        <w:outlineLvl w:val="3"/>
        <w:rPr>
          <w:rFonts w:hint="eastAsia"/>
          <w:szCs w:val="22"/>
        </w:rPr>
      </w:pPr>
      <w:r>
        <w:rPr>
          <w:rFonts w:hint="eastAsia"/>
          <w:szCs w:val="22"/>
        </w:rPr>
        <w:t>（4）其他垃圾收集要求：按“（七）垃圾收集与清运要求”进行收集处理。</w:t>
      </w:r>
    </w:p>
    <w:p>
      <w:pPr>
        <w:overflowPunct w:val="0"/>
        <w:snapToGrid w:val="0"/>
        <w:spacing w:line="360" w:lineRule="auto"/>
        <w:ind w:firstLine="422" w:firstLineChars="200"/>
        <w:outlineLvl w:val="3"/>
        <w:rPr>
          <w:rFonts w:hint="eastAsia"/>
          <w:szCs w:val="22"/>
        </w:rPr>
      </w:pPr>
      <w:r>
        <w:rPr>
          <w:rFonts w:hint="eastAsia" w:ascii="宋体"/>
          <w:b/>
          <w:szCs w:val="21"/>
        </w:rPr>
        <w:t>4、特殊要求</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1）已实施（或本项目合同实施期间将实施）生活垃圾分类投放的区域，供应商收集、清运、处置垃圾须按规定执行分类。其中涉及的可回收物、有害垃圾、易腐垃圾、其他垃圾须按照省市相关规定分类收集、分类运输、分类处置，所需费用纳入投标总价。</w:t>
      </w:r>
    </w:p>
    <w:p>
      <w:pPr>
        <w:overflowPunct w:val="0"/>
        <w:adjustRightInd w:val="0"/>
        <w:spacing w:line="360" w:lineRule="auto"/>
        <w:ind w:firstLine="420" w:firstLineChars="200"/>
        <w:textAlignment w:val="bottom"/>
        <w:rPr>
          <w:rFonts w:hint="eastAsia" w:ascii="宋体"/>
          <w:szCs w:val="21"/>
        </w:rPr>
      </w:pPr>
      <w:r>
        <w:rPr>
          <w:rFonts w:hint="eastAsia" w:ascii="宋体"/>
          <w:szCs w:val="21"/>
        </w:rPr>
        <w:t>（2）</w:t>
      </w:r>
      <w:r>
        <w:rPr>
          <w:rFonts w:hint="eastAsia" w:ascii="宋体" w:hAnsi="宋体" w:cs="宋体"/>
          <w:szCs w:val="21"/>
        </w:rPr>
        <w:t>现尚未实施生活垃圾分类投放的的区域，在逐步推行垃圾分类后，供应商须按规定进行分类收集运输</w:t>
      </w:r>
      <w:r>
        <w:rPr>
          <w:rFonts w:hint="eastAsia" w:ascii="宋体"/>
          <w:szCs w:val="21"/>
        </w:rPr>
        <w:t>。</w:t>
      </w:r>
    </w:p>
    <w:p>
      <w:pPr>
        <w:overflowPunct w:val="0"/>
        <w:spacing w:line="360" w:lineRule="auto"/>
        <w:ind w:firstLine="413" w:firstLineChars="196"/>
        <w:outlineLvl w:val="2"/>
        <w:rPr>
          <w:rFonts w:ascii="宋体"/>
          <w:b/>
          <w:szCs w:val="21"/>
        </w:rPr>
      </w:pPr>
      <w:bookmarkStart w:id="219" w:name="_Toc8171"/>
      <w:bookmarkStart w:id="220" w:name="_Toc7146"/>
      <w:bookmarkStart w:id="221" w:name="_Toc64913340"/>
      <w:bookmarkStart w:id="222" w:name="_Toc64901756"/>
      <w:bookmarkStart w:id="223" w:name="_Toc20288"/>
      <w:r>
        <w:rPr>
          <w:rFonts w:hint="eastAsia" w:ascii="宋体"/>
          <w:b/>
          <w:szCs w:val="21"/>
        </w:rPr>
        <w:t>（十一）首次进场“大扫除”要求</w:t>
      </w:r>
      <w:bookmarkEnd w:id="219"/>
      <w:bookmarkEnd w:id="220"/>
      <w:bookmarkEnd w:id="221"/>
      <w:bookmarkEnd w:id="222"/>
      <w:bookmarkEnd w:id="223"/>
    </w:p>
    <w:p>
      <w:pPr>
        <w:overflowPunct w:val="0"/>
        <w:spacing w:line="360" w:lineRule="auto"/>
        <w:ind w:firstLine="420" w:firstLineChars="200"/>
        <w:rPr>
          <w:rFonts w:hint="eastAsia" w:ascii="宋体"/>
          <w:szCs w:val="21"/>
        </w:rPr>
      </w:pPr>
      <w:r>
        <w:rPr>
          <w:rFonts w:hint="eastAsia" w:ascii="宋体"/>
          <w:szCs w:val="21"/>
        </w:rPr>
        <w:t>供应商在进场作业后</w:t>
      </w:r>
      <w:r>
        <w:rPr>
          <w:rFonts w:ascii="宋体"/>
          <w:szCs w:val="21"/>
        </w:rPr>
        <w:t>30</w:t>
      </w:r>
      <w:r>
        <w:rPr>
          <w:rFonts w:hint="eastAsia" w:ascii="宋体"/>
          <w:szCs w:val="21"/>
        </w:rPr>
        <w:t>日历天内，须根据前10项中“质量要求”、“作业要求”内容规定，对保洁区域进行一次全方位环境卫生普查，并根据普查结果，对不达标保洁区域环境卫生进行一次“大扫除”，清除、清运保洁区域内历史积存的所有垃圾，确保正常进入日常保洁工作中，并使城乡面貌得以改善。具体要求如下：</w:t>
      </w:r>
    </w:p>
    <w:p>
      <w:pPr>
        <w:overflowPunct w:val="0"/>
        <w:spacing w:line="360" w:lineRule="auto"/>
        <w:ind w:firstLine="420" w:firstLineChars="200"/>
        <w:rPr>
          <w:rFonts w:hint="eastAsia" w:ascii="宋体"/>
          <w:szCs w:val="21"/>
        </w:rPr>
      </w:pPr>
      <w:r>
        <w:rPr>
          <w:rFonts w:hint="eastAsia" w:ascii="宋体"/>
          <w:szCs w:val="21"/>
        </w:rPr>
        <w:t>（1）道路（含公路）、公园、广场及公共绿地达到“七无”、“五净”、“一通”标准；</w:t>
      </w:r>
    </w:p>
    <w:p>
      <w:pPr>
        <w:overflowPunct w:val="0"/>
        <w:spacing w:line="360" w:lineRule="auto"/>
        <w:ind w:firstLine="420" w:firstLineChars="200"/>
        <w:rPr>
          <w:rFonts w:hint="eastAsia" w:ascii="宋体"/>
          <w:szCs w:val="21"/>
        </w:rPr>
      </w:pPr>
      <w:r>
        <w:rPr>
          <w:rFonts w:hint="eastAsia" w:ascii="宋体"/>
          <w:szCs w:val="21"/>
        </w:rPr>
        <w:t>（2）市政设施、城市家具达到表面无积尘、干净整洁；</w:t>
      </w:r>
    </w:p>
    <w:p>
      <w:pPr>
        <w:overflowPunct w:val="0"/>
        <w:spacing w:line="360" w:lineRule="auto"/>
        <w:ind w:firstLine="420" w:firstLineChars="200"/>
        <w:rPr>
          <w:rFonts w:hint="eastAsia" w:ascii="宋体"/>
          <w:szCs w:val="21"/>
        </w:rPr>
      </w:pPr>
      <w:r>
        <w:rPr>
          <w:rFonts w:hint="eastAsia" w:ascii="宋体"/>
          <w:szCs w:val="21"/>
        </w:rPr>
        <w:t>（3）河道达到水面无垃圾、病死动物及水葫芦等漂浮物；</w:t>
      </w:r>
    </w:p>
    <w:p>
      <w:pPr>
        <w:overflowPunct w:val="0"/>
        <w:spacing w:line="360" w:lineRule="auto"/>
        <w:ind w:firstLine="420" w:firstLineChars="200"/>
        <w:rPr>
          <w:rFonts w:hint="eastAsia" w:ascii="宋体"/>
          <w:szCs w:val="21"/>
        </w:rPr>
      </w:pPr>
      <w:r>
        <w:rPr>
          <w:rFonts w:hint="eastAsia" w:ascii="宋体"/>
          <w:szCs w:val="21"/>
        </w:rPr>
        <w:t>（4）公厕达到地面、蹲坑、便池、墙壁、挡板等整洁、无积水、纸屑、垃圾、粪便、污水等；</w:t>
      </w:r>
    </w:p>
    <w:p>
      <w:pPr>
        <w:overflowPunct w:val="0"/>
        <w:spacing w:line="360" w:lineRule="auto"/>
        <w:ind w:firstLine="420" w:firstLineChars="200"/>
        <w:rPr>
          <w:rFonts w:hint="eastAsia" w:ascii="宋体"/>
          <w:szCs w:val="21"/>
        </w:rPr>
      </w:pPr>
      <w:r>
        <w:rPr>
          <w:rFonts w:hint="eastAsia" w:ascii="宋体"/>
          <w:szCs w:val="21"/>
        </w:rPr>
        <w:t>（5）及时收集垃圾、无主的建筑垃圾（含装修垃圾、废弃家具）及其他零星垃圾并清运至指定地点进行消纳；</w:t>
      </w:r>
    </w:p>
    <w:p>
      <w:pPr>
        <w:pStyle w:val="16"/>
        <w:overflowPunct w:val="0"/>
        <w:spacing w:after="0" w:line="360" w:lineRule="auto"/>
        <w:ind w:left="0" w:leftChars="0" w:firstLine="420" w:firstLineChars="200"/>
        <w:rPr>
          <w:rFonts w:hint="eastAsia" w:ascii="宋体"/>
          <w:szCs w:val="21"/>
        </w:rPr>
      </w:pPr>
      <w:r>
        <w:rPr>
          <w:rFonts w:hint="eastAsia" w:ascii="宋体"/>
          <w:szCs w:val="21"/>
        </w:rPr>
        <w:t>（6）及时清理未处理的小广告；</w:t>
      </w:r>
    </w:p>
    <w:p>
      <w:pPr>
        <w:pStyle w:val="16"/>
        <w:overflowPunct w:val="0"/>
        <w:spacing w:after="0" w:line="360" w:lineRule="auto"/>
        <w:ind w:left="0" w:leftChars="0" w:firstLine="420" w:firstLineChars="200"/>
        <w:rPr>
          <w:rFonts w:hint="eastAsia" w:ascii="宋体"/>
          <w:szCs w:val="21"/>
        </w:rPr>
      </w:pPr>
      <w:r>
        <w:rPr>
          <w:rFonts w:hint="eastAsia" w:ascii="宋体"/>
          <w:szCs w:val="21"/>
        </w:rPr>
        <w:t>（7）按工作实施方案对垃圾进行分类。</w:t>
      </w:r>
    </w:p>
    <w:p>
      <w:pPr>
        <w:overflowPunct w:val="0"/>
        <w:spacing w:line="360" w:lineRule="auto"/>
        <w:ind w:firstLine="413" w:firstLineChars="196"/>
        <w:outlineLvl w:val="2"/>
        <w:rPr>
          <w:rFonts w:ascii="宋体"/>
          <w:b/>
          <w:szCs w:val="21"/>
        </w:rPr>
      </w:pPr>
      <w:bookmarkStart w:id="224" w:name="_Toc64901757"/>
      <w:bookmarkStart w:id="225" w:name="_Toc3408"/>
      <w:bookmarkStart w:id="226" w:name="_Toc18510"/>
      <w:bookmarkStart w:id="227" w:name="_Toc14743"/>
      <w:bookmarkStart w:id="228" w:name="_Toc64913341"/>
      <w:r>
        <w:rPr>
          <w:rFonts w:hint="eastAsia" w:ascii="宋体"/>
          <w:b/>
          <w:szCs w:val="21"/>
        </w:rPr>
        <w:t>（十二）本项目保洁区域内未列明的其他保洁要求内容，均参照招标文件中上述要求标准及相关标准规定执行。</w:t>
      </w:r>
      <w:bookmarkEnd w:id="224"/>
      <w:bookmarkEnd w:id="225"/>
      <w:bookmarkEnd w:id="226"/>
      <w:bookmarkEnd w:id="227"/>
      <w:bookmarkEnd w:id="228"/>
    </w:p>
    <w:p>
      <w:pPr>
        <w:overflowPunct w:val="0"/>
        <w:spacing w:line="360" w:lineRule="auto"/>
        <w:ind w:firstLine="413" w:firstLineChars="196"/>
        <w:outlineLvl w:val="2"/>
        <w:rPr>
          <w:rFonts w:ascii="宋体"/>
          <w:b/>
          <w:szCs w:val="21"/>
        </w:rPr>
      </w:pPr>
      <w:bookmarkStart w:id="229" w:name="_Toc7273"/>
      <w:bookmarkStart w:id="230" w:name="_Toc64913342"/>
      <w:bookmarkStart w:id="231" w:name="_Toc18862"/>
      <w:bookmarkStart w:id="232" w:name="_Toc64901758"/>
      <w:bookmarkStart w:id="233" w:name="_Toc3766"/>
      <w:r>
        <w:rPr>
          <w:rFonts w:hint="eastAsia" w:ascii="宋体"/>
          <w:b/>
          <w:szCs w:val="21"/>
        </w:rPr>
        <w:t>（十三）报告制度</w:t>
      </w:r>
      <w:bookmarkEnd w:id="229"/>
      <w:bookmarkEnd w:id="230"/>
      <w:bookmarkEnd w:id="231"/>
      <w:bookmarkEnd w:id="232"/>
      <w:bookmarkEnd w:id="233"/>
    </w:p>
    <w:p>
      <w:pPr>
        <w:overflowPunct w:val="0"/>
        <w:adjustRightInd w:val="0"/>
        <w:spacing w:line="360" w:lineRule="auto"/>
        <w:ind w:firstLine="420" w:firstLineChars="200"/>
        <w:textAlignment w:val="bottom"/>
        <w:rPr>
          <w:rFonts w:ascii="宋体"/>
          <w:szCs w:val="21"/>
        </w:rPr>
      </w:pPr>
      <w:r>
        <w:rPr>
          <w:rFonts w:hint="eastAsia" w:ascii="宋体"/>
          <w:szCs w:val="21"/>
        </w:rPr>
        <w:t xml:space="preserve"> 中标供应商对保洁范围内跟环境卫生有关的内容，但不属于其公司保洁范围的要及时上报（发现后24小时内须上报），如排水管堵塞、乱堆乱放、偷倒工业垃圾、僵尸车、遇突发事件、公厕内的设施因其他人为因素的损坏、其他影响市容市貌的情况等。</w:t>
      </w:r>
    </w:p>
    <w:p>
      <w:pPr>
        <w:overflowPunct w:val="0"/>
        <w:spacing w:line="360" w:lineRule="auto"/>
        <w:ind w:firstLine="413" w:firstLineChars="196"/>
        <w:outlineLvl w:val="2"/>
        <w:rPr>
          <w:rFonts w:ascii="宋体"/>
          <w:b/>
          <w:szCs w:val="21"/>
        </w:rPr>
      </w:pPr>
      <w:bookmarkStart w:id="234" w:name="_Toc7812"/>
      <w:bookmarkStart w:id="235" w:name="_Toc64901759"/>
      <w:bookmarkStart w:id="236" w:name="_Toc24244"/>
      <w:bookmarkStart w:id="237" w:name="_Toc5304"/>
      <w:bookmarkStart w:id="238" w:name="_Toc64913343"/>
      <w:r>
        <w:rPr>
          <w:rFonts w:hint="eastAsia" w:ascii="宋体"/>
          <w:b/>
          <w:szCs w:val="21"/>
        </w:rPr>
        <w:t>（十四）其他特殊情况的处理</w:t>
      </w:r>
      <w:bookmarkEnd w:id="234"/>
      <w:bookmarkEnd w:id="235"/>
      <w:bookmarkEnd w:id="236"/>
      <w:bookmarkEnd w:id="237"/>
      <w:bookmarkEnd w:id="238"/>
    </w:p>
    <w:p>
      <w:pPr>
        <w:overflowPunct w:val="0"/>
        <w:adjustRightInd w:val="0"/>
        <w:spacing w:line="360" w:lineRule="auto"/>
        <w:ind w:firstLine="420" w:firstLineChars="200"/>
        <w:textAlignment w:val="bottom"/>
        <w:rPr>
          <w:rFonts w:ascii="宋体"/>
          <w:szCs w:val="21"/>
        </w:rPr>
      </w:pPr>
      <w:r>
        <w:rPr>
          <w:rFonts w:hint="eastAsia" w:ascii="宋体"/>
          <w:szCs w:val="21"/>
        </w:rPr>
        <w:t>如遇到异常恶劣的气候条件（瑞安气象台发布以下天气预警信号，其他不计：台风预警黄色及以上、暴雨预警橙色及以上、暴雪预警橙色及以上、大风预警橙色及以上、雷电预警橙色及以上、高温预警橙色及以上）、大雾、寒潮、高温等，中标供应商须上报采购人备案，以确定当天的保洁部署情况及考核情况。</w:t>
      </w:r>
    </w:p>
    <w:p>
      <w:pPr>
        <w:overflowPunct w:val="0"/>
        <w:spacing w:line="360" w:lineRule="auto"/>
        <w:ind w:left="420"/>
        <w:outlineLvl w:val="1"/>
        <w:rPr>
          <w:rFonts w:hint="eastAsia" w:ascii="宋体"/>
          <w:b/>
          <w:szCs w:val="21"/>
        </w:rPr>
      </w:pPr>
      <w:bookmarkStart w:id="239" w:name="_Toc3227"/>
      <w:bookmarkStart w:id="240" w:name="_Toc64901760"/>
      <w:bookmarkStart w:id="241" w:name="_Toc64913344"/>
      <w:r>
        <w:rPr>
          <w:rFonts w:hint="eastAsia" w:ascii="宋体"/>
          <w:b/>
          <w:szCs w:val="21"/>
        </w:rPr>
        <w:t>四、人员投入配置参考及相关要求</w:t>
      </w:r>
      <w:bookmarkEnd w:id="239"/>
      <w:bookmarkEnd w:id="240"/>
      <w:bookmarkEnd w:id="241"/>
    </w:p>
    <w:tbl>
      <w:tblPr>
        <w:tblStyle w:val="35"/>
        <w:tblpPr w:leftFromText="180" w:rightFromText="180" w:vertAnchor="text" w:horzAnchor="page" w:tblpX="1411" w:tblpY="295"/>
        <w:tblOverlap w:val="never"/>
        <w:tblW w:w="9018" w:type="dxa"/>
        <w:tblInd w:w="0" w:type="dxa"/>
        <w:tblLayout w:type="fixed"/>
        <w:tblCellMar>
          <w:top w:w="0" w:type="dxa"/>
          <w:left w:w="108" w:type="dxa"/>
          <w:bottom w:w="0" w:type="dxa"/>
          <w:right w:w="108" w:type="dxa"/>
        </w:tblCellMar>
      </w:tblPr>
      <w:tblGrid>
        <w:gridCol w:w="675"/>
        <w:gridCol w:w="830"/>
        <w:gridCol w:w="2483"/>
        <w:gridCol w:w="2074"/>
        <w:gridCol w:w="2956"/>
      </w:tblGrid>
      <w:tr>
        <w:tblPrEx>
          <w:tblCellMar>
            <w:top w:w="0" w:type="dxa"/>
            <w:left w:w="108" w:type="dxa"/>
            <w:bottom w:w="0" w:type="dxa"/>
            <w:right w:w="108" w:type="dxa"/>
          </w:tblCellMar>
        </w:tblPrEx>
        <w:trPr>
          <w:trHeight w:val="440"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pacing w:line="360" w:lineRule="auto"/>
              <w:jc w:val="center"/>
              <w:textAlignment w:val="bottom"/>
              <w:rPr>
                <w:rFonts w:ascii="宋体" w:hAnsi="宋体"/>
                <w:szCs w:val="21"/>
              </w:rPr>
            </w:pPr>
            <w:r>
              <w:rPr>
                <w:rFonts w:hint="eastAsia" w:ascii="宋体" w:hAnsi="宋体"/>
                <w:szCs w:val="21"/>
              </w:rPr>
              <w:t>序号</w:t>
            </w: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pacing w:line="360" w:lineRule="auto"/>
              <w:jc w:val="center"/>
              <w:textAlignment w:val="bottom"/>
              <w:rPr>
                <w:rFonts w:ascii="宋体" w:hAnsi="宋体"/>
                <w:szCs w:val="21"/>
              </w:rPr>
            </w:pPr>
            <w:r>
              <w:rPr>
                <w:rFonts w:hint="eastAsia" w:ascii="宋体" w:hAnsi="宋体"/>
                <w:szCs w:val="21"/>
              </w:rPr>
              <w:t>岗位</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pacing w:line="360" w:lineRule="auto"/>
              <w:jc w:val="center"/>
              <w:textAlignment w:val="bottom"/>
              <w:rPr>
                <w:rFonts w:ascii="宋体" w:hAnsi="宋体"/>
                <w:szCs w:val="21"/>
              </w:rPr>
            </w:pPr>
            <w:r>
              <w:rPr>
                <w:rFonts w:hint="eastAsia" w:ascii="宋体" w:hAnsi="宋体"/>
                <w:szCs w:val="21"/>
              </w:rPr>
              <w:t>安阳街道投入数量（人）</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pacing w:line="360" w:lineRule="auto"/>
              <w:jc w:val="center"/>
              <w:textAlignment w:val="bottom"/>
              <w:rPr>
                <w:rFonts w:ascii="宋体" w:hAnsi="宋体"/>
                <w:szCs w:val="21"/>
              </w:rPr>
            </w:pPr>
            <w:r>
              <w:rPr>
                <w:rFonts w:hint="eastAsia" w:ascii="宋体" w:hAnsi="宋体"/>
                <w:szCs w:val="21"/>
              </w:rPr>
              <w:t>备注</w:t>
            </w:r>
          </w:p>
        </w:tc>
      </w:tr>
      <w:tr>
        <w:tblPrEx>
          <w:tblCellMar>
            <w:top w:w="0" w:type="dxa"/>
            <w:left w:w="108" w:type="dxa"/>
            <w:bottom w:w="0" w:type="dxa"/>
            <w:right w:w="108" w:type="dxa"/>
          </w:tblCellMar>
        </w:tblPrEx>
        <w:trPr>
          <w:trHeight w:val="440"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000000"/>
                <w:kern w:val="2"/>
                <w:szCs w:val="21"/>
              </w:rPr>
            </w:pPr>
            <w:r>
              <w:rPr>
                <w:rFonts w:hint="eastAsia" w:ascii="宋体" w:hAnsi="宋体"/>
                <w:color w:val="000000"/>
                <w:kern w:val="2"/>
                <w:szCs w:val="21"/>
              </w:rPr>
              <w:t>道路清扫、绿化保洁、公路保洁、非保洁区域的统一分类收运等（含清运、管理）</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olor w:val="000000"/>
                <w:kern w:val="2"/>
                <w:szCs w:val="21"/>
              </w:rPr>
            </w:pPr>
            <w:r>
              <w:rPr>
                <w:rFonts w:ascii="宋体" w:hAnsi="宋体"/>
                <w:color w:val="000000"/>
                <w:kern w:val="2"/>
                <w:szCs w:val="21"/>
              </w:rPr>
              <w:t>483</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000000"/>
                <w:kern w:val="2"/>
                <w:szCs w:val="21"/>
              </w:rPr>
            </w:pPr>
            <w:r>
              <w:rPr>
                <w:rFonts w:hint="eastAsia" w:ascii="宋体" w:hAnsi="宋体"/>
                <w:color w:val="000000"/>
                <w:kern w:val="2"/>
                <w:szCs w:val="21"/>
              </w:rPr>
              <w:t>含道路清扫、公路保洁、绿化保洁、行政村道路等</w:t>
            </w:r>
          </w:p>
        </w:tc>
      </w:tr>
      <w:tr>
        <w:tblPrEx>
          <w:tblCellMar>
            <w:top w:w="0" w:type="dxa"/>
            <w:left w:w="108" w:type="dxa"/>
            <w:bottom w:w="0" w:type="dxa"/>
            <w:right w:w="108" w:type="dxa"/>
          </w:tblCellMar>
        </w:tblPrEx>
        <w:trPr>
          <w:trHeight w:val="269"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Cs w:val="21"/>
              </w:rPr>
            </w:pPr>
            <w:r>
              <w:rPr>
                <w:rFonts w:hint="eastAsia" w:ascii="宋体" w:hAnsi="宋体"/>
                <w:kern w:val="2"/>
                <w:szCs w:val="21"/>
              </w:rPr>
              <w:t>瑞祥新区垃圾分类直运</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kern w:val="2"/>
                <w:szCs w:val="21"/>
              </w:rPr>
            </w:pPr>
            <w:r>
              <w:rPr>
                <w:rFonts w:ascii="宋体" w:hAnsi="宋体"/>
                <w:kern w:val="2"/>
                <w:szCs w:val="21"/>
              </w:rPr>
              <w:t>6</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000000"/>
                <w:kern w:val="2"/>
                <w:szCs w:val="21"/>
              </w:rPr>
            </w:pPr>
          </w:p>
        </w:tc>
      </w:tr>
      <w:tr>
        <w:tblPrEx>
          <w:tblCellMar>
            <w:top w:w="0" w:type="dxa"/>
            <w:left w:w="108" w:type="dxa"/>
            <w:bottom w:w="0" w:type="dxa"/>
            <w:right w:w="108" w:type="dxa"/>
          </w:tblCellMar>
        </w:tblPrEx>
        <w:trPr>
          <w:trHeight w:val="532" w:hRule="atLeast"/>
        </w:trPr>
        <w:tc>
          <w:tcPr>
            <w:tcW w:w="675" w:type="dxa"/>
            <w:vMerge w:val="restart"/>
            <w:tcBorders>
              <w:top w:val="single" w:color="auto" w:sz="4" w:space="0"/>
              <w:left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830" w:type="dxa"/>
            <w:vMerge w:val="restart"/>
            <w:tcBorders>
              <w:top w:val="single" w:color="auto" w:sz="4" w:space="0"/>
              <w:left w:val="single" w:color="auto" w:sz="4" w:space="0"/>
              <w:right w:val="single" w:color="auto" w:sz="4" w:space="0"/>
            </w:tcBorders>
            <w:noWrap w:val="0"/>
            <w:vAlign w:val="center"/>
          </w:tcPr>
          <w:p>
            <w:pPr>
              <w:rPr>
                <w:rFonts w:hint="eastAsia" w:ascii="宋体" w:hAnsi="宋体"/>
                <w:kern w:val="2"/>
                <w:szCs w:val="21"/>
              </w:rPr>
            </w:pPr>
            <w:r>
              <w:rPr>
                <w:rFonts w:hint="eastAsia" w:ascii="宋体" w:hAnsi="宋体"/>
                <w:kern w:val="2"/>
                <w:szCs w:val="21"/>
              </w:rPr>
              <w:t>公园广场</w:t>
            </w:r>
          </w:p>
        </w:tc>
        <w:tc>
          <w:tcPr>
            <w:tcW w:w="2483" w:type="dxa"/>
            <w:tcBorders>
              <w:top w:val="single" w:color="auto" w:sz="4" w:space="0"/>
              <w:left w:val="single" w:color="auto" w:sz="4" w:space="0"/>
              <w:right w:val="single" w:color="auto" w:sz="4" w:space="0"/>
            </w:tcBorders>
            <w:noWrap w:val="0"/>
            <w:vAlign w:val="center"/>
          </w:tcPr>
          <w:p>
            <w:pPr>
              <w:rPr>
                <w:rFonts w:hint="eastAsia" w:ascii="宋体" w:hAnsi="宋体"/>
                <w:kern w:val="2"/>
                <w:szCs w:val="21"/>
              </w:rPr>
            </w:pPr>
            <w:r>
              <w:rPr>
                <w:rFonts w:hint="eastAsia" w:ascii="宋体" w:hAnsi="宋体"/>
                <w:kern w:val="2"/>
                <w:szCs w:val="21"/>
              </w:rPr>
              <w:t>公园广场道路保洁和绿化保洁</w:t>
            </w:r>
          </w:p>
        </w:tc>
        <w:tc>
          <w:tcPr>
            <w:tcW w:w="2074" w:type="dxa"/>
            <w:tcBorders>
              <w:top w:val="single" w:color="auto" w:sz="4" w:space="0"/>
              <w:left w:val="single" w:color="auto" w:sz="4" w:space="0"/>
              <w:right w:val="single" w:color="auto" w:sz="4" w:space="0"/>
            </w:tcBorders>
            <w:noWrap w:val="0"/>
            <w:vAlign w:val="center"/>
          </w:tcPr>
          <w:p>
            <w:pPr>
              <w:jc w:val="center"/>
              <w:rPr>
                <w:rFonts w:hint="eastAsia" w:ascii="宋体" w:hAnsi="宋体"/>
                <w:kern w:val="2"/>
                <w:szCs w:val="21"/>
              </w:rPr>
            </w:pPr>
            <w:r>
              <w:rPr>
                <w:rFonts w:ascii="宋体" w:hAnsi="宋体"/>
                <w:kern w:val="2"/>
                <w:szCs w:val="21"/>
              </w:rPr>
              <w:t>47</w:t>
            </w:r>
          </w:p>
        </w:tc>
        <w:tc>
          <w:tcPr>
            <w:tcW w:w="2956" w:type="dxa"/>
            <w:tcBorders>
              <w:top w:val="single" w:color="auto" w:sz="4" w:space="0"/>
              <w:left w:val="single" w:color="auto" w:sz="4" w:space="0"/>
              <w:right w:val="single" w:color="auto" w:sz="4" w:space="0"/>
            </w:tcBorders>
            <w:noWrap w:val="0"/>
            <w:vAlign w:val="center"/>
          </w:tcPr>
          <w:p>
            <w:pPr>
              <w:rPr>
                <w:rFonts w:ascii="宋体" w:hAnsi="宋体"/>
                <w:color w:val="000000"/>
                <w:kern w:val="2"/>
                <w:szCs w:val="21"/>
              </w:rPr>
            </w:pPr>
          </w:p>
        </w:tc>
      </w:tr>
      <w:tr>
        <w:tblPrEx>
          <w:tblCellMar>
            <w:top w:w="0" w:type="dxa"/>
            <w:left w:w="108" w:type="dxa"/>
            <w:bottom w:w="0" w:type="dxa"/>
            <w:right w:w="108" w:type="dxa"/>
          </w:tblCellMar>
        </w:tblPrEx>
        <w:trPr>
          <w:trHeight w:val="630" w:hRule="atLeast"/>
        </w:trPr>
        <w:tc>
          <w:tcPr>
            <w:tcW w:w="675" w:type="dxa"/>
            <w:vMerge w:val="continue"/>
            <w:tcBorders>
              <w:left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830" w:type="dxa"/>
            <w:vMerge w:val="continue"/>
            <w:tcBorders>
              <w:left w:val="single" w:color="auto" w:sz="4" w:space="0"/>
              <w:right w:val="single" w:color="auto" w:sz="4" w:space="0"/>
            </w:tcBorders>
            <w:noWrap w:val="0"/>
            <w:vAlign w:val="center"/>
          </w:tcPr>
          <w:p>
            <w:pPr>
              <w:rPr>
                <w:rFonts w:hint="eastAsia" w:ascii="宋体" w:hAnsi="宋体"/>
                <w:kern w:val="2"/>
                <w:szCs w:val="21"/>
              </w:rPr>
            </w:pPr>
          </w:p>
        </w:tc>
        <w:tc>
          <w:tcPr>
            <w:tcW w:w="2483" w:type="dxa"/>
            <w:tcBorders>
              <w:top w:val="single" w:color="auto" w:sz="4" w:space="0"/>
              <w:left w:val="single" w:color="auto" w:sz="4" w:space="0"/>
              <w:right w:val="single" w:color="auto" w:sz="4" w:space="0"/>
            </w:tcBorders>
            <w:noWrap w:val="0"/>
            <w:vAlign w:val="center"/>
          </w:tcPr>
          <w:p>
            <w:pPr>
              <w:rPr>
                <w:rFonts w:hint="eastAsia" w:ascii="宋体" w:hAnsi="宋体"/>
                <w:kern w:val="2"/>
                <w:szCs w:val="21"/>
              </w:rPr>
            </w:pPr>
            <w:r>
              <w:rPr>
                <w:rFonts w:hint="eastAsia" w:ascii="宋体" w:hAnsi="宋体"/>
                <w:kern w:val="2"/>
                <w:szCs w:val="21"/>
              </w:rPr>
              <w:t>公园广场公厕保洁</w:t>
            </w:r>
          </w:p>
        </w:tc>
        <w:tc>
          <w:tcPr>
            <w:tcW w:w="2074" w:type="dxa"/>
            <w:tcBorders>
              <w:top w:val="single" w:color="auto" w:sz="4" w:space="0"/>
              <w:left w:val="single" w:color="auto" w:sz="4" w:space="0"/>
              <w:right w:val="single" w:color="auto" w:sz="4" w:space="0"/>
            </w:tcBorders>
            <w:noWrap w:val="0"/>
            <w:vAlign w:val="center"/>
          </w:tcPr>
          <w:p>
            <w:pPr>
              <w:jc w:val="center"/>
              <w:rPr>
                <w:rFonts w:hint="eastAsia" w:ascii="宋体" w:hAnsi="宋体"/>
                <w:kern w:val="2"/>
                <w:szCs w:val="21"/>
              </w:rPr>
            </w:pPr>
            <w:r>
              <w:rPr>
                <w:rFonts w:ascii="宋体" w:hAnsi="宋体"/>
                <w:kern w:val="2"/>
                <w:szCs w:val="21"/>
              </w:rPr>
              <w:t>10</w:t>
            </w:r>
          </w:p>
        </w:tc>
        <w:tc>
          <w:tcPr>
            <w:tcW w:w="2956" w:type="dxa"/>
            <w:tcBorders>
              <w:top w:val="single" w:color="auto" w:sz="4" w:space="0"/>
              <w:left w:val="single" w:color="auto" w:sz="4" w:space="0"/>
              <w:right w:val="single" w:color="auto" w:sz="4" w:space="0"/>
            </w:tcBorders>
            <w:noWrap w:val="0"/>
            <w:vAlign w:val="center"/>
          </w:tcPr>
          <w:p>
            <w:pPr>
              <w:rPr>
                <w:rFonts w:ascii="宋体" w:hAnsi="宋体"/>
                <w:color w:val="000000"/>
                <w:kern w:val="2"/>
                <w:szCs w:val="21"/>
              </w:rPr>
            </w:pPr>
          </w:p>
        </w:tc>
      </w:tr>
      <w:tr>
        <w:tblPrEx>
          <w:tblCellMar>
            <w:top w:w="0" w:type="dxa"/>
            <w:left w:w="108" w:type="dxa"/>
            <w:bottom w:w="0" w:type="dxa"/>
            <w:right w:w="108" w:type="dxa"/>
          </w:tblCellMar>
        </w:tblPrEx>
        <w:trPr>
          <w:trHeight w:val="308"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Cs w:val="21"/>
              </w:rPr>
            </w:pPr>
            <w:r>
              <w:rPr>
                <w:rFonts w:hint="eastAsia" w:ascii="宋体" w:hAnsi="宋体"/>
                <w:kern w:val="2"/>
                <w:szCs w:val="21"/>
              </w:rPr>
              <w:t>河道保洁</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kern w:val="2"/>
                <w:szCs w:val="21"/>
              </w:rPr>
            </w:pPr>
            <w:r>
              <w:rPr>
                <w:rFonts w:hint="eastAsia" w:ascii="宋体" w:hAnsi="宋体"/>
                <w:kern w:val="2"/>
                <w:szCs w:val="21"/>
              </w:rPr>
              <w:t>1</w:t>
            </w:r>
            <w:r>
              <w:rPr>
                <w:rFonts w:ascii="宋体" w:hAnsi="宋体"/>
                <w:kern w:val="2"/>
                <w:szCs w:val="21"/>
              </w:rPr>
              <w:t>8</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000000"/>
                <w:kern w:val="2"/>
                <w:szCs w:val="21"/>
              </w:rPr>
            </w:pPr>
          </w:p>
        </w:tc>
      </w:tr>
      <w:tr>
        <w:tblPrEx>
          <w:tblCellMar>
            <w:top w:w="0" w:type="dxa"/>
            <w:left w:w="108" w:type="dxa"/>
            <w:bottom w:w="0" w:type="dxa"/>
            <w:right w:w="108" w:type="dxa"/>
          </w:tblCellMar>
        </w:tblPrEx>
        <w:trPr>
          <w:trHeight w:val="314"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Cs w:val="21"/>
              </w:rPr>
            </w:pPr>
            <w:r>
              <w:rPr>
                <w:rFonts w:hint="eastAsia" w:ascii="宋体" w:hAnsi="宋体"/>
                <w:kern w:val="2"/>
                <w:szCs w:val="21"/>
              </w:rPr>
              <w:t>公厕保洁</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kern w:val="2"/>
                <w:szCs w:val="21"/>
              </w:rPr>
            </w:pPr>
            <w:r>
              <w:rPr>
                <w:rFonts w:ascii="宋体" w:hAnsi="宋体"/>
                <w:kern w:val="2"/>
                <w:szCs w:val="21"/>
              </w:rPr>
              <w:t>16</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000000"/>
                <w:kern w:val="2"/>
                <w:szCs w:val="21"/>
              </w:rPr>
            </w:pPr>
          </w:p>
        </w:tc>
      </w:tr>
      <w:tr>
        <w:tblPrEx>
          <w:tblCellMar>
            <w:top w:w="0" w:type="dxa"/>
            <w:left w:w="108" w:type="dxa"/>
            <w:bottom w:w="0" w:type="dxa"/>
            <w:right w:w="108" w:type="dxa"/>
          </w:tblCellMar>
        </w:tblPrEx>
        <w:trPr>
          <w:trHeight w:val="440"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Cs w:val="21"/>
              </w:rPr>
            </w:pPr>
            <w:r>
              <w:rPr>
                <w:rFonts w:hint="eastAsia" w:ascii="宋体" w:hAnsi="宋体"/>
                <w:kern w:val="2"/>
                <w:szCs w:val="21"/>
              </w:rPr>
              <w:t>小广告治理</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kern w:val="2"/>
                <w:szCs w:val="21"/>
              </w:rPr>
            </w:pPr>
            <w:r>
              <w:rPr>
                <w:rFonts w:hint="eastAsia" w:ascii="宋体" w:hAnsi="宋体"/>
                <w:kern w:val="2"/>
                <w:szCs w:val="21"/>
              </w:rPr>
              <w:t>8</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color w:val="000000"/>
                <w:kern w:val="2"/>
                <w:szCs w:val="21"/>
              </w:rPr>
            </w:pPr>
          </w:p>
        </w:tc>
      </w:tr>
      <w:tr>
        <w:tblPrEx>
          <w:tblCellMar>
            <w:top w:w="0" w:type="dxa"/>
            <w:left w:w="108" w:type="dxa"/>
            <w:bottom w:w="0" w:type="dxa"/>
            <w:right w:w="108" w:type="dxa"/>
          </w:tblCellMar>
        </w:tblPrEx>
        <w:trPr>
          <w:trHeight w:val="440"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kern w:val="2"/>
                <w:szCs w:val="21"/>
              </w:rPr>
            </w:pPr>
            <w:r>
              <w:rPr>
                <w:rFonts w:hint="eastAsia" w:ascii="宋体" w:hAnsi="宋体"/>
                <w:kern w:val="2"/>
                <w:szCs w:val="21"/>
              </w:rPr>
              <w:t>城市家具保洁</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kern w:val="2"/>
                <w:szCs w:val="21"/>
              </w:rPr>
            </w:pPr>
            <w:r>
              <w:rPr>
                <w:rFonts w:hint="eastAsia" w:ascii="宋体" w:hAnsi="宋体"/>
                <w:kern w:val="2"/>
                <w:szCs w:val="21"/>
              </w:rPr>
              <w:t>2</w:t>
            </w:r>
            <w:r>
              <w:rPr>
                <w:rFonts w:ascii="宋体" w:hAnsi="宋体"/>
                <w:kern w:val="2"/>
                <w:szCs w:val="21"/>
              </w:rPr>
              <w:t>0</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color w:val="000000"/>
                <w:kern w:val="2"/>
                <w:szCs w:val="21"/>
              </w:rPr>
            </w:pPr>
          </w:p>
        </w:tc>
      </w:tr>
      <w:tr>
        <w:tblPrEx>
          <w:tblCellMar>
            <w:top w:w="0" w:type="dxa"/>
            <w:left w:w="108" w:type="dxa"/>
            <w:bottom w:w="0" w:type="dxa"/>
            <w:right w:w="108" w:type="dxa"/>
          </w:tblCellMar>
        </w:tblPrEx>
        <w:trPr>
          <w:trHeight w:val="440"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Cs w:val="21"/>
              </w:rPr>
            </w:pPr>
            <w:r>
              <w:rPr>
                <w:rFonts w:hint="eastAsia" w:ascii="宋体" w:hAnsi="宋体"/>
                <w:kern w:val="2"/>
                <w:szCs w:val="21"/>
              </w:rPr>
              <w:t>机动车驾驶员（含装载机、挖掘机）</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kern w:val="2"/>
                <w:szCs w:val="21"/>
              </w:rPr>
            </w:pPr>
            <w:r>
              <w:rPr>
                <w:rFonts w:ascii="宋体" w:hAnsi="宋体"/>
                <w:kern w:val="2"/>
                <w:szCs w:val="21"/>
              </w:rPr>
              <w:t>30</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000000"/>
                <w:kern w:val="2"/>
                <w:szCs w:val="21"/>
              </w:rPr>
            </w:pPr>
          </w:p>
        </w:tc>
      </w:tr>
      <w:tr>
        <w:tblPrEx>
          <w:tblCellMar>
            <w:top w:w="0" w:type="dxa"/>
            <w:left w:w="108" w:type="dxa"/>
            <w:bottom w:w="0" w:type="dxa"/>
            <w:right w:w="108" w:type="dxa"/>
          </w:tblCellMar>
        </w:tblPrEx>
        <w:trPr>
          <w:trHeight w:val="440"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Cs w:val="21"/>
              </w:rPr>
            </w:pPr>
            <w:r>
              <w:rPr>
                <w:rFonts w:hint="eastAsia" w:ascii="宋体" w:hAnsi="宋体"/>
                <w:kern w:val="2"/>
                <w:szCs w:val="21"/>
              </w:rPr>
              <w:t>小型冲洗车驾驶员</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kern w:val="2"/>
                <w:szCs w:val="21"/>
              </w:rPr>
            </w:pPr>
            <w:r>
              <w:rPr>
                <w:rFonts w:hint="eastAsia" w:ascii="宋体" w:hAnsi="宋体"/>
                <w:kern w:val="2"/>
                <w:szCs w:val="21"/>
              </w:rPr>
              <w:t>3</w:t>
            </w:r>
            <w:r>
              <w:rPr>
                <w:rFonts w:ascii="宋体" w:hAnsi="宋体"/>
                <w:kern w:val="2"/>
                <w:szCs w:val="21"/>
              </w:rPr>
              <w:t>0</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color w:val="000000"/>
                <w:kern w:val="2"/>
                <w:szCs w:val="21"/>
              </w:rPr>
            </w:pPr>
          </w:p>
        </w:tc>
      </w:tr>
      <w:tr>
        <w:tblPrEx>
          <w:tblCellMar>
            <w:top w:w="0" w:type="dxa"/>
            <w:left w:w="108" w:type="dxa"/>
            <w:bottom w:w="0" w:type="dxa"/>
            <w:right w:w="108" w:type="dxa"/>
          </w:tblCellMar>
        </w:tblPrEx>
        <w:trPr>
          <w:trHeight w:val="440"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numPr>
                <w:ilvl w:val="0"/>
                <w:numId w:val="21"/>
              </w:numPr>
              <w:overflowPunct w:val="0"/>
              <w:adjustRightInd w:val="0"/>
              <w:spacing w:line="360" w:lineRule="auto"/>
              <w:jc w:val="center"/>
              <w:textAlignment w:val="bottom"/>
              <w:rPr>
                <w:rFonts w:ascii="宋体" w:hAnsi="宋体"/>
                <w:szCs w:val="21"/>
              </w:rPr>
            </w:pPr>
          </w:p>
        </w:tc>
        <w:tc>
          <w:tcPr>
            <w:tcW w:w="3313" w:type="dxa"/>
            <w:gridSpan w:val="2"/>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kern w:val="2"/>
                <w:szCs w:val="21"/>
              </w:rPr>
            </w:pPr>
            <w:r>
              <w:rPr>
                <w:rFonts w:hint="eastAsia" w:ascii="宋体" w:hAnsi="宋体"/>
                <w:kern w:val="2"/>
                <w:szCs w:val="21"/>
              </w:rPr>
              <w:t>水电综合维修工</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kern w:val="2"/>
                <w:szCs w:val="21"/>
              </w:rPr>
            </w:pPr>
            <w:r>
              <w:rPr>
                <w:rFonts w:hint="eastAsia" w:ascii="宋体" w:hAnsi="宋体"/>
                <w:kern w:val="2"/>
                <w:szCs w:val="21"/>
              </w:rPr>
              <w:t>1</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color w:val="000000"/>
                <w:kern w:val="2"/>
                <w:szCs w:val="21"/>
              </w:rPr>
            </w:pPr>
          </w:p>
        </w:tc>
      </w:tr>
      <w:tr>
        <w:tblPrEx>
          <w:tblCellMar>
            <w:top w:w="0" w:type="dxa"/>
            <w:left w:w="108" w:type="dxa"/>
            <w:bottom w:w="0" w:type="dxa"/>
            <w:right w:w="108" w:type="dxa"/>
          </w:tblCellMar>
        </w:tblPrEx>
        <w:trPr>
          <w:trHeight w:val="467" w:hRule="atLeast"/>
        </w:trPr>
        <w:tc>
          <w:tcPr>
            <w:tcW w:w="3988" w:type="dxa"/>
            <w:gridSpan w:val="3"/>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Cs w:val="21"/>
              </w:rPr>
            </w:pPr>
            <w:r>
              <w:rPr>
                <w:rFonts w:hint="eastAsia" w:ascii="宋体" w:hAnsi="宋体"/>
                <w:kern w:val="2"/>
                <w:szCs w:val="21"/>
              </w:rPr>
              <w:t>合计</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kern w:val="2"/>
                <w:szCs w:val="21"/>
              </w:rPr>
            </w:pPr>
            <w:r>
              <w:rPr>
                <w:rFonts w:ascii="宋体" w:hAnsi="宋体"/>
                <w:kern w:val="2"/>
                <w:szCs w:val="21"/>
              </w:rPr>
              <w:t>669</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000000"/>
                <w:kern w:val="2"/>
                <w:szCs w:val="21"/>
              </w:rPr>
            </w:pPr>
          </w:p>
        </w:tc>
      </w:tr>
      <w:tr>
        <w:tblPrEx>
          <w:tblCellMar>
            <w:top w:w="0" w:type="dxa"/>
            <w:left w:w="108" w:type="dxa"/>
            <w:bottom w:w="0" w:type="dxa"/>
            <w:right w:w="108" w:type="dxa"/>
          </w:tblCellMar>
        </w:tblPrEx>
        <w:trPr>
          <w:trHeight w:val="467" w:hRule="atLeast"/>
        </w:trPr>
        <w:tc>
          <w:tcPr>
            <w:tcW w:w="3988" w:type="dxa"/>
            <w:gridSpan w:val="3"/>
            <w:tcBorders>
              <w:top w:val="single" w:color="auto" w:sz="4" w:space="0"/>
              <w:left w:val="single" w:color="auto" w:sz="4" w:space="0"/>
              <w:bottom w:val="single" w:color="auto" w:sz="4" w:space="0"/>
              <w:right w:val="single" w:color="auto" w:sz="4" w:space="0"/>
            </w:tcBorders>
            <w:noWrap w:val="0"/>
            <w:vAlign w:val="top"/>
          </w:tcPr>
          <w:p>
            <w:pPr>
              <w:overflowPunct w:val="0"/>
              <w:adjustRightInd w:val="0"/>
              <w:spacing w:line="360" w:lineRule="auto"/>
              <w:textAlignment w:val="bottom"/>
              <w:rPr>
                <w:rFonts w:hint="eastAsia" w:ascii="宋体" w:hAnsi="宋体"/>
                <w:szCs w:val="21"/>
              </w:rPr>
            </w:pPr>
            <w:r>
              <w:rPr>
                <w:rFonts w:hint="eastAsia" w:ascii="宋体" w:hAnsi="宋体"/>
                <w:b/>
                <w:szCs w:val="21"/>
              </w:rPr>
              <w:t>▲最低投入人数（不含增配车辆的驾驶员（或操作员），新增驾驶员（或操作员）须另外计入人员总数）</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pacing w:line="360" w:lineRule="auto"/>
              <w:jc w:val="center"/>
              <w:textAlignment w:val="bottom"/>
              <w:rPr>
                <w:rFonts w:ascii="宋体" w:hAnsi="宋体"/>
                <w:szCs w:val="21"/>
              </w:rPr>
            </w:pPr>
            <w:r>
              <w:rPr>
                <w:rFonts w:ascii="宋体" w:hAnsi="宋体"/>
                <w:szCs w:val="21"/>
              </w:rPr>
              <w:t>644</w:t>
            </w:r>
          </w:p>
        </w:tc>
        <w:tc>
          <w:tcPr>
            <w:tcW w:w="2956"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pacing w:line="360" w:lineRule="auto"/>
              <w:jc w:val="center"/>
              <w:textAlignment w:val="bottom"/>
              <w:rPr>
                <w:rFonts w:ascii="宋体" w:hAnsi="宋体"/>
                <w:szCs w:val="21"/>
              </w:rPr>
            </w:pPr>
          </w:p>
        </w:tc>
      </w:tr>
      <w:tr>
        <w:tblPrEx>
          <w:tblCellMar>
            <w:top w:w="0" w:type="dxa"/>
            <w:left w:w="108" w:type="dxa"/>
            <w:bottom w:w="0" w:type="dxa"/>
            <w:right w:w="108" w:type="dxa"/>
          </w:tblCellMar>
        </w:tblPrEx>
        <w:trPr>
          <w:trHeight w:val="467" w:hRule="atLeast"/>
        </w:trPr>
        <w:tc>
          <w:tcPr>
            <w:tcW w:w="9018" w:type="dxa"/>
            <w:gridSpan w:val="5"/>
            <w:tcBorders>
              <w:top w:val="single" w:color="auto" w:sz="4" w:space="0"/>
              <w:left w:val="single" w:color="auto" w:sz="4" w:space="0"/>
              <w:bottom w:val="single" w:color="auto" w:sz="4" w:space="0"/>
              <w:right w:val="single" w:color="auto" w:sz="4" w:space="0"/>
            </w:tcBorders>
            <w:noWrap w:val="0"/>
            <w:vAlign w:val="top"/>
          </w:tcPr>
          <w:p>
            <w:pPr>
              <w:rPr>
                <w:rFonts w:ascii="宋体" w:hAnsi="宋体"/>
                <w:kern w:val="2"/>
                <w:szCs w:val="21"/>
              </w:rPr>
            </w:pPr>
            <w:r>
              <w:rPr>
                <w:rFonts w:hint="eastAsia" w:ascii="宋体" w:hAnsi="宋体"/>
                <w:kern w:val="2"/>
                <w:szCs w:val="21"/>
              </w:rPr>
              <w:t>注：</w:t>
            </w:r>
          </w:p>
          <w:p>
            <w:pPr>
              <w:rPr>
                <w:rFonts w:ascii="宋体" w:hAnsi="宋体"/>
                <w:b/>
                <w:bCs/>
                <w:kern w:val="2"/>
                <w:szCs w:val="21"/>
              </w:rPr>
            </w:pPr>
            <w:r>
              <w:rPr>
                <w:rFonts w:hint="eastAsia" w:ascii="宋体" w:hAnsi="宋体"/>
                <w:b/>
                <w:bCs/>
                <w:kern w:val="2"/>
                <w:szCs w:val="21"/>
              </w:rPr>
              <w:t>1、每日保洁时间范围内的20：00前，投入的最少人数不得低于总人数的20%；保洁时间范围内的20:00后，投入的最少人数不得低于总人数的10%。如未按规定投入人数，每发现少1人，扣200元/人次，以此类推，扣完为止。</w:t>
            </w:r>
          </w:p>
          <w:p>
            <w:pPr>
              <w:rPr>
                <w:rFonts w:hint="eastAsia" w:ascii="宋体" w:hAnsi="宋体"/>
                <w:b/>
                <w:bCs/>
                <w:color w:val="000000"/>
                <w:kern w:val="2"/>
                <w:sz w:val="22"/>
                <w:szCs w:val="22"/>
              </w:rPr>
            </w:pPr>
            <w:r>
              <w:rPr>
                <w:rFonts w:hint="eastAsia" w:ascii="宋体" w:hAnsi="宋体"/>
                <w:b/>
                <w:bCs/>
                <w:kern w:val="2"/>
                <w:szCs w:val="21"/>
              </w:rPr>
              <w:t>2、以上表格序号8“机动车驾驶员（含装载机、挖掘机）”已含轻型自卸式垃圾车（无滴漏）驾驶员。在垃圾中转站改造PPP项目改造完成前，本标段轻型自卸式垃圾车（无滴漏）的1</w:t>
            </w:r>
            <w:r>
              <w:rPr>
                <w:rFonts w:ascii="宋体" w:hAnsi="宋体"/>
                <w:b/>
                <w:bCs/>
                <w:kern w:val="2"/>
                <w:szCs w:val="21"/>
              </w:rPr>
              <w:t>0</w:t>
            </w:r>
            <w:r>
              <w:rPr>
                <w:rFonts w:hint="eastAsia" w:ascii="宋体" w:hAnsi="宋体"/>
                <w:b/>
                <w:bCs/>
                <w:kern w:val="2"/>
                <w:szCs w:val="21"/>
              </w:rPr>
              <w:t>名驾驶员可暂不投入，该1</w:t>
            </w:r>
            <w:r>
              <w:rPr>
                <w:rFonts w:ascii="宋体" w:hAnsi="宋体"/>
                <w:b/>
                <w:bCs/>
                <w:kern w:val="2"/>
                <w:szCs w:val="21"/>
              </w:rPr>
              <w:t>0</w:t>
            </w:r>
            <w:r>
              <w:rPr>
                <w:rFonts w:hint="eastAsia" w:ascii="宋体" w:hAnsi="宋体"/>
                <w:b/>
                <w:bCs/>
                <w:kern w:val="2"/>
                <w:szCs w:val="21"/>
              </w:rPr>
              <w:t>名驾驶员转投入统一分类收运工作其他岗位，需保证总服务人数响应招标文件要求。</w:t>
            </w:r>
          </w:p>
        </w:tc>
      </w:tr>
    </w:tbl>
    <w:p>
      <w:pPr>
        <w:numPr>
          <w:ilvl w:val="0"/>
          <w:numId w:val="22"/>
        </w:numPr>
        <w:tabs>
          <w:tab w:val="left" w:pos="993"/>
        </w:tabs>
        <w:overflowPunct w:val="0"/>
        <w:spacing w:line="360" w:lineRule="auto"/>
        <w:ind w:left="0" w:firstLine="562" w:firstLineChars="268"/>
        <w:rPr>
          <w:rFonts w:hint="eastAsia" w:ascii="宋体"/>
          <w:bCs/>
          <w:szCs w:val="21"/>
        </w:rPr>
      </w:pPr>
      <w:r>
        <w:rPr>
          <w:rFonts w:hint="eastAsia" w:ascii="宋体"/>
          <w:bCs/>
          <w:szCs w:val="21"/>
        </w:rPr>
        <w:t>本项目供应商可以采用“新技术”、提高机械化程度的“机械换人”等措施在保证保洁质量的前提下，合理降低成本。鼓励供应商采用“机械换人”的情况下，增加保洁服务时间；道路清扫、清洗、洒水、降尘等保洁措施的频次。为了达到“物尽其用”防止盲目投入，供应商需在技术商务文件附上新配车辆的具体作业方案。</w:t>
      </w:r>
    </w:p>
    <w:p>
      <w:pPr>
        <w:numPr>
          <w:ilvl w:val="0"/>
          <w:numId w:val="22"/>
        </w:numPr>
        <w:tabs>
          <w:tab w:val="left" w:pos="993"/>
        </w:tabs>
        <w:overflowPunct w:val="0"/>
        <w:spacing w:line="360" w:lineRule="auto"/>
        <w:ind w:left="0" w:firstLine="565" w:firstLineChars="268"/>
        <w:rPr>
          <w:rFonts w:ascii="宋体"/>
          <w:b/>
          <w:szCs w:val="21"/>
        </w:rPr>
      </w:pPr>
      <w:r>
        <w:rPr>
          <w:rFonts w:hint="eastAsia" w:ascii="宋体"/>
          <w:b/>
          <w:szCs w:val="21"/>
        </w:rPr>
        <w:t>▲采用“新技术”、“机械换人”等措施降低上表序号1、序号</w:t>
      </w:r>
      <w:r>
        <w:rPr>
          <w:rFonts w:ascii="宋体"/>
          <w:b/>
          <w:szCs w:val="21"/>
        </w:rPr>
        <w:t>6</w:t>
      </w:r>
      <w:r>
        <w:rPr>
          <w:rFonts w:hint="eastAsia" w:ascii="宋体"/>
          <w:b/>
          <w:szCs w:val="21"/>
        </w:rPr>
        <w:t>和序号</w:t>
      </w:r>
      <w:r>
        <w:rPr>
          <w:rFonts w:ascii="宋体"/>
          <w:b/>
          <w:szCs w:val="21"/>
        </w:rPr>
        <w:t>7</w:t>
      </w:r>
      <w:r>
        <w:rPr>
          <w:rFonts w:hint="eastAsia" w:ascii="宋体"/>
          <w:b/>
          <w:szCs w:val="21"/>
        </w:rPr>
        <w:t>服务人员数量的，降低人数不得高于该三个序号要求服务人员之和的</w:t>
      </w:r>
      <w:r>
        <w:rPr>
          <w:rFonts w:ascii="宋体"/>
          <w:b/>
          <w:szCs w:val="21"/>
        </w:rPr>
        <w:t>5</w:t>
      </w:r>
      <w:r>
        <w:rPr>
          <w:rFonts w:hint="eastAsia" w:ascii="宋体"/>
          <w:b/>
          <w:szCs w:val="21"/>
        </w:rPr>
        <w:t>%，其余人员不得降低人数。</w:t>
      </w:r>
    </w:p>
    <w:p>
      <w:pPr>
        <w:numPr>
          <w:ilvl w:val="0"/>
          <w:numId w:val="22"/>
        </w:numPr>
        <w:tabs>
          <w:tab w:val="left" w:pos="993"/>
        </w:tabs>
        <w:overflowPunct w:val="0"/>
        <w:spacing w:line="360" w:lineRule="auto"/>
        <w:ind w:left="0" w:firstLine="562" w:firstLineChars="268"/>
        <w:rPr>
          <w:rFonts w:ascii="宋体"/>
          <w:bCs/>
          <w:szCs w:val="21"/>
        </w:rPr>
      </w:pPr>
      <w:r>
        <w:rPr>
          <w:rFonts w:hint="eastAsia" w:ascii="宋体"/>
          <w:bCs/>
          <w:szCs w:val="21"/>
        </w:rPr>
        <w:t>▲供应商在“五、机械车辆、船只要求”基础上，每增加一辆车（含小型作业车辆）的，须增加驾驶员（或操作员）1名。在实际保洁过程质量效果不佳（连续2个月（或全年累计3个月）扣罚总额为月保洁金额的10%（含）以上），采购人有权要求供应商按招标文件投入环卫人员配置进行作业，中标价（合同价）不予调整。</w:t>
      </w:r>
    </w:p>
    <w:p>
      <w:pPr>
        <w:numPr>
          <w:ilvl w:val="0"/>
          <w:numId w:val="22"/>
        </w:numPr>
        <w:tabs>
          <w:tab w:val="left" w:pos="993"/>
        </w:tabs>
        <w:overflowPunct w:val="0"/>
        <w:spacing w:line="360" w:lineRule="auto"/>
        <w:ind w:left="0" w:firstLine="562" w:firstLineChars="268"/>
        <w:rPr>
          <w:rFonts w:hint="eastAsia" w:ascii="宋体"/>
          <w:bCs/>
          <w:szCs w:val="21"/>
        </w:rPr>
      </w:pPr>
      <w:r>
        <w:rPr>
          <w:rFonts w:hint="eastAsia" w:ascii="宋体"/>
          <w:bCs/>
          <w:szCs w:val="21"/>
        </w:rPr>
        <w:t>中标后实施保洁过程中，如中标供应商提出机械化替代人工作业方案或优化方案结构（减少作业人数），可达到相当于或优于人工作业的保洁效果，须经采购人同意后方可实施。</w:t>
      </w:r>
    </w:p>
    <w:p>
      <w:pPr>
        <w:numPr>
          <w:ilvl w:val="0"/>
          <w:numId w:val="22"/>
        </w:numPr>
        <w:tabs>
          <w:tab w:val="left" w:pos="993"/>
        </w:tabs>
        <w:overflowPunct w:val="0"/>
        <w:spacing w:line="360" w:lineRule="auto"/>
        <w:ind w:left="0" w:firstLine="562" w:firstLineChars="268"/>
        <w:rPr>
          <w:rFonts w:ascii="宋体"/>
          <w:bCs/>
          <w:szCs w:val="21"/>
        </w:rPr>
      </w:pPr>
      <w:r>
        <w:rPr>
          <w:rFonts w:hint="eastAsia" w:ascii="宋体"/>
          <w:bCs/>
          <w:szCs w:val="21"/>
        </w:rPr>
        <w:t>上表中人员配置为仅为本项目投入的一线现场服务人员，不含项目办公室行政管理人员（特殊说明除外）。为保证工作良性推进，供应商须配备相应管理人员协调管理各项工作开展。</w:t>
      </w:r>
    </w:p>
    <w:p>
      <w:pPr>
        <w:overflowPunct w:val="0"/>
        <w:spacing w:line="360" w:lineRule="auto"/>
        <w:ind w:left="420"/>
        <w:outlineLvl w:val="1"/>
        <w:rPr>
          <w:rFonts w:ascii="宋体"/>
          <w:b/>
          <w:szCs w:val="21"/>
        </w:rPr>
      </w:pPr>
      <w:bookmarkStart w:id="242" w:name="_Toc1649"/>
      <w:bookmarkStart w:id="243" w:name="_Toc64913345"/>
      <w:bookmarkStart w:id="244" w:name="_Toc64901761"/>
      <w:r>
        <w:rPr>
          <w:rFonts w:hint="eastAsia" w:ascii="宋体"/>
          <w:b/>
          <w:szCs w:val="21"/>
        </w:rPr>
        <w:t>五、机械车辆、船只要求</w:t>
      </w:r>
      <w:bookmarkEnd w:id="242"/>
      <w:bookmarkEnd w:id="243"/>
      <w:bookmarkEnd w:id="244"/>
    </w:p>
    <w:p>
      <w:pPr>
        <w:pStyle w:val="2"/>
        <w:ind w:firstLine="422" w:firstLineChars="200"/>
        <w:rPr>
          <w:rFonts w:ascii="宋体" w:hAnsi="宋体" w:eastAsia="宋体"/>
          <w:b/>
          <w:bCs/>
          <w:color w:val="FF0000"/>
          <w:sz w:val="21"/>
          <w:szCs w:val="21"/>
        </w:rPr>
      </w:pPr>
      <w:r>
        <w:rPr>
          <w:rFonts w:hint="eastAsia" w:ascii="宋体" w:hAnsi="宋体" w:eastAsia="宋体"/>
          <w:b/>
          <w:bCs/>
          <w:color w:val="000000"/>
          <w:sz w:val="21"/>
          <w:szCs w:val="21"/>
        </w:rPr>
        <w:t>1、</w:t>
      </w:r>
      <w:r>
        <w:rPr>
          <w:rFonts w:hint="eastAsia" w:ascii="宋体" w:hAnsi="宋体" w:eastAsia="宋体"/>
          <w:b/>
          <w:bCs/>
          <w:sz w:val="21"/>
          <w:szCs w:val="21"/>
        </w:rPr>
        <w:t>▲本项目要求机械车辆、船只投入的最低数量要求，车辆持有形式可以自有已上牌(指投标供应商自行购置，包括分公司或全资子公司购置)或现已租赁或承诺中标后购买或承诺中标后租赁：</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239"/>
        <w:gridCol w:w="1062"/>
        <w:gridCol w:w="1066"/>
        <w:gridCol w:w="2624"/>
        <w:gridCol w:w="2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230"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序号</w:t>
            </w:r>
          </w:p>
        </w:tc>
        <w:tc>
          <w:tcPr>
            <w:tcW w:w="667"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品种</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车辆类型</w:t>
            </w:r>
          </w:p>
        </w:tc>
        <w:tc>
          <w:tcPr>
            <w:tcW w:w="574"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投入数量（辆）</w:t>
            </w:r>
          </w:p>
        </w:tc>
        <w:tc>
          <w:tcPr>
            <w:tcW w:w="1413"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规格要求</w:t>
            </w:r>
          </w:p>
        </w:tc>
        <w:tc>
          <w:tcPr>
            <w:tcW w:w="1544" w:type="pct"/>
            <w:noWrap w:val="0"/>
            <w:vAlign w:val="top"/>
          </w:tcPr>
          <w:p>
            <w:pPr>
              <w:autoSpaceDE w:val="0"/>
              <w:autoSpaceDN w:val="0"/>
              <w:adjustRightInd w:val="0"/>
              <w:jc w:val="center"/>
              <w:textAlignment w:val="bottom"/>
              <w:rPr>
                <w:rFonts w:hint="eastAsia" w:ascii="宋体" w:hAnsi="宋体"/>
                <w:b/>
                <w:szCs w:val="21"/>
              </w:rPr>
            </w:pPr>
            <w:r>
              <w:rPr>
                <w:rFonts w:hint="eastAsia" w:ascii="宋体" w:hAnsi="宋体"/>
                <w:b/>
                <w:szCs w:val="21"/>
              </w:rPr>
              <w:t>备注（参考图片，</w:t>
            </w:r>
            <w:r>
              <w:rPr>
                <w:rFonts w:hint="eastAsia" w:ascii="宋体"/>
                <w:b/>
                <w:szCs w:val="21"/>
              </w:rPr>
              <w:t>不作为品牌推荐或今后实施过程中配置要求</w:t>
            </w:r>
            <w:r>
              <w:rPr>
                <w:rFonts w:hint="eastAsia" w:ascii="宋体" w:hAnsi="宋体"/>
                <w:b/>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ascii="宋体" w:hAnsi="宋体"/>
                <w:b/>
                <w:szCs w:val="21"/>
              </w:rPr>
            </w:pPr>
            <w:r>
              <w:rPr>
                <w:rFonts w:hint="eastAsia" w:ascii="宋体" w:hAnsi="宋体"/>
                <w:b/>
                <w:szCs w:val="21"/>
              </w:rPr>
              <w:t>重型洗扫一体车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bCs/>
                <w:szCs w:val="18"/>
              </w:rPr>
              <w:t>重型载货专项作业车</w:t>
            </w:r>
          </w:p>
        </w:tc>
        <w:tc>
          <w:tcPr>
            <w:tcW w:w="574"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2</w:t>
            </w:r>
          </w:p>
        </w:tc>
        <w:tc>
          <w:tcPr>
            <w:tcW w:w="1413"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重型，以行驶证数据为准</w:t>
            </w:r>
          </w:p>
        </w:tc>
        <w:tc>
          <w:tcPr>
            <w:tcW w:w="1544" w:type="pct"/>
            <w:noWrap w:val="0"/>
            <w:vAlign w:val="center"/>
          </w:tcPr>
          <w:p>
            <w:pPr>
              <w:autoSpaceDE w:val="0"/>
              <w:autoSpaceDN w:val="0"/>
              <w:adjustRightInd w:val="0"/>
              <w:jc w:val="center"/>
              <w:textAlignment w:val="bottom"/>
              <w:rPr>
                <w:rFonts w:hint="eastAsia" w:ascii="宋体" w:hAnsi="宋体"/>
                <w:b/>
                <w:szCs w:val="21"/>
              </w:rPr>
            </w:pPr>
            <w:r>
              <w:rPr>
                <w:sz w:val="28"/>
                <w:szCs w:val="28"/>
              </w:rPr>
              <w:drawing>
                <wp:inline distT="0" distB="0" distL="114300" distR="114300">
                  <wp:extent cx="1407795" cy="741045"/>
                  <wp:effectExtent l="0" t="0" r="1905" b="190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3"/>
                          <a:stretch>
                            <a:fillRect/>
                          </a:stretch>
                        </pic:blipFill>
                        <pic:spPr>
                          <a:xfrm>
                            <a:off x="0" y="0"/>
                            <a:ext cx="1407795" cy="7410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ascii="宋体" w:hAnsi="宋体"/>
                <w:b/>
                <w:szCs w:val="21"/>
              </w:rPr>
            </w:pPr>
            <w:r>
              <w:rPr>
                <w:rFonts w:hint="eastAsia" w:ascii="宋体" w:hAnsi="宋体"/>
                <w:b/>
                <w:szCs w:val="21"/>
              </w:rPr>
              <w:t>中型或中型以上洗扫一体车</w:t>
            </w:r>
          </w:p>
        </w:tc>
        <w:tc>
          <w:tcPr>
            <w:tcW w:w="572" w:type="pct"/>
            <w:noWrap w:val="0"/>
            <w:vAlign w:val="center"/>
          </w:tcPr>
          <w:p>
            <w:pPr>
              <w:autoSpaceDE w:val="0"/>
              <w:autoSpaceDN w:val="0"/>
              <w:adjustRightInd w:val="0"/>
              <w:jc w:val="center"/>
              <w:textAlignment w:val="bottom"/>
              <w:rPr>
                <w:rFonts w:ascii="宋体" w:hAnsi="宋体"/>
                <w:bCs/>
                <w:szCs w:val="21"/>
              </w:rPr>
            </w:pPr>
            <w:r>
              <w:rPr>
                <w:rFonts w:hint="eastAsia" w:ascii="宋体" w:hAnsi="宋体"/>
                <w:bCs/>
                <w:szCs w:val="21"/>
              </w:rPr>
              <w:t>中/重型载货专项作业车</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2</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中型及以上，以行驶证数据为准</w:t>
            </w:r>
          </w:p>
        </w:tc>
        <w:tc>
          <w:tcPr>
            <w:tcW w:w="1544"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cs="宋体"/>
              </w:rPr>
              <w:drawing>
                <wp:inline distT="0" distB="0" distL="114300" distR="114300">
                  <wp:extent cx="1514475" cy="871855"/>
                  <wp:effectExtent l="0" t="0" r="9525" b="4445"/>
                  <wp:docPr id="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1"/>
                          <pic:cNvPicPr>
                            <a:picLocks noChangeAspect="1"/>
                          </pic:cNvPicPr>
                        </pic:nvPicPr>
                        <pic:blipFill>
                          <a:blip r:embed="rId24"/>
                          <a:stretch>
                            <a:fillRect/>
                          </a:stretch>
                        </pic:blipFill>
                        <pic:spPr>
                          <a:xfrm>
                            <a:off x="0" y="0"/>
                            <a:ext cx="1514475" cy="8718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ascii="宋体" w:hAnsi="宋体"/>
                <w:b/>
                <w:szCs w:val="21"/>
              </w:rPr>
            </w:pPr>
            <w:r>
              <w:rPr>
                <w:rFonts w:hint="eastAsia" w:ascii="宋体" w:hAnsi="宋体"/>
                <w:b/>
                <w:szCs w:val="21"/>
              </w:rPr>
              <w:t>中型或中型以上洒水车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bCs/>
                <w:szCs w:val="18"/>
              </w:rPr>
              <w:t>中/重型载货专项作业车</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2</w:t>
            </w:r>
          </w:p>
        </w:tc>
        <w:tc>
          <w:tcPr>
            <w:tcW w:w="1413" w:type="pct"/>
            <w:noWrap w:val="0"/>
            <w:vAlign w:val="center"/>
          </w:tcPr>
          <w:p>
            <w:pPr>
              <w:autoSpaceDE w:val="0"/>
              <w:autoSpaceDN w:val="0"/>
              <w:adjustRightInd w:val="0"/>
              <w:jc w:val="center"/>
              <w:textAlignment w:val="bottom"/>
              <w:rPr>
                <w:rFonts w:ascii="宋体" w:hAnsi="宋体"/>
                <w:bCs/>
                <w:szCs w:val="21"/>
              </w:rPr>
            </w:pPr>
            <w:r>
              <w:rPr>
                <w:rFonts w:hint="eastAsia" w:ascii="宋体" w:hAnsi="宋体"/>
                <w:bCs/>
                <w:szCs w:val="21"/>
              </w:rPr>
              <w:t>中型及以上，以行驶证数据为准，具有洒水、冲洗功能</w:t>
            </w:r>
          </w:p>
        </w:tc>
        <w:tc>
          <w:tcPr>
            <w:tcW w:w="1544" w:type="pct"/>
            <w:noWrap w:val="0"/>
            <w:vAlign w:val="center"/>
          </w:tcPr>
          <w:p>
            <w:pPr>
              <w:autoSpaceDE w:val="0"/>
              <w:autoSpaceDN w:val="0"/>
              <w:adjustRightInd w:val="0"/>
              <w:jc w:val="center"/>
              <w:textAlignment w:val="bottom"/>
              <w:rPr>
                <w:rFonts w:ascii="宋体" w:hAnsi="宋体"/>
                <w:b/>
                <w:szCs w:val="21"/>
              </w:rPr>
            </w:pPr>
            <w:r>
              <w:drawing>
                <wp:inline distT="0" distB="0" distL="114300" distR="114300">
                  <wp:extent cx="1529080" cy="895350"/>
                  <wp:effectExtent l="0" t="0" r="13970"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25"/>
                          <a:stretch>
                            <a:fillRect/>
                          </a:stretch>
                        </pic:blipFill>
                        <pic:spPr>
                          <a:xfrm>
                            <a:off x="0" y="0"/>
                            <a:ext cx="1529080" cy="8953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ascii="宋体" w:hAnsi="宋体"/>
                <w:b/>
                <w:szCs w:val="21"/>
              </w:rPr>
            </w:pPr>
            <w:r>
              <w:rPr>
                <w:rFonts w:hint="eastAsia" w:ascii="宋体" w:hAnsi="宋体"/>
                <w:b/>
                <w:szCs w:val="21"/>
              </w:rPr>
              <w:t>重型高压冲洗车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bCs/>
                <w:szCs w:val="18"/>
              </w:rPr>
              <w:t>重型载货专项作业车</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1</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Cs/>
                <w:szCs w:val="21"/>
              </w:rPr>
              <w:t>重型，以行驶证数据为准，</w:t>
            </w:r>
            <w:r>
              <w:rPr>
                <w:rFonts w:hint="eastAsia" w:ascii="宋体" w:hAnsi="宋体"/>
              </w:rPr>
              <w:t>配副发动机，高压水泵及高压喷水架</w:t>
            </w:r>
          </w:p>
        </w:tc>
        <w:tc>
          <w:tcPr>
            <w:tcW w:w="1544"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cs="宋体"/>
              </w:rPr>
              <w:drawing>
                <wp:inline distT="0" distB="0" distL="114300" distR="114300">
                  <wp:extent cx="1573530" cy="1049020"/>
                  <wp:effectExtent l="0" t="0" r="7620" b="17780"/>
                  <wp:docPr id="8" name="图片 55" descr="微信图片_20210328083628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5" descr="微信图片_20210328083628_副本"/>
                          <pic:cNvPicPr>
                            <a:picLocks noChangeAspect="1"/>
                          </pic:cNvPicPr>
                        </pic:nvPicPr>
                        <pic:blipFill>
                          <a:blip r:embed="rId26"/>
                          <a:stretch>
                            <a:fillRect/>
                          </a:stretch>
                        </pic:blipFill>
                        <pic:spPr>
                          <a:xfrm>
                            <a:off x="0" y="0"/>
                            <a:ext cx="1573530" cy="10490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ascii="宋体" w:hAnsi="宋体"/>
                <w:b/>
                <w:szCs w:val="21"/>
              </w:rPr>
            </w:pPr>
            <w:r>
              <w:rPr>
                <w:rFonts w:hint="eastAsia" w:ascii="宋体" w:hAnsi="宋体"/>
                <w:b/>
                <w:szCs w:val="21"/>
              </w:rPr>
              <w:t>建筑垃圾运输（轻型自卸）车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bCs/>
              </w:rPr>
              <w:t>轻</w:t>
            </w:r>
            <w:r>
              <w:rPr>
                <w:rFonts w:hint="eastAsia" w:ascii="宋体"/>
                <w:bCs/>
                <w:szCs w:val="18"/>
              </w:rPr>
              <w:t>/中/重</w:t>
            </w:r>
            <w:r>
              <w:rPr>
                <w:rFonts w:hint="eastAsia"/>
                <w:bCs/>
              </w:rPr>
              <w:t>型自卸货车</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2</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rPr>
              <w:t>轻型及以上，以行驶证数据为准</w:t>
            </w:r>
          </w:p>
        </w:tc>
        <w:tc>
          <w:tcPr>
            <w:tcW w:w="1544" w:type="pct"/>
            <w:noWrap w:val="0"/>
            <w:vAlign w:val="center"/>
          </w:tcPr>
          <w:p>
            <w:pPr>
              <w:autoSpaceDE w:val="0"/>
              <w:autoSpaceDN w:val="0"/>
              <w:adjustRightInd w:val="0"/>
              <w:jc w:val="center"/>
              <w:textAlignment w:val="bottom"/>
              <w:rPr>
                <w:rFonts w:ascii="宋体" w:hAnsi="宋体"/>
                <w:b/>
                <w:szCs w:val="21"/>
              </w:rPr>
            </w:pPr>
            <w:r>
              <w:drawing>
                <wp:inline distT="0" distB="0" distL="114300" distR="114300">
                  <wp:extent cx="1506220" cy="730885"/>
                  <wp:effectExtent l="0" t="0" r="17780" b="12065"/>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27"/>
                          <a:stretch>
                            <a:fillRect/>
                          </a:stretch>
                        </pic:blipFill>
                        <pic:spPr>
                          <a:xfrm>
                            <a:off x="0" y="0"/>
                            <a:ext cx="1506220" cy="730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ascii="宋体" w:hAnsi="宋体"/>
                <w:b/>
                <w:szCs w:val="21"/>
              </w:rPr>
            </w:pPr>
            <w:r>
              <w:rPr>
                <w:rFonts w:hint="eastAsia" w:ascii="宋体" w:hAnsi="宋体"/>
                <w:b/>
                <w:szCs w:val="21"/>
              </w:rPr>
              <w:t>重型压缩式垃圾车（无滴漏）</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bCs/>
                <w:szCs w:val="18"/>
              </w:rPr>
              <w:t>重型特殊结构货车</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2</w:t>
            </w:r>
          </w:p>
        </w:tc>
        <w:tc>
          <w:tcPr>
            <w:tcW w:w="1413" w:type="pct"/>
            <w:noWrap w:val="0"/>
            <w:vAlign w:val="center"/>
          </w:tcPr>
          <w:p>
            <w:pPr>
              <w:autoSpaceDE w:val="0"/>
              <w:autoSpaceDN w:val="0"/>
              <w:adjustRightInd w:val="0"/>
              <w:jc w:val="center"/>
              <w:textAlignment w:val="bottom"/>
            </w:pPr>
            <w:r>
              <w:rPr>
                <w:rFonts w:hint="eastAsia"/>
              </w:rPr>
              <w:t>重型，以行驶证数据为准。</w:t>
            </w:r>
          </w:p>
          <w:p>
            <w:pPr>
              <w:pStyle w:val="2"/>
              <w:jc w:val="center"/>
              <w:rPr>
                <w:rFonts w:hint="eastAsia" w:ascii="宋体" w:hAnsi="宋体" w:eastAsia="宋体"/>
                <w:sz w:val="22"/>
                <w:szCs w:val="22"/>
              </w:rPr>
            </w:pPr>
            <w:r>
              <w:rPr>
                <w:rFonts w:hint="eastAsia" w:ascii="宋体" w:hAnsi="宋体" w:eastAsia="宋体"/>
                <w:sz w:val="22"/>
                <w:szCs w:val="22"/>
              </w:rPr>
              <w:t>须包含一辆高位上料</w:t>
            </w:r>
          </w:p>
        </w:tc>
        <w:tc>
          <w:tcPr>
            <w:tcW w:w="1544" w:type="pct"/>
            <w:noWrap w:val="0"/>
            <w:vAlign w:val="center"/>
          </w:tcPr>
          <w:p>
            <w:pPr>
              <w:autoSpaceDE w:val="0"/>
              <w:autoSpaceDN w:val="0"/>
              <w:adjustRightInd w:val="0"/>
              <w:jc w:val="center"/>
              <w:textAlignment w:val="bottom"/>
              <w:rPr>
                <w:rFonts w:ascii="宋体" w:hAnsi="宋体"/>
                <w:b/>
                <w:szCs w:val="21"/>
              </w:rPr>
            </w:pPr>
            <w:r>
              <w:drawing>
                <wp:inline distT="0" distB="0" distL="114300" distR="114300">
                  <wp:extent cx="1464945" cy="685800"/>
                  <wp:effectExtent l="0" t="0" r="1905" b="0"/>
                  <wp:docPr id="10" name="图片 13" descr="1608555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descr="1608555099(1)"/>
                          <pic:cNvPicPr>
                            <a:picLocks noChangeAspect="1"/>
                          </pic:cNvPicPr>
                        </pic:nvPicPr>
                        <pic:blipFill>
                          <a:blip r:embed="rId28"/>
                          <a:stretch>
                            <a:fillRect/>
                          </a:stretch>
                        </pic:blipFill>
                        <pic:spPr>
                          <a:xfrm>
                            <a:off x="0" y="0"/>
                            <a:ext cx="1464945" cy="6858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230" w:type="pct"/>
            <w:noWrap w:val="0"/>
            <w:vAlign w:val="center"/>
          </w:tcPr>
          <w:p>
            <w:pPr>
              <w:numPr>
                <w:ilvl w:val="0"/>
                <w:numId w:val="23"/>
              </w:numPr>
              <w:autoSpaceDE w:val="0"/>
              <w:autoSpaceDN w:val="0"/>
              <w:adjustRightInd w:val="0"/>
              <w:textAlignment w:val="bottom"/>
              <w:rPr>
                <w:rFonts w:hint="eastAsia"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b/>
                <w:szCs w:val="21"/>
              </w:rPr>
              <w:t>重型多功能抑尘车</w:t>
            </w:r>
          </w:p>
        </w:tc>
        <w:tc>
          <w:tcPr>
            <w:tcW w:w="572"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bCs/>
                <w:szCs w:val="18"/>
              </w:rPr>
              <w:t>重型载货专项作业车</w:t>
            </w:r>
          </w:p>
        </w:tc>
        <w:tc>
          <w:tcPr>
            <w:tcW w:w="574" w:type="pct"/>
            <w:noWrap w:val="0"/>
            <w:vAlign w:val="center"/>
          </w:tcPr>
          <w:p>
            <w:pPr>
              <w:autoSpaceDE w:val="0"/>
              <w:autoSpaceDN w:val="0"/>
              <w:adjustRightInd w:val="0"/>
              <w:jc w:val="center"/>
              <w:textAlignment w:val="bottom"/>
              <w:rPr>
                <w:rFonts w:ascii="宋体" w:hAnsi="宋体"/>
                <w:b/>
                <w:color w:val="FF0000"/>
                <w:szCs w:val="21"/>
              </w:rPr>
            </w:pPr>
            <w:r>
              <w:rPr>
                <w:rFonts w:ascii="宋体" w:hAnsi="宋体"/>
                <w:b/>
                <w:szCs w:val="21"/>
              </w:rPr>
              <w:t>1</w:t>
            </w:r>
          </w:p>
        </w:tc>
        <w:tc>
          <w:tcPr>
            <w:tcW w:w="1413" w:type="pct"/>
            <w:noWrap w:val="0"/>
            <w:vAlign w:val="center"/>
          </w:tcPr>
          <w:p>
            <w:pPr>
              <w:autoSpaceDE w:val="0"/>
              <w:autoSpaceDN w:val="0"/>
              <w:adjustRightInd w:val="0"/>
              <w:jc w:val="center"/>
              <w:textAlignment w:val="bottom"/>
              <w:rPr>
                <w:rFonts w:hint="eastAsia" w:ascii="宋体"/>
                <w:bCs/>
                <w:szCs w:val="18"/>
              </w:rPr>
            </w:pPr>
            <w:r>
              <w:rPr>
                <w:rFonts w:hint="eastAsia" w:ascii="宋体"/>
                <w:bCs/>
                <w:szCs w:val="18"/>
              </w:rPr>
              <w:t>重型，以行驶证数据为准；具有洒水、冲洗、喷雾功能；配风炮;</w:t>
            </w:r>
          </w:p>
        </w:tc>
        <w:tc>
          <w:tcPr>
            <w:tcW w:w="1544" w:type="pct"/>
            <w:noWrap w:val="0"/>
            <w:vAlign w:val="center"/>
          </w:tcPr>
          <w:p>
            <w:pPr>
              <w:autoSpaceDE w:val="0"/>
              <w:autoSpaceDN w:val="0"/>
              <w:adjustRightInd w:val="0"/>
              <w:jc w:val="center"/>
              <w:textAlignment w:val="bottom"/>
              <w:rPr>
                <w:rFonts w:hint="eastAsia" w:ascii="宋体" w:hAnsi="宋体"/>
                <w:b/>
                <w:szCs w:val="21"/>
              </w:rPr>
            </w:pPr>
            <w:r>
              <w:drawing>
                <wp:inline distT="0" distB="0" distL="114300" distR="114300">
                  <wp:extent cx="1333500" cy="992505"/>
                  <wp:effectExtent l="0" t="0" r="0" b="17145"/>
                  <wp:docPr id="11" name="图片 4" descr="IMG_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IMG_0201"/>
                          <pic:cNvPicPr>
                            <a:picLocks noChangeAspect="1"/>
                          </pic:cNvPicPr>
                        </pic:nvPicPr>
                        <pic:blipFill>
                          <a:blip r:embed="rId29"/>
                          <a:stretch>
                            <a:fillRect/>
                          </a:stretch>
                        </pic:blipFill>
                        <pic:spPr>
                          <a:xfrm>
                            <a:off x="0" y="0"/>
                            <a:ext cx="1333500" cy="992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bCs/>
                <w:szCs w:val="18"/>
              </w:rPr>
              <w:t>二分类（易腐、其他）垃圾运输车（中型）</w:t>
            </w:r>
          </w:p>
        </w:tc>
        <w:tc>
          <w:tcPr>
            <w:tcW w:w="572" w:type="pct"/>
            <w:noWrap w:val="0"/>
            <w:vAlign w:val="center"/>
          </w:tcPr>
          <w:p>
            <w:pPr>
              <w:autoSpaceDE w:val="0"/>
              <w:autoSpaceDN w:val="0"/>
              <w:adjustRightInd w:val="0"/>
              <w:jc w:val="center"/>
              <w:textAlignment w:val="bottom"/>
              <w:rPr>
                <w:rFonts w:ascii="宋体" w:hAnsi="宋体"/>
                <w:b/>
                <w:color w:val="FF0000"/>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4</w:t>
            </w:r>
          </w:p>
        </w:tc>
        <w:tc>
          <w:tcPr>
            <w:tcW w:w="1413" w:type="pct"/>
            <w:noWrap w:val="0"/>
            <w:vAlign w:val="center"/>
          </w:tcPr>
          <w:p>
            <w:pPr>
              <w:autoSpaceDE w:val="0"/>
              <w:autoSpaceDN w:val="0"/>
              <w:adjustRightInd w:val="0"/>
              <w:jc w:val="center"/>
              <w:textAlignment w:val="bottom"/>
              <w:rPr>
                <w:rFonts w:hint="eastAsia" w:ascii="宋体"/>
                <w:bCs/>
                <w:szCs w:val="18"/>
              </w:rPr>
            </w:pPr>
            <w:r>
              <w:rPr>
                <w:rFonts w:hint="eastAsia" w:ascii="宋体"/>
                <w:bCs/>
                <w:szCs w:val="18"/>
              </w:rPr>
              <w:t>中型四轮。箱体具有“易腐垃圾”、“其他垃圾”二分类垃圾收集功能。要求整体出厂，</w:t>
            </w:r>
            <w:r>
              <w:rPr>
                <w:rFonts w:ascii="宋体"/>
                <w:bCs/>
                <w:szCs w:val="18"/>
              </w:rPr>
              <w:t>不漏水，耐腐蚀，抗老化</w:t>
            </w:r>
            <w:r>
              <w:rPr>
                <w:rFonts w:hint="eastAsia" w:ascii="宋体"/>
                <w:bCs/>
                <w:szCs w:val="18"/>
              </w:rPr>
              <w:t>。不得为非法组装车。</w:t>
            </w:r>
          </w:p>
        </w:tc>
        <w:tc>
          <w:tcPr>
            <w:tcW w:w="1544" w:type="pct"/>
            <w:noWrap w:val="0"/>
            <w:vAlign w:val="center"/>
          </w:tcPr>
          <w:p>
            <w:pPr>
              <w:autoSpaceDE w:val="0"/>
              <w:autoSpaceDN w:val="0"/>
              <w:adjustRightInd w:val="0"/>
              <w:jc w:val="center"/>
              <w:textAlignment w:val="bottom"/>
              <w:rPr>
                <w:rFonts w:ascii="宋体" w:hAnsi="宋体"/>
                <w:b/>
                <w:szCs w:val="21"/>
              </w:rPr>
            </w:pPr>
            <w:r>
              <w:drawing>
                <wp:inline distT="0" distB="0" distL="114300" distR="114300">
                  <wp:extent cx="1478915" cy="706120"/>
                  <wp:effectExtent l="0" t="0" r="6985" b="17780"/>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30"/>
                          <a:stretch>
                            <a:fillRect/>
                          </a:stretch>
                        </pic:blipFill>
                        <pic:spPr>
                          <a:xfrm>
                            <a:off x="0" y="0"/>
                            <a:ext cx="1478915" cy="7061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hint="eastAsia"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b/>
                <w:szCs w:val="21"/>
              </w:rPr>
              <w:t>中型压缩式垃圾车（无滴漏）</w:t>
            </w:r>
          </w:p>
        </w:tc>
        <w:tc>
          <w:tcPr>
            <w:tcW w:w="572"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2</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中型，以行驶证数据为准。</w:t>
            </w:r>
          </w:p>
          <w:p>
            <w:pPr>
              <w:autoSpaceDE w:val="0"/>
              <w:autoSpaceDN w:val="0"/>
              <w:adjustRightInd w:val="0"/>
              <w:jc w:val="center"/>
              <w:textAlignment w:val="bottom"/>
              <w:rPr>
                <w:rFonts w:ascii="宋体" w:hAnsi="宋体"/>
                <w:b/>
                <w:bCs/>
                <w:szCs w:val="21"/>
              </w:rPr>
            </w:pPr>
            <w:r>
              <w:rPr>
                <w:rFonts w:hint="eastAsia" w:ascii="宋体" w:hAnsi="宋体"/>
                <w:b/>
                <w:bCs/>
                <w:sz w:val="22"/>
                <w:szCs w:val="22"/>
              </w:rPr>
              <w:t>高位上料</w:t>
            </w:r>
          </w:p>
        </w:tc>
        <w:tc>
          <w:tcPr>
            <w:tcW w:w="1544"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cs="宋体"/>
              </w:rPr>
              <w:drawing>
                <wp:inline distT="0" distB="0" distL="114300" distR="114300">
                  <wp:extent cx="1491615" cy="996950"/>
                  <wp:effectExtent l="0" t="0" r="13335" b="12700"/>
                  <wp:docPr id="13" name="图片 56" descr="微信图片_20210328084145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6" descr="微信图片_20210328084145_副本"/>
                          <pic:cNvPicPr>
                            <a:picLocks noChangeAspect="1"/>
                          </pic:cNvPicPr>
                        </pic:nvPicPr>
                        <pic:blipFill>
                          <a:blip r:embed="rId31"/>
                          <a:stretch>
                            <a:fillRect/>
                          </a:stretch>
                        </pic:blipFill>
                        <pic:spPr>
                          <a:xfrm>
                            <a:off x="0" y="0"/>
                            <a:ext cx="1491615" cy="9969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hint="eastAsia"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b/>
                <w:szCs w:val="21"/>
              </w:rPr>
              <w:t>轻型自卸式垃圾车（无滴漏）</w:t>
            </w:r>
          </w:p>
        </w:tc>
        <w:tc>
          <w:tcPr>
            <w:tcW w:w="572" w:type="pct"/>
            <w:noWrap w:val="0"/>
            <w:vAlign w:val="center"/>
          </w:tcPr>
          <w:p>
            <w:pPr>
              <w:autoSpaceDE w:val="0"/>
              <w:autoSpaceDN w:val="0"/>
              <w:adjustRightInd w:val="0"/>
              <w:jc w:val="center"/>
              <w:textAlignment w:val="bottom"/>
              <w:rPr>
                <w:rFonts w:hint="eastAsia" w:ascii="宋体"/>
                <w:bCs/>
                <w:szCs w:val="18"/>
              </w:rPr>
            </w:pPr>
            <w:r>
              <w:rPr>
                <w:rFonts w:hint="eastAsia"/>
                <w:bCs/>
              </w:rPr>
              <w:t>轻型自卸货车</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10</w:t>
            </w:r>
          </w:p>
        </w:tc>
        <w:tc>
          <w:tcPr>
            <w:tcW w:w="1413" w:type="pct"/>
            <w:noWrap w:val="0"/>
            <w:vAlign w:val="center"/>
          </w:tcPr>
          <w:p>
            <w:pPr>
              <w:autoSpaceDE w:val="0"/>
              <w:autoSpaceDN w:val="0"/>
              <w:adjustRightInd w:val="0"/>
              <w:textAlignment w:val="bottom"/>
              <w:rPr>
                <w:rFonts w:ascii="宋体" w:hAnsi="宋体"/>
                <w:b/>
                <w:szCs w:val="21"/>
              </w:rPr>
            </w:pPr>
            <w:r>
              <w:rPr>
                <w:rFonts w:hint="eastAsia" w:ascii="宋体" w:hAnsi="宋体"/>
                <w:b/>
                <w:szCs w:val="21"/>
              </w:rPr>
              <w:t>1、轻型，以行驶证数据为准。</w:t>
            </w:r>
          </w:p>
          <w:p>
            <w:pPr>
              <w:autoSpaceDE w:val="0"/>
              <w:autoSpaceDN w:val="0"/>
              <w:adjustRightInd w:val="0"/>
              <w:textAlignment w:val="bottom"/>
              <w:rPr>
                <w:rFonts w:ascii="宋体" w:hAnsi="宋体"/>
                <w:sz w:val="22"/>
                <w:szCs w:val="22"/>
              </w:rPr>
            </w:pPr>
            <w:r>
              <w:rPr>
                <w:rFonts w:hint="eastAsia" w:ascii="宋体" w:hAnsi="宋体"/>
                <w:sz w:val="22"/>
                <w:szCs w:val="22"/>
              </w:rPr>
              <w:t>2、高位上料。</w:t>
            </w:r>
          </w:p>
          <w:p>
            <w:pPr>
              <w:autoSpaceDE w:val="0"/>
              <w:autoSpaceDN w:val="0"/>
              <w:adjustRightInd w:val="0"/>
              <w:textAlignment w:val="bottom"/>
              <w:rPr>
                <w:rFonts w:hint="eastAsia" w:ascii="宋体" w:hAnsi="宋体"/>
                <w:kern w:val="2"/>
                <w:sz w:val="22"/>
                <w:szCs w:val="22"/>
              </w:rPr>
            </w:pPr>
            <w:r>
              <w:rPr>
                <w:rFonts w:hint="eastAsia" w:ascii="宋体" w:hAnsi="宋体"/>
                <w:sz w:val="22"/>
                <w:szCs w:val="22"/>
              </w:rPr>
              <w:t>3、专用于非保洁区域的统一分类收运工作。</w:t>
            </w:r>
          </w:p>
        </w:tc>
        <w:tc>
          <w:tcPr>
            <w:tcW w:w="1544" w:type="pct"/>
            <w:noWrap w:val="0"/>
            <w:vAlign w:val="center"/>
          </w:tcPr>
          <w:p>
            <w:pPr>
              <w:autoSpaceDE w:val="0"/>
              <w:autoSpaceDN w:val="0"/>
              <w:adjustRightInd w:val="0"/>
              <w:jc w:val="center"/>
              <w:textAlignment w:val="bottom"/>
              <w:rPr>
                <w:rFonts w:ascii="宋体" w:hAnsi="宋体"/>
                <w:b/>
                <w:szCs w:val="21"/>
              </w:rPr>
            </w:pPr>
            <w:r>
              <w:rPr>
                <w:rFonts w:ascii="宋体" w:hAnsi="宋体"/>
                <w:b/>
                <w:color w:val="000000"/>
                <w:kern w:val="2"/>
                <w:sz w:val="22"/>
                <w:szCs w:val="21"/>
              </w:rPr>
              <w:drawing>
                <wp:inline distT="0" distB="0" distL="114300" distR="114300">
                  <wp:extent cx="975360" cy="1001395"/>
                  <wp:effectExtent l="0" t="0" r="15240" b="8255"/>
                  <wp:docPr id="14" name="图片 11" descr="1614311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1614311013(1)"/>
                          <pic:cNvPicPr>
                            <a:picLocks noChangeAspect="1"/>
                          </pic:cNvPicPr>
                        </pic:nvPicPr>
                        <pic:blipFill>
                          <a:blip r:embed="rId32"/>
                          <a:stretch>
                            <a:fillRect/>
                          </a:stretch>
                        </pic:blipFill>
                        <pic:spPr>
                          <a:xfrm>
                            <a:off x="0" y="0"/>
                            <a:ext cx="975360" cy="10013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hint="eastAsia" w:ascii="宋体" w:hAnsi="宋体"/>
                <w:b/>
                <w:szCs w:val="21"/>
              </w:rPr>
            </w:pPr>
          </w:p>
        </w:tc>
        <w:tc>
          <w:tcPr>
            <w:tcW w:w="667" w:type="pct"/>
            <w:noWrap w:val="0"/>
            <w:vAlign w:val="center"/>
          </w:tcPr>
          <w:p>
            <w:pPr>
              <w:autoSpaceDE w:val="0"/>
              <w:autoSpaceDN w:val="0"/>
              <w:adjustRightInd w:val="0"/>
              <w:textAlignment w:val="bottom"/>
              <w:rPr>
                <w:rFonts w:hint="eastAsia" w:ascii="宋体"/>
                <w:bCs/>
                <w:szCs w:val="18"/>
              </w:rPr>
            </w:pPr>
            <w:r>
              <w:rPr>
                <w:rFonts w:hint="eastAsia" w:ascii="宋体"/>
                <w:bCs/>
                <w:szCs w:val="18"/>
              </w:rPr>
              <w:t>有害垃圾运输车</w:t>
            </w:r>
          </w:p>
        </w:tc>
        <w:tc>
          <w:tcPr>
            <w:tcW w:w="572" w:type="pct"/>
            <w:noWrap w:val="0"/>
            <w:vAlign w:val="center"/>
          </w:tcPr>
          <w:p>
            <w:pPr>
              <w:autoSpaceDE w:val="0"/>
              <w:autoSpaceDN w:val="0"/>
              <w:adjustRightInd w:val="0"/>
              <w:jc w:val="center"/>
              <w:textAlignment w:val="bottom"/>
              <w:rPr>
                <w:rFonts w:hint="eastAsia" w:ascii="宋体"/>
                <w:bCs/>
                <w:szCs w:val="18"/>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1</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rPr>
              <w:t>有害垃圾收集车，保证整车密封性，要求整体出厂，</w:t>
            </w:r>
            <w:r>
              <w:t>不漏水，耐腐蚀，抗老化</w:t>
            </w:r>
            <w:r>
              <w:rPr>
                <w:rFonts w:hint="eastAsia"/>
              </w:rPr>
              <w:t>。不得为非法组装车。</w:t>
            </w:r>
          </w:p>
        </w:tc>
        <w:tc>
          <w:tcPr>
            <w:tcW w:w="1544"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cs="宋体"/>
              </w:rPr>
              <w:drawing>
                <wp:inline distT="0" distB="0" distL="114300" distR="114300">
                  <wp:extent cx="1550035" cy="1163320"/>
                  <wp:effectExtent l="0" t="0" r="12065" b="17780"/>
                  <wp:docPr id="1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9"/>
                          <pic:cNvPicPr>
                            <a:picLocks noChangeAspect="1"/>
                          </pic:cNvPicPr>
                        </pic:nvPicPr>
                        <pic:blipFill>
                          <a:blip r:embed="rId33"/>
                          <a:stretch>
                            <a:fillRect/>
                          </a:stretch>
                        </pic:blipFill>
                        <pic:spPr>
                          <a:xfrm>
                            <a:off x="0" y="0"/>
                            <a:ext cx="1550035" cy="11633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装载机（轮式铲车）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szCs w:val="21"/>
              </w:rPr>
              <w:t>1</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szCs w:val="21"/>
              </w:rPr>
              <w:t>1-3吨</w:t>
            </w:r>
          </w:p>
        </w:tc>
        <w:tc>
          <w:tcPr>
            <w:tcW w:w="1544" w:type="pct"/>
            <w:noWrap w:val="0"/>
            <w:vAlign w:val="center"/>
          </w:tcPr>
          <w:p>
            <w:pPr>
              <w:autoSpaceDE w:val="0"/>
              <w:autoSpaceDN w:val="0"/>
              <w:adjustRightInd w:val="0"/>
              <w:jc w:val="center"/>
              <w:textAlignment w:val="bottom"/>
              <w:rPr>
                <w:rFonts w:ascii="宋体" w:hAnsi="宋体"/>
                <w:b/>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轮式挖掘机</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sz w:val="22"/>
              </w:rPr>
              <w:t>1</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rPr>
              <w:t>规格由供应商按需配置</w:t>
            </w:r>
          </w:p>
        </w:tc>
        <w:tc>
          <w:tcPr>
            <w:tcW w:w="1544" w:type="pct"/>
            <w:noWrap w:val="0"/>
            <w:vAlign w:val="center"/>
          </w:tcPr>
          <w:p>
            <w:pPr>
              <w:autoSpaceDE w:val="0"/>
              <w:autoSpaceDN w:val="0"/>
              <w:adjustRightInd w:val="0"/>
              <w:jc w:val="center"/>
              <w:textAlignment w:val="bottom"/>
              <w:rPr>
                <w:rFonts w:ascii="宋体" w:hAnsi="宋体"/>
                <w:b/>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机动船</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sz w:val="22"/>
              </w:rPr>
              <w:t>10</w:t>
            </w:r>
          </w:p>
        </w:tc>
        <w:tc>
          <w:tcPr>
            <w:tcW w:w="1413" w:type="pct"/>
            <w:vMerge w:val="restart"/>
            <w:noWrap w:val="0"/>
            <w:vAlign w:val="center"/>
          </w:tcPr>
          <w:p>
            <w:pPr>
              <w:autoSpaceDE w:val="0"/>
              <w:autoSpaceDN w:val="0"/>
              <w:adjustRightInd w:val="0"/>
              <w:jc w:val="center"/>
              <w:textAlignment w:val="bottom"/>
              <w:rPr>
                <w:rFonts w:ascii="宋体" w:hAnsi="宋体"/>
                <w:b/>
                <w:szCs w:val="21"/>
              </w:rPr>
            </w:pPr>
            <w:r>
              <w:rPr>
                <w:rFonts w:hint="eastAsia"/>
              </w:rPr>
              <w:t>机动船及非机动船须统一标识，统一编号；机动船不得漏油污染河道，排放满足相关标准要求。</w:t>
            </w:r>
          </w:p>
        </w:tc>
        <w:tc>
          <w:tcPr>
            <w:tcW w:w="1544" w:type="pct"/>
            <w:noWrap w:val="0"/>
            <w:vAlign w:val="center"/>
          </w:tcPr>
          <w:p>
            <w:pPr>
              <w:autoSpaceDE w:val="0"/>
              <w:autoSpaceDN w:val="0"/>
              <w:adjustRightInd w:val="0"/>
              <w:jc w:val="center"/>
              <w:textAlignment w:val="bottom"/>
              <w:rPr>
                <w:rFonts w:ascii="宋体" w:hAnsi="宋体"/>
                <w:b/>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非机动船</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sz w:val="22"/>
              </w:rPr>
              <w:t>2</w:t>
            </w:r>
          </w:p>
        </w:tc>
        <w:tc>
          <w:tcPr>
            <w:tcW w:w="1413" w:type="pct"/>
            <w:vMerge w:val="continue"/>
            <w:noWrap w:val="0"/>
            <w:vAlign w:val="center"/>
          </w:tcPr>
          <w:p>
            <w:pPr>
              <w:autoSpaceDE w:val="0"/>
              <w:autoSpaceDN w:val="0"/>
              <w:adjustRightInd w:val="0"/>
              <w:jc w:val="center"/>
              <w:textAlignment w:val="bottom"/>
              <w:rPr>
                <w:rFonts w:ascii="宋体" w:hAnsi="宋体"/>
                <w:b/>
                <w:szCs w:val="21"/>
              </w:rPr>
            </w:pPr>
          </w:p>
        </w:tc>
        <w:tc>
          <w:tcPr>
            <w:tcW w:w="1544" w:type="pct"/>
            <w:noWrap w:val="0"/>
            <w:vAlign w:val="center"/>
          </w:tcPr>
          <w:p>
            <w:pPr>
              <w:autoSpaceDE w:val="0"/>
              <w:autoSpaceDN w:val="0"/>
              <w:adjustRightInd w:val="0"/>
              <w:jc w:val="center"/>
              <w:textAlignment w:val="bottom"/>
              <w:rPr>
                <w:rFonts w:ascii="宋体" w:hAnsi="宋体"/>
                <w:b/>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小型高温高压冲洗（油污清洗）车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sz w:val="22"/>
              </w:rPr>
              <w:t>5</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rPr>
              <w:t>小型四轮高压清洗车，具有高温加热功能，要求整体出厂，</w:t>
            </w:r>
            <w:r>
              <w:t>不易漏水，耐腐蚀，抗老化</w:t>
            </w:r>
            <w:r>
              <w:rPr>
                <w:rFonts w:hint="eastAsia"/>
              </w:rPr>
              <w:t>。不得为非法组装车。</w:t>
            </w:r>
          </w:p>
        </w:tc>
        <w:tc>
          <w:tcPr>
            <w:tcW w:w="1544" w:type="pct"/>
            <w:noWrap w:val="0"/>
            <w:vAlign w:val="center"/>
          </w:tcPr>
          <w:p>
            <w:pPr>
              <w:autoSpaceDE w:val="0"/>
              <w:autoSpaceDN w:val="0"/>
              <w:adjustRightInd w:val="0"/>
              <w:jc w:val="center"/>
              <w:textAlignment w:val="bottom"/>
              <w:rPr>
                <w:rFonts w:ascii="宋体" w:hAnsi="宋体"/>
                <w:b/>
                <w:szCs w:val="21"/>
              </w:rPr>
            </w:pPr>
            <w:r>
              <w:rPr>
                <w:rFonts w:ascii="宋体" w:hAnsi="宋体"/>
                <w:lang/>
              </w:rPr>
              <w:drawing>
                <wp:inline distT="0" distB="0" distL="114300" distR="114300">
                  <wp:extent cx="1434465" cy="1263015"/>
                  <wp:effectExtent l="0" t="0" r="13335" b="1333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34"/>
                          <a:stretch>
                            <a:fillRect/>
                          </a:stretch>
                        </pic:blipFill>
                        <pic:spPr>
                          <a:xfrm>
                            <a:off x="0" y="0"/>
                            <a:ext cx="1434465" cy="12630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小型多功能清扫车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sz w:val="22"/>
              </w:rPr>
              <w:t>4</w:t>
            </w:r>
          </w:p>
        </w:tc>
        <w:tc>
          <w:tcPr>
            <w:tcW w:w="1413" w:type="pct"/>
            <w:noWrap w:val="0"/>
            <w:vAlign w:val="center"/>
          </w:tcPr>
          <w:p>
            <w:pPr>
              <w:rPr>
                <w:rFonts w:ascii="宋体" w:hAnsi="宋体"/>
              </w:rPr>
            </w:pPr>
            <w:r>
              <w:rPr>
                <w:rFonts w:hint="eastAsia" w:ascii="宋体" w:hAnsi="宋体"/>
              </w:rPr>
              <w:t>小型多功能清扫车，具有扫地、吸尘、洒水、冲洗等功能，要求整体出厂，不得为非法组装</w:t>
            </w:r>
          </w:p>
        </w:tc>
        <w:tc>
          <w:tcPr>
            <w:tcW w:w="1544" w:type="pct"/>
            <w:noWrap w:val="0"/>
            <w:vAlign w:val="center"/>
          </w:tcPr>
          <w:p>
            <w:pPr>
              <w:autoSpaceDE w:val="0"/>
              <w:autoSpaceDN w:val="0"/>
              <w:adjustRightInd w:val="0"/>
              <w:jc w:val="center"/>
              <w:textAlignment w:val="bottom"/>
              <w:rPr>
                <w:rFonts w:ascii="宋体" w:hAnsi="宋体"/>
                <w:b/>
                <w:szCs w:val="21"/>
              </w:rPr>
            </w:pPr>
            <w:r>
              <w:rPr>
                <w:rFonts w:ascii="宋体" w:hAnsi="宋体"/>
                <w:lang/>
              </w:rPr>
              <w:drawing>
                <wp:inline distT="0" distB="0" distL="114300" distR="114300">
                  <wp:extent cx="1682750" cy="1182370"/>
                  <wp:effectExtent l="0" t="0" r="12700" b="1778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5"/>
                          <a:stretch>
                            <a:fillRect/>
                          </a:stretch>
                        </pic:blipFill>
                        <pic:spPr>
                          <a:xfrm>
                            <a:off x="0" y="0"/>
                            <a:ext cx="1682750" cy="11823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bCs/>
                <w:sz w:val="22"/>
              </w:rPr>
              <w:t>垃圾分类上门收集车（四分类）</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b/>
                <w:szCs w:val="21"/>
              </w:rPr>
              <w:t>20</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szCs w:val="22"/>
              </w:rPr>
              <w:t>电动三轮（四轮），箱体具有“可回收物”、“有害垃圾”、“易腐垃圾”、“其他垃圾”四分类垃圾收集功能。要求整体出厂，</w:t>
            </w:r>
            <w:r>
              <w:t>不漏水，耐腐蚀，抗老化</w:t>
            </w:r>
            <w:r>
              <w:rPr>
                <w:rFonts w:hint="eastAsia"/>
              </w:rPr>
              <w:t>。</w:t>
            </w:r>
            <w:r>
              <w:rPr>
                <w:rFonts w:hint="eastAsia"/>
                <w:szCs w:val="22"/>
              </w:rPr>
              <w:t>不得为非法组装车。</w:t>
            </w:r>
          </w:p>
        </w:tc>
        <w:tc>
          <w:tcPr>
            <w:tcW w:w="1544" w:type="pct"/>
            <w:noWrap w:val="0"/>
            <w:vAlign w:val="center"/>
          </w:tcPr>
          <w:p>
            <w:pPr>
              <w:autoSpaceDE w:val="0"/>
              <w:autoSpaceDN w:val="0"/>
              <w:adjustRightInd w:val="0"/>
              <w:jc w:val="center"/>
              <w:textAlignment w:val="bottom"/>
              <w:rPr>
                <w:color w:val="FF0000"/>
                <w:highlight w:val="yellow"/>
              </w:rPr>
            </w:pPr>
            <w:r>
              <w:rPr>
                <w:color w:val="FF0000"/>
                <w:highlight w:val="yellow"/>
              </w:rPr>
              <w:drawing>
                <wp:inline distT="0" distB="0" distL="114300" distR="114300">
                  <wp:extent cx="1329055" cy="784860"/>
                  <wp:effectExtent l="0" t="0" r="4445" b="1524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36"/>
                          <a:stretch>
                            <a:fillRect/>
                          </a:stretch>
                        </pic:blipFill>
                        <pic:spPr>
                          <a:xfrm>
                            <a:off x="0" y="0"/>
                            <a:ext cx="1329055" cy="784860"/>
                          </a:xfrm>
                          <a:prstGeom prst="rect">
                            <a:avLst/>
                          </a:prstGeom>
                          <a:noFill/>
                          <a:ln>
                            <a:noFill/>
                          </a:ln>
                        </pic:spPr>
                      </pic:pic>
                    </a:graphicData>
                  </a:graphic>
                </wp:inline>
              </w:drawing>
            </w:r>
          </w:p>
          <w:p>
            <w:pPr>
              <w:pStyle w:val="2"/>
              <w:rPr>
                <w:rFonts w:hint="eastAsia" w:ascii="宋体" w:hAnsi="宋体" w:eastAsia="宋体"/>
                <w:sz w:val="22"/>
                <w:szCs w:val="22"/>
                <w:highlight w:val="yellow"/>
              </w:rPr>
            </w:pPr>
            <w:r>
              <w:rPr>
                <w:rFonts w:hint="eastAsia" w:ascii="宋体" w:hAnsi="宋体" w:eastAsia="宋体"/>
                <w:sz w:val="22"/>
                <w:szCs w:val="22"/>
              </w:rPr>
              <w:t>如数量不足，采购人有权根据项目需要增加数量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三轮电动垃圾桶垃圾运输车（自装卸）</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hint="eastAsia" w:ascii="宋体"/>
                <w:b/>
                <w:sz w:val="22"/>
              </w:rPr>
              <w:t>供应商根据项目需要自行配置若干</w:t>
            </w:r>
          </w:p>
        </w:tc>
        <w:tc>
          <w:tcPr>
            <w:tcW w:w="1413" w:type="pct"/>
            <w:noWrap w:val="0"/>
            <w:vAlign w:val="center"/>
          </w:tcPr>
          <w:p>
            <w:pPr>
              <w:autoSpaceDE w:val="0"/>
              <w:autoSpaceDN w:val="0"/>
              <w:adjustRightInd w:val="0"/>
              <w:jc w:val="center"/>
              <w:textAlignment w:val="bottom"/>
              <w:rPr>
                <w:rFonts w:ascii="宋体" w:hAnsi="宋体"/>
                <w:bCs/>
                <w:szCs w:val="21"/>
              </w:rPr>
            </w:pPr>
            <w:r>
              <w:rPr>
                <w:rFonts w:hint="eastAsia" w:ascii="宋体" w:hAnsi="宋体"/>
                <w:bCs/>
                <w:szCs w:val="21"/>
              </w:rPr>
              <w:t>运输垃圾桶垃圾，具有自装卸功能（垃圾桶提升倾倒装置），要求整体出厂，不得为非法组装车。</w:t>
            </w:r>
          </w:p>
        </w:tc>
        <w:tc>
          <w:tcPr>
            <w:tcW w:w="1544" w:type="pct"/>
            <w:noWrap w:val="0"/>
            <w:vAlign w:val="center"/>
          </w:tcPr>
          <w:p>
            <w:pPr>
              <w:autoSpaceDE w:val="0"/>
              <w:autoSpaceDN w:val="0"/>
              <w:adjustRightInd w:val="0"/>
              <w:jc w:val="center"/>
              <w:textAlignment w:val="bottom"/>
              <w:rPr>
                <w:rFonts w:ascii="宋体" w:hAnsi="宋体"/>
                <w:b/>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四轮垃圾桶垃圾运输车（自装卸）</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hint="eastAsia" w:ascii="宋体"/>
                <w:b/>
                <w:sz w:val="22"/>
              </w:rPr>
              <w:t>供应商根据项目需要自行配置若干</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rPr>
              <w:t>运输垃圾桶垃圾，具有自装卸功能（垃圾桶提升倾倒装置），</w:t>
            </w:r>
            <w:r>
              <w:rPr>
                <w:rFonts w:hint="eastAsia" w:ascii="宋体" w:hAnsi="宋体" w:cs="Calibri"/>
                <w:bCs/>
              </w:rPr>
              <w:t>要求整体出厂，不得为非法组装车</w:t>
            </w:r>
          </w:p>
        </w:tc>
        <w:tc>
          <w:tcPr>
            <w:tcW w:w="1544" w:type="pct"/>
            <w:noWrap w:val="0"/>
            <w:vAlign w:val="center"/>
          </w:tcPr>
          <w:p>
            <w:pPr>
              <w:autoSpaceDE w:val="0"/>
              <w:autoSpaceDN w:val="0"/>
              <w:adjustRightInd w:val="0"/>
              <w:jc w:val="center"/>
              <w:textAlignment w:val="bottom"/>
              <w:rPr>
                <w:rFonts w:ascii="宋体" w:hAnsi="宋体"/>
                <w:b/>
                <w:szCs w:val="21"/>
              </w:rPr>
            </w:pPr>
            <w:r>
              <w:rPr>
                <w:rFonts w:ascii="宋体" w:hAnsi="宋体" w:cs="宋体"/>
                <w:sz w:val="24"/>
                <w:szCs w:val="24"/>
              </w:rPr>
              <w:drawing>
                <wp:inline distT="0" distB="0" distL="114300" distR="114300">
                  <wp:extent cx="1432560" cy="709295"/>
                  <wp:effectExtent l="0" t="0" r="15240" b="14605"/>
                  <wp:docPr id="19" name="图片 9" descr="3P936R5YA({84O1]0J7PZ5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3P936R5YA({84O1]0J7PZ5P"/>
                          <pic:cNvPicPr>
                            <a:picLocks noChangeAspect="1"/>
                          </pic:cNvPicPr>
                        </pic:nvPicPr>
                        <pic:blipFill>
                          <a:blip r:embed="rId37"/>
                          <a:stretch>
                            <a:fillRect/>
                          </a:stretch>
                        </pic:blipFill>
                        <pic:spPr>
                          <a:xfrm>
                            <a:off x="0" y="0"/>
                            <a:ext cx="1432560" cy="7092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b/>
                <w:szCs w:val="21"/>
              </w:rPr>
            </w:pPr>
            <w:r>
              <w:rPr>
                <w:rFonts w:hint="eastAsia" w:ascii="宋体" w:hAnsi="宋体"/>
                <w:sz w:val="22"/>
              </w:rPr>
              <w:t>小型冲洗车</w:t>
            </w:r>
          </w:p>
        </w:tc>
        <w:tc>
          <w:tcPr>
            <w:tcW w:w="572" w:type="pct"/>
            <w:noWrap w:val="0"/>
            <w:vAlign w:val="center"/>
          </w:tcPr>
          <w:p>
            <w:pPr>
              <w:autoSpaceDE w:val="0"/>
              <w:autoSpaceDN w:val="0"/>
              <w:adjustRightInd w:val="0"/>
              <w:jc w:val="center"/>
              <w:textAlignment w:val="bottom"/>
              <w:rPr>
                <w:rFonts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b/>
                <w:szCs w:val="21"/>
              </w:rPr>
            </w:pPr>
            <w:r>
              <w:rPr>
                <w:rFonts w:ascii="宋体" w:hAnsi="宋体"/>
                <w:sz w:val="22"/>
              </w:rPr>
              <w:t>30</w:t>
            </w:r>
          </w:p>
        </w:tc>
        <w:tc>
          <w:tcPr>
            <w:tcW w:w="1413" w:type="pct"/>
            <w:noWrap w:val="0"/>
            <w:vAlign w:val="center"/>
          </w:tcPr>
          <w:p>
            <w:pPr>
              <w:autoSpaceDE w:val="0"/>
              <w:autoSpaceDN w:val="0"/>
              <w:adjustRightInd w:val="0"/>
              <w:jc w:val="center"/>
              <w:textAlignment w:val="bottom"/>
              <w:rPr>
                <w:rFonts w:ascii="宋体" w:hAnsi="宋体"/>
                <w:b/>
                <w:szCs w:val="21"/>
              </w:rPr>
            </w:pPr>
            <w:r>
              <w:rPr>
                <w:rFonts w:hint="eastAsia"/>
                <w:szCs w:val="22"/>
              </w:rPr>
              <w:t>电动三轮（四轮）高压道路清洗车，要求整体出厂，不得为非法组装车。</w:t>
            </w:r>
          </w:p>
        </w:tc>
        <w:tc>
          <w:tcPr>
            <w:tcW w:w="1544" w:type="pct"/>
            <w:noWrap w:val="0"/>
            <w:vAlign w:val="center"/>
          </w:tcPr>
          <w:p>
            <w:pPr>
              <w:autoSpaceDE w:val="0"/>
              <w:autoSpaceDN w:val="0"/>
              <w:adjustRightInd w:val="0"/>
              <w:jc w:val="center"/>
              <w:textAlignment w:val="bottom"/>
              <w:rPr>
                <w:rFonts w:ascii="宋体" w:hAnsi="宋体"/>
                <w:b/>
                <w:szCs w:val="21"/>
              </w:rPr>
            </w:pPr>
            <w:r>
              <w:drawing>
                <wp:inline distT="0" distB="0" distL="114300" distR="114300">
                  <wp:extent cx="1361440" cy="1010920"/>
                  <wp:effectExtent l="0" t="0" r="10160" b="17780"/>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38"/>
                          <a:stretch>
                            <a:fillRect/>
                          </a:stretch>
                        </pic:blipFill>
                        <pic:spPr>
                          <a:xfrm>
                            <a:off x="0" y="0"/>
                            <a:ext cx="1361440" cy="10109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sz w:val="22"/>
              </w:rPr>
            </w:pPr>
            <w:r>
              <w:rPr>
                <w:rFonts w:hint="eastAsia" w:ascii="宋体" w:hAnsi="宋体"/>
                <w:sz w:val="22"/>
              </w:rPr>
              <w:t>城市家具保洁设备</w:t>
            </w:r>
          </w:p>
        </w:tc>
        <w:tc>
          <w:tcPr>
            <w:tcW w:w="572"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w:t>
            </w:r>
          </w:p>
        </w:tc>
        <w:tc>
          <w:tcPr>
            <w:tcW w:w="574" w:type="pct"/>
            <w:noWrap w:val="0"/>
            <w:vAlign w:val="center"/>
          </w:tcPr>
          <w:p>
            <w:pPr>
              <w:autoSpaceDE w:val="0"/>
              <w:autoSpaceDN w:val="0"/>
              <w:adjustRightInd w:val="0"/>
              <w:jc w:val="center"/>
              <w:textAlignment w:val="bottom"/>
              <w:rPr>
                <w:rFonts w:ascii="宋体" w:hAnsi="宋体"/>
                <w:sz w:val="22"/>
              </w:rPr>
            </w:pPr>
            <w:r>
              <w:rPr>
                <w:rFonts w:hint="eastAsia" w:ascii="宋体" w:hAnsi="宋体"/>
                <w:sz w:val="22"/>
              </w:rPr>
              <w:t>2</w:t>
            </w:r>
            <w:r>
              <w:rPr>
                <w:rFonts w:ascii="宋体" w:hAnsi="宋体"/>
                <w:sz w:val="22"/>
              </w:rPr>
              <w:t>0</w:t>
            </w:r>
          </w:p>
        </w:tc>
        <w:tc>
          <w:tcPr>
            <w:tcW w:w="1413" w:type="pct"/>
            <w:noWrap w:val="0"/>
            <w:vAlign w:val="center"/>
          </w:tcPr>
          <w:p>
            <w:pPr>
              <w:autoSpaceDE w:val="0"/>
              <w:autoSpaceDN w:val="0"/>
              <w:adjustRightInd w:val="0"/>
              <w:jc w:val="center"/>
              <w:textAlignment w:val="bottom"/>
              <w:rPr>
                <w:rFonts w:hint="eastAsia"/>
                <w:szCs w:val="22"/>
              </w:rPr>
            </w:pPr>
            <w:r>
              <w:rPr>
                <w:rFonts w:hint="eastAsia"/>
                <w:szCs w:val="22"/>
              </w:rPr>
              <w:t>保洁设备机具配置种类应完备，适用于不同类别城市家具的保洁工况及工序要求，包含但不限于以下要求：电动巡捡车、水桶、扫把、捡拾器、簸箕、伸缩刷（钩）、铲子、抹布、喷壶等工具，能够满足捡拾、清扫、擦拭、清理等作业要求</w:t>
            </w:r>
          </w:p>
        </w:tc>
        <w:tc>
          <w:tcPr>
            <w:tcW w:w="1544" w:type="pct"/>
            <w:noWrap w:val="0"/>
            <w:vAlign w:val="center"/>
          </w:tcPr>
          <w:p>
            <w:pPr>
              <w:autoSpaceDE w:val="0"/>
              <w:autoSpaceDN w:val="0"/>
              <w:adjustRightInd w:val="0"/>
              <w:jc w:val="center"/>
              <w:textAlignment w:val="bottom"/>
            </w:pPr>
            <w:r>
              <w:rPr>
                <w:rFonts w:hint="eastAsia" w:ascii="宋体" w:hAnsi="宋体"/>
                <w:sz w:val="22"/>
                <w:szCs w:val="22"/>
              </w:rPr>
              <w:t>如数量不足，采购人有权根据项目需要增加数量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noWrap w:val="0"/>
            <w:vAlign w:val="center"/>
          </w:tcPr>
          <w:p>
            <w:pPr>
              <w:numPr>
                <w:ilvl w:val="0"/>
                <w:numId w:val="23"/>
              </w:numPr>
              <w:autoSpaceDE w:val="0"/>
              <w:autoSpaceDN w:val="0"/>
              <w:adjustRightInd w:val="0"/>
              <w:textAlignment w:val="bottom"/>
              <w:rPr>
                <w:rFonts w:ascii="宋体" w:hAnsi="宋体"/>
                <w:b/>
                <w:szCs w:val="21"/>
              </w:rPr>
            </w:pPr>
          </w:p>
        </w:tc>
        <w:tc>
          <w:tcPr>
            <w:tcW w:w="667" w:type="pct"/>
            <w:noWrap w:val="0"/>
            <w:vAlign w:val="center"/>
          </w:tcPr>
          <w:p>
            <w:pPr>
              <w:autoSpaceDE w:val="0"/>
              <w:autoSpaceDN w:val="0"/>
              <w:adjustRightInd w:val="0"/>
              <w:textAlignment w:val="bottom"/>
              <w:rPr>
                <w:rFonts w:hint="eastAsia" w:ascii="宋体" w:hAnsi="宋体"/>
                <w:sz w:val="22"/>
              </w:rPr>
            </w:pPr>
            <w:r>
              <w:rPr>
                <w:rFonts w:hint="eastAsia" w:ascii="宋体" w:hAnsi="宋体"/>
                <w:sz w:val="22"/>
              </w:rPr>
              <w:t>人员清扫保洁车</w:t>
            </w:r>
            <w:r>
              <w:rPr>
                <w:rFonts w:hint="eastAsia" w:ascii="宋体"/>
                <w:bCs/>
                <w:szCs w:val="18"/>
              </w:rPr>
              <w:t>（封闭式）</w:t>
            </w:r>
          </w:p>
        </w:tc>
        <w:tc>
          <w:tcPr>
            <w:tcW w:w="572" w:type="pct"/>
            <w:noWrap w:val="0"/>
            <w:vAlign w:val="center"/>
          </w:tcPr>
          <w:p>
            <w:pPr>
              <w:autoSpaceDE w:val="0"/>
              <w:autoSpaceDN w:val="0"/>
              <w:adjustRightInd w:val="0"/>
              <w:jc w:val="center"/>
              <w:textAlignment w:val="bottom"/>
              <w:rPr>
                <w:rFonts w:hint="eastAsia" w:ascii="宋体" w:hAnsi="宋体"/>
                <w:b/>
                <w:szCs w:val="21"/>
              </w:rPr>
            </w:pPr>
            <w:r>
              <w:rPr>
                <w:rFonts w:hint="eastAsia" w:ascii="宋体" w:hAnsi="宋体"/>
                <w:b/>
                <w:szCs w:val="21"/>
              </w:rPr>
              <w:t>----</w:t>
            </w:r>
          </w:p>
        </w:tc>
        <w:tc>
          <w:tcPr>
            <w:tcW w:w="574" w:type="pct"/>
            <w:noWrap w:val="0"/>
            <w:vAlign w:val="top"/>
          </w:tcPr>
          <w:p>
            <w:pPr>
              <w:autoSpaceDE w:val="0"/>
              <w:autoSpaceDN w:val="0"/>
              <w:adjustRightInd w:val="0"/>
              <w:jc w:val="center"/>
              <w:textAlignment w:val="bottom"/>
              <w:rPr>
                <w:rFonts w:hint="eastAsia" w:ascii="宋体" w:hAnsi="宋体"/>
                <w:sz w:val="22"/>
              </w:rPr>
            </w:pPr>
            <w:r>
              <w:rPr>
                <w:rFonts w:hint="eastAsia" w:ascii="宋体" w:hAnsi="宋体"/>
                <w:sz w:val="22"/>
              </w:rPr>
              <w:t>供应商根据项目需要自行配置若干</w:t>
            </w:r>
          </w:p>
        </w:tc>
        <w:tc>
          <w:tcPr>
            <w:tcW w:w="1413" w:type="pct"/>
            <w:noWrap w:val="0"/>
            <w:vAlign w:val="center"/>
          </w:tcPr>
          <w:p>
            <w:pPr>
              <w:autoSpaceDE w:val="0"/>
              <w:autoSpaceDN w:val="0"/>
              <w:adjustRightInd w:val="0"/>
              <w:jc w:val="center"/>
              <w:textAlignment w:val="bottom"/>
              <w:rPr>
                <w:rFonts w:hint="eastAsia"/>
              </w:rPr>
            </w:pPr>
            <w:r>
              <w:rPr>
                <w:rFonts w:hint="eastAsia"/>
              </w:rPr>
              <w:t>全封闭式电动三轮（四轮）快速保洁车，要求整体出厂，不得为非法组装车。</w:t>
            </w:r>
          </w:p>
        </w:tc>
        <w:tc>
          <w:tcPr>
            <w:tcW w:w="1544" w:type="pct"/>
            <w:noWrap w:val="0"/>
            <w:vAlign w:val="center"/>
          </w:tcPr>
          <w:p>
            <w:pPr>
              <w:autoSpaceDE w:val="0"/>
              <w:autoSpaceDN w:val="0"/>
              <w:adjustRightInd w:val="0"/>
              <w:jc w:val="center"/>
              <w:textAlignment w:val="bottom"/>
              <w:rPr>
                <w:rFonts w:ascii="宋体" w:hAnsi="宋体"/>
                <w:b/>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noWrap w:val="0"/>
            <w:vAlign w:val="top"/>
          </w:tcPr>
          <w:p>
            <w:pPr>
              <w:autoSpaceDE w:val="0"/>
              <w:autoSpaceDN w:val="0"/>
              <w:adjustRightInd w:val="0"/>
              <w:textAlignment w:val="bottom"/>
              <w:rPr>
                <w:rFonts w:ascii="宋体" w:hAnsi="宋体"/>
                <w:b/>
                <w:szCs w:val="21"/>
              </w:rPr>
            </w:pPr>
            <w:r>
              <w:rPr>
                <w:rFonts w:hint="eastAsia"/>
              </w:rPr>
              <w:t>建议机动车辆排放达到国五标准及以上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noWrap w:val="0"/>
            <w:vAlign w:val="top"/>
          </w:tcPr>
          <w:p>
            <w:pPr>
              <w:autoSpaceDE w:val="0"/>
              <w:autoSpaceDN w:val="0"/>
              <w:adjustRightInd w:val="0"/>
              <w:textAlignment w:val="bottom"/>
              <w:rPr>
                <w:rFonts w:ascii="宋体" w:hAnsi="宋体"/>
                <w:b/>
                <w:szCs w:val="21"/>
              </w:rPr>
            </w:pPr>
            <w:r>
              <w:rPr>
                <w:rFonts w:hint="eastAsia" w:ascii="宋体" w:hAnsi="宋体"/>
                <w:b/>
                <w:szCs w:val="21"/>
              </w:rPr>
              <w:t>说明：</w:t>
            </w:r>
          </w:p>
          <w:p>
            <w:pPr>
              <w:autoSpaceDE w:val="0"/>
              <w:autoSpaceDN w:val="0"/>
              <w:adjustRightInd w:val="0"/>
              <w:textAlignment w:val="bottom"/>
              <w:rPr>
                <w:rFonts w:ascii="宋体" w:hAnsi="宋体"/>
                <w:bCs/>
                <w:color w:val="FF0000"/>
                <w:szCs w:val="21"/>
                <w:highlight w:val="yellow"/>
              </w:rPr>
            </w:pPr>
            <w:r>
              <w:rPr>
                <w:rFonts w:hint="eastAsia" w:ascii="宋体" w:hAnsi="宋体"/>
                <w:bCs/>
                <w:szCs w:val="21"/>
              </w:rPr>
              <w:t>① 考虑到本市垃圾中转站改造P</w:t>
            </w:r>
            <w:r>
              <w:rPr>
                <w:rFonts w:ascii="宋体" w:hAnsi="宋体"/>
                <w:bCs/>
                <w:szCs w:val="21"/>
              </w:rPr>
              <w:t>PP</w:t>
            </w:r>
            <w:r>
              <w:rPr>
                <w:rFonts w:hint="eastAsia" w:ascii="宋体" w:hAnsi="宋体"/>
                <w:bCs/>
                <w:szCs w:val="21"/>
              </w:rPr>
              <w:t>项目尚未完成，故允许本表</w:t>
            </w:r>
            <w:r>
              <w:rPr>
                <w:rFonts w:hint="eastAsia" w:ascii="宋体" w:hAnsi="宋体"/>
                <w:b/>
                <w:szCs w:val="21"/>
              </w:rPr>
              <w:t>序号1</w:t>
            </w:r>
            <w:r>
              <w:rPr>
                <w:rFonts w:ascii="宋体" w:hAnsi="宋体"/>
                <w:b/>
                <w:szCs w:val="21"/>
              </w:rPr>
              <w:t>0</w:t>
            </w:r>
            <w:r>
              <w:rPr>
                <w:rFonts w:hint="eastAsia" w:ascii="宋体" w:hAnsi="宋体"/>
                <w:b/>
                <w:szCs w:val="21"/>
              </w:rPr>
              <w:t>的</w:t>
            </w:r>
            <w:r>
              <w:rPr>
                <w:rFonts w:ascii="宋体" w:hAnsi="宋体"/>
                <w:b/>
                <w:szCs w:val="21"/>
              </w:rPr>
              <w:t>10</w:t>
            </w:r>
            <w:r>
              <w:rPr>
                <w:rFonts w:hint="eastAsia" w:ascii="宋体" w:hAnsi="宋体"/>
                <w:b/>
                <w:szCs w:val="21"/>
              </w:rPr>
              <w:t>辆轻型自卸式垃圾车（无滴漏）在市区中转站改造完毕之前采用承诺方式，期间的统一分类收运工作投入设备种类、数量等情况由供应商根据需求</w:t>
            </w:r>
            <w:r>
              <w:rPr>
                <w:rFonts w:hint="eastAsia" w:ascii="宋体" w:hAnsi="宋体"/>
                <w:sz w:val="22"/>
              </w:rPr>
              <w:t>自行配置，不允许出现滴撒漏和清运不及时的情况发生。待</w:t>
            </w:r>
            <w:r>
              <w:rPr>
                <w:rFonts w:hint="eastAsia" w:ascii="宋体" w:hAnsi="宋体"/>
                <w:b/>
                <w:szCs w:val="21"/>
              </w:rPr>
              <w:t>中转站改造完毕之后，1</w:t>
            </w:r>
            <w:r>
              <w:rPr>
                <w:rFonts w:ascii="宋体" w:hAnsi="宋体"/>
                <w:b/>
                <w:szCs w:val="21"/>
              </w:rPr>
              <w:t>0</w:t>
            </w:r>
            <w:r>
              <w:rPr>
                <w:rFonts w:hint="eastAsia" w:ascii="宋体" w:hAnsi="宋体"/>
                <w:b/>
                <w:szCs w:val="21"/>
              </w:rPr>
              <w:t>天内（以采购人通知为准）须将承诺车辆配备到位。供应商应充分考虑其报价风险。</w:t>
            </w:r>
          </w:p>
          <w:p>
            <w:pPr>
              <w:autoSpaceDE w:val="0"/>
              <w:autoSpaceDN w:val="0"/>
              <w:adjustRightInd w:val="0"/>
              <w:textAlignment w:val="bottom"/>
              <w:rPr>
                <w:rFonts w:hint="eastAsia" w:ascii="宋体" w:hAnsi="宋体"/>
                <w:bCs/>
                <w:szCs w:val="21"/>
              </w:rPr>
            </w:pPr>
            <w:r>
              <w:rPr>
                <w:rFonts w:hint="eastAsia" w:ascii="宋体" w:hAnsi="宋体"/>
                <w:bCs/>
                <w:szCs w:val="21"/>
              </w:rPr>
              <w:t>② 河道保洁因河道不通等相关因素，需要增加船只配置的，供应商自行增配，费用包含在投标总价中。</w:t>
            </w:r>
          </w:p>
          <w:p>
            <w:pPr>
              <w:autoSpaceDE w:val="0"/>
              <w:autoSpaceDN w:val="0"/>
              <w:adjustRightInd w:val="0"/>
              <w:textAlignment w:val="bottom"/>
              <w:rPr>
                <w:rFonts w:ascii="宋体" w:hAnsi="宋体"/>
                <w:bCs/>
                <w:szCs w:val="21"/>
              </w:rPr>
            </w:pPr>
            <w:r>
              <w:rPr>
                <w:rFonts w:hint="eastAsia" w:ascii="宋体" w:hAnsi="宋体"/>
                <w:bCs/>
                <w:szCs w:val="21"/>
              </w:rPr>
              <w:t>③ 本项目配置重型洗扫车中至少要有1辆具备公路护栏专用清洗功能，以满足公路护栏保洁要求。</w:t>
            </w:r>
          </w:p>
          <w:p>
            <w:pPr>
              <w:autoSpaceDE w:val="0"/>
              <w:autoSpaceDN w:val="0"/>
              <w:adjustRightInd w:val="0"/>
              <w:textAlignment w:val="bottom"/>
              <w:rPr>
                <w:rFonts w:hint="eastAsia" w:ascii="宋体" w:hAnsi="宋体"/>
                <w:bCs/>
                <w:szCs w:val="21"/>
              </w:rPr>
            </w:pPr>
            <w:r>
              <w:rPr>
                <w:rFonts w:hint="eastAsia" w:ascii="宋体" w:hAnsi="宋体"/>
                <w:b/>
                <w:szCs w:val="21"/>
              </w:rPr>
              <w:t>④</w:t>
            </w:r>
            <w:r>
              <w:rPr>
                <w:rFonts w:hint="eastAsia" w:ascii="宋体" w:hAnsi="宋体"/>
                <w:bCs/>
                <w:szCs w:val="21"/>
              </w:rPr>
              <w:t xml:space="preserve"> 三轮、四轮垃圾桶垃圾运输车（自装卸）如不能满足垃圾清运要求的，采购人可以要求中标供应商免费增加三轮、四轮垃圾桶垃圾运输车（自装卸）数量，供应商不得以任何理由拖延或拒绝，费用不做调整。</w:t>
            </w:r>
          </w:p>
          <w:p>
            <w:pPr>
              <w:autoSpaceDE w:val="0"/>
              <w:autoSpaceDN w:val="0"/>
              <w:adjustRightInd w:val="0"/>
              <w:textAlignment w:val="bottom"/>
              <w:rPr>
                <w:rFonts w:ascii="宋体" w:hAnsi="宋体"/>
                <w:b/>
                <w:szCs w:val="21"/>
              </w:rPr>
            </w:pPr>
            <w:r>
              <w:rPr>
                <w:rFonts w:hint="eastAsia" w:ascii="宋体" w:hAnsi="宋体"/>
                <w:b/>
                <w:szCs w:val="21"/>
              </w:rPr>
              <w:t>⑤</w:t>
            </w:r>
            <w:r>
              <w:rPr>
                <w:rFonts w:ascii="宋体" w:hAnsi="宋体"/>
                <w:b/>
                <w:szCs w:val="21"/>
              </w:rPr>
              <w:t xml:space="preserve"> </w:t>
            </w:r>
            <w:r>
              <w:rPr>
                <w:rFonts w:hint="eastAsia" w:ascii="宋体" w:hAnsi="宋体"/>
                <w:b/>
                <w:szCs w:val="21"/>
              </w:rPr>
              <w:t>▲所有具备行驶证的机动车，其行驶证上注明的车辆类型须与上表注明的车辆类型相同，上表中注明轻/中/重或中/重的仅须满足其中一种类型即可。</w:t>
            </w:r>
          </w:p>
          <w:p>
            <w:pPr>
              <w:autoSpaceDE w:val="0"/>
              <w:autoSpaceDN w:val="0"/>
              <w:adjustRightInd w:val="0"/>
              <w:textAlignment w:val="bottom"/>
              <w:rPr>
                <w:rFonts w:ascii="宋体" w:hAnsi="宋体"/>
                <w:b/>
                <w:szCs w:val="21"/>
              </w:rPr>
            </w:pPr>
            <w:r>
              <w:rPr>
                <w:rFonts w:hint="eastAsia" w:ascii="宋体" w:hAnsi="宋体"/>
                <w:b/>
                <w:szCs w:val="21"/>
              </w:rPr>
              <w:t>⑥</w:t>
            </w:r>
            <w:r>
              <w:rPr>
                <w:rFonts w:ascii="宋体" w:hAnsi="宋体"/>
                <w:b/>
                <w:szCs w:val="21"/>
              </w:rPr>
              <w:t xml:space="preserve"> </w:t>
            </w:r>
            <w:r>
              <w:rPr>
                <w:rFonts w:hint="eastAsia" w:ascii="宋体" w:hAnsi="宋体"/>
                <w:b/>
                <w:szCs w:val="21"/>
              </w:rPr>
              <w:t>▲本表设备、船只、车辆必须按招标文件要求的数量、时间进场。如不能按时，按数量，按规格进场，采购人可以无任何责任取消供应商中标资格及中标合同，中标单位还需赔偿采购人一切损失，并没收全部履约保证金。</w:t>
            </w:r>
          </w:p>
        </w:tc>
      </w:tr>
    </w:tbl>
    <w:p>
      <w:pPr>
        <w:pStyle w:val="2"/>
        <w:ind w:firstLine="420" w:firstLineChars="200"/>
        <w:rPr>
          <w:rFonts w:ascii="宋体" w:hAnsi="宋体" w:eastAsia="宋体"/>
          <w:color w:val="000000"/>
          <w:sz w:val="21"/>
          <w:szCs w:val="21"/>
        </w:rPr>
      </w:pPr>
      <w:r>
        <w:rPr>
          <w:rFonts w:hint="eastAsia" w:ascii="宋体" w:hAnsi="宋体" w:eastAsia="宋体"/>
          <w:color w:val="000000"/>
          <w:sz w:val="21"/>
          <w:szCs w:val="21"/>
        </w:rPr>
        <w:t>2、</w:t>
      </w:r>
      <w:r>
        <w:rPr>
          <w:rFonts w:hint="eastAsia" w:ascii="宋体" w:hAnsi="宋体" w:eastAsia="宋体"/>
          <w:b/>
          <w:bCs/>
          <w:color w:val="000000"/>
          <w:sz w:val="21"/>
          <w:szCs w:val="21"/>
          <w:u w:val="single"/>
        </w:rPr>
        <w:t>中标后如经采购人同意，中标供应商可以用优于投标车辆品牌、参数的车辆以新换旧、以优换次来替代投标承诺投入本项目的车辆，但最终投入进场的车辆须专车专用，只用于本项目，未经采购人同意不得自行变更或另用他处</w:t>
      </w:r>
      <w:r>
        <w:rPr>
          <w:rFonts w:hint="eastAsia" w:ascii="宋体" w:hAnsi="宋体" w:eastAsia="宋体"/>
          <w:color w:val="000000"/>
          <w:sz w:val="21"/>
          <w:szCs w:val="21"/>
        </w:rPr>
        <w:t>。</w:t>
      </w:r>
    </w:p>
    <w:p>
      <w:pPr>
        <w:pStyle w:val="2"/>
        <w:ind w:firstLine="422" w:firstLineChars="200"/>
        <w:rPr>
          <w:rFonts w:ascii="宋体" w:hAnsi="宋体" w:eastAsia="宋体"/>
          <w:b/>
          <w:bCs/>
          <w:color w:val="000000"/>
          <w:sz w:val="21"/>
          <w:szCs w:val="21"/>
        </w:rPr>
      </w:pPr>
      <w:r>
        <w:rPr>
          <w:rFonts w:hint="eastAsia" w:ascii="宋体" w:hAnsi="宋体" w:eastAsia="宋体"/>
          <w:b/>
          <w:bCs/>
          <w:color w:val="000000"/>
          <w:sz w:val="21"/>
          <w:szCs w:val="21"/>
        </w:rPr>
        <w:t>3、▲本项目投入的环卫作业车辆符合国家相关规定允许的上路要求，非法改装车不得参与本项目投标及中标使用。</w:t>
      </w:r>
    </w:p>
    <w:p>
      <w:pPr>
        <w:pStyle w:val="2"/>
        <w:ind w:firstLine="422" w:firstLineChars="200"/>
        <w:rPr>
          <w:rFonts w:ascii="宋体" w:hAnsi="宋体" w:eastAsia="宋体"/>
          <w:b/>
          <w:bCs/>
          <w:color w:val="000000"/>
          <w:sz w:val="21"/>
          <w:szCs w:val="21"/>
        </w:rPr>
      </w:pPr>
      <w:r>
        <w:rPr>
          <w:rFonts w:hint="eastAsia" w:ascii="宋体" w:hAnsi="宋体" w:eastAsia="宋体"/>
          <w:b/>
          <w:bCs/>
          <w:color w:val="000000"/>
          <w:sz w:val="21"/>
          <w:szCs w:val="21"/>
        </w:rPr>
        <w:t>4、▲所有机动车、机动船必须按“服务人员、车辆船只接入平台设备参考配置表”要求安装全球卫星定位系统（GPS）、视屏监控系统等，所有配置接入《瑞安市环卫智慧监管平台》，上路作业时，必须打开全球卫星定位系统（GPS）和警示灯或发送警示信号；作业时要遵守道路交通安全法规，礼让行车，注意行人的安全。</w:t>
      </w:r>
    </w:p>
    <w:p>
      <w:pPr>
        <w:pStyle w:val="2"/>
        <w:ind w:firstLine="420" w:firstLineChars="200"/>
        <w:rPr>
          <w:rFonts w:ascii="宋体" w:hAnsi="宋体" w:eastAsia="宋体"/>
          <w:color w:val="000000"/>
          <w:sz w:val="21"/>
          <w:szCs w:val="21"/>
        </w:rPr>
      </w:pPr>
      <w:r>
        <w:rPr>
          <w:rFonts w:hint="eastAsia" w:ascii="宋体" w:hAnsi="宋体" w:eastAsia="宋体"/>
          <w:color w:val="000000"/>
          <w:sz w:val="21"/>
          <w:szCs w:val="21"/>
        </w:rPr>
        <w:t>5、本项目要求中标供应商须具有规范的停车场地，作业车辆统一停放。场地内具有洗车洗轮装备，作业完毕后车辆及时清洗干净入库。</w:t>
      </w:r>
    </w:p>
    <w:p>
      <w:pPr>
        <w:pStyle w:val="2"/>
        <w:ind w:firstLine="420" w:firstLineChars="200"/>
        <w:rPr>
          <w:rFonts w:ascii="宋体" w:hAnsi="宋体" w:eastAsia="宋体"/>
          <w:color w:val="000000"/>
          <w:sz w:val="21"/>
          <w:szCs w:val="21"/>
        </w:rPr>
      </w:pPr>
      <w:r>
        <w:rPr>
          <w:rFonts w:hint="eastAsia" w:ascii="宋体" w:hAnsi="宋体" w:eastAsia="宋体"/>
          <w:color w:val="000000"/>
          <w:sz w:val="21"/>
          <w:szCs w:val="21"/>
        </w:rPr>
        <w:t>6、所有车辆船只须整洁干净，同一种类车辆船只颜色标识统一，车身明显处具有中标供应商名称标识及设备编号。车辆、船只不得出现吊挂杂物或垃圾袋等影响市容市貌、城市形象的情形。</w:t>
      </w:r>
    </w:p>
    <w:p>
      <w:pPr>
        <w:pStyle w:val="2"/>
        <w:ind w:firstLine="420" w:firstLineChars="200"/>
        <w:rPr>
          <w:rFonts w:hint="eastAsia" w:ascii="宋体" w:hAnsi="宋体" w:eastAsia="宋体"/>
          <w:color w:val="000000"/>
          <w:sz w:val="21"/>
          <w:szCs w:val="21"/>
        </w:rPr>
      </w:pPr>
      <w:r>
        <w:rPr>
          <w:rFonts w:hint="eastAsia" w:ascii="宋体" w:hAnsi="宋体" w:eastAsia="宋体"/>
          <w:color w:val="000000"/>
          <w:sz w:val="21"/>
          <w:szCs w:val="21"/>
        </w:rPr>
        <w:t>7、所投标机械车辆，须根据投标文件在领取中标通知书7日内向采购人报备。制定机械作业方案报备采购人审定，并严格按照采购人确认的范围、路线、时间进行作业，不得随意变更。</w:t>
      </w:r>
    </w:p>
    <w:p>
      <w:pPr>
        <w:pStyle w:val="2"/>
        <w:ind w:firstLine="420" w:firstLineChars="200"/>
        <w:rPr>
          <w:rFonts w:ascii="宋体" w:hAnsi="宋体" w:eastAsia="宋体"/>
          <w:color w:val="000000"/>
          <w:sz w:val="21"/>
          <w:szCs w:val="21"/>
        </w:rPr>
      </w:pPr>
      <w:r>
        <w:rPr>
          <w:rFonts w:hint="eastAsia" w:ascii="宋体" w:hAnsi="宋体" w:eastAsia="宋体"/>
          <w:color w:val="000000"/>
          <w:sz w:val="21"/>
          <w:szCs w:val="21"/>
        </w:rPr>
        <w:t>8、上表车辆、船只配置为最低要求，供应商须根据项目实际需要，自行增配相关车辆、船只，以达到环境卫生质量要求，增配车辆、船只等所有相关费用须包含在投标价格中。</w:t>
      </w:r>
    </w:p>
    <w:p>
      <w:pPr>
        <w:overflowPunct w:val="0"/>
        <w:spacing w:line="360" w:lineRule="auto"/>
        <w:ind w:left="420"/>
        <w:outlineLvl w:val="1"/>
        <w:rPr>
          <w:rFonts w:ascii="宋体"/>
          <w:b/>
          <w:szCs w:val="21"/>
        </w:rPr>
      </w:pPr>
      <w:bookmarkStart w:id="245" w:name="_Toc64901762"/>
      <w:bookmarkStart w:id="246" w:name="_Toc64913346"/>
      <w:r>
        <w:rPr>
          <w:rFonts w:hint="eastAsia" w:ascii="宋体"/>
          <w:b/>
          <w:szCs w:val="21"/>
        </w:rPr>
        <w:t>9、机械作业规范要求</w:t>
      </w:r>
      <w:bookmarkEnd w:id="245"/>
      <w:bookmarkEnd w:id="246"/>
    </w:p>
    <w:p>
      <w:pPr>
        <w:overflowPunct w:val="0"/>
        <w:adjustRightInd w:val="0"/>
        <w:spacing w:line="360" w:lineRule="auto"/>
        <w:ind w:firstLine="525" w:firstLineChars="250"/>
        <w:textAlignment w:val="bottom"/>
        <w:rPr>
          <w:rFonts w:ascii="宋体"/>
          <w:szCs w:val="21"/>
        </w:rPr>
      </w:pPr>
      <w:r>
        <w:rPr>
          <w:rFonts w:ascii="宋体"/>
          <w:szCs w:val="21"/>
        </w:rPr>
        <w:t>9.</w:t>
      </w:r>
      <w:r>
        <w:rPr>
          <w:rFonts w:hint="eastAsia" w:ascii="宋体"/>
          <w:szCs w:val="21"/>
        </w:rPr>
        <w:t>1、机械化清扫车和洒水车等机械作业车辆出车前必须进行车辆检查，发现故障及时排除，禁止带故障运行。</w:t>
      </w:r>
    </w:p>
    <w:p>
      <w:pPr>
        <w:overflowPunct w:val="0"/>
        <w:adjustRightInd w:val="0"/>
        <w:spacing w:line="360" w:lineRule="auto"/>
        <w:ind w:firstLine="525" w:firstLineChars="250"/>
        <w:textAlignment w:val="bottom"/>
        <w:rPr>
          <w:rFonts w:ascii="宋体"/>
          <w:szCs w:val="21"/>
        </w:rPr>
      </w:pPr>
      <w:r>
        <w:rPr>
          <w:rFonts w:ascii="宋体"/>
          <w:szCs w:val="21"/>
        </w:rPr>
        <w:t>9.</w:t>
      </w:r>
      <w:r>
        <w:rPr>
          <w:rFonts w:hint="eastAsia" w:ascii="宋体"/>
          <w:szCs w:val="21"/>
        </w:rPr>
        <w:t>2、驾驶员在工作过程中，要遵守道路交通安全法，礼让行车，注意行人的安全。</w:t>
      </w:r>
    </w:p>
    <w:p>
      <w:pPr>
        <w:overflowPunct w:val="0"/>
        <w:adjustRightInd w:val="0"/>
        <w:spacing w:line="360" w:lineRule="auto"/>
        <w:ind w:firstLine="525" w:firstLineChars="250"/>
        <w:textAlignment w:val="bottom"/>
        <w:rPr>
          <w:rFonts w:ascii="新宋体" w:hAnsi="新宋体" w:eastAsia="新宋体"/>
          <w:szCs w:val="21"/>
        </w:rPr>
      </w:pPr>
      <w:r>
        <w:rPr>
          <w:rFonts w:ascii="宋体"/>
          <w:szCs w:val="21"/>
        </w:rPr>
        <w:t>9.</w:t>
      </w:r>
      <w:r>
        <w:rPr>
          <w:rFonts w:hint="eastAsia" w:ascii="宋体"/>
          <w:szCs w:val="21"/>
        </w:rPr>
        <w:t>3、</w:t>
      </w:r>
      <w:r>
        <w:rPr>
          <w:rFonts w:hint="eastAsia" w:ascii="新宋体" w:hAnsi="新宋体" w:eastAsia="新宋体"/>
          <w:szCs w:val="21"/>
        </w:rPr>
        <w:t>垃圾收集车辆（含机动车和非机动车）一定装有密封盖子，在运输时必须采用全封闭避免滴洒漏情况发生。</w:t>
      </w:r>
    </w:p>
    <w:p>
      <w:pPr>
        <w:overflowPunct w:val="0"/>
        <w:adjustRightInd w:val="0"/>
        <w:spacing w:line="360" w:lineRule="auto"/>
        <w:ind w:firstLine="525" w:firstLineChars="250"/>
        <w:textAlignment w:val="bottom"/>
        <w:rPr>
          <w:rFonts w:ascii="新宋体" w:hAnsi="新宋体" w:eastAsia="新宋体"/>
          <w:szCs w:val="21"/>
        </w:rPr>
      </w:pPr>
      <w:r>
        <w:rPr>
          <w:rFonts w:ascii="宋体"/>
          <w:szCs w:val="21"/>
        </w:rPr>
        <w:t>9.</w:t>
      </w:r>
      <w:r>
        <w:rPr>
          <w:rFonts w:hint="eastAsia" w:ascii="宋体"/>
          <w:szCs w:val="21"/>
        </w:rPr>
        <w:t>4、机械作业车辆停车场地由中标供应商自行解决。中标供应商须配置洗车设备，车辆外观整洁，及时清洗。</w:t>
      </w:r>
    </w:p>
    <w:p>
      <w:pPr>
        <w:overflowPunct w:val="0"/>
        <w:adjustRightInd w:val="0"/>
        <w:spacing w:line="360" w:lineRule="auto"/>
        <w:ind w:firstLine="525" w:firstLineChars="250"/>
        <w:textAlignment w:val="bottom"/>
        <w:rPr>
          <w:rFonts w:ascii="宋体"/>
          <w:szCs w:val="21"/>
        </w:rPr>
      </w:pPr>
      <w:r>
        <w:rPr>
          <w:rFonts w:ascii="宋体"/>
          <w:szCs w:val="21"/>
        </w:rPr>
        <w:t>9.</w:t>
      </w:r>
      <w:r>
        <w:rPr>
          <w:rFonts w:hint="eastAsia" w:ascii="宋体"/>
          <w:szCs w:val="21"/>
        </w:rPr>
        <w:t>5、河道保洁船舶符合航管部门要求，作业器具标识明显，作业行船安全，防止超载、颠覆、进水。安全救生用具配戴齐全，定期实施设施安全检查。河道保洁时,若遇大风、暴雨、下雪停止作业，冰冻天气可适当缩短保洁时间。</w:t>
      </w:r>
    </w:p>
    <w:p>
      <w:pPr>
        <w:overflowPunct w:val="0"/>
        <w:adjustRightInd w:val="0"/>
        <w:spacing w:line="360" w:lineRule="auto"/>
        <w:ind w:firstLine="422" w:firstLineChars="200"/>
        <w:textAlignment w:val="bottom"/>
        <w:outlineLvl w:val="2"/>
        <w:rPr>
          <w:rFonts w:ascii="宋体"/>
          <w:b/>
          <w:szCs w:val="21"/>
        </w:rPr>
      </w:pPr>
      <w:bookmarkStart w:id="247" w:name="_Toc1443"/>
      <w:bookmarkStart w:id="248" w:name="_Toc64901763"/>
      <w:bookmarkStart w:id="249" w:name="_Toc291"/>
      <w:bookmarkStart w:id="250" w:name="_Toc99"/>
      <w:bookmarkStart w:id="251" w:name="_Toc8929"/>
      <w:bookmarkStart w:id="252" w:name="_Toc2537"/>
      <w:bookmarkStart w:id="253" w:name="_Toc64913347"/>
      <w:r>
        <w:rPr>
          <w:rFonts w:hint="eastAsia" w:ascii="宋体"/>
          <w:b/>
          <w:szCs w:val="21"/>
        </w:rPr>
        <w:t>1</w:t>
      </w:r>
      <w:r>
        <w:rPr>
          <w:rFonts w:ascii="宋体"/>
          <w:b/>
          <w:szCs w:val="21"/>
        </w:rPr>
        <w:t>0</w:t>
      </w:r>
      <w:r>
        <w:rPr>
          <w:rFonts w:hint="eastAsia" w:ascii="宋体"/>
          <w:b/>
          <w:szCs w:val="21"/>
        </w:rPr>
        <w:t>、《瑞安市智慧环卫监管平台》系统接入配置基本要求</w:t>
      </w:r>
      <w:bookmarkEnd w:id="247"/>
      <w:bookmarkEnd w:id="248"/>
      <w:bookmarkEnd w:id="249"/>
      <w:bookmarkEnd w:id="250"/>
      <w:bookmarkEnd w:id="251"/>
      <w:bookmarkEnd w:id="252"/>
      <w:bookmarkEnd w:id="253"/>
    </w:p>
    <w:p>
      <w:pPr>
        <w:overflowPunct w:val="0"/>
        <w:adjustRightInd w:val="0"/>
        <w:spacing w:line="360" w:lineRule="auto"/>
        <w:ind w:firstLine="420" w:firstLineChars="200"/>
        <w:textAlignment w:val="bottom"/>
        <w:rPr>
          <w:rFonts w:hint="eastAsia" w:ascii="宋体"/>
          <w:bCs/>
          <w:szCs w:val="21"/>
        </w:rPr>
      </w:pPr>
      <w:r>
        <w:rPr>
          <w:rFonts w:ascii="宋体"/>
          <w:bCs/>
          <w:szCs w:val="21"/>
        </w:rPr>
        <w:t>10.</w:t>
      </w:r>
      <w:r>
        <w:rPr>
          <w:rFonts w:hint="eastAsia" w:ascii="宋体"/>
          <w:bCs/>
          <w:szCs w:val="21"/>
        </w:rPr>
        <w:t>1、</w:t>
      </w:r>
      <w:r>
        <w:rPr>
          <w:rFonts w:hint="eastAsia" w:ascii="宋体"/>
          <w:b/>
          <w:szCs w:val="21"/>
        </w:rPr>
        <w:t>本项目供应商所有一线服务人员、车辆机械和有条件的公厕等均纳入《瑞安市智慧环卫监管平台》进行监管。供应商服务人员、车辆机械监控、视频监控软硬件、流量费由中标供应商自行采购、自行承担成本，确保能够接入采购人《瑞安市智慧环卫监管平台》管理。</w:t>
      </w:r>
    </w:p>
    <w:p>
      <w:pPr>
        <w:overflowPunct w:val="0"/>
        <w:adjustRightInd w:val="0"/>
        <w:spacing w:line="360" w:lineRule="auto"/>
        <w:ind w:firstLine="420" w:firstLineChars="200"/>
        <w:textAlignment w:val="bottom"/>
        <w:rPr>
          <w:rFonts w:hint="eastAsia" w:ascii="宋体"/>
          <w:bCs/>
          <w:szCs w:val="21"/>
        </w:rPr>
      </w:pPr>
      <w:r>
        <w:rPr>
          <w:rFonts w:ascii="宋体"/>
          <w:bCs/>
          <w:szCs w:val="21"/>
        </w:rPr>
        <w:t>10.</w:t>
      </w:r>
      <w:r>
        <w:rPr>
          <w:rFonts w:hint="eastAsia" w:ascii="宋体"/>
          <w:bCs/>
          <w:szCs w:val="21"/>
        </w:rPr>
        <w:t>2、中标供应商必须在中标通知书发布之日起必须在15日内完成设备的采购。</w:t>
      </w:r>
    </w:p>
    <w:p>
      <w:pPr>
        <w:overflowPunct w:val="0"/>
        <w:adjustRightInd w:val="0"/>
        <w:spacing w:line="360" w:lineRule="auto"/>
        <w:ind w:firstLine="420" w:firstLineChars="200"/>
        <w:textAlignment w:val="bottom"/>
        <w:rPr>
          <w:rFonts w:hint="eastAsia" w:ascii="宋体"/>
          <w:bCs/>
          <w:szCs w:val="21"/>
        </w:rPr>
      </w:pPr>
      <w:r>
        <w:rPr>
          <w:rFonts w:ascii="宋体"/>
          <w:bCs/>
          <w:szCs w:val="21"/>
        </w:rPr>
        <w:t>10.</w:t>
      </w:r>
      <w:r>
        <w:rPr>
          <w:rFonts w:hint="eastAsia" w:ascii="宋体"/>
          <w:bCs/>
          <w:szCs w:val="21"/>
        </w:rPr>
        <w:t>3、</w:t>
      </w:r>
      <w:r>
        <w:rPr>
          <w:rFonts w:hint="eastAsia" w:ascii="宋体"/>
          <w:b/>
          <w:szCs w:val="21"/>
        </w:rPr>
        <w:t>本项目供应商进场作业后，需在7日内将车辆作业排班表上报至市综合行政执法局智慧环卫监管平台和各乡镇（街道）相关部门并通过审核，进场作业15日内将数据录入平台系统和规划作业区域、路线、时间，进场作业30日后进行正式监管考核。逾期未接入的，每辆车辆迟一天扣罚1500元。本项目供应商进场作业后，需在15日内将服务人员作业排班表上报至市综合行政执法局智慧环卫监管平台和各乡镇（街道）相关部门并通过审核，进场作业30日内将数据录入平台系统和规划作业区域、路线、时间，进场作业60日后完成调试，调试完成后次月开始进行正式监管考核。人员设备逾期未接入达不到监管要求的，每少接入1台人员终端设备迟一天扣罚400元。车辆或人员逾期15天及以上未接入市综合行政执法局智慧环卫监管平台的，除按上述条款扣罚外，另记1次书面警告（或严重警告），以此类推。</w:t>
      </w:r>
    </w:p>
    <w:p>
      <w:pPr>
        <w:overflowPunct w:val="0"/>
        <w:adjustRightInd w:val="0"/>
        <w:spacing w:line="360" w:lineRule="auto"/>
        <w:ind w:firstLine="420" w:firstLineChars="200"/>
        <w:textAlignment w:val="bottom"/>
        <w:rPr>
          <w:rFonts w:ascii="宋体"/>
          <w:bCs/>
          <w:szCs w:val="21"/>
        </w:rPr>
      </w:pPr>
      <w:r>
        <w:rPr>
          <w:rFonts w:ascii="宋体"/>
          <w:bCs/>
          <w:szCs w:val="21"/>
        </w:rPr>
        <w:t>10.</w:t>
      </w:r>
      <w:r>
        <w:rPr>
          <w:rFonts w:hint="eastAsia" w:ascii="宋体"/>
          <w:bCs/>
          <w:szCs w:val="21"/>
        </w:rPr>
        <w:t>4、本项目按《瑞安市“一把扫帚”智慧环卫平台监管考核细则》实施。</w:t>
      </w:r>
    </w:p>
    <w:p>
      <w:pPr>
        <w:overflowPunct w:val="0"/>
        <w:adjustRightInd w:val="0"/>
        <w:spacing w:line="360" w:lineRule="auto"/>
        <w:ind w:firstLine="420" w:firstLineChars="200"/>
        <w:textAlignment w:val="bottom"/>
        <w:rPr>
          <w:rFonts w:ascii="宋体" w:hAnsi="宋体"/>
          <w:kern w:val="2"/>
          <w:szCs w:val="21"/>
        </w:rPr>
      </w:pPr>
      <w:r>
        <w:rPr>
          <w:rFonts w:hint="eastAsia" w:ascii="宋体" w:hAnsi="宋体"/>
          <w:kern w:val="2"/>
          <w:szCs w:val="21"/>
        </w:rPr>
        <w:t>1</w:t>
      </w:r>
      <w:r>
        <w:rPr>
          <w:rFonts w:ascii="宋体" w:hAnsi="宋体"/>
          <w:kern w:val="2"/>
          <w:szCs w:val="21"/>
        </w:rPr>
        <w:t>0.5</w:t>
      </w:r>
      <w:r>
        <w:rPr>
          <w:rFonts w:hint="eastAsia" w:ascii="宋体" w:hAnsi="宋体"/>
          <w:kern w:val="2"/>
          <w:szCs w:val="21"/>
        </w:rPr>
        <w:t>、春节假期期间人员及车辆考核的约定</w:t>
      </w:r>
    </w:p>
    <w:p>
      <w:pPr>
        <w:numPr>
          <w:ilvl w:val="0"/>
          <w:numId w:val="24"/>
        </w:numPr>
        <w:overflowPunct w:val="0"/>
        <w:adjustRightInd w:val="0"/>
        <w:spacing w:line="360" w:lineRule="auto"/>
        <w:textAlignment w:val="bottom"/>
        <w:rPr>
          <w:rFonts w:hint="eastAsia" w:ascii="宋体" w:hAnsi="宋体"/>
          <w:kern w:val="2"/>
          <w:szCs w:val="21"/>
        </w:rPr>
      </w:pPr>
      <w:r>
        <w:rPr>
          <w:rFonts w:hint="eastAsia" w:ascii="宋体" w:hAnsi="宋体"/>
          <w:kern w:val="2"/>
          <w:szCs w:val="21"/>
        </w:rPr>
        <w:t>春节假期之日起前10日，此期间经平台考核人员GPS到位率在85%及以上，将不再进行扣罚。人员GPS到位率低于85%的，按照考核办法进行扣罚。</w:t>
      </w:r>
      <w:bookmarkStart w:id="254" w:name="_Hlk68694607"/>
      <w:r>
        <w:rPr>
          <w:rFonts w:hint="eastAsia" w:ascii="宋体" w:hAnsi="宋体"/>
          <w:kern w:val="2"/>
          <w:szCs w:val="21"/>
        </w:rPr>
        <w:t>其他按照考核规定执行</w:t>
      </w:r>
      <w:bookmarkEnd w:id="254"/>
      <w:r>
        <w:rPr>
          <w:rFonts w:hint="eastAsia" w:ascii="宋体" w:hAnsi="宋体"/>
          <w:kern w:val="2"/>
          <w:szCs w:val="21"/>
        </w:rPr>
        <w:t>。</w:t>
      </w:r>
    </w:p>
    <w:p>
      <w:pPr>
        <w:numPr>
          <w:ilvl w:val="0"/>
          <w:numId w:val="24"/>
        </w:numPr>
        <w:overflowPunct w:val="0"/>
        <w:adjustRightInd w:val="0"/>
        <w:spacing w:line="360" w:lineRule="auto"/>
        <w:textAlignment w:val="bottom"/>
        <w:rPr>
          <w:rFonts w:hint="eastAsia" w:ascii="宋体" w:hAnsi="宋体"/>
          <w:kern w:val="2"/>
          <w:szCs w:val="21"/>
        </w:rPr>
      </w:pPr>
      <w:r>
        <w:rPr>
          <w:rFonts w:hint="eastAsia" w:ascii="宋体" w:hAnsi="宋体"/>
          <w:kern w:val="2"/>
          <w:szCs w:val="21"/>
        </w:rPr>
        <w:t>春节假期期间，此期间经平台考核人员GPS到位率在80%及以上和小型车辆GPS使用率在50%及以上，将不再进行扣罚。人员GPS到位率低于8</w:t>
      </w:r>
      <w:r>
        <w:rPr>
          <w:rFonts w:ascii="宋体" w:hAnsi="宋体"/>
          <w:kern w:val="2"/>
          <w:szCs w:val="21"/>
        </w:rPr>
        <w:t>0</w:t>
      </w:r>
      <w:r>
        <w:rPr>
          <w:rFonts w:hint="eastAsia" w:ascii="宋体" w:hAnsi="宋体"/>
          <w:kern w:val="2"/>
          <w:szCs w:val="21"/>
        </w:rPr>
        <w:t>%和小型车辆GPS使用率低于50%的，按照考核办法进行扣罚。其他按照考核规定执行。</w:t>
      </w:r>
    </w:p>
    <w:p>
      <w:pPr>
        <w:numPr>
          <w:ilvl w:val="0"/>
          <w:numId w:val="24"/>
        </w:numPr>
        <w:overflowPunct w:val="0"/>
        <w:adjustRightInd w:val="0"/>
        <w:spacing w:line="360" w:lineRule="auto"/>
        <w:textAlignment w:val="bottom"/>
        <w:rPr>
          <w:rFonts w:hint="eastAsia" w:ascii="宋体" w:hAnsi="宋体"/>
          <w:kern w:val="2"/>
          <w:sz w:val="22"/>
          <w:szCs w:val="22"/>
        </w:rPr>
      </w:pPr>
      <w:r>
        <w:rPr>
          <w:rFonts w:hint="eastAsia" w:ascii="宋体" w:hAnsi="宋体"/>
          <w:kern w:val="2"/>
          <w:szCs w:val="21"/>
        </w:rPr>
        <w:t>春节假期结束之日起后10日，此期间经平台考核人员GPS到位率在85%及以上的，将不再进行扣罚</w:t>
      </w:r>
      <w:r>
        <w:rPr>
          <w:rFonts w:hint="eastAsia" w:ascii="宋体" w:hAnsi="宋体"/>
          <w:kern w:val="2"/>
          <w:sz w:val="22"/>
          <w:szCs w:val="22"/>
        </w:rPr>
        <w:t>。人员GPS到位率低于85%的，按照考核办法进行扣罚。其他按照考核规定执行。</w:t>
      </w:r>
    </w:p>
    <w:p>
      <w:pPr>
        <w:overflowPunct w:val="0"/>
        <w:adjustRightInd w:val="0"/>
        <w:spacing w:line="360" w:lineRule="auto"/>
        <w:ind w:firstLine="420" w:firstLineChars="200"/>
        <w:textAlignment w:val="bottom"/>
        <w:rPr>
          <w:rFonts w:hint="eastAsia" w:ascii="宋体"/>
          <w:bCs/>
          <w:szCs w:val="21"/>
        </w:rPr>
      </w:pPr>
      <w:r>
        <w:rPr>
          <w:rFonts w:ascii="宋体"/>
          <w:bCs/>
          <w:szCs w:val="21"/>
        </w:rPr>
        <w:t>10.6</w:t>
      </w:r>
      <w:r>
        <w:rPr>
          <w:rFonts w:hint="eastAsia" w:ascii="宋体"/>
          <w:bCs/>
          <w:szCs w:val="21"/>
        </w:rPr>
        <w:t>、《瑞安市智慧环卫监管平台》系统接入参数要求</w:t>
      </w:r>
    </w:p>
    <w:p>
      <w:pPr>
        <w:pStyle w:val="16"/>
        <w:snapToGrid w:val="0"/>
        <w:spacing w:after="0" w:line="360" w:lineRule="auto"/>
        <w:ind w:left="0" w:leftChars="0"/>
        <w:rPr>
          <w:rFonts w:hint="eastAsia" w:ascii="宋体"/>
          <w:bCs/>
          <w:szCs w:val="21"/>
        </w:rPr>
      </w:pPr>
      <w:r>
        <w:rPr>
          <w:rFonts w:hint="eastAsia" w:ascii="宋体"/>
          <w:bCs/>
          <w:szCs w:val="21"/>
        </w:rPr>
        <w:t xml:space="preserve">    （1）《瑞安市智慧环卫监管平台》系统接入方法</w:t>
      </w:r>
    </w:p>
    <w:p>
      <w:pPr>
        <w:pStyle w:val="16"/>
        <w:snapToGrid w:val="0"/>
        <w:spacing w:after="0" w:line="360" w:lineRule="auto"/>
        <w:ind w:left="0" w:leftChars="0" w:firstLine="450"/>
        <w:rPr>
          <w:rFonts w:hint="eastAsia" w:ascii="宋体"/>
          <w:bCs/>
          <w:szCs w:val="21"/>
        </w:rPr>
      </w:pPr>
      <w:r>
        <w:rPr>
          <w:rFonts w:hint="eastAsia" w:ascii="宋体"/>
          <w:bCs/>
          <w:szCs w:val="21"/>
        </w:rPr>
        <w:t>①车辆接入要求：车辆定位终端设备必须符合《中华人民共和国交通运输行业标准》JT/T808通讯协议；车载视频监控终端设备必须符合《道路运输车辆卫星定位系统车载视频通信协议》JT/T1078-2016标准。具体接入方式供应商中标后跟采购人智慧环卫监管平台技术对接。</w:t>
      </w:r>
    </w:p>
    <w:p>
      <w:pPr>
        <w:pStyle w:val="16"/>
        <w:overflowPunct w:val="0"/>
        <w:snapToGrid w:val="0"/>
        <w:spacing w:after="0" w:line="360" w:lineRule="auto"/>
        <w:ind w:left="0" w:leftChars="0" w:firstLine="450"/>
        <w:rPr>
          <w:rFonts w:hint="eastAsia" w:ascii="宋体"/>
          <w:bCs/>
          <w:szCs w:val="21"/>
        </w:rPr>
      </w:pPr>
      <w:r>
        <w:rPr>
          <w:rFonts w:hint="eastAsia" w:ascii="宋体"/>
          <w:bCs/>
          <w:szCs w:val="21"/>
        </w:rPr>
        <w:t>②人员接入要求：供应商中标后跟采购人智慧环卫监管平台技术对接，自行采购终端设备，但该终端设备必须与采购人智慧环卫监管平台接入协议一致，根据接入协议确定服务人员、车辆机械等终端设备。</w:t>
      </w:r>
    </w:p>
    <w:p>
      <w:pPr>
        <w:overflowPunct w:val="0"/>
        <w:adjustRightInd w:val="0"/>
        <w:snapToGrid w:val="0"/>
        <w:spacing w:line="360" w:lineRule="auto"/>
        <w:ind w:firstLine="422" w:firstLineChars="200"/>
        <w:textAlignment w:val="bottom"/>
        <w:rPr>
          <w:rFonts w:ascii="宋体"/>
          <w:b/>
          <w:szCs w:val="21"/>
        </w:rPr>
      </w:pPr>
      <w:r>
        <w:rPr>
          <w:rFonts w:hint="eastAsia" w:ascii="宋体"/>
          <w:b/>
          <w:szCs w:val="21"/>
        </w:rPr>
        <w:t>（2）服务人员、车辆船只接入平台设备参考配置表</w:t>
      </w:r>
    </w:p>
    <w:tbl>
      <w:tblPr>
        <w:tblStyle w:val="35"/>
        <w:tblW w:w="9631" w:type="dxa"/>
        <w:tblInd w:w="94" w:type="dxa"/>
        <w:tblLayout w:type="fixed"/>
        <w:tblCellMar>
          <w:top w:w="0" w:type="dxa"/>
          <w:left w:w="108" w:type="dxa"/>
          <w:bottom w:w="0" w:type="dxa"/>
          <w:right w:w="108" w:type="dxa"/>
        </w:tblCellMar>
      </w:tblPr>
      <w:tblGrid>
        <w:gridCol w:w="865"/>
        <w:gridCol w:w="1095"/>
        <w:gridCol w:w="1358"/>
        <w:gridCol w:w="798"/>
        <w:gridCol w:w="812"/>
        <w:gridCol w:w="4703"/>
      </w:tblGrid>
      <w:tr>
        <w:tblPrEx>
          <w:tblCellMar>
            <w:top w:w="0" w:type="dxa"/>
            <w:left w:w="108" w:type="dxa"/>
            <w:bottom w:w="0" w:type="dxa"/>
            <w:right w:w="108" w:type="dxa"/>
          </w:tblCellMar>
        </w:tblPrEx>
        <w:trPr>
          <w:trHeight w:val="600" w:hRule="atLeast"/>
        </w:trPr>
        <w:tc>
          <w:tcPr>
            <w:tcW w:w="865" w:type="dxa"/>
            <w:tcBorders>
              <w:top w:val="single" w:color="auto" w:sz="4" w:space="0"/>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序号</w:t>
            </w:r>
          </w:p>
        </w:tc>
        <w:tc>
          <w:tcPr>
            <w:tcW w:w="1095" w:type="dxa"/>
            <w:tcBorders>
              <w:top w:val="single" w:color="auto" w:sz="4" w:space="0"/>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类别</w:t>
            </w:r>
          </w:p>
        </w:tc>
        <w:tc>
          <w:tcPr>
            <w:tcW w:w="1358" w:type="dxa"/>
            <w:tcBorders>
              <w:top w:val="single" w:color="auto" w:sz="4" w:space="0"/>
              <w:left w:val="nil"/>
              <w:bottom w:val="nil"/>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产品类型</w:t>
            </w:r>
          </w:p>
        </w:tc>
        <w:tc>
          <w:tcPr>
            <w:tcW w:w="798" w:type="dxa"/>
            <w:tcBorders>
              <w:top w:val="single" w:color="auto" w:sz="4" w:space="0"/>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单位</w:t>
            </w:r>
          </w:p>
        </w:tc>
        <w:tc>
          <w:tcPr>
            <w:tcW w:w="812" w:type="dxa"/>
            <w:tcBorders>
              <w:top w:val="single" w:color="auto" w:sz="4" w:space="0"/>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数量</w:t>
            </w:r>
          </w:p>
        </w:tc>
        <w:tc>
          <w:tcPr>
            <w:tcW w:w="4703" w:type="dxa"/>
            <w:tcBorders>
              <w:top w:val="single" w:color="auto" w:sz="4" w:space="0"/>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型号/技术参数</w:t>
            </w:r>
          </w:p>
        </w:tc>
      </w:tr>
      <w:tr>
        <w:tblPrEx>
          <w:tblCellMar>
            <w:top w:w="0" w:type="dxa"/>
            <w:left w:w="108" w:type="dxa"/>
            <w:bottom w:w="0" w:type="dxa"/>
            <w:right w:w="108" w:type="dxa"/>
          </w:tblCellMar>
        </w:tblPrEx>
        <w:trPr>
          <w:trHeight w:val="600" w:hRule="atLeast"/>
        </w:trPr>
        <w:tc>
          <w:tcPr>
            <w:tcW w:w="9631" w:type="dxa"/>
            <w:gridSpan w:val="6"/>
            <w:tcBorders>
              <w:top w:val="single" w:color="auto" w:sz="4" w:space="0"/>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一、车辆管理部分（单车配置）</w:t>
            </w:r>
          </w:p>
        </w:tc>
      </w:tr>
      <w:tr>
        <w:tblPrEx>
          <w:tblCellMar>
            <w:top w:w="0" w:type="dxa"/>
            <w:left w:w="108" w:type="dxa"/>
            <w:bottom w:w="0" w:type="dxa"/>
            <w:right w:w="108" w:type="dxa"/>
          </w:tblCellMar>
        </w:tblPrEx>
        <w:trPr>
          <w:trHeight w:val="600" w:hRule="atLeast"/>
        </w:trPr>
        <w:tc>
          <w:tcPr>
            <w:tcW w:w="865" w:type="dxa"/>
            <w:vMerge w:val="restart"/>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1</w:t>
            </w:r>
          </w:p>
        </w:tc>
        <w:tc>
          <w:tcPr>
            <w:tcW w:w="1095" w:type="dxa"/>
            <w:vMerge w:val="restart"/>
            <w:tcBorders>
              <w:top w:val="nil"/>
              <w:left w:val="single" w:color="auto" w:sz="4" w:space="0"/>
              <w:bottom w:val="single" w:color="000000"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扫地/洗扫车</w:t>
            </w:r>
          </w:p>
        </w:tc>
        <w:tc>
          <w:tcPr>
            <w:tcW w:w="1358"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超声波油位计（选配）</w:t>
            </w:r>
          </w:p>
        </w:tc>
        <w:tc>
          <w:tcPr>
            <w:tcW w:w="798"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油位传感器油位高度测量的分辨率为≤</w:t>
            </w:r>
            <w:r>
              <w:rPr>
                <w:rFonts w:ascii="宋体" w:hAnsi="宋体" w:cs="宋体"/>
                <w:szCs w:val="21"/>
              </w:rPr>
              <w:t xml:space="preserve"> 0.1mm</w:t>
            </w:r>
            <w:r>
              <w:rPr>
                <w:rFonts w:hint="eastAsia" w:ascii="宋体" w:hAnsi="宋体" w:cs="宋体"/>
                <w:szCs w:val="21"/>
              </w:rPr>
              <w:t>，测量精度为≤</w:t>
            </w:r>
            <w:r>
              <w:rPr>
                <w:rFonts w:ascii="宋体" w:hAnsi="宋体" w:cs="宋体"/>
                <w:szCs w:val="21"/>
              </w:rPr>
              <w:t>±0.5%</w:t>
            </w:r>
            <w:r>
              <w:rPr>
                <w:rFonts w:hint="eastAsia" w:ascii="宋体" w:hAnsi="宋体" w:cs="宋体"/>
                <w:szCs w:val="21"/>
              </w:rPr>
              <w:t>；</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车载信息监控终端可以接入各类传感器</w:t>
            </w:r>
            <w:r>
              <w:rPr>
                <w:rFonts w:hint="eastAsia" w:ascii="宋体" w:hAnsi="宋体" w:cs="宋体"/>
                <w:szCs w:val="21"/>
              </w:rPr>
              <w:br w:type="textWrapping"/>
            </w:r>
            <w:r>
              <w:rPr>
                <w:rFonts w:hint="eastAsia" w:ascii="宋体" w:hAnsi="宋体" w:cs="宋体"/>
                <w:szCs w:val="21"/>
              </w:rPr>
              <w:t>工作电压 9VDC～36VDC</w:t>
            </w:r>
            <w:r>
              <w:rPr>
                <w:rFonts w:hint="eastAsia" w:ascii="宋体" w:hAnsi="宋体" w:cs="宋体"/>
                <w:szCs w:val="21"/>
              </w:rPr>
              <w:br w:type="textWrapping"/>
            </w:r>
            <w:r>
              <w:rPr>
                <w:rFonts w:hint="eastAsia" w:ascii="宋体" w:hAnsi="宋体" w:cs="宋体"/>
                <w:szCs w:val="21"/>
              </w:rPr>
              <w:t>工作电流 50mA~750mA</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车载硬盘录像机</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图像压缩</w:t>
            </w:r>
            <w:r>
              <w:rPr>
                <w:rFonts w:ascii="宋体" w:hAnsi="宋体" w:cs="宋体"/>
                <w:szCs w:val="21"/>
              </w:rPr>
              <w:t xml:space="preserve"> H.264 Main Profile :</w:t>
            </w:r>
            <w:r>
              <w:rPr>
                <w:rFonts w:hint="eastAsia" w:ascii="宋体" w:hAnsi="宋体" w:cs="宋体"/>
                <w:szCs w:val="21"/>
              </w:rPr>
              <w:t>双码流</w:t>
            </w:r>
            <w:r>
              <w:rPr>
                <w:rFonts w:ascii="宋体" w:hAnsi="宋体" w:cs="宋体"/>
                <w:szCs w:val="21"/>
              </w:rPr>
              <w:br w:type="textWrapping"/>
            </w:r>
            <w:r>
              <w:rPr>
                <w:rFonts w:hint="eastAsia" w:ascii="宋体" w:hAnsi="宋体" w:cs="宋体"/>
                <w:szCs w:val="21"/>
              </w:rPr>
              <w:t>音、视频输入</w:t>
            </w:r>
            <w:r>
              <w:rPr>
                <w:rFonts w:ascii="宋体" w:hAnsi="宋体" w:cs="宋体"/>
                <w:szCs w:val="21"/>
              </w:rPr>
              <w:t>/</w:t>
            </w:r>
            <w:r>
              <w:rPr>
                <w:rFonts w:hint="eastAsia" w:ascii="宋体" w:hAnsi="宋体" w:cs="宋体"/>
                <w:szCs w:val="21"/>
              </w:rPr>
              <w:t>出</w:t>
            </w:r>
            <w:r>
              <w:rPr>
                <w:rFonts w:ascii="宋体" w:hAnsi="宋体" w:cs="宋体"/>
                <w:szCs w:val="21"/>
              </w:rPr>
              <w:t xml:space="preserve"> 4</w:t>
            </w:r>
            <w:r>
              <w:rPr>
                <w:rFonts w:hint="eastAsia" w:ascii="宋体" w:hAnsi="宋体" w:cs="宋体"/>
                <w:szCs w:val="21"/>
              </w:rPr>
              <w:t>路输入、</w:t>
            </w:r>
            <w:r>
              <w:rPr>
                <w:rFonts w:ascii="宋体" w:hAnsi="宋体" w:cs="宋体"/>
                <w:szCs w:val="21"/>
              </w:rPr>
              <w:t>1</w:t>
            </w:r>
            <w:r>
              <w:rPr>
                <w:rFonts w:hint="eastAsia" w:ascii="宋体" w:hAnsi="宋体" w:cs="宋体"/>
                <w:szCs w:val="21"/>
              </w:rPr>
              <w:t>路输出</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车载监控摄像头（车内）</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图像传感器</w:t>
            </w:r>
            <w:r>
              <w:rPr>
                <w:rFonts w:ascii="宋体" w:hAnsi="宋体" w:cs="宋体"/>
                <w:szCs w:val="21"/>
              </w:rPr>
              <w:t xml:space="preserve"> 1/3"  HDIS</w:t>
            </w:r>
            <w:r>
              <w:rPr>
                <w:rFonts w:hint="eastAsia" w:ascii="宋体" w:hAnsi="宋体" w:cs="宋体"/>
                <w:szCs w:val="21"/>
              </w:rPr>
              <w:t>视频制式</w:t>
            </w:r>
            <w:r>
              <w:rPr>
                <w:rFonts w:ascii="宋体" w:hAnsi="宋体" w:cs="宋体"/>
                <w:szCs w:val="21"/>
              </w:rPr>
              <w:t xml:space="preserve"> PAL</w:t>
            </w:r>
            <w:r>
              <w:rPr>
                <w:rFonts w:ascii="宋体" w:hAnsi="宋体" w:cs="宋体"/>
                <w:szCs w:val="21"/>
              </w:rPr>
              <w:br w:type="textWrapping"/>
            </w:r>
            <w:r>
              <w:rPr>
                <w:rFonts w:hint="eastAsia" w:ascii="宋体" w:hAnsi="宋体" w:cs="宋体"/>
                <w:szCs w:val="21"/>
              </w:rPr>
              <w:t>有效像素大于等于</w:t>
            </w:r>
            <w:r>
              <w:rPr>
                <w:rFonts w:ascii="宋体" w:hAnsi="宋体" w:cs="宋体"/>
                <w:szCs w:val="21"/>
              </w:rPr>
              <w:t xml:space="preserve"> 976(H)×496(V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车载监控摄像头（车外）</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影像传感器</w:t>
            </w:r>
            <w:r>
              <w:rPr>
                <w:rFonts w:ascii="宋体" w:hAnsi="宋体" w:cs="宋体"/>
                <w:szCs w:val="21"/>
              </w:rPr>
              <w:t xml:space="preserve"> 1/3" HDIS</w:t>
            </w:r>
            <w:r>
              <w:rPr>
                <w:rFonts w:hint="eastAsia" w:ascii="宋体" w:hAnsi="宋体" w:cs="宋体"/>
                <w:szCs w:val="21"/>
              </w:rPr>
              <w:t>清晰度</w:t>
            </w:r>
            <w:r>
              <w:rPr>
                <w:rFonts w:ascii="宋体" w:hAnsi="宋体" w:cs="宋体"/>
                <w:szCs w:val="21"/>
              </w:rPr>
              <w:t xml:space="preserve"> 720TVL</w:t>
            </w:r>
            <w:r>
              <w:rPr>
                <w:rFonts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960(H) ×496(V)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车载显示屏</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屏幕尺寸</w:t>
            </w:r>
            <w:r>
              <w:rPr>
                <w:rFonts w:ascii="宋体" w:hAnsi="宋体" w:cs="宋体"/>
                <w:szCs w:val="21"/>
              </w:rPr>
              <w:t xml:space="preserve"> 7</w:t>
            </w:r>
            <w:r>
              <w:rPr>
                <w:rFonts w:hint="eastAsia" w:ascii="宋体" w:hAnsi="宋体" w:cs="宋体"/>
                <w:szCs w:val="21"/>
              </w:rPr>
              <w:t>寸-</w:t>
            </w:r>
            <w:r>
              <w:rPr>
                <w:rFonts w:ascii="宋体" w:hAnsi="宋体" w:cs="宋体"/>
                <w:szCs w:val="21"/>
              </w:rPr>
              <w:t>10</w:t>
            </w:r>
            <w:r>
              <w:rPr>
                <w:rFonts w:hint="eastAsia" w:ascii="宋体" w:hAnsi="宋体" w:cs="宋体"/>
                <w:szCs w:val="21"/>
              </w:rPr>
              <w:t>寸</w:t>
            </w:r>
            <w:r>
              <w:rPr>
                <w:rFonts w:hint="eastAsia"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800*RGB*480</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spacing w:line="360" w:lineRule="auto"/>
              <w:jc w:val="center"/>
              <w:rPr>
                <w:rFonts w:ascii="宋体" w:hAnsi="宋体" w:cs="宋体"/>
                <w:szCs w:val="21"/>
              </w:rPr>
            </w:pPr>
            <w:r>
              <w:rPr>
                <w:rFonts w:hint="eastAsia" w:ascii="宋体" w:hAnsi="宋体" w:cs="宋体"/>
                <w:szCs w:val="21"/>
              </w:rPr>
              <w:t>扫盘传感器</w:t>
            </w:r>
          </w:p>
        </w:tc>
        <w:tc>
          <w:tcPr>
            <w:tcW w:w="798" w:type="dxa"/>
            <w:tcBorders>
              <w:top w:val="nil"/>
              <w:left w:val="nil"/>
              <w:bottom w:val="single" w:color="auto" w:sz="4" w:space="0"/>
              <w:right w:val="single" w:color="auto" w:sz="4" w:space="0"/>
            </w:tcBorders>
            <w:noWrap w:val="0"/>
            <w:vAlign w:val="center"/>
          </w:tcPr>
          <w:p>
            <w:pPr>
              <w:spacing w:line="360" w:lineRule="auto"/>
              <w:jc w:val="center"/>
              <w:rPr>
                <w:rFonts w:hint="eastAsia"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spacing w:line="360" w:lineRule="auto"/>
              <w:jc w:val="center"/>
              <w:rPr>
                <w:rFonts w:hint="eastAsia"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pStyle w:val="16"/>
              <w:spacing w:after="0" w:line="360" w:lineRule="auto"/>
              <w:ind w:left="0" w:leftChars="0"/>
              <w:jc w:val="center"/>
              <w:rPr>
                <w:rFonts w:ascii="宋体" w:hAnsi="宋体" w:cs="宋体"/>
                <w:szCs w:val="21"/>
              </w:rPr>
            </w:pPr>
            <w:r>
              <w:rPr>
                <w:rFonts w:hint="eastAsia"/>
              </w:rPr>
              <w:t>电压范围</w:t>
            </w:r>
            <w:r>
              <w:t>10~30V DC</w:t>
            </w:r>
            <w:r>
              <w:br w:type="textWrapping"/>
            </w:r>
            <w:r>
              <w:rPr>
                <w:rFonts w:hint="eastAsia"/>
              </w:rPr>
              <w:t>检测距离</w:t>
            </w:r>
            <w:r>
              <w:t>10mm</w:t>
            </w:r>
            <w:r>
              <w:rPr>
                <w:rFonts w:hint="eastAsia"/>
              </w:rPr>
              <w:t>；</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流量费（</w:t>
            </w:r>
            <w:r>
              <w:rPr>
                <w:rFonts w:ascii="宋体" w:hAnsi="宋体" w:cs="宋体"/>
                <w:szCs w:val="21"/>
              </w:rPr>
              <w:t>3</w:t>
            </w:r>
            <w:r>
              <w:rPr>
                <w:rFonts w:hint="eastAsia" w:ascii="宋体" w:hAnsi="宋体" w:cs="宋体"/>
                <w:szCs w:val="21"/>
              </w:rPr>
              <w:t>年）</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台/年</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ascii="宋体" w:hAnsi="宋体" w:cs="宋体"/>
                <w:szCs w:val="21"/>
              </w:rPr>
              <w:t>3</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终端≥</w:t>
            </w:r>
            <w:r>
              <w:rPr>
                <w:rFonts w:ascii="宋体" w:hAnsi="宋体" w:cs="宋体"/>
                <w:szCs w:val="21"/>
              </w:rPr>
              <w:t>40M/</w:t>
            </w:r>
            <w:r>
              <w:rPr>
                <w:rFonts w:hint="eastAsia" w:ascii="宋体" w:hAnsi="宋体" w:cs="宋体"/>
                <w:szCs w:val="21"/>
              </w:rPr>
              <w:t>月，可</w:t>
            </w:r>
            <w:r>
              <w:rPr>
                <w:rFonts w:ascii="宋体" w:hAnsi="宋体" w:cs="宋体"/>
                <w:szCs w:val="21"/>
              </w:rPr>
              <w:t>24</w:t>
            </w:r>
            <w:r>
              <w:rPr>
                <w:rFonts w:hint="eastAsia" w:ascii="宋体" w:hAnsi="宋体" w:cs="宋体"/>
                <w:szCs w:val="21"/>
              </w:rPr>
              <w:t>小时使用；视频≥</w:t>
            </w:r>
            <w:r>
              <w:rPr>
                <w:rFonts w:ascii="宋体" w:hAnsi="宋体" w:cs="宋体"/>
                <w:szCs w:val="21"/>
              </w:rPr>
              <w:t xml:space="preserve">20G </w:t>
            </w:r>
            <w:r>
              <w:rPr>
                <w:rFonts w:hint="eastAsia" w:ascii="宋体" w:hAnsi="宋体" w:cs="宋体"/>
                <w:szCs w:val="21"/>
              </w:rPr>
              <w:t>每年；视频可单通道观看</w:t>
            </w:r>
            <w:r>
              <w:rPr>
                <w:rFonts w:ascii="宋体" w:hAnsi="宋体" w:cs="宋体"/>
                <w:szCs w:val="21"/>
              </w:rPr>
              <w:t>23</w:t>
            </w:r>
            <w:r>
              <w:rPr>
                <w:rFonts w:hint="eastAsia" w:ascii="宋体" w:hAnsi="宋体" w:cs="宋体"/>
                <w:szCs w:val="21"/>
              </w:rPr>
              <w:t>小时</w:t>
            </w:r>
          </w:p>
        </w:tc>
      </w:tr>
      <w:tr>
        <w:tblPrEx>
          <w:tblCellMar>
            <w:top w:w="0" w:type="dxa"/>
            <w:left w:w="108" w:type="dxa"/>
            <w:bottom w:w="0" w:type="dxa"/>
            <w:right w:w="108" w:type="dxa"/>
          </w:tblCellMar>
        </w:tblPrEx>
        <w:trPr>
          <w:trHeight w:val="600" w:hRule="atLeast"/>
        </w:trPr>
        <w:tc>
          <w:tcPr>
            <w:tcW w:w="865" w:type="dxa"/>
            <w:vMerge w:val="restart"/>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2</w:t>
            </w:r>
          </w:p>
        </w:tc>
        <w:tc>
          <w:tcPr>
            <w:tcW w:w="1095" w:type="dxa"/>
            <w:vMerge w:val="restart"/>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洒水（冲洗、抑尘）车</w:t>
            </w:r>
          </w:p>
        </w:tc>
        <w:tc>
          <w:tcPr>
            <w:tcW w:w="1358"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超声波油位计（选配）</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油位传感器油位高度测量的分辨率为≤</w:t>
            </w:r>
            <w:r>
              <w:rPr>
                <w:rFonts w:ascii="宋体" w:hAnsi="宋体" w:cs="宋体"/>
                <w:szCs w:val="21"/>
              </w:rPr>
              <w:t xml:space="preserve"> 0.1mm</w:t>
            </w:r>
            <w:r>
              <w:rPr>
                <w:rFonts w:hint="eastAsia" w:ascii="宋体" w:hAnsi="宋体" w:cs="宋体"/>
                <w:szCs w:val="21"/>
              </w:rPr>
              <w:t>，测量精度为≤</w:t>
            </w:r>
            <w:r>
              <w:rPr>
                <w:rFonts w:ascii="宋体" w:hAnsi="宋体" w:cs="宋体"/>
                <w:szCs w:val="21"/>
              </w:rPr>
              <w:t>±0.5%</w:t>
            </w:r>
            <w:r>
              <w:rPr>
                <w:rFonts w:hint="eastAsia" w:ascii="宋体" w:hAnsi="宋体" w:cs="宋体"/>
                <w:szCs w:val="21"/>
              </w:rPr>
              <w:t>；</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车载信息监控终端可以接入各类传感器</w:t>
            </w:r>
            <w:r>
              <w:rPr>
                <w:rFonts w:hint="eastAsia" w:ascii="宋体" w:hAnsi="宋体" w:cs="宋体"/>
                <w:szCs w:val="21"/>
              </w:rPr>
              <w:br w:type="textWrapping"/>
            </w:r>
            <w:r>
              <w:rPr>
                <w:rFonts w:hint="eastAsia" w:ascii="宋体" w:hAnsi="宋体" w:cs="宋体"/>
                <w:szCs w:val="21"/>
              </w:rPr>
              <w:t>工作电压 9VDC～36VDC</w:t>
            </w:r>
            <w:r>
              <w:rPr>
                <w:rFonts w:hint="eastAsia" w:ascii="宋体" w:hAnsi="宋体" w:cs="宋体"/>
                <w:szCs w:val="21"/>
              </w:rPr>
              <w:br w:type="textWrapping"/>
            </w:r>
            <w:r>
              <w:rPr>
                <w:rFonts w:hint="eastAsia" w:ascii="宋体" w:hAnsi="宋体" w:cs="宋体"/>
                <w:szCs w:val="21"/>
              </w:rPr>
              <w:t>工作电流 50mA~750mA</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车载硬盘录像机</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图像压缩</w:t>
            </w:r>
            <w:r>
              <w:rPr>
                <w:rFonts w:ascii="宋体" w:hAnsi="宋体" w:cs="宋体"/>
                <w:szCs w:val="21"/>
              </w:rPr>
              <w:t xml:space="preserve"> H.264 Main Profile :</w:t>
            </w:r>
            <w:r>
              <w:rPr>
                <w:rFonts w:hint="eastAsia" w:ascii="宋体" w:hAnsi="宋体" w:cs="宋体"/>
                <w:szCs w:val="21"/>
              </w:rPr>
              <w:t>双码流</w:t>
            </w:r>
            <w:r>
              <w:rPr>
                <w:rFonts w:ascii="宋体" w:hAnsi="宋体" w:cs="宋体"/>
                <w:szCs w:val="21"/>
              </w:rPr>
              <w:br w:type="textWrapping"/>
            </w:r>
            <w:r>
              <w:rPr>
                <w:rFonts w:hint="eastAsia" w:ascii="宋体" w:hAnsi="宋体" w:cs="宋体"/>
                <w:szCs w:val="21"/>
              </w:rPr>
              <w:t>音、视频输入</w:t>
            </w:r>
            <w:r>
              <w:rPr>
                <w:rFonts w:ascii="宋体" w:hAnsi="宋体" w:cs="宋体"/>
                <w:szCs w:val="21"/>
              </w:rPr>
              <w:t>/</w:t>
            </w:r>
            <w:r>
              <w:rPr>
                <w:rFonts w:hint="eastAsia" w:ascii="宋体" w:hAnsi="宋体" w:cs="宋体"/>
                <w:szCs w:val="21"/>
              </w:rPr>
              <w:t>出</w:t>
            </w:r>
            <w:r>
              <w:rPr>
                <w:rFonts w:ascii="宋体" w:hAnsi="宋体" w:cs="宋体"/>
                <w:szCs w:val="21"/>
              </w:rPr>
              <w:t xml:space="preserve"> 4</w:t>
            </w:r>
            <w:r>
              <w:rPr>
                <w:rFonts w:hint="eastAsia" w:ascii="宋体" w:hAnsi="宋体" w:cs="宋体"/>
                <w:szCs w:val="21"/>
              </w:rPr>
              <w:t>路输入、</w:t>
            </w:r>
            <w:r>
              <w:rPr>
                <w:rFonts w:ascii="宋体" w:hAnsi="宋体" w:cs="宋体"/>
                <w:szCs w:val="21"/>
              </w:rPr>
              <w:t>1</w:t>
            </w:r>
            <w:r>
              <w:rPr>
                <w:rFonts w:hint="eastAsia" w:ascii="宋体" w:hAnsi="宋体" w:cs="宋体"/>
                <w:szCs w:val="21"/>
              </w:rPr>
              <w:t>路输出</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车载监控摄像头（车内）</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图像传感器</w:t>
            </w:r>
            <w:r>
              <w:rPr>
                <w:rFonts w:ascii="宋体" w:hAnsi="宋体" w:cs="宋体"/>
                <w:szCs w:val="21"/>
              </w:rPr>
              <w:t xml:space="preserve"> 1/3"  HDIS</w:t>
            </w:r>
            <w:r>
              <w:rPr>
                <w:rFonts w:hint="eastAsia" w:ascii="宋体" w:hAnsi="宋体" w:cs="宋体"/>
                <w:szCs w:val="21"/>
              </w:rPr>
              <w:t>视频制式</w:t>
            </w:r>
            <w:r>
              <w:rPr>
                <w:rFonts w:ascii="宋体" w:hAnsi="宋体" w:cs="宋体"/>
                <w:szCs w:val="21"/>
              </w:rPr>
              <w:t xml:space="preserve"> PAL</w:t>
            </w:r>
            <w:r>
              <w:rPr>
                <w:rFonts w:ascii="宋体" w:hAnsi="宋体" w:cs="宋体"/>
                <w:szCs w:val="21"/>
              </w:rPr>
              <w:br w:type="textWrapping"/>
            </w:r>
            <w:r>
              <w:rPr>
                <w:rFonts w:hint="eastAsia" w:ascii="宋体" w:hAnsi="宋体" w:cs="宋体"/>
                <w:szCs w:val="21"/>
              </w:rPr>
              <w:t>有效像素大于等于</w:t>
            </w:r>
            <w:r>
              <w:rPr>
                <w:rFonts w:ascii="宋体" w:hAnsi="宋体" w:cs="宋体"/>
                <w:szCs w:val="21"/>
              </w:rPr>
              <w:t xml:space="preserve"> 976(H)×496(V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车载监控摄像头（车外）</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影像传感器</w:t>
            </w:r>
            <w:r>
              <w:rPr>
                <w:rFonts w:ascii="宋体" w:hAnsi="宋体" w:cs="宋体"/>
                <w:szCs w:val="21"/>
              </w:rPr>
              <w:t xml:space="preserve"> 1/3" HDIS</w:t>
            </w:r>
            <w:r>
              <w:rPr>
                <w:rFonts w:hint="eastAsia" w:ascii="宋体" w:hAnsi="宋体" w:cs="宋体"/>
                <w:szCs w:val="21"/>
              </w:rPr>
              <w:t>清晰度</w:t>
            </w:r>
            <w:r>
              <w:rPr>
                <w:rFonts w:ascii="宋体" w:hAnsi="宋体" w:cs="宋体"/>
                <w:szCs w:val="21"/>
              </w:rPr>
              <w:t xml:space="preserve"> 720TVL</w:t>
            </w:r>
            <w:r>
              <w:rPr>
                <w:rFonts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960(H) ×496(V)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车载显示屏</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屏幕尺寸</w:t>
            </w:r>
            <w:r>
              <w:rPr>
                <w:rFonts w:ascii="宋体" w:hAnsi="宋体" w:cs="宋体"/>
                <w:szCs w:val="21"/>
              </w:rPr>
              <w:t xml:space="preserve"> 7</w:t>
            </w:r>
            <w:r>
              <w:rPr>
                <w:rFonts w:hint="eastAsia" w:ascii="宋体" w:hAnsi="宋体" w:cs="宋体"/>
                <w:szCs w:val="21"/>
              </w:rPr>
              <w:t>寸-</w:t>
            </w:r>
            <w:r>
              <w:rPr>
                <w:rFonts w:ascii="宋体" w:hAnsi="宋体" w:cs="宋体"/>
                <w:szCs w:val="21"/>
              </w:rPr>
              <w:t>10</w:t>
            </w:r>
            <w:r>
              <w:rPr>
                <w:rFonts w:hint="eastAsia" w:ascii="宋体" w:hAnsi="宋体" w:cs="宋体"/>
                <w:szCs w:val="21"/>
              </w:rPr>
              <w:t>寸</w:t>
            </w:r>
            <w:r>
              <w:rPr>
                <w:rFonts w:hint="eastAsia"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800*RGB*480</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水流传传感器</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电压范围</w:t>
            </w:r>
            <w:r>
              <w:rPr>
                <w:rFonts w:ascii="宋体" w:hAnsi="宋体" w:cs="宋体"/>
                <w:szCs w:val="21"/>
              </w:rPr>
              <w:t>10~30V DC</w:t>
            </w:r>
            <w:r>
              <w:rPr>
                <w:rFonts w:ascii="宋体" w:hAnsi="宋体" w:cs="宋体"/>
                <w:szCs w:val="21"/>
              </w:rPr>
              <w:br w:type="textWrapping"/>
            </w:r>
            <w:r>
              <w:rPr>
                <w:rFonts w:hint="eastAsia" w:ascii="宋体" w:hAnsi="宋体" w:cs="宋体"/>
                <w:szCs w:val="21"/>
              </w:rPr>
              <w:t>检测距离</w:t>
            </w:r>
            <w:r>
              <w:rPr>
                <w:rFonts w:ascii="宋体" w:hAnsi="宋体" w:cs="宋体"/>
                <w:szCs w:val="21"/>
              </w:rPr>
              <w:t>10mm</w:t>
            </w:r>
            <w:r>
              <w:rPr>
                <w:rFonts w:hint="eastAsia" w:ascii="宋体" w:hAnsi="宋体" w:cs="宋体"/>
                <w:szCs w:val="21"/>
              </w:rPr>
              <w:t>；</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流量费（</w:t>
            </w:r>
            <w:r>
              <w:rPr>
                <w:rFonts w:ascii="宋体" w:hAnsi="宋体" w:cs="宋体"/>
                <w:szCs w:val="21"/>
              </w:rPr>
              <w:t>3</w:t>
            </w:r>
            <w:r>
              <w:rPr>
                <w:rFonts w:hint="eastAsia" w:ascii="宋体" w:hAnsi="宋体" w:cs="宋体"/>
                <w:szCs w:val="21"/>
              </w:rPr>
              <w:t>年）</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台/年</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ascii="宋体" w:hAnsi="宋体" w:cs="宋体"/>
                <w:szCs w:val="21"/>
              </w:rPr>
              <w:t>3</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终≥端</w:t>
            </w:r>
            <w:r>
              <w:rPr>
                <w:rFonts w:ascii="宋体" w:hAnsi="宋体" w:cs="宋体"/>
                <w:szCs w:val="21"/>
              </w:rPr>
              <w:t>40M/</w:t>
            </w:r>
            <w:r>
              <w:rPr>
                <w:rFonts w:hint="eastAsia" w:ascii="宋体" w:hAnsi="宋体" w:cs="宋体"/>
                <w:szCs w:val="21"/>
              </w:rPr>
              <w:t>月，可</w:t>
            </w:r>
            <w:r>
              <w:rPr>
                <w:rFonts w:ascii="宋体" w:hAnsi="宋体" w:cs="宋体"/>
                <w:szCs w:val="21"/>
              </w:rPr>
              <w:t>24</w:t>
            </w:r>
            <w:r>
              <w:rPr>
                <w:rFonts w:hint="eastAsia" w:ascii="宋体" w:hAnsi="宋体" w:cs="宋体"/>
                <w:szCs w:val="21"/>
              </w:rPr>
              <w:t>小时使用；视频≥</w:t>
            </w:r>
            <w:r>
              <w:rPr>
                <w:rFonts w:ascii="宋体" w:hAnsi="宋体" w:cs="宋体"/>
                <w:szCs w:val="21"/>
              </w:rPr>
              <w:t xml:space="preserve">20G </w:t>
            </w:r>
            <w:r>
              <w:rPr>
                <w:rFonts w:hint="eastAsia" w:ascii="宋体" w:hAnsi="宋体" w:cs="宋体"/>
                <w:szCs w:val="21"/>
              </w:rPr>
              <w:t>每年；视频可单通道观看</w:t>
            </w:r>
            <w:r>
              <w:rPr>
                <w:rFonts w:ascii="宋体" w:hAnsi="宋体" w:cs="宋体"/>
                <w:szCs w:val="21"/>
              </w:rPr>
              <w:t>23</w:t>
            </w:r>
            <w:r>
              <w:rPr>
                <w:rFonts w:hint="eastAsia" w:ascii="宋体" w:hAnsi="宋体" w:cs="宋体"/>
                <w:szCs w:val="21"/>
              </w:rPr>
              <w:t>小时</w:t>
            </w:r>
          </w:p>
        </w:tc>
      </w:tr>
      <w:tr>
        <w:tblPrEx>
          <w:tblCellMar>
            <w:top w:w="0" w:type="dxa"/>
            <w:left w:w="108" w:type="dxa"/>
            <w:bottom w:w="0" w:type="dxa"/>
            <w:right w:w="108" w:type="dxa"/>
          </w:tblCellMar>
        </w:tblPrEx>
        <w:trPr>
          <w:trHeight w:val="600" w:hRule="atLeast"/>
        </w:trPr>
        <w:tc>
          <w:tcPr>
            <w:tcW w:w="865" w:type="dxa"/>
            <w:vMerge w:val="restart"/>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3</w:t>
            </w:r>
          </w:p>
        </w:tc>
        <w:tc>
          <w:tcPr>
            <w:tcW w:w="1095" w:type="dxa"/>
            <w:vMerge w:val="restart"/>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垃圾清运（压缩）车、二分类（易腐、其他）垃圾运输车</w:t>
            </w:r>
          </w:p>
        </w:tc>
        <w:tc>
          <w:tcPr>
            <w:tcW w:w="1358"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超声波油位计（选配）</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油位传感器油位高度测量的分辨率为≤</w:t>
            </w:r>
            <w:r>
              <w:rPr>
                <w:rFonts w:ascii="宋体" w:hAnsi="宋体" w:cs="宋体"/>
                <w:szCs w:val="21"/>
              </w:rPr>
              <w:t xml:space="preserve"> 0.1mm</w:t>
            </w:r>
            <w:r>
              <w:rPr>
                <w:rFonts w:hint="eastAsia" w:ascii="宋体" w:hAnsi="宋体" w:cs="宋体"/>
                <w:szCs w:val="21"/>
              </w:rPr>
              <w:t>，测量精度为≤</w:t>
            </w:r>
            <w:r>
              <w:rPr>
                <w:rFonts w:ascii="宋体" w:hAnsi="宋体" w:cs="宋体"/>
                <w:szCs w:val="21"/>
              </w:rPr>
              <w:t>±0.5%</w:t>
            </w:r>
            <w:r>
              <w:rPr>
                <w:rFonts w:hint="eastAsia" w:ascii="宋体" w:hAnsi="宋体" w:cs="宋体"/>
                <w:szCs w:val="21"/>
              </w:rPr>
              <w:t>；</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车载信息监控终端可以接入各类传感器</w:t>
            </w:r>
            <w:r>
              <w:rPr>
                <w:rFonts w:hint="eastAsia" w:ascii="宋体" w:hAnsi="宋体" w:cs="宋体"/>
                <w:szCs w:val="21"/>
              </w:rPr>
              <w:br w:type="textWrapping"/>
            </w:r>
            <w:r>
              <w:rPr>
                <w:rFonts w:hint="eastAsia" w:ascii="宋体" w:hAnsi="宋体" w:cs="宋体"/>
                <w:szCs w:val="21"/>
              </w:rPr>
              <w:t>工作电压 9VDC～36VDC</w:t>
            </w:r>
            <w:r>
              <w:rPr>
                <w:rFonts w:hint="eastAsia" w:ascii="宋体" w:hAnsi="宋体" w:cs="宋体"/>
                <w:szCs w:val="21"/>
              </w:rPr>
              <w:br w:type="textWrapping"/>
            </w:r>
            <w:r>
              <w:rPr>
                <w:rFonts w:hint="eastAsia" w:ascii="宋体" w:hAnsi="宋体" w:cs="宋体"/>
                <w:szCs w:val="21"/>
              </w:rPr>
              <w:t>工作电流 50mA~750mA</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车载硬盘录像机</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图像压缩</w:t>
            </w:r>
            <w:r>
              <w:rPr>
                <w:rFonts w:ascii="宋体" w:hAnsi="宋体" w:cs="宋体"/>
                <w:szCs w:val="21"/>
              </w:rPr>
              <w:t xml:space="preserve"> H.264 Main Profile :</w:t>
            </w:r>
            <w:r>
              <w:rPr>
                <w:rFonts w:hint="eastAsia" w:ascii="宋体" w:hAnsi="宋体" w:cs="宋体"/>
                <w:szCs w:val="21"/>
              </w:rPr>
              <w:t>双码流</w:t>
            </w:r>
            <w:r>
              <w:rPr>
                <w:rFonts w:ascii="宋体" w:hAnsi="宋体" w:cs="宋体"/>
                <w:szCs w:val="21"/>
              </w:rPr>
              <w:br w:type="textWrapping"/>
            </w:r>
            <w:r>
              <w:rPr>
                <w:rFonts w:hint="eastAsia" w:ascii="宋体" w:hAnsi="宋体" w:cs="宋体"/>
                <w:szCs w:val="21"/>
              </w:rPr>
              <w:t>音、视频输入</w:t>
            </w:r>
            <w:r>
              <w:rPr>
                <w:rFonts w:ascii="宋体" w:hAnsi="宋体" w:cs="宋体"/>
                <w:szCs w:val="21"/>
              </w:rPr>
              <w:t>/</w:t>
            </w:r>
            <w:r>
              <w:rPr>
                <w:rFonts w:hint="eastAsia" w:ascii="宋体" w:hAnsi="宋体" w:cs="宋体"/>
                <w:szCs w:val="21"/>
              </w:rPr>
              <w:t>出</w:t>
            </w:r>
            <w:r>
              <w:rPr>
                <w:rFonts w:ascii="宋体" w:hAnsi="宋体" w:cs="宋体"/>
                <w:szCs w:val="21"/>
              </w:rPr>
              <w:t xml:space="preserve"> 4</w:t>
            </w:r>
            <w:r>
              <w:rPr>
                <w:rFonts w:hint="eastAsia" w:ascii="宋体" w:hAnsi="宋体" w:cs="宋体"/>
                <w:szCs w:val="21"/>
              </w:rPr>
              <w:t>路输入、</w:t>
            </w:r>
            <w:r>
              <w:rPr>
                <w:rFonts w:ascii="宋体" w:hAnsi="宋体" w:cs="宋体"/>
                <w:szCs w:val="21"/>
              </w:rPr>
              <w:t>1</w:t>
            </w:r>
            <w:r>
              <w:rPr>
                <w:rFonts w:hint="eastAsia" w:ascii="宋体" w:hAnsi="宋体" w:cs="宋体"/>
                <w:szCs w:val="21"/>
              </w:rPr>
              <w:t>路输出</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车载监控摄像头（车内）</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图像传感器</w:t>
            </w:r>
            <w:r>
              <w:rPr>
                <w:rFonts w:ascii="宋体" w:hAnsi="宋体" w:cs="宋体"/>
                <w:szCs w:val="21"/>
              </w:rPr>
              <w:t xml:space="preserve"> 1/3"  HDIS</w:t>
            </w:r>
            <w:r>
              <w:rPr>
                <w:rFonts w:hint="eastAsia" w:ascii="宋体" w:hAnsi="宋体" w:cs="宋体"/>
                <w:szCs w:val="21"/>
              </w:rPr>
              <w:t>视频制式</w:t>
            </w:r>
            <w:r>
              <w:rPr>
                <w:rFonts w:ascii="宋体" w:hAnsi="宋体" w:cs="宋体"/>
                <w:szCs w:val="21"/>
              </w:rPr>
              <w:t xml:space="preserve"> PAL</w:t>
            </w:r>
            <w:r>
              <w:rPr>
                <w:rFonts w:ascii="宋体" w:hAnsi="宋体" w:cs="宋体"/>
                <w:szCs w:val="21"/>
              </w:rPr>
              <w:br w:type="textWrapping"/>
            </w:r>
            <w:r>
              <w:rPr>
                <w:rFonts w:hint="eastAsia" w:ascii="宋体" w:hAnsi="宋体" w:cs="宋体"/>
                <w:szCs w:val="21"/>
              </w:rPr>
              <w:t>有效像素大于等于</w:t>
            </w:r>
            <w:r>
              <w:rPr>
                <w:rFonts w:ascii="宋体" w:hAnsi="宋体" w:cs="宋体"/>
                <w:szCs w:val="21"/>
              </w:rPr>
              <w:t xml:space="preserve"> 976(H)×496(V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车载监控摄像头（车外）</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影像传感器</w:t>
            </w:r>
            <w:r>
              <w:rPr>
                <w:rFonts w:ascii="宋体" w:hAnsi="宋体" w:cs="宋体"/>
                <w:szCs w:val="21"/>
              </w:rPr>
              <w:t xml:space="preserve"> 1/3" HDIS</w:t>
            </w:r>
            <w:r>
              <w:rPr>
                <w:rFonts w:hint="eastAsia" w:ascii="宋体" w:hAnsi="宋体" w:cs="宋体"/>
                <w:szCs w:val="21"/>
              </w:rPr>
              <w:t>清晰度</w:t>
            </w:r>
            <w:r>
              <w:rPr>
                <w:rFonts w:ascii="宋体" w:hAnsi="宋体" w:cs="宋体"/>
                <w:szCs w:val="21"/>
              </w:rPr>
              <w:t xml:space="preserve"> 720TVL</w:t>
            </w:r>
            <w:r>
              <w:rPr>
                <w:rFonts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960(H) ×496(V)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车载显示屏</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屏幕尺寸</w:t>
            </w:r>
            <w:r>
              <w:rPr>
                <w:rFonts w:ascii="宋体" w:hAnsi="宋体" w:cs="宋体"/>
                <w:szCs w:val="21"/>
              </w:rPr>
              <w:t xml:space="preserve"> 7</w:t>
            </w:r>
            <w:r>
              <w:rPr>
                <w:rFonts w:hint="eastAsia" w:ascii="宋体" w:hAnsi="宋体" w:cs="宋体"/>
                <w:szCs w:val="21"/>
              </w:rPr>
              <w:t>寸-</w:t>
            </w:r>
            <w:r>
              <w:rPr>
                <w:rFonts w:ascii="宋体" w:hAnsi="宋体" w:cs="宋体"/>
                <w:szCs w:val="21"/>
              </w:rPr>
              <w:t>10</w:t>
            </w:r>
            <w:r>
              <w:rPr>
                <w:rFonts w:hint="eastAsia" w:ascii="宋体" w:hAnsi="宋体" w:cs="宋体"/>
                <w:szCs w:val="21"/>
              </w:rPr>
              <w:t>寸</w:t>
            </w:r>
            <w:r>
              <w:rPr>
                <w:rFonts w:hint="eastAsia"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800*RGB*480</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读卡器</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套</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远距离RFID读卡器</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流量费（</w:t>
            </w:r>
            <w:r>
              <w:rPr>
                <w:rFonts w:ascii="宋体" w:hAnsi="宋体" w:cs="宋体"/>
                <w:szCs w:val="21"/>
              </w:rPr>
              <w:t>3</w:t>
            </w:r>
            <w:r>
              <w:rPr>
                <w:rFonts w:hint="eastAsia" w:ascii="宋体" w:hAnsi="宋体" w:cs="宋体"/>
                <w:szCs w:val="21"/>
              </w:rPr>
              <w:t>年）</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台/年</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ascii="宋体" w:hAnsi="宋体" w:cs="宋体"/>
                <w:szCs w:val="21"/>
              </w:rPr>
              <w:t>3</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终端≥</w:t>
            </w:r>
            <w:r>
              <w:rPr>
                <w:rFonts w:ascii="宋体" w:hAnsi="宋体" w:cs="宋体"/>
                <w:szCs w:val="21"/>
              </w:rPr>
              <w:t>40M/</w:t>
            </w:r>
            <w:r>
              <w:rPr>
                <w:rFonts w:hint="eastAsia" w:ascii="宋体" w:hAnsi="宋体" w:cs="宋体"/>
                <w:szCs w:val="21"/>
              </w:rPr>
              <w:t>月，可</w:t>
            </w:r>
            <w:r>
              <w:rPr>
                <w:rFonts w:ascii="宋体" w:hAnsi="宋体" w:cs="宋体"/>
                <w:szCs w:val="21"/>
              </w:rPr>
              <w:t>24</w:t>
            </w:r>
            <w:r>
              <w:rPr>
                <w:rFonts w:hint="eastAsia" w:ascii="宋体" w:hAnsi="宋体" w:cs="宋体"/>
                <w:szCs w:val="21"/>
              </w:rPr>
              <w:t>小时使用；视频≥</w:t>
            </w:r>
            <w:r>
              <w:rPr>
                <w:rFonts w:ascii="宋体" w:hAnsi="宋体" w:cs="宋体"/>
                <w:szCs w:val="21"/>
              </w:rPr>
              <w:t xml:space="preserve">20G </w:t>
            </w:r>
            <w:r>
              <w:rPr>
                <w:rFonts w:hint="eastAsia" w:ascii="宋体" w:hAnsi="宋体" w:cs="宋体"/>
                <w:szCs w:val="21"/>
              </w:rPr>
              <w:t>每年；视频可单通道观看</w:t>
            </w:r>
            <w:r>
              <w:rPr>
                <w:rFonts w:ascii="宋体" w:hAnsi="宋体" w:cs="宋体"/>
                <w:szCs w:val="21"/>
              </w:rPr>
              <w:t>23</w:t>
            </w:r>
            <w:r>
              <w:rPr>
                <w:rFonts w:hint="eastAsia" w:ascii="宋体" w:hAnsi="宋体" w:cs="宋体"/>
                <w:szCs w:val="21"/>
              </w:rPr>
              <w:t>小时</w:t>
            </w:r>
          </w:p>
        </w:tc>
      </w:tr>
      <w:tr>
        <w:tblPrEx>
          <w:tblCellMar>
            <w:top w:w="0" w:type="dxa"/>
            <w:left w:w="108" w:type="dxa"/>
            <w:bottom w:w="0" w:type="dxa"/>
            <w:right w:w="108" w:type="dxa"/>
          </w:tblCellMar>
        </w:tblPrEx>
        <w:trPr>
          <w:trHeight w:val="600" w:hRule="atLeast"/>
        </w:trPr>
        <w:tc>
          <w:tcPr>
            <w:tcW w:w="865" w:type="dxa"/>
            <w:vMerge w:val="restart"/>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ascii="宋体" w:hAnsi="宋体" w:cs="宋体"/>
                <w:szCs w:val="21"/>
              </w:rPr>
              <w:t>4</w:t>
            </w:r>
          </w:p>
        </w:tc>
        <w:tc>
          <w:tcPr>
            <w:tcW w:w="1095" w:type="dxa"/>
            <w:vMerge w:val="restart"/>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建筑垃圾清运车（渣土车）</w:t>
            </w:r>
          </w:p>
        </w:tc>
        <w:tc>
          <w:tcPr>
            <w:tcW w:w="1358"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超声波油位计（选配）</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油位传感器油位高度测量的分辨率为≤</w:t>
            </w:r>
            <w:r>
              <w:rPr>
                <w:rFonts w:ascii="宋体" w:hAnsi="宋体" w:cs="宋体"/>
                <w:szCs w:val="21"/>
              </w:rPr>
              <w:t xml:space="preserve"> 0.1mm</w:t>
            </w:r>
            <w:r>
              <w:rPr>
                <w:rFonts w:hint="eastAsia" w:ascii="宋体" w:hAnsi="宋体" w:cs="宋体"/>
                <w:szCs w:val="21"/>
              </w:rPr>
              <w:t>，测量精度为≤</w:t>
            </w:r>
            <w:r>
              <w:rPr>
                <w:rFonts w:ascii="宋体" w:hAnsi="宋体" w:cs="宋体"/>
                <w:szCs w:val="21"/>
              </w:rPr>
              <w:t>±0.5%</w:t>
            </w:r>
            <w:r>
              <w:rPr>
                <w:rFonts w:hint="eastAsia" w:ascii="宋体" w:hAnsi="宋体" w:cs="宋体"/>
                <w:szCs w:val="21"/>
              </w:rPr>
              <w:t>；</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车载信息监控终端可以接入各类传感器</w:t>
            </w:r>
            <w:r>
              <w:rPr>
                <w:rFonts w:hint="eastAsia" w:ascii="宋体" w:hAnsi="宋体" w:cs="宋体"/>
                <w:szCs w:val="21"/>
              </w:rPr>
              <w:br w:type="textWrapping"/>
            </w:r>
            <w:r>
              <w:rPr>
                <w:rFonts w:hint="eastAsia" w:ascii="宋体" w:hAnsi="宋体" w:cs="宋体"/>
                <w:szCs w:val="21"/>
              </w:rPr>
              <w:t>工作电压 9VDC～36VDC</w:t>
            </w:r>
            <w:r>
              <w:rPr>
                <w:rFonts w:hint="eastAsia" w:ascii="宋体" w:hAnsi="宋体" w:cs="宋体"/>
                <w:szCs w:val="21"/>
              </w:rPr>
              <w:br w:type="textWrapping"/>
            </w:r>
            <w:r>
              <w:rPr>
                <w:rFonts w:hint="eastAsia" w:ascii="宋体" w:hAnsi="宋体" w:cs="宋体"/>
                <w:szCs w:val="21"/>
              </w:rPr>
              <w:t>工作电流 50mA~750mA</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车载硬盘录像机</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图像压缩</w:t>
            </w:r>
            <w:r>
              <w:rPr>
                <w:rFonts w:ascii="宋体" w:hAnsi="宋体" w:cs="宋体"/>
                <w:szCs w:val="21"/>
              </w:rPr>
              <w:t xml:space="preserve"> H.264 Main Profile :</w:t>
            </w:r>
            <w:r>
              <w:rPr>
                <w:rFonts w:hint="eastAsia" w:ascii="宋体" w:hAnsi="宋体" w:cs="宋体"/>
                <w:szCs w:val="21"/>
              </w:rPr>
              <w:t>双码流</w:t>
            </w:r>
            <w:r>
              <w:rPr>
                <w:rFonts w:ascii="宋体" w:hAnsi="宋体" w:cs="宋体"/>
                <w:szCs w:val="21"/>
              </w:rPr>
              <w:br w:type="textWrapping"/>
            </w:r>
            <w:r>
              <w:rPr>
                <w:rFonts w:hint="eastAsia" w:ascii="宋体" w:hAnsi="宋体" w:cs="宋体"/>
                <w:szCs w:val="21"/>
              </w:rPr>
              <w:t>音、视频输入</w:t>
            </w:r>
            <w:r>
              <w:rPr>
                <w:rFonts w:ascii="宋体" w:hAnsi="宋体" w:cs="宋体"/>
                <w:szCs w:val="21"/>
              </w:rPr>
              <w:t>/</w:t>
            </w:r>
            <w:r>
              <w:rPr>
                <w:rFonts w:hint="eastAsia" w:ascii="宋体" w:hAnsi="宋体" w:cs="宋体"/>
                <w:szCs w:val="21"/>
              </w:rPr>
              <w:t>出</w:t>
            </w:r>
            <w:r>
              <w:rPr>
                <w:rFonts w:ascii="宋体" w:hAnsi="宋体" w:cs="宋体"/>
                <w:szCs w:val="21"/>
              </w:rPr>
              <w:t xml:space="preserve"> 4</w:t>
            </w:r>
            <w:r>
              <w:rPr>
                <w:rFonts w:hint="eastAsia" w:ascii="宋体" w:hAnsi="宋体" w:cs="宋体"/>
                <w:szCs w:val="21"/>
              </w:rPr>
              <w:t>路输入、</w:t>
            </w:r>
            <w:r>
              <w:rPr>
                <w:rFonts w:ascii="宋体" w:hAnsi="宋体" w:cs="宋体"/>
                <w:szCs w:val="21"/>
              </w:rPr>
              <w:t>1</w:t>
            </w:r>
            <w:r>
              <w:rPr>
                <w:rFonts w:hint="eastAsia" w:ascii="宋体" w:hAnsi="宋体" w:cs="宋体"/>
                <w:szCs w:val="21"/>
              </w:rPr>
              <w:t>路输出</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车载监控摄像头（车内）</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图像传感器</w:t>
            </w:r>
            <w:r>
              <w:rPr>
                <w:rFonts w:ascii="宋体" w:hAnsi="宋体" w:cs="宋体"/>
                <w:szCs w:val="21"/>
              </w:rPr>
              <w:t xml:space="preserve"> 1/3"  HDIS</w:t>
            </w:r>
            <w:r>
              <w:rPr>
                <w:rFonts w:hint="eastAsia" w:ascii="宋体" w:hAnsi="宋体" w:cs="宋体"/>
                <w:szCs w:val="21"/>
              </w:rPr>
              <w:t>视频制式</w:t>
            </w:r>
            <w:r>
              <w:rPr>
                <w:rFonts w:ascii="宋体" w:hAnsi="宋体" w:cs="宋体"/>
                <w:szCs w:val="21"/>
              </w:rPr>
              <w:t xml:space="preserve"> PAL</w:t>
            </w:r>
            <w:r>
              <w:rPr>
                <w:rFonts w:ascii="宋体" w:hAnsi="宋体" w:cs="宋体"/>
                <w:szCs w:val="21"/>
              </w:rPr>
              <w:br w:type="textWrapping"/>
            </w:r>
            <w:r>
              <w:rPr>
                <w:rFonts w:hint="eastAsia" w:ascii="宋体" w:hAnsi="宋体" w:cs="宋体"/>
                <w:szCs w:val="21"/>
              </w:rPr>
              <w:t>有效像素大于等于</w:t>
            </w:r>
            <w:r>
              <w:rPr>
                <w:rFonts w:ascii="宋体" w:hAnsi="宋体" w:cs="宋体"/>
                <w:szCs w:val="21"/>
              </w:rPr>
              <w:t xml:space="preserve"> 976(H)×496(V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车载监控摄像头（车外）</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影像传感器</w:t>
            </w:r>
            <w:r>
              <w:rPr>
                <w:rFonts w:ascii="宋体" w:hAnsi="宋体" w:cs="宋体"/>
                <w:szCs w:val="21"/>
              </w:rPr>
              <w:t xml:space="preserve"> 1/3" HDIS</w:t>
            </w:r>
            <w:r>
              <w:rPr>
                <w:rFonts w:hint="eastAsia" w:ascii="宋体" w:hAnsi="宋体" w:cs="宋体"/>
                <w:szCs w:val="21"/>
              </w:rPr>
              <w:t>清晰度</w:t>
            </w:r>
            <w:r>
              <w:rPr>
                <w:rFonts w:ascii="宋体" w:hAnsi="宋体" w:cs="宋体"/>
                <w:szCs w:val="21"/>
              </w:rPr>
              <w:t xml:space="preserve"> 720TVL</w:t>
            </w:r>
            <w:r>
              <w:rPr>
                <w:rFonts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960(H) ×496(V)</w:t>
            </w:r>
            <w:r>
              <w:rPr>
                <w:rFonts w:hint="eastAsia" w:ascii="宋体" w:hAnsi="宋体" w:cs="宋体"/>
                <w:szCs w:val="21"/>
              </w:rPr>
              <w:t>红外线照射</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倾倒传感器</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个</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屏幕尺寸</w:t>
            </w:r>
            <w:r>
              <w:rPr>
                <w:rFonts w:ascii="宋体" w:hAnsi="宋体" w:cs="宋体"/>
                <w:szCs w:val="21"/>
              </w:rPr>
              <w:t xml:space="preserve"> 7</w:t>
            </w:r>
            <w:r>
              <w:rPr>
                <w:rFonts w:hint="eastAsia" w:ascii="宋体" w:hAnsi="宋体" w:cs="宋体"/>
                <w:szCs w:val="21"/>
              </w:rPr>
              <w:t>寸-</w:t>
            </w:r>
            <w:r>
              <w:rPr>
                <w:rFonts w:ascii="宋体" w:hAnsi="宋体" w:cs="宋体"/>
                <w:szCs w:val="21"/>
              </w:rPr>
              <w:t>10</w:t>
            </w:r>
            <w:r>
              <w:rPr>
                <w:rFonts w:hint="eastAsia" w:ascii="宋体" w:hAnsi="宋体" w:cs="宋体"/>
                <w:szCs w:val="21"/>
              </w:rPr>
              <w:t>寸</w:t>
            </w:r>
            <w:r>
              <w:rPr>
                <w:rFonts w:hint="eastAsia" w:ascii="宋体" w:hAnsi="宋体" w:cs="宋体"/>
                <w:szCs w:val="21"/>
              </w:rPr>
              <w:br w:type="textWrapping"/>
            </w:r>
            <w:r>
              <w:rPr>
                <w:rFonts w:hint="eastAsia" w:ascii="宋体" w:hAnsi="宋体" w:cs="宋体"/>
                <w:szCs w:val="21"/>
              </w:rPr>
              <w:t>像素大于等于</w:t>
            </w:r>
            <w:r>
              <w:rPr>
                <w:rFonts w:ascii="宋体" w:hAnsi="宋体" w:cs="宋体"/>
                <w:szCs w:val="21"/>
              </w:rPr>
              <w:t xml:space="preserve">  800*RGB*480</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流量费（</w:t>
            </w:r>
            <w:r>
              <w:rPr>
                <w:rFonts w:ascii="宋体" w:hAnsi="宋体" w:cs="宋体"/>
                <w:szCs w:val="21"/>
              </w:rPr>
              <w:t>3</w:t>
            </w:r>
            <w:r>
              <w:rPr>
                <w:rFonts w:hint="eastAsia" w:ascii="宋体" w:hAnsi="宋体" w:cs="宋体"/>
                <w:szCs w:val="21"/>
              </w:rPr>
              <w:t>年）</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台/年</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ascii="宋体" w:hAnsi="宋体" w:cs="宋体"/>
                <w:szCs w:val="21"/>
              </w:rPr>
              <w:t>3</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终端≥</w:t>
            </w:r>
            <w:r>
              <w:rPr>
                <w:rFonts w:ascii="宋体" w:hAnsi="宋体" w:cs="宋体"/>
                <w:szCs w:val="21"/>
              </w:rPr>
              <w:t>40M/</w:t>
            </w:r>
            <w:r>
              <w:rPr>
                <w:rFonts w:hint="eastAsia" w:ascii="宋体" w:hAnsi="宋体" w:cs="宋体"/>
                <w:szCs w:val="21"/>
              </w:rPr>
              <w:t>月，可</w:t>
            </w:r>
            <w:r>
              <w:rPr>
                <w:rFonts w:ascii="宋体" w:hAnsi="宋体" w:cs="宋体"/>
                <w:szCs w:val="21"/>
              </w:rPr>
              <w:t>24</w:t>
            </w:r>
            <w:r>
              <w:rPr>
                <w:rFonts w:hint="eastAsia" w:ascii="宋体" w:hAnsi="宋体" w:cs="宋体"/>
                <w:szCs w:val="21"/>
              </w:rPr>
              <w:t>小时使用；视频≥</w:t>
            </w:r>
            <w:r>
              <w:rPr>
                <w:rFonts w:ascii="宋体" w:hAnsi="宋体" w:cs="宋体"/>
                <w:szCs w:val="21"/>
              </w:rPr>
              <w:t xml:space="preserve">20G </w:t>
            </w:r>
            <w:r>
              <w:rPr>
                <w:rFonts w:hint="eastAsia" w:ascii="宋体" w:hAnsi="宋体" w:cs="宋体"/>
                <w:szCs w:val="21"/>
              </w:rPr>
              <w:t>每年；视频可单通道观看</w:t>
            </w:r>
            <w:r>
              <w:rPr>
                <w:rFonts w:ascii="宋体" w:hAnsi="宋体" w:cs="宋体"/>
                <w:szCs w:val="21"/>
              </w:rPr>
              <w:t>23</w:t>
            </w:r>
            <w:r>
              <w:rPr>
                <w:rFonts w:hint="eastAsia" w:ascii="宋体" w:hAnsi="宋体" w:cs="宋体"/>
                <w:szCs w:val="21"/>
              </w:rPr>
              <w:t>小时</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000000"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安装费</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套</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ascii="宋体" w:hAnsi="宋体" w:cs="宋体"/>
                <w:szCs w:val="21"/>
              </w:rPr>
              <w:t>　</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安装耗材</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套</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包含车载安装的线缆、接头等一切保证系统连通的所有辅助材料</w:t>
            </w:r>
          </w:p>
        </w:tc>
      </w:tr>
      <w:tr>
        <w:tblPrEx>
          <w:tblCellMar>
            <w:top w:w="0" w:type="dxa"/>
            <w:left w:w="108" w:type="dxa"/>
            <w:bottom w:w="0" w:type="dxa"/>
            <w:right w:w="108" w:type="dxa"/>
          </w:tblCellMar>
        </w:tblPrEx>
        <w:trPr>
          <w:trHeight w:val="600" w:hRule="atLeast"/>
        </w:trPr>
        <w:tc>
          <w:tcPr>
            <w:tcW w:w="865" w:type="dxa"/>
            <w:vMerge w:val="restart"/>
            <w:tcBorders>
              <w:top w:val="single" w:color="auto" w:sz="4" w:space="0"/>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ascii="宋体" w:hAnsi="宋体" w:cs="宋体"/>
                <w:szCs w:val="21"/>
              </w:rPr>
              <w:t>5</w:t>
            </w:r>
          </w:p>
        </w:tc>
        <w:tc>
          <w:tcPr>
            <w:tcW w:w="1095" w:type="dxa"/>
            <w:vMerge w:val="restart"/>
            <w:tcBorders>
              <w:top w:val="single" w:color="auto" w:sz="4" w:space="0"/>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各种小型车辆</w:t>
            </w:r>
          </w:p>
        </w:tc>
        <w:tc>
          <w:tcPr>
            <w:tcW w:w="1358" w:type="dxa"/>
            <w:tcBorders>
              <w:top w:val="single" w:color="auto" w:sz="4" w:space="0"/>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车载信息监控终端</w:t>
            </w:r>
          </w:p>
        </w:tc>
        <w:tc>
          <w:tcPr>
            <w:tcW w:w="798" w:type="dxa"/>
            <w:tcBorders>
              <w:top w:val="single" w:color="auto" w:sz="4" w:space="0"/>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w:t>
            </w:r>
          </w:p>
        </w:tc>
        <w:tc>
          <w:tcPr>
            <w:tcW w:w="812" w:type="dxa"/>
            <w:tcBorders>
              <w:top w:val="single" w:color="auto" w:sz="4" w:space="0"/>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single" w:color="auto" w:sz="4" w:space="0"/>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车载信息监控终端可以接入各类传感器</w:t>
            </w:r>
            <w:r>
              <w:rPr>
                <w:rFonts w:hint="eastAsia" w:ascii="宋体" w:hAnsi="宋体" w:cs="宋体"/>
                <w:szCs w:val="21"/>
              </w:rPr>
              <w:br w:type="textWrapping"/>
            </w:r>
            <w:r>
              <w:rPr>
                <w:rFonts w:hint="eastAsia" w:ascii="宋体" w:hAnsi="宋体" w:cs="宋体"/>
                <w:szCs w:val="21"/>
              </w:rPr>
              <w:t>工作电压 9VDC～36VDC</w:t>
            </w:r>
            <w:r>
              <w:rPr>
                <w:rFonts w:hint="eastAsia" w:ascii="宋体" w:hAnsi="宋体" w:cs="宋体"/>
                <w:szCs w:val="21"/>
              </w:rPr>
              <w:br w:type="textWrapping"/>
            </w:r>
            <w:r>
              <w:rPr>
                <w:rFonts w:hint="eastAsia" w:ascii="宋体" w:hAnsi="宋体" w:cs="宋体"/>
                <w:szCs w:val="21"/>
              </w:rPr>
              <w:t>工作电流 50mA~750mA</w:t>
            </w:r>
          </w:p>
        </w:tc>
      </w:tr>
      <w:tr>
        <w:tblPrEx>
          <w:tblCellMar>
            <w:top w:w="0" w:type="dxa"/>
            <w:left w:w="108" w:type="dxa"/>
            <w:bottom w:w="0" w:type="dxa"/>
            <w:right w:w="108" w:type="dxa"/>
          </w:tblCellMar>
        </w:tblPrEx>
        <w:trPr>
          <w:trHeight w:val="600" w:hRule="atLeast"/>
        </w:trPr>
        <w:tc>
          <w:tcPr>
            <w:tcW w:w="865" w:type="dxa"/>
            <w:vMerge w:val="continue"/>
            <w:tcBorders>
              <w:top w:val="single" w:color="auto" w:sz="4" w:space="0"/>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p>
        </w:tc>
        <w:tc>
          <w:tcPr>
            <w:tcW w:w="1095" w:type="dxa"/>
            <w:vMerge w:val="continue"/>
            <w:tcBorders>
              <w:top w:val="single" w:color="auto" w:sz="4" w:space="0"/>
              <w:left w:val="single" w:color="auto" w:sz="4" w:space="0"/>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p>
        </w:tc>
        <w:tc>
          <w:tcPr>
            <w:tcW w:w="1358" w:type="dxa"/>
            <w:tcBorders>
              <w:top w:val="single" w:color="auto" w:sz="4" w:space="0"/>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流量费（</w:t>
            </w:r>
            <w:r>
              <w:rPr>
                <w:rFonts w:ascii="宋体" w:hAnsi="宋体" w:cs="宋体"/>
                <w:szCs w:val="21"/>
              </w:rPr>
              <w:t>3</w:t>
            </w:r>
            <w:r>
              <w:rPr>
                <w:rFonts w:hint="eastAsia" w:ascii="宋体" w:hAnsi="宋体" w:cs="宋体"/>
                <w:szCs w:val="21"/>
              </w:rPr>
              <w:t>年）</w:t>
            </w:r>
          </w:p>
        </w:tc>
        <w:tc>
          <w:tcPr>
            <w:tcW w:w="798" w:type="dxa"/>
            <w:tcBorders>
              <w:top w:val="single" w:color="auto" w:sz="4" w:space="0"/>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台/年</w:t>
            </w:r>
          </w:p>
        </w:tc>
        <w:tc>
          <w:tcPr>
            <w:tcW w:w="812" w:type="dxa"/>
            <w:tcBorders>
              <w:top w:val="single" w:color="auto" w:sz="4" w:space="0"/>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ascii="宋体" w:hAnsi="宋体" w:cs="宋体"/>
                <w:szCs w:val="21"/>
              </w:rPr>
              <w:t>3</w:t>
            </w:r>
          </w:p>
        </w:tc>
        <w:tc>
          <w:tcPr>
            <w:tcW w:w="4703" w:type="dxa"/>
            <w:tcBorders>
              <w:top w:val="single" w:color="auto" w:sz="4" w:space="0"/>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终端≥</w:t>
            </w:r>
            <w:r>
              <w:rPr>
                <w:rFonts w:ascii="宋体" w:hAnsi="宋体" w:cs="宋体"/>
                <w:szCs w:val="21"/>
              </w:rPr>
              <w:t>40M/</w:t>
            </w:r>
            <w:r>
              <w:rPr>
                <w:rFonts w:hint="eastAsia" w:ascii="宋体" w:hAnsi="宋体" w:cs="宋体"/>
                <w:szCs w:val="21"/>
              </w:rPr>
              <w:t>月</w:t>
            </w:r>
          </w:p>
        </w:tc>
      </w:tr>
      <w:tr>
        <w:tblPrEx>
          <w:tblCellMar>
            <w:top w:w="0" w:type="dxa"/>
            <w:left w:w="108" w:type="dxa"/>
            <w:bottom w:w="0" w:type="dxa"/>
            <w:right w:w="108" w:type="dxa"/>
          </w:tblCellMar>
        </w:tblPrEx>
        <w:trPr>
          <w:trHeight w:val="600" w:hRule="atLeast"/>
        </w:trPr>
        <w:tc>
          <w:tcPr>
            <w:tcW w:w="9631" w:type="dxa"/>
            <w:gridSpan w:val="6"/>
            <w:tcBorders>
              <w:top w:val="nil"/>
              <w:left w:val="single" w:color="auto" w:sz="4" w:space="0"/>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二、人员管理部分（单人配置）</w:t>
            </w:r>
          </w:p>
        </w:tc>
      </w:tr>
      <w:tr>
        <w:tblPrEx>
          <w:tblCellMar>
            <w:top w:w="0" w:type="dxa"/>
            <w:left w:w="108" w:type="dxa"/>
            <w:bottom w:w="0" w:type="dxa"/>
            <w:right w:w="108" w:type="dxa"/>
          </w:tblCellMar>
        </w:tblPrEx>
        <w:trPr>
          <w:trHeight w:val="600" w:hRule="atLeast"/>
        </w:trPr>
        <w:tc>
          <w:tcPr>
            <w:tcW w:w="865" w:type="dxa"/>
            <w:vMerge w:val="restart"/>
            <w:tcBorders>
              <w:top w:val="nil"/>
              <w:left w:val="single" w:color="auto" w:sz="4" w:space="0"/>
              <w:bottom w:val="single" w:color="000000"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1</w:t>
            </w:r>
          </w:p>
        </w:tc>
        <w:tc>
          <w:tcPr>
            <w:tcW w:w="2453" w:type="dxa"/>
            <w:gridSpan w:val="2"/>
            <w:tcBorders>
              <w:top w:val="single" w:color="auto" w:sz="4" w:space="0"/>
              <w:left w:val="nil"/>
              <w:bottom w:val="single" w:color="auto" w:sz="4" w:space="0"/>
              <w:right w:val="single" w:color="000000"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人员管理终端</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个</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1</w:t>
            </w:r>
          </w:p>
        </w:tc>
        <w:tc>
          <w:tcPr>
            <w:tcW w:w="4703"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符合平台接入要求</w:t>
            </w:r>
            <w:r>
              <w:rPr>
                <w:rFonts w:hint="eastAsia" w:ascii="宋体" w:hAnsi="宋体" w:cs="宋体"/>
                <w:szCs w:val="21"/>
              </w:rPr>
              <w:br w:type="textWrapping"/>
            </w:r>
            <w:r>
              <w:rPr>
                <w:rFonts w:hint="eastAsia" w:ascii="宋体" w:hAnsi="宋体" w:cs="宋体"/>
                <w:szCs w:val="21"/>
              </w:rPr>
              <w:t>GPS灵敏度 -163dBm  GPS定位精度 5-25m</w:t>
            </w:r>
            <w:r>
              <w:rPr>
                <w:rFonts w:hint="eastAsia" w:ascii="宋体" w:hAnsi="宋体" w:cs="宋体"/>
                <w:szCs w:val="21"/>
              </w:rPr>
              <w:br w:type="textWrapping"/>
            </w:r>
            <w:r>
              <w:rPr>
                <w:rFonts w:hint="eastAsia" w:ascii="宋体" w:hAnsi="宋体" w:cs="宋体"/>
                <w:szCs w:val="21"/>
              </w:rPr>
              <w:t>GPS中心频率 L1,1575.42MHz</w:t>
            </w:r>
          </w:p>
        </w:tc>
      </w:tr>
      <w:tr>
        <w:tblPrEx>
          <w:tblCellMar>
            <w:top w:w="0" w:type="dxa"/>
            <w:left w:w="108" w:type="dxa"/>
            <w:bottom w:w="0" w:type="dxa"/>
            <w:right w:w="108" w:type="dxa"/>
          </w:tblCellMar>
        </w:tblPrEx>
        <w:trPr>
          <w:trHeight w:val="600" w:hRule="atLeast"/>
        </w:trPr>
        <w:tc>
          <w:tcPr>
            <w:tcW w:w="865" w:type="dxa"/>
            <w:vMerge w:val="continue"/>
            <w:tcBorders>
              <w:top w:val="nil"/>
              <w:left w:val="single" w:color="auto" w:sz="4" w:space="0"/>
              <w:bottom w:val="single" w:color="000000" w:sz="4" w:space="0"/>
              <w:right w:val="single" w:color="auto" w:sz="4" w:space="0"/>
            </w:tcBorders>
            <w:noWrap w:val="0"/>
            <w:vAlign w:val="center"/>
          </w:tcPr>
          <w:p>
            <w:pPr>
              <w:overflowPunct w:val="0"/>
              <w:spacing w:line="360" w:lineRule="auto"/>
              <w:rPr>
                <w:rFonts w:ascii="宋体" w:hAnsi="宋体" w:cs="宋体"/>
                <w:szCs w:val="21"/>
              </w:rPr>
            </w:pPr>
          </w:p>
        </w:tc>
        <w:tc>
          <w:tcPr>
            <w:tcW w:w="2453" w:type="dxa"/>
            <w:gridSpan w:val="2"/>
            <w:tcBorders>
              <w:top w:val="single" w:color="auto" w:sz="4" w:space="0"/>
              <w:left w:val="nil"/>
              <w:bottom w:val="single" w:color="auto" w:sz="4" w:space="0"/>
              <w:right w:val="single" w:color="000000"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流量费（</w:t>
            </w:r>
            <w:r>
              <w:rPr>
                <w:rFonts w:ascii="宋体" w:hAnsi="宋体" w:cs="宋体"/>
                <w:szCs w:val="21"/>
              </w:rPr>
              <w:t>3</w:t>
            </w:r>
            <w:r>
              <w:rPr>
                <w:rFonts w:hint="eastAsia" w:ascii="宋体" w:hAnsi="宋体" w:cs="宋体"/>
                <w:szCs w:val="21"/>
              </w:rPr>
              <w:t>年）</w:t>
            </w:r>
          </w:p>
        </w:tc>
        <w:tc>
          <w:tcPr>
            <w:tcW w:w="798"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hint="eastAsia" w:ascii="宋体" w:hAnsi="宋体" w:cs="宋体"/>
                <w:szCs w:val="21"/>
              </w:rPr>
              <w:t>年/套</w:t>
            </w:r>
          </w:p>
        </w:tc>
        <w:tc>
          <w:tcPr>
            <w:tcW w:w="812" w:type="dxa"/>
            <w:tcBorders>
              <w:top w:val="nil"/>
              <w:left w:val="nil"/>
              <w:bottom w:val="single" w:color="auto" w:sz="4" w:space="0"/>
              <w:right w:val="single" w:color="auto" w:sz="4" w:space="0"/>
            </w:tcBorders>
            <w:noWrap w:val="0"/>
            <w:vAlign w:val="center"/>
          </w:tcPr>
          <w:p>
            <w:pPr>
              <w:overflowPunct w:val="0"/>
              <w:spacing w:line="360" w:lineRule="auto"/>
              <w:jc w:val="center"/>
              <w:rPr>
                <w:rFonts w:ascii="宋体" w:hAnsi="宋体" w:cs="宋体"/>
                <w:szCs w:val="21"/>
              </w:rPr>
            </w:pPr>
            <w:r>
              <w:rPr>
                <w:rFonts w:ascii="宋体" w:hAnsi="宋体" w:cs="宋体"/>
                <w:szCs w:val="21"/>
              </w:rPr>
              <w:t>3</w:t>
            </w:r>
          </w:p>
        </w:tc>
        <w:tc>
          <w:tcPr>
            <w:tcW w:w="4703" w:type="dxa"/>
            <w:tcBorders>
              <w:top w:val="nil"/>
              <w:left w:val="nil"/>
              <w:bottom w:val="single" w:color="auto" w:sz="4" w:space="0"/>
              <w:right w:val="single" w:color="auto" w:sz="4" w:space="0"/>
            </w:tcBorders>
            <w:noWrap w:val="0"/>
            <w:vAlign w:val="center"/>
          </w:tcPr>
          <w:p>
            <w:pPr>
              <w:overflowPunct w:val="0"/>
              <w:spacing w:line="360" w:lineRule="auto"/>
              <w:rPr>
                <w:rFonts w:ascii="宋体" w:hAnsi="宋体" w:cs="宋体"/>
                <w:szCs w:val="21"/>
              </w:rPr>
            </w:pPr>
            <w:r>
              <w:rPr>
                <w:rFonts w:hint="eastAsia" w:ascii="宋体" w:hAnsi="宋体" w:cs="宋体"/>
                <w:szCs w:val="21"/>
              </w:rPr>
              <w:t>移动，≥40M/月，300分钟通话</w:t>
            </w:r>
          </w:p>
        </w:tc>
      </w:tr>
    </w:tbl>
    <w:p>
      <w:pPr>
        <w:wordWrap w:val="0"/>
        <w:overflowPunct w:val="0"/>
        <w:spacing w:line="360" w:lineRule="auto"/>
        <w:ind w:firstLine="413" w:firstLineChars="196"/>
        <w:outlineLvl w:val="1"/>
        <w:rPr>
          <w:rFonts w:ascii="宋体"/>
          <w:b/>
          <w:szCs w:val="21"/>
        </w:rPr>
      </w:pPr>
      <w:bookmarkStart w:id="255" w:name="_Toc27917"/>
      <w:bookmarkStart w:id="256" w:name="_Toc64901764"/>
      <w:bookmarkStart w:id="257" w:name="_Toc64913348"/>
      <w:r>
        <w:rPr>
          <w:rFonts w:hint="eastAsia" w:ascii="宋体"/>
          <w:b/>
          <w:szCs w:val="21"/>
        </w:rPr>
        <w:t>六、项目管理要求</w:t>
      </w:r>
      <w:bookmarkEnd w:id="255"/>
      <w:bookmarkEnd w:id="256"/>
      <w:bookmarkEnd w:id="257"/>
    </w:p>
    <w:p>
      <w:pPr>
        <w:wordWrap w:val="0"/>
        <w:overflowPunct w:val="0"/>
        <w:adjustRightInd w:val="0"/>
        <w:spacing w:line="360" w:lineRule="auto"/>
        <w:ind w:firstLine="420" w:firstLineChars="200"/>
        <w:textAlignment w:val="bottom"/>
        <w:rPr>
          <w:rFonts w:ascii="宋体"/>
          <w:b/>
          <w:szCs w:val="21"/>
        </w:rPr>
      </w:pPr>
      <w:r>
        <w:rPr>
          <w:rFonts w:hint="eastAsia" w:ascii="宋体"/>
          <w:szCs w:val="21"/>
        </w:rPr>
        <w:t>（一）本项目供应商及其相关服务人员必须服从各级政府职能部门管理要求，服从村居组织监督管理要求。</w:t>
      </w:r>
    </w:p>
    <w:p>
      <w:pPr>
        <w:wordWrap w:val="0"/>
        <w:overflowPunct w:val="0"/>
        <w:adjustRightInd w:val="0"/>
        <w:spacing w:line="360" w:lineRule="auto"/>
        <w:ind w:firstLine="420" w:firstLineChars="200"/>
        <w:rPr>
          <w:rFonts w:hint="eastAsia" w:ascii="新宋体" w:hAnsi="新宋体" w:eastAsia="新宋体"/>
          <w:szCs w:val="21"/>
        </w:rPr>
      </w:pPr>
      <w:r>
        <w:rPr>
          <w:rFonts w:hint="eastAsia" w:ascii="新宋体" w:hAnsi="新宋体" w:eastAsia="新宋体"/>
          <w:szCs w:val="21"/>
        </w:rPr>
        <w:t>（二）遇有重大活动或突发事件，中标供应商必须服从</w:t>
      </w:r>
      <w:r>
        <w:rPr>
          <w:rFonts w:hint="eastAsia" w:ascii="Arial" w:hAnsi="Arial"/>
          <w:szCs w:val="21"/>
        </w:rPr>
        <w:t>采购人</w:t>
      </w:r>
      <w:r>
        <w:rPr>
          <w:rFonts w:hint="eastAsia" w:ascii="新宋体" w:hAnsi="新宋体" w:eastAsia="新宋体"/>
          <w:szCs w:val="21"/>
        </w:rPr>
        <w:t>统一指挥，必要时增加调度确保做好环卫保洁保障工作。</w:t>
      </w:r>
    </w:p>
    <w:p>
      <w:pPr>
        <w:wordWrap w:val="0"/>
        <w:overflowPunct w:val="0"/>
        <w:spacing w:line="360" w:lineRule="auto"/>
        <w:ind w:left="109" w:leftChars="52" w:firstLine="315" w:firstLineChars="150"/>
        <w:rPr>
          <w:rFonts w:ascii="新宋体" w:hAnsi="新宋体" w:eastAsia="新宋体"/>
          <w:szCs w:val="21"/>
        </w:rPr>
      </w:pPr>
      <w:r>
        <w:rPr>
          <w:rFonts w:hint="eastAsia" w:ascii="新宋体" w:hAnsi="新宋体" w:eastAsia="新宋体"/>
          <w:szCs w:val="21"/>
        </w:rPr>
        <w:t>（三）遇有不可抗力因素，中标供应商应无条件配合业主做好保洁工作。</w:t>
      </w:r>
    </w:p>
    <w:p>
      <w:pPr>
        <w:wordWrap w:val="0"/>
        <w:overflowPunct w:val="0"/>
        <w:snapToGrid w:val="0"/>
        <w:spacing w:line="360" w:lineRule="auto"/>
        <w:ind w:firstLine="420" w:firstLineChars="200"/>
        <w:rPr>
          <w:rFonts w:ascii="新宋体" w:hAnsi="新宋体" w:eastAsia="新宋体"/>
          <w:szCs w:val="21"/>
        </w:rPr>
      </w:pPr>
      <w:r>
        <w:rPr>
          <w:rFonts w:hint="eastAsia" w:ascii="新宋体" w:hAnsi="新宋体" w:eastAsia="新宋体"/>
          <w:szCs w:val="21"/>
        </w:rPr>
        <w:t>（四）供应商要让环卫工人遵守中转站倒垃圾秩序，当垃圾中转站、焚烧厂出现故障等突发事件导致排队倒垃圾现象时，供应商要及时做好环卫工人的情绪疏导，严禁出现乱倒垃圾的情形。</w:t>
      </w:r>
    </w:p>
    <w:p>
      <w:pPr>
        <w:wordWrap w:val="0"/>
        <w:overflowPunct w:val="0"/>
        <w:spacing w:line="360" w:lineRule="auto"/>
        <w:ind w:firstLine="420" w:firstLineChars="200"/>
        <w:rPr>
          <w:rFonts w:hint="eastAsia"/>
        </w:rPr>
      </w:pPr>
      <w:r>
        <w:rPr>
          <w:rFonts w:hint="eastAsia" w:ascii="新宋体" w:hAnsi="新宋体" w:eastAsia="新宋体"/>
          <w:szCs w:val="21"/>
        </w:rPr>
        <w:t>（五）</w:t>
      </w:r>
      <w:r>
        <w:rPr>
          <w:rFonts w:hint="eastAsia"/>
        </w:rPr>
        <w:t>中标供应商要确保本项目相关服务人员居住地点安全、整洁、不堆放垃圾，每月进行不少于1次自检并做好台账记录备查。</w:t>
      </w:r>
    </w:p>
    <w:p>
      <w:pPr>
        <w:wordWrap w:val="0"/>
        <w:overflowPunct w:val="0"/>
        <w:spacing w:line="360" w:lineRule="auto"/>
        <w:ind w:firstLine="420" w:firstLineChars="200"/>
        <w:rPr>
          <w:rFonts w:hint="eastAsia"/>
        </w:rPr>
      </w:pPr>
      <w:r>
        <w:rPr>
          <w:rFonts w:hint="eastAsia"/>
        </w:rPr>
        <w:t>（六）中标后的供应商应派1人参加采购人组织的卫生巡查、检查工作，交通工具及产生费用由供应商负责提供。</w:t>
      </w:r>
    </w:p>
    <w:p>
      <w:pPr>
        <w:wordWrap w:val="0"/>
        <w:overflowPunct w:val="0"/>
        <w:snapToGrid w:val="0"/>
        <w:spacing w:line="360" w:lineRule="auto"/>
        <w:ind w:firstLine="420" w:firstLineChars="200"/>
        <w:rPr>
          <w:rFonts w:ascii="新宋体" w:hAnsi="新宋体" w:eastAsia="新宋体"/>
          <w:szCs w:val="21"/>
        </w:rPr>
      </w:pPr>
      <w:r>
        <w:rPr>
          <w:rFonts w:hint="eastAsia" w:ascii="新宋体" w:hAnsi="新宋体" w:eastAsia="新宋体"/>
          <w:szCs w:val="21"/>
        </w:rPr>
        <w:t>（七）</w:t>
      </w:r>
      <w:r>
        <w:rPr>
          <w:rFonts w:hint="eastAsia" w:ascii="新宋体" w:hAnsi="新宋体" w:eastAsia="新宋体"/>
          <w:b/>
          <w:szCs w:val="21"/>
        </w:rPr>
        <w:t>▲本项目所涉及区域的清扫保洁标准，中标供应商必须无条件按采购人具体要求执行。</w:t>
      </w:r>
    </w:p>
    <w:p>
      <w:pPr>
        <w:wordWrap w:val="0"/>
        <w:overflowPunct w:val="0"/>
        <w:snapToGrid w:val="0"/>
        <w:spacing w:line="360" w:lineRule="auto"/>
        <w:ind w:firstLine="420" w:firstLineChars="200"/>
        <w:rPr>
          <w:rFonts w:ascii="新宋体" w:hAnsi="新宋体" w:eastAsia="新宋体"/>
          <w:szCs w:val="21"/>
        </w:rPr>
      </w:pPr>
      <w:r>
        <w:rPr>
          <w:rFonts w:hint="eastAsia" w:ascii="新宋体" w:hAnsi="新宋体" w:eastAsia="新宋体"/>
          <w:szCs w:val="21"/>
        </w:rPr>
        <w:t>（八）本现场条件说明。</w:t>
      </w:r>
    </w:p>
    <w:p>
      <w:pPr>
        <w:wordWrap w:val="0"/>
        <w:overflowPunct w:val="0"/>
        <w:spacing w:line="360" w:lineRule="auto"/>
        <w:ind w:firstLine="525" w:firstLineChars="250"/>
        <w:rPr>
          <w:rFonts w:ascii="新宋体" w:hAnsi="新宋体" w:eastAsia="新宋体"/>
          <w:szCs w:val="21"/>
        </w:rPr>
      </w:pPr>
      <w:r>
        <w:rPr>
          <w:rFonts w:hint="eastAsia" w:ascii="新宋体" w:hAnsi="新宋体" w:eastAsia="新宋体"/>
          <w:szCs w:val="21"/>
        </w:rPr>
        <w:t>1、本次招标所涉及的人员住房和作业机械设备、工具均由中标供应商自行负责解决。</w:t>
      </w:r>
    </w:p>
    <w:p>
      <w:pPr>
        <w:wordWrap w:val="0"/>
        <w:overflowPunct w:val="0"/>
        <w:spacing w:line="360" w:lineRule="auto"/>
        <w:ind w:firstLine="519" w:firstLineChars="246"/>
        <w:rPr>
          <w:rFonts w:hint="eastAsia" w:ascii="新宋体" w:hAnsi="新宋体" w:eastAsia="新宋体"/>
          <w:b/>
          <w:szCs w:val="21"/>
          <w:u w:val="single"/>
        </w:rPr>
      </w:pPr>
      <w:r>
        <w:rPr>
          <w:rFonts w:hint="eastAsia" w:ascii="新宋体" w:hAnsi="新宋体" w:eastAsia="新宋体"/>
          <w:b/>
          <w:szCs w:val="21"/>
        </w:rPr>
        <w:t>2、</w:t>
      </w:r>
      <w:r>
        <w:rPr>
          <w:rFonts w:hint="eastAsia" w:ascii="宋体" w:hAnsi="宋体" w:cs="宋体"/>
          <w:b/>
          <w:szCs w:val="21"/>
          <w:u w:val="single"/>
        </w:rPr>
        <w:t>▲作业车辆、工具的停放场地由中标供应商自行负责解决，要求规范、统一停放，供应商须在中标通知书发出之日起30日内在本次招标保洁区域内建立专门的停车场。中标供应商未按规定日期之内建立专用停车场地的，每延期一天扣1000元履约保证金</w:t>
      </w:r>
      <w:r>
        <w:rPr>
          <w:rFonts w:hint="eastAsia" w:ascii="新宋体" w:hAnsi="新宋体" w:eastAsia="新宋体"/>
          <w:b/>
          <w:szCs w:val="21"/>
          <w:u w:val="single"/>
        </w:rPr>
        <w:t>。</w:t>
      </w:r>
    </w:p>
    <w:p>
      <w:pPr>
        <w:wordWrap w:val="0"/>
        <w:overflowPunct w:val="0"/>
        <w:spacing w:line="360" w:lineRule="auto"/>
        <w:ind w:firstLine="519" w:firstLineChars="246"/>
        <w:rPr>
          <w:rFonts w:ascii="新宋体" w:hAnsi="新宋体" w:eastAsia="新宋体"/>
          <w:b/>
          <w:szCs w:val="21"/>
          <w:u w:val="single"/>
        </w:rPr>
      </w:pPr>
      <w:r>
        <w:rPr>
          <w:rFonts w:hint="eastAsia" w:ascii="新宋体" w:hAnsi="新宋体" w:eastAsia="新宋体"/>
          <w:b/>
          <w:szCs w:val="21"/>
          <w:u w:val="single"/>
        </w:rPr>
        <w:t>3、专用停车场须具有清洗设备、排污装置，取得排污许可证。</w:t>
      </w:r>
    </w:p>
    <w:p>
      <w:pPr>
        <w:wordWrap w:val="0"/>
        <w:overflowPunct w:val="0"/>
        <w:spacing w:line="360" w:lineRule="auto"/>
        <w:ind w:firstLine="525" w:firstLineChars="250"/>
        <w:rPr>
          <w:rFonts w:ascii="新宋体" w:hAnsi="新宋体" w:eastAsia="新宋体"/>
          <w:szCs w:val="21"/>
        </w:rPr>
      </w:pPr>
      <w:r>
        <w:rPr>
          <w:rFonts w:hint="eastAsia" w:ascii="新宋体" w:hAnsi="新宋体" w:eastAsia="新宋体"/>
          <w:szCs w:val="21"/>
        </w:rPr>
        <w:t>4、全年的扫帚等清扫机具材料、垃圾袋清洁剂等作业耗材由中标供应商自行负责落实。</w:t>
      </w:r>
    </w:p>
    <w:p>
      <w:pPr>
        <w:wordWrap w:val="0"/>
        <w:overflowPunct w:val="0"/>
        <w:spacing w:line="360" w:lineRule="auto"/>
        <w:ind w:firstLine="420" w:firstLineChars="200"/>
        <w:rPr>
          <w:rFonts w:ascii="新宋体" w:hAnsi="新宋体" w:eastAsia="新宋体"/>
          <w:szCs w:val="21"/>
        </w:rPr>
      </w:pPr>
      <w:r>
        <w:rPr>
          <w:rFonts w:hint="eastAsia" w:ascii="新宋体" w:hAnsi="新宋体" w:eastAsia="新宋体"/>
          <w:szCs w:val="21"/>
        </w:rPr>
        <w:t>（十）台账内部管理</w:t>
      </w:r>
    </w:p>
    <w:p>
      <w:pPr>
        <w:wordWrap w:val="0"/>
        <w:overflowPunct w:val="0"/>
        <w:spacing w:line="360" w:lineRule="auto"/>
        <w:ind w:firstLine="525" w:firstLineChars="250"/>
        <w:rPr>
          <w:rFonts w:ascii="新宋体" w:hAnsi="新宋体" w:eastAsia="新宋体"/>
          <w:szCs w:val="21"/>
        </w:rPr>
      </w:pPr>
      <w:r>
        <w:rPr>
          <w:rFonts w:hint="eastAsia" w:ascii="新宋体" w:hAnsi="新宋体" w:eastAsia="新宋体"/>
          <w:szCs w:val="21"/>
        </w:rPr>
        <w:t xml:space="preserve">1、机械操作人员要实时做好出车（船）台账，要做到准确无误，真实有效；  </w:t>
      </w:r>
    </w:p>
    <w:p>
      <w:pPr>
        <w:wordWrap w:val="0"/>
        <w:overflowPunct w:val="0"/>
        <w:spacing w:line="360" w:lineRule="auto"/>
        <w:ind w:firstLine="525" w:firstLineChars="250"/>
        <w:rPr>
          <w:rFonts w:ascii="新宋体" w:hAnsi="新宋体" w:eastAsia="新宋体"/>
          <w:szCs w:val="21"/>
        </w:rPr>
      </w:pPr>
      <w:r>
        <w:rPr>
          <w:rFonts w:ascii="新宋体" w:hAnsi="新宋体" w:eastAsia="新宋体"/>
          <w:szCs w:val="21"/>
        </w:rPr>
        <w:t>2</w:t>
      </w:r>
      <w:r>
        <w:rPr>
          <w:rFonts w:hint="eastAsia" w:ascii="新宋体" w:hAnsi="新宋体" w:eastAsia="新宋体"/>
          <w:szCs w:val="21"/>
        </w:rPr>
        <w:t>、中标供应商要建立各项规章制度、内部岗位责任制度、内部考核机制，完善的管理制度。</w:t>
      </w:r>
    </w:p>
    <w:p>
      <w:pPr>
        <w:wordWrap w:val="0"/>
        <w:overflowPunct w:val="0"/>
        <w:spacing w:line="360" w:lineRule="auto"/>
        <w:ind w:firstLine="525" w:firstLineChars="250"/>
        <w:rPr>
          <w:rFonts w:ascii="新宋体" w:hAnsi="新宋体" w:eastAsia="新宋体"/>
          <w:szCs w:val="21"/>
        </w:rPr>
      </w:pPr>
      <w:r>
        <w:rPr>
          <w:rFonts w:ascii="新宋体" w:hAnsi="新宋体" w:eastAsia="新宋体"/>
          <w:szCs w:val="21"/>
        </w:rPr>
        <w:t>3</w:t>
      </w:r>
      <w:r>
        <w:rPr>
          <w:rFonts w:hint="eastAsia" w:ascii="新宋体" w:hAnsi="新宋体" w:eastAsia="新宋体"/>
          <w:szCs w:val="21"/>
        </w:rPr>
        <w:t>、中标供应商要完备的相关台账资料的登记、管理制度，制作的各类台账要规范、真实、清晰、准确。</w:t>
      </w:r>
    </w:p>
    <w:p>
      <w:pPr>
        <w:wordWrap w:val="0"/>
        <w:overflowPunct w:val="0"/>
        <w:spacing w:line="360" w:lineRule="auto"/>
        <w:ind w:firstLine="413" w:firstLineChars="196"/>
        <w:outlineLvl w:val="1"/>
        <w:rPr>
          <w:rFonts w:hint="eastAsia" w:ascii="宋体"/>
          <w:b/>
          <w:szCs w:val="21"/>
        </w:rPr>
      </w:pPr>
      <w:bookmarkStart w:id="258" w:name="_Toc64901765"/>
      <w:bookmarkStart w:id="259" w:name="_Toc15084"/>
      <w:bookmarkStart w:id="260" w:name="_Toc64913349"/>
      <w:r>
        <w:rPr>
          <w:rFonts w:hint="eastAsia" w:ascii="宋体"/>
          <w:b/>
          <w:szCs w:val="21"/>
        </w:rPr>
        <w:t>七、保洁安全作业要求</w:t>
      </w:r>
      <w:bookmarkEnd w:id="258"/>
      <w:bookmarkEnd w:id="259"/>
      <w:bookmarkEnd w:id="260"/>
    </w:p>
    <w:p>
      <w:pPr>
        <w:wordWrap w:val="0"/>
        <w:overflowPunct w:val="0"/>
        <w:adjustRightInd w:val="0"/>
        <w:spacing w:line="360" w:lineRule="auto"/>
        <w:ind w:firstLine="422" w:firstLineChars="200"/>
        <w:textAlignment w:val="bottom"/>
        <w:outlineLvl w:val="2"/>
        <w:rPr>
          <w:rFonts w:ascii="新宋体" w:hAnsi="新宋体" w:eastAsia="新宋体"/>
          <w:b/>
          <w:szCs w:val="21"/>
        </w:rPr>
      </w:pPr>
      <w:bookmarkStart w:id="261" w:name="_Toc64901766"/>
      <w:bookmarkStart w:id="262" w:name="_Toc64913350"/>
      <w:bookmarkStart w:id="263" w:name="_Toc31598"/>
      <w:bookmarkStart w:id="264" w:name="_Toc2590"/>
      <w:r>
        <w:rPr>
          <w:rFonts w:hint="eastAsia" w:ascii="新宋体" w:hAnsi="新宋体" w:eastAsia="新宋体"/>
          <w:b/>
          <w:szCs w:val="21"/>
        </w:rPr>
        <w:t>（一）</w:t>
      </w:r>
      <w:r>
        <w:rPr>
          <w:rFonts w:ascii="新宋体" w:hAnsi="新宋体" w:eastAsia="新宋体"/>
          <w:b/>
          <w:szCs w:val="21"/>
        </w:rPr>
        <w:t>总体要求</w:t>
      </w:r>
      <w:bookmarkEnd w:id="261"/>
      <w:bookmarkEnd w:id="262"/>
      <w:bookmarkEnd w:id="263"/>
      <w:bookmarkEnd w:id="264"/>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1、</w:t>
      </w:r>
      <w:r>
        <w:rPr>
          <w:rFonts w:ascii="新宋体" w:hAnsi="新宋体" w:eastAsia="新宋体"/>
          <w:szCs w:val="21"/>
        </w:rPr>
        <w:t>在台风、雷暴雨、洪水、大雾、寒潮、高温等灾害性气候条件下，应按照气象部门发布的预警时间，暂停</w:t>
      </w:r>
      <w:r>
        <w:rPr>
          <w:rFonts w:hint="eastAsia" w:ascii="新宋体" w:hAnsi="新宋体" w:eastAsia="新宋体"/>
          <w:szCs w:val="21"/>
        </w:rPr>
        <w:t>日常保洁</w:t>
      </w:r>
      <w:r>
        <w:rPr>
          <w:rFonts w:ascii="新宋体" w:hAnsi="新宋体" w:eastAsia="新宋体"/>
          <w:szCs w:val="21"/>
        </w:rPr>
        <w:t>相关作业</w:t>
      </w:r>
      <w:r>
        <w:rPr>
          <w:rFonts w:hint="eastAsia" w:ascii="新宋体" w:hAnsi="新宋体" w:eastAsia="新宋体"/>
          <w:szCs w:val="21"/>
        </w:rPr>
        <w:t>，启动应急预案，保证安全前提下进行应急作业</w:t>
      </w:r>
      <w:r>
        <w:rPr>
          <w:rFonts w:ascii="新宋体" w:hAnsi="新宋体" w:eastAsia="新宋体"/>
          <w:szCs w:val="21"/>
        </w:rPr>
        <w:t>。雾霾天（水平能见度在一公里以下）保洁人员应暂停上路作业，雾散后及时上路作业。</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2、</w:t>
      </w:r>
      <w:r>
        <w:rPr>
          <w:rFonts w:ascii="新宋体" w:hAnsi="新宋体" w:eastAsia="新宋体"/>
          <w:szCs w:val="21"/>
        </w:rPr>
        <w:t>作业过程中出现突发情况或发现疑似危险物品，应及时向有关部门报告，待相关人员到现场后，配合清场、协助处理。</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3、中标供应商每月不少于1次组织相关主管部门专业人员对本项目所有员工进行安全生产和作业技能规范培训，并做好台账记录备查。</w:t>
      </w:r>
    </w:p>
    <w:p>
      <w:pPr>
        <w:wordWrap w:val="0"/>
        <w:overflowPunct w:val="0"/>
        <w:adjustRightInd w:val="0"/>
        <w:spacing w:line="360" w:lineRule="auto"/>
        <w:ind w:firstLine="422" w:firstLineChars="200"/>
        <w:textAlignment w:val="bottom"/>
        <w:outlineLvl w:val="2"/>
        <w:rPr>
          <w:rFonts w:ascii="新宋体" w:hAnsi="新宋体" w:eastAsia="新宋体"/>
          <w:b/>
          <w:szCs w:val="21"/>
        </w:rPr>
      </w:pPr>
      <w:bookmarkStart w:id="265" w:name="_Toc64901767"/>
      <w:bookmarkStart w:id="266" w:name="_Toc22587"/>
      <w:bookmarkStart w:id="267" w:name="_Toc64913351"/>
      <w:bookmarkStart w:id="268" w:name="_Toc8314"/>
      <w:r>
        <w:rPr>
          <w:rFonts w:hint="eastAsia" w:ascii="新宋体" w:hAnsi="新宋体" w:eastAsia="新宋体"/>
          <w:b/>
          <w:szCs w:val="21"/>
        </w:rPr>
        <w:t>（二）</w:t>
      </w:r>
      <w:r>
        <w:rPr>
          <w:rFonts w:ascii="新宋体" w:hAnsi="新宋体" w:eastAsia="新宋体"/>
          <w:b/>
          <w:szCs w:val="21"/>
        </w:rPr>
        <w:t>人员服装要求</w:t>
      </w:r>
      <w:bookmarkEnd w:id="265"/>
      <w:bookmarkEnd w:id="266"/>
      <w:bookmarkEnd w:id="267"/>
      <w:bookmarkEnd w:id="268"/>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1、</w:t>
      </w:r>
      <w:r>
        <w:rPr>
          <w:rFonts w:ascii="新宋体" w:hAnsi="新宋体" w:eastAsia="新宋体"/>
          <w:szCs w:val="21"/>
        </w:rPr>
        <w:t>作业人员在道路上进行流动作业时，应当穿着安全服。安全服当具备反光或部分反光性能，安全服反光部分最小宽度不应小于5cm。</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2、</w:t>
      </w:r>
      <w:r>
        <w:rPr>
          <w:rFonts w:ascii="新宋体" w:hAnsi="新宋体" w:eastAsia="新宋体"/>
          <w:szCs w:val="21"/>
        </w:rPr>
        <w:t>水域保洁人员应穿救生衣等防护用品。</w:t>
      </w:r>
    </w:p>
    <w:p>
      <w:pPr>
        <w:wordWrap w:val="0"/>
        <w:overflowPunct w:val="0"/>
        <w:adjustRightInd w:val="0"/>
        <w:spacing w:line="360" w:lineRule="auto"/>
        <w:ind w:firstLine="422" w:firstLineChars="200"/>
        <w:textAlignment w:val="bottom"/>
        <w:outlineLvl w:val="2"/>
        <w:rPr>
          <w:rFonts w:ascii="新宋体" w:hAnsi="新宋体" w:eastAsia="新宋体"/>
          <w:b/>
          <w:szCs w:val="21"/>
        </w:rPr>
      </w:pPr>
      <w:bookmarkStart w:id="269" w:name="_Toc3290"/>
      <w:bookmarkStart w:id="270" w:name="_Toc64901768"/>
      <w:bookmarkStart w:id="271" w:name="_Toc20686"/>
      <w:bookmarkStart w:id="272" w:name="_Toc64913352"/>
      <w:r>
        <w:rPr>
          <w:rFonts w:hint="eastAsia" w:ascii="新宋体" w:hAnsi="新宋体" w:eastAsia="新宋体"/>
          <w:b/>
          <w:szCs w:val="21"/>
        </w:rPr>
        <w:t>（三）</w:t>
      </w:r>
      <w:r>
        <w:rPr>
          <w:rFonts w:ascii="新宋体" w:hAnsi="新宋体" w:eastAsia="新宋体"/>
          <w:b/>
          <w:szCs w:val="21"/>
        </w:rPr>
        <w:t>机械安全操作要求</w:t>
      </w:r>
      <w:bookmarkEnd w:id="269"/>
      <w:bookmarkEnd w:id="270"/>
      <w:bookmarkEnd w:id="271"/>
      <w:bookmarkEnd w:id="272"/>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1、</w:t>
      </w:r>
      <w:r>
        <w:rPr>
          <w:rFonts w:ascii="新宋体" w:hAnsi="新宋体" w:eastAsia="新宋体"/>
          <w:szCs w:val="21"/>
        </w:rPr>
        <w:t>机械作业人员应了解各机具的性能、功效、使用方法、注意事项，熟悉操作方法；正确、安全操作。</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2、</w:t>
      </w:r>
      <w:r>
        <w:rPr>
          <w:rFonts w:ascii="新宋体" w:hAnsi="新宋体" w:eastAsia="新宋体"/>
          <w:szCs w:val="21"/>
        </w:rPr>
        <w:t>作业设备应专人使用，并定期检修、保养。作业设备的运转部件应设有安全防护罩和安全警示标志。</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3、</w:t>
      </w:r>
      <w:r>
        <w:rPr>
          <w:rFonts w:ascii="新宋体" w:hAnsi="新宋体" w:eastAsia="新宋体"/>
          <w:szCs w:val="21"/>
        </w:rPr>
        <w:t>在机械保洁作业过程中应控制速度，观察作业面情况无异常方可作业。</w:t>
      </w:r>
    </w:p>
    <w:p>
      <w:pPr>
        <w:wordWrap w:val="0"/>
        <w:overflowPunct w:val="0"/>
        <w:adjustRightInd w:val="0"/>
        <w:spacing w:line="360" w:lineRule="auto"/>
        <w:ind w:firstLine="422" w:firstLineChars="200"/>
        <w:textAlignment w:val="bottom"/>
        <w:outlineLvl w:val="2"/>
        <w:rPr>
          <w:rFonts w:ascii="新宋体" w:hAnsi="新宋体" w:eastAsia="新宋体"/>
          <w:b/>
          <w:szCs w:val="21"/>
        </w:rPr>
      </w:pPr>
      <w:bookmarkStart w:id="273" w:name="_Toc64901769"/>
      <w:bookmarkStart w:id="274" w:name="_Toc64913353"/>
      <w:bookmarkStart w:id="275" w:name="_Toc15443"/>
      <w:bookmarkStart w:id="276" w:name="_Toc29835"/>
      <w:r>
        <w:rPr>
          <w:rFonts w:hint="eastAsia" w:ascii="新宋体" w:hAnsi="新宋体" w:eastAsia="新宋体"/>
          <w:b/>
          <w:szCs w:val="21"/>
        </w:rPr>
        <w:t>（四）</w:t>
      </w:r>
      <w:r>
        <w:rPr>
          <w:rFonts w:ascii="新宋体" w:hAnsi="新宋体" w:eastAsia="新宋体"/>
          <w:b/>
          <w:szCs w:val="21"/>
        </w:rPr>
        <w:t>道路、公路作业安全要求</w:t>
      </w:r>
      <w:bookmarkEnd w:id="273"/>
      <w:bookmarkEnd w:id="274"/>
      <w:bookmarkEnd w:id="275"/>
      <w:bookmarkEnd w:id="276"/>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1、</w:t>
      </w:r>
      <w:r>
        <w:rPr>
          <w:rFonts w:ascii="新宋体" w:hAnsi="新宋体" w:eastAsia="新宋体"/>
          <w:szCs w:val="21"/>
        </w:rPr>
        <w:t>把安全桩放置在过往车辆行驶方向前方20米以外，作为防护提示设施，随走随设。</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2、</w:t>
      </w:r>
      <w:r>
        <w:rPr>
          <w:rFonts w:ascii="新宋体" w:hAnsi="新宋体" w:eastAsia="新宋体"/>
          <w:szCs w:val="21"/>
        </w:rPr>
        <w:t>用于道路作业的工具、材料应放置在作业区内或其他不影响正常交通的场所。</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3、</w:t>
      </w:r>
      <w:r>
        <w:rPr>
          <w:rFonts w:ascii="新宋体" w:hAnsi="新宋体" w:eastAsia="新宋体"/>
          <w:szCs w:val="21"/>
        </w:rPr>
        <w:t>在道路上进行定点作业，白天应设置锥形交通路标或路栏，夜间设置锥形交通路标或路栏及道路作业警示灯。</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4、</w:t>
      </w:r>
      <w:r>
        <w:rPr>
          <w:rFonts w:ascii="新宋体" w:hAnsi="新宋体" w:eastAsia="新宋体"/>
          <w:szCs w:val="21"/>
        </w:rPr>
        <w:t>恶劣天气下作业时，应穿好带安全反光的雨衣（裤），遇雷雨不可站于树下或金属导体附近躲雨。</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5、</w:t>
      </w:r>
      <w:r>
        <w:rPr>
          <w:rFonts w:ascii="新宋体" w:hAnsi="新宋体" w:eastAsia="新宋体"/>
          <w:szCs w:val="21"/>
        </w:rPr>
        <w:t>夏季中午前后高温时段应增加道路机械清扫和冲洗频次，减少或暂时停止人员户外作业。</w:t>
      </w:r>
    </w:p>
    <w:p>
      <w:pPr>
        <w:wordWrap w:val="0"/>
        <w:overflowPunct w:val="0"/>
        <w:adjustRightInd w:val="0"/>
        <w:spacing w:line="360" w:lineRule="auto"/>
        <w:ind w:firstLine="422" w:firstLineChars="200"/>
        <w:textAlignment w:val="bottom"/>
        <w:outlineLvl w:val="2"/>
        <w:rPr>
          <w:rFonts w:ascii="新宋体" w:hAnsi="新宋体" w:eastAsia="新宋体"/>
          <w:b/>
          <w:szCs w:val="21"/>
        </w:rPr>
      </w:pPr>
      <w:bookmarkStart w:id="277" w:name="_Toc17781"/>
      <w:bookmarkStart w:id="278" w:name="_Toc64901770"/>
      <w:bookmarkStart w:id="279" w:name="_Toc64913354"/>
      <w:bookmarkStart w:id="280" w:name="_Toc13174"/>
      <w:r>
        <w:rPr>
          <w:rFonts w:hint="eastAsia" w:ascii="新宋体" w:hAnsi="新宋体" w:eastAsia="新宋体"/>
          <w:b/>
          <w:szCs w:val="21"/>
        </w:rPr>
        <w:t>（五）</w:t>
      </w:r>
      <w:r>
        <w:rPr>
          <w:rFonts w:ascii="新宋体" w:hAnsi="新宋体" w:eastAsia="新宋体"/>
          <w:b/>
          <w:szCs w:val="21"/>
        </w:rPr>
        <w:t>水域保洁安全要求</w:t>
      </w:r>
      <w:bookmarkEnd w:id="277"/>
      <w:bookmarkEnd w:id="278"/>
      <w:bookmarkEnd w:id="279"/>
      <w:bookmarkEnd w:id="280"/>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1、</w:t>
      </w:r>
      <w:r>
        <w:rPr>
          <w:rFonts w:ascii="新宋体" w:hAnsi="新宋体" w:eastAsia="新宋体"/>
          <w:szCs w:val="21"/>
        </w:rPr>
        <w:t>保洁船上应备有救生圈、救生绳、长竹竿、警示照明灯、电喇叭等应急用品。</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2、</w:t>
      </w:r>
      <w:r>
        <w:rPr>
          <w:rFonts w:ascii="新宋体" w:hAnsi="新宋体" w:eastAsia="新宋体"/>
          <w:szCs w:val="21"/>
        </w:rPr>
        <w:t>保洁船在行驶过程中，遇到有人在河埠头等设施进行亲水活动时应减速慢行。</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3、</w:t>
      </w:r>
      <w:r>
        <w:rPr>
          <w:rFonts w:ascii="新宋体" w:hAnsi="新宋体" w:eastAsia="新宋体"/>
          <w:szCs w:val="21"/>
        </w:rPr>
        <w:t>应随时注意附近的其他船舶，主动避让，防止发生意外。</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4、</w:t>
      </w:r>
      <w:r>
        <w:rPr>
          <w:rFonts w:ascii="新宋体" w:hAnsi="新宋体" w:eastAsia="新宋体"/>
          <w:szCs w:val="21"/>
        </w:rPr>
        <w:t>船舶通过桥梁、管线等跨河建（构）筑物时应观察上空情况，在流水中作业时不应熄火，定点作业时应系好缆绳。</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5、</w:t>
      </w:r>
      <w:r>
        <w:rPr>
          <w:rFonts w:ascii="新宋体" w:hAnsi="新宋体" w:eastAsia="新宋体"/>
          <w:szCs w:val="21"/>
        </w:rPr>
        <w:t>船舶装载垃圾不应超重。</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6、</w:t>
      </w:r>
      <w:r>
        <w:rPr>
          <w:rFonts w:ascii="新宋体" w:hAnsi="新宋体" w:eastAsia="新宋体"/>
          <w:szCs w:val="21"/>
        </w:rPr>
        <w:t>遇台风和雷暴雨等恶劣天气应停止水上作业及堤岸保洁作业，并将船只停靠安全地点。</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7、</w:t>
      </w:r>
      <w:r>
        <w:rPr>
          <w:rFonts w:ascii="新宋体" w:hAnsi="新宋体" w:eastAsia="新宋体"/>
          <w:szCs w:val="21"/>
        </w:rPr>
        <w:t>违章小广告清理的安全要求</w:t>
      </w:r>
    </w:p>
    <w:p>
      <w:pPr>
        <w:wordWrap w:val="0"/>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8、</w:t>
      </w:r>
      <w:r>
        <w:rPr>
          <w:rFonts w:ascii="新宋体" w:hAnsi="新宋体" w:eastAsia="新宋体"/>
          <w:szCs w:val="21"/>
        </w:rPr>
        <w:t>清理高处的小广告前，应检查所用的机械或折梯的各个部件。</w:t>
      </w:r>
    </w:p>
    <w:p>
      <w:pPr>
        <w:wordWrap w:val="0"/>
        <w:overflowPunct w:val="0"/>
        <w:adjustRightInd w:val="0"/>
        <w:spacing w:line="360" w:lineRule="auto"/>
        <w:ind w:firstLine="420" w:firstLineChars="200"/>
        <w:textAlignment w:val="bottom"/>
        <w:rPr>
          <w:rFonts w:hint="eastAsia" w:ascii="新宋体" w:hAnsi="新宋体" w:eastAsia="新宋体"/>
          <w:szCs w:val="21"/>
        </w:rPr>
      </w:pPr>
      <w:r>
        <w:rPr>
          <w:rFonts w:hint="eastAsia" w:ascii="新宋体" w:hAnsi="新宋体" w:eastAsia="新宋体"/>
          <w:szCs w:val="21"/>
        </w:rPr>
        <w:t>9、</w:t>
      </w:r>
      <w:r>
        <w:rPr>
          <w:rFonts w:ascii="新宋体" w:hAnsi="新宋体" w:eastAsia="新宋体"/>
          <w:szCs w:val="21"/>
        </w:rPr>
        <w:t>上梯操作应系好安全带、安全绳，穿胶底鞋，不穿带“钉”鞋；铲刀应栓绳套，套在手腕上，防止掉下砸伤人。</w:t>
      </w:r>
    </w:p>
    <w:p>
      <w:pPr>
        <w:wordWrap w:val="0"/>
        <w:overflowPunct w:val="0"/>
        <w:adjustRightInd w:val="0"/>
        <w:spacing w:line="360" w:lineRule="auto"/>
        <w:ind w:firstLine="422" w:firstLineChars="200"/>
        <w:textAlignment w:val="bottom"/>
        <w:outlineLvl w:val="2"/>
        <w:rPr>
          <w:rFonts w:ascii="新宋体" w:hAnsi="新宋体" w:eastAsia="新宋体"/>
          <w:b/>
          <w:szCs w:val="21"/>
        </w:rPr>
      </w:pPr>
      <w:bookmarkStart w:id="281" w:name="_Toc64901771"/>
      <w:bookmarkStart w:id="282" w:name="_Toc20335"/>
      <w:bookmarkStart w:id="283" w:name="_Toc64913355"/>
      <w:bookmarkStart w:id="284" w:name="_Toc13480"/>
      <w:r>
        <w:rPr>
          <w:rFonts w:hint="eastAsia" w:ascii="新宋体" w:hAnsi="新宋体" w:eastAsia="新宋体"/>
          <w:b/>
          <w:szCs w:val="21"/>
        </w:rPr>
        <w:t>（六）突发公共卫生事件安全防治</w:t>
      </w:r>
      <w:r>
        <w:rPr>
          <w:rFonts w:ascii="新宋体" w:hAnsi="新宋体" w:eastAsia="新宋体"/>
          <w:b/>
          <w:szCs w:val="21"/>
        </w:rPr>
        <w:t>要求</w:t>
      </w:r>
      <w:bookmarkEnd w:id="281"/>
      <w:bookmarkEnd w:id="282"/>
      <w:bookmarkEnd w:id="283"/>
      <w:bookmarkEnd w:id="284"/>
    </w:p>
    <w:p>
      <w:pPr>
        <w:wordWrap w:val="0"/>
        <w:overflowPunct w:val="0"/>
        <w:adjustRightInd w:val="0"/>
        <w:spacing w:line="360" w:lineRule="auto"/>
        <w:ind w:firstLine="420" w:firstLineChars="200"/>
        <w:textAlignment w:val="bottom"/>
        <w:rPr>
          <w:rFonts w:hint="eastAsia" w:ascii="新宋体" w:hAnsi="新宋体" w:eastAsia="新宋体"/>
          <w:szCs w:val="21"/>
        </w:rPr>
      </w:pPr>
      <w:r>
        <w:rPr>
          <w:rFonts w:hint="eastAsia" w:ascii="新宋体" w:hAnsi="新宋体" w:eastAsia="新宋体"/>
          <w:szCs w:val="21"/>
        </w:rPr>
        <w:t>1、发生突发公共卫生事件期间，市容环境卫生行政主管部门应当组织环境卫生专业服务单位，按照应急预案的要求做好垃圾、粪便的清运、处置</w:t>
      </w:r>
    </w:p>
    <w:p>
      <w:pPr>
        <w:wordWrap w:val="0"/>
        <w:overflowPunct w:val="0"/>
        <w:adjustRightInd w:val="0"/>
        <w:spacing w:line="360" w:lineRule="auto"/>
        <w:ind w:firstLine="420" w:firstLineChars="200"/>
        <w:textAlignment w:val="bottom"/>
        <w:rPr>
          <w:rFonts w:hint="eastAsia" w:ascii="新宋体" w:hAnsi="新宋体" w:eastAsia="新宋体"/>
          <w:szCs w:val="21"/>
        </w:rPr>
      </w:pPr>
      <w:r>
        <w:rPr>
          <w:rFonts w:hint="eastAsia" w:ascii="新宋体" w:hAnsi="新宋体" w:eastAsia="新宋体"/>
          <w:szCs w:val="21"/>
        </w:rPr>
        <w:t>2、中标供应商准备足量的</w:t>
      </w:r>
      <w:r>
        <w:rPr>
          <w:rFonts w:hint="eastAsia" w:ascii="新宋体" w:hAnsi="新宋体" w:eastAsia="新宋体"/>
          <w:b/>
          <w:szCs w:val="21"/>
        </w:rPr>
        <w:t>突发公共卫生事件</w:t>
      </w:r>
      <w:r>
        <w:rPr>
          <w:rFonts w:hint="eastAsia" w:ascii="新宋体" w:hAnsi="新宋体" w:eastAsia="新宋体"/>
          <w:szCs w:val="21"/>
        </w:rPr>
        <w:t>防护物品，向一线环卫工人提供口罩、手套、防护服等防护用品，监督每位工人穿戴好防护装备方可上岗。</w:t>
      </w:r>
    </w:p>
    <w:p>
      <w:pPr>
        <w:overflowPunct w:val="0"/>
        <w:adjustRightInd w:val="0"/>
        <w:spacing w:line="360" w:lineRule="auto"/>
        <w:ind w:firstLine="420" w:firstLineChars="200"/>
        <w:textAlignment w:val="bottom"/>
        <w:rPr>
          <w:rFonts w:hint="eastAsia" w:ascii="新宋体" w:hAnsi="新宋体" w:eastAsia="新宋体"/>
          <w:szCs w:val="21"/>
        </w:rPr>
      </w:pPr>
      <w:r>
        <w:rPr>
          <w:rFonts w:hint="eastAsia" w:ascii="新宋体" w:hAnsi="新宋体" w:eastAsia="新宋体"/>
          <w:szCs w:val="21"/>
        </w:rPr>
        <w:t>3、购买检测设备，如电子体温计、检测试纸等，每日分时段监测一线环卫工人的健康状况，在中转站或环卫宿舍设置检测点，并记录每位工人的健康状况，如发现工人身体不适应马上就近就医治疗。</w:t>
      </w:r>
    </w:p>
    <w:p>
      <w:pPr>
        <w:overflowPunct w:val="0"/>
        <w:adjustRightInd w:val="0"/>
        <w:spacing w:line="360" w:lineRule="auto"/>
        <w:ind w:firstLine="420" w:firstLineChars="200"/>
        <w:textAlignment w:val="bottom"/>
        <w:rPr>
          <w:rFonts w:ascii="新宋体" w:hAnsi="新宋体" w:eastAsia="新宋体"/>
          <w:szCs w:val="21"/>
        </w:rPr>
      </w:pPr>
      <w:r>
        <w:rPr>
          <w:rFonts w:hint="eastAsia" w:ascii="新宋体" w:hAnsi="新宋体" w:eastAsia="新宋体"/>
          <w:szCs w:val="21"/>
        </w:rPr>
        <w:t>4、每日安排对保洁车辆、清运车辆、垃圾收集容器进行冲洗和消毒。对环卫工人宿舍、公厕、中转站等场所进行消毒。</w:t>
      </w:r>
    </w:p>
    <w:p>
      <w:pPr>
        <w:overflowPunct w:val="0"/>
        <w:spacing w:line="360" w:lineRule="auto"/>
        <w:ind w:firstLine="517" w:firstLineChars="245"/>
        <w:outlineLvl w:val="1"/>
        <w:rPr>
          <w:rFonts w:ascii="宋体"/>
          <w:b/>
          <w:szCs w:val="21"/>
        </w:rPr>
      </w:pPr>
      <w:bookmarkStart w:id="285" w:name="_Toc558"/>
      <w:bookmarkStart w:id="286" w:name="_Toc64901772"/>
      <w:bookmarkStart w:id="287" w:name="_Toc64913356"/>
      <w:r>
        <w:rPr>
          <w:rFonts w:hint="eastAsia" w:ascii="宋体" w:hAnsi="宋体"/>
          <w:b/>
          <w:szCs w:val="21"/>
        </w:rPr>
        <w:t>八、▲</w:t>
      </w:r>
      <w:r>
        <w:rPr>
          <w:rFonts w:hint="eastAsia" w:ascii="宋体"/>
          <w:b/>
          <w:szCs w:val="21"/>
        </w:rPr>
        <w:t>服务期限</w:t>
      </w:r>
      <w:bookmarkEnd w:id="285"/>
      <w:bookmarkEnd w:id="286"/>
      <w:bookmarkEnd w:id="287"/>
    </w:p>
    <w:p>
      <w:pPr>
        <w:overflowPunct w:val="0"/>
        <w:snapToGrid w:val="0"/>
        <w:spacing w:line="360" w:lineRule="auto"/>
        <w:ind w:firstLine="422" w:firstLineChars="200"/>
        <w:rPr>
          <w:rFonts w:ascii="宋体"/>
          <w:b/>
          <w:szCs w:val="21"/>
        </w:rPr>
      </w:pPr>
      <w:r>
        <w:rPr>
          <w:rFonts w:hint="eastAsia" w:ascii="宋体"/>
          <w:b/>
          <w:szCs w:val="21"/>
        </w:rPr>
        <w:t>（一）</w:t>
      </w:r>
      <w:r>
        <w:rPr>
          <w:rFonts w:hint="eastAsia" w:ascii="宋体" w:hAnsi="宋体" w:cs="宋体"/>
          <w:b/>
          <w:szCs w:val="21"/>
        </w:rPr>
        <w:t>本项目服务期限预计为合同签订后三年。本次招标合同期按1+1+1模式进行。1年合同期满后，若采购人对中标供应商的考核结果为合格及以上的，可以续签下年合同；若中标方有违约行为或经考核不合格，采购人有权按招标文件、合同约定，或按考核办法单方面解除合同或不续签下一年合同</w:t>
      </w:r>
      <w:r>
        <w:rPr>
          <w:rFonts w:hint="eastAsia" w:ascii="宋体"/>
          <w:b/>
          <w:szCs w:val="21"/>
        </w:rPr>
        <w:t>。</w:t>
      </w:r>
    </w:p>
    <w:p>
      <w:pPr>
        <w:overflowPunct w:val="0"/>
        <w:snapToGrid w:val="0"/>
        <w:spacing w:line="360" w:lineRule="auto"/>
        <w:ind w:firstLine="422" w:firstLineChars="200"/>
        <w:rPr>
          <w:rFonts w:ascii="宋体"/>
          <w:b/>
          <w:szCs w:val="21"/>
        </w:rPr>
      </w:pPr>
      <w:bookmarkStart w:id="288" w:name="_Hlk498084903"/>
      <w:r>
        <w:rPr>
          <w:rFonts w:hint="eastAsia" w:ascii="宋体"/>
          <w:b/>
          <w:szCs w:val="21"/>
        </w:rPr>
        <w:t>（二）本项目有下列情形的，采购人有权对供应商做警告（或严重警告）处罚：</w:t>
      </w:r>
    </w:p>
    <w:p>
      <w:pPr>
        <w:overflowPunct w:val="0"/>
        <w:snapToGrid w:val="0"/>
        <w:spacing w:line="360" w:lineRule="auto"/>
        <w:ind w:firstLine="420" w:firstLineChars="200"/>
        <w:rPr>
          <w:rFonts w:ascii="宋体" w:hAnsi="宋体"/>
          <w:kern w:val="2"/>
          <w:szCs w:val="21"/>
        </w:rPr>
      </w:pPr>
      <w:r>
        <w:rPr>
          <w:rFonts w:hint="eastAsia" w:ascii="宋体" w:hAnsi="宋体"/>
          <w:kern w:val="2"/>
          <w:szCs w:val="21"/>
        </w:rPr>
        <w:t>1、车辆或船只或人员逾期15天及以上未接入市综合行政执法局智慧环卫监管平台的，记1次书面警告，情节严重的可按严重警告计。</w:t>
      </w:r>
    </w:p>
    <w:p>
      <w:pPr>
        <w:overflowPunct w:val="0"/>
        <w:snapToGrid w:val="0"/>
        <w:spacing w:line="360" w:lineRule="auto"/>
        <w:ind w:firstLine="420" w:firstLineChars="200"/>
        <w:rPr>
          <w:rFonts w:ascii="宋体" w:hAnsi="宋体"/>
          <w:kern w:val="2"/>
          <w:szCs w:val="21"/>
        </w:rPr>
      </w:pPr>
      <w:r>
        <w:rPr>
          <w:rFonts w:hint="eastAsia" w:ascii="宋体" w:hAnsi="宋体"/>
          <w:kern w:val="2"/>
          <w:szCs w:val="21"/>
        </w:rPr>
        <w:t>2、未按照</w:t>
      </w:r>
      <w:r>
        <w:rPr>
          <w:rFonts w:ascii="宋体"/>
          <w:szCs w:val="21"/>
        </w:rPr>
        <w:t>国家劳动法律法规相关规定</w:t>
      </w:r>
      <w:r>
        <w:rPr>
          <w:rFonts w:hint="eastAsia" w:ascii="宋体"/>
          <w:szCs w:val="21"/>
        </w:rPr>
        <w:t>和</w:t>
      </w:r>
      <w:r>
        <w:rPr>
          <w:rFonts w:hint="eastAsia" w:ascii="宋体" w:hAnsi="宋体"/>
          <w:kern w:val="2"/>
          <w:szCs w:val="21"/>
        </w:rPr>
        <w:t>招标文件</w:t>
      </w:r>
      <w:r>
        <w:rPr>
          <w:rFonts w:ascii="宋体"/>
          <w:szCs w:val="21"/>
        </w:rPr>
        <w:t>相关规定</w:t>
      </w:r>
      <w:r>
        <w:rPr>
          <w:rFonts w:hint="eastAsia" w:ascii="宋体" w:hAnsi="宋体"/>
          <w:kern w:val="2"/>
          <w:szCs w:val="21"/>
        </w:rPr>
        <w:t>的</w:t>
      </w:r>
      <w:r>
        <w:rPr>
          <w:rFonts w:ascii="宋体"/>
          <w:szCs w:val="21"/>
        </w:rPr>
        <w:t>用工年龄执行</w:t>
      </w:r>
      <w:r>
        <w:rPr>
          <w:rFonts w:hint="eastAsia" w:ascii="宋体" w:hAnsi="宋体"/>
          <w:kern w:val="2"/>
          <w:szCs w:val="21"/>
        </w:rPr>
        <w:t>记1次书面警告，情节严重的可按严重警告计。</w:t>
      </w:r>
    </w:p>
    <w:p>
      <w:pPr>
        <w:overflowPunct w:val="0"/>
        <w:snapToGrid w:val="0"/>
        <w:spacing w:line="360" w:lineRule="auto"/>
        <w:ind w:firstLine="420" w:firstLineChars="200"/>
        <w:rPr>
          <w:rFonts w:hint="eastAsia" w:ascii="宋体" w:hAnsi="宋体"/>
          <w:kern w:val="2"/>
          <w:szCs w:val="21"/>
        </w:rPr>
      </w:pPr>
      <w:r>
        <w:rPr>
          <w:rFonts w:hint="eastAsia" w:ascii="宋体" w:hAnsi="宋体"/>
          <w:kern w:val="2"/>
          <w:szCs w:val="21"/>
        </w:rPr>
        <w:t>3、供应商因机械、工具或技术、劳动等跟不上管理需要影响工作，未达到质量标准，记1次书面警告。</w:t>
      </w:r>
    </w:p>
    <w:p>
      <w:pPr>
        <w:overflowPunct w:val="0"/>
        <w:snapToGrid w:val="0"/>
        <w:spacing w:line="360" w:lineRule="auto"/>
        <w:ind w:firstLine="420" w:firstLineChars="200"/>
        <w:rPr>
          <w:rFonts w:ascii="宋体" w:hAnsi="宋体"/>
          <w:kern w:val="2"/>
          <w:szCs w:val="21"/>
        </w:rPr>
      </w:pPr>
      <w:r>
        <w:rPr>
          <w:rFonts w:hint="eastAsia" w:ascii="宋体" w:hAnsi="宋体"/>
          <w:kern w:val="2"/>
          <w:szCs w:val="21"/>
        </w:rPr>
        <w:t>4、供应商道路清扫车、洒水车、洗路车、垃圾运输车等相应的清扫保洁设备，在清扫保洁作业中，存在弄虚作假、更换gps设备、数据等情况的，一经发现，记1次严重警告。</w:t>
      </w:r>
    </w:p>
    <w:p>
      <w:pPr>
        <w:overflowPunct w:val="0"/>
        <w:snapToGrid w:val="0"/>
        <w:spacing w:line="360" w:lineRule="auto"/>
        <w:ind w:firstLine="420" w:firstLineChars="200"/>
        <w:rPr>
          <w:rFonts w:ascii="宋体" w:hAnsi="宋体"/>
          <w:kern w:val="2"/>
          <w:szCs w:val="21"/>
        </w:rPr>
      </w:pPr>
      <w:r>
        <w:rPr>
          <w:rFonts w:hint="eastAsia" w:ascii="宋体" w:hAnsi="宋体"/>
          <w:kern w:val="2"/>
          <w:szCs w:val="21"/>
        </w:rPr>
        <w:t>5、供应商承诺投入人员存在弄虚作假、更换gps设备、数据等情况的，一经发现，记1次警告，情节十分恶劣的，记1次严重警告。</w:t>
      </w:r>
    </w:p>
    <w:p>
      <w:pPr>
        <w:overflowPunct w:val="0"/>
        <w:snapToGrid w:val="0"/>
        <w:spacing w:line="360" w:lineRule="auto"/>
        <w:ind w:firstLine="420" w:firstLineChars="200"/>
        <w:rPr>
          <w:rFonts w:ascii="宋体" w:hAnsi="宋体"/>
          <w:kern w:val="2"/>
          <w:szCs w:val="21"/>
        </w:rPr>
      </w:pPr>
      <w:r>
        <w:rPr>
          <w:rFonts w:hint="eastAsia" w:ascii="宋体" w:hAnsi="宋体"/>
          <w:kern w:val="2"/>
          <w:szCs w:val="21"/>
        </w:rPr>
        <w:t>6、经采购人下发整改通知，且拒不整改或整改</w:t>
      </w:r>
      <w:r>
        <w:rPr>
          <w:rFonts w:ascii="宋体" w:hAnsi="宋体"/>
          <w:kern w:val="2"/>
          <w:szCs w:val="21"/>
        </w:rPr>
        <w:t>2</w:t>
      </w:r>
      <w:r>
        <w:rPr>
          <w:rFonts w:hint="eastAsia" w:ascii="宋体" w:hAnsi="宋体"/>
          <w:kern w:val="2"/>
          <w:szCs w:val="21"/>
        </w:rPr>
        <w:t>次不到位的，记1次警告，情节十分恶劣的，记1次严重警告。</w:t>
      </w:r>
    </w:p>
    <w:p>
      <w:pPr>
        <w:overflowPunct w:val="0"/>
        <w:snapToGrid w:val="0"/>
        <w:spacing w:line="360" w:lineRule="auto"/>
        <w:ind w:firstLine="420" w:firstLineChars="200"/>
        <w:rPr>
          <w:rFonts w:hint="eastAsia" w:ascii="宋体" w:hAnsi="宋体"/>
          <w:kern w:val="2"/>
          <w:szCs w:val="21"/>
        </w:rPr>
      </w:pPr>
      <w:r>
        <w:rPr>
          <w:rFonts w:hint="eastAsia" w:ascii="宋体" w:hAnsi="宋体"/>
          <w:kern w:val="2"/>
          <w:szCs w:val="21"/>
        </w:rPr>
        <w:t>7、根据招标文件、合同约定及考核办法，其它警告的规定。</w:t>
      </w:r>
    </w:p>
    <w:p>
      <w:pPr>
        <w:overflowPunct w:val="0"/>
        <w:snapToGrid w:val="0"/>
        <w:spacing w:line="360" w:lineRule="auto"/>
        <w:ind w:firstLine="422" w:firstLineChars="200"/>
        <w:rPr>
          <w:rFonts w:ascii="宋体"/>
          <w:b/>
          <w:szCs w:val="21"/>
        </w:rPr>
      </w:pPr>
      <w:r>
        <w:rPr>
          <w:rFonts w:hint="eastAsia" w:ascii="宋体"/>
          <w:b/>
          <w:szCs w:val="21"/>
        </w:rPr>
        <w:t>（三）本项目有下列情形的，采购人有权不续签或终止合同：</w:t>
      </w:r>
    </w:p>
    <w:p>
      <w:pPr>
        <w:overflowPunct w:val="0"/>
        <w:snapToGrid w:val="0"/>
        <w:spacing w:line="360" w:lineRule="auto"/>
        <w:ind w:firstLine="420" w:firstLineChars="200"/>
        <w:rPr>
          <w:rFonts w:ascii="宋体"/>
          <w:bCs/>
          <w:szCs w:val="21"/>
        </w:rPr>
      </w:pPr>
      <w:r>
        <w:rPr>
          <w:rFonts w:hint="eastAsia" w:ascii="宋体"/>
          <w:bCs/>
          <w:szCs w:val="21"/>
        </w:rPr>
        <w:t>1、本项目遇不可抗力影响或法律、法规、国家政策重大调整影响合同无法执行的；</w:t>
      </w:r>
      <w:r>
        <w:rPr>
          <w:rFonts w:ascii="宋体"/>
          <w:bCs/>
          <w:szCs w:val="21"/>
        </w:rPr>
        <w:t xml:space="preserve"> </w:t>
      </w:r>
    </w:p>
    <w:p>
      <w:pPr>
        <w:overflowPunct w:val="0"/>
        <w:snapToGrid w:val="0"/>
        <w:spacing w:line="360" w:lineRule="auto"/>
        <w:ind w:firstLine="420" w:firstLineChars="200"/>
        <w:rPr>
          <w:rFonts w:ascii="宋体"/>
          <w:bCs/>
          <w:szCs w:val="21"/>
        </w:rPr>
      </w:pPr>
      <w:r>
        <w:rPr>
          <w:rFonts w:hint="eastAsia" w:ascii="宋体"/>
          <w:bCs/>
          <w:szCs w:val="21"/>
        </w:rPr>
        <w:t>2、</w:t>
      </w:r>
      <w:r>
        <w:rPr>
          <w:rFonts w:hint="eastAsia" w:ascii="宋体" w:hAnsi="宋体"/>
          <w:bCs/>
          <w:szCs w:val="21"/>
        </w:rPr>
        <w:t>实际投入人员、机械车辆、船只与投标文件承诺不符合，拒不履行投标承诺的中标供应商（未按招标文件规定时间人员、机械车辆、船只到位，达到解除合同条件的），采购人有权无责任终止采购合同，并没收其全部履约保证金。</w:t>
      </w:r>
    </w:p>
    <w:p>
      <w:pPr>
        <w:overflowPunct w:val="0"/>
        <w:snapToGrid w:val="0"/>
        <w:spacing w:line="360" w:lineRule="auto"/>
        <w:ind w:firstLine="420" w:firstLineChars="200"/>
        <w:rPr>
          <w:rFonts w:ascii="宋体" w:hAnsi="宋体"/>
          <w:bCs/>
          <w:szCs w:val="21"/>
        </w:rPr>
      </w:pPr>
      <w:r>
        <w:rPr>
          <w:rFonts w:ascii="宋体" w:hAnsi="宋体"/>
          <w:bCs/>
          <w:szCs w:val="21"/>
        </w:rPr>
        <w:t>3</w:t>
      </w:r>
      <w:r>
        <w:rPr>
          <w:rFonts w:hint="eastAsia" w:ascii="宋体" w:hAnsi="宋体"/>
          <w:bCs/>
          <w:szCs w:val="21"/>
        </w:rPr>
        <w:t>、按相关法律、法规、招标文件规定及考核办法，有下列情形之一的，采购人有权不续签或终止合同：</w:t>
      </w:r>
    </w:p>
    <w:p>
      <w:pPr>
        <w:overflowPunct w:val="0"/>
        <w:snapToGrid w:val="0"/>
        <w:spacing w:line="360" w:lineRule="auto"/>
        <w:ind w:firstLine="420" w:firstLineChars="200"/>
        <w:rPr>
          <w:rFonts w:ascii="宋体" w:hAnsi="宋体"/>
          <w:bCs/>
          <w:szCs w:val="21"/>
        </w:rPr>
      </w:pPr>
      <w:r>
        <w:rPr>
          <w:rFonts w:hint="eastAsia" w:ascii="宋体" w:hAnsi="宋体"/>
          <w:bCs/>
          <w:szCs w:val="21"/>
        </w:rPr>
        <w:t>（1）全年有两次被严重警告或三次被警告（含一次严重警告，两次警告）的承包单位，采购人有权无责任终止采购合同，并没收其全部履约保证金。警告及严重警告情形具体见考核办法。</w:t>
      </w:r>
    </w:p>
    <w:p>
      <w:pPr>
        <w:overflowPunct w:val="0"/>
        <w:snapToGrid w:val="0"/>
        <w:spacing w:line="360" w:lineRule="auto"/>
        <w:ind w:firstLine="420" w:firstLineChars="200"/>
        <w:rPr>
          <w:rFonts w:ascii="宋体" w:hAnsi="宋体"/>
          <w:bCs/>
          <w:szCs w:val="21"/>
        </w:rPr>
      </w:pPr>
      <w:r>
        <w:rPr>
          <w:rFonts w:hint="eastAsia" w:ascii="宋体" w:hAnsi="宋体"/>
          <w:bCs/>
          <w:szCs w:val="21"/>
        </w:rPr>
        <w:t>（</w:t>
      </w:r>
      <w:r>
        <w:rPr>
          <w:rFonts w:ascii="宋体" w:hAnsi="宋体"/>
          <w:bCs/>
          <w:szCs w:val="21"/>
        </w:rPr>
        <w:t>2</w:t>
      </w:r>
      <w:r>
        <w:rPr>
          <w:rFonts w:hint="eastAsia" w:ascii="宋体" w:hAnsi="宋体"/>
          <w:bCs/>
          <w:szCs w:val="21"/>
        </w:rPr>
        <w:t>）连续2个月违约金总额（或全年累计3个月）为月保洁金额的10%（含）以上的，采购人有权无责任终止采购合同，并没收其全部履约保证金。</w:t>
      </w:r>
    </w:p>
    <w:p>
      <w:pPr>
        <w:overflowPunct w:val="0"/>
        <w:snapToGrid w:val="0"/>
        <w:spacing w:line="360" w:lineRule="auto"/>
        <w:ind w:firstLine="420" w:firstLineChars="200"/>
        <w:rPr>
          <w:rFonts w:ascii="宋体" w:hAnsi="宋体"/>
          <w:bCs/>
          <w:szCs w:val="21"/>
        </w:rPr>
      </w:pPr>
      <w:r>
        <w:rPr>
          <w:rFonts w:hint="eastAsia" w:ascii="宋体" w:hAnsi="宋体"/>
          <w:bCs/>
          <w:szCs w:val="21"/>
        </w:rPr>
        <w:t>（</w:t>
      </w:r>
      <w:r>
        <w:rPr>
          <w:rFonts w:ascii="宋体" w:hAnsi="宋体"/>
          <w:bCs/>
          <w:szCs w:val="21"/>
        </w:rPr>
        <w:t>3</w:t>
      </w:r>
      <w:r>
        <w:rPr>
          <w:rFonts w:hint="eastAsia" w:ascii="宋体" w:hAnsi="宋体"/>
          <w:bCs/>
          <w:szCs w:val="21"/>
        </w:rPr>
        <w:t>）违反安全管理、规范作业规定，造成重大伤亡或重大损失。</w:t>
      </w:r>
    </w:p>
    <w:p>
      <w:pPr>
        <w:overflowPunct w:val="0"/>
        <w:snapToGrid w:val="0"/>
        <w:spacing w:line="360" w:lineRule="auto"/>
        <w:ind w:firstLine="420" w:firstLineChars="200"/>
        <w:rPr>
          <w:rFonts w:ascii="宋体" w:hAnsi="宋体"/>
          <w:bCs/>
          <w:szCs w:val="21"/>
        </w:rPr>
      </w:pPr>
      <w:r>
        <w:rPr>
          <w:rFonts w:hint="eastAsia" w:ascii="宋体" w:hAnsi="宋体"/>
          <w:bCs/>
          <w:szCs w:val="21"/>
        </w:rPr>
        <w:t>（</w:t>
      </w:r>
      <w:r>
        <w:rPr>
          <w:rFonts w:ascii="宋体" w:hAnsi="宋体"/>
          <w:bCs/>
          <w:szCs w:val="21"/>
        </w:rPr>
        <w:t>4</w:t>
      </w:r>
      <w:r>
        <w:rPr>
          <w:rFonts w:hint="eastAsia" w:ascii="宋体" w:hAnsi="宋体"/>
          <w:bCs/>
          <w:szCs w:val="21"/>
        </w:rPr>
        <w:t>）经省、市级新闻媒体曝光，中标供应商为责任方，造成恶劣影响的。</w:t>
      </w:r>
    </w:p>
    <w:p>
      <w:pPr>
        <w:overflowPunct w:val="0"/>
        <w:snapToGrid w:val="0"/>
        <w:spacing w:line="360" w:lineRule="auto"/>
        <w:ind w:firstLine="420" w:firstLineChars="200"/>
        <w:rPr>
          <w:rFonts w:ascii="宋体" w:hAnsi="宋体"/>
          <w:bCs/>
          <w:szCs w:val="21"/>
        </w:rPr>
      </w:pPr>
      <w:r>
        <w:rPr>
          <w:rFonts w:hint="eastAsia" w:ascii="宋体" w:hAnsi="宋体"/>
          <w:bCs/>
          <w:szCs w:val="21"/>
        </w:rPr>
        <w:t>（</w:t>
      </w:r>
      <w:r>
        <w:rPr>
          <w:rFonts w:ascii="宋体" w:hAnsi="宋体"/>
          <w:bCs/>
          <w:szCs w:val="21"/>
        </w:rPr>
        <w:t>5</w:t>
      </w:r>
      <w:r>
        <w:rPr>
          <w:rFonts w:hint="eastAsia" w:ascii="宋体" w:hAnsi="宋体"/>
          <w:bCs/>
          <w:szCs w:val="21"/>
        </w:rPr>
        <w:t>）经有关部门认定严重违反劳动法，造成恶劣影响的；或其它</w:t>
      </w:r>
      <w:r>
        <w:rPr>
          <w:rFonts w:ascii="宋体" w:hAnsi="宋体"/>
          <w:bCs/>
          <w:szCs w:val="21"/>
        </w:rPr>
        <w:t>因违法经营受到刑事处罚或者责令停产停业、吊销许可证或者执照、较大数额罚款等行政处罚</w:t>
      </w:r>
      <w:r>
        <w:rPr>
          <w:rFonts w:hint="eastAsia" w:ascii="宋体" w:hAnsi="宋体"/>
          <w:bCs/>
          <w:szCs w:val="21"/>
        </w:rPr>
        <w:t>的。</w:t>
      </w:r>
    </w:p>
    <w:p>
      <w:pPr>
        <w:overflowPunct w:val="0"/>
        <w:snapToGrid w:val="0"/>
        <w:spacing w:line="360" w:lineRule="auto"/>
        <w:ind w:firstLine="420" w:firstLineChars="200"/>
        <w:rPr>
          <w:rFonts w:ascii="宋体" w:hAnsi="宋体" w:cs="宋体"/>
          <w:szCs w:val="21"/>
        </w:rPr>
      </w:pPr>
      <w:bookmarkStart w:id="289" w:name="_Hlk69252988"/>
      <w:r>
        <w:rPr>
          <w:rFonts w:hint="eastAsia" w:ascii="宋体" w:hAnsi="宋体"/>
          <w:bCs/>
          <w:szCs w:val="21"/>
        </w:rPr>
        <w:t>（</w:t>
      </w:r>
      <w:r>
        <w:rPr>
          <w:rFonts w:ascii="宋体" w:hAnsi="宋体"/>
          <w:bCs/>
          <w:szCs w:val="21"/>
        </w:rPr>
        <w:t>6</w:t>
      </w:r>
      <w:r>
        <w:rPr>
          <w:rFonts w:hint="eastAsia" w:ascii="宋体" w:hAnsi="宋体"/>
          <w:bCs/>
          <w:szCs w:val="21"/>
        </w:rPr>
        <w:t>）</w:t>
      </w:r>
      <w:r>
        <w:rPr>
          <w:rFonts w:hint="eastAsia" w:ascii="宋体" w:hAnsi="宋体" w:cs="宋体"/>
          <w:szCs w:val="21"/>
        </w:rPr>
        <w:t>将本项目分包与转包，有以下情形的，将认定为分包或转包：</w:t>
      </w:r>
    </w:p>
    <w:p>
      <w:pPr>
        <w:numPr>
          <w:ilvl w:val="0"/>
          <w:numId w:val="25"/>
        </w:numPr>
        <w:overflowPunct w:val="0"/>
        <w:snapToGrid w:val="0"/>
        <w:spacing w:line="360" w:lineRule="auto"/>
        <w:rPr>
          <w:rFonts w:ascii="宋体" w:hAnsi="宋体"/>
          <w:bCs/>
          <w:szCs w:val="21"/>
        </w:rPr>
      </w:pPr>
      <w:r>
        <w:rPr>
          <w:rFonts w:hint="eastAsia" w:ascii="宋体" w:hAnsi="宋体"/>
          <w:bCs/>
          <w:szCs w:val="21"/>
        </w:rPr>
        <w:t>中标供应商未按要求直接与员工签订劳动或劳务合同人数≥5</w:t>
      </w:r>
      <w:r>
        <w:rPr>
          <w:rFonts w:ascii="宋体" w:hAnsi="宋体"/>
          <w:bCs/>
          <w:szCs w:val="21"/>
        </w:rPr>
        <w:t>0</w:t>
      </w:r>
      <w:r>
        <w:rPr>
          <w:rFonts w:hint="eastAsia" w:ascii="宋体" w:hAnsi="宋体"/>
          <w:bCs/>
          <w:szCs w:val="21"/>
        </w:rPr>
        <w:t>%的；</w:t>
      </w:r>
    </w:p>
    <w:p>
      <w:pPr>
        <w:numPr>
          <w:ilvl w:val="0"/>
          <w:numId w:val="25"/>
        </w:numPr>
        <w:overflowPunct w:val="0"/>
        <w:snapToGrid w:val="0"/>
        <w:spacing w:line="360" w:lineRule="auto"/>
        <w:rPr>
          <w:rFonts w:hint="eastAsia" w:ascii="宋体" w:hAnsi="宋体"/>
          <w:kern w:val="2"/>
          <w:sz w:val="22"/>
          <w:szCs w:val="22"/>
        </w:rPr>
      </w:pPr>
      <w:r>
        <w:rPr>
          <w:rFonts w:hint="eastAsia" w:ascii="宋体" w:hAnsi="宋体"/>
          <w:kern w:val="2"/>
          <w:sz w:val="22"/>
          <w:szCs w:val="22"/>
        </w:rPr>
        <w:t>故意阻止采购人调阅和查询与本项有关的财务情形，且拒不整改的；</w:t>
      </w:r>
    </w:p>
    <w:bookmarkEnd w:id="289"/>
    <w:p>
      <w:pPr>
        <w:overflowPunct w:val="0"/>
        <w:snapToGrid w:val="0"/>
        <w:spacing w:line="360" w:lineRule="auto"/>
        <w:ind w:firstLine="420" w:firstLineChars="200"/>
        <w:rPr>
          <w:rFonts w:ascii="宋体" w:hAnsi="宋体"/>
          <w:bCs/>
          <w:szCs w:val="21"/>
        </w:rPr>
      </w:pPr>
      <w:r>
        <w:rPr>
          <w:rFonts w:hint="eastAsia" w:ascii="宋体" w:hAnsi="宋体"/>
          <w:bCs/>
          <w:szCs w:val="21"/>
        </w:rPr>
        <w:t>（</w:t>
      </w:r>
      <w:r>
        <w:rPr>
          <w:rFonts w:ascii="宋体" w:hAnsi="宋体"/>
          <w:bCs/>
          <w:szCs w:val="21"/>
        </w:rPr>
        <w:t>7</w:t>
      </w:r>
      <w:r>
        <w:rPr>
          <w:rFonts w:hint="eastAsia" w:ascii="宋体" w:hAnsi="宋体"/>
          <w:bCs/>
          <w:szCs w:val="21"/>
        </w:rPr>
        <w:t>）其它弄虚作假及其他不正当行为。</w:t>
      </w:r>
    </w:p>
    <w:p>
      <w:pPr>
        <w:overflowPunct w:val="0"/>
        <w:snapToGrid w:val="0"/>
        <w:spacing w:line="360" w:lineRule="auto"/>
        <w:ind w:firstLine="420" w:firstLineChars="200"/>
        <w:rPr>
          <w:rFonts w:ascii="宋体" w:hAnsi="宋体"/>
          <w:bCs/>
          <w:szCs w:val="21"/>
        </w:rPr>
      </w:pPr>
      <w:r>
        <w:rPr>
          <w:rFonts w:hint="eastAsia" w:ascii="宋体" w:hAnsi="宋体"/>
          <w:bCs/>
          <w:szCs w:val="21"/>
        </w:rPr>
        <w:t>（</w:t>
      </w:r>
      <w:r>
        <w:rPr>
          <w:rFonts w:ascii="宋体" w:hAnsi="宋体"/>
          <w:bCs/>
          <w:szCs w:val="21"/>
        </w:rPr>
        <w:t>8</w:t>
      </w:r>
      <w:r>
        <w:rPr>
          <w:rFonts w:hint="eastAsia" w:ascii="宋体" w:hAnsi="宋体"/>
          <w:bCs/>
          <w:szCs w:val="21"/>
        </w:rPr>
        <w:t>）合同履约期间，中标供应商法人组织破产，或重组变更法人主体的；</w:t>
      </w:r>
    </w:p>
    <w:p>
      <w:pPr>
        <w:overflowPunct w:val="0"/>
        <w:snapToGrid w:val="0"/>
        <w:spacing w:line="360" w:lineRule="auto"/>
        <w:ind w:left="422"/>
        <w:rPr>
          <w:rFonts w:hint="eastAsia" w:ascii="宋体" w:hAnsi="宋体"/>
          <w:bCs/>
          <w:szCs w:val="21"/>
        </w:rPr>
      </w:pPr>
      <w:r>
        <w:rPr>
          <w:rFonts w:hint="eastAsia" w:ascii="宋体" w:hAnsi="宋体"/>
          <w:bCs/>
          <w:szCs w:val="21"/>
        </w:rPr>
        <w:t>（</w:t>
      </w:r>
      <w:r>
        <w:rPr>
          <w:rFonts w:ascii="宋体" w:hAnsi="宋体"/>
          <w:bCs/>
          <w:szCs w:val="21"/>
        </w:rPr>
        <w:t>9</w:t>
      </w:r>
      <w:r>
        <w:rPr>
          <w:rFonts w:hint="eastAsia" w:ascii="宋体" w:hAnsi="宋体"/>
          <w:bCs/>
          <w:szCs w:val="21"/>
        </w:rPr>
        <w:t>）根据招标文件及合同约定，其它</w:t>
      </w:r>
      <w:r>
        <w:rPr>
          <w:rFonts w:hint="eastAsia" w:ascii="宋体"/>
          <w:bCs/>
          <w:szCs w:val="21"/>
        </w:rPr>
        <w:t>不续签或终止合同的规定，</w:t>
      </w:r>
      <w:r>
        <w:rPr>
          <w:rFonts w:hint="eastAsia" w:ascii="宋体" w:hAnsi="宋体"/>
          <w:bCs/>
          <w:szCs w:val="21"/>
        </w:rPr>
        <w:t>其它法律规定的终止情形。</w:t>
      </w:r>
    </w:p>
    <w:p>
      <w:pPr>
        <w:overflowPunct w:val="0"/>
        <w:snapToGrid w:val="0"/>
        <w:spacing w:line="360" w:lineRule="auto"/>
        <w:ind w:left="422" w:leftChars="201" w:firstLine="102" w:firstLineChars="49"/>
        <w:rPr>
          <w:rFonts w:ascii="宋体" w:hAnsi="宋体"/>
          <w:bCs/>
          <w:szCs w:val="21"/>
        </w:rPr>
      </w:pPr>
      <w:r>
        <w:rPr>
          <w:rFonts w:hint="eastAsia" w:ascii="宋体" w:hAnsi="宋体"/>
          <w:bCs/>
          <w:szCs w:val="21"/>
        </w:rPr>
        <w:t>4、合同期限届满时自行终止。</w:t>
      </w:r>
    </w:p>
    <w:p>
      <w:pPr>
        <w:overflowPunct w:val="0"/>
        <w:snapToGrid w:val="0"/>
        <w:spacing w:line="360" w:lineRule="auto"/>
        <w:ind w:firstLine="525" w:firstLineChars="249"/>
        <w:rPr>
          <w:rFonts w:hint="eastAsia" w:ascii="宋体" w:hAnsi="宋体"/>
          <w:b/>
          <w:szCs w:val="21"/>
        </w:rPr>
      </w:pPr>
      <w:r>
        <w:rPr>
          <w:rFonts w:hint="eastAsia" w:ascii="宋体" w:hAnsi="宋体"/>
          <w:b/>
          <w:szCs w:val="21"/>
        </w:rPr>
        <w:t>5、本项目服务期（3年）到期后，采购人如有需要，要求中标供应商按原合同价格及保洁要求继续保洁作业（时间最多不超过三个月）的，中标供应商须无条件接受。</w:t>
      </w:r>
      <w:bookmarkEnd w:id="288"/>
    </w:p>
    <w:p>
      <w:pPr>
        <w:spacing w:line="360" w:lineRule="auto"/>
        <w:ind w:firstLine="517" w:firstLineChars="245"/>
        <w:outlineLvl w:val="1"/>
        <w:rPr>
          <w:rFonts w:hint="eastAsia" w:ascii="宋体" w:hAnsi="宋体" w:cs="黑体"/>
          <w:b/>
          <w:szCs w:val="21"/>
        </w:rPr>
      </w:pPr>
      <w:bookmarkStart w:id="290" w:name="_Toc64901773"/>
      <w:bookmarkStart w:id="291" w:name="_Toc64913357"/>
      <w:r>
        <w:rPr>
          <w:rFonts w:hint="eastAsia" w:ascii="宋体" w:hAnsi="宋体" w:cs="黑体"/>
          <w:b/>
          <w:szCs w:val="21"/>
        </w:rPr>
        <w:t>九、履约保证金</w:t>
      </w:r>
      <w:bookmarkEnd w:id="290"/>
      <w:bookmarkEnd w:id="291"/>
    </w:p>
    <w:p>
      <w:pPr>
        <w:snapToGrid w:val="0"/>
        <w:spacing w:line="360" w:lineRule="auto"/>
        <w:ind w:firstLine="420" w:firstLineChars="200"/>
        <w:rPr>
          <w:rFonts w:hint="eastAsia" w:ascii="新宋体" w:hAnsi="新宋体" w:eastAsia="新宋体"/>
          <w:szCs w:val="21"/>
        </w:rPr>
      </w:pPr>
      <w:r>
        <w:rPr>
          <w:rFonts w:hint="eastAsia" w:ascii="新宋体" w:hAnsi="新宋体" w:eastAsia="新宋体"/>
          <w:szCs w:val="21"/>
        </w:rPr>
        <w:t>（一）中标供应商应以银行转账/转帐支票/银行汇票/银行、保险公司出具的保函等非现金方式提供相应区域一年中标金额的5%作为履约保证金分别缴纳至合同对应采购人指定账户。采购人开给中标供应商合同履约保证金收据；</w:t>
      </w:r>
    </w:p>
    <w:p>
      <w:pPr>
        <w:snapToGrid w:val="0"/>
        <w:spacing w:line="360" w:lineRule="auto"/>
        <w:ind w:firstLine="422" w:firstLineChars="200"/>
        <w:rPr>
          <w:rFonts w:ascii="新宋体" w:hAnsi="新宋体" w:eastAsia="新宋体"/>
          <w:szCs w:val="21"/>
        </w:rPr>
      </w:pPr>
      <w:r>
        <w:rPr>
          <w:rFonts w:hint="eastAsia" w:ascii="宋体" w:hAnsi="宋体" w:cs="宋体"/>
          <w:b/>
          <w:bCs/>
          <w:szCs w:val="21"/>
        </w:rPr>
        <w:t>注：采用银行、保险公司出具的保函形式提交至采购人，应满足以下几个条件：①为无条件保函：即在成交供应商没有实施合同或者未履行合同义务时，采购人不需要出具任何证明和理由，只要看到成交供应商违约，就可对保函进行收兑；②保函期限：自合同生效之日起至服务期满之日后30日历天止；③如果银行、保险公司要求分期出具保函的，则在前一份保函有效期满之日2个月前必须重新出具相同内容的保函</w:t>
      </w:r>
      <w:r>
        <w:rPr>
          <w:rFonts w:hint="eastAsia" w:ascii="新宋体" w:hAnsi="新宋体" w:eastAsia="新宋体"/>
          <w:b/>
          <w:bCs/>
          <w:szCs w:val="21"/>
        </w:rPr>
        <w:t>。</w:t>
      </w:r>
    </w:p>
    <w:p>
      <w:pPr>
        <w:snapToGrid w:val="0"/>
        <w:spacing w:line="360" w:lineRule="auto"/>
        <w:ind w:firstLine="420" w:firstLineChars="200"/>
        <w:rPr>
          <w:rFonts w:ascii="宋体" w:hAnsi="宋体"/>
          <w:szCs w:val="21"/>
        </w:rPr>
      </w:pPr>
      <w:r>
        <w:rPr>
          <w:rFonts w:hint="eastAsia" w:ascii="宋体" w:hAnsi="宋体"/>
          <w:szCs w:val="21"/>
        </w:rPr>
        <w:t>（二）履约保证金扣罚条款：</w:t>
      </w:r>
    </w:p>
    <w:p>
      <w:pPr>
        <w:spacing w:line="360" w:lineRule="auto"/>
        <w:ind w:firstLine="420" w:firstLineChars="200"/>
        <w:rPr>
          <w:rFonts w:ascii="宋体" w:hAnsi="宋体"/>
          <w:szCs w:val="21"/>
        </w:rPr>
      </w:pPr>
      <w:r>
        <w:rPr>
          <w:rFonts w:hint="eastAsia" w:ascii="宋体" w:hAnsi="宋体"/>
          <w:szCs w:val="21"/>
        </w:rPr>
        <w:t>1、中标供应商车辆、船只，未按投标文件承诺或招标文件规定的进场作业日期到位的，重型车辆每辆每延迟1天处以10</w:t>
      </w:r>
      <w:r>
        <w:rPr>
          <w:rFonts w:ascii="宋体" w:hAnsi="宋体"/>
          <w:szCs w:val="21"/>
        </w:rPr>
        <w:t>000</w:t>
      </w:r>
      <w:r>
        <w:rPr>
          <w:rFonts w:hint="eastAsia" w:ascii="宋体" w:hAnsi="宋体"/>
          <w:szCs w:val="21"/>
        </w:rPr>
        <w:t>元违约金；中型车辆每辆每延迟1天处以5000元违约金；其它轻型车辆、电动车、船只每辆每延迟1天处以1000元违约金；</w:t>
      </w:r>
    </w:p>
    <w:p>
      <w:pPr>
        <w:spacing w:line="360" w:lineRule="auto"/>
        <w:ind w:firstLine="420" w:firstLineChars="200"/>
        <w:rPr>
          <w:rFonts w:ascii="宋体" w:hAnsi="宋体"/>
          <w:szCs w:val="21"/>
        </w:rPr>
      </w:pPr>
      <w:r>
        <w:rPr>
          <w:rFonts w:hint="eastAsia" w:ascii="宋体" w:hAnsi="宋体"/>
          <w:szCs w:val="21"/>
        </w:rPr>
        <w:t>2、中标供应商服务人员，未按投标文件承诺或招标文件规定的进场作业日期到位的，每人每延迟1天处以400元违约金；</w:t>
      </w:r>
    </w:p>
    <w:p>
      <w:pPr>
        <w:spacing w:line="360" w:lineRule="auto"/>
        <w:ind w:firstLine="420" w:firstLineChars="200"/>
        <w:rPr>
          <w:rFonts w:ascii="宋体" w:hAnsi="宋体"/>
          <w:szCs w:val="21"/>
        </w:rPr>
      </w:pPr>
      <w:r>
        <w:rPr>
          <w:rFonts w:hint="eastAsia" w:ascii="宋体" w:hAnsi="宋体"/>
          <w:szCs w:val="21"/>
        </w:rPr>
        <w:t>3、中标供应商机械、车辆、船只、服务人员，未按投标文件承诺或招标文件规定的进场作业日期，超期达7个日历天及以上的，采购人有权处以等同于履约保证金金额的违约金，并有权无条件解除合同。</w:t>
      </w:r>
    </w:p>
    <w:p>
      <w:pPr>
        <w:spacing w:line="360" w:lineRule="auto"/>
        <w:ind w:firstLine="420" w:firstLineChars="200"/>
        <w:rPr>
          <w:rFonts w:ascii="宋体" w:hAnsi="宋体"/>
          <w:szCs w:val="21"/>
        </w:rPr>
      </w:pPr>
      <w:r>
        <w:rPr>
          <w:rFonts w:ascii="宋体" w:hAnsi="宋体"/>
          <w:szCs w:val="21"/>
        </w:rPr>
        <w:t>4</w:t>
      </w:r>
      <w:r>
        <w:rPr>
          <w:rFonts w:hint="eastAsia" w:ascii="宋体" w:hAnsi="宋体"/>
          <w:szCs w:val="21"/>
        </w:rPr>
        <w:t>、</w:t>
      </w:r>
      <w:r>
        <w:rPr>
          <w:rFonts w:hint="eastAsia" w:ascii="宋体" w:hAnsi="宋体"/>
          <w:b/>
          <w:bCs/>
          <w:szCs w:val="21"/>
        </w:rPr>
        <w:t>作业车辆、工具的停放场地由中标供应商自行负责解决，要求规范、统一停放，供应商须在中标通知书发出之日起30日内在本次招标保洁区域内建立专门的停车场。中标供应商未按规定日期之内建立专用停车场地的，每延期一天扣1000元履约保证金。</w:t>
      </w:r>
    </w:p>
    <w:p>
      <w:pPr>
        <w:spacing w:line="360" w:lineRule="auto"/>
        <w:ind w:firstLine="420" w:firstLineChars="200"/>
        <w:rPr>
          <w:rFonts w:ascii="宋体" w:hAnsi="宋体"/>
          <w:szCs w:val="21"/>
        </w:rPr>
      </w:pPr>
      <w:r>
        <w:rPr>
          <w:rFonts w:ascii="宋体" w:hAnsi="宋体"/>
          <w:szCs w:val="21"/>
        </w:rPr>
        <w:t>5</w:t>
      </w:r>
      <w:r>
        <w:rPr>
          <w:rFonts w:hint="eastAsia" w:ascii="宋体" w:hAnsi="宋体"/>
          <w:szCs w:val="21"/>
        </w:rPr>
        <w:t>、中标供应商不能按期保质保量完成清扫保洁业务，除承担相关责任外，采购人可相应处以不大于履约保证金金额的违约金。</w:t>
      </w:r>
    </w:p>
    <w:p>
      <w:pPr>
        <w:spacing w:line="360" w:lineRule="auto"/>
        <w:ind w:firstLine="420" w:firstLineChars="200"/>
        <w:rPr>
          <w:rFonts w:ascii="宋体" w:hAnsi="宋体"/>
          <w:szCs w:val="21"/>
        </w:rPr>
      </w:pPr>
      <w:r>
        <w:rPr>
          <w:rFonts w:ascii="宋体" w:hAnsi="宋体"/>
          <w:szCs w:val="21"/>
        </w:rPr>
        <w:t>6</w:t>
      </w:r>
      <w:r>
        <w:rPr>
          <w:rFonts w:hint="eastAsia" w:ascii="宋体" w:hAnsi="宋体"/>
          <w:szCs w:val="21"/>
        </w:rPr>
        <w:t>、根据招标文件规定与合同约定，采购人可相应处以不大于履约保证金金额的违约金。</w:t>
      </w:r>
    </w:p>
    <w:p>
      <w:pPr>
        <w:snapToGrid w:val="0"/>
        <w:spacing w:line="360" w:lineRule="auto"/>
        <w:ind w:firstLine="420" w:firstLineChars="200"/>
        <w:rPr>
          <w:rFonts w:ascii="宋体" w:hAnsi="宋体"/>
          <w:szCs w:val="21"/>
        </w:rPr>
      </w:pPr>
      <w:r>
        <w:rPr>
          <w:rFonts w:hint="eastAsia" w:ascii="宋体" w:hAnsi="宋体"/>
          <w:szCs w:val="21"/>
        </w:rPr>
        <w:t>（三）履约保证金因中标供应商违约而被扣除，但未达到解除合同条件的，中标供应商须在扣除违约金之日起7日历天内补齐履约保证金至一年合同款的5％。拒不缴纳补齐的，采购人有权处以等同于履约保证金金额的违约金，并无条件解除合同。</w:t>
      </w:r>
    </w:p>
    <w:p>
      <w:pPr>
        <w:overflowPunct w:val="0"/>
        <w:spacing w:line="360" w:lineRule="auto"/>
        <w:ind w:firstLine="514" w:firstLineChars="245"/>
        <w:outlineLvl w:val="1"/>
        <w:rPr>
          <w:rFonts w:hint="eastAsia" w:ascii="宋体" w:hAnsi="宋体"/>
          <w:b/>
          <w:szCs w:val="21"/>
        </w:rPr>
      </w:pPr>
      <w:bookmarkStart w:id="292" w:name="_Toc64901774"/>
      <w:bookmarkStart w:id="293" w:name="_Toc64913358"/>
      <w:r>
        <w:rPr>
          <w:rFonts w:hint="eastAsia" w:ascii="宋体" w:hAnsi="宋体"/>
          <w:szCs w:val="21"/>
        </w:rPr>
        <w:t>（四）承包任务完成并验收移交采购人后3</w:t>
      </w:r>
      <w:r>
        <w:rPr>
          <w:rFonts w:ascii="宋体" w:hAnsi="宋体"/>
          <w:szCs w:val="21"/>
        </w:rPr>
        <w:t>0</w:t>
      </w:r>
      <w:r>
        <w:rPr>
          <w:rFonts w:hint="eastAsia" w:ascii="宋体" w:hAnsi="宋体"/>
          <w:szCs w:val="21"/>
        </w:rPr>
        <w:t>日内，采购人无息退还中标供应商剩余的合同履约保证金；</w:t>
      </w:r>
      <w:bookmarkEnd w:id="292"/>
      <w:bookmarkEnd w:id="293"/>
    </w:p>
    <w:p>
      <w:pPr>
        <w:overflowPunct w:val="0"/>
        <w:spacing w:line="360" w:lineRule="auto"/>
        <w:ind w:firstLine="517" w:firstLineChars="245"/>
        <w:outlineLvl w:val="1"/>
        <w:rPr>
          <w:rFonts w:hint="eastAsia" w:ascii="宋体" w:hAnsi="宋体"/>
          <w:b/>
          <w:szCs w:val="21"/>
        </w:rPr>
      </w:pPr>
      <w:bookmarkStart w:id="294" w:name="_Toc64901775"/>
      <w:bookmarkStart w:id="295" w:name="_Toc64913359"/>
      <w:r>
        <w:rPr>
          <w:rFonts w:hint="eastAsia" w:ascii="宋体" w:hAnsi="宋体"/>
          <w:b/>
          <w:szCs w:val="21"/>
        </w:rPr>
        <w:t>十、</w:t>
      </w:r>
      <w:r>
        <w:rPr>
          <w:rFonts w:hint="eastAsia" w:ascii="宋体" w:hAnsi="宋体" w:cs="黑体"/>
          <w:b/>
          <w:szCs w:val="21"/>
        </w:rPr>
        <w:t>▲付款方式</w:t>
      </w:r>
      <w:bookmarkEnd w:id="294"/>
      <w:bookmarkEnd w:id="295"/>
    </w:p>
    <w:p>
      <w:pPr>
        <w:overflowPunct w:val="0"/>
        <w:snapToGrid w:val="0"/>
        <w:spacing w:line="360" w:lineRule="auto"/>
        <w:ind w:firstLine="422" w:firstLineChars="200"/>
        <w:rPr>
          <w:rFonts w:ascii="宋体" w:hAnsi="宋体"/>
          <w:b/>
          <w:szCs w:val="21"/>
        </w:rPr>
      </w:pPr>
      <w:r>
        <w:rPr>
          <w:rFonts w:hint="eastAsia" w:ascii="宋体" w:hAnsi="宋体"/>
          <w:b/>
          <w:szCs w:val="21"/>
        </w:rPr>
        <w:t>（一）付款方式为先保洁后支付,由采购人根据前一个月的考核结果，每月底结前一个月的承包经费（遇节假日顺延）。</w:t>
      </w:r>
    </w:p>
    <w:p>
      <w:pPr>
        <w:overflowPunct w:val="0"/>
        <w:snapToGrid w:val="0"/>
        <w:spacing w:line="360" w:lineRule="auto"/>
        <w:ind w:firstLine="422" w:firstLineChars="200"/>
        <w:rPr>
          <w:rFonts w:ascii="宋体" w:hAnsi="宋体"/>
          <w:b/>
          <w:szCs w:val="21"/>
        </w:rPr>
      </w:pPr>
      <w:r>
        <w:rPr>
          <w:rFonts w:hint="eastAsia" w:ascii="宋体" w:hAnsi="宋体"/>
          <w:b/>
          <w:szCs w:val="21"/>
        </w:rPr>
        <w:t>（二）中标供应商按每月的考核结果向采购人（或乡镇街道）结算，采购人凭中标供应商开具的正式发票及一线现场服务人员社保花名册进行支付。</w:t>
      </w:r>
    </w:p>
    <w:p>
      <w:pPr>
        <w:overflowPunct w:val="0"/>
        <w:snapToGrid w:val="0"/>
        <w:spacing w:line="360" w:lineRule="auto"/>
        <w:ind w:firstLine="422" w:firstLineChars="200"/>
        <w:rPr>
          <w:rFonts w:ascii="宋体" w:hAnsi="宋体"/>
          <w:b/>
          <w:szCs w:val="21"/>
        </w:rPr>
      </w:pPr>
      <w:r>
        <w:rPr>
          <w:rFonts w:hint="eastAsia" w:ascii="宋体" w:hAnsi="宋体"/>
          <w:b/>
          <w:szCs w:val="21"/>
        </w:rPr>
        <w:t>（三）</w:t>
      </w:r>
      <w:r>
        <w:rPr>
          <w:rFonts w:hint="eastAsia" w:ascii="宋体" w:hAnsi="宋体" w:cs="宋体"/>
          <w:b/>
          <w:szCs w:val="21"/>
        </w:rPr>
        <w:t>环境卫生质量考核遵照对应街道发布的现行考核办法</w:t>
      </w:r>
      <w:r>
        <w:rPr>
          <w:rFonts w:hint="eastAsia" w:ascii="宋体" w:hAnsi="宋体"/>
          <w:b/>
          <w:szCs w:val="21"/>
        </w:rPr>
        <w:t>（详见合同附件一）执行，如采购人（或乡镇街道）有统一对考核内容作出调整的，供应商要无条件予以接受并遵守。</w:t>
      </w:r>
    </w:p>
    <w:p>
      <w:pPr>
        <w:overflowPunct w:val="0"/>
        <w:snapToGrid w:val="0"/>
        <w:spacing w:line="360" w:lineRule="auto"/>
        <w:ind w:firstLine="422" w:firstLineChars="200"/>
        <w:rPr>
          <w:rFonts w:hint="eastAsia" w:ascii="宋体" w:hAnsi="宋体"/>
          <w:b/>
          <w:szCs w:val="21"/>
        </w:rPr>
      </w:pPr>
      <w:r>
        <w:rPr>
          <w:rFonts w:hint="eastAsia" w:ascii="宋体" w:hAnsi="宋体"/>
          <w:b/>
          <w:szCs w:val="21"/>
        </w:rPr>
        <w:t>（四）采购人每月作出的考核结果，汇总考核结算清单，并告知中标供应商。违约金额按月直接在付款额中扣除。承包到期后根据考核结果将余款一次付清。</w:t>
      </w:r>
    </w:p>
    <w:p>
      <w:pPr>
        <w:overflowPunct w:val="0"/>
        <w:snapToGrid w:val="0"/>
        <w:spacing w:line="360" w:lineRule="auto"/>
        <w:ind w:firstLine="422" w:firstLineChars="200"/>
        <w:rPr>
          <w:rFonts w:hint="eastAsia" w:ascii="宋体" w:hAnsi="宋体"/>
          <w:b/>
          <w:szCs w:val="21"/>
        </w:rPr>
      </w:pPr>
      <w:r>
        <w:rPr>
          <w:rFonts w:hint="eastAsia" w:ascii="宋体" w:hAnsi="宋体"/>
          <w:b/>
          <w:szCs w:val="21"/>
        </w:rPr>
        <w:t>（五）由于本采购项目实施以人工投入为主，在每年度合同签订且具备实施条件后15日历天内采购人向中标供应商支付合同总额（一年）的10%作为预付款，采购人在支付当年度第一期款项时等额予以扣回，如不足抵扣的，则剩余预付款在下期款项支付时扣回。在签订合同时，供应商明确表示无需预付款或者主动要求降低预付款比例的，采购人可不适用前述规定。</w:t>
      </w:r>
    </w:p>
    <w:p>
      <w:pPr>
        <w:overflowPunct w:val="0"/>
        <w:spacing w:line="360" w:lineRule="auto"/>
        <w:ind w:firstLine="514" w:firstLineChars="244"/>
        <w:outlineLvl w:val="1"/>
        <w:rPr>
          <w:rFonts w:hint="eastAsia" w:ascii="宋体" w:hAnsi="宋体" w:cs="黑体"/>
          <w:b/>
          <w:szCs w:val="21"/>
        </w:rPr>
      </w:pPr>
      <w:bookmarkStart w:id="296" w:name="_Toc64901776"/>
      <w:bookmarkStart w:id="297" w:name="_Toc64913360"/>
      <w:bookmarkStart w:id="298" w:name="_Toc19039"/>
      <w:r>
        <w:rPr>
          <w:rFonts w:hint="eastAsia" w:ascii="宋体" w:hAnsi="宋体" w:cs="黑体"/>
          <w:b/>
          <w:szCs w:val="21"/>
        </w:rPr>
        <w:t>十一、其他说明</w:t>
      </w:r>
      <w:bookmarkEnd w:id="296"/>
      <w:bookmarkEnd w:id="297"/>
      <w:bookmarkEnd w:id="298"/>
    </w:p>
    <w:p>
      <w:pPr>
        <w:overflowPunct w:val="0"/>
        <w:adjustRightInd w:val="0"/>
        <w:spacing w:line="360" w:lineRule="auto"/>
        <w:ind w:firstLine="422" w:firstLineChars="200"/>
        <w:textAlignment w:val="bottom"/>
        <w:outlineLvl w:val="2"/>
        <w:rPr>
          <w:rFonts w:hint="eastAsia" w:ascii="宋体"/>
          <w:b/>
          <w:szCs w:val="21"/>
        </w:rPr>
      </w:pPr>
      <w:bookmarkStart w:id="299" w:name="_Toc15760"/>
      <w:bookmarkStart w:id="300" w:name="_Toc20157"/>
      <w:bookmarkStart w:id="301" w:name="_Toc21498"/>
      <w:bookmarkStart w:id="302" w:name="_Toc25900"/>
      <w:bookmarkStart w:id="303" w:name="_Toc64901777"/>
      <w:bookmarkStart w:id="304" w:name="_Toc64913361"/>
      <w:r>
        <w:rPr>
          <w:rFonts w:hint="eastAsia" w:ascii="宋体"/>
          <w:b/>
          <w:szCs w:val="21"/>
        </w:rPr>
        <w:t>（一）项目负责人要求</w:t>
      </w:r>
      <w:bookmarkEnd w:id="299"/>
      <w:bookmarkEnd w:id="300"/>
      <w:bookmarkEnd w:id="301"/>
      <w:bookmarkEnd w:id="302"/>
      <w:bookmarkEnd w:id="303"/>
      <w:bookmarkEnd w:id="304"/>
    </w:p>
    <w:p>
      <w:pPr>
        <w:overflowPunct w:val="0"/>
        <w:adjustRightInd w:val="0"/>
        <w:spacing w:line="360" w:lineRule="auto"/>
        <w:ind w:firstLine="420" w:firstLineChars="200"/>
        <w:textAlignment w:val="bottom"/>
        <w:rPr>
          <w:rFonts w:hint="eastAsia" w:ascii="宋体"/>
          <w:b/>
          <w:szCs w:val="21"/>
        </w:rPr>
      </w:pPr>
      <w:r>
        <w:rPr>
          <w:rFonts w:hint="eastAsia" w:ascii="宋体"/>
          <w:szCs w:val="21"/>
        </w:rPr>
        <w:t>1、投标供应商的项目负责人应具有道路保洁实际工作一年以上经验，</w:t>
      </w:r>
      <w:r>
        <w:rPr>
          <w:rFonts w:hint="eastAsia" w:ascii="宋体"/>
          <w:b/>
          <w:szCs w:val="21"/>
        </w:rPr>
        <w:t>▲</w:t>
      </w:r>
      <w:r>
        <w:rPr>
          <w:rFonts w:hint="eastAsia" w:ascii="宋体"/>
          <w:b/>
          <w:szCs w:val="21"/>
          <w:u w:val="single"/>
        </w:rPr>
        <w:t>在本项目中担任项目负责人的，须专职，不得在瑞安其它项目中担任项目负责人，本项目中标供应商项目负责人不得擅自变更，未经采购人同意，变更项目负责人的，处以10万元违约金（在履约保证金中扣除）；情节严重的，采购人可以无责任取消其中标资格并解除中标合同</w:t>
      </w:r>
      <w:r>
        <w:rPr>
          <w:rFonts w:hint="eastAsia" w:ascii="宋体"/>
          <w:b/>
          <w:szCs w:val="21"/>
        </w:rPr>
        <w:t>。</w:t>
      </w:r>
    </w:p>
    <w:p>
      <w:pPr>
        <w:pStyle w:val="4"/>
        <w:spacing w:line="360" w:lineRule="auto"/>
        <w:rPr>
          <w:rFonts w:hint="eastAsia" w:ascii="宋体"/>
          <w:b/>
          <w:szCs w:val="21"/>
        </w:rPr>
      </w:pPr>
      <w:r>
        <w:rPr>
          <w:rFonts w:hint="eastAsia" w:ascii="宋体"/>
          <w:b/>
          <w:szCs w:val="21"/>
        </w:rPr>
        <w:t>2、项目负责人须在项目所在地服务天数达到每年300天及以上，因特殊原因需离开瑞安范围的须经采购人同意。</w:t>
      </w:r>
    </w:p>
    <w:p>
      <w:pPr>
        <w:pStyle w:val="4"/>
        <w:spacing w:line="360" w:lineRule="auto"/>
        <w:rPr>
          <w:rFonts w:hint="eastAsia" w:ascii="宋体"/>
          <w:b/>
          <w:szCs w:val="21"/>
        </w:rPr>
      </w:pPr>
      <w:r>
        <w:rPr>
          <w:rFonts w:hint="eastAsia" w:ascii="宋体"/>
          <w:b/>
          <w:szCs w:val="21"/>
        </w:rPr>
        <w:t>3、遇有重大活动或突发事件时，项目负责人须到场指挥，并服从采购人的统一工作安排。</w:t>
      </w:r>
    </w:p>
    <w:p>
      <w:pPr>
        <w:overflowPunct w:val="0"/>
        <w:adjustRightInd w:val="0"/>
        <w:spacing w:line="360" w:lineRule="auto"/>
        <w:ind w:firstLine="422" w:firstLineChars="200"/>
        <w:textAlignment w:val="bottom"/>
        <w:rPr>
          <w:rFonts w:hint="eastAsia" w:ascii="宋体"/>
          <w:b/>
          <w:szCs w:val="21"/>
        </w:rPr>
      </w:pPr>
      <w:r>
        <w:rPr>
          <w:rFonts w:hint="eastAsia" w:ascii="宋体"/>
          <w:b/>
          <w:szCs w:val="21"/>
        </w:rPr>
        <w:t>4、若项目负责人擅自离开瑞安或一年到位未达到300天的，每天处以10000元违约金，每年度最后一个月服务款中直接扣除，如不足抵扣的，不足部分从履约保证金中扣回。</w:t>
      </w:r>
    </w:p>
    <w:p>
      <w:pPr>
        <w:overflowPunct w:val="0"/>
        <w:adjustRightInd w:val="0"/>
        <w:spacing w:line="360" w:lineRule="auto"/>
        <w:ind w:firstLine="422" w:firstLineChars="200"/>
        <w:textAlignment w:val="bottom"/>
        <w:outlineLvl w:val="2"/>
        <w:rPr>
          <w:rFonts w:ascii="宋体"/>
          <w:b/>
          <w:szCs w:val="21"/>
        </w:rPr>
      </w:pPr>
      <w:bookmarkStart w:id="305" w:name="_Toc18192"/>
      <w:bookmarkStart w:id="306" w:name="_Toc8272"/>
      <w:bookmarkStart w:id="307" w:name="_Toc64913362"/>
      <w:bookmarkStart w:id="308" w:name="_Toc64901778"/>
      <w:bookmarkStart w:id="309" w:name="_Toc7322"/>
      <w:bookmarkStart w:id="310" w:name="_Toc13060"/>
      <w:r>
        <w:rPr>
          <w:rFonts w:hint="eastAsia" w:ascii="宋体"/>
          <w:b/>
          <w:szCs w:val="21"/>
        </w:rPr>
        <w:t>（二）</w:t>
      </w:r>
      <w:r>
        <w:rPr>
          <w:rFonts w:ascii="宋体"/>
          <w:b/>
          <w:szCs w:val="21"/>
        </w:rPr>
        <w:t>员工劳动保障要求</w:t>
      </w:r>
      <w:bookmarkEnd w:id="305"/>
      <w:bookmarkEnd w:id="306"/>
      <w:bookmarkEnd w:id="307"/>
      <w:bookmarkEnd w:id="308"/>
      <w:bookmarkEnd w:id="309"/>
      <w:bookmarkEnd w:id="310"/>
    </w:p>
    <w:p>
      <w:pPr>
        <w:autoSpaceDE w:val="0"/>
        <w:autoSpaceDN w:val="0"/>
        <w:adjustRightInd w:val="0"/>
        <w:spacing w:line="360" w:lineRule="auto"/>
        <w:ind w:firstLine="525" w:firstLineChars="250"/>
        <w:textAlignment w:val="bottom"/>
        <w:rPr>
          <w:rFonts w:hint="eastAsia" w:ascii="宋体"/>
          <w:szCs w:val="21"/>
        </w:rPr>
      </w:pPr>
      <w:r>
        <w:rPr>
          <w:rFonts w:hint="eastAsia" w:ascii="宋体"/>
          <w:szCs w:val="21"/>
        </w:rPr>
        <w:t>1、</w:t>
      </w:r>
      <w:bookmarkStart w:id="311" w:name="_Hlk69253021"/>
      <w:r>
        <w:rPr>
          <w:rFonts w:hint="eastAsia" w:ascii="宋体"/>
          <w:szCs w:val="21"/>
        </w:rPr>
        <w:t>中标供应商</w:t>
      </w:r>
      <w:r>
        <w:rPr>
          <w:rFonts w:ascii="宋体"/>
          <w:szCs w:val="21"/>
        </w:rPr>
        <w:t>必须</w:t>
      </w:r>
      <w:r>
        <w:rPr>
          <w:rFonts w:hint="eastAsia" w:ascii="宋体"/>
          <w:szCs w:val="21"/>
        </w:rPr>
        <w:t>按《劳动法》</w:t>
      </w:r>
      <w:r>
        <w:rPr>
          <w:rFonts w:ascii="宋体"/>
          <w:szCs w:val="21"/>
        </w:rPr>
        <w:t>与员工</w:t>
      </w:r>
      <w:r>
        <w:rPr>
          <w:rFonts w:hint="eastAsia" w:ascii="宋体"/>
          <w:szCs w:val="21"/>
        </w:rPr>
        <w:t>直接与本公司</w:t>
      </w:r>
      <w:r>
        <w:rPr>
          <w:rFonts w:ascii="宋体"/>
          <w:szCs w:val="21"/>
        </w:rPr>
        <w:t>签订书面劳动</w:t>
      </w:r>
      <w:r>
        <w:rPr>
          <w:rFonts w:hint="eastAsia" w:ascii="宋体"/>
          <w:szCs w:val="21"/>
        </w:rPr>
        <w:t>或劳务</w:t>
      </w:r>
      <w:r>
        <w:rPr>
          <w:rFonts w:ascii="宋体"/>
          <w:szCs w:val="21"/>
        </w:rPr>
        <w:t>合同，招收人员在主管部门备案</w:t>
      </w:r>
      <w:r>
        <w:rPr>
          <w:rFonts w:hint="eastAsia" w:ascii="宋体"/>
          <w:szCs w:val="21"/>
        </w:rPr>
        <w:t>，不得通过第三方机构派遣至中标单位处，否则每发现一人次扣罚1000元，15天内未整改到位的，记1次书面警告（或严重警告），以此类推。</w:t>
      </w:r>
      <w:bookmarkEnd w:id="311"/>
    </w:p>
    <w:p>
      <w:pPr>
        <w:autoSpaceDE w:val="0"/>
        <w:autoSpaceDN w:val="0"/>
        <w:adjustRightInd w:val="0"/>
        <w:spacing w:line="360" w:lineRule="auto"/>
        <w:ind w:firstLine="525" w:firstLineChars="250"/>
        <w:textAlignment w:val="bottom"/>
        <w:rPr>
          <w:rFonts w:ascii="宋体"/>
          <w:szCs w:val="21"/>
        </w:rPr>
      </w:pPr>
      <w:r>
        <w:rPr>
          <w:rFonts w:hint="eastAsia" w:ascii="宋体"/>
          <w:szCs w:val="21"/>
        </w:rPr>
        <w:t>2、</w:t>
      </w:r>
      <w:r>
        <w:rPr>
          <w:rFonts w:ascii="宋体"/>
          <w:szCs w:val="21"/>
        </w:rPr>
        <w:t>执行《劳动法》、《劳动合同法》有关员工保障的其他规定，由劳动部门查实的，根据查实情况处罚。</w:t>
      </w:r>
    </w:p>
    <w:p>
      <w:pPr>
        <w:autoSpaceDE w:val="0"/>
        <w:autoSpaceDN w:val="0"/>
        <w:adjustRightInd w:val="0"/>
        <w:spacing w:line="360" w:lineRule="auto"/>
        <w:ind w:firstLine="525" w:firstLineChars="250"/>
        <w:textAlignment w:val="bottom"/>
        <w:rPr>
          <w:rFonts w:ascii="宋体"/>
          <w:szCs w:val="21"/>
        </w:rPr>
      </w:pPr>
      <w:r>
        <w:rPr>
          <w:rFonts w:hint="eastAsia" w:ascii="宋体"/>
          <w:szCs w:val="21"/>
        </w:rPr>
        <w:t>3、一线现场服务人员用工年龄按照国家劳动法律法规相关规定执行，最高不超过70周岁，其中65周岁（含）以下占比不得低于80%，且河道保洁和公厕保洁员不得超过65周岁，否则每发现一人次扣罚1000元，15天内未更换人员并到位的，记1次书面警告（或严重警告），以此类推。</w:t>
      </w:r>
    </w:p>
    <w:p>
      <w:pPr>
        <w:overflowPunct w:val="0"/>
        <w:adjustRightInd w:val="0"/>
        <w:spacing w:line="360" w:lineRule="auto"/>
        <w:ind w:firstLine="525" w:firstLineChars="250"/>
        <w:textAlignment w:val="bottom"/>
        <w:rPr>
          <w:rFonts w:ascii="宋体"/>
          <w:szCs w:val="21"/>
        </w:rPr>
      </w:pPr>
      <w:r>
        <w:rPr>
          <w:rFonts w:hint="eastAsia" w:ascii="宋体"/>
          <w:szCs w:val="21"/>
        </w:rPr>
        <w:t>4、</w:t>
      </w:r>
      <w:r>
        <w:rPr>
          <w:rFonts w:ascii="宋体"/>
          <w:szCs w:val="21"/>
        </w:rPr>
        <w:t>承诺投入本项目的人员社会保险和工资册，采购单位随时进行核实。</w:t>
      </w:r>
    </w:p>
    <w:p>
      <w:pPr>
        <w:overflowPunct w:val="0"/>
        <w:adjustRightInd w:val="0"/>
        <w:spacing w:line="360" w:lineRule="auto"/>
        <w:ind w:firstLine="525" w:firstLineChars="250"/>
        <w:textAlignment w:val="bottom"/>
        <w:rPr>
          <w:rFonts w:hint="eastAsia" w:ascii="宋体" w:hAnsi="宋体"/>
          <w:kern w:val="2"/>
          <w:szCs w:val="21"/>
        </w:rPr>
      </w:pPr>
      <w:bookmarkStart w:id="312" w:name="_Hlk69253031"/>
      <w:r>
        <w:rPr>
          <w:rFonts w:hint="eastAsia" w:ascii="宋体" w:hAnsi="宋体"/>
          <w:kern w:val="2"/>
          <w:szCs w:val="21"/>
        </w:rPr>
        <w:t>5、采购人有权调阅与本项目有关的财务状况，中标单位须无条件配合，否则采购人有权认定中标供应商存在将项目进行分包，按照违约情形认定。</w:t>
      </w:r>
    </w:p>
    <w:bookmarkEnd w:id="312"/>
    <w:p>
      <w:pPr>
        <w:autoSpaceDE w:val="0"/>
        <w:autoSpaceDN w:val="0"/>
        <w:adjustRightInd w:val="0"/>
        <w:spacing w:line="360" w:lineRule="auto"/>
        <w:ind w:firstLine="422" w:firstLineChars="200"/>
        <w:textAlignment w:val="bottom"/>
        <w:outlineLvl w:val="2"/>
        <w:rPr>
          <w:rFonts w:hint="eastAsia" w:ascii="宋体"/>
          <w:b/>
          <w:szCs w:val="21"/>
        </w:rPr>
      </w:pPr>
      <w:bookmarkStart w:id="313" w:name="_Toc8874"/>
      <w:bookmarkStart w:id="314" w:name="_Toc10195"/>
      <w:bookmarkStart w:id="315" w:name="_Toc19028"/>
      <w:bookmarkStart w:id="316" w:name="_Toc4106"/>
      <w:bookmarkStart w:id="317" w:name="_Toc64901779"/>
      <w:bookmarkStart w:id="318" w:name="_Toc64913363"/>
      <w:r>
        <w:rPr>
          <w:rFonts w:hint="eastAsia" w:ascii="宋体"/>
          <w:b/>
          <w:szCs w:val="21"/>
        </w:rPr>
        <w:t>（三）</w:t>
      </w:r>
      <w:bookmarkEnd w:id="313"/>
      <w:bookmarkEnd w:id="314"/>
      <w:bookmarkEnd w:id="315"/>
      <w:bookmarkEnd w:id="316"/>
      <w:r>
        <w:rPr>
          <w:rFonts w:hint="eastAsia" w:ascii="宋体"/>
          <w:b/>
          <w:szCs w:val="21"/>
        </w:rPr>
        <w:t>设立售后服务机构要求</w:t>
      </w:r>
      <w:bookmarkEnd w:id="317"/>
      <w:bookmarkEnd w:id="318"/>
    </w:p>
    <w:p>
      <w:pPr>
        <w:overflowPunct w:val="0"/>
        <w:adjustRightInd w:val="0"/>
        <w:spacing w:line="360" w:lineRule="auto"/>
        <w:ind w:firstLine="527" w:firstLineChars="250"/>
        <w:textAlignment w:val="bottom"/>
        <w:rPr>
          <w:rFonts w:hint="eastAsia"/>
          <w:szCs w:val="22"/>
        </w:rPr>
      </w:pPr>
      <w:r>
        <w:rPr>
          <w:rFonts w:hint="eastAsia" w:ascii="宋体"/>
          <w:b/>
          <w:bCs/>
          <w:szCs w:val="21"/>
        </w:rPr>
        <w:t>▲非本地企业中标后，</w:t>
      </w:r>
      <w:r>
        <w:rPr>
          <w:b/>
          <w:bCs/>
        </w:rPr>
        <w:t>供应商应当在中标公示后</w:t>
      </w:r>
      <w:r>
        <w:rPr>
          <w:rFonts w:hint="eastAsia"/>
          <w:b/>
          <w:bCs/>
        </w:rPr>
        <w:t>十五</w:t>
      </w:r>
      <w:r>
        <w:rPr>
          <w:b/>
          <w:bCs/>
        </w:rPr>
        <w:t>个工作日内在</w:t>
      </w:r>
      <w:r>
        <w:rPr>
          <w:rFonts w:hint="eastAsia"/>
          <w:b/>
          <w:bCs/>
        </w:rPr>
        <w:t>瑞安</w:t>
      </w:r>
      <w:r>
        <w:rPr>
          <w:b/>
          <w:bCs/>
        </w:rPr>
        <w:t>设立售后服务机构，否则视为放弃中标资格，由排名次之的中标候选供应商替补，以此类推</w:t>
      </w:r>
      <w:r>
        <w:rPr>
          <w:rFonts w:hint="eastAsia"/>
          <w:b/>
          <w:bCs/>
        </w:rPr>
        <w:t>。</w:t>
      </w:r>
    </w:p>
    <w:p>
      <w:pPr>
        <w:overflowPunct w:val="0"/>
        <w:adjustRightInd w:val="0"/>
        <w:spacing w:line="360" w:lineRule="auto"/>
        <w:ind w:firstLine="422" w:firstLineChars="200"/>
        <w:textAlignment w:val="bottom"/>
        <w:outlineLvl w:val="2"/>
        <w:rPr>
          <w:rFonts w:ascii="宋体"/>
          <w:szCs w:val="21"/>
        </w:rPr>
      </w:pPr>
      <w:bookmarkStart w:id="319" w:name="_Toc27621"/>
      <w:bookmarkStart w:id="320" w:name="_Toc13009"/>
      <w:bookmarkStart w:id="321" w:name="_Toc15557"/>
      <w:bookmarkStart w:id="322" w:name="_Toc64913364"/>
      <w:bookmarkStart w:id="323" w:name="_Toc21014"/>
      <w:bookmarkStart w:id="324" w:name="_Toc64901780"/>
      <w:r>
        <w:rPr>
          <w:rFonts w:hint="eastAsia" w:ascii="宋体"/>
          <w:b/>
          <w:szCs w:val="21"/>
        </w:rPr>
        <w:t>（四）</w:t>
      </w:r>
      <w:r>
        <w:rPr>
          <w:rFonts w:hint="eastAsia" w:ascii="宋体"/>
          <w:szCs w:val="21"/>
        </w:rPr>
        <w:t>不可预见性因素，而导致付款有可能存在延期的风险，不得终止清扫保洁工作，不影响保洁质量，否则按违规处理。</w:t>
      </w:r>
      <w:bookmarkEnd w:id="319"/>
      <w:bookmarkEnd w:id="320"/>
      <w:bookmarkEnd w:id="321"/>
      <w:bookmarkEnd w:id="322"/>
      <w:bookmarkEnd w:id="323"/>
      <w:bookmarkEnd w:id="324"/>
    </w:p>
    <w:p>
      <w:pPr>
        <w:overflowPunct w:val="0"/>
        <w:adjustRightInd w:val="0"/>
        <w:spacing w:line="360" w:lineRule="auto"/>
        <w:ind w:firstLine="422" w:firstLineChars="200"/>
        <w:textAlignment w:val="bottom"/>
        <w:outlineLvl w:val="2"/>
        <w:rPr>
          <w:rFonts w:ascii="Arial" w:hAnsi="Arial" w:eastAsia="新宋体" w:cs="Arial"/>
          <w:b/>
          <w:szCs w:val="21"/>
        </w:rPr>
      </w:pPr>
      <w:bookmarkStart w:id="325" w:name="_Toc27129"/>
      <w:bookmarkStart w:id="326" w:name="_Toc64913365"/>
      <w:bookmarkStart w:id="327" w:name="_Toc28452"/>
      <w:bookmarkStart w:id="328" w:name="_Toc28136"/>
      <w:bookmarkStart w:id="329" w:name="_Toc2113"/>
      <w:bookmarkStart w:id="330" w:name="_Toc64901781"/>
      <w:r>
        <w:rPr>
          <w:rFonts w:hint="eastAsia" w:ascii="Arial" w:hAnsi="Arial" w:eastAsia="新宋体" w:cs="Arial"/>
          <w:b/>
          <w:szCs w:val="21"/>
        </w:rPr>
        <w:t>（五）</w:t>
      </w:r>
      <w:r>
        <w:rPr>
          <w:rFonts w:hint="eastAsia" w:ascii="新宋体" w:hAnsi="新宋体" w:eastAsia="新宋体" w:cs="Arial"/>
          <w:b/>
          <w:szCs w:val="21"/>
        </w:rPr>
        <w:t>▲</w:t>
      </w:r>
      <w:r>
        <w:rPr>
          <w:rFonts w:hint="eastAsia" w:ascii="Arial" w:hAnsi="Arial" w:eastAsia="新宋体" w:cs="Arial"/>
          <w:b/>
          <w:szCs w:val="21"/>
        </w:rPr>
        <w:t>投标报价要求</w:t>
      </w:r>
      <w:bookmarkEnd w:id="325"/>
      <w:bookmarkEnd w:id="326"/>
      <w:bookmarkEnd w:id="327"/>
      <w:bookmarkEnd w:id="328"/>
      <w:bookmarkEnd w:id="329"/>
      <w:bookmarkEnd w:id="330"/>
    </w:p>
    <w:p>
      <w:pPr>
        <w:overflowPunct w:val="0"/>
        <w:adjustRightInd w:val="0"/>
        <w:spacing w:line="360" w:lineRule="auto"/>
        <w:ind w:firstLine="420" w:firstLineChars="200"/>
        <w:textAlignment w:val="bottom"/>
        <w:rPr>
          <w:rFonts w:ascii="宋体"/>
          <w:bCs/>
          <w:szCs w:val="21"/>
        </w:rPr>
      </w:pPr>
      <w:r>
        <w:rPr>
          <w:rFonts w:hint="eastAsia" w:ascii="宋体"/>
          <w:bCs/>
          <w:szCs w:val="21"/>
        </w:rPr>
        <w:t>1、本项目总报价按三年服务期进行报价。</w:t>
      </w:r>
    </w:p>
    <w:p>
      <w:pPr>
        <w:widowControl w:val="0"/>
        <w:autoSpaceDE w:val="0"/>
        <w:autoSpaceDN w:val="0"/>
        <w:adjustRightInd w:val="0"/>
        <w:spacing w:line="360" w:lineRule="auto"/>
        <w:ind w:firstLine="422" w:firstLineChars="200"/>
        <w:textAlignment w:val="bottom"/>
        <w:rPr>
          <w:rFonts w:hint="eastAsia" w:ascii="宋体"/>
          <w:szCs w:val="21"/>
          <w:u w:val="single"/>
        </w:rPr>
      </w:pPr>
      <w:r>
        <w:rPr>
          <w:rFonts w:hint="eastAsia" w:ascii="宋体"/>
          <w:b/>
          <w:szCs w:val="21"/>
          <w:u w:val="single"/>
        </w:rPr>
        <w:t>2、▲中标供应商须为符合国家相关缴纳社保规定的所有员工缴纳社保（计入投标总价），其中一线现场服务人员社保缴纳人数不得低于一线现场服务人员总数的30%，供应商在投标报价中综合考虑，今后不再调整。合同实施过程中发现一线现场服务人员社保缴纳人数未达到一线现场服务人员总数的30%的，每少一人每月处以2400元违约金，直接从当月服务款中扣除。</w:t>
      </w:r>
    </w:p>
    <w:p>
      <w:pPr>
        <w:overflowPunct w:val="0"/>
        <w:adjustRightInd w:val="0"/>
        <w:spacing w:line="360" w:lineRule="auto"/>
        <w:ind w:firstLine="422" w:firstLineChars="200"/>
        <w:textAlignment w:val="bottom"/>
        <w:rPr>
          <w:rFonts w:ascii="宋体"/>
          <w:b/>
          <w:bCs/>
          <w:szCs w:val="21"/>
          <w:u w:val="single"/>
        </w:rPr>
      </w:pPr>
      <w:r>
        <w:rPr>
          <w:rFonts w:hint="eastAsia"/>
          <w:b/>
          <w:bCs/>
          <w:szCs w:val="21"/>
          <w:u w:val="single"/>
        </w:rPr>
        <w:t>▲中标供应商须为一线现场服务人员缴纳意外保险，供应商在投标报价中综合考虑，今后不再调整。</w:t>
      </w:r>
    </w:p>
    <w:p>
      <w:pPr>
        <w:overflowPunct w:val="0"/>
        <w:adjustRightInd w:val="0"/>
        <w:spacing w:line="360" w:lineRule="auto"/>
        <w:ind w:firstLine="422" w:firstLineChars="200"/>
        <w:textAlignment w:val="bottom"/>
        <w:rPr>
          <w:rFonts w:ascii="宋体"/>
          <w:b/>
          <w:szCs w:val="21"/>
          <w:u w:val="single"/>
        </w:rPr>
      </w:pPr>
      <w:r>
        <w:rPr>
          <w:rFonts w:hint="eastAsia" w:ascii="宋体"/>
          <w:b/>
          <w:szCs w:val="21"/>
          <w:u w:val="single"/>
        </w:rPr>
        <w:t>3、▲结合本项目具体情况，要求本次投标供应商员工基本工资最低不得低于瑞安市本年度最低工资标准的120%（即2160元，最低工资不包括下列四项收入：延长工作时间的工资；中班、夜班、高温、低温、有毒有害等特殊工作环境、条件下的津贴；贴补伙食、住房等支付给劳动者的非货币性收入；法律、法规和国家规定的劳动者福利待遇等）。</w:t>
      </w:r>
    </w:p>
    <w:p>
      <w:pPr>
        <w:overflowPunct w:val="0"/>
        <w:adjustRightInd w:val="0"/>
        <w:spacing w:line="360" w:lineRule="auto"/>
        <w:ind w:firstLine="422" w:firstLineChars="200"/>
        <w:textAlignment w:val="bottom"/>
        <w:rPr>
          <w:rFonts w:ascii="宋体"/>
          <w:b/>
          <w:szCs w:val="21"/>
          <w:u w:val="single"/>
        </w:rPr>
      </w:pPr>
      <w:r>
        <w:rPr>
          <w:rFonts w:hint="eastAsia" w:ascii="宋体"/>
          <w:b/>
          <w:szCs w:val="21"/>
          <w:u w:val="single"/>
        </w:rPr>
        <w:t>4、▲高温补贴共4个月（六、七、八、九共四月，逐月发放，一线现场服务人员每人每月不低于300元人民币）按相关规定发放。</w:t>
      </w:r>
    </w:p>
    <w:p>
      <w:pPr>
        <w:overflowPunct w:val="0"/>
        <w:adjustRightInd w:val="0"/>
        <w:spacing w:line="360" w:lineRule="auto"/>
        <w:ind w:firstLine="422" w:firstLineChars="200"/>
        <w:textAlignment w:val="bottom"/>
        <w:rPr>
          <w:rFonts w:ascii="宋体"/>
          <w:b/>
          <w:szCs w:val="21"/>
          <w:u w:val="single"/>
        </w:rPr>
      </w:pPr>
      <w:r>
        <w:rPr>
          <w:rFonts w:hint="eastAsia" w:ascii="宋体"/>
          <w:b/>
          <w:szCs w:val="21"/>
          <w:u w:val="single"/>
        </w:rPr>
        <w:t>5、▲特殊岗位津贴发放标准按10元/每人/每出勤日。</w:t>
      </w:r>
    </w:p>
    <w:p>
      <w:pPr>
        <w:overflowPunct w:val="0"/>
        <w:adjustRightInd w:val="0"/>
        <w:spacing w:line="360" w:lineRule="auto"/>
        <w:ind w:firstLine="420" w:firstLineChars="200"/>
        <w:textAlignment w:val="bottom"/>
        <w:rPr>
          <w:rFonts w:ascii="宋体"/>
          <w:bCs/>
          <w:szCs w:val="21"/>
        </w:rPr>
      </w:pPr>
      <w:r>
        <w:rPr>
          <w:rFonts w:hint="eastAsia" w:ascii="宋体"/>
          <w:bCs/>
          <w:szCs w:val="21"/>
        </w:rPr>
        <w:t>6、</w:t>
      </w:r>
      <w:r>
        <w:rPr>
          <w:rFonts w:hint="eastAsia" w:ascii="宋体" w:hAnsi="宋体" w:cs="宋体"/>
          <w:b/>
          <w:szCs w:val="21"/>
        </w:rPr>
        <w:t>所有人员的服装费用由供应商自行负责配备，工服款式总体保持一致，具体细节处理由供应商自行决定，但根据工种不同穿着对应主色的工服（见下表），按招标文件要求统一着装（反光服，包括上衣、裤子），但服装样式需经采购人核准，服装费包含在投标总价中。如在合同服务期内，采购人有权统一服装款式及样式，供应商需无条件响应并配合其工作。以下人员专人专岗，不得混岗，未经采购人同意擅自混岗的，每发现一次扣罚400元/人次</w:t>
      </w:r>
      <w:r>
        <w:rPr>
          <w:rFonts w:hint="eastAsia" w:ascii="宋体"/>
          <w:bCs/>
          <w:szCs w:val="21"/>
        </w:rPr>
        <w:t>。</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3"/>
        <w:gridCol w:w="5676"/>
        <w:gridCol w:w="2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序号</w:t>
            </w:r>
          </w:p>
        </w:tc>
        <w:tc>
          <w:tcPr>
            <w:tcW w:w="305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工种</w:t>
            </w:r>
          </w:p>
        </w:tc>
        <w:tc>
          <w:tcPr>
            <w:tcW w:w="1339"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工服对应主色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1</w:t>
            </w:r>
          </w:p>
        </w:tc>
        <w:tc>
          <w:tcPr>
            <w:tcW w:w="3055" w:type="pct"/>
            <w:shd w:val="clear" w:color="auto" w:fill="auto"/>
            <w:noWrap w:val="0"/>
            <w:vAlign w:val="top"/>
          </w:tcPr>
          <w:p>
            <w:pPr>
              <w:pStyle w:val="16"/>
              <w:widowControl w:val="0"/>
              <w:ind w:left="0" w:leftChars="0"/>
              <w:jc w:val="both"/>
              <w:rPr>
                <w:rFonts w:ascii="宋体" w:hAnsi="宋体" w:cs="宋体"/>
              </w:rPr>
            </w:pPr>
            <w:r>
              <w:rPr>
                <w:rFonts w:hint="eastAsia" w:ascii="宋体" w:hAnsi="宋体" w:cs="宋体"/>
              </w:rPr>
              <w:t>道路（含公路）清扫保洁</w:t>
            </w:r>
          </w:p>
        </w:tc>
        <w:tc>
          <w:tcPr>
            <w:tcW w:w="1339"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橙色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2</w:t>
            </w:r>
          </w:p>
        </w:tc>
        <w:tc>
          <w:tcPr>
            <w:tcW w:w="3055"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公园、绿化带保洁</w:t>
            </w:r>
          </w:p>
        </w:tc>
        <w:tc>
          <w:tcPr>
            <w:tcW w:w="1339"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绿色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3</w:t>
            </w:r>
          </w:p>
        </w:tc>
        <w:tc>
          <w:tcPr>
            <w:tcW w:w="3055"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公厕保洁</w:t>
            </w:r>
          </w:p>
        </w:tc>
        <w:tc>
          <w:tcPr>
            <w:tcW w:w="1339"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棕色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4</w:t>
            </w:r>
          </w:p>
        </w:tc>
        <w:tc>
          <w:tcPr>
            <w:tcW w:w="3055"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清运及机械化作业、驾驶员等人员</w:t>
            </w:r>
          </w:p>
        </w:tc>
        <w:tc>
          <w:tcPr>
            <w:tcW w:w="1339"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灰色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5</w:t>
            </w:r>
          </w:p>
        </w:tc>
        <w:tc>
          <w:tcPr>
            <w:tcW w:w="3055"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河道及飞云江堤坝外保洁</w:t>
            </w:r>
          </w:p>
        </w:tc>
        <w:tc>
          <w:tcPr>
            <w:tcW w:w="1339"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红色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6</w:t>
            </w:r>
          </w:p>
        </w:tc>
        <w:tc>
          <w:tcPr>
            <w:tcW w:w="3055"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小广告清理</w:t>
            </w:r>
          </w:p>
        </w:tc>
        <w:tc>
          <w:tcPr>
            <w:tcW w:w="1339"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黄色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5" w:type="pct"/>
            <w:shd w:val="clear" w:color="auto" w:fill="auto"/>
            <w:noWrap w:val="0"/>
            <w:vAlign w:val="top"/>
          </w:tcPr>
          <w:p>
            <w:pPr>
              <w:pStyle w:val="16"/>
              <w:widowControl w:val="0"/>
              <w:ind w:left="0" w:leftChars="0"/>
              <w:jc w:val="center"/>
              <w:rPr>
                <w:rFonts w:hint="eastAsia" w:ascii="宋体" w:hAnsi="宋体" w:cs="宋体"/>
              </w:rPr>
            </w:pPr>
            <w:r>
              <w:rPr>
                <w:rFonts w:hint="eastAsia" w:ascii="宋体" w:hAnsi="宋体" w:cs="宋体"/>
              </w:rPr>
              <w:t>7</w:t>
            </w:r>
          </w:p>
        </w:tc>
        <w:tc>
          <w:tcPr>
            <w:tcW w:w="3055"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城市家具清洗</w:t>
            </w:r>
          </w:p>
        </w:tc>
        <w:tc>
          <w:tcPr>
            <w:tcW w:w="1339" w:type="pct"/>
            <w:shd w:val="clear" w:color="auto" w:fill="auto"/>
            <w:noWrap w:val="0"/>
            <w:vAlign w:val="top"/>
          </w:tcPr>
          <w:p>
            <w:pPr>
              <w:pStyle w:val="16"/>
              <w:widowControl w:val="0"/>
              <w:ind w:left="0" w:leftChars="0"/>
              <w:jc w:val="both"/>
              <w:rPr>
                <w:rFonts w:hint="eastAsia" w:ascii="宋体" w:hAnsi="宋体" w:cs="宋体"/>
              </w:rPr>
            </w:pPr>
            <w:r>
              <w:rPr>
                <w:rFonts w:hint="eastAsia" w:ascii="宋体" w:hAnsi="宋体" w:cs="宋体"/>
              </w:rPr>
              <w:t>蓝色</w:t>
            </w:r>
          </w:p>
        </w:tc>
      </w:tr>
    </w:tbl>
    <w:p>
      <w:pPr>
        <w:overflowPunct w:val="0"/>
        <w:adjustRightInd w:val="0"/>
        <w:spacing w:line="360" w:lineRule="auto"/>
        <w:ind w:firstLine="420" w:firstLineChars="200"/>
        <w:textAlignment w:val="bottom"/>
        <w:rPr>
          <w:rFonts w:ascii="宋体"/>
          <w:bCs/>
          <w:szCs w:val="21"/>
        </w:rPr>
      </w:pPr>
      <w:r>
        <w:rPr>
          <w:rFonts w:ascii="宋体"/>
          <w:bCs/>
          <w:szCs w:val="21"/>
        </w:rPr>
        <w:t>7</w:t>
      </w:r>
      <w:r>
        <w:rPr>
          <w:rFonts w:hint="eastAsia" w:ascii="宋体"/>
          <w:bCs/>
          <w:szCs w:val="21"/>
        </w:rPr>
        <w:t>、机械、车辆、船只的折旧、保险（交强险、商业险，包括小型电动车、人力车意外险）、维护保养、修理费、油费、电费和水费、停车场地（租金）费用由中标供应商自行负责，费用计入投标总价。</w:t>
      </w:r>
    </w:p>
    <w:p>
      <w:pPr>
        <w:overflowPunct w:val="0"/>
        <w:adjustRightInd w:val="0"/>
        <w:spacing w:line="360" w:lineRule="auto"/>
        <w:ind w:firstLine="420" w:firstLineChars="200"/>
        <w:textAlignment w:val="bottom"/>
        <w:rPr>
          <w:rFonts w:ascii="宋体"/>
          <w:bCs/>
          <w:szCs w:val="21"/>
        </w:rPr>
      </w:pPr>
      <w:r>
        <w:rPr>
          <w:rFonts w:hint="eastAsia" w:ascii="宋体"/>
          <w:bCs/>
          <w:szCs w:val="21"/>
        </w:rPr>
        <w:t>8、本项目环卫保洁水费目前按6.05元/吨计算，如合同履约期间实际水价调整的，可以按实际价格调整水费。</w:t>
      </w:r>
    </w:p>
    <w:p>
      <w:pPr>
        <w:overflowPunct w:val="0"/>
        <w:adjustRightInd w:val="0"/>
        <w:spacing w:line="360" w:lineRule="auto"/>
        <w:ind w:firstLine="420" w:firstLineChars="200"/>
        <w:textAlignment w:val="bottom"/>
        <w:rPr>
          <w:rFonts w:ascii="宋体"/>
          <w:bCs/>
          <w:szCs w:val="21"/>
        </w:rPr>
      </w:pPr>
      <w:r>
        <w:rPr>
          <w:rFonts w:ascii="宋体"/>
          <w:bCs/>
          <w:szCs w:val="21"/>
        </w:rPr>
        <w:t>9</w:t>
      </w:r>
      <w:r>
        <w:rPr>
          <w:rFonts w:hint="eastAsia" w:ascii="宋体"/>
          <w:bCs/>
          <w:szCs w:val="21"/>
        </w:rPr>
        <w:t>、本项目投标报价采用固定总价承包，并对合同内容的费用、质量、安全、文明服务等实行全面承包。投标总价必须包括在承包区域内提供服务所需的人工费（包括工人工资、奖金、房补、劳保福利、社保（一线现场服务人员社保缴纳人数不得低于一线现场服务人员总数的30%）、意外保险、工伤费、教育培训费、暂住费及处理一切伤亡事故等费用）、机械台班费、水电费、工具材料费、保洁低值易耗品、垃圾清运费（含建筑垃圾处置）、安全文明生产装备费（包括工人冬、夏装工作服等）、企业应缴税金和应得利润、应急等完成合同所需的一切本身和不可或缺的所有工作开支、政策性文件规定计合同包含的所有风险、责任等各项全部费用并承担一切风险责任。投标供应商认为完成本招标文件规定的项目承包内容所发生的直接成本、间接成本、利润、税金、政策性文件规定的费用、设备进出场费等一切费用均应计入投标报价，凡未列入的将被认为均已包含在投标总价中，今后不得以任何理由追加或调整。</w:t>
      </w:r>
    </w:p>
    <w:p>
      <w:pPr>
        <w:overflowPunct w:val="0"/>
        <w:adjustRightInd w:val="0"/>
        <w:spacing w:line="360" w:lineRule="auto"/>
        <w:ind w:firstLine="420" w:firstLineChars="200"/>
        <w:textAlignment w:val="bottom"/>
        <w:rPr>
          <w:rFonts w:hint="eastAsia" w:ascii="宋体"/>
          <w:bCs/>
          <w:szCs w:val="21"/>
        </w:rPr>
      </w:pPr>
      <w:r>
        <w:rPr>
          <w:rFonts w:ascii="宋体"/>
          <w:bCs/>
          <w:szCs w:val="21"/>
        </w:rPr>
        <w:t>10</w:t>
      </w:r>
      <w:r>
        <w:rPr>
          <w:rFonts w:hint="eastAsia" w:ascii="宋体"/>
          <w:bCs/>
          <w:szCs w:val="21"/>
        </w:rPr>
        <w:t>、本次报价含辖区内所有垃圾清运（包括但不限于无主建筑垃圾、生活垃圾、绿化垃圾等），中标供应商须将垃圾运至合规垃圾场处置及消纳。</w:t>
      </w:r>
    </w:p>
    <w:p>
      <w:pPr>
        <w:overflowPunct w:val="0"/>
        <w:spacing w:line="360" w:lineRule="auto"/>
        <w:ind w:firstLine="525" w:firstLineChars="250"/>
        <w:rPr>
          <w:rFonts w:hint="eastAsia" w:ascii="宋体" w:hAnsi="宋体"/>
          <w:bCs/>
          <w:color w:val="000000"/>
          <w:kern w:val="2"/>
          <w:sz w:val="22"/>
          <w:szCs w:val="22"/>
        </w:rPr>
      </w:pPr>
      <w:r>
        <w:rPr>
          <w:rFonts w:hint="eastAsia" w:ascii="宋体"/>
          <w:bCs/>
          <w:szCs w:val="21"/>
        </w:rPr>
        <w:t>11、本次采购，在服务期内如因政策性因素调整导致相关人员的工资、社保、节假日、高温补贴出现变化的，该部分费用由中标供应商自行承担，采购人不予以调整该部分费用，各供应商在报价时须综合考虑风险。</w:t>
      </w:r>
    </w:p>
    <w:bookmarkEnd w:id="32"/>
    <w:p>
      <w:pPr>
        <w:pStyle w:val="3"/>
        <w:keepNext w:val="0"/>
        <w:keepLines w:val="0"/>
        <w:pageBreakBefore/>
        <w:jc w:val="center"/>
        <w:rPr>
          <w:rFonts w:hint="eastAsia"/>
          <w:sz w:val="36"/>
        </w:rPr>
      </w:pPr>
      <w:bookmarkStart w:id="331" w:name="_Toc64913366"/>
      <w:r>
        <w:rPr>
          <w:rFonts w:hint="eastAsia"/>
          <w:sz w:val="36"/>
        </w:rPr>
        <w:t>第四部分  合同条款</w:t>
      </w:r>
      <w:bookmarkEnd w:id="28"/>
      <w:bookmarkEnd w:id="29"/>
      <w:r>
        <w:rPr>
          <w:rStyle w:val="60"/>
          <w:rFonts w:hint="eastAsia"/>
          <w:sz w:val="36"/>
          <w:szCs w:val="36"/>
        </w:rPr>
        <w:t>（仅供参考）</w:t>
      </w:r>
      <w:bookmarkEnd w:id="30"/>
      <w:bookmarkEnd w:id="331"/>
    </w:p>
    <w:p>
      <w:pPr>
        <w:spacing w:line="600" w:lineRule="exact"/>
        <w:ind w:firstLine="1491" w:firstLineChars="495"/>
        <w:rPr>
          <w:rFonts w:hint="eastAsia" w:ascii="宋体" w:hAnsi="宋体"/>
          <w:sz w:val="30"/>
          <w:szCs w:val="30"/>
          <w:u w:val="single"/>
        </w:rPr>
      </w:pPr>
      <w:r>
        <w:rPr>
          <w:rFonts w:hint="eastAsia" w:ascii="宋体" w:hAnsi="宋体"/>
          <w:b/>
          <w:bCs/>
          <w:sz w:val="30"/>
          <w:szCs w:val="30"/>
        </w:rPr>
        <w:t>合同编号</w:t>
      </w:r>
      <w:r>
        <w:rPr>
          <w:rFonts w:hint="eastAsia" w:ascii="宋体" w:hAnsi="宋体"/>
          <w:sz w:val="30"/>
          <w:szCs w:val="30"/>
        </w:rPr>
        <w:t>：</w:t>
      </w:r>
      <w:r>
        <w:rPr>
          <w:rFonts w:hint="eastAsia" w:ascii="宋体" w:hAnsi="宋体"/>
          <w:sz w:val="30"/>
          <w:szCs w:val="30"/>
          <w:u w:val="single"/>
        </w:rPr>
        <w:t xml:space="preserve">                        </w:t>
      </w:r>
    </w:p>
    <w:p>
      <w:pPr>
        <w:spacing w:line="600" w:lineRule="exact"/>
        <w:rPr>
          <w:rFonts w:hint="eastAsia" w:ascii="宋体" w:hAnsi="宋体"/>
          <w:sz w:val="30"/>
          <w:szCs w:val="30"/>
        </w:rPr>
      </w:pPr>
    </w:p>
    <w:p>
      <w:pPr>
        <w:spacing w:line="600" w:lineRule="exact"/>
        <w:ind w:left="3072" w:leftChars="753" w:hanging="1491" w:hangingChars="495"/>
        <w:rPr>
          <w:rFonts w:hint="eastAsia" w:ascii="宋体" w:hAnsi="宋体"/>
          <w:b/>
          <w:bCs/>
          <w:sz w:val="30"/>
          <w:szCs w:val="30"/>
          <w:u w:val="single"/>
        </w:rPr>
      </w:pPr>
      <w:r>
        <w:rPr>
          <w:rFonts w:hint="eastAsia" w:ascii="宋体" w:hAnsi="宋体"/>
          <w:b/>
          <w:bCs/>
          <w:sz w:val="30"/>
          <w:szCs w:val="30"/>
        </w:rPr>
        <w:t>项目名称：</w:t>
      </w:r>
      <w:r>
        <w:rPr>
          <w:rFonts w:hint="eastAsia" w:ascii="宋体" w:hAnsi="宋体"/>
          <w:b/>
          <w:bCs/>
          <w:sz w:val="30"/>
          <w:szCs w:val="30"/>
          <w:u w:val="single"/>
        </w:rPr>
        <w:t>瑞安市“一把扫帚”环卫保洁一体化项目（安阳街道）</w:t>
      </w:r>
    </w:p>
    <w:p>
      <w:pPr>
        <w:spacing w:line="600" w:lineRule="exact"/>
        <w:ind w:left="3072" w:leftChars="753" w:hanging="1491" w:hangingChars="495"/>
        <w:rPr>
          <w:rFonts w:hint="eastAsia" w:ascii="宋体" w:hAnsi="宋体"/>
          <w:b/>
          <w:bCs/>
          <w:sz w:val="30"/>
          <w:szCs w:val="30"/>
          <w:u w:val="single"/>
        </w:rPr>
      </w:pPr>
    </w:p>
    <w:p>
      <w:pPr>
        <w:spacing w:line="600" w:lineRule="exact"/>
        <w:rPr>
          <w:rFonts w:hint="eastAsia" w:ascii="宋体" w:hAnsi="宋体"/>
          <w:sz w:val="30"/>
          <w:szCs w:val="30"/>
        </w:rPr>
      </w:pPr>
      <w:r>
        <w:rPr>
          <w:rFonts w:hint="eastAsia" w:ascii="宋体" w:hAnsi="宋体"/>
          <w:sz w:val="30"/>
          <w:szCs w:val="30"/>
        </w:rPr>
        <w:t xml:space="preserve">          </w:t>
      </w:r>
      <w:r>
        <w:rPr>
          <w:rFonts w:hint="eastAsia" w:ascii="宋体" w:hAnsi="宋体"/>
          <w:b/>
          <w:bCs/>
          <w:sz w:val="30"/>
          <w:szCs w:val="30"/>
        </w:rPr>
        <w:t>甲  方</w:t>
      </w:r>
      <w:r>
        <w:rPr>
          <w:rFonts w:hint="eastAsia" w:ascii="宋体" w:hAnsi="宋体"/>
          <w:sz w:val="30"/>
          <w:szCs w:val="30"/>
        </w:rPr>
        <w:t>：</w:t>
      </w:r>
      <w:r>
        <w:rPr>
          <w:rFonts w:hint="eastAsia" w:ascii="宋体" w:hAnsi="宋体"/>
          <w:sz w:val="30"/>
          <w:szCs w:val="30"/>
          <w:u w:val="single"/>
        </w:rPr>
        <w:t xml:space="preserve">                         </w:t>
      </w:r>
    </w:p>
    <w:p>
      <w:pPr>
        <w:spacing w:line="600" w:lineRule="exact"/>
        <w:rPr>
          <w:rFonts w:hint="eastAsia" w:ascii="宋体" w:hAnsi="宋体"/>
          <w:sz w:val="30"/>
          <w:szCs w:val="30"/>
        </w:rPr>
      </w:pPr>
    </w:p>
    <w:p>
      <w:pPr>
        <w:spacing w:line="600" w:lineRule="exact"/>
        <w:ind w:left="1596" w:leftChars="760"/>
        <w:rPr>
          <w:rFonts w:hint="eastAsia" w:ascii="宋体" w:hAnsi="宋体"/>
          <w:sz w:val="30"/>
          <w:szCs w:val="30"/>
          <w:u w:val="single"/>
        </w:rPr>
      </w:pPr>
      <w:r>
        <w:rPr>
          <w:rFonts w:hint="eastAsia" w:ascii="宋体" w:hAnsi="宋体"/>
          <w:b/>
          <w:bCs/>
          <w:sz w:val="30"/>
          <w:szCs w:val="30"/>
        </w:rPr>
        <w:t>乙  方</w:t>
      </w:r>
      <w:r>
        <w:rPr>
          <w:rFonts w:hint="eastAsia" w:ascii="宋体" w:hAnsi="宋体"/>
          <w:sz w:val="30"/>
          <w:szCs w:val="30"/>
        </w:rPr>
        <w:t>：</w:t>
      </w:r>
      <w:r>
        <w:rPr>
          <w:rFonts w:hint="eastAsia" w:ascii="宋体" w:hAnsi="宋体"/>
          <w:sz w:val="30"/>
          <w:szCs w:val="30"/>
          <w:u w:val="single"/>
        </w:rPr>
        <w:t xml:space="preserve">                         </w:t>
      </w:r>
    </w:p>
    <w:p>
      <w:pPr>
        <w:spacing w:line="600" w:lineRule="exact"/>
        <w:rPr>
          <w:rFonts w:hint="eastAsia" w:ascii="宋体" w:hAnsi="宋体"/>
          <w:sz w:val="30"/>
          <w:szCs w:val="30"/>
        </w:rPr>
      </w:pPr>
    </w:p>
    <w:p>
      <w:pPr>
        <w:spacing w:line="600" w:lineRule="exact"/>
        <w:rPr>
          <w:rFonts w:hint="eastAsia" w:ascii="宋体" w:hAnsi="宋体"/>
          <w:sz w:val="32"/>
          <w:szCs w:val="32"/>
        </w:rPr>
      </w:pPr>
    </w:p>
    <w:p>
      <w:pPr>
        <w:spacing w:line="600" w:lineRule="exact"/>
        <w:rPr>
          <w:rFonts w:hint="eastAsia" w:ascii="宋体" w:hAnsi="宋体"/>
          <w:sz w:val="32"/>
          <w:szCs w:val="32"/>
        </w:rPr>
      </w:pPr>
    </w:p>
    <w:p>
      <w:pPr>
        <w:spacing w:line="600" w:lineRule="exact"/>
        <w:rPr>
          <w:rFonts w:hint="eastAsia" w:ascii="宋体" w:hAnsi="宋体"/>
          <w:sz w:val="32"/>
          <w:szCs w:val="32"/>
        </w:rPr>
      </w:pPr>
    </w:p>
    <w:p>
      <w:pPr>
        <w:spacing w:line="600" w:lineRule="exact"/>
        <w:ind w:firstLine="1491" w:firstLineChars="495"/>
        <w:rPr>
          <w:rFonts w:hint="eastAsia" w:ascii="宋体" w:hAnsi="宋体"/>
          <w:sz w:val="30"/>
          <w:szCs w:val="30"/>
        </w:rPr>
      </w:pPr>
      <w:r>
        <w:rPr>
          <w:rFonts w:hint="eastAsia" w:ascii="宋体" w:hAnsi="宋体"/>
          <w:b/>
          <w:bCs/>
          <w:sz w:val="30"/>
          <w:szCs w:val="30"/>
        </w:rPr>
        <w:t>签订日期</w:t>
      </w:r>
      <w:r>
        <w:rPr>
          <w:rFonts w:hint="eastAsia" w:ascii="宋体" w:hAnsi="宋体"/>
          <w:sz w:val="30"/>
          <w:szCs w:val="30"/>
        </w:rPr>
        <w:t>：</w:t>
      </w:r>
      <w:r>
        <w:rPr>
          <w:rFonts w:hint="eastAsia" w:ascii="宋体" w:hAnsi="宋体"/>
          <w:sz w:val="30"/>
          <w:szCs w:val="30"/>
          <w:u w:val="single"/>
        </w:rPr>
        <w:t xml:space="preserve">     </w:t>
      </w:r>
      <w:r>
        <w:rPr>
          <w:rFonts w:hint="eastAsia" w:ascii="宋体" w:hAnsi="宋体"/>
          <w:b/>
          <w:bCs/>
          <w:sz w:val="30"/>
          <w:szCs w:val="30"/>
        </w:rPr>
        <w:t>年</w:t>
      </w:r>
      <w:r>
        <w:rPr>
          <w:rFonts w:hint="eastAsia" w:ascii="宋体" w:hAnsi="宋体"/>
          <w:sz w:val="30"/>
          <w:szCs w:val="30"/>
          <w:u w:val="single"/>
        </w:rPr>
        <w:t xml:space="preserve">      </w:t>
      </w:r>
      <w:r>
        <w:rPr>
          <w:rFonts w:hint="eastAsia" w:ascii="宋体" w:hAnsi="宋体"/>
          <w:b/>
          <w:bCs/>
          <w:sz w:val="30"/>
          <w:szCs w:val="30"/>
        </w:rPr>
        <w:t>月</w:t>
      </w:r>
      <w:r>
        <w:rPr>
          <w:rFonts w:hint="eastAsia" w:ascii="宋体" w:hAnsi="宋体"/>
          <w:sz w:val="30"/>
          <w:szCs w:val="30"/>
          <w:u w:val="single"/>
        </w:rPr>
        <w:t xml:space="preserve">     </w:t>
      </w:r>
      <w:r>
        <w:rPr>
          <w:rFonts w:hint="eastAsia" w:ascii="宋体" w:hAnsi="宋体"/>
          <w:b/>
          <w:bCs/>
          <w:sz w:val="30"/>
          <w:szCs w:val="30"/>
        </w:rPr>
        <w:t>日</w:t>
      </w:r>
    </w:p>
    <w:p>
      <w:pPr>
        <w:pStyle w:val="19"/>
        <w:spacing w:line="420" w:lineRule="atLeast"/>
        <w:jc w:val="center"/>
        <w:rPr>
          <w:rFonts w:hint="eastAsia" w:hAnsi="宋体"/>
          <w:sz w:val="30"/>
          <w:szCs w:val="30"/>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pStyle w:val="19"/>
        <w:snapToGrid w:val="0"/>
        <w:spacing w:line="420" w:lineRule="atLeast"/>
        <w:jc w:val="left"/>
        <w:rPr>
          <w:rFonts w:hAnsi="宋体"/>
          <w:szCs w:val="21"/>
        </w:rPr>
      </w:pPr>
    </w:p>
    <w:p>
      <w:pPr>
        <w:rPr>
          <w:rFonts w:hint="eastAsia" w:ascii="宋体" w:hAnsi="宋体" w:cs="Arial"/>
        </w:rPr>
      </w:pPr>
    </w:p>
    <w:p>
      <w:pPr>
        <w:pStyle w:val="19"/>
        <w:tabs>
          <w:tab w:val="left" w:pos="1651"/>
          <w:tab w:val="left" w:pos="3828"/>
        </w:tabs>
        <w:spacing w:line="520" w:lineRule="exact"/>
        <w:jc w:val="center"/>
        <w:rPr>
          <w:rFonts w:hAnsi="宋体" w:cs="宋体"/>
          <w:b/>
        </w:rPr>
      </w:pPr>
      <w:r>
        <w:rPr>
          <w:rFonts w:hint="eastAsia" w:hAnsi="宋体" w:cs="宋体"/>
          <w:b/>
        </w:rPr>
        <w:t>一、合同总则</w:t>
      </w:r>
    </w:p>
    <w:p>
      <w:pPr>
        <w:pStyle w:val="19"/>
        <w:tabs>
          <w:tab w:val="left" w:pos="1651"/>
          <w:tab w:val="left" w:pos="3828"/>
        </w:tabs>
        <w:spacing w:line="520" w:lineRule="exact"/>
        <w:ind w:firstLine="420" w:firstLineChars="200"/>
        <w:rPr>
          <w:rFonts w:hAnsi="宋体" w:cs="宋体"/>
        </w:rPr>
      </w:pPr>
      <w:r>
        <w:rPr>
          <w:rFonts w:hint="eastAsia" w:hAnsi="宋体" w:cs="宋体"/>
        </w:rPr>
        <w:t>瑞安市“一把扫帚”环卫保洁一体化项目（安阳街道）（项目编号：  ）通过公开招标方式采购，中标人为</w:t>
      </w:r>
      <w:r>
        <w:rPr>
          <w:rFonts w:hint="eastAsia" w:hAnsi="宋体" w:cs="宋体"/>
          <w:b/>
          <w:bCs/>
        </w:rPr>
        <w:t xml:space="preserve">    </w:t>
      </w:r>
      <w:r>
        <w:rPr>
          <w:rFonts w:hint="eastAsia" w:hAnsi="宋体" w:cs="宋体"/>
        </w:rPr>
        <w:t>。甲乙双方根据《中华人民共和国民法典》等有关法律法规和本合同的招标文件、投标文件及相关承诺，经双方友好协商，同意签订本合同，共同遵守。</w:t>
      </w:r>
    </w:p>
    <w:p>
      <w:pPr>
        <w:spacing w:line="520" w:lineRule="exact"/>
        <w:ind w:firstLine="517" w:firstLineChars="245"/>
        <w:rPr>
          <w:rFonts w:ascii="宋体" w:hAnsi="宋体" w:cs="宋体"/>
          <w:b/>
          <w:szCs w:val="21"/>
        </w:rPr>
      </w:pPr>
      <w:bookmarkStart w:id="332" w:name="_Toc10045"/>
      <w:bookmarkStart w:id="333" w:name="_Toc14093"/>
      <w:r>
        <w:rPr>
          <w:rFonts w:hint="eastAsia" w:ascii="宋体" w:hAnsi="宋体" w:cs="宋体"/>
          <w:b/>
          <w:szCs w:val="21"/>
        </w:rPr>
        <w:t>第一条 合同文件：下列文件构成本合同的组成部分：</w:t>
      </w:r>
      <w:bookmarkEnd w:id="332"/>
      <w:bookmarkEnd w:id="333"/>
    </w:p>
    <w:p>
      <w:pPr>
        <w:adjustRightInd w:val="0"/>
        <w:snapToGrid w:val="0"/>
        <w:spacing w:line="520" w:lineRule="exact"/>
        <w:ind w:firstLine="630"/>
        <w:rPr>
          <w:rFonts w:ascii="宋体" w:hAnsi="宋体" w:cs="宋体"/>
          <w:szCs w:val="21"/>
        </w:rPr>
      </w:pPr>
      <w:r>
        <w:rPr>
          <w:rFonts w:hint="eastAsia" w:ascii="宋体" w:hAnsi="宋体" w:cs="宋体"/>
          <w:szCs w:val="21"/>
        </w:rPr>
        <w:t>a. 合同补充条款或说明</w:t>
      </w:r>
    </w:p>
    <w:p>
      <w:pPr>
        <w:adjustRightInd w:val="0"/>
        <w:snapToGrid w:val="0"/>
        <w:spacing w:line="520" w:lineRule="exact"/>
        <w:ind w:firstLine="630"/>
        <w:rPr>
          <w:rFonts w:ascii="宋体" w:hAnsi="宋体" w:cs="宋体"/>
          <w:szCs w:val="21"/>
        </w:rPr>
      </w:pPr>
      <w:r>
        <w:rPr>
          <w:rFonts w:hint="eastAsia" w:ascii="宋体" w:hAnsi="宋体" w:cs="宋体"/>
          <w:szCs w:val="21"/>
        </w:rPr>
        <w:t>b. 合同主要条款</w:t>
      </w:r>
    </w:p>
    <w:p>
      <w:pPr>
        <w:adjustRightInd w:val="0"/>
        <w:snapToGrid w:val="0"/>
        <w:spacing w:line="520" w:lineRule="exact"/>
        <w:ind w:firstLine="630"/>
        <w:rPr>
          <w:rFonts w:ascii="宋体" w:hAnsi="宋体" w:cs="宋体"/>
          <w:szCs w:val="21"/>
        </w:rPr>
      </w:pPr>
      <w:r>
        <w:rPr>
          <w:rFonts w:hint="eastAsia" w:ascii="宋体" w:hAnsi="宋体" w:cs="宋体"/>
          <w:szCs w:val="21"/>
        </w:rPr>
        <w:t>c. 中标通知书</w:t>
      </w:r>
    </w:p>
    <w:p>
      <w:pPr>
        <w:adjustRightInd w:val="0"/>
        <w:snapToGrid w:val="0"/>
        <w:spacing w:line="520" w:lineRule="exact"/>
        <w:ind w:firstLine="630"/>
        <w:rPr>
          <w:rFonts w:ascii="宋体" w:hAnsi="宋体" w:cs="宋体"/>
          <w:szCs w:val="21"/>
        </w:rPr>
      </w:pPr>
      <w:r>
        <w:rPr>
          <w:rFonts w:hint="eastAsia" w:ascii="宋体" w:hAnsi="宋体" w:cs="宋体"/>
          <w:szCs w:val="21"/>
        </w:rPr>
        <w:t>d. 招标文件</w:t>
      </w:r>
    </w:p>
    <w:p>
      <w:pPr>
        <w:adjustRightInd w:val="0"/>
        <w:snapToGrid w:val="0"/>
        <w:spacing w:line="520" w:lineRule="exact"/>
        <w:ind w:firstLine="630"/>
        <w:rPr>
          <w:rFonts w:ascii="宋体" w:hAnsi="宋体" w:cs="宋体"/>
          <w:szCs w:val="21"/>
        </w:rPr>
      </w:pPr>
      <w:r>
        <w:rPr>
          <w:rFonts w:hint="eastAsia" w:ascii="宋体" w:hAnsi="宋体" w:cs="宋体"/>
          <w:szCs w:val="21"/>
        </w:rPr>
        <w:t>e. 承诺书</w:t>
      </w:r>
    </w:p>
    <w:p>
      <w:pPr>
        <w:adjustRightInd w:val="0"/>
        <w:snapToGrid w:val="0"/>
        <w:spacing w:line="520" w:lineRule="exact"/>
        <w:ind w:firstLine="630"/>
        <w:rPr>
          <w:rFonts w:ascii="宋体" w:hAnsi="宋体" w:cs="宋体"/>
          <w:szCs w:val="21"/>
        </w:rPr>
      </w:pPr>
      <w:r>
        <w:rPr>
          <w:rFonts w:hint="eastAsia" w:ascii="宋体" w:hAnsi="宋体" w:cs="宋体"/>
          <w:szCs w:val="21"/>
        </w:rPr>
        <w:t>f. 投标文件</w:t>
      </w:r>
    </w:p>
    <w:p>
      <w:pPr>
        <w:adjustRightInd w:val="0"/>
        <w:snapToGrid w:val="0"/>
        <w:spacing w:line="520" w:lineRule="exact"/>
        <w:ind w:firstLine="630"/>
        <w:rPr>
          <w:rFonts w:ascii="宋体" w:hAnsi="宋体" w:cs="宋体"/>
          <w:szCs w:val="21"/>
        </w:rPr>
      </w:pPr>
      <w:r>
        <w:rPr>
          <w:rFonts w:hint="eastAsia" w:ascii="宋体" w:hAnsi="宋体" w:cs="宋体"/>
          <w:szCs w:val="21"/>
        </w:rPr>
        <w:t>g. 履约保证金</w:t>
      </w:r>
    </w:p>
    <w:p>
      <w:pPr>
        <w:pStyle w:val="19"/>
        <w:spacing w:line="520" w:lineRule="exact"/>
        <w:ind w:firstLine="420" w:firstLineChars="200"/>
        <w:rPr>
          <w:rFonts w:hAnsi="宋体" w:cs="宋体"/>
        </w:rPr>
      </w:pPr>
      <w:r>
        <w:rPr>
          <w:rFonts w:hint="eastAsia" w:hAnsi="宋体" w:cs="宋体"/>
        </w:rPr>
        <w:t>合同条款以上述条款的先后顺序作为依据。</w:t>
      </w:r>
    </w:p>
    <w:p>
      <w:pPr>
        <w:pStyle w:val="19"/>
        <w:tabs>
          <w:tab w:val="left" w:pos="1651"/>
          <w:tab w:val="left" w:pos="3828"/>
        </w:tabs>
        <w:spacing w:line="520" w:lineRule="exact"/>
        <w:jc w:val="center"/>
        <w:rPr>
          <w:rFonts w:hAnsi="宋体" w:cs="宋体"/>
          <w:b/>
        </w:rPr>
      </w:pPr>
      <w:bookmarkStart w:id="334" w:name="_Toc28213"/>
      <w:r>
        <w:rPr>
          <w:rFonts w:hint="eastAsia" w:hAnsi="宋体" w:cs="宋体"/>
          <w:b/>
        </w:rPr>
        <w:t>二、合同主要条款</w:t>
      </w:r>
      <w:bookmarkEnd w:id="334"/>
    </w:p>
    <w:p>
      <w:pPr>
        <w:spacing w:line="520" w:lineRule="exact"/>
        <w:ind w:firstLine="413" w:firstLineChars="196"/>
        <w:rPr>
          <w:rFonts w:ascii="宋体" w:hAnsi="宋体" w:cs="宋体"/>
          <w:b/>
          <w:szCs w:val="21"/>
        </w:rPr>
      </w:pPr>
      <w:bookmarkStart w:id="335" w:name="_Toc20584"/>
      <w:r>
        <w:rPr>
          <w:rFonts w:hint="eastAsia" w:ascii="宋体" w:hAnsi="宋体" w:cs="宋体"/>
          <w:b/>
          <w:szCs w:val="21"/>
        </w:rPr>
        <w:t xml:space="preserve">第二条  </w:t>
      </w:r>
      <w:r>
        <w:rPr>
          <w:rFonts w:hint="eastAsia" w:ascii="宋体" w:hAnsi="宋体" w:cs="宋体"/>
          <w:b/>
          <w:bCs/>
          <w:szCs w:val="21"/>
        </w:rPr>
        <w:t>合同</w:t>
      </w:r>
      <w:r>
        <w:rPr>
          <w:rFonts w:hint="eastAsia" w:ascii="宋体" w:hAnsi="宋体" w:cs="宋体"/>
          <w:b/>
          <w:szCs w:val="21"/>
        </w:rPr>
        <w:t>名称</w:t>
      </w:r>
      <w:bookmarkEnd w:id="335"/>
    </w:p>
    <w:p>
      <w:pPr>
        <w:spacing w:line="520" w:lineRule="exact"/>
        <w:ind w:firstLine="411" w:firstLineChars="196"/>
        <w:rPr>
          <w:rFonts w:ascii="宋体" w:hAnsi="宋体" w:cs="宋体"/>
          <w:szCs w:val="21"/>
        </w:rPr>
      </w:pPr>
      <w:bookmarkStart w:id="336" w:name="_Toc25787"/>
      <w:r>
        <w:rPr>
          <w:rFonts w:hint="eastAsia" w:ascii="宋体" w:hAnsi="宋体" w:cs="宋体"/>
          <w:szCs w:val="21"/>
        </w:rPr>
        <w:t>瑞安市“一把扫帚”环卫保洁一体化服务（   ）承包合同。</w:t>
      </w:r>
    </w:p>
    <w:p>
      <w:pPr>
        <w:spacing w:line="520" w:lineRule="exact"/>
        <w:ind w:firstLine="413" w:firstLineChars="196"/>
        <w:rPr>
          <w:rFonts w:ascii="宋体" w:hAnsi="宋体" w:cs="宋体"/>
          <w:b/>
          <w:szCs w:val="21"/>
        </w:rPr>
      </w:pPr>
      <w:r>
        <w:rPr>
          <w:rFonts w:hint="eastAsia" w:ascii="宋体" w:hAnsi="宋体" w:cs="宋体"/>
          <w:b/>
          <w:szCs w:val="21"/>
        </w:rPr>
        <w:t>第三条  承包内容和要求</w:t>
      </w:r>
      <w:bookmarkEnd w:id="336"/>
    </w:p>
    <w:p>
      <w:pPr>
        <w:spacing w:line="520" w:lineRule="exact"/>
        <w:ind w:firstLine="420" w:firstLineChars="200"/>
        <w:rPr>
          <w:rFonts w:ascii="宋体" w:hAnsi="宋体" w:cs="宋体"/>
          <w:szCs w:val="21"/>
        </w:rPr>
      </w:pPr>
      <w:r>
        <w:rPr>
          <w:rFonts w:hint="eastAsia" w:ascii="宋体" w:hAnsi="宋体" w:cs="宋体"/>
          <w:szCs w:val="21"/>
        </w:rPr>
        <w:t>1、承包内容和要求见招标文件第三部分（含招标文件更正、补充文件）。</w:t>
      </w:r>
    </w:p>
    <w:p>
      <w:pPr>
        <w:spacing w:line="520" w:lineRule="exact"/>
        <w:ind w:firstLine="420" w:firstLineChars="200"/>
        <w:rPr>
          <w:rFonts w:ascii="宋体" w:hAnsi="宋体" w:cs="宋体"/>
          <w:szCs w:val="21"/>
        </w:rPr>
      </w:pPr>
      <w:r>
        <w:rPr>
          <w:rFonts w:hint="eastAsia" w:ascii="宋体" w:hAnsi="宋体" w:cs="宋体"/>
          <w:szCs w:val="21"/>
        </w:rPr>
        <w:t>2、本项目提供的市政道路、公路、河道、水体、公园、广场等保洁面积为参考数据，合同执行过程保洁面积以实际面积为准，乙方须现场踏勘，以求得准确的报价依据，并自行承担投标报价风险。保洁范围特别说明如下：</w:t>
      </w:r>
    </w:p>
    <w:p>
      <w:pPr>
        <w:spacing w:line="520" w:lineRule="exact"/>
        <w:ind w:firstLine="420" w:firstLineChars="200"/>
        <w:rPr>
          <w:rFonts w:ascii="宋体" w:hAnsi="宋体" w:cs="宋体"/>
          <w:szCs w:val="21"/>
        </w:rPr>
      </w:pPr>
      <w:r>
        <w:rPr>
          <w:rFonts w:hint="eastAsia" w:ascii="宋体" w:hAnsi="宋体" w:cs="宋体"/>
          <w:szCs w:val="21"/>
        </w:rPr>
        <w:t>（1）纳入保洁区域内漏算面积（不含中标后新建面积），不超过总面积10%的，多算面积不超过总面积5%的，由乙方予以承担保洁任务且合同总价（中标价）不变。如区域内漏算面积，超过总面积10%的，超出部分按实际投入人员，机械情况，合同各方视情况协商解决。如区域内多算面积，超过总面积5%的，多算部分按投标单价予以扣除。公厕按座数，参照以上比例的范围予以调整。</w:t>
      </w:r>
    </w:p>
    <w:p>
      <w:pPr>
        <w:spacing w:line="520" w:lineRule="exact"/>
        <w:ind w:firstLine="420" w:firstLineChars="200"/>
        <w:rPr>
          <w:rFonts w:ascii="宋体" w:hAnsi="宋体" w:cs="宋体"/>
          <w:szCs w:val="21"/>
        </w:rPr>
      </w:pPr>
      <w:r>
        <w:rPr>
          <w:rFonts w:hint="eastAsia" w:ascii="宋体" w:hAnsi="宋体" w:cs="宋体"/>
          <w:szCs w:val="21"/>
        </w:rPr>
        <w:t>（2）在合同期内，因市政建设或河道清淤需要征用、临时占用需要调整乙方清扫保洁面积时，甲方根据占用的时间和面积数，扣除相应的清扫保洁费，乙方须无条件服从，由属地镇街将核减区域面积、人数、机械化作业及核减经费以书面形式告知瑞安市执法局，具体核减方式按该核减区域面积与区域总面积比例来测算此次需要核减的经费。</w:t>
      </w:r>
    </w:p>
    <w:p>
      <w:pPr>
        <w:spacing w:line="520" w:lineRule="exact"/>
        <w:ind w:firstLine="420" w:firstLineChars="200"/>
        <w:rPr>
          <w:rFonts w:ascii="宋体" w:hAnsi="宋体" w:cs="宋体"/>
          <w:szCs w:val="21"/>
        </w:rPr>
      </w:pPr>
      <w:r>
        <w:rPr>
          <w:rFonts w:hint="eastAsia" w:ascii="宋体" w:hAnsi="宋体" w:cs="宋体"/>
          <w:szCs w:val="21"/>
        </w:rPr>
        <w:t>（3）在合同期内，出现新增道路、河道，新增社区或因改造、改建、新增清扫保洁面积时，甲方将根据实际情况对作业量做出调整，乙方须无条件服从。增加的费用双方协商确定。</w:t>
      </w:r>
    </w:p>
    <w:p>
      <w:pPr>
        <w:spacing w:line="520" w:lineRule="exact"/>
        <w:ind w:firstLine="420" w:firstLineChars="200"/>
        <w:rPr>
          <w:rFonts w:ascii="宋体" w:hAnsi="宋体" w:cs="宋体"/>
          <w:szCs w:val="21"/>
        </w:rPr>
      </w:pPr>
      <w:r>
        <w:rPr>
          <w:rFonts w:hint="eastAsia" w:ascii="宋体" w:hAnsi="宋体" w:cs="宋体"/>
          <w:szCs w:val="21"/>
        </w:rPr>
        <w:t>（4）甲方有权对保洁范围进行调整，本项目预计进场作业时间为2021年6月</w:t>
      </w:r>
      <w:r>
        <w:rPr>
          <w:rFonts w:ascii="宋体" w:hAnsi="宋体" w:cs="宋体"/>
          <w:szCs w:val="21"/>
        </w:rPr>
        <w:t>1</w:t>
      </w:r>
      <w:r>
        <w:rPr>
          <w:rFonts w:hint="eastAsia" w:ascii="宋体" w:hAnsi="宋体" w:cs="宋体"/>
          <w:szCs w:val="21"/>
        </w:rPr>
        <w:t>日，个别区域进场作业时间由甲方根据实际情况确定，保洁经费按实际进场作业开始时间计算。</w:t>
      </w:r>
    </w:p>
    <w:p>
      <w:pPr>
        <w:spacing w:line="520" w:lineRule="exact"/>
        <w:ind w:firstLine="517" w:firstLineChars="245"/>
        <w:rPr>
          <w:rFonts w:ascii="宋体" w:hAnsi="宋体" w:cs="宋体"/>
          <w:b/>
          <w:szCs w:val="21"/>
        </w:rPr>
      </w:pPr>
      <w:bookmarkStart w:id="337" w:name="_Toc16684"/>
      <w:r>
        <w:rPr>
          <w:rFonts w:hint="eastAsia" w:ascii="宋体" w:hAnsi="宋体" w:cs="宋体"/>
          <w:b/>
          <w:szCs w:val="21"/>
        </w:rPr>
        <w:t>第四条  承包期限</w:t>
      </w:r>
      <w:bookmarkEnd w:id="337"/>
    </w:p>
    <w:p>
      <w:pPr>
        <w:tabs>
          <w:tab w:val="left" w:pos="5670"/>
        </w:tabs>
        <w:spacing w:line="520" w:lineRule="exact"/>
        <w:ind w:firstLine="645"/>
        <w:rPr>
          <w:rFonts w:ascii="宋体" w:hAnsi="宋体" w:cs="宋体"/>
          <w:szCs w:val="21"/>
        </w:rPr>
      </w:pPr>
      <w:r>
        <w:rPr>
          <w:rFonts w:hint="eastAsia" w:ascii="宋体" w:hAnsi="宋体" w:cs="宋体"/>
          <w:szCs w:val="21"/>
        </w:rPr>
        <w:t>本项目承包期限为三年（2021年  月  日-2024年  月  日），从清扫保洁业务交接完毕之日起至2024年  月  日止。本项目进场作业时间为2021年</w:t>
      </w:r>
      <w:r>
        <w:rPr>
          <w:rFonts w:ascii="宋体" w:hAnsi="宋体" w:cs="宋体"/>
          <w:szCs w:val="21"/>
        </w:rPr>
        <w:t xml:space="preserve">  </w:t>
      </w:r>
      <w:r>
        <w:rPr>
          <w:rFonts w:hint="eastAsia" w:ascii="宋体" w:hAnsi="宋体" w:cs="宋体"/>
          <w:szCs w:val="21"/>
        </w:rPr>
        <w:t>月</w:t>
      </w:r>
      <w:r>
        <w:rPr>
          <w:rFonts w:ascii="宋体" w:hAnsi="宋体" w:cs="宋体"/>
          <w:szCs w:val="21"/>
        </w:rPr>
        <w:t xml:space="preserve">  </w:t>
      </w:r>
      <w:r>
        <w:rPr>
          <w:rFonts w:hint="eastAsia" w:ascii="宋体" w:hAnsi="宋体" w:cs="宋体"/>
          <w:szCs w:val="21"/>
        </w:rPr>
        <w:t>日，个别区域进场作业时间由甲方根据实际情况确定。</w:t>
      </w:r>
    </w:p>
    <w:p>
      <w:pPr>
        <w:tabs>
          <w:tab w:val="left" w:pos="5670"/>
        </w:tabs>
        <w:spacing w:line="520" w:lineRule="exact"/>
        <w:ind w:firstLine="645"/>
        <w:rPr>
          <w:rFonts w:ascii="宋体" w:hAnsi="宋体" w:cs="宋体"/>
          <w:szCs w:val="21"/>
        </w:rPr>
      </w:pPr>
      <w:r>
        <w:rPr>
          <w:rFonts w:hint="eastAsia" w:ascii="宋体" w:hAnsi="宋体" w:cs="宋体"/>
          <w:szCs w:val="21"/>
        </w:rPr>
        <w:t>本合同期限为2021年  月  日至2022年  月  日，按1+1+1模式进行，1年合同期满后，若甲方对乙方的考核结果为合格的，可以续签下年合同；若乙方有违约行为或经考核不合格，甲方有权按招标文件、合同约定，或按考核办法单方面解除合同或不续签下一年合同。</w:t>
      </w:r>
    </w:p>
    <w:p>
      <w:pPr>
        <w:spacing w:line="520" w:lineRule="exact"/>
        <w:ind w:firstLine="517" w:firstLineChars="245"/>
        <w:rPr>
          <w:rFonts w:ascii="宋体" w:hAnsi="宋体" w:cs="宋体"/>
          <w:b/>
          <w:szCs w:val="21"/>
        </w:rPr>
      </w:pPr>
      <w:bookmarkStart w:id="338" w:name="_Toc16651"/>
      <w:r>
        <w:rPr>
          <w:rFonts w:hint="eastAsia" w:ascii="宋体" w:hAnsi="宋体" w:cs="宋体"/>
          <w:b/>
          <w:szCs w:val="21"/>
        </w:rPr>
        <w:t>第五条  承包经费</w:t>
      </w:r>
      <w:bookmarkEnd w:id="338"/>
    </w:p>
    <w:p>
      <w:pPr>
        <w:spacing w:line="520" w:lineRule="exact"/>
        <w:ind w:firstLine="420" w:firstLineChars="200"/>
        <w:rPr>
          <w:rFonts w:hint="eastAsia" w:ascii="宋体" w:hAnsi="宋体" w:cs="宋体"/>
          <w:szCs w:val="21"/>
        </w:rPr>
      </w:pPr>
      <w:r>
        <w:rPr>
          <w:rFonts w:hint="eastAsia" w:ascii="宋体" w:hAnsi="宋体" w:cs="宋体"/>
          <w:szCs w:val="21"/>
        </w:rPr>
        <w:t>（一）承包经费：</w:t>
      </w:r>
    </w:p>
    <w:p>
      <w:pPr>
        <w:spacing w:line="520" w:lineRule="exact"/>
        <w:ind w:firstLine="420" w:firstLineChars="200"/>
        <w:rPr>
          <w:rFonts w:ascii="宋体" w:hAnsi="宋体" w:cs="宋体"/>
          <w:szCs w:val="21"/>
        </w:rPr>
      </w:pPr>
      <w:r>
        <w:rPr>
          <w:rFonts w:hint="eastAsia" w:ascii="宋体" w:hAnsi="宋体" w:cs="宋体"/>
          <w:szCs w:val="21"/>
        </w:rPr>
        <w:t>1、三年中标总价：</w:t>
      </w:r>
      <w:r>
        <w:rPr>
          <w:rFonts w:hint="eastAsia" w:ascii="宋体" w:hAnsi="宋体" w:cs="宋体"/>
          <w:b/>
          <w:szCs w:val="21"/>
        </w:rPr>
        <w:t>￥ 元（人民币大写： ）</w:t>
      </w:r>
      <w:r>
        <w:rPr>
          <w:rFonts w:hint="eastAsia" w:ascii="宋体" w:hAnsi="宋体" w:cs="宋体"/>
          <w:szCs w:val="21"/>
        </w:rPr>
        <w:t>（三年总价）。</w:t>
      </w:r>
    </w:p>
    <w:p>
      <w:pPr>
        <w:spacing w:line="520" w:lineRule="exact"/>
        <w:ind w:firstLine="420" w:firstLineChars="200"/>
        <w:rPr>
          <w:rFonts w:ascii="宋体" w:hAnsi="宋体" w:cs="宋体"/>
          <w:szCs w:val="21"/>
        </w:rPr>
      </w:pPr>
      <w:r>
        <w:rPr>
          <w:rFonts w:hint="eastAsia" w:ascii="宋体" w:hAnsi="宋体" w:cs="宋体"/>
          <w:szCs w:val="21"/>
        </w:rPr>
        <w:t>2、本次合同经费为：</w:t>
      </w:r>
      <w:r>
        <w:rPr>
          <w:rFonts w:hint="eastAsia" w:ascii="宋体" w:hAnsi="宋体" w:cs="宋体"/>
          <w:b/>
          <w:szCs w:val="21"/>
        </w:rPr>
        <w:t>￥ 元（人民币大写： ）</w:t>
      </w:r>
      <w:r>
        <w:rPr>
          <w:rFonts w:hint="eastAsia" w:ascii="宋体" w:hAnsi="宋体" w:cs="宋体"/>
          <w:szCs w:val="21"/>
        </w:rPr>
        <w:t>（一年总价）</w:t>
      </w:r>
    </w:p>
    <w:p>
      <w:pPr>
        <w:spacing w:line="520" w:lineRule="exact"/>
        <w:ind w:firstLine="420" w:firstLineChars="200"/>
        <w:rPr>
          <w:rFonts w:ascii="宋体" w:hAnsi="宋体" w:cs="宋体"/>
          <w:szCs w:val="21"/>
        </w:rPr>
      </w:pPr>
      <w:r>
        <w:rPr>
          <w:rFonts w:hint="eastAsia" w:ascii="宋体" w:hAnsi="宋体" w:cs="宋体"/>
          <w:szCs w:val="21"/>
        </w:rPr>
        <w:t>（二）承包经费由人工费（包括工人工资、奖金、房补、劳保福利、社保（一线现场服务人员社保缴纳人数不得低于一线现场服务人员总数的30%）、意外保险、工伤费、教育培训费、暂住费及处理一切伤亡事故等费用）、机械台班费、水电费、工具材料费、保洁低值易耗品、垃圾清运费（含建筑垃圾处置）、安全文明生产装备费（包括工人冬、夏装工作服等）、企业应缴税金和应得利润、应急等完成合同所需的一切本身和不可或缺的所有工作开支、政策性文件规定及合同包含的所有风险、责任等各项全部费用组成。</w:t>
      </w:r>
    </w:p>
    <w:p>
      <w:pPr>
        <w:spacing w:line="520" w:lineRule="exact"/>
        <w:ind w:firstLine="420" w:firstLineChars="200"/>
        <w:rPr>
          <w:rFonts w:ascii="宋体" w:hAnsi="宋体" w:cs="宋体"/>
          <w:szCs w:val="21"/>
        </w:rPr>
      </w:pPr>
      <w:r>
        <w:rPr>
          <w:rFonts w:hint="eastAsia" w:ascii="宋体" w:hAnsi="宋体" w:cs="宋体"/>
          <w:szCs w:val="21"/>
        </w:rPr>
        <w:t>（三）承包经费按项目进度、检查验收结果和资金到账情况分次核拨，由乙方按甲方业务要求支配使用。</w:t>
      </w:r>
    </w:p>
    <w:p>
      <w:pPr>
        <w:spacing w:line="520" w:lineRule="exact"/>
        <w:ind w:firstLine="420" w:firstLineChars="200"/>
        <w:rPr>
          <w:rFonts w:ascii="宋体" w:hAnsi="宋体" w:cs="宋体"/>
          <w:szCs w:val="21"/>
        </w:rPr>
      </w:pPr>
      <w:r>
        <w:rPr>
          <w:rFonts w:hint="eastAsia" w:ascii="宋体" w:hAnsi="宋体" w:cs="宋体"/>
          <w:szCs w:val="21"/>
        </w:rPr>
        <w:t>（四）承包经费最终结算价依据中标通知书、投标文件、验收考核等要求计算。</w:t>
      </w:r>
    </w:p>
    <w:p>
      <w:pPr>
        <w:spacing w:line="520" w:lineRule="exact"/>
        <w:ind w:firstLine="517" w:firstLineChars="245"/>
        <w:rPr>
          <w:rFonts w:ascii="宋体" w:hAnsi="宋体" w:cs="宋体"/>
          <w:b/>
          <w:szCs w:val="21"/>
        </w:rPr>
      </w:pPr>
      <w:bookmarkStart w:id="339" w:name="_Toc7557"/>
      <w:r>
        <w:rPr>
          <w:rFonts w:hint="eastAsia" w:ascii="宋体" w:hAnsi="宋体" w:cs="宋体"/>
          <w:b/>
          <w:szCs w:val="21"/>
        </w:rPr>
        <w:t>第六条  付款方式</w:t>
      </w:r>
      <w:bookmarkEnd w:id="339"/>
    </w:p>
    <w:p>
      <w:pPr>
        <w:spacing w:line="520" w:lineRule="exact"/>
        <w:ind w:firstLine="420" w:firstLineChars="200"/>
        <w:rPr>
          <w:rFonts w:ascii="宋体" w:hAnsi="宋体" w:cs="宋体"/>
          <w:szCs w:val="21"/>
        </w:rPr>
      </w:pPr>
      <w:r>
        <w:rPr>
          <w:rFonts w:hint="eastAsia" w:ascii="宋体" w:hAnsi="宋体" w:cs="宋体"/>
          <w:szCs w:val="21"/>
        </w:rPr>
        <w:t>（1）付款方式为先保洁后支付,由甲方根据前一个月的考核结果，每月底结前一个月的承包经费（遇节假日顺延）。考核结果不达标，甲方有权责令中标方立即整改后支付承包经费。</w:t>
      </w:r>
    </w:p>
    <w:p>
      <w:pPr>
        <w:spacing w:line="520" w:lineRule="exact"/>
        <w:ind w:firstLine="420" w:firstLineChars="200"/>
        <w:rPr>
          <w:rFonts w:ascii="宋体" w:hAnsi="宋体" w:cs="宋体"/>
          <w:szCs w:val="21"/>
        </w:rPr>
      </w:pPr>
      <w:r>
        <w:rPr>
          <w:rFonts w:hint="eastAsia" w:ascii="宋体" w:hAnsi="宋体" w:cs="宋体"/>
          <w:szCs w:val="21"/>
        </w:rPr>
        <w:t>（2）乙方按每月的考核结果结算，甲方凭乙方开具的正式发票</w:t>
      </w:r>
      <w:r>
        <w:rPr>
          <w:rFonts w:hint="eastAsia" w:ascii="宋体" w:hAnsi="宋体" w:cs="宋体"/>
          <w:b/>
          <w:szCs w:val="21"/>
        </w:rPr>
        <w:t>、一线现场服务人员社保花名册及工资册进行</w:t>
      </w:r>
      <w:r>
        <w:rPr>
          <w:rFonts w:hint="eastAsia" w:ascii="宋体" w:hAnsi="宋体" w:cs="宋体"/>
          <w:szCs w:val="21"/>
        </w:rPr>
        <w:t>支付。</w:t>
      </w:r>
    </w:p>
    <w:p>
      <w:pPr>
        <w:spacing w:line="520" w:lineRule="exact"/>
        <w:ind w:firstLine="420" w:firstLineChars="200"/>
        <w:rPr>
          <w:rFonts w:ascii="宋体" w:hAnsi="宋体" w:cs="宋体"/>
          <w:szCs w:val="21"/>
        </w:rPr>
      </w:pPr>
      <w:r>
        <w:rPr>
          <w:rFonts w:hint="eastAsia" w:ascii="宋体" w:hAnsi="宋体" w:cs="宋体"/>
          <w:szCs w:val="21"/>
        </w:rPr>
        <w:t>（3）环境卫生质量考核遵照甲方发布的现行考核办法执行，并按《瑞安市“一把扫帚”智慧环卫平台监管考核细则》（瑞环改〔2020〕1号）对人员和车辆作业情况执行考核，如甲方有统一对考核内容作出调整的，乙方要无条件予以接受并遵守。</w:t>
      </w:r>
    </w:p>
    <w:p>
      <w:pPr>
        <w:spacing w:line="520" w:lineRule="exact"/>
        <w:ind w:firstLine="420" w:firstLineChars="200"/>
        <w:rPr>
          <w:rFonts w:ascii="宋体" w:hAnsi="宋体" w:cs="宋体"/>
          <w:szCs w:val="21"/>
        </w:rPr>
      </w:pPr>
      <w:r>
        <w:rPr>
          <w:rFonts w:hint="eastAsia" w:ascii="宋体" w:hAnsi="宋体" w:cs="宋体"/>
          <w:szCs w:val="21"/>
        </w:rPr>
        <w:t>（4）甲方每月作出的考核结果，汇总考核结算清单，并告知乙方。处罚金额按月直接在付款额中扣除。承包到期后根据考核结果将余款一次付清。</w:t>
      </w:r>
    </w:p>
    <w:p>
      <w:pPr>
        <w:spacing w:line="520" w:lineRule="exact"/>
        <w:ind w:firstLine="420" w:firstLineChars="200"/>
        <w:rPr>
          <w:rFonts w:ascii="宋体" w:hAnsi="宋体" w:cs="宋体"/>
          <w:szCs w:val="21"/>
        </w:rPr>
      </w:pPr>
      <w:r>
        <w:rPr>
          <w:rFonts w:hint="eastAsia" w:ascii="宋体" w:hAnsi="宋体" w:cs="宋体"/>
          <w:szCs w:val="21"/>
        </w:rPr>
        <w:t>（5）</w:t>
      </w:r>
      <w:r>
        <w:rPr>
          <w:rFonts w:hint="eastAsia" w:ascii="宋体" w:hAnsi="宋体" w:cs="宋体"/>
          <w:b/>
          <w:szCs w:val="21"/>
        </w:rPr>
        <w:t>由于本采购项目实施以人工投入为主，在每年度合同签订且具备实施条件后15日历天内甲方向乙方支付合同总额（一年）的10%作为预付款，甲方在支付当年度第一期款项时等额予以扣回，如不足抵扣的，则剩余预付款在下期款项支付时扣回。在签订合同时，乙方明确表示无需预付款或者主动要求降低预付款比例的，甲方可不适用前述规定。</w:t>
      </w:r>
    </w:p>
    <w:p>
      <w:pPr>
        <w:spacing w:line="520" w:lineRule="exact"/>
        <w:ind w:firstLine="413" w:firstLineChars="196"/>
        <w:rPr>
          <w:rFonts w:ascii="宋体" w:hAnsi="宋体" w:cs="宋体"/>
          <w:b/>
          <w:szCs w:val="21"/>
        </w:rPr>
      </w:pPr>
      <w:bookmarkStart w:id="340" w:name="_Toc24771"/>
      <w:r>
        <w:rPr>
          <w:rFonts w:hint="eastAsia" w:ascii="宋体" w:hAnsi="宋体" w:cs="宋体"/>
          <w:b/>
          <w:szCs w:val="21"/>
        </w:rPr>
        <w:t>第七条  承包方式</w:t>
      </w:r>
      <w:bookmarkEnd w:id="340"/>
    </w:p>
    <w:p>
      <w:pPr>
        <w:spacing w:line="520" w:lineRule="exact"/>
        <w:ind w:firstLine="420" w:firstLineChars="200"/>
        <w:rPr>
          <w:rFonts w:ascii="宋体" w:hAnsi="宋体" w:cs="宋体"/>
          <w:szCs w:val="21"/>
        </w:rPr>
      </w:pPr>
      <w:r>
        <w:rPr>
          <w:rFonts w:hint="eastAsia" w:ascii="宋体" w:hAnsi="宋体" w:cs="宋体"/>
          <w:szCs w:val="21"/>
        </w:rPr>
        <w:t>采用全包干形式，即业务包干、经费包干方式。甲方将清扫保洁业务及相应的经费交给乙方，乙方按甲方的管理要求和标准组织清扫保洁工作，并接受甲方的指导、监督和检查验收。</w:t>
      </w:r>
    </w:p>
    <w:p>
      <w:pPr>
        <w:spacing w:line="520" w:lineRule="exact"/>
        <w:ind w:firstLine="413" w:firstLineChars="196"/>
        <w:rPr>
          <w:rFonts w:ascii="宋体" w:hAnsi="宋体" w:cs="宋体"/>
          <w:b/>
          <w:szCs w:val="21"/>
        </w:rPr>
      </w:pPr>
      <w:bookmarkStart w:id="341" w:name="_Toc1588"/>
      <w:r>
        <w:rPr>
          <w:rFonts w:hint="eastAsia" w:ascii="宋体" w:hAnsi="宋体" w:cs="宋体"/>
          <w:b/>
          <w:szCs w:val="21"/>
        </w:rPr>
        <w:t>第八条  保洁质量</w:t>
      </w:r>
      <w:bookmarkEnd w:id="341"/>
    </w:p>
    <w:p>
      <w:pPr>
        <w:spacing w:line="520" w:lineRule="exact"/>
        <w:ind w:firstLine="420" w:firstLineChars="200"/>
        <w:rPr>
          <w:rFonts w:ascii="宋体" w:hAnsi="宋体" w:cs="宋体"/>
          <w:szCs w:val="21"/>
        </w:rPr>
      </w:pPr>
      <w:r>
        <w:rPr>
          <w:rFonts w:hint="eastAsia" w:ascii="宋体" w:hAnsi="宋体" w:cs="宋体"/>
          <w:szCs w:val="21"/>
        </w:rPr>
        <w:t>清扫保洁各项具体工作的质量标准和作业规范按甲方具体要求及甲方《招标文件》中规定，乙方《投标文件》承诺的措施、方案、投入的人力、机械设备车辆船只，严格执行。</w:t>
      </w:r>
    </w:p>
    <w:p>
      <w:pPr>
        <w:spacing w:line="520" w:lineRule="exact"/>
        <w:ind w:firstLine="420" w:firstLineChars="200"/>
        <w:rPr>
          <w:rFonts w:ascii="宋体" w:hAnsi="宋体" w:cs="宋体"/>
          <w:szCs w:val="21"/>
        </w:rPr>
      </w:pPr>
      <w:r>
        <w:rPr>
          <w:rFonts w:hint="eastAsia" w:ascii="宋体" w:hAnsi="宋体" w:cs="宋体"/>
          <w:szCs w:val="21"/>
        </w:rPr>
        <w:t>乙方中标后采用优于投标车辆品牌及规格参数的车辆，以新换旧、以优换次替换投标车辆的，经采购人审核同意，可以予以更换。但最终进场车辆必须保证专车专用，只用于本项目。</w:t>
      </w:r>
    </w:p>
    <w:p>
      <w:pPr>
        <w:spacing w:line="520" w:lineRule="exact"/>
        <w:ind w:firstLine="413" w:firstLineChars="196"/>
        <w:rPr>
          <w:rFonts w:ascii="宋体" w:hAnsi="宋体" w:cs="宋体"/>
          <w:b/>
          <w:szCs w:val="21"/>
        </w:rPr>
      </w:pPr>
      <w:bookmarkStart w:id="342" w:name="_Toc7377"/>
      <w:r>
        <w:rPr>
          <w:rFonts w:hint="eastAsia" w:ascii="宋体" w:hAnsi="宋体" w:cs="宋体"/>
          <w:b/>
          <w:szCs w:val="21"/>
        </w:rPr>
        <w:t>第九条  检查考评办法</w:t>
      </w:r>
      <w:bookmarkEnd w:id="342"/>
    </w:p>
    <w:p>
      <w:pPr>
        <w:spacing w:line="520" w:lineRule="exact"/>
        <w:ind w:firstLine="420" w:firstLineChars="200"/>
        <w:rPr>
          <w:rFonts w:ascii="宋体" w:hAnsi="宋体" w:cs="宋体"/>
          <w:szCs w:val="21"/>
        </w:rPr>
      </w:pPr>
      <w:r>
        <w:rPr>
          <w:rFonts w:hint="eastAsia" w:ascii="宋体" w:hAnsi="宋体" w:cs="宋体"/>
          <w:szCs w:val="21"/>
        </w:rPr>
        <w:t>乙方应严格按照甲方具体要求及《招标文件》的规定，以及乙方《投标文件》承诺，对承包区域进行清扫保洁。甲方具体的检查验收方法、内容、程序等按招标文件及甲方发布的现行考核办法、《瑞安市“一把扫帚”智慧环卫平台监管考核细则》（瑞环改〔2020〕1号）执行。</w:t>
      </w:r>
    </w:p>
    <w:p>
      <w:pPr>
        <w:spacing w:line="520" w:lineRule="exact"/>
        <w:ind w:firstLine="517" w:firstLineChars="245"/>
        <w:rPr>
          <w:rFonts w:ascii="宋体" w:hAnsi="宋体" w:cs="宋体"/>
          <w:b/>
          <w:szCs w:val="21"/>
        </w:rPr>
      </w:pPr>
      <w:bookmarkStart w:id="343" w:name="_Toc1752"/>
      <w:r>
        <w:rPr>
          <w:rFonts w:hint="eastAsia" w:ascii="宋体" w:hAnsi="宋体" w:cs="宋体"/>
          <w:b/>
          <w:szCs w:val="21"/>
        </w:rPr>
        <w:t>第十条  履约保证金</w:t>
      </w:r>
      <w:bookmarkEnd w:id="343"/>
    </w:p>
    <w:p>
      <w:pPr>
        <w:spacing w:line="520" w:lineRule="exact"/>
        <w:ind w:firstLine="420" w:firstLineChars="200"/>
        <w:rPr>
          <w:rFonts w:ascii="宋体" w:hAnsi="宋体" w:cs="宋体"/>
          <w:szCs w:val="21"/>
        </w:rPr>
      </w:pPr>
      <w:r>
        <w:rPr>
          <w:rFonts w:hint="eastAsia" w:ascii="宋体" w:hAnsi="宋体" w:cs="宋体"/>
          <w:szCs w:val="21"/>
        </w:rPr>
        <w:t>（一）乙方必须以银行转账/转帐支票/银行汇票/银行、保险公司出具的保函等非现金方式付甲方保洁区域一年合同款的5％作为履约保证金（无息）给甲方，甲方开给乙方合同履约保证金收据。</w:t>
      </w:r>
    </w:p>
    <w:p>
      <w:pPr>
        <w:pStyle w:val="4"/>
        <w:spacing w:line="520" w:lineRule="exact"/>
        <w:ind w:firstLineChars="200"/>
        <w:rPr>
          <w:rFonts w:ascii="宋体" w:hAnsi="宋体" w:cs="宋体"/>
          <w:szCs w:val="21"/>
        </w:rPr>
      </w:pPr>
      <w:r>
        <w:rPr>
          <w:rFonts w:hint="eastAsia" w:ascii="宋体" w:hAnsi="宋体" w:cs="宋体"/>
          <w:szCs w:val="21"/>
        </w:rPr>
        <w:t>注：采用银行、保险公司出具的保函形式提交至乙方，应满足以下几个条件：①为无条件保函：即在乙方没有实施合同或者未履行合同义务时，甲方不需要出具任何证明和理由，只要看到乙方违约，就可对保函进行收兑；②保函期限：自合同生效之日起至服务期满之日后30日历天止；③如果银行、保险公司要求分期出具保函的，则在前一份保函有效期满之日2个月前必须重新出具相同内容的保函。</w:t>
      </w:r>
    </w:p>
    <w:p>
      <w:pPr>
        <w:spacing w:line="520" w:lineRule="exact"/>
        <w:ind w:firstLine="315" w:firstLineChars="150"/>
        <w:rPr>
          <w:rFonts w:ascii="宋体" w:hAnsi="宋体" w:cs="宋体"/>
          <w:szCs w:val="21"/>
        </w:rPr>
      </w:pPr>
      <w:r>
        <w:rPr>
          <w:rFonts w:hint="eastAsia" w:ascii="宋体" w:hAnsi="宋体" w:cs="宋体"/>
          <w:szCs w:val="21"/>
        </w:rPr>
        <w:t>（二）履约保证金扣罚条款</w:t>
      </w:r>
    </w:p>
    <w:p>
      <w:pPr>
        <w:spacing w:line="520" w:lineRule="exact"/>
        <w:ind w:firstLine="420" w:firstLineChars="200"/>
        <w:rPr>
          <w:rFonts w:ascii="宋体" w:hAnsi="宋体" w:cs="宋体"/>
          <w:szCs w:val="21"/>
        </w:rPr>
      </w:pPr>
      <w:r>
        <w:rPr>
          <w:rFonts w:hint="eastAsia" w:ascii="宋体" w:hAnsi="宋体" w:cs="宋体"/>
          <w:szCs w:val="21"/>
        </w:rPr>
        <w:t>1、</w:t>
      </w:r>
      <w:r>
        <w:rPr>
          <w:rFonts w:hint="eastAsia" w:ascii="宋体" w:hAnsi="宋体"/>
          <w:szCs w:val="21"/>
        </w:rPr>
        <w:t>乙方车辆、船只，未按投标文件承诺或招标文件规定的进场作业日期到位的，重型车辆每辆每延迟1天处以10</w:t>
      </w:r>
      <w:r>
        <w:rPr>
          <w:rFonts w:ascii="宋体" w:hAnsi="宋体"/>
          <w:szCs w:val="21"/>
        </w:rPr>
        <w:t>000</w:t>
      </w:r>
      <w:r>
        <w:rPr>
          <w:rFonts w:hint="eastAsia" w:ascii="宋体" w:hAnsi="宋体"/>
          <w:szCs w:val="21"/>
        </w:rPr>
        <w:t>元违约金；中型车辆每辆每延迟1天处以5000元违约金；其它轻型车辆、电动车、船只每辆每延迟1天处以1000元违约金</w:t>
      </w:r>
      <w:r>
        <w:rPr>
          <w:rFonts w:hint="eastAsia" w:ascii="宋体" w:hAnsi="宋体" w:cs="宋体"/>
          <w:szCs w:val="21"/>
        </w:rPr>
        <w:t>；情节严重的，甲方有权直接取消其中标资格或单方面解除合同。</w:t>
      </w:r>
    </w:p>
    <w:p>
      <w:pPr>
        <w:spacing w:line="520" w:lineRule="exact"/>
        <w:ind w:firstLine="420" w:firstLineChars="200"/>
        <w:rPr>
          <w:rFonts w:ascii="宋体" w:hAnsi="宋体" w:cs="宋体"/>
          <w:szCs w:val="21"/>
        </w:rPr>
      </w:pPr>
      <w:r>
        <w:rPr>
          <w:rFonts w:hint="eastAsia" w:ascii="宋体" w:hAnsi="宋体" w:cs="宋体"/>
          <w:szCs w:val="21"/>
        </w:rPr>
        <w:t>2、乙方服务人员，未按投标文件承诺，及招标文件规定的进场作业日期到位的，每人每延迟1天扣400元履约保证金；</w:t>
      </w:r>
    </w:p>
    <w:p>
      <w:pPr>
        <w:spacing w:line="520" w:lineRule="exact"/>
        <w:ind w:firstLine="420" w:firstLineChars="200"/>
        <w:rPr>
          <w:rFonts w:ascii="宋体" w:hAnsi="宋体" w:cs="宋体"/>
          <w:szCs w:val="21"/>
        </w:rPr>
      </w:pPr>
      <w:r>
        <w:rPr>
          <w:rFonts w:hint="eastAsia" w:ascii="宋体" w:hAnsi="宋体" w:cs="宋体"/>
          <w:szCs w:val="21"/>
        </w:rPr>
        <w:t>3、乙方机械、车辆、船只，服务人员，未按投标文件承诺，及招标文件规定的进场作业日期，超期达7日历天及以上的，甲方有权扣罚全部履约保证金，并无条件解除合同。</w:t>
      </w:r>
    </w:p>
    <w:p>
      <w:pPr>
        <w:spacing w:line="520" w:lineRule="exact"/>
        <w:ind w:firstLine="420" w:firstLineChars="200"/>
        <w:rPr>
          <w:rFonts w:ascii="宋体" w:hAnsi="宋体" w:cs="宋体"/>
          <w:szCs w:val="21"/>
        </w:rPr>
      </w:pPr>
      <w:r>
        <w:rPr>
          <w:rFonts w:hint="eastAsia" w:ascii="宋体" w:hAnsi="宋体" w:cs="宋体"/>
          <w:szCs w:val="21"/>
        </w:rPr>
        <w:t>4、</w:t>
      </w:r>
      <w:r>
        <w:rPr>
          <w:rFonts w:hint="eastAsia" w:ascii="宋体" w:hAnsi="宋体" w:cs="宋体"/>
          <w:bCs/>
          <w:szCs w:val="21"/>
        </w:rPr>
        <w:t>作业车辆、工具的停放场地由乙方自行负责解决，要求规范、统一停放，乙方须在中标通知书发出之日起30日内在本次招标保洁区域内建立专门的停车场。乙方未按规定日期之内建立专用停车场地的，每延期一天扣1000元履约保证金</w:t>
      </w:r>
      <w:r>
        <w:rPr>
          <w:rFonts w:hint="eastAsia" w:ascii="宋体" w:hAnsi="宋体" w:cs="宋体"/>
          <w:szCs w:val="21"/>
        </w:rPr>
        <w:t>。</w:t>
      </w:r>
    </w:p>
    <w:p>
      <w:pPr>
        <w:spacing w:line="520" w:lineRule="exact"/>
        <w:ind w:firstLine="420" w:firstLineChars="200"/>
        <w:rPr>
          <w:rFonts w:ascii="宋体" w:hAnsi="宋体"/>
          <w:color w:val="FF0000"/>
          <w:kern w:val="2"/>
          <w:szCs w:val="21"/>
        </w:rPr>
      </w:pPr>
      <w:r>
        <w:rPr>
          <w:rFonts w:hint="eastAsia" w:ascii="宋体" w:hAnsi="宋体"/>
          <w:kern w:val="2"/>
          <w:szCs w:val="21"/>
        </w:rPr>
        <w:t>5、</w:t>
      </w:r>
      <w:r>
        <w:rPr>
          <w:rFonts w:hint="eastAsia" w:ascii="宋体" w:hAnsi="宋体" w:cs="宋体"/>
          <w:szCs w:val="21"/>
        </w:rPr>
        <w:t>乙方不能按期保质保量完成清扫保洁业务，除承担相关责任外，甲方可相应没收全部或部分合同履约保证金。</w:t>
      </w:r>
    </w:p>
    <w:p>
      <w:pPr>
        <w:spacing w:line="520" w:lineRule="exact"/>
        <w:ind w:firstLine="420" w:firstLineChars="200"/>
        <w:rPr>
          <w:rFonts w:ascii="宋体" w:hAnsi="宋体" w:cs="宋体"/>
          <w:szCs w:val="21"/>
        </w:rPr>
      </w:pPr>
      <w:r>
        <w:rPr>
          <w:rFonts w:ascii="宋体" w:hAnsi="宋体" w:cs="宋体"/>
          <w:szCs w:val="21"/>
        </w:rPr>
        <w:t>6</w:t>
      </w:r>
      <w:r>
        <w:rPr>
          <w:rFonts w:hint="eastAsia" w:ascii="宋体" w:hAnsi="宋体" w:cs="宋体"/>
          <w:szCs w:val="21"/>
        </w:rPr>
        <w:t>、根据招标文件规定与合同约定，甲方可相应没收全部或部分履约保证金的条款。</w:t>
      </w:r>
    </w:p>
    <w:p>
      <w:pPr>
        <w:spacing w:line="520" w:lineRule="exact"/>
        <w:ind w:firstLine="420" w:firstLineChars="200"/>
        <w:rPr>
          <w:rFonts w:ascii="宋体" w:hAnsi="宋体" w:cs="宋体"/>
          <w:szCs w:val="21"/>
        </w:rPr>
      </w:pPr>
      <w:r>
        <w:rPr>
          <w:rFonts w:hint="eastAsia" w:ascii="宋体" w:hAnsi="宋体" w:cs="宋体"/>
          <w:szCs w:val="21"/>
        </w:rPr>
        <w:t>（三）甲方扣罚履约保证金，但未达到解除合同条件的，乙方须在扣罚之日起7日历天内补齐合同履约保证金至一年合同款的5％。拒不缴纳补齐的，甲方有权扣罚全部履约保证金，并无条件解除合同。</w:t>
      </w:r>
    </w:p>
    <w:p>
      <w:pPr>
        <w:spacing w:line="520" w:lineRule="exact"/>
        <w:ind w:firstLine="420" w:firstLineChars="200"/>
        <w:rPr>
          <w:rFonts w:ascii="宋体" w:hAnsi="宋体" w:cs="宋体"/>
          <w:szCs w:val="21"/>
        </w:rPr>
      </w:pPr>
      <w:r>
        <w:rPr>
          <w:rFonts w:hint="eastAsia" w:ascii="宋体" w:hAnsi="宋体" w:cs="宋体"/>
          <w:szCs w:val="21"/>
        </w:rPr>
        <w:t>（四）承包任务完成并验收移交甲方后30日内，甲方无息退还乙方剩余的合同履约保证金；</w:t>
      </w:r>
    </w:p>
    <w:p>
      <w:pPr>
        <w:spacing w:line="520" w:lineRule="exact"/>
        <w:ind w:firstLine="413" w:firstLineChars="196"/>
        <w:rPr>
          <w:rFonts w:ascii="宋体" w:hAnsi="宋体" w:cs="宋体"/>
          <w:b/>
          <w:szCs w:val="21"/>
        </w:rPr>
      </w:pPr>
      <w:bookmarkStart w:id="344" w:name="_Toc14109"/>
      <w:r>
        <w:rPr>
          <w:rFonts w:hint="eastAsia" w:ascii="宋体" w:hAnsi="宋体" w:cs="宋体"/>
          <w:b/>
          <w:szCs w:val="21"/>
        </w:rPr>
        <w:t>第十一条  权利和义务</w:t>
      </w:r>
      <w:bookmarkEnd w:id="344"/>
    </w:p>
    <w:p>
      <w:pPr>
        <w:spacing w:line="520" w:lineRule="exact"/>
        <w:ind w:firstLine="420" w:firstLineChars="200"/>
        <w:rPr>
          <w:rFonts w:ascii="宋体" w:hAnsi="宋体" w:cs="宋体"/>
          <w:szCs w:val="21"/>
        </w:rPr>
      </w:pPr>
      <w:r>
        <w:rPr>
          <w:rFonts w:hint="eastAsia" w:ascii="宋体" w:hAnsi="宋体" w:cs="宋体"/>
          <w:szCs w:val="21"/>
        </w:rPr>
        <w:t>（一）甲方权利与义务</w:t>
      </w:r>
    </w:p>
    <w:p>
      <w:pPr>
        <w:spacing w:line="520" w:lineRule="exact"/>
        <w:ind w:firstLine="420" w:firstLineChars="200"/>
        <w:rPr>
          <w:rFonts w:ascii="宋体" w:hAnsi="宋体" w:cs="宋体"/>
          <w:szCs w:val="21"/>
        </w:rPr>
      </w:pPr>
      <w:r>
        <w:rPr>
          <w:rFonts w:hint="eastAsia" w:ascii="宋体" w:hAnsi="宋体" w:cs="宋体"/>
          <w:szCs w:val="21"/>
        </w:rPr>
        <w:t>1、甲方对乙方的清扫保洁业务进行全面的技术指导、检查、管理和监督，对检查中发现的环境卫生质量问题及时向乙方提出书面或口头改进意见，直至终止本合同。</w:t>
      </w:r>
    </w:p>
    <w:p>
      <w:pPr>
        <w:spacing w:line="520" w:lineRule="exact"/>
        <w:ind w:firstLine="420" w:firstLineChars="200"/>
        <w:rPr>
          <w:rFonts w:ascii="宋体" w:hAnsi="宋体" w:cs="宋体"/>
          <w:szCs w:val="21"/>
        </w:rPr>
      </w:pPr>
      <w:r>
        <w:rPr>
          <w:rFonts w:hint="eastAsia" w:ascii="宋体" w:hAnsi="宋体" w:cs="宋体"/>
          <w:szCs w:val="21"/>
        </w:rPr>
        <w:t>2、甲方对乙方违反现行考核办法（现场考核）和《瑞安市“一把扫帚”智慧环卫平台监管考核细则》（瑞环改〔2020〕1号）中规定的行为进行处罚。</w:t>
      </w:r>
    </w:p>
    <w:p>
      <w:pPr>
        <w:spacing w:line="520" w:lineRule="exact"/>
        <w:ind w:firstLine="420" w:firstLineChars="200"/>
        <w:rPr>
          <w:rFonts w:ascii="宋体" w:hAnsi="宋体" w:cs="宋体"/>
          <w:szCs w:val="21"/>
        </w:rPr>
      </w:pPr>
      <w:r>
        <w:rPr>
          <w:rFonts w:hint="eastAsia" w:ascii="宋体" w:hAnsi="宋体" w:cs="宋体"/>
          <w:szCs w:val="21"/>
        </w:rPr>
        <w:t>3、甲方有权监督检查乙方落实安全防火和安全生产措施。</w:t>
      </w:r>
    </w:p>
    <w:p>
      <w:pPr>
        <w:spacing w:line="520" w:lineRule="exact"/>
        <w:ind w:firstLine="420" w:firstLineChars="200"/>
        <w:rPr>
          <w:rFonts w:ascii="宋体" w:hAnsi="宋体" w:cs="宋体"/>
          <w:szCs w:val="21"/>
        </w:rPr>
      </w:pPr>
      <w:r>
        <w:rPr>
          <w:rFonts w:hint="eastAsia" w:ascii="宋体" w:hAnsi="宋体" w:cs="宋体"/>
          <w:szCs w:val="21"/>
        </w:rPr>
        <w:t>4、甲方有权监督检查乙方对员工进行培训的情况，以提高清扫保洁服务的技术水平。</w:t>
      </w:r>
    </w:p>
    <w:p>
      <w:pPr>
        <w:spacing w:line="520" w:lineRule="exact"/>
        <w:ind w:firstLine="420" w:firstLineChars="200"/>
        <w:rPr>
          <w:rFonts w:ascii="宋体" w:hAnsi="宋体" w:cs="宋体"/>
          <w:szCs w:val="21"/>
        </w:rPr>
      </w:pPr>
      <w:r>
        <w:rPr>
          <w:rFonts w:hint="eastAsia" w:ascii="宋体" w:hAnsi="宋体" w:cs="宋体"/>
          <w:szCs w:val="21"/>
        </w:rPr>
        <w:t>5、甲方应按清扫保洁质量和检查验收结果计算经费，扣除乙方因检查不合格应扣款后，将经费按期支付给乙方。</w:t>
      </w:r>
    </w:p>
    <w:p>
      <w:pPr>
        <w:spacing w:line="520" w:lineRule="exact"/>
        <w:ind w:firstLine="420" w:firstLineChars="200"/>
        <w:rPr>
          <w:rFonts w:ascii="宋体" w:hAnsi="宋体" w:cs="宋体"/>
          <w:szCs w:val="21"/>
        </w:rPr>
      </w:pPr>
      <w:r>
        <w:rPr>
          <w:rFonts w:hint="eastAsia" w:ascii="宋体" w:hAnsi="宋体" w:cs="宋体"/>
          <w:szCs w:val="21"/>
        </w:rPr>
        <w:t>6、甲方可要求乙方调整不合格员工。</w:t>
      </w:r>
    </w:p>
    <w:p>
      <w:pPr>
        <w:spacing w:line="520" w:lineRule="exact"/>
        <w:ind w:firstLine="420" w:firstLineChars="200"/>
        <w:rPr>
          <w:rFonts w:ascii="宋体" w:hAnsi="宋体" w:cs="宋体"/>
          <w:szCs w:val="21"/>
        </w:rPr>
      </w:pPr>
      <w:r>
        <w:rPr>
          <w:rFonts w:hint="eastAsia" w:ascii="宋体" w:hAnsi="宋体" w:cs="宋体"/>
          <w:szCs w:val="21"/>
        </w:rPr>
        <w:t>7、甲方可根据政策的变动并结合实际情况对发布的现行考核办法进行修改和补充。</w:t>
      </w:r>
    </w:p>
    <w:p>
      <w:pPr>
        <w:spacing w:line="520" w:lineRule="exact"/>
        <w:ind w:firstLine="420" w:firstLineChars="200"/>
        <w:rPr>
          <w:rFonts w:ascii="宋体" w:hAnsi="宋体" w:cs="宋体"/>
          <w:szCs w:val="21"/>
        </w:rPr>
      </w:pPr>
      <w:r>
        <w:rPr>
          <w:rFonts w:hint="eastAsia" w:ascii="宋体" w:hAnsi="宋体" w:cs="宋体"/>
          <w:szCs w:val="21"/>
        </w:rPr>
        <w:t>8、甲方应按时支付款项。本合同的清扫保洁经费由政府拨款和收取垃圾处置费，如因政策影响或其它原因，拨款未能及时到位，乙方不得以此为由而不履行本合同规定的义务。否则，甲方按规定扣罚。</w:t>
      </w:r>
    </w:p>
    <w:p>
      <w:pPr>
        <w:spacing w:line="520" w:lineRule="exact"/>
        <w:ind w:firstLine="420" w:firstLineChars="200"/>
        <w:rPr>
          <w:rFonts w:ascii="宋体" w:hAnsi="宋体" w:cs="宋体"/>
          <w:szCs w:val="21"/>
        </w:rPr>
      </w:pPr>
      <w:r>
        <w:rPr>
          <w:rFonts w:hint="eastAsia" w:ascii="宋体" w:hAnsi="宋体" w:cs="宋体"/>
          <w:szCs w:val="21"/>
        </w:rPr>
        <w:t>9、服务期内甲方遇到各类检查、考核（如上级部门检查、考核、督导等），乙方要无条件加班，甲方不另支付加班费，即此项造成的费用由乙方承担。</w:t>
      </w:r>
    </w:p>
    <w:p>
      <w:pPr>
        <w:spacing w:line="520" w:lineRule="exact"/>
        <w:ind w:firstLine="420" w:firstLineChars="200"/>
        <w:rPr>
          <w:rFonts w:ascii="宋体" w:hAnsi="宋体" w:cs="宋体"/>
          <w:szCs w:val="21"/>
        </w:rPr>
      </w:pPr>
      <w:r>
        <w:rPr>
          <w:rFonts w:hint="eastAsia" w:ascii="宋体" w:hAnsi="宋体" w:cs="宋体"/>
          <w:szCs w:val="21"/>
        </w:rPr>
        <w:t>（二）乙方权利和义务</w:t>
      </w:r>
    </w:p>
    <w:p>
      <w:pPr>
        <w:spacing w:line="520" w:lineRule="exact"/>
        <w:ind w:firstLine="420" w:firstLineChars="200"/>
        <w:rPr>
          <w:rFonts w:ascii="宋体" w:hAnsi="宋体" w:cs="宋体"/>
          <w:szCs w:val="21"/>
        </w:rPr>
      </w:pPr>
      <w:r>
        <w:rPr>
          <w:rFonts w:hint="eastAsia" w:ascii="宋体" w:hAnsi="宋体" w:cs="宋体"/>
          <w:szCs w:val="21"/>
        </w:rPr>
        <w:t>1、乙方有权根据承包合同按期领取承包经费。</w:t>
      </w:r>
    </w:p>
    <w:p>
      <w:pPr>
        <w:spacing w:line="520" w:lineRule="exact"/>
        <w:ind w:left="210" w:leftChars="100" w:firstLine="210" w:firstLineChars="100"/>
        <w:rPr>
          <w:rFonts w:ascii="宋体" w:hAnsi="宋体" w:cs="宋体"/>
          <w:szCs w:val="21"/>
        </w:rPr>
      </w:pPr>
      <w:r>
        <w:rPr>
          <w:rFonts w:hint="eastAsia" w:ascii="宋体" w:hAnsi="宋体" w:cs="宋体"/>
          <w:szCs w:val="21"/>
        </w:rPr>
        <w:t>2、乙方履行承诺的义务，并参加由甲方组织的检查和综合考评。</w:t>
      </w:r>
    </w:p>
    <w:p>
      <w:pPr>
        <w:spacing w:line="520" w:lineRule="exact"/>
        <w:ind w:firstLine="420" w:firstLineChars="200"/>
        <w:rPr>
          <w:rFonts w:ascii="宋体" w:hAnsi="宋体" w:cs="宋体"/>
          <w:szCs w:val="21"/>
        </w:rPr>
      </w:pPr>
      <w:r>
        <w:rPr>
          <w:rFonts w:hint="eastAsia" w:ascii="宋体" w:hAnsi="宋体" w:cs="宋体"/>
          <w:szCs w:val="21"/>
        </w:rPr>
        <w:t>3、乙方应接受甲方的检查监督及指导。</w:t>
      </w:r>
    </w:p>
    <w:p>
      <w:pPr>
        <w:spacing w:line="520" w:lineRule="exact"/>
        <w:ind w:firstLine="420" w:firstLineChars="200"/>
        <w:rPr>
          <w:rFonts w:ascii="宋体" w:hAnsi="宋体" w:cs="宋体"/>
          <w:szCs w:val="21"/>
        </w:rPr>
      </w:pPr>
      <w:r>
        <w:rPr>
          <w:rFonts w:hint="eastAsia" w:ascii="宋体" w:hAnsi="宋体" w:cs="宋体"/>
          <w:szCs w:val="21"/>
        </w:rPr>
        <w:t>4、按甲方的要求开展工作，如有改变，乙方应提出书面申请，并征得甲方的书面同意。</w:t>
      </w:r>
    </w:p>
    <w:p>
      <w:pPr>
        <w:spacing w:line="520" w:lineRule="exact"/>
        <w:ind w:firstLine="420" w:firstLineChars="200"/>
        <w:rPr>
          <w:rFonts w:ascii="宋体" w:hAnsi="宋体" w:cs="宋体"/>
          <w:szCs w:val="21"/>
        </w:rPr>
      </w:pPr>
      <w:r>
        <w:rPr>
          <w:rFonts w:hint="eastAsia" w:ascii="宋体" w:hAnsi="宋体" w:cs="宋体"/>
          <w:szCs w:val="21"/>
        </w:rPr>
        <w:t>5、特殊情况下（台风和暴雨等），乙方除应做好管辖地段保护工作外，还应服从甲方的统一指挥和调动，参加抢险救灾工作。</w:t>
      </w:r>
    </w:p>
    <w:p>
      <w:pPr>
        <w:spacing w:line="520" w:lineRule="exact"/>
        <w:ind w:firstLine="420" w:firstLineChars="200"/>
        <w:rPr>
          <w:rFonts w:ascii="宋体" w:hAnsi="宋体" w:cs="宋体"/>
          <w:szCs w:val="21"/>
        </w:rPr>
      </w:pPr>
      <w:r>
        <w:rPr>
          <w:rFonts w:hint="eastAsia" w:ascii="宋体" w:hAnsi="宋体" w:cs="宋体"/>
          <w:szCs w:val="21"/>
        </w:rPr>
        <w:t>6、乙方根据本合同所承担的服务内容及“劳动法”有关规定，按实际上岗人数自行到有关部门申办用工手续、</w:t>
      </w:r>
      <w:r>
        <w:rPr>
          <w:rFonts w:hint="eastAsia" w:ascii="宋体" w:hAnsi="宋体" w:cs="宋体"/>
          <w:b/>
          <w:szCs w:val="21"/>
        </w:rPr>
        <w:t>享受按国家有关规定的员工社会保险，根据浙政办发（2009）190号文件，月工资收入不低于瑞安市本年最低工资标准120%。</w:t>
      </w:r>
      <w:r>
        <w:rPr>
          <w:rFonts w:hint="eastAsia" w:ascii="宋体" w:hAnsi="宋体" w:cs="宋体"/>
          <w:szCs w:val="21"/>
        </w:rPr>
        <w:t>并安排好属下人员的住宿和教育管理工作，如发生违法违纪事件，由乙方承担一切经济责任和法律责任。</w:t>
      </w:r>
    </w:p>
    <w:p>
      <w:pPr>
        <w:spacing w:line="520" w:lineRule="exact"/>
        <w:ind w:firstLine="420" w:firstLineChars="200"/>
        <w:rPr>
          <w:rFonts w:ascii="宋体" w:hAnsi="宋体" w:cs="宋体"/>
          <w:szCs w:val="21"/>
        </w:rPr>
      </w:pPr>
      <w:r>
        <w:rPr>
          <w:rFonts w:hint="eastAsia" w:ascii="宋体" w:hAnsi="宋体" w:cs="宋体"/>
          <w:szCs w:val="21"/>
        </w:rPr>
        <w:t>7、须为符合国家相关缴纳社保规定的所有员工缴纳社保（计入投标总价），其中一线现场服务人员社保缴纳人数不得低于一线现场服务人员总数的30%，乙方在投标报价中综合考虑，今后不再调整。合同实施过程中发现一线现场服务人员社保缴纳人数未达到一线现场服务人员总数的30%的，每少一人每月扣罚2400元，直接从当月服务款中扣除。</w:t>
      </w:r>
    </w:p>
    <w:p>
      <w:pPr>
        <w:spacing w:line="520" w:lineRule="exact"/>
        <w:ind w:firstLine="420" w:firstLineChars="200"/>
        <w:rPr>
          <w:rFonts w:ascii="宋体" w:hAnsi="宋体" w:cs="宋体"/>
          <w:szCs w:val="21"/>
        </w:rPr>
      </w:pPr>
      <w:r>
        <w:rPr>
          <w:rFonts w:hint="eastAsia" w:ascii="宋体" w:hAnsi="宋体" w:cs="宋体"/>
          <w:szCs w:val="21"/>
        </w:rPr>
        <w:t>8、乙方应按甲方要求，为上岗工人购买统一的反光工作服。</w:t>
      </w:r>
    </w:p>
    <w:p>
      <w:pPr>
        <w:spacing w:line="520" w:lineRule="exact"/>
        <w:ind w:firstLine="420" w:firstLineChars="200"/>
        <w:rPr>
          <w:rFonts w:ascii="宋体" w:hAnsi="宋体" w:cs="宋体"/>
          <w:szCs w:val="21"/>
        </w:rPr>
      </w:pPr>
      <w:r>
        <w:rPr>
          <w:rFonts w:hint="eastAsia" w:ascii="宋体" w:hAnsi="宋体" w:cs="宋体"/>
          <w:szCs w:val="21"/>
        </w:rPr>
        <w:t>9、负责提供清扫保洁所需的全部设备、工具和材料。</w:t>
      </w:r>
    </w:p>
    <w:p>
      <w:pPr>
        <w:spacing w:line="520" w:lineRule="exact"/>
        <w:ind w:firstLine="420" w:firstLineChars="200"/>
        <w:rPr>
          <w:rFonts w:ascii="宋体" w:hAnsi="宋体" w:cs="宋体"/>
          <w:szCs w:val="21"/>
        </w:rPr>
      </w:pPr>
      <w:r>
        <w:rPr>
          <w:rFonts w:hint="eastAsia" w:ascii="宋体" w:hAnsi="宋体" w:cs="宋体"/>
          <w:szCs w:val="21"/>
        </w:rPr>
        <w:t>10、乙方负责安排骨干参加业务技术的培训学习。教育员工遵守交通法规。</w:t>
      </w:r>
    </w:p>
    <w:p>
      <w:pPr>
        <w:spacing w:line="520" w:lineRule="exact"/>
        <w:ind w:firstLine="420" w:firstLineChars="200"/>
        <w:rPr>
          <w:rFonts w:ascii="宋体" w:hAnsi="宋体" w:cs="宋体"/>
          <w:szCs w:val="21"/>
        </w:rPr>
      </w:pPr>
      <w:r>
        <w:rPr>
          <w:rFonts w:hint="eastAsia" w:ascii="宋体" w:hAnsi="宋体" w:cs="宋体"/>
          <w:szCs w:val="21"/>
        </w:rPr>
        <w:t>11、乙方负责作业过程中的事故处理和一切费用。</w:t>
      </w:r>
    </w:p>
    <w:p>
      <w:pPr>
        <w:spacing w:line="520" w:lineRule="exact"/>
        <w:ind w:left="561" w:leftChars="267"/>
        <w:rPr>
          <w:rFonts w:ascii="宋体" w:hAnsi="宋体" w:cs="宋体"/>
          <w:szCs w:val="21"/>
        </w:rPr>
      </w:pPr>
      <w:r>
        <w:rPr>
          <w:rFonts w:hint="eastAsia" w:ascii="宋体" w:hAnsi="宋体" w:cs="宋体"/>
          <w:szCs w:val="21"/>
        </w:rPr>
        <w:t>12、乙方不得有弄虚作假及其不正当行为。</w:t>
      </w:r>
      <w:r>
        <w:rPr>
          <w:rFonts w:hint="eastAsia" w:ascii="宋体" w:hAnsi="宋体" w:cs="宋体"/>
          <w:szCs w:val="21"/>
        </w:rPr>
        <w:cr/>
      </w:r>
      <w:r>
        <w:rPr>
          <w:rFonts w:hint="eastAsia" w:ascii="宋体" w:hAnsi="宋体" w:cs="宋体"/>
          <w:szCs w:val="21"/>
        </w:rPr>
        <w:t>13、乙方应认真保管，维护好保洁区域上的环卫设施。教育员工不得在责任区外翻捡废品，干私活，侵犯他人利益。</w:t>
      </w:r>
    </w:p>
    <w:p>
      <w:pPr>
        <w:spacing w:line="520" w:lineRule="exact"/>
        <w:ind w:firstLine="420" w:firstLineChars="200"/>
        <w:rPr>
          <w:rFonts w:ascii="宋体" w:hAnsi="宋体" w:cs="宋体"/>
          <w:szCs w:val="21"/>
        </w:rPr>
      </w:pPr>
      <w:r>
        <w:rPr>
          <w:rFonts w:hint="eastAsia" w:ascii="宋体" w:hAnsi="宋体" w:cs="宋体"/>
          <w:szCs w:val="21"/>
        </w:rPr>
        <w:t>14、乙方应严格遵守国家法律、法规的规定，做好社会治安综合治理和计划生育等工作，不得违反国家法律、法规和瑞安市的有关规定。</w:t>
      </w:r>
    </w:p>
    <w:p>
      <w:pPr>
        <w:spacing w:line="520" w:lineRule="exact"/>
        <w:ind w:firstLine="420" w:firstLineChars="200"/>
        <w:rPr>
          <w:rFonts w:ascii="宋体" w:hAnsi="宋体" w:cs="宋体"/>
          <w:szCs w:val="21"/>
        </w:rPr>
      </w:pPr>
      <w:r>
        <w:rPr>
          <w:rFonts w:hint="eastAsia" w:ascii="宋体" w:hAnsi="宋体" w:cs="宋体"/>
          <w:szCs w:val="21"/>
        </w:rPr>
        <w:t>15、在合同期内，因国家建设需要调整乙方管理服务任务时，乙方要服从大局，相应增减承包面积及经费。由此造成的经济损失，甲方不负赔偿责任。</w:t>
      </w:r>
    </w:p>
    <w:p>
      <w:pPr>
        <w:spacing w:line="520" w:lineRule="exact"/>
        <w:ind w:firstLine="420" w:firstLineChars="200"/>
        <w:rPr>
          <w:rFonts w:ascii="宋体" w:hAnsi="宋体" w:cs="宋体"/>
          <w:szCs w:val="21"/>
        </w:rPr>
      </w:pPr>
      <w:r>
        <w:rPr>
          <w:rFonts w:hint="eastAsia" w:ascii="宋体" w:hAnsi="宋体" w:cs="宋体"/>
          <w:szCs w:val="21"/>
        </w:rPr>
        <w:t>16、乙方应遵守法律、法规和政策的规定，因以上原因使合同性质发生改变，甲方不负赔偿责任。</w:t>
      </w:r>
    </w:p>
    <w:p>
      <w:pPr>
        <w:spacing w:line="520" w:lineRule="exact"/>
        <w:ind w:firstLine="413" w:firstLineChars="196"/>
        <w:rPr>
          <w:rFonts w:ascii="宋体" w:hAnsi="宋体" w:cs="宋体"/>
          <w:b/>
          <w:szCs w:val="21"/>
        </w:rPr>
      </w:pPr>
      <w:bookmarkStart w:id="345" w:name="_Toc13172"/>
      <w:r>
        <w:rPr>
          <w:rFonts w:hint="eastAsia" w:ascii="宋体" w:hAnsi="宋体" w:cs="宋体"/>
          <w:b/>
          <w:szCs w:val="21"/>
        </w:rPr>
        <w:t>第十二条  合同组成</w:t>
      </w:r>
      <w:bookmarkEnd w:id="345"/>
    </w:p>
    <w:p>
      <w:pPr>
        <w:spacing w:line="520" w:lineRule="exact"/>
        <w:ind w:firstLine="420" w:firstLineChars="200"/>
        <w:rPr>
          <w:rFonts w:ascii="宋体" w:hAnsi="宋体" w:cs="宋体"/>
          <w:szCs w:val="21"/>
        </w:rPr>
      </w:pPr>
      <w:r>
        <w:rPr>
          <w:rFonts w:hint="eastAsia" w:ascii="宋体" w:hAnsi="宋体" w:cs="宋体"/>
          <w:szCs w:val="21"/>
        </w:rPr>
        <w:t>承包合同由《招标文件》、《投标文件》、《瑞安市“一把扫帚”智慧环卫平台监管考核细则》（瑞环改〔2020〕1号）、瑞安市人民政府、瑞安市安阳街道办事处发布的现行考核办法及附件为本合同的有效组成部分。</w:t>
      </w:r>
    </w:p>
    <w:p>
      <w:pPr>
        <w:spacing w:line="520" w:lineRule="exact"/>
        <w:ind w:firstLine="517" w:firstLineChars="245"/>
        <w:rPr>
          <w:rFonts w:ascii="宋体" w:hAnsi="宋体" w:cs="宋体"/>
          <w:b/>
          <w:szCs w:val="21"/>
        </w:rPr>
      </w:pPr>
      <w:bookmarkStart w:id="346" w:name="_Toc20075"/>
      <w:r>
        <w:rPr>
          <w:rFonts w:hint="eastAsia" w:ascii="宋体" w:hAnsi="宋体" w:cs="宋体"/>
          <w:b/>
          <w:szCs w:val="21"/>
        </w:rPr>
        <w:t>第十三条  违约责任</w:t>
      </w:r>
      <w:bookmarkEnd w:id="346"/>
    </w:p>
    <w:p>
      <w:pPr>
        <w:spacing w:line="520" w:lineRule="exact"/>
        <w:ind w:firstLine="420" w:firstLineChars="200"/>
        <w:rPr>
          <w:rFonts w:ascii="宋体" w:hAnsi="宋体" w:cs="宋体"/>
          <w:szCs w:val="21"/>
        </w:rPr>
      </w:pPr>
      <w:r>
        <w:rPr>
          <w:rFonts w:hint="eastAsia" w:ascii="宋体" w:hAnsi="宋体" w:cs="宋体"/>
          <w:szCs w:val="21"/>
        </w:rPr>
        <w:t>（一）乙方违反甲方具体要求及《招标文件》规定的行为均属违约行为。甲方根据上述规定条款，视乙方违反规定的情节轻重，做出批评教育或警告或按瑞安市人民政府、瑞安市安阳街道办事处发布的现行考核办法进行扣罚处理，情节严重者，甲方有权单方终止本合同，由乙方承担一切经济损失和法律责任。因乙方违约造成甲方损失的，甲方从乙方缴纳的履约保证金中扣除，具体扣除金额以相关执法部门或瑞安市人民法院判决等相关依据为准。</w:t>
      </w:r>
    </w:p>
    <w:p>
      <w:pPr>
        <w:spacing w:line="520" w:lineRule="exact"/>
        <w:ind w:firstLine="420" w:firstLineChars="200"/>
        <w:rPr>
          <w:rFonts w:ascii="宋体" w:hAnsi="宋体" w:cs="宋体"/>
          <w:szCs w:val="21"/>
        </w:rPr>
      </w:pPr>
      <w:r>
        <w:rPr>
          <w:rFonts w:hint="eastAsia" w:ascii="宋体" w:hAnsi="宋体" w:cs="宋体"/>
          <w:szCs w:val="21"/>
        </w:rPr>
        <w:t>（二）乙方因机械、工具或技术、劳动等跟不上管理需要影响工作，未达到质量标准，</w:t>
      </w:r>
      <w:r>
        <w:rPr>
          <w:rFonts w:hint="eastAsia" w:ascii="宋体" w:hAnsi="宋体" w:cs="宋体"/>
          <w:b/>
          <w:szCs w:val="21"/>
        </w:rPr>
        <w:t>月考核一年内被甲方3次警告（含2次警告1次严重警告）或2次严重警告的，甲方有权单方终止本合同。</w:t>
      </w:r>
    </w:p>
    <w:p>
      <w:pPr>
        <w:spacing w:line="520" w:lineRule="exact"/>
        <w:ind w:left="141" w:leftChars="67" w:firstLine="315" w:firstLineChars="150"/>
        <w:rPr>
          <w:rFonts w:ascii="宋体" w:hAnsi="宋体" w:cs="宋体"/>
          <w:strike/>
          <w:szCs w:val="21"/>
        </w:rPr>
      </w:pPr>
      <w:r>
        <w:rPr>
          <w:rFonts w:hint="eastAsia" w:ascii="宋体" w:hAnsi="宋体" w:cs="宋体"/>
          <w:szCs w:val="21"/>
        </w:rPr>
        <w:t>（三）根据招标文件对本项目人员、机械、车辆、船只的配备及要求，乙方如未按招标文件的要求和投标文件承诺配备的，甲方有权收回缺位费用，扣罚履约保证金，严重的直至终止采购合同。同时保留向乙方进一步索赔的权利，将乙方政府采购履约评价定为不合格。</w:t>
      </w:r>
    </w:p>
    <w:p>
      <w:pPr>
        <w:spacing w:line="520" w:lineRule="exact"/>
        <w:ind w:left="141" w:leftChars="67" w:firstLine="315" w:firstLineChars="150"/>
        <w:rPr>
          <w:rFonts w:ascii="宋体" w:hAnsi="宋体" w:cs="宋体"/>
          <w:szCs w:val="21"/>
        </w:rPr>
      </w:pPr>
      <w:r>
        <w:rPr>
          <w:rFonts w:hint="eastAsia" w:ascii="宋体" w:hAnsi="宋体" w:cs="宋体"/>
          <w:szCs w:val="21"/>
        </w:rPr>
        <w:t xml:space="preserve"> (四)乙方道路清扫车、洒水车、洗路车、垃圾运输车等相应的清扫保洁设备，在清扫保洁作业中，存在弄虚作假、更换gps设备、数据等情况的，一经发现，记1次严重警告。</w:t>
      </w:r>
    </w:p>
    <w:p>
      <w:pPr>
        <w:spacing w:line="520" w:lineRule="exact"/>
        <w:ind w:left="141" w:leftChars="67" w:firstLine="420" w:firstLineChars="200"/>
        <w:rPr>
          <w:rFonts w:ascii="宋体" w:hAnsi="宋体" w:cs="宋体"/>
          <w:szCs w:val="21"/>
        </w:rPr>
      </w:pPr>
      <w:r>
        <w:rPr>
          <w:rFonts w:hint="eastAsia" w:ascii="宋体" w:hAnsi="宋体" w:cs="宋体"/>
          <w:szCs w:val="21"/>
        </w:rPr>
        <w:t>(五)乙方不得将本项目分包与转包，一经发现立即终止合同，作违约处理，没收全部履约保证金并承担由此引起的法律责任及一切经济损失。</w:t>
      </w:r>
    </w:p>
    <w:p>
      <w:pPr>
        <w:spacing w:line="520" w:lineRule="exact"/>
        <w:ind w:firstLine="413" w:firstLineChars="196"/>
        <w:rPr>
          <w:rFonts w:ascii="宋体" w:hAnsi="宋体" w:cs="宋体"/>
          <w:b/>
          <w:szCs w:val="21"/>
        </w:rPr>
      </w:pPr>
      <w:bookmarkStart w:id="347" w:name="_Toc26437"/>
      <w:r>
        <w:rPr>
          <w:rFonts w:hint="eastAsia" w:ascii="宋体" w:hAnsi="宋体" w:cs="宋体"/>
          <w:b/>
          <w:szCs w:val="21"/>
        </w:rPr>
        <w:t>第十四条  争议的解决</w:t>
      </w:r>
      <w:bookmarkEnd w:id="347"/>
    </w:p>
    <w:p>
      <w:pPr>
        <w:spacing w:line="520" w:lineRule="exact"/>
        <w:ind w:firstLine="420" w:firstLineChars="200"/>
        <w:rPr>
          <w:rFonts w:ascii="宋体" w:hAnsi="宋体" w:cs="宋体"/>
          <w:szCs w:val="21"/>
        </w:rPr>
      </w:pPr>
      <w:r>
        <w:rPr>
          <w:rFonts w:hint="eastAsia" w:ascii="宋体" w:hAnsi="宋体" w:cs="宋体"/>
          <w:szCs w:val="21"/>
        </w:rPr>
        <w:t>合同未尽事宜，应双方友好协调解决。协商不一致，任何一方均有权向瑞安市人民法院提起诉讼。</w:t>
      </w:r>
    </w:p>
    <w:p>
      <w:pPr>
        <w:spacing w:line="520" w:lineRule="exact"/>
        <w:ind w:firstLine="413" w:firstLineChars="196"/>
        <w:rPr>
          <w:rFonts w:ascii="宋体" w:hAnsi="宋体" w:cs="宋体"/>
          <w:b/>
          <w:szCs w:val="21"/>
        </w:rPr>
      </w:pPr>
      <w:bookmarkStart w:id="348" w:name="_Toc21093"/>
      <w:r>
        <w:rPr>
          <w:rFonts w:hint="eastAsia" w:ascii="宋体" w:hAnsi="宋体" w:cs="宋体"/>
          <w:b/>
          <w:szCs w:val="21"/>
        </w:rPr>
        <w:t>第十五条  合同生效及终止</w:t>
      </w:r>
      <w:bookmarkEnd w:id="348"/>
    </w:p>
    <w:p>
      <w:pPr>
        <w:spacing w:line="520" w:lineRule="exact"/>
        <w:ind w:firstLine="420" w:firstLineChars="200"/>
        <w:rPr>
          <w:rFonts w:ascii="宋体" w:hAnsi="宋体" w:cs="宋体"/>
          <w:szCs w:val="21"/>
        </w:rPr>
      </w:pPr>
      <w:r>
        <w:rPr>
          <w:rFonts w:hint="eastAsia" w:ascii="宋体" w:hAnsi="宋体" w:cs="宋体"/>
          <w:szCs w:val="21"/>
        </w:rPr>
        <w:t>（一）合同生效：本合同自甲乙双方法定代表人签字、盖章之日起生效。</w:t>
      </w:r>
    </w:p>
    <w:p>
      <w:pPr>
        <w:spacing w:line="520" w:lineRule="exact"/>
        <w:ind w:firstLine="420" w:firstLineChars="200"/>
        <w:rPr>
          <w:rFonts w:ascii="宋体" w:hAnsi="宋体" w:cs="宋体"/>
          <w:szCs w:val="21"/>
        </w:rPr>
      </w:pPr>
      <w:r>
        <w:rPr>
          <w:rFonts w:hint="eastAsia" w:ascii="宋体" w:hAnsi="宋体" w:cs="宋体"/>
          <w:szCs w:val="21"/>
        </w:rPr>
        <w:t>（二）合同终止：本项目有下列情形的，采购人有权不续签或终止合同。</w:t>
      </w:r>
    </w:p>
    <w:p>
      <w:pPr>
        <w:spacing w:line="520" w:lineRule="exact"/>
        <w:ind w:firstLine="420" w:firstLineChars="200"/>
        <w:rPr>
          <w:rFonts w:ascii="宋体" w:hAnsi="宋体" w:cs="宋体"/>
          <w:szCs w:val="21"/>
        </w:rPr>
      </w:pPr>
      <w:r>
        <w:rPr>
          <w:rFonts w:hint="eastAsia" w:ascii="宋体" w:hAnsi="宋体" w:cs="宋体"/>
          <w:szCs w:val="21"/>
        </w:rPr>
        <w:t>1、本项目遇不可抗力影响或法律、法规、国家政策重大调整影响合同无法执行的；</w:t>
      </w:r>
    </w:p>
    <w:p>
      <w:pPr>
        <w:spacing w:line="520" w:lineRule="exact"/>
        <w:ind w:firstLine="420" w:firstLineChars="200"/>
        <w:rPr>
          <w:rFonts w:ascii="宋体" w:hAnsi="宋体" w:cs="宋体"/>
          <w:szCs w:val="21"/>
        </w:rPr>
      </w:pPr>
      <w:r>
        <w:rPr>
          <w:rFonts w:hint="eastAsia" w:ascii="宋体" w:hAnsi="宋体" w:cs="宋体"/>
          <w:szCs w:val="21"/>
        </w:rPr>
        <w:t>2、实际投入人员、机械车辆、船只与投标文件承诺不符合，拒不履行投标承诺的乙方（未按招标文件规定时间人员、机械车辆、船只到位，达到解除合同条件的），采购人有权无责任终止采购合同，并没收其全部履约保证金。</w:t>
      </w:r>
    </w:p>
    <w:p>
      <w:pPr>
        <w:spacing w:line="520" w:lineRule="exact"/>
        <w:ind w:firstLine="420" w:firstLineChars="200"/>
        <w:rPr>
          <w:rFonts w:ascii="宋体" w:hAnsi="宋体" w:cs="宋体"/>
          <w:szCs w:val="21"/>
        </w:rPr>
      </w:pPr>
      <w:r>
        <w:rPr>
          <w:rFonts w:hint="eastAsia" w:ascii="宋体" w:hAnsi="宋体" w:cs="宋体"/>
          <w:szCs w:val="21"/>
        </w:rPr>
        <w:t>3、按相关法律、法规、招标文件规定及考核办法，有下列情形之一的，采购人有权不续签或终止合同：</w:t>
      </w:r>
    </w:p>
    <w:p>
      <w:pPr>
        <w:spacing w:line="520" w:lineRule="exact"/>
        <w:ind w:firstLine="420" w:firstLineChars="200"/>
        <w:rPr>
          <w:rFonts w:ascii="宋体" w:hAnsi="宋体" w:cs="宋体"/>
          <w:szCs w:val="21"/>
        </w:rPr>
      </w:pPr>
      <w:r>
        <w:rPr>
          <w:rFonts w:hint="eastAsia" w:ascii="宋体" w:hAnsi="宋体" w:cs="宋体"/>
          <w:szCs w:val="21"/>
        </w:rPr>
        <w:t>（1）全年有两次被严重警告或三次被警告（含一次严重警告，两次警告）的承包单位，采购人有权无责任终止采购合同，并没收其全部履约保证金。警告及严重警告情形具体见考核办法。</w:t>
      </w:r>
    </w:p>
    <w:p>
      <w:pPr>
        <w:spacing w:line="520" w:lineRule="exact"/>
        <w:ind w:firstLine="420" w:firstLineChars="200"/>
        <w:rPr>
          <w:rFonts w:ascii="宋体" w:hAnsi="宋体" w:cs="宋体"/>
          <w:szCs w:val="21"/>
        </w:rPr>
      </w:pPr>
      <w:r>
        <w:rPr>
          <w:rFonts w:hint="eastAsia" w:ascii="宋体" w:hAnsi="宋体" w:cs="宋体"/>
          <w:szCs w:val="21"/>
        </w:rPr>
        <w:t>（2）</w:t>
      </w:r>
      <w:r>
        <w:rPr>
          <w:rFonts w:hint="eastAsia" w:ascii="宋体" w:hAnsi="宋体" w:cs="宋体"/>
          <w:b/>
          <w:szCs w:val="21"/>
        </w:rPr>
        <w:t>连续2个月（或全年累计3个月）扣罚总额为月保洁金额的10%（含）以上</w:t>
      </w:r>
      <w:r>
        <w:rPr>
          <w:rFonts w:hint="eastAsia" w:ascii="宋体" w:hAnsi="宋体" w:cs="宋体"/>
          <w:szCs w:val="21"/>
        </w:rPr>
        <w:t>的，采购人有权无责任终止采购合同，并没收其全部履约保证金。</w:t>
      </w:r>
    </w:p>
    <w:p>
      <w:pPr>
        <w:spacing w:line="520" w:lineRule="exact"/>
        <w:ind w:firstLine="420" w:firstLineChars="200"/>
        <w:rPr>
          <w:rFonts w:ascii="宋体" w:hAnsi="宋体" w:cs="宋体"/>
          <w:szCs w:val="21"/>
        </w:rPr>
      </w:pPr>
      <w:r>
        <w:rPr>
          <w:rFonts w:hint="eastAsia" w:ascii="宋体" w:hAnsi="宋体" w:cs="宋体"/>
          <w:szCs w:val="21"/>
        </w:rPr>
        <w:t>（3）违反安全管理、规范作业规定，造成重大伤亡或重大损失。</w:t>
      </w:r>
    </w:p>
    <w:p>
      <w:pPr>
        <w:spacing w:line="520" w:lineRule="exact"/>
        <w:ind w:firstLine="420" w:firstLineChars="200"/>
        <w:rPr>
          <w:rFonts w:ascii="宋体" w:hAnsi="宋体" w:cs="宋体"/>
          <w:szCs w:val="21"/>
        </w:rPr>
      </w:pPr>
      <w:r>
        <w:rPr>
          <w:rFonts w:hint="eastAsia" w:ascii="宋体" w:hAnsi="宋体" w:cs="宋体"/>
          <w:szCs w:val="21"/>
        </w:rPr>
        <w:t>（4）经省、市级新闻媒体曝光，乙方为责任方，造成恶劣影响的。</w:t>
      </w:r>
    </w:p>
    <w:p>
      <w:pPr>
        <w:spacing w:line="520" w:lineRule="exact"/>
        <w:ind w:firstLine="420" w:firstLineChars="200"/>
        <w:rPr>
          <w:rFonts w:ascii="宋体" w:hAnsi="宋体" w:cs="宋体"/>
          <w:szCs w:val="21"/>
        </w:rPr>
      </w:pPr>
      <w:r>
        <w:rPr>
          <w:rFonts w:hint="eastAsia" w:ascii="宋体" w:hAnsi="宋体" w:cs="宋体"/>
          <w:szCs w:val="21"/>
        </w:rPr>
        <w:t>（5）经有关部门认定严重违反劳动法，造成恶劣影响的；或其它因违法经营受到刑事处罚或者责令停产停业、吊销许可证或者执照、较大数额罚款等行政处罚的。</w:t>
      </w:r>
    </w:p>
    <w:p>
      <w:pPr>
        <w:spacing w:line="520" w:lineRule="exact"/>
        <w:ind w:firstLine="420" w:firstLineChars="200"/>
        <w:rPr>
          <w:rFonts w:ascii="宋体" w:hAnsi="宋体" w:cs="宋体"/>
          <w:szCs w:val="21"/>
        </w:rPr>
      </w:pPr>
      <w:r>
        <w:rPr>
          <w:rFonts w:hint="eastAsia" w:ascii="宋体" w:hAnsi="宋体" w:cs="宋体"/>
          <w:szCs w:val="21"/>
        </w:rPr>
        <w:t>（6）其它弄虚作假及其他不正当行为。</w:t>
      </w:r>
    </w:p>
    <w:p>
      <w:pPr>
        <w:spacing w:line="520" w:lineRule="exact"/>
        <w:ind w:firstLine="420" w:firstLineChars="200"/>
        <w:rPr>
          <w:rFonts w:ascii="宋体" w:hAnsi="宋体" w:cs="宋体"/>
          <w:szCs w:val="21"/>
        </w:rPr>
      </w:pPr>
      <w:r>
        <w:rPr>
          <w:rFonts w:hint="eastAsia" w:ascii="宋体" w:hAnsi="宋体" w:cs="宋体"/>
          <w:szCs w:val="21"/>
        </w:rPr>
        <w:t>（7）合同履约期间，乙方法人组织破产的；</w:t>
      </w:r>
    </w:p>
    <w:p>
      <w:pPr>
        <w:spacing w:line="520" w:lineRule="exact"/>
        <w:ind w:firstLine="420" w:firstLineChars="200"/>
        <w:rPr>
          <w:rFonts w:ascii="宋体" w:hAnsi="宋体" w:cs="宋体"/>
          <w:szCs w:val="21"/>
        </w:rPr>
      </w:pPr>
      <w:r>
        <w:rPr>
          <w:rFonts w:hint="eastAsia" w:ascii="宋体" w:hAnsi="宋体" w:cs="宋体"/>
          <w:szCs w:val="21"/>
        </w:rPr>
        <w:t>（8）根据招标文件及合同约定，其它不续签或终止合同的规定，其它法律规定的终止情形。</w:t>
      </w:r>
    </w:p>
    <w:p>
      <w:pPr>
        <w:spacing w:line="520" w:lineRule="exact"/>
        <w:ind w:firstLine="525" w:firstLineChars="250"/>
        <w:rPr>
          <w:rFonts w:ascii="宋体" w:hAnsi="宋体" w:cs="宋体"/>
          <w:szCs w:val="21"/>
        </w:rPr>
      </w:pPr>
      <w:r>
        <w:rPr>
          <w:rFonts w:hint="eastAsia" w:ascii="宋体" w:hAnsi="宋体" w:cs="宋体"/>
          <w:szCs w:val="21"/>
        </w:rPr>
        <w:t>4、合同期限届满时自行终止。</w:t>
      </w:r>
    </w:p>
    <w:p>
      <w:pPr>
        <w:spacing w:line="520" w:lineRule="exact"/>
        <w:ind w:firstLine="413" w:firstLineChars="196"/>
        <w:rPr>
          <w:rFonts w:ascii="宋体" w:hAnsi="宋体" w:cs="宋体"/>
          <w:b/>
          <w:szCs w:val="21"/>
        </w:rPr>
      </w:pPr>
      <w:bookmarkStart w:id="349" w:name="_Toc22309"/>
      <w:r>
        <w:rPr>
          <w:rFonts w:hint="eastAsia" w:ascii="宋体" w:hAnsi="宋体" w:cs="宋体"/>
          <w:b/>
          <w:szCs w:val="21"/>
        </w:rPr>
        <w:t>第十六条  合同的解释</w:t>
      </w:r>
      <w:bookmarkEnd w:id="349"/>
    </w:p>
    <w:p>
      <w:pPr>
        <w:spacing w:line="520" w:lineRule="exact"/>
        <w:ind w:firstLine="420" w:firstLineChars="200"/>
        <w:rPr>
          <w:rFonts w:ascii="宋体" w:hAnsi="宋体" w:cs="宋体"/>
          <w:szCs w:val="21"/>
        </w:rPr>
      </w:pPr>
      <w:r>
        <w:rPr>
          <w:rFonts w:hint="eastAsia" w:ascii="宋体" w:hAnsi="宋体" w:cs="宋体"/>
          <w:szCs w:val="21"/>
        </w:rPr>
        <w:t>本合同的解释权在瑞安市综合行政执法局。</w:t>
      </w:r>
    </w:p>
    <w:p>
      <w:pPr>
        <w:spacing w:line="520" w:lineRule="exact"/>
        <w:ind w:firstLine="413" w:firstLineChars="196"/>
        <w:rPr>
          <w:rFonts w:ascii="宋体" w:hAnsi="宋体" w:cs="宋体"/>
          <w:b/>
          <w:szCs w:val="21"/>
        </w:rPr>
      </w:pPr>
      <w:bookmarkStart w:id="350" w:name="_Toc246"/>
      <w:r>
        <w:rPr>
          <w:rFonts w:hint="eastAsia" w:ascii="宋体" w:hAnsi="宋体" w:cs="宋体"/>
          <w:b/>
          <w:szCs w:val="21"/>
        </w:rPr>
        <w:t>第十七条  合同的份数</w:t>
      </w:r>
      <w:bookmarkEnd w:id="350"/>
    </w:p>
    <w:p>
      <w:pPr>
        <w:spacing w:line="520" w:lineRule="exact"/>
        <w:ind w:firstLine="420" w:firstLineChars="200"/>
        <w:rPr>
          <w:rFonts w:ascii="宋体" w:hAnsi="宋体" w:cs="宋体"/>
          <w:szCs w:val="21"/>
        </w:rPr>
      </w:pPr>
      <w:r>
        <w:rPr>
          <w:rFonts w:hint="eastAsia" w:ascii="宋体" w:hAnsi="宋体" w:cs="宋体"/>
          <w:szCs w:val="21"/>
        </w:rPr>
        <w:t>本合同一式陆份，合同各方各执二份，招标代理公司一份，瑞安市公共资源交易中心一份，具有同等法律效力。</w:t>
      </w:r>
    </w:p>
    <w:p>
      <w:pPr>
        <w:spacing w:line="520" w:lineRule="exact"/>
        <w:ind w:firstLine="315" w:firstLineChars="150"/>
        <w:rPr>
          <w:rFonts w:ascii="宋体" w:hAnsi="宋体" w:cs="宋体"/>
          <w:szCs w:val="21"/>
        </w:rPr>
      </w:pPr>
    </w:p>
    <w:p>
      <w:pPr>
        <w:spacing w:line="520" w:lineRule="exact"/>
        <w:rPr>
          <w:rFonts w:ascii="宋体" w:hAnsi="宋体" w:cs="宋体"/>
          <w:szCs w:val="21"/>
        </w:rPr>
      </w:pPr>
      <w:r>
        <w:rPr>
          <w:rFonts w:hint="eastAsia" w:ascii="宋体" w:hAnsi="宋体" w:cs="宋体"/>
          <w:szCs w:val="21"/>
        </w:rPr>
        <w:t>甲方：（印章）                   乙方：（印章）</w:t>
      </w:r>
    </w:p>
    <w:p>
      <w:pPr>
        <w:spacing w:line="520" w:lineRule="exact"/>
        <w:rPr>
          <w:rFonts w:ascii="宋体" w:hAnsi="宋体" w:cs="宋体"/>
          <w:szCs w:val="21"/>
        </w:rPr>
      </w:pPr>
      <w:r>
        <w:rPr>
          <w:rFonts w:hint="eastAsia" w:ascii="宋体" w:hAnsi="宋体" w:cs="宋体"/>
          <w:szCs w:val="21"/>
        </w:rPr>
        <w:t>全权代表：（签字）               全权代表：（签字）</w:t>
      </w:r>
    </w:p>
    <w:p>
      <w:pPr>
        <w:spacing w:line="520" w:lineRule="exact"/>
        <w:rPr>
          <w:rFonts w:ascii="宋体" w:hAnsi="宋体" w:cs="宋体"/>
          <w:szCs w:val="21"/>
        </w:rPr>
      </w:pPr>
      <w:r>
        <w:rPr>
          <w:rFonts w:hint="eastAsia" w:ascii="宋体" w:hAnsi="宋体" w:cs="宋体"/>
          <w:szCs w:val="21"/>
        </w:rPr>
        <w:t>确认送达地址：                  确认送达地址：</w:t>
      </w:r>
    </w:p>
    <w:p>
      <w:pPr>
        <w:spacing w:line="520" w:lineRule="exact"/>
        <w:rPr>
          <w:rFonts w:ascii="宋体" w:hAnsi="宋体" w:cs="宋体"/>
          <w:szCs w:val="21"/>
        </w:rPr>
      </w:pPr>
      <w:r>
        <w:rPr>
          <w:rFonts w:hint="eastAsia" w:ascii="宋体" w:hAnsi="宋体" w:cs="宋体"/>
          <w:szCs w:val="21"/>
        </w:rPr>
        <w:t>邮政编码：                      邮政编码：</w:t>
      </w:r>
    </w:p>
    <w:p>
      <w:pPr>
        <w:spacing w:line="520" w:lineRule="exact"/>
        <w:rPr>
          <w:rFonts w:ascii="宋体" w:hAnsi="宋体" w:cs="宋体"/>
          <w:szCs w:val="21"/>
        </w:rPr>
      </w:pPr>
      <w:r>
        <w:rPr>
          <w:rFonts w:hint="eastAsia" w:ascii="宋体" w:hAnsi="宋体" w:cs="宋体"/>
          <w:szCs w:val="21"/>
        </w:rPr>
        <w:t>电话：                          电话：</w:t>
      </w:r>
    </w:p>
    <w:p>
      <w:pPr>
        <w:spacing w:line="520" w:lineRule="exact"/>
        <w:rPr>
          <w:rFonts w:ascii="宋体" w:hAnsi="宋体" w:cs="宋体"/>
          <w:szCs w:val="21"/>
        </w:rPr>
      </w:pPr>
      <w:r>
        <w:rPr>
          <w:rFonts w:hint="eastAsia" w:ascii="宋体" w:hAnsi="宋体" w:cs="宋体"/>
          <w:szCs w:val="21"/>
        </w:rPr>
        <w:t>传真：                          传真：</w:t>
      </w:r>
    </w:p>
    <w:p>
      <w:pPr>
        <w:spacing w:line="520" w:lineRule="exact"/>
        <w:rPr>
          <w:rFonts w:ascii="宋体" w:hAnsi="宋体" w:cs="宋体"/>
          <w:szCs w:val="21"/>
        </w:rPr>
      </w:pPr>
      <w:r>
        <w:rPr>
          <w:rFonts w:hint="eastAsia" w:ascii="宋体" w:hAnsi="宋体" w:cs="宋体"/>
          <w:szCs w:val="21"/>
        </w:rPr>
        <w:t>开户银行：                      开户银行：</w:t>
      </w:r>
    </w:p>
    <w:p>
      <w:pPr>
        <w:spacing w:line="520" w:lineRule="exact"/>
        <w:rPr>
          <w:rFonts w:ascii="宋体" w:hAnsi="宋体" w:cs="宋体"/>
          <w:szCs w:val="21"/>
        </w:rPr>
      </w:pPr>
      <w:r>
        <w:rPr>
          <w:rFonts w:hint="eastAsia" w:ascii="宋体" w:hAnsi="宋体" w:cs="宋体"/>
          <w:szCs w:val="21"/>
        </w:rPr>
        <w:t>帐号：                          帐号：</w:t>
      </w:r>
    </w:p>
    <w:p>
      <w:pPr>
        <w:spacing w:line="520" w:lineRule="exact"/>
        <w:ind w:firstLine="630" w:firstLineChars="300"/>
        <w:rPr>
          <w:rFonts w:ascii="宋体" w:hAnsi="宋体" w:cs="宋体"/>
          <w:szCs w:val="21"/>
        </w:rPr>
      </w:pPr>
    </w:p>
    <w:p>
      <w:pPr>
        <w:spacing w:line="520" w:lineRule="exact"/>
        <w:ind w:firstLine="630" w:firstLineChars="300"/>
        <w:rPr>
          <w:rFonts w:ascii="宋体" w:hAnsi="宋体" w:cs="宋体"/>
          <w:szCs w:val="21"/>
        </w:rPr>
      </w:pPr>
    </w:p>
    <w:p>
      <w:pPr>
        <w:spacing w:line="520" w:lineRule="exact"/>
        <w:ind w:firstLine="630" w:firstLineChars="300"/>
        <w:rPr>
          <w:rFonts w:ascii="宋体" w:hAnsi="宋体" w:cs="宋体"/>
          <w:szCs w:val="21"/>
        </w:rPr>
      </w:pPr>
    </w:p>
    <w:p>
      <w:pPr>
        <w:spacing w:line="520" w:lineRule="exact"/>
        <w:rPr>
          <w:rFonts w:ascii="宋体" w:hAnsi="宋体" w:cs="宋体"/>
          <w:szCs w:val="21"/>
        </w:rPr>
      </w:pPr>
      <w:r>
        <w:rPr>
          <w:rFonts w:hint="eastAsia" w:ascii="宋体" w:hAnsi="宋体" w:cs="宋体"/>
          <w:szCs w:val="21"/>
        </w:rPr>
        <w:t>瑞安市综合行政执法局：（印章）</w:t>
      </w:r>
    </w:p>
    <w:p>
      <w:pPr>
        <w:spacing w:line="520" w:lineRule="exact"/>
        <w:rPr>
          <w:rFonts w:ascii="宋体" w:hAnsi="宋体" w:cs="宋体"/>
          <w:szCs w:val="21"/>
        </w:rPr>
      </w:pPr>
      <w:r>
        <w:rPr>
          <w:rFonts w:hint="eastAsia" w:ascii="宋体" w:hAnsi="宋体" w:cs="宋体"/>
          <w:szCs w:val="21"/>
        </w:rPr>
        <w:t>全权代表：（签字）</w:t>
      </w:r>
    </w:p>
    <w:p>
      <w:pPr>
        <w:spacing w:line="520" w:lineRule="exact"/>
        <w:rPr>
          <w:rFonts w:ascii="宋体" w:hAnsi="宋体" w:cs="宋体"/>
          <w:szCs w:val="21"/>
        </w:rPr>
      </w:pPr>
      <w:r>
        <w:rPr>
          <w:rFonts w:hint="eastAsia" w:ascii="宋体" w:hAnsi="宋体" w:cs="宋体"/>
          <w:szCs w:val="21"/>
        </w:rPr>
        <w:t>确认送达地址：</w:t>
      </w:r>
    </w:p>
    <w:p>
      <w:pPr>
        <w:spacing w:line="520" w:lineRule="exact"/>
        <w:rPr>
          <w:rFonts w:ascii="宋体" w:hAnsi="宋体" w:cs="宋体"/>
          <w:szCs w:val="21"/>
        </w:rPr>
      </w:pPr>
      <w:r>
        <w:rPr>
          <w:rFonts w:hint="eastAsia" w:ascii="宋体" w:hAnsi="宋体" w:cs="宋体"/>
          <w:szCs w:val="21"/>
        </w:rPr>
        <w:t>邮政编码：</w:t>
      </w:r>
    </w:p>
    <w:p>
      <w:pPr>
        <w:spacing w:line="520" w:lineRule="exact"/>
        <w:rPr>
          <w:rFonts w:ascii="宋体" w:hAnsi="宋体" w:cs="宋体"/>
          <w:szCs w:val="21"/>
        </w:rPr>
      </w:pPr>
      <w:r>
        <w:rPr>
          <w:rFonts w:hint="eastAsia" w:ascii="宋体" w:hAnsi="宋体" w:cs="宋体"/>
          <w:szCs w:val="21"/>
        </w:rPr>
        <w:t>电话：</w:t>
      </w:r>
    </w:p>
    <w:p>
      <w:pPr>
        <w:spacing w:line="520" w:lineRule="exact"/>
        <w:rPr>
          <w:rFonts w:ascii="宋体" w:hAnsi="宋体" w:cs="宋体"/>
          <w:szCs w:val="21"/>
        </w:rPr>
      </w:pPr>
      <w:r>
        <w:rPr>
          <w:rFonts w:hint="eastAsia" w:ascii="宋体" w:hAnsi="宋体" w:cs="宋体"/>
          <w:szCs w:val="21"/>
        </w:rPr>
        <w:t>传真：</w:t>
      </w:r>
    </w:p>
    <w:p>
      <w:pPr>
        <w:spacing w:line="520" w:lineRule="exact"/>
        <w:rPr>
          <w:rFonts w:ascii="宋体" w:hAnsi="宋体" w:cs="宋体"/>
          <w:szCs w:val="21"/>
        </w:rPr>
      </w:pPr>
      <w:r>
        <w:rPr>
          <w:rFonts w:hint="eastAsia" w:ascii="宋体" w:hAnsi="宋体" w:cs="宋体"/>
          <w:szCs w:val="21"/>
        </w:rPr>
        <w:t>开户银行：</w:t>
      </w:r>
    </w:p>
    <w:p>
      <w:pPr>
        <w:pStyle w:val="4"/>
        <w:tabs>
          <w:tab w:val="left" w:pos="840"/>
        </w:tabs>
        <w:wordWrap w:val="0"/>
        <w:overflowPunct w:val="0"/>
        <w:spacing w:line="340" w:lineRule="exact"/>
        <w:ind w:firstLine="0"/>
        <w:rPr>
          <w:rFonts w:ascii="Arial" w:hAnsi="Arial" w:cs="Arial"/>
          <w:b/>
        </w:rPr>
      </w:pPr>
      <w:r>
        <w:rPr>
          <w:rFonts w:hint="eastAsia" w:ascii="宋体" w:hAnsi="宋体" w:cs="宋体"/>
          <w:szCs w:val="21"/>
        </w:rPr>
        <w:t>帐号：</w:t>
      </w:r>
      <w:r>
        <w:rPr>
          <w:rFonts w:hint="eastAsia" w:ascii="新宋体" w:hAnsi="新宋体" w:eastAsia="新宋体"/>
          <w:szCs w:val="21"/>
        </w:rPr>
        <w:t xml:space="preserve"> </w:t>
      </w:r>
      <w:r>
        <w:rPr>
          <w:rFonts w:hint="eastAsia" w:ascii="新宋体" w:hAnsi="新宋体" w:eastAsia="新宋体"/>
        </w:rPr>
        <w:t xml:space="preserve">         </w:t>
      </w:r>
    </w:p>
    <w:p>
      <w:pPr>
        <w:snapToGrid w:val="0"/>
        <w:spacing w:before="120" w:beforeLines="50" w:after="120" w:afterLines="50" w:line="400" w:lineRule="atLeast"/>
        <w:jc w:val="center"/>
        <w:rPr>
          <w:rFonts w:ascii="宋体" w:hAnsi="宋体"/>
          <w:b/>
          <w:szCs w:val="21"/>
        </w:rPr>
      </w:pPr>
      <w:r>
        <w:rPr>
          <w:rFonts w:hint="eastAsia" w:ascii="宋体" w:hAnsi="宋体"/>
          <w:b/>
          <w:szCs w:val="21"/>
        </w:rPr>
        <w:t>（此合同仅供参考，具体以实际签订合同为准）</w:t>
      </w: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hint="eastAsia" w:ascii="宋体" w:hAnsi="宋体" w:eastAsia="宋体"/>
          <w:color w:val="000000"/>
          <w:sz w:val="22"/>
          <w:szCs w:val="22"/>
        </w:rPr>
      </w:pPr>
    </w:p>
    <w:p>
      <w:pPr>
        <w:overflowPunct w:val="0"/>
        <w:spacing w:line="360" w:lineRule="auto"/>
        <w:jc w:val="center"/>
        <w:outlineLvl w:val="1"/>
        <w:rPr>
          <w:rFonts w:hint="eastAsia" w:ascii="宋体" w:hAnsi="宋体" w:cs="Arial Unicode MS"/>
          <w:b/>
          <w:sz w:val="32"/>
          <w:szCs w:val="32"/>
        </w:rPr>
      </w:pPr>
      <w:bookmarkStart w:id="351" w:name="_Toc64901783"/>
      <w:bookmarkStart w:id="352" w:name="_Toc64913367"/>
      <w:bookmarkStart w:id="353" w:name="_Toc14410"/>
      <w:r>
        <w:rPr>
          <w:rFonts w:hint="eastAsia" w:ascii="宋体" w:hAnsi="宋体" w:cs="Arial Unicode MS"/>
          <w:b/>
          <w:sz w:val="28"/>
          <w:szCs w:val="28"/>
        </w:rPr>
        <w:t>附件一：</w:t>
      </w:r>
      <w:r>
        <w:rPr>
          <w:rFonts w:hint="eastAsia" w:ascii="宋体" w:hAnsi="宋体" w:cs="Arial Unicode MS"/>
          <w:b/>
          <w:sz w:val="32"/>
          <w:szCs w:val="32"/>
        </w:rPr>
        <w:t>安阳街道 “一把扫帚”环卫公司保洁质量考核办法</w:t>
      </w:r>
    </w:p>
    <w:bookmarkEnd w:id="351"/>
    <w:bookmarkEnd w:id="352"/>
    <w:bookmarkEnd w:id="353"/>
    <w:p>
      <w:pPr>
        <w:adjustRightInd w:val="0"/>
        <w:snapToGrid w:val="0"/>
        <w:spacing w:line="360" w:lineRule="auto"/>
        <w:ind w:firstLine="420" w:firstLineChars="200"/>
        <w:rPr>
          <w:rFonts w:ascii="宋体" w:hAnsi="宋体" w:cs="宋体"/>
          <w:bCs/>
          <w:szCs w:val="21"/>
        </w:rPr>
      </w:pPr>
      <w:r>
        <w:rPr>
          <w:rFonts w:hint="eastAsia" w:ascii="宋体" w:hAnsi="宋体" w:cs="宋体"/>
          <w:bCs/>
          <w:szCs w:val="21"/>
        </w:rPr>
        <w:t>为进一步提高我街道环境卫生建设和管理水平，改善市容环境卫生面貌，营造整洁、有序、美观的城乡环境，加强街道环卫作业监管，建立长效管理机制，现结合本街道实际，特制定本办法</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一、考核对象</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安阳街道辖区内“一把扫帚”环卫保洁服务中标的承包单位。</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二、考核内容</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考核区域内“一把扫帚”承包公司日常保洁情况和规范作业，具体内容如下：</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（一）道路清扫保洁，包括主次干道、通村道路和背街小巷等清扫保洁。</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（二）公路清扫保洁（含隧道及墙壁保洁），包括国道、省道、县道等清扫保洁。</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（三）园林绿化保洁，包括公园广场、公共绿地、道路（含公路）绿化带等保洁。</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（四）河道保洁，包括各级河道、湖泊、水库、池塘、沟渠、小微水体等保洁。</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五）市政设施（城市家具）保洁，包括道路（含公路、桥梁）护栏、隔离栏、电杆、监控杆、弱电设施等一切公共室外市政设施保洁，环卫设施（含垃圾桶、果壳箱等）、公交站台、站牌、灯箱、广告牌、报刊（信息）亭、电话亭、邮政信箱、固定室外座椅等一切城市家具保洁。</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（六）无主建筑垃圾清理，包括无主装修垃圾，废弃家具的清理。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（七）公厕保洁与管理。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（八）小广告治理，包括道路、公园、广场、公厕、道路两侧构筑物、建筑物、道路辅助设施、市政（家具）设施上可见的小广告、非法喷涂广告。</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（九）结合智慧平台实时监控情况，现场核查环卫保洁人员出勤率、机械作业到位率和作业频次等情况。</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（十）公司内部管理和环卫作业安全生产。</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（十一）其他环境卫生问题。</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三、考核方式</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考核由街道领导班子考核、手机APP考核、执法中队考核、专业队伍日常监管、社区考核及其他考核等方式组成。</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（一）街道领导班子进行印象考核，原则上每位领导成员都要参与考核。</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（二）参与手机APP考核可以有街道公职人员、“两代表一委员”、社区居委会、其他社会组织或个人等。</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（三）执法中队考核在日常执法进行督查考核，每月形成综合评分。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（四）街道成立一支由正式在编人员组成的专业队伍，进行环卫日常监管考核工作。</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（五）发动社区干部群众、社会知名人士参与考核。</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四、考核计分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（一）得分公式。</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得分率=保洁公司考核得分±加（扣）项分/各项考核总分。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（二）考核评分占比。</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单位班子领导考核评分占10%，执法中队考核评分占20%，街道专业队伍日常监管考核占30%，手机APP考核（街道机关干部、社区居委会及社区干部群众、“两代表一委员”、社会知名人士等）评分占40%。</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五、考核结果运用</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（一）承包合同保洁经费支付依据。</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1.合同款支付比例计算公式。</w:t>
      </w:r>
    </w:p>
    <w:p>
      <w:pPr>
        <w:adjustRightInd w:val="0"/>
        <w:snapToGrid w:val="0"/>
        <w:spacing w:line="360" w:lineRule="auto"/>
        <w:ind w:firstLine="420" w:firstLineChars="200"/>
        <w:rPr>
          <w:rFonts w:ascii="宋体" w:hAnsi="宋体" w:cs="宋体"/>
          <w:bCs/>
          <w:szCs w:val="21"/>
        </w:rPr>
      </w:pPr>
      <w:r>
        <w:rPr>
          <w:lang/>
        </w:rPr>
        <w:drawing>
          <wp:anchor distT="0" distB="0" distL="114300" distR="114300" simplePos="0" relativeHeight="251661312" behindDoc="1" locked="0" layoutInCell="1" allowOverlap="0">
            <wp:simplePos x="0" y="0"/>
            <wp:positionH relativeFrom="column">
              <wp:posOffset>1460500</wp:posOffset>
            </wp:positionH>
            <wp:positionV relativeFrom="line">
              <wp:posOffset>6121400</wp:posOffset>
            </wp:positionV>
            <wp:extent cx="1466850" cy="542925"/>
            <wp:effectExtent l="0" t="0" r="0" b="8890"/>
            <wp:wrapSquare wrapText="bothSides"/>
            <wp:docPr id="3" name="图片 3" descr="C:\Users\hp\AppData\Local\Temp\ksohtml760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hp\AppData\Local\Temp\ksohtml7608\wps1.png"/>
                    <pic:cNvPicPr>
                      <a:picLocks noChangeAspect="1"/>
                    </pic:cNvPicPr>
                  </pic:nvPicPr>
                  <pic:blipFill>
                    <a:blip r:embed="rId39"/>
                    <a:stretch>
                      <a:fillRect/>
                    </a:stretch>
                  </pic:blipFill>
                  <pic:spPr>
                    <a:xfrm>
                      <a:off x="0" y="0"/>
                      <a:ext cx="1466850" cy="542925"/>
                    </a:xfrm>
                    <a:prstGeom prst="rect">
                      <a:avLst/>
                    </a:prstGeom>
                    <a:noFill/>
                    <a:ln>
                      <a:noFill/>
                    </a:ln>
                  </pic:spPr>
                </pic:pic>
              </a:graphicData>
            </a:graphic>
          </wp:anchor>
        </w:drawing>
      </w:r>
      <w:r>
        <w:rPr>
          <w:lang/>
        </w:rPr>
        <w:drawing>
          <wp:anchor distT="0" distB="0" distL="114300" distR="114300" simplePos="0" relativeHeight="251659264" behindDoc="1" locked="0" layoutInCell="1" allowOverlap="0">
            <wp:simplePos x="0" y="0"/>
            <wp:positionH relativeFrom="column">
              <wp:posOffset>1460500</wp:posOffset>
            </wp:positionH>
            <wp:positionV relativeFrom="line">
              <wp:posOffset>6121400</wp:posOffset>
            </wp:positionV>
            <wp:extent cx="1466850" cy="542925"/>
            <wp:effectExtent l="0" t="0" r="0" b="8890"/>
            <wp:wrapSquare wrapText="bothSides"/>
            <wp:docPr id="1" name="图片 3" descr="C:\Users\hp\AppData\Local\Temp\ksohtml760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C:\Users\hp\AppData\Local\Temp\ksohtml7608\wps1.png"/>
                    <pic:cNvPicPr>
                      <a:picLocks noChangeAspect="1"/>
                    </pic:cNvPicPr>
                  </pic:nvPicPr>
                  <pic:blipFill>
                    <a:blip r:embed="rId39"/>
                    <a:stretch>
                      <a:fillRect/>
                    </a:stretch>
                  </pic:blipFill>
                  <pic:spPr>
                    <a:xfrm>
                      <a:off x="0" y="0"/>
                      <a:ext cx="1466850" cy="542925"/>
                    </a:xfrm>
                    <a:prstGeom prst="rect">
                      <a:avLst/>
                    </a:prstGeom>
                    <a:noFill/>
                    <a:ln>
                      <a:noFill/>
                    </a:ln>
                  </pic:spPr>
                </pic:pic>
              </a:graphicData>
            </a:graphic>
          </wp:anchor>
        </w:drawing>
      </w:r>
      <w:r>
        <w:rPr>
          <w:lang/>
        </w:rPr>
        <w:drawing>
          <wp:anchor distT="0" distB="0" distL="114300" distR="114300" simplePos="0" relativeHeight="251660288" behindDoc="1" locked="0" layoutInCell="1" allowOverlap="0">
            <wp:simplePos x="0" y="0"/>
            <wp:positionH relativeFrom="column">
              <wp:posOffset>1460500</wp:posOffset>
            </wp:positionH>
            <wp:positionV relativeFrom="line">
              <wp:posOffset>6121400</wp:posOffset>
            </wp:positionV>
            <wp:extent cx="1466850" cy="542925"/>
            <wp:effectExtent l="0" t="0" r="0" b="8890"/>
            <wp:wrapSquare wrapText="bothSides"/>
            <wp:docPr id="2" name="图片 3" descr="C:\Users\hp\AppData\Local\Temp\ksohtml760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C:\Users\hp\AppData\Local\Temp\ksohtml7608\wps1.png"/>
                    <pic:cNvPicPr>
                      <a:picLocks noChangeAspect="1"/>
                    </pic:cNvPicPr>
                  </pic:nvPicPr>
                  <pic:blipFill>
                    <a:blip r:embed="rId39"/>
                    <a:stretch>
                      <a:fillRect/>
                    </a:stretch>
                  </pic:blipFill>
                  <pic:spPr>
                    <a:xfrm>
                      <a:off x="0" y="0"/>
                      <a:ext cx="1466850" cy="542925"/>
                    </a:xfrm>
                    <a:prstGeom prst="rect">
                      <a:avLst/>
                    </a:prstGeom>
                    <a:noFill/>
                    <a:ln>
                      <a:noFill/>
                    </a:ln>
                  </pic:spPr>
                </pic:pic>
              </a:graphicData>
            </a:graphic>
          </wp:anchor>
        </w:drawing>
      </w:r>
      <w:r>
        <w:rPr>
          <w:rFonts w:ascii="宋体" w:hAnsi="宋体" w:cs="宋体"/>
          <w:bCs/>
          <w:szCs w:val="21"/>
        </w:rPr>
        <w:t xml:space="preserve"> </w:t>
      </w:r>
      <w:r>
        <w:rPr>
          <w:rFonts w:ascii="宋体" w:hAnsi="宋体" w:cs="宋体"/>
          <w:bCs/>
          <w:color w:val="000000"/>
          <w:kern w:val="2"/>
          <w:sz w:val="22"/>
          <w:szCs w:val="21"/>
        </w:rPr>
        <w:drawing>
          <wp:inline distT="0" distB="0" distL="114300" distR="114300">
            <wp:extent cx="977900" cy="361950"/>
            <wp:effectExtent l="0" t="0" r="12700" b="0"/>
            <wp:docPr id="21" name="图片 18" descr="1614690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1614690961(1)"/>
                    <pic:cNvPicPr>
                      <a:picLocks noChangeAspect="1"/>
                    </pic:cNvPicPr>
                  </pic:nvPicPr>
                  <pic:blipFill>
                    <a:blip r:embed="rId40"/>
                    <a:stretch>
                      <a:fillRect/>
                    </a:stretch>
                  </pic:blipFill>
                  <pic:spPr>
                    <a:xfrm>
                      <a:off x="0" y="0"/>
                      <a:ext cx="977900" cy="361950"/>
                    </a:xfrm>
                    <a:prstGeom prst="rect">
                      <a:avLst/>
                    </a:prstGeom>
                    <a:noFill/>
                    <a:ln>
                      <a:noFill/>
                    </a:ln>
                  </pic:spPr>
                </pic:pic>
              </a:graphicData>
            </a:graphic>
          </wp:inline>
        </w:drawing>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A为得分率，B为合同款支付比例,k为系数。</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2.合同支付款=月度保洁经费额×合同款支付比例</w:t>
      </w:r>
    </w:p>
    <w:p>
      <w:pPr>
        <w:adjustRightInd w:val="0"/>
        <w:snapToGrid w:val="0"/>
        <w:spacing w:line="360" w:lineRule="auto"/>
        <w:ind w:firstLine="420" w:firstLineChars="200"/>
        <w:rPr>
          <w:rFonts w:ascii="宋体" w:hAnsi="宋体" w:cs="宋体"/>
          <w:bCs/>
          <w:szCs w:val="21"/>
        </w:rPr>
      </w:pPr>
      <w:r>
        <w:rPr>
          <w:rFonts w:hint="eastAsia" w:ascii="宋体" w:hAnsi="宋体" w:cs="宋体"/>
          <w:bCs/>
          <w:szCs w:val="21"/>
        </w:rPr>
        <w:t>k按下表取值计算月度合同支付款：</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6474"/>
        <w:gridCol w:w="1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481" w:type="pct"/>
            <w:tcBorders>
              <w:top w:val="single" w:color="auto" w:sz="4" w:space="0"/>
              <w:left w:val="single" w:color="auto" w:sz="4" w:space="0"/>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序号</w:t>
            </w:r>
          </w:p>
        </w:tc>
        <w:tc>
          <w:tcPr>
            <w:tcW w:w="3486"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ind w:firstLine="420" w:firstLineChars="200"/>
              <w:jc w:val="center"/>
              <w:rPr>
                <w:rFonts w:cs="Times New Roman"/>
                <w:color w:val="000000"/>
                <w:sz w:val="21"/>
                <w:szCs w:val="21"/>
              </w:rPr>
            </w:pPr>
            <w:r>
              <w:rPr>
                <w:rFonts w:cs="Times New Roman"/>
                <w:color w:val="000000"/>
                <w:sz w:val="21"/>
                <w:szCs w:val="21"/>
              </w:rPr>
              <w:t>考核得分档次</w:t>
            </w:r>
          </w:p>
        </w:tc>
        <w:tc>
          <w:tcPr>
            <w:tcW w:w="1033"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k值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4" w:space="0"/>
              <w:left w:val="single" w:color="auto" w:sz="4" w:space="0"/>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1</w:t>
            </w:r>
          </w:p>
        </w:tc>
        <w:tc>
          <w:tcPr>
            <w:tcW w:w="3486"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供应商月度考核得分率为90%（含）及以上的</w:t>
            </w:r>
          </w:p>
        </w:tc>
        <w:tc>
          <w:tcPr>
            <w:tcW w:w="1033"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hint="eastAsia" w:cs="Times New Roman"/>
                <w:color w:val="000000"/>
                <w:sz w:val="21"/>
                <w:szCs w:val="21"/>
              </w:rPr>
              <w:t>K＝1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4" w:space="0"/>
              <w:left w:val="single" w:color="auto" w:sz="4" w:space="0"/>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2</w:t>
            </w:r>
          </w:p>
        </w:tc>
        <w:tc>
          <w:tcPr>
            <w:tcW w:w="3486"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供应商月度考核得分率为90%（不含）-85%（含）</w:t>
            </w:r>
          </w:p>
        </w:tc>
        <w:tc>
          <w:tcPr>
            <w:tcW w:w="1033"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hint="eastAsia" w:cs="Times New Roman"/>
                <w:color w:val="000000"/>
                <w:sz w:val="21"/>
                <w:szCs w:val="21"/>
              </w:rPr>
              <w:t>K＝1.5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4" w:space="0"/>
              <w:left w:val="single" w:color="auto" w:sz="4" w:space="0"/>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3</w:t>
            </w:r>
          </w:p>
        </w:tc>
        <w:tc>
          <w:tcPr>
            <w:tcW w:w="3486"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供应商月度考核得分率为85%（不含）-75%（含）</w:t>
            </w:r>
          </w:p>
        </w:tc>
        <w:tc>
          <w:tcPr>
            <w:tcW w:w="1033"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hint="eastAsia" w:cs="Times New Roman"/>
                <w:color w:val="000000"/>
                <w:sz w:val="21"/>
                <w:szCs w:val="21"/>
              </w:rPr>
              <w:t>K＝2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4" w:space="0"/>
              <w:left w:val="single" w:color="auto" w:sz="4" w:space="0"/>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4</w:t>
            </w:r>
          </w:p>
        </w:tc>
        <w:tc>
          <w:tcPr>
            <w:tcW w:w="3486"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供应商月度考核得分率为75%（不含）-60%（含）</w:t>
            </w:r>
          </w:p>
        </w:tc>
        <w:tc>
          <w:tcPr>
            <w:tcW w:w="1033"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hint="eastAsia" w:cs="Times New Roman"/>
                <w:color w:val="000000"/>
                <w:sz w:val="21"/>
                <w:szCs w:val="21"/>
              </w:rPr>
              <w:t>K＝2.5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4" w:space="0"/>
              <w:left w:val="single" w:color="auto" w:sz="4" w:space="0"/>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5</w:t>
            </w:r>
          </w:p>
        </w:tc>
        <w:tc>
          <w:tcPr>
            <w:tcW w:w="3486"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ind w:firstLine="420" w:firstLineChars="200"/>
              <w:jc w:val="center"/>
              <w:rPr>
                <w:rFonts w:cs="Times New Roman"/>
                <w:color w:val="000000"/>
                <w:sz w:val="21"/>
                <w:szCs w:val="21"/>
              </w:rPr>
            </w:pPr>
            <w:r>
              <w:rPr>
                <w:rFonts w:cs="Times New Roman"/>
                <w:color w:val="000000"/>
                <w:sz w:val="21"/>
                <w:szCs w:val="21"/>
              </w:rPr>
              <w:t>供应商月度考核得分率为低于60%的</w:t>
            </w:r>
          </w:p>
        </w:tc>
        <w:tc>
          <w:tcPr>
            <w:tcW w:w="1033" w:type="pct"/>
            <w:tcBorders>
              <w:top w:val="single" w:color="auto" w:sz="4" w:space="0"/>
              <w:left w:val="nil"/>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hint="eastAsia" w:cs="Times New Roman"/>
                <w:color w:val="000000"/>
                <w:sz w:val="21"/>
                <w:szCs w:val="21"/>
              </w:rPr>
              <w:t>K＝3.5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tcBorders>
              <w:top w:val="single" w:color="auto" w:sz="4" w:space="0"/>
              <w:left w:val="single" w:color="auto" w:sz="4" w:space="0"/>
              <w:bottom w:val="single" w:color="auto" w:sz="4" w:space="0"/>
              <w:right w:val="single" w:color="auto" w:sz="4" w:space="0"/>
            </w:tcBorders>
            <w:noWrap w:val="0"/>
            <w:vAlign w:val="center"/>
          </w:tcPr>
          <w:p>
            <w:pPr>
              <w:pStyle w:val="182"/>
              <w:shd w:val="clear" w:color="auto" w:fill="FFFFFF"/>
              <w:autoSpaceDE w:val="0"/>
              <w:adjustRightInd w:val="0"/>
              <w:snapToGrid w:val="0"/>
              <w:spacing w:before="0" w:beforeAutospacing="0" w:after="0" w:afterAutospacing="0" w:line="440" w:lineRule="exact"/>
              <w:jc w:val="center"/>
              <w:rPr>
                <w:rFonts w:cs="Times New Roman"/>
                <w:color w:val="000000"/>
                <w:sz w:val="21"/>
                <w:szCs w:val="21"/>
              </w:rPr>
            </w:pPr>
            <w:r>
              <w:rPr>
                <w:rFonts w:cs="Times New Roman"/>
                <w:color w:val="000000"/>
                <w:sz w:val="21"/>
                <w:szCs w:val="21"/>
              </w:rPr>
              <w:t>下一档的K值需大于上一档</w:t>
            </w:r>
          </w:p>
        </w:tc>
      </w:tr>
    </w:tbl>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2.达标得分率为75%。月考核得分率为75%（不含）-60%（含）的，街道会商市综合行政执法局后，联合发书面通知书以示警告。月考核得分率低于60%（不含）的，街道会商市综合行政执法局后，联合发书面通知书以示严重警告。</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（二)其他扣罚措施</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1.现场检查发现机动车辆、船只弄虚作假没有实际作业，一经发现核实，每车（船）每次扣1500元人民币。</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2.现场检查发现未经过采购人同意擅自减少保洁人员，或弄虚作假谎报保洁人员的，一经发现核实，每人每次扣200元人民币。</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3凡遇国家、浙江省、温州市或瑞安市重大活动或检查时，环卫方面发现不达标的，除给予通报批评外，还可以给予相应的经济处罚。国家级检查发现问题的一处扣2000元以上，省级检查发现问题的一处扣1000元以上，地市级检查发现问题的一处扣800元以上，县市级领导检查发现问题的一处扣500元以上，街道会同保洁公司检查发现问题的一处扣300元以上。</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六、考核结果公布及申诉机制</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（一）市综合行政执法局每月7日前将智慧环卫平台扣罚结果报送至街道，街道须按考核结果在支付保洁经费中予以资金扣罚。</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（二）街道于每月10日前对各考核单位的结果进行汇总，并反馈至保洁公司，同时将结果报送市综合行政执法局备案。</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（三）保洁公司收到考核结果后，在收到考核结果之日起3个工作日内可以向市综合行政执法局和街道提出异议申诉，市综合行政执法局会同街道自收到申诉之日起5个工作日内进行审核答复，逾期不予受理。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（四）街道对保洁公司考核和市级对其考核得分率相差20%以上的，市级综合行政执法局可会同市级各相关考核单位进行调查核对，发现有违规予以纠正处理。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（五）保洁公司在承包期限内违反《招标文件》和合同中约定终止合同条款的，须街道会同市综合行政执法局形成决议报请瑞安市人民政府。</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六、考核纪律</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（一）考核工作客观、透明、公正。检查考核人员应认真遵守廉洁自律规定，严格执行检查考核操作程序，自觉接受监督。</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（二）考核人员违反考核工作纪律的，将通报批评并依照相关规定给予严肃处理。</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八、采购人可以根据实际情况予以调整考核办法，中标承包单位须无条件接受并遵守。</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七、其他</w:t>
      </w:r>
    </w:p>
    <w:p>
      <w:pPr>
        <w:adjustRightInd w:val="0"/>
        <w:snapToGrid w:val="0"/>
        <w:spacing w:line="360" w:lineRule="auto"/>
        <w:ind w:firstLine="420" w:firstLineChars="200"/>
        <w:rPr>
          <w:rFonts w:hint="eastAsia" w:ascii="宋体" w:hAnsi="宋体" w:cs="宋体"/>
          <w:bCs/>
          <w:szCs w:val="21"/>
        </w:rPr>
      </w:pPr>
      <w:r>
        <w:rPr>
          <w:rFonts w:hint="eastAsia" w:ascii="宋体" w:hAnsi="宋体" w:cs="宋体"/>
          <w:bCs/>
          <w:szCs w:val="21"/>
        </w:rPr>
        <w:t>（一）本办法已报备瑞安市“一把扫帚”环卫管理体制改革领导小组审核通过。</w:t>
      </w:r>
    </w:p>
    <w:p>
      <w:pPr>
        <w:adjustRightInd w:val="0"/>
        <w:snapToGrid w:val="0"/>
        <w:spacing w:line="360" w:lineRule="auto"/>
        <w:ind w:firstLine="420" w:firstLineChars="200"/>
        <w:rPr>
          <w:rFonts w:ascii="宋体" w:hAnsi="宋体" w:cs="宋体"/>
          <w:bCs/>
          <w:szCs w:val="21"/>
        </w:rPr>
      </w:pPr>
      <w:r>
        <w:rPr>
          <w:rFonts w:hint="eastAsia" w:ascii="宋体" w:hAnsi="宋体" w:cs="宋体"/>
          <w:bCs/>
          <w:szCs w:val="21"/>
        </w:rPr>
        <w:t>（二）本办法自印发之日起实施。</w:t>
      </w:r>
    </w:p>
    <w:p>
      <w:pPr>
        <w:adjustRightInd w:val="0"/>
        <w:snapToGrid w:val="0"/>
        <w:spacing w:line="360" w:lineRule="auto"/>
        <w:ind w:firstLine="420" w:firstLineChars="200"/>
        <w:rPr>
          <w:rFonts w:ascii="宋体" w:hAnsi="宋体" w:cs="宋体"/>
          <w:bCs/>
          <w:szCs w:val="21"/>
        </w:rPr>
      </w:pPr>
    </w:p>
    <w:p>
      <w:pPr>
        <w:wordWrap w:val="0"/>
        <w:overflowPunct w:val="0"/>
        <w:adjustRightInd w:val="0"/>
        <w:snapToGrid w:val="0"/>
        <w:spacing w:line="400" w:lineRule="exact"/>
        <w:rPr>
          <w:rFonts w:hint="eastAsia" w:ascii="宋体" w:hAnsi="宋体" w:cs="宋体"/>
          <w:bCs/>
          <w:szCs w:val="21"/>
        </w:rPr>
      </w:pPr>
    </w:p>
    <w:p>
      <w:pPr>
        <w:wordWrap w:val="0"/>
        <w:overflowPunct w:val="0"/>
        <w:adjustRightInd w:val="0"/>
        <w:snapToGrid w:val="0"/>
        <w:spacing w:line="400" w:lineRule="exact"/>
        <w:rPr>
          <w:rFonts w:hint="eastAsia" w:ascii="宋体" w:hAnsi="宋体" w:cs="宋体"/>
          <w:bCs/>
          <w:szCs w:val="21"/>
        </w:rPr>
      </w:pPr>
    </w:p>
    <w:p>
      <w:pPr>
        <w:adjustRightInd w:val="0"/>
        <w:snapToGrid w:val="0"/>
        <w:spacing w:line="560" w:lineRule="exact"/>
        <w:outlineLvl w:val="2"/>
        <w:rPr>
          <w:rFonts w:hint="eastAsia" w:ascii="宋体" w:hAnsi="宋体" w:cs="宋体"/>
          <w:bCs/>
          <w:szCs w:val="21"/>
        </w:rPr>
      </w:pPr>
      <w:r>
        <w:rPr>
          <w:rFonts w:hint="eastAsia" w:ascii="宋体" w:hAnsi="宋体" w:cs="宋体"/>
          <w:bCs/>
          <w:szCs w:val="21"/>
        </w:rPr>
        <w:t xml:space="preserve"> </w:t>
      </w:r>
    </w:p>
    <w:p>
      <w:pPr>
        <w:adjustRightInd w:val="0"/>
        <w:snapToGrid w:val="0"/>
        <w:spacing w:line="560" w:lineRule="exact"/>
        <w:outlineLvl w:val="2"/>
        <w:rPr>
          <w:rFonts w:ascii="宋体" w:hAnsi="宋体"/>
          <w:color w:val="000000"/>
          <w:sz w:val="22"/>
          <w:szCs w:val="22"/>
        </w:rPr>
        <w:sectPr>
          <w:headerReference r:id="rId10" w:type="first"/>
          <w:footerReference r:id="rId11" w:type="first"/>
          <w:headerReference r:id="rId9" w:type="default"/>
          <w:pgSz w:w="11906" w:h="16838"/>
          <w:pgMar w:top="1418" w:right="1418" w:bottom="1418" w:left="1418" w:header="851" w:footer="851" w:gutter="0"/>
          <w:cols w:space="720" w:num="1"/>
          <w:docGrid w:linePitch="286" w:charSpace="0"/>
        </w:sectPr>
      </w:pPr>
    </w:p>
    <w:p>
      <w:pPr>
        <w:adjustRightInd w:val="0"/>
        <w:snapToGrid w:val="0"/>
        <w:spacing w:line="560" w:lineRule="exact"/>
        <w:outlineLvl w:val="2"/>
        <w:rPr>
          <w:rFonts w:ascii="宋体" w:hAnsi="宋体" w:cs="宋体"/>
          <w:b/>
          <w:szCs w:val="21"/>
        </w:rPr>
      </w:pPr>
      <w:r>
        <w:rPr>
          <w:rFonts w:hint="eastAsia" w:ascii="宋体" w:hAnsi="宋体" w:cs="宋体"/>
          <w:b/>
          <w:szCs w:val="21"/>
        </w:rPr>
        <w:t>附件</w:t>
      </w:r>
      <w:r>
        <w:rPr>
          <w:rFonts w:ascii="宋体" w:hAnsi="宋体" w:cs="宋体"/>
          <w:b/>
          <w:szCs w:val="21"/>
        </w:rPr>
        <w:t>1</w:t>
      </w:r>
      <w:r>
        <w:rPr>
          <w:rFonts w:hint="eastAsia" w:ascii="宋体" w:hAnsi="宋体" w:cs="宋体"/>
          <w:b/>
          <w:szCs w:val="21"/>
        </w:rPr>
        <w:t>： 安阳街道“一把扫帚”清扫保洁考核评分标准</w:t>
      </w:r>
    </w:p>
    <w:p>
      <w:pPr>
        <w:spacing w:line="740" w:lineRule="exact"/>
        <w:jc w:val="center"/>
        <w:rPr>
          <w:rFonts w:hint="eastAsia" w:ascii="方正小标宋简体" w:hAnsi="方正小标宋简体"/>
          <w:color w:val="000000"/>
          <w:sz w:val="44"/>
          <w:szCs w:val="44"/>
        </w:rPr>
      </w:pPr>
      <w:r>
        <w:rPr>
          <w:rFonts w:ascii="方正小标宋简体" w:hAnsi="方正小标宋简体"/>
          <w:color w:val="000000"/>
          <w:sz w:val="44"/>
          <w:szCs w:val="44"/>
        </w:rPr>
        <w:t>安阳</w:t>
      </w:r>
      <w:r>
        <w:rPr>
          <w:rFonts w:hint="eastAsia" w:ascii="方正小标宋简体" w:hAnsi="方正小标宋简体"/>
          <w:color w:val="000000"/>
          <w:sz w:val="44"/>
          <w:szCs w:val="44"/>
        </w:rPr>
        <w:t>街道</w:t>
      </w:r>
      <w:r>
        <w:rPr>
          <w:rFonts w:ascii="方正小标宋简体" w:hAnsi="方正小标宋简体"/>
          <w:color w:val="000000"/>
          <w:sz w:val="44"/>
          <w:szCs w:val="44"/>
        </w:rPr>
        <w:t>“一把扫帚”清扫保洁考核评分标准（可适当调整）</w:t>
      </w:r>
    </w:p>
    <w:p>
      <w:pPr>
        <w:spacing w:line="200" w:lineRule="exact"/>
        <w:jc w:val="center"/>
        <w:rPr>
          <w:rFonts w:hint="eastAsia" w:ascii="方正小标宋简体" w:hAnsi="方正小标宋简体"/>
          <w:b/>
          <w:bCs/>
          <w:color w:val="000000"/>
          <w:sz w:val="44"/>
          <w:szCs w:val="44"/>
        </w:rPr>
      </w:pPr>
      <w:r>
        <w:rPr>
          <w:rFonts w:ascii="方正小标宋简体" w:hAnsi="方正小标宋简体"/>
          <w:b/>
          <w:bCs/>
          <w:color w:val="000000"/>
          <w:sz w:val="44"/>
          <w:szCs w:val="44"/>
        </w:rPr>
        <w:t xml:space="preserve"> </w:t>
      </w:r>
    </w:p>
    <w:p>
      <w:pPr>
        <w:spacing w:line="320" w:lineRule="exact"/>
        <w:ind w:firstLine="643" w:firstLineChars="200"/>
        <w:rPr>
          <w:rFonts w:ascii="黑体" w:hAnsi="黑体" w:eastAsia="黑体"/>
          <w:b/>
          <w:bCs/>
          <w:color w:val="000000"/>
          <w:sz w:val="32"/>
          <w:szCs w:val="32"/>
        </w:rPr>
      </w:pPr>
      <w:r>
        <w:rPr>
          <w:rFonts w:hint="eastAsia" w:ascii="黑体" w:hAnsi="黑体" w:eastAsia="黑体"/>
          <w:b/>
          <w:bCs/>
          <w:color w:val="000000"/>
          <w:sz w:val="32"/>
          <w:szCs w:val="32"/>
        </w:rPr>
        <w:t>一、城区环境卫生考评表  （450分）</w:t>
      </w:r>
    </w:p>
    <w:tbl>
      <w:tblPr>
        <w:tblStyle w:val="35"/>
        <w:tblW w:w="14508" w:type="dxa"/>
        <w:tblInd w:w="135" w:type="dxa"/>
        <w:tblLayout w:type="fixed"/>
        <w:tblCellMar>
          <w:top w:w="0" w:type="dxa"/>
          <w:left w:w="108" w:type="dxa"/>
          <w:bottom w:w="0" w:type="dxa"/>
          <w:right w:w="108" w:type="dxa"/>
        </w:tblCellMar>
      </w:tblPr>
      <w:tblGrid>
        <w:gridCol w:w="959"/>
        <w:gridCol w:w="1598"/>
        <w:gridCol w:w="9431"/>
        <w:gridCol w:w="720"/>
        <w:gridCol w:w="540"/>
        <w:gridCol w:w="1260"/>
      </w:tblGrid>
      <w:tr>
        <w:tblPrEx>
          <w:tblCellMar>
            <w:top w:w="0" w:type="dxa"/>
            <w:left w:w="108" w:type="dxa"/>
            <w:bottom w:w="0" w:type="dxa"/>
            <w:right w:w="108" w:type="dxa"/>
          </w:tblCellMar>
        </w:tblPrEx>
        <w:trPr>
          <w:trHeight w:val="660" w:hRule="atLeast"/>
        </w:trPr>
        <w:tc>
          <w:tcPr>
            <w:tcW w:w="959" w:type="dxa"/>
            <w:tcBorders>
              <w:top w:val="single" w:color="auto" w:sz="4" w:space="0"/>
              <w:left w:val="single" w:color="auto" w:sz="6" w:space="0"/>
              <w:bottom w:val="single" w:color="auto" w:sz="4" w:space="0"/>
              <w:right w:val="single" w:color="auto" w:sz="6" w:space="0"/>
            </w:tcBorders>
            <w:noWrap w:val="0"/>
            <w:vAlign w:val="center"/>
          </w:tcPr>
          <w:p>
            <w:pPr>
              <w:snapToGrid w:val="0"/>
              <w:spacing w:line="320" w:lineRule="exact"/>
              <w:jc w:val="center"/>
              <w:rPr>
                <w:rFonts w:ascii="仿宋_GB2312" w:hAnsi="仿宋_GB2312"/>
                <w:color w:val="000000"/>
                <w:sz w:val="24"/>
                <w:szCs w:val="24"/>
              </w:rPr>
            </w:pPr>
            <w:r>
              <w:rPr>
                <w:rFonts w:ascii="仿宋_GB2312" w:hAnsi="仿宋_GB2312"/>
                <w:color w:val="000000"/>
                <w:sz w:val="24"/>
                <w:szCs w:val="24"/>
              </w:rPr>
              <w:t>项目</w:t>
            </w:r>
          </w:p>
        </w:tc>
        <w:tc>
          <w:tcPr>
            <w:tcW w:w="1598" w:type="dxa"/>
            <w:tcBorders>
              <w:top w:val="single" w:color="auto" w:sz="4" w:space="0"/>
              <w:left w:val="nil"/>
              <w:bottom w:val="single" w:color="auto" w:sz="4" w:space="0"/>
              <w:right w:val="single" w:color="auto" w:sz="6" w:space="0"/>
            </w:tcBorders>
            <w:noWrap w:val="0"/>
            <w:vAlign w:val="center"/>
          </w:tcPr>
          <w:p>
            <w:pPr>
              <w:snapToGrid w:val="0"/>
              <w:spacing w:line="320" w:lineRule="exact"/>
              <w:rPr>
                <w:rFonts w:ascii="仿宋_GB2312" w:hAnsi="仿宋_GB2312"/>
                <w:color w:val="000000"/>
                <w:sz w:val="24"/>
                <w:szCs w:val="24"/>
              </w:rPr>
            </w:pPr>
            <w:r>
              <w:rPr>
                <w:rFonts w:ascii="仿宋_GB2312" w:hAnsi="仿宋_GB2312"/>
                <w:color w:val="000000"/>
                <w:sz w:val="24"/>
                <w:szCs w:val="24"/>
              </w:rPr>
              <w:t>子项目</w:t>
            </w:r>
          </w:p>
        </w:tc>
        <w:tc>
          <w:tcPr>
            <w:tcW w:w="9431" w:type="dxa"/>
            <w:tcBorders>
              <w:top w:val="single" w:color="auto" w:sz="4" w:space="0"/>
              <w:left w:val="nil"/>
              <w:bottom w:val="single" w:color="auto" w:sz="4" w:space="0"/>
              <w:right w:val="single" w:color="auto" w:sz="6" w:space="0"/>
            </w:tcBorders>
            <w:noWrap w:val="0"/>
            <w:vAlign w:val="center"/>
          </w:tcPr>
          <w:p>
            <w:pPr>
              <w:snapToGrid w:val="0"/>
              <w:spacing w:line="320" w:lineRule="exact"/>
              <w:jc w:val="center"/>
              <w:rPr>
                <w:rFonts w:ascii="仿宋_GB2312" w:hAnsi="仿宋_GB2312"/>
                <w:color w:val="000000"/>
                <w:sz w:val="24"/>
                <w:szCs w:val="24"/>
              </w:rPr>
            </w:pPr>
            <w:r>
              <w:rPr>
                <w:rFonts w:ascii="仿宋_GB2312" w:hAnsi="仿宋_GB2312"/>
                <w:color w:val="000000"/>
                <w:sz w:val="24"/>
                <w:szCs w:val="24"/>
              </w:rPr>
              <w:t>保洁要求与评分标准</w:t>
            </w:r>
          </w:p>
        </w:tc>
        <w:tc>
          <w:tcPr>
            <w:tcW w:w="720" w:type="dxa"/>
            <w:tcBorders>
              <w:top w:val="single" w:color="auto" w:sz="4" w:space="0"/>
              <w:left w:val="nil"/>
              <w:bottom w:val="nil"/>
              <w:right w:val="single" w:color="auto" w:sz="4" w:space="0"/>
            </w:tcBorders>
            <w:noWrap w:val="0"/>
            <w:vAlign w:val="center"/>
          </w:tcPr>
          <w:p>
            <w:pPr>
              <w:snapToGrid w:val="0"/>
              <w:spacing w:line="320" w:lineRule="exact"/>
              <w:ind w:right="-105" w:rightChars="-50"/>
              <w:rPr>
                <w:rFonts w:ascii="仿宋_GB2312" w:hAnsi="仿宋_GB2312"/>
                <w:color w:val="000000"/>
                <w:sz w:val="24"/>
                <w:szCs w:val="24"/>
              </w:rPr>
            </w:pPr>
            <w:r>
              <w:rPr>
                <w:rFonts w:ascii="仿宋_GB2312" w:hAnsi="仿宋_GB2312"/>
                <w:color w:val="000000"/>
                <w:sz w:val="24"/>
                <w:szCs w:val="24"/>
              </w:rPr>
              <w:t>分值</w:t>
            </w:r>
          </w:p>
        </w:tc>
        <w:tc>
          <w:tcPr>
            <w:tcW w:w="540" w:type="dxa"/>
            <w:tcBorders>
              <w:top w:val="single" w:color="auto" w:sz="4" w:space="0"/>
              <w:left w:val="nil"/>
              <w:bottom w:val="nil"/>
              <w:right w:val="single" w:color="auto" w:sz="4" w:space="0"/>
            </w:tcBorders>
            <w:noWrap w:val="0"/>
            <w:vAlign w:val="center"/>
          </w:tcPr>
          <w:p>
            <w:pPr>
              <w:snapToGrid w:val="0"/>
              <w:spacing w:line="320" w:lineRule="exact"/>
              <w:ind w:left="-105" w:leftChars="-50" w:right="-105" w:rightChars="-50"/>
              <w:jc w:val="center"/>
              <w:rPr>
                <w:rFonts w:ascii="仿宋_GB2312" w:hAnsi="仿宋_GB2312"/>
                <w:color w:val="000000"/>
                <w:sz w:val="24"/>
                <w:szCs w:val="24"/>
              </w:rPr>
            </w:pPr>
            <w:r>
              <w:rPr>
                <w:rFonts w:ascii="仿宋_GB2312" w:hAnsi="仿宋_GB2312"/>
                <w:color w:val="000000"/>
                <w:sz w:val="24"/>
                <w:szCs w:val="24"/>
              </w:rPr>
              <w:t>扣分</w:t>
            </w:r>
          </w:p>
        </w:tc>
        <w:tc>
          <w:tcPr>
            <w:tcW w:w="1260" w:type="dxa"/>
            <w:tcBorders>
              <w:top w:val="single" w:color="auto" w:sz="4" w:space="0"/>
              <w:left w:val="single" w:color="auto" w:sz="6" w:space="0"/>
              <w:bottom w:val="nil"/>
              <w:right w:val="single" w:color="auto" w:sz="4" w:space="0"/>
            </w:tcBorders>
            <w:noWrap w:val="0"/>
            <w:vAlign w:val="center"/>
          </w:tcPr>
          <w:p>
            <w:pPr>
              <w:snapToGrid w:val="0"/>
              <w:spacing w:line="320" w:lineRule="exact"/>
              <w:ind w:left="-105" w:leftChars="-50" w:right="-105" w:rightChars="-50"/>
              <w:jc w:val="center"/>
              <w:rPr>
                <w:rFonts w:ascii="仿宋_GB2312" w:hAnsi="仿宋_GB2312"/>
                <w:color w:val="000000"/>
                <w:sz w:val="24"/>
                <w:szCs w:val="24"/>
              </w:rPr>
            </w:pPr>
            <w:r>
              <w:rPr>
                <w:rFonts w:ascii="仿宋_GB2312" w:hAnsi="仿宋_GB2312"/>
                <w:color w:val="000000"/>
                <w:sz w:val="24"/>
                <w:szCs w:val="24"/>
              </w:rPr>
              <w:t>扣分依据</w:t>
            </w:r>
          </w:p>
        </w:tc>
      </w:tr>
      <w:tr>
        <w:tblPrEx>
          <w:tblCellMar>
            <w:top w:w="0" w:type="dxa"/>
            <w:left w:w="108" w:type="dxa"/>
            <w:bottom w:w="0" w:type="dxa"/>
            <w:right w:w="108" w:type="dxa"/>
          </w:tblCellMar>
        </w:tblPrEx>
        <w:trPr>
          <w:trHeight w:val="2198" w:hRule="atLeast"/>
        </w:trPr>
        <w:tc>
          <w:tcPr>
            <w:tcW w:w="959" w:type="dxa"/>
            <w:vMerge w:val="restart"/>
            <w:tcBorders>
              <w:top w:val="nil"/>
              <w:left w:val="single" w:color="auto" w:sz="4" w:space="0"/>
              <w:bottom w:val="single" w:color="auto" w:sz="4" w:space="0"/>
              <w:right w:val="single" w:color="auto" w:sz="4"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主要道路清扫保洁</w:t>
            </w:r>
          </w:p>
        </w:tc>
        <w:tc>
          <w:tcPr>
            <w:tcW w:w="1598"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sz w:val="22"/>
                <w:szCs w:val="22"/>
              </w:rPr>
            </w:pPr>
            <w:r>
              <w:rPr>
                <w:rFonts w:ascii="仿宋_GB2312" w:hAnsi="仿宋_GB2312"/>
                <w:color w:val="000000"/>
                <w:sz w:val="22"/>
                <w:szCs w:val="22"/>
              </w:rPr>
              <w:t>道路清扫（含绿化带）保洁</w:t>
            </w:r>
          </w:p>
        </w:tc>
        <w:tc>
          <w:tcPr>
            <w:tcW w:w="9431"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ascii="仿宋_GB2312" w:hAnsi="仿宋_GB2312"/>
                <w:color w:val="000000"/>
              </w:rPr>
              <w:t>清扫保洁要达到“七无、五净、一通”标准，即无杂物，无果皮壳，无纸屑、烟蒂、塑料袋，无淤泥积土，无污水，无堵塞窨井沟眼，无卫生死角；路面、路牙净，窨井沟眼净，树穴净，边角净，花坛周围净；落水口、排水渠通。有卫生死角的，一处扣3分；有成堆垃圾的，一处扣2分；有连续散落垃圾的，一处扣1分；有袋装垃圾的，一处扣1分；有垃圾散落点的，三处为一例，每例扣0.5分；地上有烟蒂的，五个为一例，每例扣0.5分；地面有积污水的，一处扣1分；落水口、排水渠堵塞的，一处扣1分；路肩等有杂草的，一处扣1分。</w:t>
            </w:r>
          </w:p>
        </w:tc>
        <w:tc>
          <w:tcPr>
            <w:tcW w:w="720" w:type="dxa"/>
            <w:tcBorders>
              <w:top w:val="single" w:color="auto" w:sz="4" w:space="0"/>
              <w:left w:val="nil"/>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90</w:t>
            </w:r>
          </w:p>
        </w:tc>
        <w:tc>
          <w:tcPr>
            <w:tcW w:w="540" w:type="dxa"/>
            <w:tcBorders>
              <w:top w:val="single" w:color="auto" w:sz="4" w:space="0"/>
              <w:left w:val="nil"/>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725" w:hRule="atLeast"/>
        </w:trPr>
        <w:tc>
          <w:tcPr>
            <w:tcW w:w="959" w:type="dxa"/>
            <w:vMerge w:val="continue"/>
            <w:tcBorders>
              <w:top w:val="nil"/>
              <w:left w:val="single" w:color="auto" w:sz="4" w:space="0"/>
              <w:bottom w:val="single" w:color="auto" w:sz="4" w:space="0"/>
              <w:right w:val="single" w:color="auto" w:sz="4" w:space="0"/>
            </w:tcBorders>
            <w:noWrap w:val="0"/>
            <w:vAlign w:val="center"/>
          </w:tcPr>
          <w:p>
            <w:pPr>
              <w:rPr>
                <w:rFonts w:ascii="仿宋_GB2312" w:hAnsi="仿宋_GB2312"/>
                <w:color w:val="000000"/>
              </w:rPr>
            </w:pPr>
          </w:p>
        </w:tc>
        <w:tc>
          <w:tcPr>
            <w:tcW w:w="1598"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市政设施保洁</w:t>
            </w:r>
          </w:p>
        </w:tc>
        <w:tc>
          <w:tcPr>
            <w:tcW w:w="9431"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垃圾桶、果壳箱等环卫设施有破损、丢失未及时修复的，一处扣2分；垃圾桶、果壳箱外观不清洁，一处扣1分；垃圾容器封闭无四害滋生，周围无垃圾散落，垃圾做到日产日清。垃圾桶、果壳箱、垃圾坞有溢满的现象，或周围不清洁的，一处扣2分；内部或周边有四害滋生的，一处扣1分；垃圾桶、果壳箱、垃圾坞等垃圾分类标识破损或掉落未及时修复更换的，一处扣1分；垃圾桶、果壳箱未加盖、关门的，一处扣1分；将已分类的垃圾混合收运的，一次扣3分。</w:t>
            </w:r>
            <w:r>
              <w:rPr>
                <w:rFonts w:hint="eastAsia" w:ascii="宋体" w:hAnsi="宋体" w:cs="宋体"/>
                <w:color w:val="000000"/>
              </w:rPr>
              <w:t>②</w:t>
            </w:r>
            <w:r>
              <w:rPr>
                <w:rFonts w:ascii="仿宋_GB2312" w:hAnsi="仿宋_GB2312"/>
                <w:color w:val="000000"/>
              </w:rPr>
              <w:t>交通护栏不整洁的，每10米扣1分。</w:t>
            </w:r>
            <w:r>
              <w:rPr>
                <w:rFonts w:hint="eastAsia" w:ascii="宋体" w:hAnsi="宋体" w:cs="宋体"/>
                <w:color w:val="000000"/>
              </w:rPr>
              <w:t>③</w:t>
            </w:r>
            <w:r>
              <w:rPr>
                <w:rFonts w:ascii="仿宋_GB2312" w:hAnsi="仿宋_GB2312"/>
                <w:color w:val="000000"/>
              </w:rPr>
              <w:t>其它市政设施有污痕、污垢、积尘的，一处扣1分。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30</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983" w:hRule="atLeast"/>
        </w:trPr>
        <w:tc>
          <w:tcPr>
            <w:tcW w:w="959" w:type="dxa"/>
            <w:vMerge w:val="continue"/>
            <w:tcBorders>
              <w:top w:val="nil"/>
              <w:left w:val="single" w:color="auto" w:sz="4" w:space="0"/>
              <w:bottom w:val="single" w:color="auto" w:sz="4" w:space="0"/>
              <w:right w:val="single" w:color="auto" w:sz="4" w:space="0"/>
            </w:tcBorders>
            <w:noWrap w:val="0"/>
            <w:vAlign w:val="center"/>
          </w:tcPr>
          <w:p>
            <w:pPr>
              <w:rPr>
                <w:rFonts w:ascii="仿宋_GB2312" w:hAnsi="仿宋_GB2312"/>
                <w:color w:val="000000"/>
              </w:rPr>
            </w:pPr>
          </w:p>
        </w:tc>
        <w:tc>
          <w:tcPr>
            <w:tcW w:w="1598" w:type="dxa"/>
            <w:tcBorders>
              <w:top w:val="single" w:color="auto" w:sz="4"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小广告治理</w:t>
            </w:r>
          </w:p>
        </w:tc>
        <w:tc>
          <w:tcPr>
            <w:tcW w:w="9431" w:type="dxa"/>
            <w:tcBorders>
              <w:top w:val="single" w:color="auto" w:sz="4" w:space="0"/>
              <w:left w:val="nil"/>
              <w:bottom w:val="single" w:color="auto" w:sz="6"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外墙、地面、栏杆、店面卷帘门、空调外机等小广告清理保洁做到“日有日清”，未及时处理的，一处扣1分。</w:t>
            </w:r>
            <w:r>
              <w:rPr>
                <w:rFonts w:hint="eastAsia" w:ascii="宋体" w:hAnsi="宋体" w:cs="宋体"/>
                <w:color w:val="000000"/>
              </w:rPr>
              <w:t>②</w:t>
            </w:r>
            <w:r>
              <w:rPr>
                <w:rFonts w:ascii="仿宋_GB2312" w:hAnsi="仿宋_GB2312"/>
                <w:color w:val="000000"/>
              </w:rPr>
              <w:t>外墙、地面、栏杆、灯箱、电话亭、书报亭清理乱张贴或乱涂写保洁基本上做到“同色覆盖”。选用环保材料、涂料、油漆、清除乱张贴、乱涂写的涂料要用与墙体、地面、栏杆相同或相接近的颜色进行有规则（正方形、长方形等）的覆盖，对花岗岩、大理石等墙面、地面应通过清洗方式进行保洁，不能出现“白癜风”的涂写、覆盖方式；清除乱张贴乱涂写时注意不得污损周围墙体、地面、桥面，保持整洁。涂料与清除方式使用不正确的，一处扣1分。</w:t>
            </w:r>
          </w:p>
        </w:tc>
        <w:tc>
          <w:tcPr>
            <w:tcW w:w="72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25</w:t>
            </w:r>
          </w:p>
        </w:tc>
        <w:tc>
          <w:tcPr>
            <w:tcW w:w="54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587" w:hRule="atLeast"/>
        </w:trPr>
        <w:tc>
          <w:tcPr>
            <w:tcW w:w="959" w:type="dxa"/>
            <w:vMerge w:val="restart"/>
            <w:tcBorders>
              <w:top w:val="nil"/>
              <w:left w:val="single" w:color="auto" w:sz="6" w:space="0"/>
              <w:bottom w:val="nil"/>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2"/>
                <w:szCs w:val="22"/>
              </w:rPr>
              <w:t>主要道路清扫保洁</w:t>
            </w: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2"/>
                <w:szCs w:val="22"/>
              </w:rPr>
              <w:t>机械化作业</w:t>
            </w:r>
          </w:p>
        </w:tc>
        <w:tc>
          <w:tcPr>
            <w:tcW w:w="9431" w:type="dxa"/>
            <w:tcBorders>
              <w:top w:val="single" w:color="auto" w:sz="4" w:space="0"/>
              <w:left w:val="nil"/>
              <w:bottom w:val="single" w:color="auto" w:sz="6" w:space="0"/>
              <w:right w:val="single" w:color="auto" w:sz="4" w:space="0"/>
            </w:tcBorders>
            <w:noWrap w:val="0"/>
            <w:vAlign w:val="center"/>
          </w:tcPr>
          <w:p>
            <w:pPr>
              <w:adjustRightInd w:val="0"/>
              <w:snapToGrid w:val="0"/>
              <w:spacing w:line="320" w:lineRule="exact"/>
              <w:rPr>
                <w:rFonts w:ascii="仿宋_GB2312" w:hAnsi="仿宋_GB2312"/>
                <w:color w:val="000000"/>
                <w:sz w:val="24"/>
                <w:szCs w:val="24"/>
              </w:rPr>
            </w:pPr>
            <w:r>
              <w:rPr>
                <w:rFonts w:hint="eastAsia" w:ascii="宋体" w:hAnsi="宋体" w:cs="宋体"/>
                <w:color w:val="000000"/>
              </w:rPr>
              <w:t>①</w:t>
            </w:r>
            <w:r>
              <w:rPr>
                <w:rFonts w:ascii="仿宋_GB2312" w:hAnsi="仿宋_GB2312"/>
                <w:color w:val="000000"/>
              </w:rPr>
              <w:t>械化作业要机扫到边、到位效果明显。机扫作业后路面有垃圾、积泥、沙石的，一次扣1分；机扫作业时“干扫”或侧刷或吸盘未落地的，一次扣1分；机械清扫车随意倾倒、偷倒、乱倒垃圾的，一次扣3分。</w:t>
            </w:r>
            <w:r>
              <w:rPr>
                <w:rFonts w:hint="eastAsia" w:ascii="宋体" w:hAnsi="宋体" w:cs="宋体"/>
                <w:color w:val="000000"/>
              </w:rPr>
              <w:t>②</w:t>
            </w:r>
            <w:r>
              <w:rPr>
                <w:rFonts w:ascii="仿宋_GB2312" w:hAnsi="仿宋_GB2312"/>
                <w:color w:val="000000"/>
              </w:rPr>
              <w:t>道路洒水要有明显的降温压尘的效果。道路冲洗后，路面有积垢、灰尘、烟蒂、果壳散落的，一次扣1分。</w:t>
            </w:r>
            <w:r>
              <w:rPr>
                <w:rFonts w:hint="eastAsia" w:ascii="宋体" w:hAnsi="宋体" w:cs="宋体"/>
                <w:color w:val="000000"/>
              </w:rPr>
              <w:t>③</w:t>
            </w:r>
            <w:r>
              <w:rPr>
                <w:rFonts w:ascii="仿宋_GB2312" w:hAnsi="仿宋_GB2312"/>
                <w:color w:val="000000"/>
              </w:rPr>
              <w:t>机械车辆、船只未及时清洗，作业影响市容市貌的，一辆扣2分。</w:t>
            </w:r>
          </w:p>
        </w:tc>
        <w:tc>
          <w:tcPr>
            <w:tcW w:w="72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r>
              <w:rPr>
                <w:rFonts w:ascii="仿宋_GB2312" w:hAnsi="仿宋_GB2312"/>
                <w:color w:val="000000"/>
              </w:rPr>
              <w:t>15</w:t>
            </w:r>
          </w:p>
        </w:tc>
        <w:tc>
          <w:tcPr>
            <w:tcW w:w="54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r>
      <w:tr>
        <w:tblPrEx>
          <w:tblCellMar>
            <w:top w:w="0" w:type="dxa"/>
            <w:left w:w="108" w:type="dxa"/>
            <w:bottom w:w="0" w:type="dxa"/>
            <w:right w:w="108" w:type="dxa"/>
          </w:tblCellMar>
        </w:tblPrEx>
        <w:trPr>
          <w:trHeight w:val="1564" w:hRule="atLeast"/>
        </w:trPr>
        <w:tc>
          <w:tcPr>
            <w:tcW w:w="959" w:type="dxa"/>
            <w:vMerge w:val="continue"/>
            <w:tcBorders>
              <w:top w:val="nil"/>
              <w:left w:val="single" w:color="auto" w:sz="6" w:space="0"/>
              <w:bottom w:val="nil"/>
              <w:right w:val="single" w:color="auto" w:sz="6" w:space="0"/>
            </w:tcBorders>
            <w:noWrap w:val="0"/>
            <w:vAlign w:val="center"/>
          </w:tcPr>
          <w:p>
            <w:pPr>
              <w:rPr>
                <w:rFonts w:ascii="仿宋_GB2312" w:hAnsi="仿宋_GB2312"/>
                <w:color w:val="000000"/>
                <w:sz w:val="24"/>
                <w:szCs w:val="24"/>
              </w:rPr>
            </w:pP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无主建筑垃圾清理</w:t>
            </w:r>
          </w:p>
        </w:tc>
        <w:tc>
          <w:tcPr>
            <w:tcW w:w="9431" w:type="dxa"/>
            <w:tcBorders>
              <w:top w:val="single" w:color="auto" w:sz="4" w:space="0"/>
              <w:left w:val="nil"/>
              <w:bottom w:val="single" w:color="auto" w:sz="6"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负责区域内无主建筑垃圾的清理，做业期间基本无扬尘，运输途中无垃圾撒落。运输途中垃圾撒落的，一处扣3分。</w:t>
            </w:r>
            <w:r>
              <w:rPr>
                <w:rFonts w:hint="eastAsia" w:ascii="宋体" w:hAnsi="宋体" w:cs="宋体"/>
                <w:color w:val="000000"/>
              </w:rPr>
              <w:t>②</w:t>
            </w:r>
            <w:r>
              <w:rPr>
                <w:rFonts w:ascii="仿宋_GB2312" w:hAnsi="仿宋_GB2312"/>
                <w:color w:val="000000"/>
              </w:rPr>
              <w:t>随意倾倒、偷倒、乱倒垃圾或未在指定地点倾倒的，一次扣3分；建筑垃圾与生活垃圾混运、混放的，一次扣3分。</w:t>
            </w:r>
            <w:r>
              <w:rPr>
                <w:rFonts w:hint="eastAsia" w:ascii="宋体" w:hAnsi="宋体" w:cs="宋体"/>
                <w:color w:val="000000"/>
              </w:rPr>
              <w:t>③</w:t>
            </w:r>
            <w:r>
              <w:rPr>
                <w:rFonts w:ascii="仿宋_GB2312" w:hAnsi="仿宋_GB2312"/>
                <w:color w:val="000000"/>
              </w:rPr>
              <w:t>保洁责任区域内应当发现的渣土、装修垃圾，未及时清理的，一处扣3分；未采用专用车辆进行清运的，一次扣3分。</w:t>
            </w:r>
          </w:p>
        </w:tc>
        <w:tc>
          <w:tcPr>
            <w:tcW w:w="72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20</w:t>
            </w:r>
          </w:p>
        </w:tc>
        <w:tc>
          <w:tcPr>
            <w:tcW w:w="54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291" w:hRule="atLeast"/>
        </w:trPr>
        <w:tc>
          <w:tcPr>
            <w:tcW w:w="959" w:type="dxa"/>
            <w:vMerge w:val="continue"/>
            <w:tcBorders>
              <w:top w:val="nil"/>
              <w:left w:val="single" w:color="auto" w:sz="6" w:space="0"/>
              <w:bottom w:val="nil"/>
              <w:right w:val="single" w:color="auto" w:sz="6" w:space="0"/>
            </w:tcBorders>
            <w:noWrap w:val="0"/>
            <w:vAlign w:val="center"/>
          </w:tcPr>
          <w:p>
            <w:pPr>
              <w:rPr>
                <w:rFonts w:ascii="仿宋_GB2312" w:hAnsi="仿宋_GB2312"/>
                <w:color w:val="000000"/>
                <w:sz w:val="24"/>
                <w:szCs w:val="24"/>
              </w:rPr>
            </w:pP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规范作业</w:t>
            </w:r>
          </w:p>
        </w:tc>
        <w:tc>
          <w:tcPr>
            <w:tcW w:w="9431" w:type="dxa"/>
            <w:tcBorders>
              <w:top w:val="single" w:color="auto" w:sz="4" w:space="0"/>
              <w:left w:val="nil"/>
              <w:bottom w:val="single" w:color="auto" w:sz="6"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作业人员佩证上岗，作业期内穿反光安全服，在作业期间发现未穿工作服或工作服破损肮脏的，一次扣1分；在作业时间内，集聚闲聊、工期休息超过10分钟、做与作业无关的事，一次扣1分。</w:t>
            </w:r>
            <w:r>
              <w:rPr>
                <w:rFonts w:hint="eastAsia" w:ascii="宋体" w:hAnsi="宋体" w:cs="宋体"/>
                <w:color w:val="000000"/>
              </w:rPr>
              <w:t>②</w:t>
            </w:r>
            <w:r>
              <w:rPr>
                <w:rFonts w:ascii="仿宋_GB2312" w:hAnsi="仿宋_GB2312"/>
                <w:color w:val="000000"/>
              </w:rPr>
              <w:t>车辆停放未遵守交通法规的，一次扣2分；垃圾未实行密闭运输的，一次扣2分；超高运输和吊挂杂物，一次扣1分。</w:t>
            </w:r>
            <w:r>
              <w:rPr>
                <w:rFonts w:hint="eastAsia" w:ascii="宋体" w:hAnsi="宋体" w:cs="宋体"/>
                <w:color w:val="000000"/>
              </w:rPr>
              <w:t>③</w:t>
            </w:r>
            <w:r>
              <w:rPr>
                <w:rFonts w:ascii="仿宋_GB2312" w:hAnsi="仿宋_GB2312"/>
                <w:color w:val="000000"/>
              </w:rPr>
              <w:t>作业人员擅自向责任区内单位收取各种费用的，一次扣3分；私自携带工业垃圾进垃圾中转的（零星的除外），一次扣3分。</w:t>
            </w:r>
            <w:r>
              <w:rPr>
                <w:rFonts w:hint="eastAsia" w:ascii="宋体" w:hAnsi="宋体" w:cs="宋体"/>
                <w:color w:val="000000"/>
              </w:rPr>
              <w:t>④</w:t>
            </w:r>
            <w:r>
              <w:rPr>
                <w:rFonts w:ascii="仿宋_GB2312" w:hAnsi="仿宋_GB2312"/>
                <w:color w:val="000000"/>
              </w:rPr>
              <w:t>洒水车接水点规范使用，做到节约用水，发现浪费、水龙头未拧紧一处扣5分。</w:t>
            </w:r>
          </w:p>
        </w:tc>
        <w:tc>
          <w:tcPr>
            <w:tcW w:w="72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20</w:t>
            </w:r>
          </w:p>
        </w:tc>
        <w:tc>
          <w:tcPr>
            <w:tcW w:w="54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343" w:hRule="atLeast"/>
        </w:trPr>
        <w:tc>
          <w:tcPr>
            <w:tcW w:w="959" w:type="dxa"/>
            <w:tcBorders>
              <w:top w:val="single" w:color="auto" w:sz="6" w:space="0"/>
              <w:left w:val="single" w:color="auto" w:sz="6" w:space="0"/>
              <w:bottom w:val="single" w:color="auto" w:sz="4"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2"/>
                <w:szCs w:val="22"/>
              </w:rPr>
              <w:t>背街小巷、开放式小区清扫保洁</w:t>
            </w:r>
          </w:p>
        </w:tc>
        <w:tc>
          <w:tcPr>
            <w:tcW w:w="1598" w:type="dxa"/>
            <w:tcBorders>
              <w:top w:val="single" w:color="auto" w:sz="6" w:space="0"/>
              <w:left w:val="nil"/>
              <w:bottom w:val="single" w:color="auto" w:sz="4" w:space="0"/>
              <w:right w:val="single" w:color="auto" w:sz="6" w:space="0"/>
            </w:tcBorders>
            <w:noWrap w:val="0"/>
            <w:vAlign w:val="center"/>
          </w:tcPr>
          <w:p>
            <w:pPr>
              <w:adjustRightInd w:val="0"/>
              <w:snapToGrid w:val="0"/>
              <w:spacing w:line="320" w:lineRule="exact"/>
              <w:rPr>
                <w:rFonts w:ascii="仿宋_GB2312" w:hAnsi="仿宋_GB2312"/>
                <w:color w:val="000000"/>
                <w:sz w:val="24"/>
                <w:szCs w:val="24"/>
              </w:rPr>
            </w:pPr>
            <w:r>
              <w:rPr>
                <w:rFonts w:ascii="仿宋_GB2312" w:hAnsi="仿宋_GB2312"/>
                <w:color w:val="000000"/>
                <w:sz w:val="22"/>
                <w:szCs w:val="22"/>
              </w:rPr>
              <w:t>道路清扫（含绿化带）保洁</w:t>
            </w:r>
          </w:p>
        </w:tc>
        <w:tc>
          <w:tcPr>
            <w:tcW w:w="9431"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ascii="仿宋_GB2312" w:hAnsi="仿宋_GB2312"/>
                <w:color w:val="000000"/>
              </w:rPr>
              <w:t>清扫保洁要达到“七无、五净、一通”标准，即无杂物，无果皮壳，无纸屑、烟蒂、塑料袋，无淤泥积土，无污水，无堵塞窨井沟眼，无卫生死角；路面、路牙净，窨井沟眼净，树穴净，边角净，花坛周围净；落水口、排水渠通。有卫生死角的，一处扣3分；有成堆垃圾的，一处扣2分；有连续散落垃圾的，一处扣1分；有袋装垃圾的，一处扣1分；有垃圾散落点的，三处为一例，每例扣0.5分；地上有烟蒂的，五个为一例，每例扣0.5分；地面有积污水的，一处扣1分；落水口、排水渠堵塞的，一处扣1分；路肩等有杂草的，一处扣1分。</w:t>
            </w:r>
          </w:p>
        </w:tc>
        <w:tc>
          <w:tcPr>
            <w:tcW w:w="72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right="-105" w:rightChars="-50"/>
              <w:jc w:val="center"/>
              <w:rPr>
                <w:rFonts w:ascii="仿宋_GB2312" w:hAnsi="仿宋_GB2312"/>
                <w:color w:val="000000"/>
                <w:sz w:val="24"/>
                <w:szCs w:val="24"/>
              </w:rPr>
            </w:pPr>
            <w:r>
              <w:rPr>
                <w:rFonts w:ascii="仿宋_GB2312" w:hAnsi="仿宋_GB2312"/>
                <w:color w:val="000000"/>
              </w:rPr>
              <w:t>80</w:t>
            </w:r>
          </w:p>
        </w:tc>
        <w:tc>
          <w:tcPr>
            <w:tcW w:w="54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r>
      <w:tr>
        <w:tblPrEx>
          <w:tblCellMar>
            <w:top w:w="0" w:type="dxa"/>
            <w:left w:w="108" w:type="dxa"/>
            <w:bottom w:w="0" w:type="dxa"/>
            <w:right w:w="108" w:type="dxa"/>
          </w:tblCellMar>
        </w:tblPrEx>
        <w:trPr>
          <w:trHeight w:val="2178" w:hRule="atLeast"/>
        </w:trPr>
        <w:tc>
          <w:tcPr>
            <w:tcW w:w="959" w:type="dxa"/>
            <w:vMerge w:val="restart"/>
            <w:tcBorders>
              <w:top w:val="nil"/>
              <w:left w:val="single" w:color="auto" w:sz="4" w:space="0"/>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sz w:val="22"/>
                <w:szCs w:val="22"/>
              </w:rPr>
            </w:pPr>
            <w:r>
              <w:rPr>
                <w:rFonts w:ascii="仿宋_GB2312" w:hAnsi="仿宋_GB2312"/>
                <w:color w:val="000000"/>
                <w:sz w:val="22"/>
                <w:szCs w:val="22"/>
              </w:rPr>
              <w:t>背街小巷、开放式小区清扫保洁</w:t>
            </w:r>
          </w:p>
        </w:tc>
        <w:tc>
          <w:tcPr>
            <w:tcW w:w="1598"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市政设施保洁</w:t>
            </w:r>
          </w:p>
        </w:tc>
        <w:tc>
          <w:tcPr>
            <w:tcW w:w="9431"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垃圾桶、果壳箱等环卫设施有破损、丢失未及时修复的，一处扣2分；垃圾桶、果壳箱外观不清洁，一处扣1分；垃圾容器封闭无四害滋生，周围无垃圾散落，垃圾做到日产日清。垃圾桶、果壳箱、垃圾坞有溢满的现象，或周围不清洁的，一处扣2分；内部或周边有四害滋生的，一处扣1分；垃圾桶、果壳箱、垃圾坞等垃圾分类标识破损或掉落未及时修复更换的，一处扣1分；垃圾桶、果壳箱未加盖、关门的，一处扣1分；将已分类的垃圾混合收运的，一次扣3分。</w:t>
            </w:r>
            <w:r>
              <w:rPr>
                <w:rFonts w:hint="eastAsia" w:ascii="宋体" w:hAnsi="宋体" w:cs="宋体"/>
                <w:color w:val="000000"/>
              </w:rPr>
              <w:t>②</w:t>
            </w:r>
            <w:r>
              <w:rPr>
                <w:rFonts w:ascii="仿宋_GB2312" w:hAnsi="仿宋_GB2312"/>
                <w:color w:val="000000"/>
              </w:rPr>
              <w:t>交通护栏不整洁的，每10米扣1分。</w:t>
            </w:r>
            <w:r>
              <w:rPr>
                <w:rFonts w:hint="eastAsia" w:ascii="宋体" w:hAnsi="宋体" w:cs="宋体"/>
                <w:color w:val="000000"/>
              </w:rPr>
              <w:t>③</w:t>
            </w:r>
            <w:r>
              <w:rPr>
                <w:rFonts w:ascii="仿宋_GB2312" w:hAnsi="仿宋_GB2312"/>
                <w:color w:val="000000"/>
              </w:rPr>
              <w:t>其它市政设施有污痕、污垢、积尘的，一处扣1分。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021" w:hRule="atLeast"/>
        </w:trPr>
        <w:tc>
          <w:tcPr>
            <w:tcW w:w="959" w:type="dxa"/>
            <w:vMerge w:val="continue"/>
            <w:tcBorders>
              <w:top w:val="nil"/>
              <w:left w:val="single" w:color="auto" w:sz="4" w:space="0"/>
              <w:bottom w:val="single" w:color="auto" w:sz="4" w:space="0"/>
              <w:right w:val="single" w:color="auto" w:sz="4" w:space="0"/>
            </w:tcBorders>
            <w:noWrap w:val="0"/>
            <w:vAlign w:val="center"/>
          </w:tcPr>
          <w:p>
            <w:pPr>
              <w:rPr>
                <w:rFonts w:ascii="仿宋_GB2312" w:hAnsi="仿宋_GB2312"/>
                <w:color w:val="000000"/>
                <w:sz w:val="22"/>
                <w:szCs w:val="22"/>
              </w:rPr>
            </w:pPr>
          </w:p>
        </w:tc>
        <w:tc>
          <w:tcPr>
            <w:tcW w:w="1598"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小广告治理</w:t>
            </w:r>
          </w:p>
        </w:tc>
        <w:tc>
          <w:tcPr>
            <w:tcW w:w="9431"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外墙、地面、栏杆、店面卷帘门、空调外机等小广告清理保洁做到“日有日清”，未及时处理的，一处扣1分。</w:t>
            </w:r>
            <w:r>
              <w:rPr>
                <w:rFonts w:hint="eastAsia" w:ascii="宋体" w:hAnsi="宋体" w:cs="宋体"/>
                <w:color w:val="000000"/>
              </w:rPr>
              <w:t>②</w:t>
            </w:r>
            <w:r>
              <w:rPr>
                <w:rFonts w:ascii="仿宋_GB2312" w:hAnsi="仿宋_GB2312"/>
                <w:color w:val="000000"/>
              </w:rPr>
              <w:t>外墙、地面、栏杆、灯箱、电话亭、书报亭清理乱张贴或乱涂写保洁基本上做到“同色覆盖”。选用环保材料、涂料、油漆、清除乱张贴、乱涂写的涂料要用与墙体、地面、栏杆相同或相接近的颜色进行有规则（正方形、长方形等）的覆盖，对花岗岩、大理石等墙面、地面应通过清洗方式进行保洁，不能出现“白癜风”的涂写、覆盖方式；清除乱张贴乱涂写时注意不得污损周围墙体、地面、桥面，保持整洁。涂料与清除方式使用不正确的，一处扣1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20</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397" w:hRule="atLeast"/>
        </w:trPr>
        <w:tc>
          <w:tcPr>
            <w:tcW w:w="959" w:type="dxa"/>
            <w:vMerge w:val="continue"/>
            <w:tcBorders>
              <w:top w:val="nil"/>
              <w:left w:val="single" w:color="auto" w:sz="4" w:space="0"/>
              <w:bottom w:val="single" w:color="auto" w:sz="4" w:space="0"/>
              <w:right w:val="single" w:color="auto" w:sz="4" w:space="0"/>
            </w:tcBorders>
            <w:noWrap w:val="0"/>
            <w:vAlign w:val="center"/>
          </w:tcPr>
          <w:p>
            <w:pPr>
              <w:rPr>
                <w:rFonts w:ascii="仿宋_GB2312" w:hAnsi="仿宋_GB2312"/>
                <w:color w:val="000000"/>
                <w:sz w:val="22"/>
                <w:szCs w:val="22"/>
              </w:rPr>
            </w:pPr>
          </w:p>
        </w:tc>
        <w:tc>
          <w:tcPr>
            <w:tcW w:w="1598" w:type="dxa"/>
            <w:tcBorders>
              <w:top w:val="single" w:color="auto" w:sz="4"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2"/>
                <w:szCs w:val="22"/>
              </w:rPr>
              <w:t>无主建筑垃圾清理</w:t>
            </w:r>
          </w:p>
        </w:tc>
        <w:tc>
          <w:tcPr>
            <w:tcW w:w="9431" w:type="dxa"/>
            <w:tcBorders>
              <w:top w:val="single" w:color="auto" w:sz="4" w:space="0"/>
              <w:left w:val="nil"/>
              <w:bottom w:val="single" w:color="auto" w:sz="6"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负责区域内无主建筑垃圾的清理，做业期间基本无扬尘，运输途中无垃圾撒落。运输途中垃圾撒落的，一处扣3分。</w:t>
            </w:r>
            <w:r>
              <w:rPr>
                <w:rFonts w:hint="eastAsia" w:ascii="宋体" w:hAnsi="宋体" w:cs="宋体"/>
                <w:color w:val="000000"/>
              </w:rPr>
              <w:t>②</w:t>
            </w:r>
            <w:r>
              <w:rPr>
                <w:rFonts w:ascii="仿宋_GB2312" w:hAnsi="仿宋_GB2312"/>
                <w:color w:val="000000"/>
              </w:rPr>
              <w:t>随意倾倒、偷倒、乱倒垃圾或未在指定地点倾倒的，一次扣3分；建筑垃圾与生活垃圾混运、混放的，一次扣3分。</w:t>
            </w:r>
            <w:r>
              <w:rPr>
                <w:rFonts w:hint="eastAsia" w:ascii="宋体" w:hAnsi="宋体" w:cs="宋体"/>
                <w:color w:val="000000"/>
              </w:rPr>
              <w:t>③</w:t>
            </w:r>
            <w:r>
              <w:rPr>
                <w:rFonts w:ascii="仿宋_GB2312" w:hAnsi="仿宋_GB2312"/>
                <w:color w:val="000000"/>
              </w:rPr>
              <w:t>保洁责任区域内应当发现的渣土、装修垃圾，未及时清理的，一处扣3分；未采用专用车辆进行清运的，一次扣3分。</w:t>
            </w:r>
          </w:p>
        </w:tc>
        <w:tc>
          <w:tcPr>
            <w:tcW w:w="72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15</w:t>
            </w:r>
          </w:p>
        </w:tc>
        <w:tc>
          <w:tcPr>
            <w:tcW w:w="54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r>
      <w:tr>
        <w:tblPrEx>
          <w:tblCellMar>
            <w:top w:w="0" w:type="dxa"/>
            <w:left w:w="108" w:type="dxa"/>
            <w:bottom w:w="0" w:type="dxa"/>
            <w:right w:w="108" w:type="dxa"/>
          </w:tblCellMar>
        </w:tblPrEx>
        <w:trPr>
          <w:trHeight w:val="2355" w:hRule="atLeast"/>
        </w:trPr>
        <w:tc>
          <w:tcPr>
            <w:tcW w:w="959" w:type="dxa"/>
            <w:vMerge w:val="continue"/>
            <w:tcBorders>
              <w:top w:val="nil"/>
              <w:left w:val="single" w:color="auto" w:sz="4" w:space="0"/>
              <w:bottom w:val="single" w:color="auto" w:sz="4" w:space="0"/>
              <w:right w:val="single" w:color="auto" w:sz="4" w:space="0"/>
            </w:tcBorders>
            <w:noWrap w:val="0"/>
            <w:vAlign w:val="center"/>
          </w:tcPr>
          <w:p>
            <w:pPr>
              <w:rPr>
                <w:rFonts w:ascii="仿宋_GB2312" w:hAnsi="仿宋_GB2312"/>
                <w:color w:val="000000"/>
                <w:sz w:val="22"/>
                <w:szCs w:val="22"/>
              </w:rPr>
            </w:pPr>
          </w:p>
        </w:tc>
        <w:tc>
          <w:tcPr>
            <w:tcW w:w="1598" w:type="dxa"/>
            <w:tcBorders>
              <w:top w:val="single" w:color="auto" w:sz="6" w:space="0"/>
              <w:left w:val="nil"/>
              <w:bottom w:val="single" w:color="auto" w:sz="4"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规范作业</w:t>
            </w:r>
          </w:p>
        </w:tc>
        <w:tc>
          <w:tcPr>
            <w:tcW w:w="9431"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作业人员佩证上岗，作业期内穿反光安全服，在作业期间发现未穿工作服或工作服破损肮脏的一次扣1分；在作业时间内，不集聚闲聊，工期休息不超过10分钟，或作业期间不做与作业无关的事，发现一次扣1分；</w:t>
            </w:r>
            <w:r>
              <w:rPr>
                <w:rFonts w:hint="eastAsia" w:ascii="宋体" w:hAnsi="宋体" w:cs="宋体"/>
                <w:color w:val="000000"/>
              </w:rPr>
              <w:t>②</w:t>
            </w:r>
            <w:r>
              <w:rPr>
                <w:rFonts w:ascii="仿宋_GB2312" w:hAnsi="仿宋_GB2312"/>
                <w:color w:val="000000"/>
              </w:rPr>
              <w:t>车辆停放遵守交通法规，发现一次扣2分；垃圾运输实行密闭，垃圾未实行密闭运输一次扣2分；不得超高运输和吊挂杂物，发现一次扣1分；</w:t>
            </w:r>
            <w:r>
              <w:rPr>
                <w:rFonts w:hint="eastAsia" w:ascii="宋体" w:hAnsi="宋体" w:cs="宋体"/>
                <w:color w:val="000000"/>
              </w:rPr>
              <w:t>③</w:t>
            </w:r>
            <w:r>
              <w:rPr>
                <w:rFonts w:ascii="仿宋_GB2312" w:hAnsi="仿宋_GB2312"/>
                <w:color w:val="000000"/>
              </w:rPr>
              <w:t>严禁作业人员擅自向责任区内单位收取各种费用，发现作业人员擅自收费的一次扣3分；不得私自携带工业垃圾进垃圾中转（零星的除外），发现私自携带工业垃圾进垃圾中转站一次扣3分。</w:t>
            </w:r>
            <w:r>
              <w:rPr>
                <w:rFonts w:hint="eastAsia" w:ascii="宋体" w:hAnsi="宋体" w:cs="宋体"/>
                <w:color w:val="000000"/>
              </w:rPr>
              <w:t>④</w:t>
            </w:r>
            <w:r>
              <w:rPr>
                <w:rFonts w:ascii="仿宋_GB2312" w:hAnsi="仿宋_GB2312"/>
                <w:color w:val="000000"/>
              </w:rPr>
              <w:t>洒水车接水点规范使用，做到节约用水，发现浪费、水龙头未拧紧一处扣5分。</w:t>
            </w:r>
          </w:p>
        </w:tc>
        <w:tc>
          <w:tcPr>
            <w:tcW w:w="72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4"/>
                <w:szCs w:val="24"/>
              </w:rPr>
              <w:t>20</w:t>
            </w:r>
          </w:p>
        </w:tc>
        <w:tc>
          <w:tcPr>
            <w:tcW w:w="540"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c>
          <w:tcPr>
            <w:tcW w:w="126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r>
      <w:tr>
        <w:tblPrEx>
          <w:tblCellMar>
            <w:top w:w="0" w:type="dxa"/>
            <w:left w:w="108" w:type="dxa"/>
            <w:bottom w:w="0" w:type="dxa"/>
            <w:right w:w="108" w:type="dxa"/>
          </w:tblCellMar>
        </w:tblPrEx>
        <w:trPr>
          <w:trHeight w:val="1564" w:hRule="atLeast"/>
        </w:trPr>
        <w:tc>
          <w:tcPr>
            <w:tcW w:w="959" w:type="dxa"/>
            <w:vMerge w:val="restart"/>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公园、广场保洁</w:t>
            </w:r>
          </w:p>
          <w:p>
            <w:pPr>
              <w:adjustRightInd w:val="0"/>
              <w:snapToGrid w:val="0"/>
              <w:spacing w:line="320" w:lineRule="exact"/>
              <w:jc w:val="center"/>
              <w:rPr>
                <w:rFonts w:ascii="仿宋_GB2312" w:hAnsi="仿宋_GB2312"/>
                <w:color w:val="000000"/>
              </w:rPr>
            </w:pP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清扫保洁</w:t>
            </w:r>
          </w:p>
        </w:tc>
        <w:tc>
          <w:tcPr>
            <w:tcW w:w="9431"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ascii="仿宋_GB2312" w:hAnsi="仿宋_GB2312"/>
                <w:color w:val="000000"/>
              </w:rPr>
              <w:t>清扫保洁要达到“七无、五净、一通”标准，有卫生死角的，一处扣3分；有成堆垃圾的，一处扣2分；有连续散落垃圾的，一处扣1分；有袋装垃圾的，一处扣1分；有垃圾散落点的，三处为一例，每例扣0.5分；地上有烟蒂的，五个为一例，每例扣0.5分；地面有积污水的，一处扣1分；落水口、排水渠堵塞的，一处扣1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15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776" w:hRule="atLeast"/>
        </w:trPr>
        <w:tc>
          <w:tcPr>
            <w:tcW w:w="959" w:type="dxa"/>
            <w:vMerge w:val="continue"/>
            <w:tcBorders>
              <w:top w:val="single" w:color="auto" w:sz="6" w:space="0"/>
              <w:left w:val="single" w:color="auto" w:sz="6" w:space="0"/>
              <w:bottom w:val="single" w:color="auto" w:sz="6" w:space="0"/>
              <w:right w:val="single" w:color="auto" w:sz="6" w:space="0"/>
            </w:tcBorders>
            <w:noWrap w:val="0"/>
            <w:vAlign w:val="center"/>
          </w:tcPr>
          <w:p>
            <w:pPr>
              <w:rPr>
                <w:rFonts w:ascii="仿宋_GB2312" w:hAnsi="仿宋_GB2312"/>
                <w:color w:val="000000"/>
              </w:rPr>
            </w:pP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设施水体保洁</w:t>
            </w:r>
          </w:p>
        </w:tc>
        <w:tc>
          <w:tcPr>
            <w:tcW w:w="9431"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ascii="仿宋_GB2312" w:hAnsi="仿宋_GB2312"/>
                <w:color w:val="000000"/>
              </w:rPr>
              <w:t>垃圾桶、果壳箱等环卫设施有破损、丢失未及时修复的，一处扣2分；垃圾桶、果壳箱外观不清洁，一处扣1分；垃圾容器封闭无四害滋生，周围无垃圾散落，垃圾做到日产日清。垃圾桶、果壳箱、垃圾坞有溢满的现象，或周围不清洁的，一处扣2分；内部或周边有四害滋生的，一处扣1分；垃圾桶、果壳箱、垃圾坞等垃圾分类标识破损或掉落未及时修复更换的，一处扣1分；垃圾桶、果壳箱未加盖、关门的，一处扣1分；将已分类的垃圾混合收运的，一次扣3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841" w:hRule="atLeast"/>
        </w:trPr>
        <w:tc>
          <w:tcPr>
            <w:tcW w:w="959" w:type="dxa"/>
            <w:vMerge w:val="continue"/>
            <w:tcBorders>
              <w:top w:val="single" w:color="auto" w:sz="6" w:space="0"/>
              <w:left w:val="single" w:color="auto" w:sz="6" w:space="0"/>
              <w:bottom w:val="single" w:color="auto" w:sz="6" w:space="0"/>
              <w:right w:val="single" w:color="auto" w:sz="6" w:space="0"/>
            </w:tcBorders>
            <w:noWrap w:val="0"/>
            <w:vAlign w:val="center"/>
          </w:tcPr>
          <w:p>
            <w:pPr>
              <w:rPr>
                <w:rFonts w:ascii="仿宋_GB2312" w:hAnsi="仿宋_GB2312"/>
                <w:color w:val="000000"/>
              </w:rPr>
            </w:pP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机械化作业</w:t>
            </w:r>
          </w:p>
        </w:tc>
        <w:tc>
          <w:tcPr>
            <w:tcW w:w="9431"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机械化作业要机扫到边、到位效果明显。机扫作业后路面有垃圾、积泥、沙石的，一次扣1分；机扫作业时“干扫”或侧刷或吸盘未落地的，一次扣1分；机械清扫车随意倾倒、偷倒、乱倒垃圾的，一次扣3分。</w:t>
            </w:r>
            <w:r>
              <w:rPr>
                <w:rFonts w:hint="eastAsia" w:ascii="宋体" w:hAnsi="宋体" w:cs="宋体"/>
                <w:color w:val="000000"/>
              </w:rPr>
              <w:t>②</w:t>
            </w:r>
            <w:r>
              <w:rPr>
                <w:rFonts w:ascii="仿宋_GB2312" w:hAnsi="仿宋_GB2312"/>
                <w:color w:val="000000"/>
              </w:rPr>
              <w:t>道路洒水要有明显的降温压尘的效果。道路冲洗后，路面有积垢、灰尘、烟蒂、果壳散落的，一次扣1分。</w:t>
            </w:r>
            <w:r>
              <w:rPr>
                <w:rFonts w:hint="eastAsia" w:ascii="宋体" w:hAnsi="宋体" w:cs="宋体"/>
                <w:color w:val="000000"/>
              </w:rPr>
              <w:t>③</w:t>
            </w:r>
            <w:r>
              <w:rPr>
                <w:rFonts w:ascii="仿宋_GB2312" w:hAnsi="仿宋_GB2312"/>
                <w:color w:val="000000"/>
              </w:rPr>
              <w:t>机械车辆、船只未及时清洗，作业影响市容市貌的，一辆扣2分。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511" w:hRule="atLeast"/>
        </w:trPr>
        <w:tc>
          <w:tcPr>
            <w:tcW w:w="959" w:type="dxa"/>
            <w:vMerge w:val="continue"/>
            <w:tcBorders>
              <w:top w:val="single" w:color="auto" w:sz="6" w:space="0"/>
              <w:left w:val="single" w:color="auto" w:sz="6" w:space="0"/>
              <w:bottom w:val="single" w:color="auto" w:sz="6" w:space="0"/>
              <w:right w:val="single" w:color="auto" w:sz="6" w:space="0"/>
            </w:tcBorders>
            <w:noWrap w:val="0"/>
            <w:vAlign w:val="center"/>
          </w:tcPr>
          <w:p>
            <w:pPr>
              <w:rPr>
                <w:rFonts w:ascii="仿宋_GB2312" w:hAnsi="仿宋_GB2312"/>
                <w:color w:val="000000"/>
              </w:rPr>
            </w:pP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小广告清除</w:t>
            </w:r>
          </w:p>
        </w:tc>
        <w:tc>
          <w:tcPr>
            <w:tcW w:w="9431"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外墙、地面、栏杆、店面卷帘门、空调外机等小广告清理保洁做到“日有日清”，未及时处理的，一处扣1分。</w:t>
            </w:r>
            <w:r>
              <w:rPr>
                <w:rFonts w:hint="eastAsia" w:ascii="宋体" w:hAnsi="宋体" w:cs="宋体"/>
                <w:color w:val="000000"/>
              </w:rPr>
              <w:t>②</w:t>
            </w:r>
            <w:r>
              <w:rPr>
                <w:rFonts w:ascii="仿宋_GB2312" w:hAnsi="仿宋_GB2312"/>
                <w:color w:val="000000"/>
              </w:rPr>
              <w:t>外墙、地面、栏杆、灯箱、电话亭、书报亭清理乱张贴或乱涂写保洁基本上做到“同色覆盖”。选用环保材料、涂料、油漆、清除乱张贴、乱涂写的涂料要用与墙体、地面、栏杆相同或相接近的颜色进行有规则（正方形、长方形等）的覆盖，对花岗岩、大理石等墙面、地面应通过清洗方式进行保洁，不能出现“白癜风”的涂写、覆盖方式；清除乱张贴乱涂写时注意不得污损周围墙体、地面、桥面，保持整洁。涂料与清除方式使用不正确的，一处扣1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558" w:hRule="atLeast"/>
        </w:trPr>
        <w:tc>
          <w:tcPr>
            <w:tcW w:w="959"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2"/>
                <w:szCs w:val="22"/>
              </w:rPr>
              <w:t>公园、广场保洁</w:t>
            </w:r>
          </w:p>
        </w:tc>
        <w:tc>
          <w:tcPr>
            <w:tcW w:w="1598"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2"/>
                <w:szCs w:val="22"/>
              </w:rPr>
              <w:t>规范作业</w:t>
            </w:r>
          </w:p>
        </w:tc>
        <w:tc>
          <w:tcPr>
            <w:tcW w:w="9431"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sz w:val="24"/>
                <w:szCs w:val="24"/>
              </w:rPr>
            </w:pPr>
            <w:r>
              <w:rPr>
                <w:rFonts w:hint="eastAsia" w:ascii="宋体" w:hAnsi="宋体" w:cs="宋体"/>
                <w:color w:val="000000"/>
              </w:rPr>
              <w:t>①</w:t>
            </w:r>
            <w:r>
              <w:rPr>
                <w:rFonts w:ascii="仿宋_GB2312" w:hAnsi="仿宋_GB2312"/>
                <w:color w:val="000000"/>
              </w:rPr>
              <w:t>作业人员佩证上岗，作业期内穿反光安全服，在作业期间发现未穿工作服或工作服破损肮脏的，一次扣1分；在作业时间内，集聚闲聊、工期休息超过10分钟、做与作业无关的事，一次扣1分。</w:t>
            </w:r>
            <w:r>
              <w:rPr>
                <w:rFonts w:hint="eastAsia" w:ascii="宋体" w:hAnsi="宋体" w:cs="宋体"/>
                <w:color w:val="000000"/>
              </w:rPr>
              <w:t>②</w:t>
            </w:r>
            <w:r>
              <w:rPr>
                <w:rFonts w:ascii="仿宋_GB2312" w:hAnsi="仿宋_GB2312"/>
                <w:color w:val="000000"/>
              </w:rPr>
              <w:t>车辆停放未遵守交通法规的，一次扣2分；垃圾未实行密闭运输的，一次扣2分；超高运输和吊挂杂物，一次扣1分。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r>
              <w:rPr>
                <w:rFonts w:ascii="仿宋_GB2312" w:hAnsi="仿宋_GB2312"/>
                <w:color w:val="000000"/>
              </w:rPr>
              <w:t>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p>
        </w:tc>
      </w:tr>
      <w:tr>
        <w:tblPrEx>
          <w:tblCellMar>
            <w:top w:w="0" w:type="dxa"/>
            <w:left w:w="108" w:type="dxa"/>
            <w:bottom w:w="0" w:type="dxa"/>
            <w:right w:w="108" w:type="dxa"/>
          </w:tblCellMar>
        </w:tblPrEx>
        <w:trPr>
          <w:trHeight w:val="4070" w:hRule="atLeast"/>
        </w:trPr>
        <w:tc>
          <w:tcPr>
            <w:tcW w:w="959"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公厕管理与保洁</w:t>
            </w:r>
          </w:p>
        </w:tc>
        <w:tc>
          <w:tcPr>
            <w:tcW w:w="1598" w:type="dxa"/>
            <w:tcBorders>
              <w:top w:val="single" w:color="auto" w:sz="6" w:space="0"/>
              <w:left w:val="nil"/>
              <w:bottom w:val="single" w:color="auto" w:sz="4"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公厕管理与</w:t>
            </w:r>
          </w:p>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保洁</w:t>
            </w:r>
          </w:p>
        </w:tc>
        <w:tc>
          <w:tcPr>
            <w:tcW w:w="9431" w:type="dxa"/>
            <w:tcBorders>
              <w:top w:val="single" w:color="auto" w:sz="6" w:space="0"/>
              <w:left w:val="nil"/>
              <w:bottom w:val="single" w:color="auto" w:sz="4"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保洁要求：地面、蹲位、便池、墙壁、挡板等保持完好和整洁；无地面积水、纸屑、烟头、痰迹，无积存尿液、尿垢，无蚊蝇，无小广告；保持公共厕所外周边5米范围环境整洁，无乱堆杂物、杂草、垃圾、粪便、污水等；保证室内设施设备(门、窗、供水、供电、照明等)完好和正常使用，无漏雨、透风及管道堵塞现象；保洁工具应放置整齐，照明灯具、洗手器具、镜子、挂衣钩、烘手器、冲水等无积灰、污物；换气、除臭等设施必须使用。保持厕内通风良好，无异味，燃点盘香，男小便器内投放专用樟脑球，废纸篓内套放标准垃圾袋。有不符合以上情况的，一项扣1分；室内设施设备完好性不达标，视情扣2分/处。</w:t>
            </w:r>
            <w:r>
              <w:rPr>
                <w:rFonts w:hint="eastAsia" w:ascii="宋体" w:hAnsi="宋体" w:cs="宋体"/>
                <w:color w:val="000000"/>
              </w:rPr>
              <w:t>②</w:t>
            </w:r>
            <w:r>
              <w:rPr>
                <w:rFonts w:ascii="仿宋_GB2312" w:hAnsi="仿宋_GB2312"/>
                <w:color w:val="000000"/>
              </w:rPr>
              <w:t>公厕管理要求：各项制度、责任内容按规定要求上墙，文明规范用语按要求配置。未达要求的，一处扣1分；公厕内有经营活动和私自收费现象的，一次扣10分；公厕管理间不整洁、有闲杂人员、乱堆杂物、有人员留宿等情况的，一项扣5分；公厕保洁人员在公厕内私设厨房及就餐的，一次扣5分；公厕实行全天候免费开放使用，擅自停业、歇业，影响公众使用的，视情扣5分/处；未按要求清理屋顶落叶的，一次扣1分，如导致雨水管堵塞的，一次扣3分；未积极配合完成管理部门的各项工作或临时突击性和检查任务的，一次扣10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35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278" w:hRule="atLeast"/>
        </w:trPr>
        <w:tc>
          <w:tcPr>
            <w:tcW w:w="959" w:type="dxa"/>
            <w:tcBorders>
              <w:top w:val="nil"/>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其他</w:t>
            </w:r>
          </w:p>
        </w:tc>
        <w:tc>
          <w:tcPr>
            <w:tcW w:w="1598"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其他</w:t>
            </w:r>
          </w:p>
        </w:tc>
        <w:tc>
          <w:tcPr>
            <w:tcW w:w="9431" w:type="dxa"/>
            <w:tcBorders>
              <w:top w:val="single" w:color="auto" w:sz="4" w:space="0"/>
              <w:left w:val="nil"/>
              <w:bottom w:val="single" w:color="auto" w:sz="4"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接到数字城管、投诉电话和新闻舆论等举报投诉后，应在时限内处理完毕，并作好信息反馈，未及时处理的，一次扣2分。</w:t>
            </w:r>
            <w:r>
              <w:rPr>
                <w:rFonts w:hint="eastAsia" w:ascii="宋体" w:hAnsi="宋体" w:cs="宋体"/>
                <w:color w:val="000000"/>
              </w:rPr>
              <w:t>②</w:t>
            </w:r>
            <w:r>
              <w:rPr>
                <w:rFonts w:ascii="仿宋_GB2312" w:hAnsi="仿宋_GB2312"/>
                <w:color w:val="000000"/>
              </w:rPr>
              <w:t>经媒体曝光，造成恶劣影响的，一次扣15分，且采购人有权无条件解除合同。</w:t>
            </w:r>
            <w:r>
              <w:rPr>
                <w:rFonts w:hint="eastAsia" w:ascii="宋体" w:hAnsi="宋体" w:cs="宋体"/>
                <w:color w:val="000000"/>
              </w:rPr>
              <w:t>③</w:t>
            </w:r>
            <w:r>
              <w:rPr>
                <w:rFonts w:ascii="仿宋_GB2312" w:hAnsi="仿宋_GB2312"/>
                <w:color w:val="000000"/>
              </w:rPr>
              <w:t>其他保洁要求不达标的，酌情扣分。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20</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562" w:hRule="atLeast"/>
        </w:trPr>
        <w:tc>
          <w:tcPr>
            <w:tcW w:w="11988" w:type="dxa"/>
            <w:gridSpan w:val="3"/>
            <w:tcBorders>
              <w:top w:val="nil"/>
              <w:left w:val="single" w:color="auto" w:sz="6" w:space="0"/>
              <w:bottom w:val="single" w:color="auto" w:sz="6" w:space="0"/>
              <w:right w:val="single" w:color="auto" w:sz="6"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合计得分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450</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260" w:type="dxa"/>
            <w:tcBorders>
              <w:top w:val="single" w:color="auto" w:sz="4" w:space="0"/>
              <w:left w:val="single" w:color="auto" w:sz="6" w:space="0"/>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bl>
    <w:p>
      <w:pPr>
        <w:adjustRightInd w:val="0"/>
        <w:snapToGrid w:val="0"/>
        <w:spacing w:line="320" w:lineRule="exact"/>
        <w:rPr>
          <w:rFonts w:ascii="仿宋_GB2312" w:hAnsi="仿宋_GB2312"/>
          <w:color w:val="000000"/>
        </w:rPr>
      </w:pPr>
      <w:r>
        <w:rPr>
          <w:rFonts w:ascii="仿宋_GB2312" w:hAnsi="仿宋_GB2312"/>
          <w:color w:val="000000"/>
        </w:rPr>
        <w:t xml:space="preserve">考核人：                                                                                  </w:t>
      </w:r>
      <w:r>
        <w:rPr>
          <w:rFonts w:ascii="仿宋_GB2312" w:hAnsi="仿宋_GB2312"/>
          <w:color w:val="000000"/>
          <w:sz w:val="24"/>
          <w:szCs w:val="24"/>
        </w:rPr>
        <w:t>日期</w:t>
      </w:r>
      <w:r>
        <w:rPr>
          <w:rFonts w:ascii="仿宋_GB2312" w:hAnsi="仿宋_GB2312"/>
          <w:color w:val="000000"/>
        </w:rPr>
        <w:t>：</w:t>
      </w:r>
    </w:p>
    <w:p>
      <w:pPr>
        <w:adjustRightInd w:val="0"/>
        <w:snapToGrid w:val="0"/>
        <w:spacing w:line="320" w:lineRule="exact"/>
        <w:ind w:firstLine="643" w:firstLineChars="200"/>
        <w:rPr>
          <w:rFonts w:ascii="黑体" w:hAnsi="黑体" w:eastAsia="黑体"/>
          <w:b/>
          <w:bCs/>
          <w:color w:val="000000"/>
          <w:sz w:val="32"/>
          <w:szCs w:val="32"/>
        </w:rPr>
      </w:pPr>
      <w:r>
        <w:rPr>
          <w:rFonts w:hint="eastAsia" w:ascii="黑体" w:hAnsi="黑体" w:eastAsia="黑体"/>
          <w:b/>
          <w:bCs/>
          <w:color w:val="000000"/>
          <w:sz w:val="32"/>
          <w:szCs w:val="32"/>
        </w:rPr>
        <w:t xml:space="preserve"> </w:t>
      </w:r>
    </w:p>
    <w:p>
      <w:pPr>
        <w:adjustRightInd w:val="0"/>
        <w:snapToGrid w:val="0"/>
        <w:spacing w:line="320" w:lineRule="exact"/>
        <w:ind w:firstLine="643" w:firstLineChars="200"/>
        <w:rPr>
          <w:rFonts w:ascii="黑体" w:hAnsi="黑体" w:eastAsia="黑体"/>
          <w:b/>
          <w:bCs/>
          <w:color w:val="000000"/>
          <w:sz w:val="32"/>
          <w:szCs w:val="32"/>
        </w:rPr>
      </w:pPr>
      <w:r>
        <w:rPr>
          <w:rFonts w:hint="eastAsia" w:ascii="黑体" w:hAnsi="黑体" w:eastAsia="黑体"/>
          <w:b/>
          <w:bCs/>
          <w:color w:val="000000"/>
          <w:sz w:val="32"/>
          <w:szCs w:val="32"/>
        </w:rPr>
        <w:t xml:space="preserve"> </w:t>
      </w:r>
    </w:p>
    <w:p>
      <w:pPr>
        <w:adjustRightInd w:val="0"/>
        <w:snapToGrid w:val="0"/>
        <w:spacing w:line="320" w:lineRule="exact"/>
        <w:ind w:firstLine="643" w:firstLineChars="200"/>
        <w:rPr>
          <w:rFonts w:ascii="黑体" w:hAnsi="黑体" w:eastAsia="黑体"/>
          <w:b/>
          <w:bCs/>
          <w:color w:val="000000"/>
          <w:sz w:val="32"/>
          <w:szCs w:val="32"/>
        </w:rPr>
      </w:pPr>
      <w:r>
        <w:rPr>
          <w:rFonts w:hint="eastAsia" w:ascii="黑体" w:hAnsi="黑体" w:eastAsia="黑体"/>
          <w:b/>
          <w:bCs/>
          <w:color w:val="000000"/>
          <w:sz w:val="32"/>
          <w:szCs w:val="32"/>
        </w:rPr>
        <w:t xml:space="preserve"> </w:t>
      </w:r>
    </w:p>
    <w:p>
      <w:pPr>
        <w:adjustRightInd w:val="0"/>
        <w:snapToGrid w:val="0"/>
        <w:spacing w:line="320" w:lineRule="exact"/>
        <w:ind w:firstLine="643" w:firstLineChars="200"/>
        <w:rPr>
          <w:rFonts w:ascii="黑体" w:hAnsi="黑体" w:eastAsia="黑体"/>
          <w:b/>
          <w:bCs/>
          <w:color w:val="000000"/>
          <w:sz w:val="32"/>
          <w:szCs w:val="32"/>
        </w:rPr>
      </w:pPr>
      <w:r>
        <w:rPr>
          <w:rFonts w:hint="eastAsia" w:ascii="黑体" w:hAnsi="黑体" w:eastAsia="黑体"/>
          <w:b/>
          <w:bCs/>
          <w:color w:val="000000"/>
          <w:sz w:val="32"/>
          <w:szCs w:val="32"/>
        </w:rPr>
        <w:t xml:space="preserve"> </w:t>
      </w:r>
    </w:p>
    <w:p>
      <w:pPr>
        <w:adjustRightInd w:val="0"/>
        <w:snapToGrid w:val="0"/>
        <w:spacing w:line="320" w:lineRule="exact"/>
        <w:rPr>
          <w:rFonts w:ascii="黑体" w:hAnsi="黑体" w:eastAsia="黑体"/>
          <w:color w:val="000000"/>
          <w:sz w:val="32"/>
          <w:szCs w:val="32"/>
        </w:rPr>
      </w:pPr>
      <w:r>
        <w:rPr>
          <w:rFonts w:ascii="仿宋_GB2312" w:hAnsi="仿宋_GB2312"/>
          <w:color w:val="000000"/>
        </w:rPr>
        <w:t xml:space="preserve"> </w:t>
      </w:r>
      <w:r>
        <w:rPr>
          <w:rFonts w:hint="eastAsia" w:ascii="黑体" w:hAnsi="黑体" w:eastAsia="黑体"/>
          <w:color w:val="000000"/>
          <w:sz w:val="32"/>
          <w:szCs w:val="32"/>
        </w:rPr>
        <w:t>二、河道保洁考评表 （150分）</w:t>
      </w:r>
    </w:p>
    <w:tbl>
      <w:tblPr>
        <w:tblStyle w:val="35"/>
        <w:tblW w:w="14567" w:type="dxa"/>
        <w:tblInd w:w="0" w:type="dxa"/>
        <w:tblLayout w:type="fixed"/>
        <w:tblCellMar>
          <w:top w:w="0" w:type="dxa"/>
          <w:left w:w="108" w:type="dxa"/>
          <w:bottom w:w="0" w:type="dxa"/>
          <w:right w:w="108" w:type="dxa"/>
        </w:tblCellMar>
      </w:tblPr>
      <w:tblGrid>
        <w:gridCol w:w="1668"/>
        <w:gridCol w:w="10320"/>
        <w:gridCol w:w="720"/>
        <w:gridCol w:w="540"/>
        <w:gridCol w:w="1319"/>
      </w:tblGrid>
      <w:tr>
        <w:tblPrEx>
          <w:tblCellMar>
            <w:top w:w="0" w:type="dxa"/>
            <w:left w:w="108" w:type="dxa"/>
            <w:bottom w:w="0" w:type="dxa"/>
            <w:right w:w="108" w:type="dxa"/>
          </w:tblCellMar>
        </w:tblPrEx>
        <w:trPr>
          <w:trHeight w:val="723"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4"/>
                <w:szCs w:val="24"/>
              </w:rPr>
              <w:t>项目</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4"/>
                <w:szCs w:val="24"/>
              </w:rPr>
            </w:pPr>
            <w:r>
              <w:rPr>
                <w:rFonts w:ascii="仿宋_GB2312" w:hAnsi="仿宋_GB2312"/>
                <w:color w:val="000000"/>
                <w:sz w:val="24"/>
                <w:szCs w:val="24"/>
              </w:rPr>
              <w:t>保洁要求与评分标准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right="-105" w:rightChars="-50"/>
              <w:rPr>
                <w:rFonts w:ascii="仿宋_GB2312" w:hAnsi="仿宋_GB2312"/>
                <w:color w:val="000000"/>
                <w:sz w:val="24"/>
                <w:szCs w:val="24"/>
              </w:rPr>
            </w:pPr>
            <w:r>
              <w:rPr>
                <w:rFonts w:ascii="仿宋_GB2312" w:hAnsi="仿宋_GB2312"/>
                <w:color w:val="000000"/>
                <w:sz w:val="24"/>
                <w:szCs w:val="24"/>
              </w:rPr>
              <w:t>分值</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r>
              <w:rPr>
                <w:rFonts w:ascii="仿宋_GB2312" w:hAnsi="仿宋_GB2312"/>
                <w:color w:val="000000"/>
                <w:sz w:val="24"/>
                <w:szCs w:val="24"/>
              </w:rPr>
              <w:t>扣分</w:t>
            </w: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sz w:val="24"/>
                <w:szCs w:val="24"/>
              </w:rPr>
            </w:pPr>
            <w:r>
              <w:rPr>
                <w:rFonts w:ascii="仿宋_GB2312" w:hAnsi="仿宋_GB2312"/>
                <w:color w:val="000000"/>
                <w:sz w:val="24"/>
                <w:szCs w:val="24"/>
              </w:rPr>
              <w:t>扣分依据</w:t>
            </w:r>
          </w:p>
        </w:tc>
      </w:tr>
      <w:tr>
        <w:tblPrEx>
          <w:tblCellMar>
            <w:top w:w="0" w:type="dxa"/>
            <w:left w:w="108" w:type="dxa"/>
            <w:bottom w:w="0" w:type="dxa"/>
            <w:right w:w="108" w:type="dxa"/>
          </w:tblCellMar>
        </w:tblPrEx>
        <w:trPr>
          <w:trHeight w:val="2232"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河道保洁</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ascii="仿宋_GB2312" w:hAnsi="仿宋_GB2312"/>
                <w:color w:val="000000"/>
              </w:rPr>
              <w:t>河道畅通，水面无垃圾、病死动物，无影响水生态的浮萍、水葫芦等水生植物，无阻碍行洪的高杆植物等。发现水面、堤岸、桥下、堤坝绿化带有垃圾的，一处扣1分；浮萍、水葫芦等水生植物超过1平方米的，一处扣1分，面积较大的，可相应提高扣分值。河中有影响水流畅通的障碍物的，一处扣1分；垃圾未及时清运，放置在影响市容市貌的河岸或河滩的，一例扣2分；未及时完成应急性任务的，一次扣5分；发生安全事故的，视情况河道保洁整体扣10-50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100</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065"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规范作业</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作业人员佩证上岗，作业期内穿反光救生衣，在作业期间发现未穿工作服或工作服破损肮脏的，一次扣1分；在作业时间内，集聚闲聊、工期休息超过10分钟、做与作业无关事的，一次扣1分。</w:t>
            </w:r>
            <w:r>
              <w:rPr>
                <w:rFonts w:hint="eastAsia" w:ascii="宋体" w:hAnsi="宋体" w:cs="宋体"/>
                <w:color w:val="000000"/>
              </w:rPr>
              <w:t>②</w:t>
            </w:r>
            <w:r>
              <w:rPr>
                <w:rFonts w:ascii="仿宋_GB2312" w:hAnsi="仿宋_GB2312"/>
                <w:color w:val="000000"/>
              </w:rPr>
              <w:t>船只不配置统一标识或标识不明的，一只扣1分；船况不良的，一只扣5分；</w:t>
            </w:r>
            <w:r>
              <w:rPr>
                <w:rFonts w:hint="eastAsia" w:ascii="宋体" w:hAnsi="宋体" w:cs="宋体"/>
                <w:color w:val="000000"/>
              </w:rPr>
              <w:t>③</w:t>
            </w:r>
            <w:r>
              <w:rPr>
                <w:rFonts w:ascii="仿宋_GB2312" w:hAnsi="仿宋_GB2312"/>
                <w:color w:val="000000"/>
              </w:rPr>
              <w:t>垃圾运输未实行密闭运输、未在指定地点倾倒的，一次扣2分；生活垃圾、工业垃圾未分类堆放或清运的，一次扣3分。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30</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515"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其他</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接到数字城管、投诉电话和新闻舆论等举报投诉后，应在时限内处理完毕，并作好信息反馈，未及时处理的，一次扣2分。</w:t>
            </w:r>
            <w:r>
              <w:rPr>
                <w:rFonts w:hint="eastAsia" w:ascii="宋体" w:hAnsi="宋体" w:cs="宋体"/>
                <w:color w:val="000000"/>
              </w:rPr>
              <w:t>②</w:t>
            </w:r>
            <w:r>
              <w:rPr>
                <w:rFonts w:ascii="仿宋_GB2312" w:hAnsi="仿宋_GB2312"/>
                <w:color w:val="000000"/>
              </w:rPr>
              <w:t>经媒体曝光，造成恶劣影响的，一次扣10分，且采购人有权无条件解除合同。</w:t>
            </w:r>
            <w:r>
              <w:rPr>
                <w:rFonts w:hint="eastAsia" w:ascii="宋体" w:hAnsi="宋体" w:cs="宋体"/>
                <w:color w:val="000000"/>
              </w:rPr>
              <w:t>③</w:t>
            </w:r>
            <w:r>
              <w:rPr>
                <w:rFonts w:ascii="仿宋_GB2312" w:hAnsi="仿宋_GB2312"/>
                <w:color w:val="000000"/>
              </w:rPr>
              <w:t>其他保洁要求不达标的，酌情扣分。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20</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454" w:hRule="atLeast"/>
        </w:trPr>
        <w:tc>
          <w:tcPr>
            <w:tcW w:w="11988" w:type="dxa"/>
            <w:gridSpan w:val="2"/>
            <w:tcBorders>
              <w:top w:val="single" w:color="auto" w:sz="6" w:space="0"/>
              <w:left w:val="single" w:color="auto" w:sz="6" w:space="0"/>
              <w:bottom w:val="single" w:color="auto" w:sz="4" w:space="0"/>
              <w:right w:val="single" w:color="auto" w:sz="6"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rPr>
              <w:t>合计得分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150</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bl>
    <w:p>
      <w:pPr>
        <w:adjustRightInd w:val="0"/>
        <w:snapToGrid w:val="0"/>
        <w:spacing w:line="320" w:lineRule="exact"/>
        <w:rPr>
          <w:color w:val="000000"/>
        </w:rPr>
      </w:pPr>
      <w:r>
        <w:rPr>
          <w:rFonts w:ascii="仿宋_GB2312" w:hAnsi="仿宋_GB2312"/>
          <w:color w:val="000000"/>
        </w:rPr>
        <w:t xml:space="preserve">考核人：                                                                               </w:t>
      </w:r>
      <w:r>
        <w:rPr>
          <w:rFonts w:ascii="仿宋_GB2312" w:hAnsi="仿宋_GB2312"/>
          <w:color w:val="000000"/>
          <w:sz w:val="24"/>
          <w:szCs w:val="24"/>
        </w:rPr>
        <w:t>日期</w:t>
      </w:r>
      <w:r>
        <w:rPr>
          <w:rFonts w:ascii="仿宋_GB2312" w:hAnsi="仿宋_GB2312"/>
          <w:color w:val="000000"/>
        </w:rPr>
        <w:t>：</w:t>
      </w:r>
    </w:p>
    <w:p>
      <w:pPr>
        <w:adjustRightInd w:val="0"/>
        <w:snapToGrid w:val="0"/>
        <w:spacing w:line="320" w:lineRule="exact"/>
        <w:ind w:firstLine="640" w:firstLineChars="200"/>
        <w:rPr>
          <w:rFonts w:ascii="黑体" w:hAnsi="黑体" w:eastAsia="黑体"/>
          <w:color w:val="000000"/>
          <w:sz w:val="32"/>
          <w:szCs w:val="32"/>
        </w:rPr>
      </w:pPr>
      <w:r>
        <w:rPr>
          <w:rFonts w:hint="eastAsia" w:ascii="黑体" w:hAnsi="黑体" w:eastAsia="黑体"/>
          <w:color w:val="000000"/>
          <w:sz w:val="32"/>
          <w:szCs w:val="32"/>
        </w:rPr>
        <w:t>三、公路保洁考评表 （50分）</w:t>
      </w:r>
    </w:p>
    <w:tbl>
      <w:tblPr>
        <w:tblStyle w:val="35"/>
        <w:tblW w:w="14567" w:type="dxa"/>
        <w:tblInd w:w="0" w:type="dxa"/>
        <w:tblLayout w:type="fixed"/>
        <w:tblCellMar>
          <w:top w:w="0" w:type="dxa"/>
          <w:left w:w="108" w:type="dxa"/>
          <w:bottom w:w="0" w:type="dxa"/>
          <w:right w:w="108" w:type="dxa"/>
        </w:tblCellMar>
      </w:tblPr>
      <w:tblGrid>
        <w:gridCol w:w="1668"/>
        <w:gridCol w:w="10320"/>
        <w:gridCol w:w="720"/>
        <w:gridCol w:w="540"/>
        <w:gridCol w:w="1319"/>
      </w:tblGrid>
      <w:tr>
        <w:tblPrEx>
          <w:tblCellMar>
            <w:top w:w="0" w:type="dxa"/>
            <w:left w:w="108" w:type="dxa"/>
            <w:bottom w:w="0" w:type="dxa"/>
            <w:right w:w="108" w:type="dxa"/>
          </w:tblCellMar>
        </w:tblPrEx>
        <w:trPr>
          <w:trHeight w:val="450" w:hRule="atLeast"/>
        </w:trPr>
        <w:tc>
          <w:tcPr>
            <w:tcW w:w="1668" w:type="dxa"/>
            <w:tcBorders>
              <w:top w:val="single" w:color="auto" w:sz="4"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b/>
                <w:bCs/>
                <w:color w:val="000000"/>
                <w:sz w:val="24"/>
                <w:szCs w:val="24"/>
              </w:rPr>
            </w:pPr>
            <w:r>
              <w:rPr>
                <w:rFonts w:ascii="仿宋_GB2312" w:hAnsi="仿宋_GB2312"/>
                <w:b/>
                <w:bCs/>
                <w:color w:val="000000"/>
                <w:sz w:val="24"/>
                <w:szCs w:val="24"/>
              </w:rPr>
              <w:t>项目</w:t>
            </w:r>
          </w:p>
        </w:tc>
        <w:tc>
          <w:tcPr>
            <w:tcW w:w="10320" w:type="dxa"/>
            <w:tcBorders>
              <w:top w:val="single" w:color="auto" w:sz="4" w:space="0"/>
              <w:left w:val="nil"/>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b/>
                <w:bCs/>
                <w:color w:val="000000"/>
                <w:sz w:val="24"/>
                <w:szCs w:val="24"/>
              </w:rPr>
            </w:pPr>
            <w:r>
              <w:rPr>
                <w:rFonts w:ascii="仿宋_GB2312" w:hAnsi="仿宋_GB2312"/>
                <w:b/>
                <w:bCs/>
                <w:color w:val="000000"/>
                <w:sz w:val="24"/>
                <w:szCs w:val="24"/>
              </w:rPr>
              <w:t>保洁要求与评分标准</w:t>
            </w:r>
          </w:p>
        </w:tc>
        <w:tc>
          <w:tcPr>
            <w:tcW w:w="720" w:type="dxa"/>
            <w:tcBorders>
              <w:top w:val="single" w:color="auto" w:sz="4" w:space="0"/>
              <w:left w:val="nil"/>
              <w:bottom w:val="nil"/>
              <w:right w:val="single" w:color="auto" w:sz="4" w:space="0"/>
            </w:tcBorders>
            <w:noWrap w:val="0"/>
            <w:vAlign w:val="center"/>
          </w:tcPr>
          <w:p>
            <w:pPr>
              <w:adjustRightInd w:val="0"/>
              <w:snapToGrid w:val="0"/>
              <w:spacing w:line="320" w:lineRule="exact"/>
              <w:ind w:right="-105" w:rightChars="-50"/>
              <w:jc w:val="center"/>
              <w:rPr>
                <w:rFonts w:ascii="仿宋_GB2312" w:hAnsi="仿宋_GB2312"/>
                <w:b/>
                <w:bCs/>
                <w:color w:val="000000"/>
                <w:sz w:val="24"/>
                <w:szCs w:val="24"/>
              </w:rPr>
            </w:pPr>
            <w:r>
              <w:rPr>
                <w:rFonts w:ascii="仿宋_GB2312" w:hAnsi="仿宋_GB2312"/>
                <w:b/>
                <w:bCs/>
                <w:color w:val="000000"/>
                <w:sz w:val="24"/>
                <w:szCs w:val="24"/>
              </w:rPr>
              <w:t>分值</w:t>
            </w:r>
          </w:p>
        </w:tc>
        <w:tc>
          <w:tcPr>
            <w:tcW w:w="540" w:type="dxa"/>
            <w:tcBorders>
              <w:top w:val="single" w:color="auto" w:sz="4" w:space="0"/>
              <w:left w:val="nil"/>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b/>
                <w:bCs/>
                <w:color w:val="000000"/>
                <w:sz w:val="24"/>
                <w:szCs w:val="24"/>
              </w:rPr>
            </w:pPr>
            <w:r>
              <w:rPr>
                <w:rFonts w:ascii="仿宋_GB2312" w:hAnsi="仿宋_GB2312"/>
                <w:b/>
                <w:bCs/>
                <w:color w:val="000000"/>
                <w:sz w:val="24"/>
                <w:szCs w:val="24"/>
              </w:rPr>
              <w:t>扣分</w:t>
            </w:r>
          </w:p>
        </w:tc>
        <w:tc>
          <w:tcPr>
            <w:tcW w:w="1319" w:type="dxa"/>
            <w:tcBorders>
              <w:top w:val="single" w:color="auto" w:sz="4" w:space="0"/>
              <w:left w:val="single" w:color="auto" w:sz="6" w:space="0"/>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b/>
                <w:bCs/>
                <w:color w:val="000000"/>
                <w:sz w:val="24"/>
                <w:szCs w:val="24"/>
              </w:rPr>
            </w:pPr>
            <w:r>
              <w:rPr>
                <w:rFonts w:ascii="仿宋_GB2312" w:hAnsi="仿宋_GB2312"/>
                <w:b/>
                <w:bCs/>
                <w:color w:val="000000"/>
                <w:sz w:val="24"/>
                <w:szCs w:val="24"/>
              </w:rPr>
              <w:t>扣分依据</w:t>
            </w:r>
          </w:p>
        </w:tc>
      </w:tr>
      <w:tr>
        <w:tblPrEx>
          <w:tblCellMar>
            <w:top w:w="0" w:type="dxa"/>
            <w:left w:w="108" w:type="dxa"/>
            <w:bottom w:w="0" w:type="dxa"/>
            <w:right w:w="108" w:type="dxa"/>
          </w:tblCellMar>
        </w:tblPrEx>
        <w:trPr>
          <w:trHeight w:val="2040" w:hRule="atLeast"/>
        </w:trPr>
        <w:tc>
          <w:tcPr>
            <w:tcW w:w="1668" w:type="dxa"/>
            <w:tcBorders>
              <w:top w:val="single" w:color="auto" w:sz="4"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公路清扫（含绿化带）保洁</w:t>
            </w:r>
          </w:p>
        </w:tc>
        <w:tc>
          <w:tcPr>
            <w:tcW w:w="10320" w:type="dxa"/>
            <w:tcBorders>
              <w:top w:val="single" w:color="auto" w:sz="4"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ascii="仿宋_GB2312" w:hAnsi="仿宋_GB2312"/>
                <w:color w:val="000000"/>
              </w:rPr>
              <w:t>清扫保洁要达到“七无、五净、一通”标准，即无杂物，无果皮壳，无纸屑、烟蒂、塑料袋，无淤泥积土，无污水，无堵塞窨井沟眼，无卫生死角；路面、路牙净，窨井沟眼净，树穴净，边角净，花坛周围净；落水口、排水渠通。有卫生死角的，一处扣3分；有成堆垃圾的，一处扣2分；有连续散落垃圾的，一处扣1分；有袋装垃圾的，一处扣1分；有垃圾散落点的，三处为一例，每例扣0.5分；地上有烟蒂的，五个为一例，每例扣0.5分；地面有积污水的，一处扣1分；落水口、排水渠堵塞的，一处扣1分；路肩等有杂草的，一处扣1分；伸缩缝有淤泥及垃圾的，一处扣1分。</w:t>
            </w:r>
          </w:p>
        </w:tc>
        <w:tc>
          <w:tcPr>
            <w:tcW w:w="720" w:type="dxa"/>
            <w:tcBorders>
              <w:top w:val="single" w:color="auto" w:sz="4" w:space="0"/>
              <w:left w:val="nil"/>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20</w:t>
            </w:r>
          </w:p>
        </w:tc>
        <w:tc>
          <w:tcPr>
            <w:tcW w:w="540" w:type="dxa"/>
            <w:tcBorders>
              <w:top w:val="single" w:color="auto" w:sz="4" w:space="0"/>
              <w:left w:val="nil"/>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4" w:space="0"/>
              <w:left w:val="single" w:color="auto" w:sz="6" w:space="0"/>
              <w:bottom w:val="nil"/>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195" w:hRule="atLeast"/>
        </w:trPr>
        <w:tc>
          <w:tcPr>
            <w:tcW w:w="1668" w:type="dxa"/>
            <w:tcBorders>
              <w:top w:val="single" w:color="auto" w:sz="4" w:space="0"/>
              <w:left w:val="single" w:color="auto" w:sz="6" w:space="0"/>
              <w:bottom w:val="single" w:color="auto" w:sz="6" w:space="0"/>
              <w:right w:val="single" w:color="auto" w:sz="4"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市政设施保洁</w:t>
            </w:r>
          </w:p>
        </w:tc>
        <w:tc>
          <w:tcPr>
            <w:tcW w:w="103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垃圾桶、果壳箱等环卫设施有破损、丢失未及时修复的，一处扣2分；垃圾桶、果壳箱外观不清洁，一处扣1分；垃圾容器封闭无四害滋生，周围无垃圾散落，垃圾做到日产日清。垃圾桶、果壳箱、垃圾坞有溢满的现象，或周围不清洁的，一处扣2分；内部或周边有四害滋生的，一处扣1分；垃圾桶、果壳箱、垃圾坞等垃圾分类标识破损或掉落未及时修复更换的，一处扣1分；垃圾桶、果壳箱未加盖、关门的，一处扣1分；将已分类的垃圾混合收运的，一次扣3分。</w:t>
            </w:r>
            <w:r>
              <w:rPr>
                <w:rFonts w:hint="eastAsia" w:ascii="宋体" w:hAnsi="宋体" w:cs="宋体"/>
                <w:color w:val="000000"/>
              </w:rPr>
              <w:t>②</w:t>
            </w:r>
            <w:r>
              <w:rPr>
                <w:rFonts w:ascii="仿宋_GB2312" w:hAnsi="仿宋_GB2312"/>
                <w:color w:val="000000"/>
              </w:rPr>
              <w:t>交通护栏不整洁的，每10米扣1分。</w:t>
            </w:r>
            <w:r>
              <w:rPr>
                <w:rFonts w:hint="eastAsia" w:ascii="宋体" w:hAnsi="宋体" w:cs="宋体"/>
                <w:color w:val="000000"/>
              </w:rPr>
              <w:t>③</w:t>
            </w:r>
            <w:r>
              <w:rPr>
                <w:rFonts w:ascii="仿宋_GB2312" w:hAnsi="仿宋_GB2312"/>
                <w:color w:val="000000"/>
              </w:rPr>
              <w:t>其它市政设施有污痕、污垢、积尘的，一处扣1分。</w:t>
            </w:r>
          </w:p>
        </w:tc>
        <w:tc>
          <w:tcPr>
            <w:tcW w:w="72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4" w:space="0"/>
              <w:left w:val="nil"/>
              <w:bottom w:val="single" w:color="auto" w:sz="4"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542"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机械化作业</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机械化作业要机扫到边、到位效果明显。机扫作业后路面有垃圾、积泥、沙石的，一次扣1分；机扫作业时“干扫”或侧刷或吸盘未落地的，一次扣1分；机械清扫车随意倾倒、偷倒、乱倒垃圾的，一次扣3分。</w:t>
            </w:r>
            <w:r>
              <w:rPr>
                <w:rFonts w:hint="eastAsia" w:ascii="宋体" w:hAnsi="宋体" w:cs="宋体"/>
                <w:color w:val="000000"/>
              </w:rPr>
              <w:t>②</w:t>
            </w:r>
            <w:r>
              <w:rPr>
                <w:rFonts w:ascii="仿宋_GB2312" w:hAnsi="仿宋_GB2312"/>
                <w:color w:val="000000"/>
              </w:rPr>
              <w:t>道路洒水要有明显的降温压尘的效果。道路冲洗后，路面有积垢、灰尘、烟蒂、果壳散落的，一次扣1分。</w:t>
            </w:r>
            <w:r>
              <w:rPr>
                <w:rFonts w:hint="eastAsia" w:ascii="宋体" w:hAnsi="宋体" w:cs="宋体"/>
                <w:color w:val="000000"/>
              </w:rPr>
              <w:t>③</w:t>
            </w:r>
            <w:r>
              <w:rPr>
                <w:rFonts w:ascii="仿宋_GB2312" w:hAnsi="仿宋_GB2312"/>
                <w:color w:val="000000"/>
              </w:rPr>
              <w:t>机械车辆、船只未及时清洗，作业影响市容市貌的，一辆扣2分。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688"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无主建筑垃圾清理</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负责区域内无主建筑垃圾的清理，做业期间基本无扬尘，运输途中无垃圾撒落。运输途中垃圾撒落的，一处扣3分。</w:t>
            </w:r>
            <w:r>
              <w:rPr>
                <w:rFonts w:hint="eastAsia" w:ascii="宋体" w:hAnsi="宋体" w:cs="宋体"/>
                <w:color w:val="000000"/>
              </w:rPr>
              <w:t>②</w:t>
            </w:r>
            <w:r>
              <w:rPr>
                <w:rFonts w:ascii="仿宋_GB2312" w:hAnsi="仿宋_GB2312"/>
                <w:color w:val="000000"/>
              </w:rPr>
              <w:t>随意倾倒、偷倒、乱倒垃圾或未在指定地点倾倒的，一次扣3分；建筑垃圾与生活垃圾混运、混放的，一次扣3分。</w:t>
            </w:r>
            <w:r>
              <w:rPr>
                <w:rFonts w:hint="eastAsia" w:ascii="宋体" w:hAnsi="宋体" w:cs="宋体"/>
                <w:color w:val="000000"/>
              </w:rPr>
              <w:t>③</w:t>
            </w:r>
            <w:r>
              <w:rPr>
                <w:rFonts w:ascii="仿宋_GB2312" w:hAnsi="仿宋_GB2312"/>
                <w:color w:val="000000"/>
              </w:rPr>
              <w:t>保洁责任区域内应当发现的渣土、装修垃圾，未及时清理的，一处扣3分；未采用专用车辆进行清运的，一次扣3分。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2118"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sz w:val="22"/>
                <w:szCs w:val="22"/>
              </w:rPr>
              <w:t>小广告治理</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外墙、地面、栏杆、店面卷帘门、空调外机等小广告清理保洁做到“日有日清”，未及时处理的，一处扣1分。</w:t>
            </w:r>
            <w:r>
              <w:rPr>
                <w:rFonts w:hint="eastAsia" w:ascii="宋体" w:hAnsi="宋体" w:cs="宋体"/>
                <w:color w:val="000000"/>
              </w:rPr>
              <w:t>②</w:t>
            </w:r>
            <w:r>
              <w:rPr>
                <w:rFonts w:ascii="仿宋_GB2312" w:hAnsi="仿宋_GB2312"/>
                <w:color w:val="000000"/>
              </w:rPr>
              <w:t>外墙、地面、栏杆、灯箱、电话亭、书报亭清理乱张贴或乱涂写保洁基本上做到“同色覆盖”。选用环保材料、涂料、油漆、清除乱张贴、乱涂写的涂料要用与墙体、地面、栏杆相同或相接近的颜色进行有规则（正方形、长方形等）的覆盖，对花岗岩、大理石等墙面、地面应通过清洗方式进行保洁，不能出现“白癜风”的涂写、覆盖方式；清除乱张贴乱涂写时注意不得污损周围墙体、地面、桥面，保持整洁。涂料与清除方式使用不正确的，一处扣1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682"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规范作业</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作业人员佩证上岗，作业期内穿反光安全服，在作业期间发现未穿工作服或工作服破损肮脏的，一次扣1分；在作业时间内，集聚闲聊、工期休息超过10分钟、做与作业无关的事，一次扣1分。</w:t>
            </w:r>
            <w:r>
              <w:rPr>
                <w:rFonts w:hint="eastAsia" w:ascii="宋体" w:hAnsi="宋体" w:cs="宋体"/>
                <w:color w:val="000000"/>
              </w:rPr>
              <w:t>②</w:t>
            </w:r>
            <w:r>
              <w:rPr>
                <w:rFonts w:ascii="仿宋_GB2312" w:hAnsi="仿宋_GB2312"/>
                <w:color w:val="000000"/>
              </w:rPr>
              <w:t>车辆停放未遵守交通法规的，一次扣2分；垃圾未实行密闭运输的，一次扣2分；超高运输和吊挂杂物，一次扣1分。</w:t>
            </w:r>
            <w:r>
              <w:rPr>
                <w:rFonts w:hint="eastAsia" w:ascii="宋体" w:hAnsi="宋体" w:cs="宋体"/>
                <w:color w:val="000000"/>
              </w:rPr>
              <w:t>③</w:t>
            </w:r>
            <w:r>
              <w:rPr>
                <w:rFonts w:ascii="仿宋_GB2312" w:hAnsi="仿宋_GB2312"/>
                <w:color w:val="000000"/>
              </w:rPr>
              <w:t>作业人员擅自向责任区内单位收取各种费用的，一次扣3分；私自携带工业垃圾进垃圾中转的（零星的除外），一次扣3分。</w:t>
            </w:r>
            <w:r>
              <w:rPr>
                <w:rFonts w:hint="eastAsia" w:ascii="宋体" w:hAnsi="宋体" w:cs="宋体"/>
                <w:color w:val="000000"/>
              </w:rPr>
              <w:t>④</w:t>
            </w:r>
            <w:r>
              <w:rPr>
                <w:rFonts w:ascii="仿宋_GB2312" w:hAnsi="仿宋_GB2312"/>
                <w:color w:val="000000"/>
              </w:rPr>
              <w:t>洒水车接水点规范使用，做到节约用水，发现浪费、水龙头未拧紧一处扣5分。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1405" w:hRule="atLeast"/>
        </w:trPr>
        <w:tc>
          <w:tcPr>
            <w:tcW w:w="1668"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spacing w:line="320" w:lineRule="exact"/>
              <w:jc w:val="center"/>
              <w:rPr>
                <w:rFonts w:ascii="仿宋_GB2312" w:hAnsi="仿宋_GB2312"/>
                <w:color w:val="000000"/>
                <w:sz w:val="22"/>
                <w:szCs w:val="22"/>
              </w:rPr>
            </w:pPr>
            <w:r>
              <w:rPr>
                <w:rFonts w:ascii="仿宋_GB2312" w:hAnsi="仿宋_GB2312"/>
                <w:color w:val="000000"/>
                <w:sz w:val="22"/>
                <w:szCs w:val="22"/>
              </w:rPr>
              <w:t>其他</w:t>
            </w:r>
          </w:p>
        </w:tc>
        <w:tc>
          <w:tcPr>
            <w:tcW w:w="10320" w:type="dxa"/>
            <w:tcBorders>
              <w:top w:val="single" w:color="auto" w:sz="6" w:space="0"/>
              <w:left w:val="nil"/>
              <w:bottom w:val="single" w:color="auto" w:sz="6" w:space="0"/>
              <w:right w:val="single" w:color="auto" w:sz="6" w:space="0"/>
            </w:tcBorders>
            <w:noWrap w:val="0"/>
            <w:vAlign w:val="center"/>
          </w:tcPr>
          <w:p>
            <w:pPr>
              <w:adjustRightInd w:val="0"/>
              <w:snapToGrid w:val="0"/>
              <w:spacing w:line="320" w:lineRule="exact"/>
              <w:rPr>
                <w:rFonts w:ascii="仿宋_GB2312" w:hAnsi="仿宋_GB2312"/>
                <w:color w:val="000000"/>
              </w:rPr>
            </w:pPr>
            <w:r>
              <w:rPr>
                <w:rFonts w:hint="eastAsia" w:ascii="宋体" w:hAnsi="宋体" w:cs="宋体"/>
                <w:color w:val="000000"/>
              </w:rPr>
              <w:t>①</w:t>
            </w:r>
            <w:r>
              <w:rPr>
                <w:rFonts w:ascii="仿宋_GB2312" w:hAnsi="仿宋_GB2312"/>
                <w:color w:val="000000"/>
              </w:rPr>
              <w:t>接到数字城管、投诉电话和新闻舆论等举报投诉后，应在时限内处理完毕，并作好信息反馈，未及时处理的，一次扣2分。</w:t>
            </w:r>
            <w:r>
              <w:rPr>
                <w:rFonts w:hint="eastAsia" w:ascii="宋体" w:hAnsi="宋体" w:cs="宋体"/>
                <w:color w:val="000000"/>
              </w:rPr>
              <w:t>②</w:t>
            </w:r>
            <w:r>
              <w:rPr>
                <w:rFonts w:ascii="仿宋_GB2312" w:hAnsi="仿宋_GB2312"/>
                <w:color w:val="000000"/>
              </w:rPr>
              <w:t>经媒体曝光，造成恶劣影响的，一次扣5分，且采购人有权无条件解除合同。</w:t>
            </w:r>
            <w:r>
              <w:rPr>
                <w:rFonts w:hint="eastAsia" w:ascii="宋体" w:hAnsi="宋体" w:cs="宋体"/>
                <w:color w:val="000000"/>
              </w:rPr>
              <w:t>③</w:t>
            </w:r>
            <w:r>
              <w:rPr>
                <w:rFonts w:ascii="仿宋_GB2312" w:hAnsi="仿宋_GB2312"/>
                <w:color w:val="000000"/>
              </w:rPr>
              <w:t>其他保洁要求不达标的，酌情扣分。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454" w:hRule="atLeast"/>
        </w:trPr>
        <w:tc>
          <w:tcPr>
            <w:tcW w:w="11988" w:type="dxa"/>
            <w:gridSpan w:val="2"/>
            <w:tcBorders>
              <w:top w:val="single" w:color="auto" w:sz="6" w:space="0"/>
              <w:left w:val="single" w:color="auto" w:sz="6" w:space="0"/>
              <w:bottom w:val="single" w:color="auto" w:sz="4" w:space="0"/>
              <w:right w:val="single" w:color="auto" w:sz="6" w:space="0"/>
            </w:tcBorders>
            <w:noWrap w:val="0"/>
            <w:vAlign w:val="center"/>
          </w:tcPr>
          <w:p>
            <w:pPr>
              <w:adjustRightInd w:val="0"/>
              <w:snapToGrid w:val="0"/>
              <w:spacing w:line="320" w:lineRule="exact"/>
              <w:jc w:val="center"/>
              <w:rPr>
                <w:rFonts w:ascii="仿宋_GB2312" w:hAnsi="仿宋_GB2312"/>
                <w:color w:val="000000"/>
              </w:rPr>
            </w:pPr>
            <w:r>
              <w:rPr>
                <w:rFonts w:ascii="仿宋_GB2312" w:hAnsi="仿宋_GB2312"/>
                <w:color w:val="000000"/>
              </w:rPr>
              <w:t>合计得分</w:t>
            </w:r>
          </w:p>
        </w:tc>
        <w:tc>
          <w:tcPr>
            <w:tcW w:w="72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r>
              <w:rPr>
                <w:rFonts w:ascii="仿宋_GB2312" w:hAnsi="仿宋_GB2312"/>
                <w:color w:val="000000"/>
              </w:rPr>
              <w:t>50</w:t>
            </w:r>
          </w:p>
        </w:tc>
        <w:tc>
          <w:tcPr>
            <w:tcW w:w="540" w:type="dxa"/>
            <w:tcBorders>
              <w:top w:val="single" w:color="auto" w:sz="6" w:space="0"/>
              <w:left w:val="nil"/>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c>
          <w:tcPr>
            <w:tcW w:w="1319" w:type="dxa"/>
            <w:tcBorders>
              <w:top w:val="single" w:color="auto" w:sz="6" w:space="0"/>
              <w:left w:val="single" w:color="auto" w:sz="6" w:space="0"/>
              <w:bottom w:val="single" w:color="auto" w:sz="6" w:space="0"/>
              <w:right w:val="single" w:color="auto" w:sz="4" w:space="0"/>
            </w:tcBorders>
            <w:noWrap w:val="0"/>
            <w:vAlign w:val="center"/>
          </w:tcPr>
          <w:p>
            <w:pPr>
              <w:adjustRightInd w:val="0"/>
              <w:snapToGrid w:val="0"/>
              <w:spacing w:line="320" w:lineRule="exact"/>
              <w:ind w:left="-105" w:leftChars="-50" w:right="-105" w:rightChars="-50"/>
              <w:jc w:val="center"/>
              <w:rPr>
                <w:rFonts w:ascii="仿宋_GB2312" w:hAnsi="仿宋_GB2312"/>
                <w:color w:val="000000"/>
              </w:rPr>
            </w:pPr>
          </w:p>
        </w:tc>
      </w:tr>
    </w:tbl>
    <w:p>
      <w:pPr>
        <w:adjustRightInd w:val="0"/>
        <w:snapToGrid w:val="0"/>
        <w:spacing w:line="320" w:lineRule="exact"/>
        <w:rPr>
          <w:color w:val="000000"/>
        </w:rPr>
      </w:pPr>
      <w:r>
        <w:rPr>
          <w:rFonts w:ascii="仿宋_GB2312" w:hAnsi="仿宋_GB2312"/>
          <w:color w:val="000000"/>
        </w:rPr>
        <w:t xml:space="preserve">考核人：                                                                             </w:t>
      </w:r>
      <w:r>
        <w:rPr>
          <w:rFonts w:ascii="仿宋_GB2312" w:hAnsi="仿宋_GB2312"/>
          <w:color w:val="000000"/>
          <w:sz w:val="24"/>
          <w:szCs w:val="24"/>
        </w:rPr>
        <w:t>日期</w:t>
      </w:r>
      <w:r>
        <w:rPr>
          <w:rFonts w:ascii="仿宋_GB2312" w:hAnsi="仿宋_GB2312"/>
          <w:color w:val="000000"/>
        </w:rPr>
        <w:t>：</w:t>
      </w:r>
    </w:p>
    <w:p>
      <w:pPr>
        <w:ind w:firstLine="640" w:firstLineChars="200"/>
        <w:rPr>
          <w:rFonts w:ascii="黑体" w:hAnsi="黑体" w:eastAsia="黑体"/>
          <w:color w:val="000000"/>
          <w:sz w:val="32"/>
          <w:szCs w:val="32"/>
        </w:rPr>
      </w:pPr>
      <w:r>
        <w:rPr>
          <w:rFonts w:hint="eastAsia" w:ascii="黑体" w:hAnsi="黑体" w:eastAsia="黑体"/>
          <w:color w:val="000000"/>
          <w:sz w:val="32"/>
          <w:szCs w:val="32"/>
        </w:rPr>
        <w:t>四、扣分项考评表</w:t>
      </w:r>
    </w:p>
    <w:tbl>
      <w:tblPr>
        <w:tblStyle w:val="35"/>
        <w:tblW w:w="14142" w:type="dxa"/>
        <w:tblInd w:w="0" w:type="dxa"/>
        <w:tblLayout w:type="fixed"/>
        <w:tblCellMar>
          <w:top w:w="0" w:type="dxa"/>
          <w:left w:w="108" w:type="dxa"/>
          <w:bottom w:w="0" w:type="dxa"/>
          <w:right w:w="108" w:type="dxa"/>
        </w:tblCellMar>
      </w:tblPr>
      <w:tblGrid>
        <w:gridCol w:w="959"/>
        <w:gridCol w:w="10669"/>
        <w:gridCol w:w="720"/>
        <w:gridCol w:w="540"/>
        <w:gridCol w:w="1254"/>
      </w:tblGrid>
      <w:tr>
        <w:tblPrEx>
          <w:tblCellMar>
            <w:top w:w="0" w:type="dxa"/>
            <w:left w:w="108" w:type="dxa"/>
            <w:bottom w:w="0" w:type="dxa"/>
            <w:right w:w="108" w:type="dxa"/>
          </w:tblCellMar>
        </w:tblPrEx>
        <w:trPr>
          <w:trHeight w:val="385" w:hRule="atLeast"/>
        </w:trPr>
        <w:tc>
          <w:tcPr>
            <w:tcW w:w="959" w:type="dxa"/>
            <w:tcBorders>
              <w:top w:val="single" w:color="auto" w:sz="6" w:space="0"/>
              <w:left w:val="single" w:color="auto" w:sz="6" w:space="0"/>
              <w:bottom w:val="single" w:color="auto" w:sz="6" w:space="0"/>
              <w:right w:val="single" w:color="auto" w:sz="6" w:space="0"/>
            </w:tcBorders>
            <w:noWrap w:val="0"/>
            <w:vAlign w:val="center"/>
          </w:tcPr>
          <w:p>
            <w:pPr>
              <w:snapToGrid w:val="0"/>
              <w:jc w:val="center"/>
              <w:rPr>
                <w:rFonts w:ascii="仿宋_GB2312" w:hAnsi="仿宋_GB2312"/>
                <w:color w:val="000000"/>
              </w:rPr>
            </w:pPr>
            <w:r>
              <w:rPr>
                <w:rFonts w:ascii="仿宋_GB2312" w:hAnsi="仿宋_GB2312"/>
                <w:color w:val="000000"/>
              </w:rPr>
              <w:t>项目</w:t>
            </w:r>
          </w:p>
        </w:tc>
        <w:tc>
          <w:tcPr>
            <w:tcW w:w="10669" w:type="dxa"/>
            <w:tcBorders>
              <w:top w:val="single" w:color="auto" w:sz="6" w:space="0"/>
              <w:left w:val="nil"/>
              <w:bottom w:val="single" w:color="auto" w:sz="6" w:space="0"/>
              <w:right w:val="single" w:color="auto" w:sz="6" w:space="0"/>
            </w:tcBorders>
            <w:noWrap w:val="0"/>
            <w:vAlign w:val="center"/>
          </w:tcPr>
          <w:p>
            <w:pPr>
              <w:snapToGrid w:val="0"/>
              <w:jc w:val="center"/>
              <w:rPr>
                <w:rFonts w:ascii="仿宋_GB2312" w:hAnsi="仿宋_GB2312"/>
                <w:color w:val="000000"/>
              </w:rPr>
            </w:pPr>
            <w:r>
              <w:rPr>
                <w:rFonts w:ascii="仿宋_GB2312" w:hAnsi="仿宋_GB2312"/>
                <w:color w:val="000000"/>
              </w:rPr>
              <w:t>扣分评分标准</w:t>
            </w:r>
          </w:p>
        </w:tc>
        <w:tc>
          <w:tcPr>
            <w:tcW w:w="720" w:type="dxa"/>
            <w:tcBorders>
              <w:top w:val="single" w:color="auto" w:sz="6" w:space="0"/>
              <w:left w:val="nil"/>
              <w:bottom w:val="single" w:color="auto" w:sz="6" w:space="0"/>
              <w:right w:val="single" w:color="auto" w:sz="4" w:space="0"/>
            </w:tcBorders>
            <w:noWrap w:val="0"/>
            <w:vAlign w:val="center"/>
          </w:tcPr>
          <w:p>
            <w:pPr>
              <w:snapToGrid w:val="0"/>
              <w:ind w:right="-105" w:rightChars="-50"/>
              <w:rPr>
                <w:rFonts w:ascii="仿宋_GB2312" w:hAnsi="仿宋_GB2312"/>
                <w:color w:val="000000"/>
              </w:rPr>
            </w:pPr>
            <w:r>
              <w:rPr>
                <w:rFonts w:ascii="仿宋_GB2312" w:hAnsi="仿宋_GB2312"/>
                <w:color w:val="000000"/>
              </w:rPr>
              <w:t>分值</w:t>
            </w:r>
          </w:p>
        </w:tc>
        <w:tc>
          <w:tcPr>
            <w:tcW w:w="540" w:type="dxa"/>
            <w:tcBorders>
              <w:top w:val="single" w:color="auto" w:sz="6" w:space="0"/>
              <w:left w:val="nil"/>
              <w:bottom w:val="single" w:color="auto" w:sz="6" w:space="0"/>
              <w:right w:val="single" w:color="auto" w:sz="4" w:space="0"/>
            </w:tcBorders>
            <w:noWrap w:val="0"/>
            <w:vAlign w:val="center"/>
          </w:tcPr>
          <w:p>
            <w:pPr>
              <w:snapToGrid w:val="0"/>
              <w:ind w:left="-105" w:leftChars="-50" w:right="-105" w:rightChars="-50"/>
              <w:jc w:val="center"/>
              <w:rPr>
                <w:rFonts w:ascii="仿宋_GB2312" w:hAnsi="仿宋_GB2312"/>
                <w:color w:val="000000"/>
              </w:rPr>
            </w:pPr>
            <w:r>
              <w:rPr>
                <w:rFonts w:ascii="仿宋_GB2312" w:hAnsi="仿宋_GB2312"/>
                <w:color w:val="000000"/>
              </w:rPr>
              <w:t>扣分</w:t>
            </w:r>
          </w:p>
        </w:tc>
        <w:tc>
          <w:tcPr>
            <w:tcW w:w="1254" w:type="dxa"/>
            <w:tcBorders>
              <w:top w:val="single" w:color="auto" w:sz="6" w:space="0"/>
              <w:left w:val="single" w:color="auto" w:sz="6" w:space="0"/>
              <w:bottom w:val="single" w:color="auto" w:sz="6" w:space="0"/>
              <w:right w:val="single" w:color="auto" w:sz="4" w:space="0"/>
            </w:tcBorders>
            <w:noWrap w:val="0"/>
            <w:vAlign w:val="center"/>
          </w:tcPr>
          <w:p>
            <w:pPr>
              <w:snapToGrid w:val="0"/>
              <w:ind w:left="-105" w:leftChars="-50" w:right="-105" w:rightChars="-50"/>
              <w:jc w:val="center"/>
              <w:rPr>
                <w:rFonts w:ascii="仿宋_GB2312" w:hAnsi="仿宋_GB2312"/>
                <w:color w:val="000000"/>
              </w:rPr>
            </w:pPr>
            <w:r>
              <w:rPr>
                <w:rFonts w:ascii="仿宋_GB2312" w:hAnsi="仿宋_GB2312"/>
                <w:color w:val="000000"/>
              </w:rPr>
              <w:t>扣分依据</w:t>
            </w:r>
          </w:p>
        </w:tc>
      </w:tr>
      <w:tr>
        <w:tblPrEx>
          <w:tblCellMar>
            <w:top w:w="0" w:type="dxa"/>
            <w:left w:w="108" w:type="dxa"/>
            <w:bottom w:w="0" w:type="dxa"/>
            <w:right w:w="108" w:type="dxa"/>
          </w:tblCellMar>
        </w:tblPrEx>
        <w:trPr>
          <w:trHeight w:val="1738" w:hRule="atLeast"/>
        </w:trPr>
        <w:tc>
          <w:tcPr>
            <w:tcW w:w="959" w:type="dxa"/>
            <w:tcBorders>
              <w:top w:val="single" w:color="auto" w:sz="6" w:space="0"/>
              <w:left w:val="single" w:color="auto" w:sz="6" w:space="0"/>
              <w:bottom w:val="single" w:color="auto" w:sz="6" w:space="0"/>
              <w:right w:val="single" w:color="auto" w:sz="6" w:space="0"/>
            </w:tcBorders>
            <w:noWrap w:val="0"/>
            <w:vAlign w:val="center"/>
          </w:tcPr>
          <w:p>
            <w:pPr>
              <w:spacing w:line="280" w:lineRule="exact"/>
              <w:jc w:val="center"/>
              <w:rPr>
                <w:rFonts w:ascii="仿宋_GB2312" w:hAnsi="仿宋_GB2312"/>
                <w:color w:val="000000"/>
              </w:rPr>
            </w:pPr>
            <w:r>
              <w:rPr>
                <w:rFonts w:ascii="仿宋_GB2312" w:hAnsi="仿宋_GB2312"/>
                <w:color w:val="000000"/>
              </w:rPr>
              <w:t>扣分项</w:t>
            </w:r>
          </w:p>
        </w:tc>
        <w:tc>
          <w:tcPr>
            <w:tcW w:w="10669" w:type="dxa"/>
            <w:tcBorders>
              <w:top w:val="single" w:color="auto" w:sz="6" w:space="0"/>
              <w:left w:val="nil"/>
              <w:bottom w:val="single" w:color="auto" w:sz="6" w:space="0"/>
              <w:right w:val="single" w:color="auto" w:sz="6" w:space="0"/>
            </w:tcBorders>
            <w:noWrap w:val="0"/>
            <w:vAlign w:val="center"/>
          </w:tcPr>
          <w:p>
            <w:pPr>
              <w:autoSpaceDE w:val="0"/>
              <w:spacing w:line="300" w:lineRule="exact"/>
              <w:rPr>
                <w:rFonts w:ascii="仿宋_GB2312" w:hAnsi="仿宋_GB2312"/>
                <w:color w:val="000000"/>
              </w:rPr>
            </w:pPr>
            <w:r>
              <w:rPr>
                <w:rFonts w:hint="eastAsia" w:ascii="宋体" w:hAnsi="宋体" w:cs="宋体"/>
                <w:color w:val="000000"/>
              </w:rPr>
              <w:t>①</w:t>
            </w:r>
            <w:r>
              <w:rPr>
                <w:rFonts w:ascii="仿宋_GB2312" w:hAnsi="仿宋_GB2312"/>
                <w:color w:val="000000"/>
              </w:rPr>
              <w:t>本市范围内保洁服务被媒体曝光的：瑞安市级的扣10分，温州市级的扣20分，省部级的扣30分，国家级的定为当次考核最后一名，以曝光的时间点计入当次考核评分；</w:t>
            </w:r>
            <w:r>
              <w:rPr>
                <w:rFonts w:hint="eastAsia" w:ascii="宋体" w:hAnsi="宋体" w:cs="宋体"/>
                <w:color w:val="000000"/>
              </w:rPr>
              <w:t>②</w:t>
            </w:r>
            <w:r>
              <w:rPr>
                <w:rFonts w:ascii="仿宋_GB2312" w:hAnsi="仿宋_GB2312"/>
                <w:color w:val="000000"/>
              </w:rPr>
              <w:t>本市范围内保洁服务被有关部门通报、督办的：县处级部门的扣10分，厅局级的扣20分，省部级及以上的定为当次考核最后一名，以通报、督办下达时间点计入当次考核评分；</w:t>
            </w:r>
            <w:r>
              <w:rPr>
                <w:rFonts w:hint="eastAsia" w:ascii="宋体" w:hAnsi="宋体" w:cs="宋体"/>
                <w:color w:val="000000"/>
              </w:rPr>
              <w:t>③</w:t>
            </w:r>
            <w:r>
              <w:rPr>
                <w:rFonts w:ascii="仿宋_GB2312" w:hAnsi="仿宋_GB2312"/>
                <w:color w:val="000000"/>
              </w:rPr>
              <w:t>内部管理制度和台账缺失，每项扣10分，不规范的，每处扣5分；</w:t>
            </w:r>
            <w:r>
              <w:rPr>
                <w:rFonts w:hint="eastAsia" w:ascii="宋体" w:hAnsi="宋体" w:cs="宋体"/>
                <w:color w:val="000000"/>
              </w:rPr>
              <w:t>④</w:t>
            </w:r>
            <w:r>
              <w:rPr>
                <w:rFonts w:ascii="仿宋_GB2312" w:hAnsi="仿宋_GB2312"/>
                <w:color w:val="000000"/>
              </w:rPr>
              <w:t>环卫工人因严重违规而被责令开除上了环卫主管部门黑名单的，任何承包公司不得录用，发现一次扣20分。</w:t>
            </w:r>
          </w:p>
        </w:tc>
        <w:tc>
          <w:tcPr>
            <w:tcW w:w="72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c>
          <w:tcPr>
            <w:tcW w:w="54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c>
          <w:tcPr>
            <w:tcW w:w="1254" w:type="dxa"/>
            <w:tcBorders>
              <w:top w:val="single" w:color="auto" w:sz="6" w:space="0"/>
              <w:left w:val="single" w:color="auto" w:sz="6" w:space="0"/>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411" w:hRule="atLeast"/>
        </w:trPr>
        <w:tc>
          <w:tcPr>
            <w:tcW w:w="11628" w:type="dxa"/>
            <w:gridSpan w:val="2"/>
            <w:tcBorders>
              <w:top w:val="single" w:color="auto" w:sz="6" w:space="0"/>
              <w:left w:val="single" w:color="auto" w:sz="6" w:space="0"/>
              <w:bottom w:val="single" w:color="auto" w:sz="4" w:space="0"/>
              <w:right w:val="single" w:color="auto" w:sz="6" w:space="0"/>
            </w:tcBorders>
            <w:noWrap w:val="0"/>
            <w:vAlign w:val="center"/>
          </w:tcPr>
          <w:p>
            <w:pPr>
              <w:spacing w:line="280" w:lineRule="exact"/>
              <w:jc w:val="center"/>
              <w:rPr>
                <w:rFonts w:ascii="仿宋_GB2312" w:hAnsi="仿宋_GB2312"/>
                <w:color w:val="000000"/>
              </w:rPr>
            </w:pPr>
            <w:r>
              <w:rPr>
                <w:rFonts w:ascii="仿宋_GB2312" w:hAnsi="仿宋_GB2312"/>
                <w:color w:val="000000"/>
              </w:rPr>
              <w:t>合计扣分</w:t>
            </w:r>
          </w:p>
        </w:tc>
        <w:tc>
          <w:tcPr>
            <w:tcW w:w="72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c>
          <w:tcPr>
            <w:tcW w:w="54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c>
          <w:tcPr>
            <w:tcW w:w="1254" w:type="dxa"/>
            <w:tcBorders>
              <w:top w:val="single" w:color="auto" w:sz="6" w:space="0"/>
              <w:left w:val="single" w:color="auto" w:sz="6" w:space="0"/>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r>
    </w:tbl>
    <w:p>
      <w:pPr>
        <w:autoSpaceDE w:val="0"/>
        <w:adjustRightInd w:val="0"/>
        <w:snapToGrid w:val="0"/>
        <w:spacing w:line="360" w:lineRule="exact"/>
        <w:rPr>
          <w:color w:val="000000"/>
          <w:sz w:val="24"/>
          <w:szCs w:val="24"/>
        </w:rPr>
      </w:pPr>
      <w:r>
        <w:rPr>
          <w:rFonts w:ascii="仿宋_GB2312" w:hAnsi="仿宋_GB2312"/>
          <w:color w:val="000000"/>
          <w:sz w:val="24"/>
          <w:szCs w:val="24"/>
        </w:rPr>
        <w:t xml:space="preserve">考核人：                                              日期：   </w:t>
      </w:r>
      <w:r>
        <w:rPr>
          <w:color w:val="000000"/>
          <w:sz w:val="24"/>
          <w:szCs w:val="24"/>
        </w:rPr>
        <w:t xml:space="preserve">               </w:t>
      </w:r>
    </w:p>
    <w:p>
      <w:pPr>
        <w:ind w:firstLine="640" w:firstLineChars="200"/>
        <w:rPr>
          <w:rFonts w:ascii="黑体" w:hAnsi="黑体" w:eastAsia="黑体"/>
          <w:color w:val="000000"/>
          <w:sz w:val="32"/>
          <w:szCs w:val="32"/>
        </w:rPr>
      </w:pPr>
      <w:r>
        <w:rPr>
          <w:rFonts w:hint="eastAsia" w:ascii="黑体" w:hAnsi="黑体" w:eastAsia="黑体"/>
          <w:color w:val="000000"/>
          <w:sz w:val="32"/>
          <w:szCs w:val="32"/>
        </w:rPr>
        <w:t>五、加分项考评表</w:t>
      </w:r>
    </w:p>
    <w:tbl>
      <w:tblPr>
        <w:tblStyle w:val="35"/>
        <w:tblW w:w="14142" w:type="dxa"/>
        <w:tblInd w:w="0" w:type="dxa"/>
        <w:tblLayout w:type="fixed"/>
        <w:tblCellMar>
          <w:top w:w="0" w:type="dxa"/>
          <w:left w:w="108" w:type="dxa"/>
          <w:bottom w:w="0" w:type="dxa"/>
          <w:right w:w="108" w:type="dxa"/>
        </w:tblCellMar>
      </w:tblPr>
      <w:tblGrid>
        <w:gridCol w:w="959"/>
        <w:gridCol w:w="10669"/>
        <w:gridCol w:w="720"/>
        <w:gridCol w:w="540"/>
        <w:gridCol w:w="1254"/>
      </w:tblGrid>
      <w:tr>
        <w:tblPrEx>
          <w:tblCellMar>
            <w:top w:w="0" w:type="dxa"/>
            <w:left w:w="108" w:type="dxa"/>
            <w:bottom w:w="0" w:type="dxa"/>
            <w:right w:w="108" w:type="dxa"/>
          </w:tblCellMar>
        </w:tblPrEx>
        <w:trPr>
          <w:trHeight w:val="346" w:hRule="atLeast"/>
        </w:trPr>
        <w:tc>
          <w:tcPr>
            <w:tcW w:w="959" w:type="dxa"/>
            <w:tcBorders>
              <w:top w:val="single" w:color="auto" w:sz="6" w:space="0"/>
              <w:left w:val="single" w:color="auto" w:sz="6" w:space="0"/>
              <w:bottom w:val="single" w:color="auto" w:sz="6" w:space="0"/>
              <w:right w:val="single" w:color="auto" w:sz="6" w:space="0"/>
            </w:tcBorders>
            <w:noWrap w:val="0"/>
            <w:vAlign w:val="center"/>
          </w:tcPr>
          <w:p>
            <w:pPr>
              <w:snapToGrid w:val="0"/>
              <w:jc w:val="center"/>
              <w:rPr>
                <w:rFonts w:ascii="仿宋_GB2312" w:hAnsi="仿宋_GB2312"/>
                <w:color w:val="000000"/>
              </w:rPr>
            </w:pPr>
            <w:r>
              <w:rPr>
                <w:rFonts w:ascii="仿宋_GB2312" w:hAnsi="仿宋_GB2312"/>
                <w:color w:val="000000"/>
              </w:rPr>
              <w:t>项目</w:t>
            </w:r>
          </w:p>
        </w:tc>
        <w:tc>
          <w:tcPr>
            <w:tcW w:w="10669" w:type="dxa"/>
            <w:tcBorders>
              <w:top w:val="single" w:color="auto" w:sz="6" w:space="0"/>
              <w:left w:val="nil"/>
              <w:bottom w:val="single" w:color="auto" w:sz="6" w:space="0"/>
              <w:right w:val="single" w:color="auto" w:sz="6" w:space="0"/>
            </w:tcBorders>
            <w:noWrap w:val="0"/>
            <w:vAlign w:val="center"/>
          </w:tcPr>
          <w:p>
            <w:pPr>
              <w:snapToGrid w:val="0"/>
              <w:jc w:val="center"/>
              <w:rPr>
                <w:rFonts w:ascii="仿宋_GB2312" w:hAnsi="仿宋_GB2312"/>
                <w:color w:val="000000"/>
              </w:rPr>
            </w:pPr>
            <w:r>
              <w:rPr>
                <w:rFonts w:ascii="仿宋_GB2312" w:hAnsi="仿宋_GB2312"/>
                <w:color w:val="000000"/>
              </w:rPr>
              <w:t>加分评分标准</w:t>
            </w:r>
          </w:p>
        </w:tc>
        <w:tc>
          <w:tcPr>
            <w:tcW w:w="720" w:type="dxa"/>
            <w:tcBorders>
              <w:top w:val="single" w:color="auto" w:sz="6" w:space="0"/>
              <w:left w:val="nil"/>
              <w:bottom w:val="single" w:color="auto" w:sz="6" w:space="0"/>
              <w:right w:val="single" w:color="auto" w:sz="4" w:space="0"/>
            </w:tcBorders>
            <w:noWrap w:val="0"/>
            <w:vAlign w:val="center"/>
          </w:tcPr>
          <w:p>
            <w:pPr>
              <w:snapToGrid w:val="0"/>
              <w:ind w:right="-105" w:rightChars="-50"/>
              <w:jc w:val="center"/>
              <w:rPr>
                <w:rFonts w:ascii="仿宋_GB2312" w:hAnsi="仿宋_GB2312"/>
                <w:color w:val="000000"/>
              </w:rPr>
            </w:pPr>
            <w:r>
              <w:rPr>
                <w:rFonts w:ascii="仿宋_GB2312" w:hAnsi="仿宋_GB2312"/>
                <w:color w:val="000000"/>
              </w:rPr>
              <w:t>分值</w:t>
            </w:r>
          </w:p>
        </w:tc>
        <w:tc>
          <w:tcPr>
            <w:tcW w:w="540" w:type="dxa"/>
            <w:tcBorders>
              <w:top w:val="single" w:color="auto" w:sz="6" w:space="0"/>
              <w:left w:val="nil"/>
              <w:bottom w:val="single" w:color="auto" w:sz="6" w:space="0"/>
              <w:right w:val="single" w:color="auto" w:sz="4" w:space="0"/>
            </w:tcBorders>
            <w:noWrap w:val="0"/>
            <w:vAlign w:val="center"/>
          </w:tcPr>
          <w:p>
            <w:pPr>
              <w:snapToGrid w:val="0"/>
              <w:ind w:left="-105" w:leftChars="-50" w:right="-105" w:rightChars="-50"/>
              <w:jc w:val="center"/>
              <w:rPr>
                <w:rFonts w:ascii="仿宋_GB2312" w:hAnsi="仿宋_GB2312"/>
                <w:color w:val="000000"/>
              </w:rPr>
            </w:pPr>
            <w:r>
              <w:rPr>
                <w:rFonts w:ascii="仿宋_GB2312" w:hAnsi="仿宋_GB2312"/>
                <w:color w:val="000000"/>
              </w:rPr>
              <w:t>加分</w:t>
            </w:r>
          </w:p>
        </w:tc>
        <w:tc>
          <w:tcPr>
            <w:tcW w:w="1254" w:type="dxa"/>
            <w:tcBorders>
              <w:top w:val="single" w:color="auto" w:sz="6" w:space="0"/>
              <w:left w:val="single" w:color="auto" w:sz="6" w:space="0"/>
              <w:bottom w:val="single" w:color="auto" w:sz="6" w:space="0"/>
              <w:right w:val="single" w:color="auto" w:sz="4" w:space="0"/>
            </w:tcBorders>
            <w:noWrap w:val="0"/>
            <w:vAlign w:val="center"/>
          </w:tcPr>
          <w:p>
            <w:pPr>
              <w:snapToGrid w:val="0"/>
              <w:ind w:left="-105" w:leftChars="-50" w:right="-105" w:rightChars="-50"/>
              <w:jc w:val="center"/>
              <w:rPr>
                <w:rFonts w:ascii="仿宋_GB2312" w:hAnsi="仿宋_GB2312"/>
                <w:color w:val="000000"/>
              </w:rPr>
            </w:pPr>
            <w:r>
              <w:rPr>
                <w:rFonts w:ascii="仿宋_GB2312" w:hAnsi="仿宋_GB2312"/>
                <w:color w:val="000000"/>
              </w:rPr>
              <w:t>加分依据</w:t>
            </w:r>
          </w:p>
        </w:tc>
      </w:tr>
      <w:tr>
        <w:tblPrEx>
          <w:tblCellMar>
            <w:top w:w="0" w:type="dxa"/>
            <w:left w:w="108" w:type="dxa"/>
            <w:bottom w:w="0" w:type="dxa"/>
            <w:right w:w="108" w:type="dxa"/>
          </w:tblCellMar>
        </w:tblPrEx>
        <w:trPr>
          <w:trHeight w:val="1833" w:hRule="atLeast"/>
        </w:trPr>
        <w:tc>
          <w:tcPr>
            <w:tcW w:w="959" w:type="dxa"/>
            <w:tcBorders>
              <w:top w:val="single" w:color="auto" w:sz="6" w:space="0"/>
              <w:left w:val="single" w:color="auto" w:sz="6" w:space="0"/>
              <w:bottom w:val="single" w:color="auto" w:sz="6" w:space="0"/>
              <w:right w:val="single" w:color="auto" w:sz="6" w:space="0"/>
            </w:tcBorders>
            <w:noWrap w:val="0"/>
            <w:vAlign w:val="center"/>
          </w:tcPr>
          <w:p>
            <w:pPr>
              <w:spacing w:line="280" w:lineRule="exact"/>
              <w:jc w:val="center"/>
              <w:rPr>
                <w:rFonts w:ascii="仿宋_GB2312" w:hAnsi="仿宋_GB2312"/>
                <w:color w:val="000000"/>
              </w:rPr>
            </w:pPr>
            <w:r>
              <w:rPr>
                <w:rFonts w:ascii="仿宋_GB2312" w:hAnsi="仿宋_GB2312"/>
                <w:color w:val="000000"/>
              </w:rPr>
              <w:t>扣分项</w:t>
            </w:r>
          </w:p>
        </w:tc>
        <w:tc>
          <w:tcPr>
            <w:tcW w:w="10669" w:type="dxa"/>
            <w:tcBorders>
              <w:top w:val="single" w:color="auto" w:sz="6" w:space="0"/>
              <w:left w:val="nil"/>
              <w:bottom w:val="single" w:color="auto" w:sz="6" w:space="0"/>
              <w:right w:val="single" w:color="auto" w:sz="6" w:space="0"/>
            </w:tcBorders>
            <w:noWrap w:val="0"/>
            <w:vAlign w:val="center"/>
          </w:tcPr>
          <w:p>
            <w:pPr>
              <w:autoSpaceDE w:val="0"/>
              <w:spacing w:line="300" w:lineRule="exact"/>
              <w:rPr>
                <w:rFonts w:ascii="仿宋_GB2312" w:hAnsi="仿宋_GB2312"/>
                <w:color w:val="000000"/>
              </w:rPr>
            </w:pPr>
            <w:r>
              <w:rPr>
                <w:rFonts w:hint="eastAsia" w:ascii="宋体" w:hAnsi="宋体" w:cs="宋体"/>
                <w:color w:val="000000"/>
              </w:rPr>
              <w:t>①</w:t>
            </w:r>
            <w:r>
              <w:rPr>
                <w:rFonts w:ascii="仿宋_GB2312" w:hAnsi="仿宋_GB2312"/>
                <w:color w:val="000000"/>
              </w:rPr>
              <w:t>本市范围内保洁服务被媒体正面报道的：瑞安市级的加10分，温州市级的加20分，省部级的加30分，国家级的定为当次考核第一名，以报道时间点计入当次考核评分；</w:t>
            </w:r>
            <w:r>
              <w:rPr>
                <w:rFonts w:hint="eastAsia" w:ascii="宋体" w:hAnsi="宋体" w:cs="宋体"/>
                <w:color w:val="000000"/>
              </w:rPr>
              <w:t>②</w:t>
            </w:r>
            <w:r>
              <w:rPr>
                <w:rFonts w:ascii="仿宋_GB2312" w:hAnsi="仿宋_GB2312"/>
                <w:color w:val="000000"/>
              </w:rPr>
              <w:t>本市范围内保洁服务被有关部门通报表彰的：县处级的加10分，厅局级的加20分，省部级的加30分，国家级的定为当次考核第一名，以通报表彰文件下达时间点计入当次考核评分；</w:t>
            </w:r>
            <w:r>
              <w:rPr>
                <w:rFonts w:hint="eastAsia" w:ascii="宋体" w:hAnsi="宋体" w:cs="宋体"/>
                <w:color w:val="000000"/>
              </w:rPr>
              <w:t>③</w:t>
            </w:r>
            <w:r>
              <w:rPr>
                <w:rFonts w:ascii="仿宋_GB2312" w:hAnsi="仿宋_GB2312"/>
                <w:color w:val="000000"/>
              </w:rPr>
              <w:t>本市范围内保洁服务获得领导正面批示的：瑞安市委、市政府主要领导批示的加10分，温州市委、市政府或省厅领导批示的加15分，省委、省政府或中央部委领导批示的加20分，正部级以上领导批示的定为当次考核第一名，以批示时间点计入当次考核评分。</w:t>
            </w:r>
          </w:p>
        </w:tc>
        <w:tc>
          <w:tcPr>
            <w:tcW w:w="72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r>
              <w:rPr>
                <w:rFonts w:ascii="仿宋_GB2312" w:hAnsi="仿宋_GB2312"/>
                <w:color w:val="000000"/>
              </w:rPr>
              <w:t>100</w:t>
            </w:r>
          </w:p>
        </w:tc>
        <w:tc>
          <w:tcPr>
            <w:tcW w:w="54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c>
          <w:tcPr>
            <w:tcW w:w="1254" w:type="dxa"/>
            <w:tcBorders>
              <w:top w:val="single" w:color="auto" w:sz="6" w:space="0"/>
              <w:left w:val="single" w:color="auto" w:sz="6" w:space="0"/>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r>
      <w:tr>
        <w:tblPrEx>
          <w:tblCellMar>
            <w:top w:w="0" w:type="dxa"/>
            <w:left w:w="108" w:type="dxa"/>
            <w:bottom w:w="0" w:type="dxa"/>
            <w:right w:w="108" w:type="dxa"/>
          </w:tblCellMar>
        </w:tblPrEx>
        <w:trPr>
          <w:trHeight w:val="309" w:hRule="atLeast"/>
        </w:trPr>
        <w:tc>
          <w:tcPr>
            <w:tcW w:w="11628" w:type="dxa"/>
            <w:gridSpan w:val="2"/>
            <w:tcBorders>
              <w:top w:val="single" w:color="auto" w:sz="6" w:space="0"/>
              <w:left w:val="single" w:color="auto" w:sz="6" w:space="0"/>
              <w:bottom w:val="single" w:color="auto" w:sz="4" w:space="0"/>
              <w:right w:val="single" w:color="auto" w:sz="6" w:space="0"/>
            </w:tcBorders>
            <w:noWrap w:val="0"/>
            <w:vAlign w:val="center"/>
          </w:tcPr>
          <w:p>
            <w:pPr>
              <w:spacing w:line="280" w:lineRule="exact"/>
              <w:jc w:val="center"/>
              <w:rPr>
                <w:rFonts w:ascii="仿宋_GB2312" w:hAnsi="仿宋_GB2312"/>
                <w:color w:val="000000"/>
              </w:rPr>
            </w:pPr>
            <w:r>
              <w:rPr>
                <w:rFonts w:ascii="仿宋_GB2312" w:hAnsi="仿宋_GB2312"/>
                <w:color w:val="000000"/>
              </w:rPr>
              <w:t>合计得分</w:t>
            </w:r>
          </w:p>
        </w:tc>
        <w:tc>
          <w:tcPr>
            <w:tcW w:w="72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r>
              <w:rPr>
                <w:rFonts w:ascii="仿宋_GB2312" w:hAnsi="仿宋_GB2312"/>
                <w:color w:val="000000"/>
              </w:rPr>
              <w:t>100</w:t>
            </w:r>
          </w:p>
        </w:tc>
        <w:tc>
          <w:tcPr>
            <w:tcW w:w="540" w:type="dxa"/>
            <w:tcBorders>
              <w:top w:val="single" w:color="auto" w:sz="6" w:space="0"/>
              <w:left w:val="nil"/>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c>
          <w:tcPr>
            <w:tcW w:w="1254" w:type="dxa"/>
            <w:tcBorders>
              <w:top w:val="single" w:color="auto" w:sz="6" w:space="0"/>
              <w:left w:val="single" w:color="auto" w:sz="6" w:space="0"/>
              <w:bottom w:val="single" w:color="auto" w:sz="6" w:space="0"/>
              <w:right w:val="single" w:color="auto" w:sz="4" w:space="0"/>
            </w:tcBorders>
            <w:noWrap w:val="0"/>
            <w:vAlign w:val="center"/>
          </w:tcPr>
          <w:p>
            <w:pPr>
              <w:spacing w:line="280" w:lineRule="exact"/>
              <w:ind w:left="-105" w:leftChars="-50" w:right="-105" w:rightChars="-50"/>
              <w:jc w:val="center"/>
              <w:rPr>
                <w:rFonts w:ascii="仿宋_GB2312" w:hAnsi="仿宋_GB2312"/>
                <w:color w:val="000000"/>
              </w:rPr>
            </w:pPr>
          </w:p>
        </w:tc>
      </w:tr>
    </w:tbl>
    <w:p>
      <w:pPr>
        <w:adjustRightInd w:val="0"/>
        <w:snapToGrid w:val="0"/>
        <w:rPr>
          <w:rFonts w:ascii="仿宋_GB2312" w:hAnsi="仿宋_GB2312"/>
          <w:color w:val="000000"/>
          <w:sz w:val="24"/>
          <w:szCs w:val="24"/>
        </w:rPr>
      </w:pPr>
      <w:r>
        <w:rPr>
          <w:rFonts w:ascii="仿宋_GB2312" w:hAnsi="仿宋_GB2312"/>
          <w:color w:val="000000"/>
          <w:sz w:val="24"/>
          <w:szCs w:val="24"/>
        </w:rPr>
        <w:t>考核人：                                              日期：</w:t>
      </w:r>
    </w:p>
    <w:p>
      <w:pPr>
        <w:rPr>
          <w:rFonts w:hint="eastAsia" w:ascii="仿宋" w:hAnsi="仿宋" w:eastAsia="仿宋" w:cs="宋体"/>
          <w:sz w:val="32"/>
          <w:szCs w:val="32"/>
        </w:rPr>
        <w:sectPr>
          <w:pgSz w:w="16838" w:h="11906" w:orient="landscape"/>
          <w:pgMar w:top="2098" w:right="1474" w:bottom="1984" w:left="1418" w:header="720" w:footer="720" w:gutter="0"/>
          <w:cols w:space="720" w:num="1"/>
          <w:docGrid w:type="lines" w:linePitch="312" w:charSpace="0"/>
        </w:sectPr>
      </w:pPr>
      <w:r>
        <w:rPr>
          <w:rFonts w:ascii="仿宋_GB2312" w:hAnsi="仿宋_GB2312"/>
          <w:color w:val="000000"/>
        </w:rPr>
        <w:t>注：同一整改点和表彰事迹被不同主体通报的，按照最高标准一次性扣（加）分；考核对象收到整改通知后，未在限期内完成整改的加倍扣分。加分奖励须经瑞安市综合行政执法局核实</w:t>
      </w:r>
    </w:p>
    <w:p>
      <w:pPr>
        <w:pStyle w:val="3"/>
        <w:keepNext w:val="0"/>
        <w:keepLines w:val="0"/>
        <w:pageBreakBefore/>
        <w:spacing w:before="240" w:beforeLines="100" w:after="240" w:afterLines="100" w:line="400" w:lineRule="atLeast"/>
        <w:jc w:val="center"/>
        <w:rPr>
          <w:rFonts w:hint="eastAsia" w:hAnsi="宋体"/>
          <w:sz w:val="28"/>
          <w:szCs w:val="36"/>
        </w:rPr>
      </w:pPr>
      <w:bookmarkStart w:id="354" w:name="_Toc64913371"/>
      <w:r>
        <w:rPr>
          <w:rFonts w:hint="eastAsia" w:hAnsi="宋体"/>
          <w:sz w:val="28"/>
          <w:szCs w:val="36"/>
        </w:rPr>
        <w:t>第五部分   政府采购政策功能相关说明</w:t>
      </w:r>
      <w:bookmarkEnd w:id="354"/>
    </w:p>
    <w:p>
      <w:pPr>
        <w:rPr>
          <w:rFonts w:ascii="宋体" w:hAnsi="宋体"/>
          <w:b/>
          <w:szCs w:val="21"/>
        </w:rPr>
      </w:pPr>
      <w:r>
        <w:rPr>
          <w:rFonts w:hint="eastAsia" w:ascii="宋体" w:hAnsi="宋体"/>
          <w:b/>
          <w:szCs w:val="21"/>
        </w:rPr>
        <w:t>一、小、微企业（含监狱企业、残疾人福利性单位）扶持政策说明</w:t>
      </w:r>
    </w:p>
    <w:p>
      <w:pPr>
        <w:spacing w:line="440" w:lineRule="atLeast"/>
        <w:rPr>
          <w:rFonts w:ascii="宋体" w:hAnsi="宋体"/>
          <w:b/>
          <w:szCs w:val="21"/>
        </w:rPr>
      </w:pPr>
      <w:r>
        <w:rPr>
          <w:rFonts w:hint="eastAsia" w:ascii="宋体" w:hAnsi="宋体"/>
          <w:b/>
          <w:szCs w:val="21"/>
        </w:rPr>
        <w:t>1、文件依据</w:t>
      </w:r>
    </w:p>
    <w:p>
      <w:pPr>
        <w:spacing w:line="440" w:lineRule="atLeast"/>
        <w:rPr>
          <w:rFonts w:ascii="宋体" w:hAnsi="宋体"/>
          <w:bCs/>
          <w:szCs w:val="21"/>
        </w:rPr>
      </w:pPr>
      <w:r>
        <w:rPr>
          <w:rFonts w:hint="eastAsia" w:ascii="宋体" w:hAnsi="宋体"/>
          <w:bCs/>
          <w:szCs w:val="21"/>
        </w:rPr>
        <w:t>（1）关于印发《政府采购促进中小企业发展管理办法》的通知（财库〔2020〕46号）</w:t>
      </w:r>
    </w:p>
    <w:p>
      <w:pPr>
        <w:spacing w:line="440" w:lineRule="atLeast"/>
        <w:rPr>
          <w:rFonts w:ascii="宋体" w:hAnsi="宋体"/>
          <w:bCs/>
          <w:szCs w:val="21"/>
        </w:rPr>
      </w:pPr>
      <w:r>
        <w:rPr>
          <w:rFonts w:hint="eastAsia" w:ascii="宋体" w:hAnsi="宋体"/>
          <w:bCs/>
          <w:szCs w:val="21"/>
        </w:rPr>
        <w:t>（2）浙江省省财政厅《关于开展政府采购供应商网上注册登记和诚信管理工作的通知》（浙财采监〔2010〕8号)</w:t>
      </w:r>
    </w:p>
    <w:p>
      <w:pPr>
        <w:spacing w:line="440" w:lineRule="atLeast"/>
        <w:rPr>
          <w:rFonts w:ascii="宋体" w:hAnsi="宋体"/>
          <w:bCs/>
          <w:szCs w:val="21"/>
        </w:rPr>
      </w:pPr>
      <w:r>
        <w:rPr>
          <w:rFonts w:hint="eastAsia" w:ascii="宋体" w:hAnsi="宋体"/>
          <w:bCs/>
          <w:szCs w:val="21"/>
        </w:rPr>
        <w:t>（</w:t>
      </w:r>
      <w:r>
        <w:rPr>
          <w:rFonts w:ascii="宋体" w:hAnsi="宋体"/>
          <w:bCs/>
          <w:szCs w:val="21"/>
        </w:rPr>
        <w:t>3</w:t>
      </w:r>
      <w:r>
        <w:rPr>
          <w:rFonts w:hint="eastAsia" w:ascii="宋体" w:hAnsi="宋体"/>
          <w:bCs/>
          <w:szCs w:val="21"/>
        </w:rPr>
        <w:t>）《工业和信息化部、国家统计局、国家发展和改革委员会、财政部关于印发中小企业划型标准规定的通知》（</w:t>
      </w:r>
      <w:r>
        <w:rPr>
          <w:rFonts w:ascii="宋体" w:hAnsi="宋体"/>
          <w:bCs/>
          <w:szCs w:val="21"/>
        </w:rPr>
        <w:t>工信部联企业[2011]300号</w:t>
      </w:r>
      <w:r>
        <w:rPr>
          <w:rFonts w:hint="eastAsia" w:ascii="宋体" w:hAnsi="宋体"/>
          <w:bCs/>
          <w:szCs w:val="21"/>
        </w:rPr>
        <w:t>）</w:t>
      </w:r>
    </w:p>
    <w:p>
      <w:pPr>
        <w:spacing w:line="440" w:lineRule="atLeast"/>
        <w:rPr>
          <w:rFonts w:ascii="宋体" w:hAnsi="宋体"/>
          <w:bCs/>
          <w:szCs w:val="21"/>
        </w:rPr>
      </w:pPr>
      <w:r>
        <w:rPr>
          <w:rFonts w:hint="eastAsia" w:ascii="宋体" w:hAnsi="宋体"/>
          <w:bCs/>
          <w:szCs w:val="21"/>
        </w:rPr>
        <w:t>（</w:t>
      </w:r>
      <w:r>
        <w:rPr>
          <w:rFonts w:ascii="宋体" w:hAnsi="宋体"/>
          <w:bCs/>
          <w:szCs w:val="21"/>
        </w:rPr>
        <w:t>4</w:t>
      </w:r>
      <w:r>
        <w:rPr>
          <w:rFonts w:hint="eastAsia" w:ascii="宋体" w:hAnsi="宋体"/>
          <w:bCs/>
          <w:szCs w:val="21"/>
        </w:rPr>
        <w:t>）财政部、司法部《关于政府采购支持监狱企业发展有关问题的通知》（财库〔2014〕68号）</w:t>
      </w:r>
    </w:p>
    <w:p>
      <w:pPr>
        <w:spacing w:line="440" w:lineRule="atLeast"/>
        <w:rPr>
          <w:rFonts w:ascii="宋体" w:hAnsi="宋体"/>
          <w:bCs/>
          <w:szCs w:val="21"/>
        </w:rPr>
      </w:pPr>
      <w:r>
        <w:rPr>
          <w:rFonts w:hint="eastAsia" w:ascii="宋体" w:hAnsi="宋体"/>
          <w:bCs/>
          <w:szCs w:val="21"/>
        </w:rPr>
        <w:t>（</w:t>
      </w:r>
      <w:r>
        <w:rPr>
          <w:rFonts w:ascii="宋体" w:hAnsi="宋体"/>
          <w:bCs/>
          <w:szCs w:val="21"/>
        </w:rPr>
        <w:t>5</w:t>
      </w:r>
      <w:r>
        <w:rPr>
          <w:rFonts w:hint="eastAsia" w:ascii="宋体" w:hAnsi="宋体"/>
          <w:bCs/>
          <w:szCs w:val="21"/>
        </w:rPr>
        <w:t>）《财政部 民政部 中国残疾人联合会关于促进残疾人就业政府采购政策的通知》（财库〔2017〕 141号）</w:t>
      </w:r>
    </w:p>
    <w:p>
      <w:pPr>
        <w:spacing w:line="440" w:lineRule="atLeast"/>
        <w:rPr>
          <w:rFonts w:hint="eastAsia" w:ascii="宋体" w:hAnsi="宋体"/>
          <w:bCs/>
          <w:szCs w:val="21"/>
        </w:rPr>
      </w:pPr>
      <w:r>
        <w:rPr>
          <w:rFonts w:hint="eastAsia" w:ascii="宋体" w:hAnsi="宋体"/>
          <w:bCs/>
          <w:szCs w:val="21"/>
        </w:rPr>
        <w:t>（6）其他法律法规，如有新的标准应采纳新标准</w:t>
      </w:r>
    </w:p>
    <w:p>
      <w:pPr>
        <w:spacing w:line="440" w:lineRule="atLeast"/>
        <w:rPr>
          <w:rFonts w:ascii="宋体" w:hAnsi="宋体"/>
          <w:b/>
          <w:szCs w:val="21"/>
        </w:rPr>
      </w:pPr>
      <w:r>
        <w:rPr>
          <w:rFonts w:hint="eastAsia" w:ascii="宋体" w:hAnsi="宋体"/>
          <w:b/>
          <w:szCs w:val="21"/>
        </w:rPr>
        <w:t>2、</w:t>
      </w:r>
      <w:bookmarkStart w:id="355" w:name="_Hlk63077235"/>
      <w:r>
        <w:rPr>
          <w:rFonts w:hint="eastAsia" w:ascii="宋体" w:hAnsi="宋体"/>
          <w:b/>
          <w:bCs/>
          <w:color w:val="000000"/>
          <w:szCs w:val="21"/>
        </w:rPr>
        <w:t>在政府采购活动中，供应商提供的货物、工程或者服务符合下列情形的，享受《政府采购促进中小企业发展管理办法》规定的中小企业扶持政策：</w:t>
      </w:r>
    </w:p>
    <w:p>
      <w:pPr>
        <w:spacing w:line="440" w:lineRule="atLeast"/>
        <w:rPr>
          <w:rFonts w:hint="eastAsia" w:ascii="宋体" w:hAnsi="宋体"/>
          <w:szCs w:val="21"/>
        </w:rPr>
      </w:pPr>
      <w:r>
        <w:rPr>
          <w:rFonts w:hint="eastAsia" w:ascii="宋体" w:hAnsi="宋体"/>
          <w:szCs w:val="21"/>
        </w:rPr>
        <w:t>（1）在货物采购项目中，货物由中小企业制造，即货物由中小企业生产且使用该中小企业商号或者注册商标；</w:t>
      </w:r>
    </w:p>
    <w:p>
      <w:pPr>
        <w:spacing w:line="440" w:lineRule="atLeast"/>
        <w:rPr>
          <w:rFonts w:hint="eastAsia" w:ascii="宋体" w:hAnsi="宋体"/>
          <w:szCs w:val="21"/>
        </w:rPr>
      </w:pPr>
      <w:r>
        <w:rPr>
          <w:rFonts w:hint="eastAsia" w:ascii="宋体" w:hAnsi="宋体"/>
          <w:szCs w:val="21"/>
        </w:rPr>
        <w:t>（2）在工程采购项目中，工程由中小企业承建，即工程施工单位为中小企业；</w:t>
      </w:r>
    </w:p>
    <w:p>
      <w:pPr>
        <w:spacing w:line="440" w:lineRule="atLeast"/>
        <w:rPr>
          <w:rFonts w:hint="eastAsia" w:ascii="宋体" w:hAnsi="宋体"/>
          <w:szCs w:val="21"/>
        </w:rPr>
      </w:pPr>
      <w:r>
        <w:rPr>
          <w:rFonts w:hint="eastAsia" w:ascii="宋体" w:hAnsi="宋体"/>
          <w:szCs w:val="21"/>
        </w:rPr>
        <w:t>（3）在服务采购项目中，服务由中小企业承接，即提供服务的人员为中小企业依照《中华人民共和国劳动合同法》订立劳动合同的从业人员。</w:t>
      </w:r>
    </w:p>
    <w:p>
      <w:pPr>
        <w:spacing w:line="440" w:lineRule="atLeast"/>
        <w:ind w:firstLine="420" w:firstLineChars="200"/>
        <w:rPr>
          <w:rFonts w:hint="eastAsia" w:ascii="宋体" w:hAnsi="宋体"/>
          <w:szCs w:val="21"/>
        </w:rPr>
      </w:pPr>
      <w:r>
        <w:rPr>
          <w:rFonts w:hint="eastAsia" w:ascii="宋体" w:hAnsi="宋体"/>
          <w:szCs w:val="21"/>
        </w:rPr>
        <w:t>在货物采购项目中，供应商提供的货物既有中小企业制造货物，也有大型企业制造货物的，不享受本办法规定的中小企业扶持政策。</w:t>
      </w:r>
    </w:p>
    <w:p>
      <w:pPr>
        <w:spacing w:line="440" w:lineRule="atLeast"/>
        <w:ind w:firstLine="420" w:firstLineChars="200"/>
        <w:rPr>
          <w:rFonts w:ascii="宋体" w:hAnsi="宋体"/>
          <w:szCs w:val="21"/>
        </w:rPr>
      </w:pPr>
      <w:r>
        <w:rPr>
          <w:rFonts w:hint="eastAsia" w:ascii="宋体" w:hAnsi="宋体"/>
          <w:szCs w:val="21"/>
        </w:rPr>
        <w:t>以联合体形式参加政府采购活动，联合体各方均为中小企业的，联合体视同中小企业。其中，联合体各方均为小微企业的，联合体视同小微企业。</w:t>
      </w:r>
    </w:p>
    <w:bookmarkEnd w:id="355"/>
    <w:p>
      <w:pPr>
        <w:spacing w:line="440" w:lineRule="atLeast"/>
        <w:rPr>
          <w:rFonts w:ascii="宋体" w:hAnsi="宋体"/>
          <w:b/>
          <w:szCs w:val="21"/>
        </w:rPr>
      </w:pPr>
      <w:r>
        <w:rPr>
          <w:rFonts w:hint="eastAsia" w:ascii="宋体" w:hAnsi="宋体"/>
          <w:b/>
          <w:szCs w:val="21"/>
          <w:u w:val="single"/>
        </w:rPr>
        <w:t>3、享受小微企业价格6%的折扣应提供以下证明材料</w:t>
      </w:r>
      <w:r>
        <w:rPr>
          <w:rFonts w:hint="eastAsia" w:ascii="宋体" w:hAnsi="宋体"/>
          <w:b/>
          <w:szCs w:val="21"/>
        </w:rPr>
        <w:t>：</w:t>
      </w:r>
    </w:p>
    <w:p>
      <w:pPr>
        <w:spacing w:line="440" w:lineRule="atLeast"/>
        <w:rPr>
          <w:rFonts w:ascii="宋体" w:hAnsi="宋体"/>
          <w:b/>
          <w:szCs w:val="21"/>
        </w:rPr>
      </w:pPr>
      <w:r>
        <w:rPr>
          <w:rFonts w:hint="eastAsia" w:ascii="宋体" w:hAnsi="宋体"/>
          <w:b/>
          <w:szCs w:val="21"/>
        </w:rPr>
        <w:t>《中小企业声明函》（加盖供应商公章，格式见附件1）</w:t>
      </w:r>
    </w:p>
    <w:p>
      <w:pPr>
        <w:spacing w:line="440" w:lineRule="atLeast"/>
        <w:rPr>
          <w:rFonts w:hint="eastAsia" w:ascii="宋体" w:hAnsi="宋体"/>
          <w:b/>
          <w:szCs w:val="21"/>
        </w:rPr>
      </w:pPr>
      <w:r>
        <w:rPr>
          <w:rFonts w:hint="eastAsia" w:ascii="宋体" w:hAnsi="宋体"/>
          <w:b/>
          <w:szCs w:val="21"/>
        </w:rPr>
        <w:t>4、</w:t>
      </w:r>
      <w:r>
        <w:rPr>
          <w:rFonts w:hint="eastAsia" w:ascii="宋体" w:hAnsi="宋体"/>
          <w:b/>
          <w:szCs w:val="21"/>
          <w:u w:val="single"/>
        </w:rPr>
        <w:t>享受监狱企业价格6%的折扣应提供以下证明材料（放置在投标文件中，不提供的不享受价格折扣）</w:t>
      </w:r>
      <w:r>
        <w:rPr>
          <w:rFonts w:hint="eastAsia" w:ascii="宋体" w:hAnsi="宋体"/>
          <w:b/>
          <w:szCs w:val="21"/>
        </w:rPr>
        <w:t>：</w:t>
      </w:r>
    </w:p>
    <w:p>
      <w:pPr>
        <w:spacing w:line="440" w:lineRule="atLeast"/>
        <w:rPr>
          <w:rFonts w:ascii="宋体" w:hAnsi="宋体"/>
          <w:b/>
          <w:szCs w:val="21"/>
        </w:rPr>
      </w:pPr>
      <w:r>
        <w:rPr>
          <w:rFonts w:hint="eastAsia" w:ascii="宋体" w:hAnsi="宋体"/>
          <w:b/>
          <w:szCs w:val="21"/>
        </w:rPr>
        <w:t>（</w:t>
      </w:r>
      <w:r>
        <w:rPr>
          <w:rFonts w:ascii="宋体" w:hAnsi="宋体"/>
          <w:b/>
          <w:szCs w:val="21"/>
        </w:rPr>
        <w:t>1</w:t>
      </w:r>
      <w:r>
        <w:rPr>
          <w:rFonts w:hint="eastAsia" w:ascii="宋体" w:hAnsi="宋体"/>
          <w:b/>
          <w:szCs w:val="21"/>
        </w:rPr>
        <w:t>）</w:t>
      </w:r>
      <w:r>
        <w:rPr>
          <w:rFonts w:ascii="宋体" w:hAnsi="宋体"/>
          <w:b/>
          <w:szCs w:val="21"/>
        </w:rPr>
        <w:t>监狱企业参加政府采购活动时，应当提供由省级以上监狱管理局、戒毒管理局(含新疆生产建设兵团)出具的属于监狱企业的证明文件。在政府采购活动中，监狱企业视同小型、微型企业，享受评审中价格扣除政策</w:t>
      </w:r>
      <w:r>
        <w:rPr>
          <w:rFonts w:hint="eastAsia" w:ascii="宋体" w:hAnsi="宋体"/>
          <w:b/>
          <w:szCs w:val="21"/>
        </w:rPr>
        <w:t>。</w:t>
      </w:r>
    </w:p>
    <w:p>
      <w:pPr>
        <w:spacing w:line="440" w:lineRule="atLeast"/>
        <w:rPr>
          <w:rFonts w:hint="eastAsia" w:ascii="宋体" w:hAnsi="宋体"/>
          <w:b/>
          <w:szCs w:val="21"/>
        </w:rPr>
      </w:pPr>
      <w:r>
        <w:rPr>
          <w:rFonts w:ascii="宋体" w:hAnsi="宋体"/>
          <w:b/>
          <w:szCs w:val="21"/>
        </w:rPr>
        <w:t>5</w:t>
      </w:r>
      <w:r>
        <w:rPr>
          <w:rFonts w:hint="eastAsia" w:ascii="宋体" w:hAnsi="宋体"/>
          <w:b/>
          <w:szCs w:val="21"/>
        </w:rPr>
        <w:t>、</w:t>
      </w:r>
      <w:r>
        <w:rPr>
          <w:rFonts w:hint="eastAsia" w:ascii="宋体" w:hAnsi="宋体"/>
          <w:b/>
          <w:szCs w:val="21"/>
          <w:u w:val="single"/>
        </w:rPr>
        <w:t>享受残疾人福利性单位价格6%的折扣应提供以下证明材料（放置在投标文件中，不提供的不享受价格折扣）</w:t>
      </w:r>
      <w:r>
        <w:rPr>
          <w:rFonts w:hint="eastAsia" w:ascii="宋体" w:hAnsi="宋体"/>
          <w:b/>
          <w:szCs w:val="21"/>
        </w:rPr>
        <w:t>：</w:t>
      </w:r>
    </w:p>
    <w:p>
      <w:pPr>
        <w:spacing w:line="440" w:lineRule="atLeast"/>
        <w:rPr>
          <w:rFonts w:hint="eastAsia" w:ascii="宋体" w:hAnsi="宋体"/>
          <w:b/>
          <w:szCs w:val="21"/>
        </w:rPr>
      </w:pPr>
      <w:r>
        <w:rPr>
          <w:rFonts w:hint="eastAsia" w:ascii="宋体" w:hAnsi="宋体"/>
          <w:b/>
          <w:szCs w:val="21"/>
        </w:rPr>
        <w:t>（</w:t>
      </w:r>
      <w:r>
        <w:rPr>
          <w:rFonts w:ascii="宋体" w:hAnsi="宋体"/>
          <w:b/>
          <w:szCs w:val="21"/>
        </w:rPr>
        <w:t>1</w:t>
      </w:r>
      <w:r>
        <w:rPr>
          <w:rFonts w:hint="eastAsia" w:ascii="宋体" w:hAnsi="宋体"/>
          <w:b/>
          <w:szCs w:val="21"/>
        </w:rPr>
        <w:t>）残疾人福利性单位声明函；</w:t>
      </w:r>
    </w:p>
    <w:p>
      <w:pPr>
        <w:spacing w:line="440" w:lineRule="atLeast"/>
        <w:rPr>
          <w:rFonts w:ascii="宋体" w:hAnsi="宋体"/>
          <w:b/>
          <w:szCs w:val="21"/>
        </w:rPr>
      </w:pPr>
      <w:r>
        <w:rPr>
          <w:rFonts w:ascii="宋体" w:hAnsi="宋体"/>
          <w:b/>
          <w:szCs w:val="21"/>
        </w:rPr>
        <w:t>6</w:t>
      </w:r>
      <w:r>
        <w:rPr>
          <w:rFonts w:hint="eastAsia" w:ascii="宋体" w:hAnsi="宋体"/>
          <w:b/>
          <w:szCs w:val="21"/>
        </w:rPr>
        <w:t>、非单一产品采购，无法核实（按投标文件资料）全部货物均为小微企业（含监狱企业、残疾人福利性单位）制造；或小微企业（含监狱企业、残疾人福利性单位）提供其他制造商制造的货物且无法核实（按投标文件资料）制造商是否为小微企业（含监狱企业、残疾人福利性单位）的，不享受价格折扣。</w:t>
      </w:r>
    </w:p>
    <w:p>
      <w:pPr>
        <w:pStyle w:val="4"/>
        <w:rPr>
          <w:rFonts w:ascii="宋体" w:hAnsi="宋体"/>
          <w:kern w:val="2"/>
          <w:szCs w:val="21"/>
        </w:rPr>
      </w:pPr>
    </w:p>
    <w:p>
      <w:pPr>
        <w:pStyle w:val="4"/>
        <w:rPr>
          <w:rFonts w:ascii="宋体" w:hAnsi="宋体"/>
          <w:kern w:val="2"/>
          <w:szCs w:val="21"/>
        </w:rPr>
      </w:pPr>
    </w:p>
    <w:p>
      <w:pPr>
        <w:pStyle w:val="4"/>
        <w:rPr>
          <w:rFonts w:ascii="宋体" w:hAnsi="宋体"/>
          <w:kern w:val="2"/>
          <w:szCs w:val="21"/>
        </w:rPr>
      </w:pPr>
    </w:p>
    <w:p>
      <w:pPr>
        <w:pStyle w:val="4"/>
        <w:rPr>
          <w:rFonts w:ascii="宋体" w:hAnsi="宋体"/>
          <w:kern w:val="2"/>
          <w:szCs w:val="21"/>
        </w:rPr>
      </w:pPr>
    </w:p>
    <w:p>
      <w:pPr>
        <w:pStyle w:val="4"/>
        <w:ind w:firstLine="0"/>
        <w:rPr>
          <w:rFonts w:hint="eastAsia" w:ascii="宋体" w:hAnsi="宋体"/>
          <w:kern w:val="2"/>
          <w:szCs w:val="21"/>
        </w:rPr>
      </w:pPr>
    </w:p>
    <w:p>
      <w:pPr>
        <w:spacing w:line="440" w:lineRule="atLeast"/>
        <w:rPr>
          <w:rFonts w:ascii="宋体" w:hAnsi="宋体"/>
          <w:b/>
          <w:szCs w:val="21"/>
        </w:rPr>
      </w:pPr>
      <w:r>
        <w:rPr>
          <w:rFonts w:hint="eastAsia" w:ascii="宋体" w:hAnsi="宋体" w:cs="宋体"/>
          <w:b/>
          <w:szCs w:val="21"/>
        </w:rPr>
        <w:t>附</w:t>
      </w:r>
      <w:r>
        <w:rPr>
          <w:rFonts w:hint="eastAsia" w:ascii="宋体" w:hAnsi="宋体"/>
          <w:b/>
          <w:szCs w:val="21"/>
        </w:rPr>
        <w:t>件1：</w:t>
      </w:r>
    </w:p>
    <w:p>
      <w:pPr>
        <w:spacing w:line="440" w:lineRule="exact"/>
        <w:jc w:val="center"/>
        <w:rPr>
          <w:rFonts w:ascii="宋体" w:hAnsi="宋体"/>
          <w:bCs/>
          <w:szCs w:val="21"/>
        </w:rPr>
      </w:pPr>
      <w:bookmarkStart w:id="356" w:name="_Hlk63077263"/>
      <w:r>
        <w:rPr>
          <w:rFonts w:hint="eastAsia" w:ascii="宋体" w:hAnsi="宋体"/>
          <w:bCs/>
          <w:szCs w:val="21"/>
        </w:rPr>
        <w:t>中小企业声明函</w:t>
      </w:r>
    </w:p>
    <w:p>
      <w:pPr>
        <w:spacing w:line="440" w:lineRule="exact"/>
        <w:ind w:firstLine="420" w:firstLineChars="200"/>
        <w:rPr>
          <w:rFonts w:ascii="宋体" w:hAnsi="宋体"/>
          <w:bCs/>
          <w:szCs w:val="21"/>
        </w:rPr>
      </w:pPr>
      <w:r>
        <w:rPr>
          <w:rFonts w:hint="eastAsia" w:ascii="宋体" w:hAnsi="宋体"/>
          <w:bCs/>
          <w:szCs w:val="21"/>
        </w:rPr>
        <w:t>本公司（联合体）郑重声明，根据《政府采购促进中小企业发展管理办法》（财库﹝2020﹞46 号）的规定，本公司（联合体）参加（单位名称）的（项目名称）采购活动，服务全部由符合政策要求的中小企业承接。相关企业（含联合体中的中小企业、签订分包意向协议的中小企业）的具体情况如下：</w:t>
      </w:r>
    </w:p>
    <w:p>
      <w:pPr>
        <w:spacing w:line="440" w:lineRule="exact"/>
        <w:ind w:firstLine="740"/>
        <w:rPr>
          <w:rFonts w:ascii="宋体" w:hAnsi="宋体"/>
          <w:bCs/>
          <w:szCs w:val="21"/>
        </w:rPr>
      </w:pPr>
      <w:r>
        <w:rPr>
          <w:rFonts w:hint="eastAsia" w:ascii="宋体" w:hAnsi="宋体"/>
          <w:bCs/>
          <w:szCs w:val="21"/>
        </w:rPr>
        <w:t xml:space="preserve">1. </w:t>
      </w:r>
      <w:r>
        <w:rPr>
          <w:rFonts w:hint="eastAsia" w:ascii="宋体" w:hAnsi="宋体"/>
          <w:bCs/>
          <w:szCs w:val="21"/>
          <w:u w:val="single"/>
        </w:rPr>
        <w:t xml:space="preserve">（标的名称） </w:t>
      </w:r>
      <w:r>
        <w:rPr>
          <w:rFonts w:hint="eastAsia" w:ascii="宋体" w:hAnsi="宋体"/>
          <w:bCs/>
          <w:szCs w:val="21"/>
        </w:rPr>
        <w:t>，属于</w:t>
      </w:r>
      <w:r>
        <w:rPr>
          <w:rFonts w:hint="eastAsia" w:ascii="宋体" w:hAnsi="宋体"/>
          <w:bCs/>
          <w:szCs w:val="21"/>
          <w:u w:val="single"/>
        </w:rPr>
        <w:t>（采购文件中明确的所属行业）</w:t>
      </w:r>
      <w:r>
        <w:rPr>
          <w:rFonts w:hint="eastAsia" w:ascii="宋体" w:hAnsi="宋体"/>
          <w:bCs/>
          <w:szCs w:val="21"/>
        </w:rPr>
        <w:t>；承接企业为</w:t>
      </w:r>
      <w:r>
        <w:rPr>
          <w:rFonts w:hint="eastAsia" w:ascii="宋体" w:hAnsi="宋体"/>
          <w:bCs/>
          <w:szCs w:val="21"/>
          <w:u w:val="single"/>
        </w:rPr>
        <w:t>（企业名称）</w:t>
      </w:r>
      <w:r>
        <w:rPr>
          <w:rFonts w:hint="eastAsia" w:ascii="宋体" w:hAnsi="宋体"/>
          <w:bCs/>
          <w:szCs w:val="21"/>
        </w:rPr>
        <w:t>，从业人员</w:t>
      </w:r>
      <w:r>
        <w:rPr>
          <w:rFonts w:hint="eastAsia" w:ascii="宋体" w:hAnsi="宋体"/>
          <w:bCs/>
          <w:szCs w:val="21"/>
          <w:u w:val="single"/>
        </w:rPr>
        <w:t xml:space="preserve">       </w:t>
      </w:r>
      <w:r>
        <w:rPr>
          <w:rFonts w:hint="eastAsia" w:ascii="宋体" w:hAnsi="宋体"/>
          <w:bCs/>
          <w:szCs w:val="21"/>
        </w:rPr>
        <w:t>人，营业收入为</w:t>
      </w:r>
      <w:r>
        <w:rPr>
          <w:rFonts w:hint="eastAsia" w:ascii="宋体" w:hAnsi="宋体"/>
          <w:bCs/>
          <w:szCs w:val="21"/>
          <w:u w:val="single"/>
        </w:rPr>
        <w:t xml:space="preserve">       </w:t>
      </w:r>
      <w:r>
        <w:rPr>
          <w:rFonts w:hint="eastAsia" w:ascii="宋体" w:hAnsi="宋体"/>
          <w:bCs/>
          <w:szCs w:val="21"/>
        </w:rPr>
        <w:t>万元，资产总额为</w:t>
      </w:r>
      <w:r>
        <w:rPr>
          <w:rFonts w:hint="eastAsia" w:ascii="宋体" w:hAnsi="宋体"/>
          <w:bCs/>
          <w:szCs w:val="21"/>
          <w:u w:val="single"/>
        </w:rPr>
        <w:t xml:space="preserve">       </w:t>
      </w:r>
      <w:r>
        <w:rPr>
          <w:rFonts w:hint="eastAsia" w:ascii="宋体" w:hAnsi="宋体"/>
          <w:bCs/>
          <w:szCs w:val="21"/>
        </w:rPr>
        <w:t>万元1，属于</w:t>
      </w:r>
      <w:r>
        <w:rPr>
          <w:rFonts w:hint="eastAsia" w:ascii="宋体" w:hAnsi="宋体"/>
          <w:bCs/>
          <w:szCs w:val="21"/>
          <w:u w:val="single"/>
        </w:rPr>
        <w:t>（中型企业、小型企业、微型企业）</w:t>
      </w:r>
      <w:r>
        <w:rPr>
          <w:rFonts w:hint="eastAsia" w:ascii="宋体" w:hAnsi="宋体"/>
          <w:bCs/>
          <w:szCs w:val="21"/>
        </w:rPr>
        <w:t>；</w:t>
      </w:r>
      <w:r>
        <w:rPr>
          <w:rFonts w:hint="eastAsia" w:ascii="宋体" w:hAnsi="宋体"/>
          <w:bCs/>
          <w:szCs w:val="21"/>
        </w:rPr>
        <w:br w:type="textWrapping"/>
      </w:r>
      <w:r>
        <w:rPr>
          <w:rFonts w:hint="eastAsia" w:ascii="宋体" w:hAnsi="宋体"/>
          <w:bCs/>
          <w:szCs w:val="21"/>
        </w:rPr>
        <w:t xml:space="preserve"> </w:t>
      </w:r>
      <w:r>
        <w:rPr>
          <w:rFonts w:ascii="宋体" w:hAnsi="宋体"/>
          <w:bCs/>
          <w:szCs w:val="21"/>
        </w:rPr>
        <w:t xml:space="preserve">      </w:t>
      </w:r>
      <w:r>
        <w:rPr>
          <w:rFonts w:hint="eastAsia" w:ascii="宋体" w:hAnsi="宋体"/>
          <w:bCs/>
          <w:szCs w:val="21"/>
        </w:rPr>
        <w:t>……。</w:t>
      </w:r>
      <w:r>
        <w:rPr>
          <w:rFonts w:hint="eastAsia" w:ascii="宋体" w:hAnsi="宋体"/>
          <w:bCs/>
          <w:szCs w:val="21"/>
        </w:rPr>
        <w:br w:type="textWrapping"/>
      </w:r>
      <w:r>
        <w:rPr>
          <w:rFonts w:hint="eastAsia" w:ascii="宋体" w:hAnsi="宋体"/>
          <w:bCs/>
          <w:szCs w:val="21"/>
        </w:rPr>
        <w:t>    以上企业，不属于大企业的分支机构，不存在控股股东为大企业的情形，也不存在与大企业的负责人为同一人的情形。</w:t>
      </w:r>
    </w:p>
    <w:p>
      <w:pPr>
        <w:spacing w:line="440" w:lineRule="exact"/>
        <w:ind w:firstLine="630" w:firstLineChars="300"/>
        <w:rPr>
          <w:rFonts w:ascii="宋体" w:hAnsi="宋体"/>
          <w:bCs/>
          <w:szCs w:val="21"/>
        </w:rPr>
      </w:pPr>
      <w:r>
        <w:rPr>
          <w:rFonts w:hint="eastAsia" w:ascii="宋体" w:hAnsi="宋体"/>
          <w:bCs/>
          <w:szCs w:val="21"/>
        </w:rPr>
        <w:t>本企业对上述声明内容的真实性负责。如有虚假，将依法承担相应责任。</w:t>
      </w:r>
    </w:p>
    <w:p>
      <w:pPr>
        <w:spacing w:line="440" w:lineRule="exact"/>
        <w:ind w:firstLine="5670" w:firstLineChars="2700"/>
        <w:rPr>
          <w:rFonts w:hint="eastAsia" w:ascii="宋体" w:hAnsi="宋体"/>
          <w:bCs/>
          <w:szCs w:val="21"/>
        </w:rPr>
      </w:pPr>
      <w:r>
        <w:rPr>
          <w:rFonts w:hint="eastAsia" w:ascii="宋体" w:hAnsi="宋体"/>
          <w:bCs/>
          <w:szCs w:val="21"/>
        </w:rPr>
        <w:t>企业名称（盖章）：</w:t>
      </w:r>
    </w:p>
    <w:p>
      <w:pPr>
        <w:spacing w:line="440" w:lineRule="exact"/>
        <w:ind w:firstLine="5670" w:firstLineChars="2700"/>
        <w:rPr>
          <w:rFonts w:hint="eastAsia" w:ascii="宋体" w:hAnsi="宋体"/>
          <w:bCs/>
          <w:szCs w:val="21"/>
        </w:rPr>
      </w:pPr>
      <w:r>
        <w:rPr>
          <w:rFonts w:hint="eastAsia" w:ascii="宋体" w:hAnsi="宋体"/>
          <w:bCs/>
          <w:szCs w:val="21"/>
        </w:rPr>
        <w:t>日期：</w:t>
      </w:r>
    </w:p>
    <w:p>
      <w:pPr>
        <w:spacing w:line="440" w:lineRule="exact"/>
        <w:rPr>
          <w:rFonts w:hint="eastAsia" w:ascii="宋体" w:hAnsi="宋体"/>
          <w:bCs/>
          <w:szCs w:val="21"/>
        </w:rPr>
      </w:pPr>
      <w:r>
        <w:rPr>
          <w:rFonts w:hint="eastAsia" w:ascii="宋体" w:hAnsi="宋体"/>
          <w:bCs/>
          <w:szCs w:val="21"/>
        </w:rPr>
        <w:t>说明：</w:t>
      </w:r>
    </w:p>
    <w:p>
      <w:pPr>
        <w:spacing w:line="440" w:lineRule="exact"/>
        <w:rPr>
          <w:rFonts w:hint="eastAsia" w:ascii="宋体" w:hAnsi="宋体"/>
          <w:bCs/>
          <w:szCs w:val="21"/>
        </w:rPr>
      </w:pPr>
      <w:r>
        <w:rPr>
          <w:rFonts w:hint="eastAsia" w:ascii="宋体" w:hAnsi="宋体"/>
          <w:bCs/>
          <w:szCs w:val="21"/>
        </w:rPr>
        <w:t>1从业人员、营业收入、资产总额填报上一年度数据，无上一年度数据的新成立企业可不填报。                　　　　　</w:t>
      </w:r>
    </w:p>
    <w:p>
      <w:pPr>
        <w:pStyle w:val="4"/>
        <w:spacing w:line="440" w:lineRule="exact"/>
        <w:ind w:firstLine="0"/>
        <w:rPr>
          <w:rFonts w:hint="eastAsia" w:ascii="宋体" w:hAnsi="宋体"/>
          <w:kern w:val="2"/>
          <w:szCs w:val="21"/>
        </w:rPr>
      </w:pPr>
      <w:r>
        <w:rPr>
          <w:rFonts w:hint="eastAsia" w:ascii="宋体" w:hAnsi="宋体"/>
          <w:bCs/>
          <w:szCs w:val="21"/>
        </w:rPr>
        <w:t>2、如中标，将在成交公告中将此中小企业声明函予以公示，接受社会监督。</w:t>
      </w:r>
      <w:bookmarkEnd w:id="356"/>
    </w:p>
    <w:p>
      <w:pPr>
        <w:spacing w:line="440" w:lineRule="atLeast"/>
        <w:rPr>
          <w:rFonts w:ascii="宋体" w:hAnsi="宋体"/>
          <w:b/>
          <w:szCs w:val="21"/>
        </w:rPr>
      </w:pPr>
    </w:p>
    <w:p>
      <w:pPr>
        <w:spacing w:line="440" w:lineRule="atLeast"/>
        <w:rPr>
          <w:rFonts w:ascii="宋体" w:hAnsi="宋体"/>
          <w:b/>
          <w:szCs w:val="21"/>
        </w:rPr>
      </w:pPr>
    </w:p>
    <w:p>
      <w:pPr>
        <w:spacing w:line="440" w:lineRule="atLeast"/>
        <w:rPr>
          <w:rFonts w:hint="eastAsia" w:ascii="宋体" w:hAnsi="宋体"/>
          <w:b/>
          <w:szCs w:val="21"/>
        </w:rPr>
      </w:pPr>
    </w:p>
    <w:p>
      <w:pPr>
        <w:spacing w:line="440" w:lineRule="atLeast"/>
        <w:rPr>
          <w:rFonts w:hint="eastAsia" w:ascii="宋体" w:hAnsi="宋体"/>
          <w:b/>
          <w:szCs w:val="21"/>
        </w:rPr>
      </w:pPr>
      <w:r>
        <w:rPr>
          <w:rFonts w:hint="eastAsia" w:ascii="宋体" w:hAnsi="宋体"/>
          <w:b/>
          <w:szCs w:val="21"/>
        </w:rPr>
        <w:t>附件</w:t>
      </w:r>
      <w:r>
        <w:rPr>
          <w:rFonts w:ascii="宋体" w:hAnsi="宋体"/>
          <w:b/>
          <w:szCs w:val="21"/>
        </w:rPr>
        <w:t>2</w:t>
      </w:r>
    </w:p>
    <w:p>
      <w:pPr>
        <w:spacing w:line="588" w:lineRule="exact"/>
        <w:jc w:val="center"/>
        <w:rPr>
          <w:rFonts w:hint="eastAsia" w:ascii="宋体" w:hAnsi="宋体"/>
          <w:b/>
          <w:spacing w:val="6"/>
          <w:szCs w:val="21"/>
        </w:rPr>
      </w:pPr>
      <w:bookmarkStart w:id="357" w:name="OLE_LINK14"/>
      <w:bookmarkStart w:id="358" w:name="OLE_LINK13"/>
      <w:r>
        <w:rPr>
          <w:rFonts w:hint="eastAsia" w:ascii="宋体" w:hAnsi="宋体"/>
          <w:spacing w:val="6"/>
          <w:szCs w:val="21"/>
        </w:rPr>
        <w:t>残疾人福利性单位声明函</w:t>
      </w:r>
      <w:bookmarkEnd w:id="357"/>
      <w:bookmarkEnd w:id="358"/>
    </w:p>
    <w:p>
      <w:pPr>
        <w:spacing w:line="588" w:lineRule="exact"/>
        <w:ind w:firstLine="444" w:firstLineChars="200"/>
        <w:rPr>
          <w:rFonts w:ascii="宋体" w:hAnsi="宋体"/>
          <w:spacing w:val="6"/>
          <w:szCs w:val="21"/>
        </w:rPr>
      </w:pPr>
      <w:r>
        <w:rPr>
          <w:rFonts w:hint="eastAsia" w:ascii="宋体" w:hAnsi="宋体"/>
          <w:spacing w:val="6"/>
          <w:szCs w:val="21"/>
        </w:rPr>
        <w:t>本单位郑重声明，根据《财政部 民政部 中国残疾人联合会关于促进残疾人就业政府采购政策的通知》（财库</w:t>
      </w:r>
      <w:r>
        <w:rPr>
          <w:rFonts w:hint="eastAsia" w:ascii="宋体" w:hAnsi="宋体"/>
          <w:szCs w:val="21"/>
        </w:rPr>
        <w:t>〔2017〕 141</w:t>
      </w:r>
      <w:r>
        <w:rPr>
          <w:rFonts w:hint="eastAsia" w:ascii="宋体" w:hAnsi="宋体"/>
          <w:spacing w:val="6"/>
          <w:szCs w:val="21"/>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444" w:firstLineChars="200"/>
        <w:rPr>
          <w:rFonts w:ascii="宋体" w:hAnsi="宋体"/>
          <w:spacing w:val="6"/>
          <w:szCs w:val="21"/>
        </w:rPr>
      </w:pPr>
      <w:r>
        <w:rPr>
          <w:rFonts w:hint="eastAsia" w:ascii="宋体" w:hAnsi="宋体"/>
          <w:spacing w:val="6"/>
          <w:szCs w:val="21"/>
        </w:rPr>
        <w:t>本单位对上述声明的真实性负责。如有虚假，将依法承担相应责任。</w:t>
      </w:r>
    </w:p>
    <w:p>
      <w:pPr>
        <w:spacing w:line="588" w:lineRule="exact"/>
        <w:ind w:firstLine="444" w:firstLineChars="200"/>
        <w:rPr>
          <w:rFonts w:ascii="宋体" w:hAnsi="宋体"/>
          <w:spacing w:val="6"/>
          <w:szCs w:val="21"/>
        </w:rPr>
      </w:pPr>
    </w:p>
    <w:p>
      <w:pPr>
        <w:spacing w:line="588" w:lineRule="exact"/>
        <w:ind w:firstLine="444" w:firstLineChars="200"/>
        <w:rPr>
          <w:rFonts w:ascii="宋体" w:hAnsi="宋体"/>
          <w:spacing w:val="6"/>
          <w:szCs w:val="21"/>
        </w:rPr>
      </w:pPr>
    </w:p>
    <w:p>
      <w:pPr>
        <w:tabs>
          <w:tab w:val="left" w:pos="4860"/>
        </w:tabs>
        <w:spacing w:line="588" w:lineRule="exact"/>
        <w:ind w:right="1560" w:firstLine="444" w:firstLineChars="200"/>
        <w:jc w:val="center"/>
        <w:rPr>
          <w:rFonts w:ascii="宋体" w:hAnsi="宋体"/>
          <w:spacing w:val="6"/>
          <w:szCs w:val="21"/>
        </w:rPr>
      </w:pPr>
      <w:r>
        <w:rPr>
          <w:rFonts w:hint="eastAsia" w:ascii="宋体" w:hAnsi="宋体"/>
          <w:spacing w:val="6"/>
          <w:szCs w:val="21"/>
        </w:rPr>
        <w:t xml:space="preserve">               单位名称（盖章）：</w:t>
      </w:r>
    </w:p>
    <w:p>
      <w:pPr>
        <w:tabs>
          <w:tab w:val="left" w:pos="4860"/>
        </w:tabs>
        <w:spacing w:line="588" w:lineRule="exact"/>
        <w:ind w:right="1560" w:firstLine="444" w:firstLineChars="200"/>
        <w:jc w:val="center"/>
        <w:rPr>
          <w:rFonts w:hint="eastAsia" w:ascii="宋体" w:hAnsi="宋体"/>
          <w:spacing w:val="6"/>
          <w:szCs w:val="21"/>
        </w:rPr>
      </w:pPr>
      <w:r>
        <w:rPr>
          <w:rFonts w:hint="eastAsia" w:ascii="宋体" w:hAnsi="宋体"/>
          <w:spacing w:val="6"/>
          <w:szCs w:val="21"/>
        </w:rPr>
        <w:t xml:space="preserve">       日  期：</w:t>
      </w:r>
    </w:p>
    <w:p>
      <w:pPr>
        <w:tabs>
          <w:tab w:val="left" w:pos="4860"/>
        </w:tabs>
        <w:spacing w:line="588" w:lineRule="exact"/>
        <w:ind w:right="1560"/>
        <w:rPr>
          <w:rFonts w:ascii="宋体" w:hAnsi="宋体"/>
          <w:b/>
          <w:szCs w:val="21"/>
        </w:rPr>
      </w:pPr>
      <w:r>
        <w:rPr>
          <w:rFonts w:hint="eastAsia" w:ascii="宋体" w:hAnsi="宋体"/>
          <w:b/>
          <w:szCs w:val="21"/>
        </w:rPr>
        <w:t>备注说明：</w:t>
      </w:r>
    </w:p>
    <w:p>
      <w:pPr>
        <w:tabs>
          <w:tab w:val="left" w:pos="4860"/>
        </w:tabs>
        <w:spacing w:line="588" w:lineRule="exact"/>
        <w:ind w:right="1560"/>
        <w:rPr>
          <w:rFonts w:ascii="宋体" w:hAnsi="宋体"/>
          <w:b/>
          <w:szCs w:val="21"/>
        </w:rPr>
      </w:pPr>
      <w:r>
        <w:rPr>
          <w:rFonts w:hint="eastAsia" w:ascii="宋体" w:hAnsi="宋体"/>
          <w:b/>
          <w:szCs w:val="21"/>
        </w:rPr>
        <w:t>1、如中标，将在中标公示中将此残疾人福利性单位声明函予以公示，接受社会监督；</w:t>
      </w:r>
    </w:p>
    <w:p>
      <w:pPr>
        <w:tabs>
          <w:tab w:val="left" w:pos="4860"/>
        </w:tabs>
        <w:spacing w:line="588" w:lineRule="exact"/>
        <w:ind w:right="3"/>
        <w:rPr>
          <w:rFonts w:hint="eastAsia" w:ascii="宋体" w:hAnsi="宋体"/>
          <w:b/>
          <w:szCs w:val="21"/>
        </w:rPr>
      </w:pPr>
      <w:r>
        <w:rPr>
          <w:rFonts w:ascii="宋体" w:hAnsi="宋体"/>
          <w:b/>
          <w:szCs w:val="21"/>
        </w:rPr>
        <w:t>2</w:t>
      </w:r>
      <w:r>
        <w:rPr>
          <w:rFonts w:hint="eastAsia" w:ascii="宋体" w:hAnsi="宋体"/>
          <w:b/>
          <w:szCs w:val="21"/>
        </w:rPr>
        <w:t>、供应商提供的《残疾人福利性单位声明函》与事实不符的，依照《政府采购法》第七十七条第一款的规定追究法律责任。</w:t>
      </w:r>
    </w:p>
    <w:p>
      <w:pPr>
        <w:pStyle w:val="3"/>
        <w:keepNext w:val="0"/>
        <w:keepLines w:val="0"/>
        <w:pageBreakBefore/>
        <w:spacing w:before="240" w:beforeLines="100" w:after="240" w:afterLines="100" w:line="400" w:lineRule="atLeast"/>
        <w:jc w:val="center"/>
        <w:rPr>
          <w:rFonts w:hAnsi="宋体"/>
          <w:sz w:val="28"/>
          <w:szCs w:val="36"/>
        </w:rPr>
      </w:pPr>
      <w:bookmarkStart w:id="359" w:name="_Toc64913372"/>
      <w:r>
        <w:rPr>
          <w:rFonts w:hint="eastAsia" w:hAnsi="宋体"/>
          <w:sz w:val="28"/>
          <w:szCs w:val="36"/>
        </w:rPr>
        <w:t>第六部分  投标文件格式</w:t>
      </w:r>
      <w:bookmarkEnd w:id="359"/>
    </w:p>
    <w:p>
      <w:pPr>
        <w:snapToGrid w:val="0"/>
        <w:spacing w:line="400" w:lineRule="atLeast"/>
        <w:jc w:val="center"/>
        <w:rPr>
          <w:rFonts w:hint="eastAsia" w:ascii="宋体" w:hAnsi="宋体"/>
          <w:b/>
          <w:bCs/>
          <w:sz w:val="30"/>
          <w:szCs w:val="30"/>
        </w:rPr>
      </w:pPr>
      <w:r>
        <w:rPr>
          <w:rFonts w:hint="eastAsia" w:ascii="宋体" w:hAnsi="宋体"/>
          <w:b/>
          <w:bCs/>
          <w:sz w:val="30"/>
          <w:szCs w:val="30"/>
        </w:rPr>
        <w:t>投标供应商提交投标文件须知</w:t>
      </w:r>
    </w:p>
    <w:p>
      <w:pPr>
        <w:snapToGrid w:val="0"/>
        <w:spacing w:line="400" w:lineRule="atLeast"/>
        <w:jc w:val="center"/>
        <w:rPr>
          <w:sz w:val="28"/>
          <w:szCs w:val="21"/>
        </w:rPr>
      </w:pPr>
    </w:p>
    <w:p>
      <w:pPr>
        <w:snapToGrid w:val="0"/>
        <w:spacing w:line="400" w:lineRule="atLeast"/>
        <w:ind w:left="735" w:leftChars="200" w:hanging="315" w:hangingChars="150"/>
        <w:rPr>
          <w:rFonts w:hint="eastAsia" w:ascii="宋体" w:hAnsi="宋体"/>
        </w:rPr>
      </w:pPr>
      <w:r>
        <w:rPr>
          <w:rFonts w:hint="eastAsia" w:ascii="宋体" w:hAnsi="宋体"/>
        </w:rPr>
        <w:t>1、</w:t>
      </w:r>
      <w:r>
        <w:rPr>
          <w:rFonts w:ascii="宋体" w:hAnsi="宋体"/>
          <w:szCs w:val="22"/>
        </w:rPr>
        <w:t>投标供应商应严格按照</w:t>
      </w:r>
      <w:r>
        <w:rPr>
          <w:rFonts w:hint="eastAsia" w:ascii="宋体" w:hAnsi="宋体"/>
          <w:szCs w:val="22"/>
        </w:rPr>
        <w:t>投标文件的组成</w:t>
      </w:r>
      <w:r>
        <w:rPr>
          <w:rFonts w:ascii="宋体" w:hAnsi="宋体"/>
          <w:szCs w:val="22"/>
        </w:rPr>
        <w:t>提交下述规定的全部格式文件以及其他有关资料，混乱的编排导致投标文件被误读</w:t>
      </w:r>
      <w:r>
        <w:rPr>
          <w:rFonts w:ascii="宋体" w:hAnsi="宋体"/>
        </w:rPr>
        <w:t>或采购人查找不到有效文件是投标供应商的风险。</w:t>
      </w:r>
    </w:p>
    <w:p>
      <w:pPr>
        <w:snapToGrid w:val="0"/>
        <w:spacing w:line="400" w:lineRule="atLeast"/>
        <w:ind w:firstLine="420" w:firstLineChars="200"/>
        <w:rPr>
          <w:rFonts w:hint="eastAsia" w:ascii="宋体" w:hAnsi="宋体"/>
        </w:rPr>
      </w:pPr>
      <w:r>
        <w:rPr>
          <w:rFonts w:hint="eastAsia" w:ascii="宋体" w:hAnsi="宋体"/>
        </w:rPr>
        <w:t>2、</w:t>
      </w:r>
      <w:r>
        <w:rPr>
          <w:rFonts w:ascii="宋体" w:hAnsi="宋体"/>
        </w:rPr>
        <w:t>所附表格中要求回答的全部问题和/或信息都必须正面回答。</w:t>
      </w:r>
    </w:p>
    <w:p>
      <w:pPr>
        <w:snapToGrid w:val="0"/>
        <w:spacing w:line="400" w:lineRule="atLeast"/>
        <w:ind w:firstLine="420" w:firstLineChars="200"/>
        <w:rPr>
          <w:rFonts w:hint="eastAsia" w:ascii="宋体" w:hAnsi="宋体"/>
        </w:rPr>
      </w:pPr>
      <w:r>
        <w:rPr>
          <w:rFonts w:hint="eastAsia" w:ascii="宋体" w:hAnsi="宋体"/>
        </w:rPr>
        <w:t>3、</w:t>
      </w:r>
      <w:r>
        <w:rPr>
          <w:rFonts w:ascii="宋体" w:hAnsi="宋体"/>
        </w:rPr>
        <w:t>本资格声明的签字人应保证全部声明和问题的回答是真实的和准确的。</w:t>
      </w:r>
    </w:p>
    <w:p>
      <w:pPr>
        <w:snapToGrid w:val="0"/>
        <w:spacing w:line="400" w:lineRule="atLeast"/>
        <w:ind w:left="735" w:leftChars="200" w:hanging="315" w:hangingChars="150"/>
        <w:rPr>
          <w:rFonts w:hint="eastAsia" w:ascii="宋体" w:hAnsi="宋体"/>
        </w:rPr>
      </w:pPr>
      <w:r>
        <w:rPr>
          <w:rFonts w:hint="eastAsia" w:ascii="宋体" w:hAnsi="宋体"/>
        </w:rPr>
        <w:t>4、</w:t>
      </w:r>
      <w:r>
        <w:rPr>
          <w:rFonts w:ascii="宋体" w:hAnsi="宋体"/>
        </w:rPr>
        <w:t>采购人将应用投标供应商提交的资料根据自己的判断和考虑决定投标供应商履行合同的合格性及能力。</w:t>
      </w:r>
    </w:p>
    <w:p>
      <w:pPr>
        <w:snapToGrid w:val="0"/>
        <w:spacing w:line="400" w:lineRule="atLeast"/>
        <w:ind w:firstLine="420" w:firstLineChars="200"/>
        <w:rPr>
          <w:rFonts w:hint="eastAsia" w:ascii="宋体" w:hAnsi="宋体"/>
        </w:rPr>
      </w:pPr>
      <w:r>
        <w:rPr>
          <w:rFonts w:hint="eastAsia" w:ascii="宋体" w:hAnsi="宋体"/>
        </w:rPr>
        <w:t>5、</w:t>
      </w:r>
      <w:r>
        <w:rPr>
          <w:rFonts w:ascii="宋体" w:hAnsi="宋体"/>
        </w:rPr>
        <w:t>投标供应商提交的材料将被保密保存。</w:t>
      </w:r>
    </w:p>
    <w:p>
      <w:pPr>
        <w:snapToGrid w:val="0"/>
        <w:spacing w:line="400" w:lineRule="atLeast"/>
        <w:ind w:firstLine="420" w:firstLineChars="200"/>
      </w:pPr>
      <w:r>
        <w:rPr>
          <w:rFonts w:hint="eastAsia"/>
        </w:rPr>
        <w:t>6、</w:t>
      </w:r>
      <w:r>
        <w:t>全部文件应按投标供应商须知中规定的语言和份数提交</w:t>
      </w:r>
      <w:r>
        <w:rPr>
          <w:rFonts w:hint="eastAsia"/>
        </w:rPr>
        <w:t>。</w:t>
      </w: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spacing w:line="400" w:lineRule="atLeast"/>
        <w:rPr>
          <w:rFonts w:hint="eastAsia" w:ascii="宋体" w:hAnsi="宋体"/>
          <w:szCs w:val="21"/>
        </w:rPr>
      </w:pPr>
    </w:p>
    <w:p>
      <w:pPr>
        <w:pStyle w:val="5"/>
        <w:keepNext w:val="0"/>
        <w:keepLines w:val="0"/>
        <w:pageBreakBefore/>
        <w:widowControl w:val="0"/>
        <w:tabs>
          <w:tab w:val="left" w:pos="840"/>
        </w:tabs>
        <w:adjustRightInd w:val="0"/>
        <w:snapToGrid w:val="0"/>
        <w:spacing w:before="240" w:beforeLines="100" w:after="240" w:afterLines="100" w:line="240" w:lineRule="auto"/>
        <w:rPr>
          <w:sz w:val="24"/>
          <w:szCs w:val="24"/>
        </w:rPr>
      </w:pPr>
      <w:bookmarkStart w:id="360" w:name="_Toc34419143"/>
      <w:bookmarkStart w:id="361" w:name="_Toc64913373"/>
      <w:r>
        <w:rPr>
          <w:rFonts w:hint="eastAsia"/>
          <w:sz w:val="24"/>
          <w:szCs w:val="24"/>
        </w:rPr>
        <w:t xml:space="preserve">附件一 </w:t>
      </w:r>
      <w:r>
        <w:rPr>
          <w:sz w:val="24"/>
          <w:szCs w:val="24"/>
        </w:rPr>
        <w:t xml:space="preserve"> </w:t>
      </w:r>
      <w:r>
        <w:rPr>
          <w:rFonts w:hint="eastAsia"/>
          <w:sz w:val="24"/>
          <w:szCs w:val="24"/>
        </w:rPr>
        <w:t>投标供应商参与政府采购活动投标资格声明函</w:t>
      </w:r>
      <w:bookmarkEnd w:id="360"/>
      <w:bookmarkEnd w:id="361"/>
    </w:p>
    <w:tbl>
      <w:tblPr>
        <w:tblStyle w:val="35"/>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0"/>
        <w:gridCol w:w="7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02" w:hRule="atLeast"/>
        </w:trPr>
        <w:tc>
          <w:tcPr>
            <w:tcW w:w="1620" w:type="dxa"/>
            <w:noWrap w:val="0"/>
            <w:vAlign w:val="top"/>
          </w:tcPr>
          <w:p>
            <w:pPr>
              <w:pStyle w:val="19"/>
              <w:adjustRightInd w:val="0"/>
              <w:snapToGrid w:val="0"/>
              <w:spacing w:line="440" w:lineRule="exact"/>
              <w:rPr>
                <w:rFonts w:hAnsi="宋体"/>
                <w:b/>
                <w:sz w:val="22"/>
                <w:szCs w:val="22"/>
              </w:rPr>
            </w:pPr>
            <w:r>
              <w:rPr>
                <w:rFonts w:hAnsi="宋体"/>
                <w:b/>
                <w:sz w:val="22"/>
                <w:szCs w:val="22"/>
              </w:rPr>
              <w:t>项目名称</w:t>
            </w:r>
          </w:p>
        </w:tc>
        <w:tc>
          <w:tcPr>
            <w:tcW w:w="7992" w:type="dxa"/>
            <w:noWrap w:val="0"/>
            <w:vAlign w:val="top"/>
          </w:tcPr>
          <w:p>
            <w:pPr>
              <w:pStyle w:val="19"/>
              <w:adjustRightInd w:val="0"/>
              <w:snapToGrid w:val="0"/>
              <w:spacing w:line="440" w:lineRule="exact"/>
              <w:ind w:left="422" w:firstLine="331"/>
              <w:rPr>
                <w:rFonts w:hAnsi="宋体"/>
                <w:b/>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53" w:hRule="atLeast"/>
        </w:trPr>
        <w:tc>
          <w:tcPr>
            <w:tcW w:w="1620" w:type="dxa"/>
            <w:noWrap w:val="0"/>
            <w:vAlign w:val="top"/>
          </w:tcPr>
          <w:p>
            <w:pPr>
              <w:pStyle w:val="19"/>
              <w:adjustRightInd w:val="0"/>
              <w:snapToGrid w:val="0"/>
              <w:spacing w:line="440" w:lineRule="exact"/>
              <w:rPr>
                <w:rFonts w:hAnsi="宋体"/>
                <w:b/>
                <w:sz w:val="22"/>
                <w:szCs w:val="22"/>
              </w:rPr>
            </w:pPr>
            <w:r>
              <w:rPr>
                <w:rFonts w:hAnsi="宋体"/>
                <w:b/>
                <w:sz w:val="22"/>
                <w:szCs w:val="22"/>
              </w:rPr>
              <w:t>招标编号</w:t>
            </w:r>
          </w:p>
        </w:tc>
        <w:tc>
          <w:tcPr>
            <w:tcW w:w="7992" w:type="dxa"/>
            <w:noWrap w:val="0"/>
            <w:vAlign w:val="top"/>
          </w:tcPr>
          <w:p>
            <w:pPr>
              <w:pStyle w:val="19"/>
              <w:adjustRightInd w:val="0"/>
              <w:snapToGrid w:val="0"/>
              <w:spacing w:line="440" w:lineRule="exact"/>
              <w:ind w:left="422" w:firstLine="361"/>
              <w:rPr>
                <w:rFonts w:hAnsi="宋体"/>
                <w:b/>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1620" w:type="dxa"/>
            <w:noWrap w:val="0"/>
            <w:vAlign w:val="top"/>
          </w:tcPr>
          <w:p>
            <w:pPr>
              <w:pStyle w:val="19"/>
              <w:adjustRightInd w:val="0"/>
              <w:snapToGrid w:val="0"/>
              <w:spacing w:line="440" w:lineRule="exact"/>
              <w:rPr>
                <w:rFonts w:hAnsi="宋体"/>
                <w:b/>
                <w:sz w:val="22"/>
                <w:szCs w:val="22"/>
              </w:rPr>
            </w:pPr>
            <w:r>
              <w:rPr>
                <w:rFonts w:hAnsi="宋体"/>
                <w:b/>
                <w:sz w:val="22"/>
                <w:szCs w:val="22"/>
              </w:rPr>
              <w:t>时    间</w:t>
            </w:r>
          </w:p>
        </w:tc>
        <w:tc>
          <w:tcPr>
            <w:tcW w:w="7992" w:type="dxa"/>
            <w:noWrap w:val="0"/>
            <w:vAlign w:val="top"/>
          </w:tcPr>
          <w:p>
            <w:pPr>
              <w:pStyle w:val="19"/>
              <w:adjustRightInd w:val="0"/>
              <w:snapToGrid w:val="0"/>
              <w:spacing w:line="440" w:lineRule="exact"/>
              <w:rPr>
                <w:rFonts w:hAnsi="宋体"/>
                <w:b/>
                <w:sz w:val="22"/>
                <w:szCs w:val="22"/>
              </w:rPr>
            </w:pPr>
            <w:r>
              <w:rPr>
                <w:rFonts w:hAnsi="宋体" w:cs="宋体"/>
                <w:b/>
                <w:sz w:val="22"/>
                <w:szCs w:val="22"/>
              </w:rPr>
              <w:t>投标截止时间前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76" w:hRule="atLeast"/>
        </w:trPr>
        <w:tc>
          <w:tcPr>
            <w:tcW w:w="9612" w:type="dxa"/>
            <w:gridSpan w:val="2"/>
            <w:noWrap w:val="0"/>
            <w:vAlign w:val="top"/>
          </w:tcPr>
          <w:p>
            <w:pPr>
              <w:pStyle w:val="19"/>
              <w:adjustRightInd w:val="0"/>
              <w:snapToGrid w:val="0"/>
              <w:spacing w:line="400" w:lineRule="exact"/>
              <w:ind w:firstLine="450"/>
              <w:rPr>
                <w:rFonts w:hAnsi="宋体"/>
                <w:b/>
                <w:szCs w:val="22"/>
              </w:rPr>
            </w:pPr>
            <w:r>
              <w:rPr>
                <w:rFonts w:hAnsi="宋体"/>
                <w:b/>
                <w:szCs w:val="22"/>
              </w:rPr>
              <w:t>我单位参与</w:t>
            </w:r>
            <w:r>
              <w:rPr>
                <w:rFonts w:hint="eastAsia" w:hAnsi="宋体"/>
                <w:b/>
                <w:szCs w:val="22"/>
              </w:rPr>
              <w:t>瑞安市“一把扫帚”环卫保洁一体化项目（安阳街道）</w:t>
            </w:r>
            <w:r>
              <w:rPr>
                <w:rFonts w:hAnsi="宋体"/>
                <w:b/>
                <w:szCs w:val="22"/>
              </w:rPr>
              <w:t>投标，现声明如下：</w:t>
            </w:r>
          </w:p>
          <w:p>
            <w:pPr>
              <w:pStyle w:val="19"/>
              <w:adjustRightInd w:val="0"/>
              <w:snapToGrid w:val="0"/>
              <w:spacing w:line="400" w:lineRule="exact"/>
              <w:ind w:firstLine="450"/>
              <w:rPr>
                <w:rFonts w:hAnsi="宋体"/>
                <w:b/>
                <w:szCs w:val="22"/>
              </w:rPr>
            </w:pPr>
            <w:r>
              <w:rPr>
                <w:rFonts w:hAnsi="宋体"/>
                <w:b/>
                <w:szCs w:val="22"/>
              </w:rPr>
              <w:t xml:space="preserve">1、我单位符合政府采购法第二十二条规定。 </w:t>
            </w:r>
          </w:p>
          <w:p>
            <w:pPr>
              <w:pStyle w:val="19"/>
              <w:adjustRightInd w:val="0"/>
              <w:snapToGrid w:val="0"/>
              <w:spacing w:line="400" w:lineRule="exact"/>
              <w:ind w:firstLine="450"/>
              <w:rPr>
                <w:rFonts w:hAnsi="宋体"/>
                <w:b/>
                <w:szCs w:val="22"/>
              </w:rPr>
            </w:pPr>
            <w:r>
              <w:rPr>
                <w:rFonts w:hAnsi="宋体"/>
                <w:b/>
                <w:szCs w:val="22"/>
              </w:rPr>
              <w:t>2、根据财政部单独或与有关部门联合签署了《关于在政府采购活动中查询及使用信用记录有关问题的通知》（财库【2016】125号）、《关于对重大税收违法案件当事人实施联合惩戒措施的合作备忘录》(发改财金〔2014〕3062号)、《失信企业协同监管和联合惩戒合作备忘录》(发改财金〔2015〕2045号)、《关于对违法失信上市公司相关责任主体实施联合惩戒的合作备忘录》(发改财金〔2015〕3062号)、《关于对失信被执行人实施联合惩戒的合作备忘录》(发改财金〔2016〕141号)、《关于对安全生产领域失信生产经营单位及其有关人员开展联合惩戒的合作备忘录》(发改财金〔2016〕1001号)，依法限制相关失信主体参与政府采购活动。我单位</w:t>
            </w:r>
            <w:r>
              <w:rPr>
                <w:rFonts w:hAnsi="宋体"/>
                <w:u w:val="single"/>
              </w:rPr>
              <w:t>□</w:t>
            </w:r>
            <w:r>
              <w:rPr>
                <w:rFonts w:hAnsi="宋体"/>
                <w:b/>
                <w:szCs w:val="22"/>
                <w:u w:val="single"/>
              </w:rPr>
              <w:t>存在/</w:t>
            </w:r>
            <w:r>
              <w:rPr>
                <w:rFonts w:hAnsi="宋体"/>
                <w:u w:val="single"/>
              </w:rPr>
              <w:t>□</w:t>
            </w:r>
            <w:r>
              <w:rPr>
                <w:rFonts w:hAnsi="宋体"/>
                <w:b/>
                <w:szCs w:val="22"/>
                <w:u w:val="single"/>
              </w:rPr>
              <w:t>不存在</w:t>
            </w:r>
            <w:r>
              <w:rPr>
                <w:rFonts w:hAnsi="宋体"/>
                <w:b/>
                <w:szCs w:val="22"/>
              </w:rPr>
              <w:t>上述文件规定依法限制参与政府采购的情况。（说明：在</w:t>
            </w:r>
            <w:r>
              <w:rPr>
                <w:rFonts w:hAnsi="宋体"/>
              </w:rPr>
              <w:t>□</w:t>
            </w:r>
            <w:r>
              <w:rPr>
                <w:rFonts w:hAnsi="宋体"/>
                <w:b/>
                <w:szCs w:val="22"/>
              </w:rPr>
              <w:t>上打</w:t>
            </w:r>
            <w:r>
              <w:rPr>
                <w:rFonts w:hAnsi="宋体"/>
              </w:rPr>
              <w:t>√</w:t>
            </w:r>
            <w:r>
              <w:rPr>
                <w:rFonts w:hAnsi="宋体" w:cs="MS Mincho"/>
                <w:b/>
                <w:szCs w:val="22"/>
              </w:rPr>
              <w:t>。</w:t>
            </w:r>
            <w:r>
              <w:rPr>
                <w:rFonts w:hAnsi="宋体"/>
                <w:b/>
                <w:szCs w:val="22"/>
              </w:rPr>
              <w:t>）</w:t>
            </w:r>
          </w:p>
          <w:p>
            <w:pPr>
              <w:tabs>
                <w:tab w:val="center" w:pos="4483"/>
              </w:tabs>
              <w:adjustRightInd w:val="0"/>
              <w:spacing w:line="400" w:lineRule="exact"/>
              <w:ind w:firstLine="400"/>
              <w:rPr>
                <w:rFonts w:ascii="宋体"/>
                <w:b/>
              </w:rPr>
            </w:pPr>
            <w:r>
              <w:rPr>
                <w:rFonts w:ascii="宋体"/>
                <w:b/>
              </w:rPr>
              <w:t>3、我单位</w:t>
            </w:r>
            <w:r>
              <w:rPr>
                <w:rFonts w:ascii="宋体"/>
              </w:rPr>
              <w:t>□</w:t>
            </w:r>
            <w:r>
              <w:rPr>
                <w:rFonts w:ascii="宋体"/>
                <w:b/>
              </w:rPr>
              <w:t>没有被限制参加政府采购活动/</w:t>
            </w:r>
            <w:r>
              <w:rPr>
                <w:rFonts w:ascii="宋体"/>
              </w:rPr>
              <w:t>□</w:t>
            </w:r>
            <w:r>
              <w:rPr>
                <w:rFonts w:ascii="宋体"/>
                <w:b/>
              </w:rPr>
              <w:t>在参加政府采购活动前3年内因违法经营被禁止在一定期限内参加政府采购活动，但期限届满，已可以参加政府采购活动。（说明：在</w:t>
            </w:r>
            <w:r>
              <w:rPr>
                <w:rFonts w:ascii="宋体"/>
              </w:rPr>
              <w:t>□</w:t>
            </w:r>
            <w:r>
              <w:rPr>
                <w:rFonts w:ascii="宋体"/>
                <w:b/>
              </w:rPr>
              <w:t>上打</w:t>
            </w:r>
            <w:r>
              <w:rPr>
                <w:rFonts w:ascii="宋体"/>
              </w:rPr>
              <w:t>√</w:t>
            </w:r>
            <w:r>
              <w:rPr>
                <w:rFonts w:ascii="宋体" w:cs="MS Mincho"/>
                <w:b/>
              </w:rPr>
              <w:t>。</w:t>
            </w:r>
            <w:r>
              <w:rPr>
                <w:rFonts w:ascii="宋体"/>
                <w:b/>
              </w:rPr>
              <w:t>）</w:t>
            </w:r>
          </w:p>
          <w:p>
            <w:pPr>
              <w:tabs>
                <w:tab w:val="center" w:pos="4483"/>
              </w:tabs>
              <w:adjustRightInd w:val="0"/>
              <w:spacing w:line="400" w:lineRule="exact"/>
              <w:ind w:firstLine="400"/>
              <w:rPr>
                <w:rFonts w:ascii="宋体" w:cs="宋体"/>
                <w:b/>
                <w:sz w:val="20"/>
                <w:u w:val="single"/>
              </w:rPr>
            </w:pPr>
            <w:r>
              <w:rPr>
                <w:rFonts w:hint="eastAsia" w:ascii="宋体" w:cs="宋体"/>
                <w:b/>
                <w:sz w:val="20"/>
              </w:rPr>
              <w:t>4、我单位参与本项目政府采购活动3年内其它重大违法记录（重大违法记录，是指投标供应商因违法经营受到刑事处罚或者责令停产停业、吊销许可证或者执照、较大数额罚款等行政处罚）情况声明：</w:t>
            </w:r>
            <w:r>
              <w:rPr>
                <w:rFonts w:hint="eastAsia" w:ascii="宋体" w:cs="宋体"/>
                <w:b/>
                <w:sz w:val="20"/>
                <w:u w:val="single"/>
              </w:rPr>
              <w:t xml:space="preserve">                    </w:t>
            </w:r>
          </w:p>
          <w:p>
            <w:pPr>
              <w:tabs>
                <w:tab w:val="center" w:pos="4483"/>
              </w:tabs>
              <w:adjustRightInd w:val="0"/>
              <w:spacing w:line="400" w:lineRule="exact"/>
              <w:ind w:firstLine="400"/>
              <w:rPr>
                <w:rFonts w:ascii="宋体" w:cs="宋体"/>
                <w:b/>
                <w:sz w:val="20"/>
              </w:rPr>
            </w:pPr>
            <w:r>
              <w:rPr>
                <w:rFonts w:hint="eastAsia" w:ascii="宋体" w:cs="宋体"/>
                <w:b/>
                <w:sz w:val="20"/>
              </w:rPr>
              <w:t>5、我单位符合本项目特定资格条件：</w:t>
            </w:r>
            <w:r>
              <w:rPr>
                <w:rFonts w:hint="eastAsia" w:ascii="宋体" w:cs="宋体"/>
                <w:b/>
                <w:sz w:val="20"/>
                <w:u w:val="single"/>
              </w:rPr>
              <w:t xml:space="preserve">               </w:t>
            </w:r>
            <w:r>
              <w:rPr>
                <w:rFonts w:hint="eastAsia" w:ascii="宋体" w:cs="宋体"/>
                <w:b/>
                <w:sz w:val="20"/>
              </w:rPr>
              <w:t>的要求，并在投标文件中提供了相应的证明材料（招标文件没有要求特定资格条件的，本条款空格处可以空白）</w:t>
            </w:r>
          </w:p>
          <w:p>
            <w:pPr>
              <w:tabs>
                <w:tab w:val="center" w:pos="4483"/>
              </w:tabs>
              <w:adjustRightInd w:val="0"/>
              <w:spacing w:line="400" w:lineRule="exact"/>
              <w:ind w:firstLine="402" w:firstLineChars="200"/>
              <w:rPr>
                <w:rFonts w:hint="eastAsia" w:ascii="宋体" w:cs="宋体"/>
                <w:b/>
                <w:sz w:val="20"/>
              </w:rPr>
            </w:pPr>
            <w:r>
              <w:rPr>
                <w:rFonts w:hint="eastAsia" w:ascii="宋体" w:cs="宋体"/>
                <w:b/>
                <w:sz w:val="20"/>
              </w:rPr>
              <w:t>6、我单位与参加本次项目同一合同项下政府采购活动的其他供应商不存在单位负责人为同一人或者直接控股、管理关系。</w:t>
            </w:r>
          </w:p>
          <w:p>
            <w:pPr>
              <w:tabs>
                <w:tab w:val="center" w:pos="4483"/>
              </w:tabs>
              <w:adjustRightInd w:val="0"/>
              <w:spacing w:line="400" w:lineRule="exact"/>
              <w:ind w:firstLine="402" w:firstLineChars="200"/>
              <w:rPr>
                <w:rFonts w:ascii="宋体"/>
                <w:bCs/>
                <w:sz w:val="20"/>
              </w:rPr>
            </w:pPr>
            <w:r>
              <w:rPr>
                <w:rFonts w:hint="eastAsia" w:ascii="宋体" w:cs="宋体"/>
                <w:b/>
                <w:sz w:val="20"/>
              </w:rPr>
              <w:t>7、本公司所提交的声明和陈述均是真实的、准确的。若与真实情况不符，本公司愿意承担由此而产生的一切后果。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1" w:hRule="atLeast"/>
        </w:trPr>
        <w:tc>
          <w:tcPr>
            <w:tcW w:w="9612" w:type="dxa"/>
            <w:gridSpan w:val="2"/>
            <w:noWrap w:val="0"/>
            <w:vAlign w:val="center"/>
          </w:tcPr>
          <w:p>
            <w:pPr>
              <w:pStyle w:val="19"/>
              <w:adjustRightInd w:val="0"/>
              <w:snapToGrid w:val="0"/>
              <w:spacing w:line="440" w:lineRule="exact"/>
              <w:rPr>
                <w:rFonts w:hAnsi="宋体"/>
                <w:b/>
                <w:sz w:val="22"/>
                <w:szCs w:val="22"/>
              </w:rPr>
            </w:pPr>
            <w:r>
              <w:rPr>
                <w:rFonts w:hAnsi="宋体"/>
                <w:b/>
                <w:sz w:val="22"/>
                <w:szCs w:val="22"/>
              </w:rPr>
              <w:t>投标供应商（盖章）：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19" w:hRule="atLeast"/>
        </w:trPr>
        <w:tc>
          <w:tcPr>
            <w:tcW w:w="9612" w:type="dxa"/>
            <w:gridSpan w:val="2"/>
            <w:noWrap w:val="0"/>
            <w:vAlign w:val="center"/>
          </w:tcPr>
          <w:p>
            <w:pPr>
              <w:pStyle w:val="19"/>
              <w:adjustRightInd w:val="0"/>
              <w:snapToGrid w:val="0"/>
              <w:spacing w:line="440" w:lineRule="exact"/>
              <w:rPr>
                <w:rFonts w:hAnsi="宋体"/>
                <w:b/>
                <w:sz w:val="22"/>
                <w:szCs w:val="22"/>
              </w:rPr>
            </w:pPr>
            <w:r>
              <w:rPr>
                <w:rFonts w:hAnsi="宋体"/>
                <w:b/>
              </w:rPr>
              <w:t>法定代表人或授权代表（签字或盖章）</w:t>
            </w:r>
            <w:r>
              <w:rPr>
                <w:rFonts w:hAnsi="宋体"/>
                <w:b/>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7" w:hRule="atLeast"/>
        </w:trPr>
        <w:tc>
          <w:tcPr>
            <w:tcW w:w="9612" w:type="dxa"/>
            <w:gridSpan w:val="2"/>
            <w:noWrap w:val="0"/>
            <w:vAlign w:val="center"/>
          </w:tcPr>
          <w:p>
            <w:pPr>
              <w:pStyle w:val="19"/>
              <w:adjustRightInd w:val="0"/>
              <w:snapToGrid w:val="0"/>
              <w:spacing w:line="440" w:lineRule="exact"/>
              <w:rPr>
                <w:rFonts w:hAnsi="宋体"/>
                <w:b/>
                <w:sz w:val="22"/>
                <w:szCs w:val="22"/>
              </w:rPr>
            </w:pPr>
            <w:r>
              <w:rPr>
                <w:rFonts w:hAnsi="宋体"/>
                <w:b/>
                <w:sz w:val="22"/>
                <w:szCs w:val="22"/>
              </w:rPr>
              <w:t>签署日期：</w:t>
            </w:r>
          </w:p>
        </w:tc>
      </w:tr>
    </w:tbl>
    <w:p>
      <w:pPr>
        <w:snapToGrid w:val="0"/>
        <w:spacing w:line="460" w:lineRule="exact"/>
        <w:ind w:firstLine="480" w:firstLineChars="200"/>
        <w:rPr>
          <w:sz w:val="24"/>
          <w:szCs w:val="24"/>
        </w:rPr>
      </w:pPr>
    </w:p>
    <w:p>
      <w:pPr>
        <w:snapToGrid w:val="0"/>
        <w:spacing w:line="460" w:lineRule="exact"/>
        <w:ind w:firstLine="480" w:firstLineChars="200"/>
        <w:rPr>
          <w:sz w:val="24"/>
          <w:szCs w:val="24"/>
        </w:rPr>
      </w:pPr>
    </w:p>
    <w:p>
      <w:pPr>
        <w:snapToGrid w:val="0"/>
        <w:spacing w:line="460" w:lineRule="exact"/>
        <w:ind w:firstLine="480" w:firstLineChars="200"/>
        <w:rPr>
          <w:sz w:val="24"/>
          <w:szCs w:val="24"/>
        </w:rPr>
      </w:pPr>
    </w:p>
    <w:p>
      <w:pPr>
        <w:snapToGrid w:val="0"/>
        <w:spacing w:line="460" w:lineRule="exact"/>
        <w:ind w:firstLine="480" w:firstLineChars="200"/>
        <w:rPr>
          <w:sz w:val="24"/>
          <w:szCs w:val="24"/>
        </w:rPr>
      </w:pPr>
    </w:p>
    <w:p>
      <w:pPr>
        <w:snapToGrid w:val="0"/>
        <w:spacing w:line="460" w:lineRule="exact"/>
        <w:rPr>
          <w:rFonts w:hint="eastAsia"/>
          <w:sz w:val="24"/>
          <w:szCs w:val="24"/>
        </w:rPr>
      </w:pPr>
    </w:p>
    <w:p>
      <w:pPr>
        <w:pStyle w:val="5"/>
        <w:rPr>
          <w:rFonts w:hint="eastAsia"/>
          <w:sz w:val="24"/>
          <w:szCs w:val="24"/>
        </w:rPr>
      </w:pPr>
      <w:bookmarkStart w:id="362" w:name="_Toc64913374"/>
      <w:r>
        <w:rPr>
          <w:rFonts w:hint="eastAsia"/>
          <w:sz w:val="24"/>
          <w:szCs w:val="24"/>
        </w:rPr>
        <w:t>附件二  开标一览表</w:t>
      </w:r>
      <w:bookmarkEnd w:id="362"/>
      <w:r>
        <w:rPr>
          <w:rFonts w:hint="eastAsia"/>
          <w:sz w:val="24"/>
          <w:szCs w:val="24"/>
        </w:rPr>
        <w:t xml:space="preserve"> </w:t>
      </w:r>
    </w:p>
    <w:p>
      <w:pPr>
        <w:jc w:val="center"/>
        <w:rPr>
          <w:rFonts w:hint="eastAsia"/>
          <w:b/>
          <w:sz w:val="30"/>
          <w:szCs w:val="30"/>
        </w:rPr>
      </w:pPr>
      <w:r>
        <w:rPr>
          <w:rFonts w:hint="eastAsia"/>
          <w:b/>
          <w:sz w:val="30"/>
          <w:szCs w:val="30"/>
        </w:rPr>
        <w:t>开标一览表</w:t>
      </w:r>
    </w:p>
    <w:p>
      <w:pPr>
        <w:widowControl w:val="0"/>
        <w:jc w:val="center"/>
        <w:rPr>
          <w:rFonts w:hint="eastAsia"/>
          <w:szCs w:val="21"/>
        </w:rPr>
      </w:pPr>
    </w:p>
    <w:p>
      <w:pPr>
        <w:spacing w:line="380" w:lineRule="exact"/>
        <w:ind w:right="349" w:rightChars="166" w:firstLine="316" w:firstLineChars="150"/>
        <w:rPr>
          <w:rFonts w:hint="eastAsia" w:ascii="宋体" w:hAnsi="宋体" w:cs="宋体"/>
          <w:b/>
          <w:szCs w:val="21"/>
        </w:rPr>
      </w:pPr>
      <w:r>
        <w:rPr>
          <w:rFonts w:hint="eastAsia" w:ascii="宋体" w:hAnsi="宋体" w:cs="宋体"/>
          <w:b/>
          <w:szCs w:val="21"/>
        </w:rPr>
        <w:t xml:space="preserve">项目名称：                                          项目编号： </w:t>
      </w:r>
      <w:r>
        <w:rPr>
          <w:rFonts w:ascii="宋体" w:hAnsi="宋体" w:cs="宋体"/>
          <w:b/>
          <w:szCs w:val="21"/>
        </w:rPr>
        <w:t xml:space="preserve">       </w:t>
      </w:r>
      <w:r>
        <w:rPr>
          <w:rFonts w:hint="eastAsia" w:ascii="宋体" w:hAnsi="宋体" w:cs="宋体"/>
          <w:b/>
          <w:szCs w:val="21"/>
        </w:rPr>
        <w:t>（单位：元）</w:t>
      </w:r>
    </w:p>
    <w:tbl>
      <w:tblPr>
        <w:tblStyle w:val="35"/>
        <w:tblW w:w="99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2"/>
        <w:gridCol w:w="1007"/>
        <w:gridCol w:w="1134"/>
        <w:gridCol w:w="3402"/>
        <w:gridCol w:w="2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5" w:hRule="atLeast"/>
        </w:trPr>
        <w:tc>
          <w:tcPr>
            <w:tcW w:w="2362" w:type="dxa"/>
            <w:noWrap w:val="0"/>
            <w:vAlign w:val="center"/>
          </w:tcPr>
          <w:p>
            <w:pPr>
              <w:pStyle w:val="19"/>
              <w:wordWrap w:val="0"/>
              <w:spacing w:line="460" w:lineRule="exact"/>
              <w:jc w:val="center"/>
              <w:rPr>
                <w:rFonts w:hAnsi="宋体" w:cs="宋体"/>
              </w:rPr>
            </w:pPr>
            <w:r>
              <w:rPr>
                <w:rFonts w:hint="eastAsia" w:hAnsi="宋体" w:cs="宋体"/>
              </w:rPr>
              <w:t>报价项目</w:t>
            </w:r>
          </w:p>
        </w:tc>
        <w:tc>
          <w:tcPr>
            <w:tcW w:w="1007" w:type="dxa"/>
            <w:noWrap w:val="0"/>
            <w:vAlign w:val="center"/>
          </w:tcPr>
          <w:p>
            <w:pPr>
              <w:pStyle w:val="19"/>
              <w:wordWrap w:val="0"/>
              <w:spacing w:line="460" w:lineRule="exact"/>
              <w:jc w:val="center"/>
              <w:rPr>
                <w:rFonts w:hAnsi="宋体" w:cs="宋体"/>
              </w:rPr>
            </w:pPr>
            <w:r>
              <w:rPr>
                <w:rFonts w:hint="eastAsia" w:hAnsi="宋体" w:cs="宋体"/>
              </w:rPr>
              <w:t>服务期限</w:t>
            </w:r>
          </w:p>
        </w:tc>
        <w:tc>
          <w:tcPr>
            <w:tcW w:w="1134" w:type="dxa"/>
            <w:noWrap w:val="0"/>
            <w:vAlign w:val="center"/>
          </w:tcPr>
          <w:p>
            <w:pPr>
              <w:pStyle w:val="19"/>
              <w:wordWrap w:val="0"/>
              <w:spacing w:line="460" w:lineRule="exact"/>
              <w:jc w:val="center"/>
              <w:rPr>
                <w:rFonts w:hAnsi="宋体" w:cs="宋体"/>
              </w:rPr>
            </w:pPr>
            <w:r>
              <w:rPr>
                <w:rFonts w:hint="eastAsia" w:hAnsi="宋体" w:cs="宋体"/>
              </w:rPr>
              <w:t>区域</w:t>
            </w:r>
          </w:p>
        </w:tc>
        <w:tc>
          <w:tcPr>
            <w:tcW w:w="3402" w:type="dxa"/>
            <w:noWrap w:val="0"/>
            <w:vAlign w:val="center"/>
          </w:tcPr>
          <w:p>
            <w:pPr>
              <w:pStyle w:val="19"/>
              <w:wordWrap w:val="0"/>
              <w:spacing w:line="460" w:lineRule="exact"/>
              <w:jc w:val="center"/>
              <w:rPr>
                <w:rFonts w:hint="eastAsia" w:hAnsi="宋体" w:cs="宋体"/>
              </w:rPr>
            </w:pPr>
            <w:r>
              <w:rPr>
                <w:rFonts w:hint="eastAsia" w:hAnsi="宋体" w:cs="宋体"/>
              </w:rPr>
              <w:t>投标总价（三年）</w:t>
            </w:r>
          </w:p>
          <w:p>
            <w:pPr>
              <w:pStyle w:val="19"/>
              <w:wordWrap w:val="0"/>
              <w:spacing w:line="460" w:lineRule="exact"/>
              <w:jc w:val="center"/>
              <w:rPr>
                <w:rFonts w:hint="eastAsia" w:hAnsi="宋体" w:cs="宋体"/>
              </w:rPr>
            </w:pPr>
            <w:r>
              <w:rPr>
                <w:rFonts w:hint="eastAsia" w:hAnsi="宋体" w:cs="宋体"/>
              </w:rPr>
              <w:t>（</w:t>
            </w:r>
            <w:r>
              <w:rPr>
                <w:rFonts w:hint="eastAsia" w:cs="宋体"/>
              </w:rPr>
              <w:t>人民币元</w:t>
            </w:r>
            <w:r>
              <w:rPr>
                <w:rFonts w:hint="eastAsia" w:hAnsi="宋体" w:cs="宋体"/>
              </w:rPr>
              <w:t>）</w:t>
            </w:r>
          </w:p>
        </w:tc>
        <w:tc>
          <w:tcPr>
            <w:tcW w:w="2023" w:type="dxa"/>
            <w:noWrap w:val="0"/>
            <w:vAlign w:val="center"/>
          </w:tcPr>
          <w:p>
            <w:pPr>
              <w:pStyle w:val="19"/>
              <w:wordWrap w:val="0"/>
              <w:spacing w:line="460" w:lineRule="exact"/>
              <w:jc w:val="center"/>
              <w:rPr>
                <w:rFonts w:hint="eastAsia" w:hAnsi="宋体" w:cs="宋体"/>
              </w:rPr>
            </w:pPr>
            <w:r>
              <w:rPr>
                <w:rFonts w:hint="eastAsia" w:hAnsi="宋体" w:cs="宋体"/>
              </w:rPr>
              <w:t>最高限价（三年）</w:t>
            </w:r>
          </w:p>
          <w:p>
            <w:pPr>
              <w:pStyle w:val="19"/>
              <w:wordWrap w:val="0"/>
              <w:spacing w:line="460" w:lineRule="exact"/>
              <w:jc w:val="center"/>
              <w:rPr>
                <w:rFonts w:hAnsi="宋体" w:cs="宋体"/>
              </w:rPr>
            </w:pPr>
            <w:r>
              <w:rPr>
                <w:rFonts w:hint="eastAsia" w:hAnsi="宋体" w:cs="宋体"/>
              </w:rPr>
              <w:t>（</w:t>
            </w:r>
            <w:r>
              <w:rPr>
                <w:rFonts w:hint="eastAsia" w:cs="宋体"/>
              </w:rPr>
              <w:t>人民币万元</w:t>
            </w:r>
            <w:r>
              <w:rPr>
                <w:rFonts w:hint="eastAsia"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61" w:hRule="atLeast"/>
        </w:trPr>
        <w:tc>
          <w:tcPr>
            <w:tcW w:w="2362" w:type="dxa"/>
            <w:noWrap w:val="0"/>
            <w:vAlign w:val="center"/>
          </w:tcPr>
          <w:p>
            <w:pPr>
              <w:pStyle w:val="19"/>
              <w:wordWrap w:val="0"/>
              <w:spacing w:line="460" w:lineRule="exact"/>
              <w:jc w:val="center"/>
              <w:rPr>
                <w:rFonts w:hAnsi="宋体" w:cs="宋体"/>
                <w:sz w:val="22"/>
              </w:rPr>
            </w:pPr>
            <w:r>
              <w:rPr>
                <w:rFonts w:hint="eastAsia" w:hAnsi="宋体" w:cs="宋体"/>
                <w:szCs w:val="21"/>
              </w:rPr>
              <w:t>瑞安市“一把扫帚”环卫保洁一体化项目（安阳街道）</w:t>
            </w:r>
          </w:p>
        </w:tc>
        <w:tc>
          <w:tcPr>
            <w:tcW w:w="1007" w:type="dxa"/>
            <w:noWrap w:val="0"/>
            <w:vAlign w:val="center"/>
          </w:tcPr>
          <w:p>
            <w:pPr>
              <w:pStyle w:val="19"/>
              <w:wordWrap w:val="0"/>
              <w:spacing w:line="460" w:lineRule="exact"/>
              <w:jc w:val="center"/>
              <w:rPr>
                <w:rFonts w:hAnsi="宋体" w:cs="宋体"/>
              </w:rPr>
            </w:pPr>
            <w:r>
              <w:rPr>
                <w:rFonts w:hint="eastAsia" w:hAnsi="宋体" w:cs="宋体"/>
              </w:rPr>
              <w:t>三年</w:t>
            </w:r>
          </w:p>
        </w:tc>
        <w:tc>
          <w:tcPr>
            <w:tcW w:w="1134" w:type="dxa"/>
            <w:noWrap w:val="0"/>
            <w:vAlign w:val="center"/>
          </w:tcPr>
          <w:p>
            <w:pPr>
              <w:pStyle w:val="19"/>
              <w:wordWrap w:val="0"/>
              <w:spacing w:line="460" w:lineRule="exact"/>
              <w:jc w:val="center"/>
              <w:rPr>
                <w:rFonts w:hAnsi="宋体" w:cs="宋体"/>
              </w:rPr>
            </w:pPr>
            <w:r>
              <w:rPr>
                <w:rFonts w:hint="eastAsia" w:hAnsi="宋体" w:cs="宋体"/>
              </w:rPr>
              <w:t>安阳街道</w:t>
            </w:r>
          </w:p>
        </w:tc>
        <w:tc>
          <w:tcPr>
            <w:tcW w:w="3402" w:type="dxa"/>
            <w:noWrap w:val="0"/>
            <w:vAlign w:val="center"/>
          </w:tcPr>
          <w:p>
            <w:pPr>
              <w:pStyle w:val="19"/>
              <w:wordWrap w:val="0"/>
              <w:spacing w:line="460" w:lineRule="exact"/>
              <w:rPr>
                <w:rFonts w:hAnsi="宋体" w:cs="宋体"/>
              </w:rPr>
            </w:pPr>
            <w:r>
              <w:rPr>
                <w:rFonts w:hint="eastAsia" w:hAnsi="宋体" w:cs="宋体"/>
              </w:rPr>
              <w:t>大写：</w:t>
            </w:r>
          </w:p>
          <w:p>
            <w:pPr>
              <w:pStyle w:val="19"/>
              <w:wordWrap w:val="0"/>
              <w:spacing w:line="460" w:lineRule="exact"/>
              <w:rPr>
                <w:rFonts w:hAnsi="宋体" w:cs="宋体"/>
              </w:rPr>
            </w:pPr>
            <w:r>
              <w:rPr>
                <w:rFonts w:hint="eastAsia" w:hAnsi="宋体" w:cs="宋体"/>
              </w:rPr>
              <w:t>小写：</w:t>
            </w:r>
          </w:p>
        </w:tc>
        <w:tc>
          <w:tcPr>
            <w:tcW w:w="2023" w:type="dxa"/>
            <w:noWrap w:val="0"/>
            <w:vAlign w:val="center"/>
          </w:tcPr>
          <w:p>
            <w:pPr>
              <w:pStyle w:val="19"/>
              <w:wordWrap w:val="0"/>
              <w:spacing w:line="460" w:lineRule="exact"/>
              <w:jc w:val="center"/>
              <w:rPr>
                <w:rFonts w:hAnsi="宋体" w:cs="宋体"/>
              </w:rPr>
            </w:pPr>
            <w:r>
              <w:rPr>
                <w:rFonts w:hAnsi="宋体" w:cs="宋体"/>
              </w:rPr>
              <w:t>12250.3386</w:t>
            </w:r>
          </w:p>
        </w:tc>
      </w:tr>
    </w:tbl>
    <w:p>
      <w:pPr>
        <w:spacing w:line="380" w:lineRule="exact"/>
        <w:ind w:right="349" w:rightChars="166" w:firstLine="316" w:firstLineChars="150"/>
        <w:rPr>
          <w:rFonts w:hint="eastAsia" w:ascii="宋体" w:hAnsi="宋体" w:cs="宋体"/>
          <w:b/>
          <w:szCs w:val="21"/>
        </w:rPr>
      </w:pPr>
    </w:p>
    <w:p>
      <w:pPr>
        <w:spacing w:line="380" w:lineRule="exact"/>
        <w:ind w:left="523" w:leftChars="247" w:hanging="4" w:hangingChars="2"/>
        <w:rPr>
          <w:rFonts w:hint="eastAsia" w:ascii="宋体" w:hAnsi="宋体" w:cs="宋体"/>
          <w:b/>
          <w:szCs w:val="21"/>
        </w:rPr>
      </w:pPr>
      <w:r>
        <w:rPr>
          <w:rFonts w:hint="eastAsia" w:ascii="宋体" w:hAnsi="宋体" w:cs="宋体"/>
          <w:b/>
          <w:szCs w:val="21"/>
        </w:rPr>
        <w:t>说明：</w:t>
      </w:r>
    </w:p>
    <w:p>
      <w:pPr>
        <w:spacing w:line="380" w:lineRule="exact"/>
        <w:ind w:left="523" w:leftChars="247" w:hanging="4" w:hangingChars="2"/>
        <w:rPr>
          <w:rFonts w:hint="eastAsia" w:ascii="新宋体" w:hAnsi="新宋体" w:eastAsia="新宋体"/>
          <w:szCs w:val="21"/>
        </w:rPr>
      </w:pPr>
      <w:r>
        <w:rPr>
          <w:rFonts w:hint="eastAsia" w:ascii="新宋体" w:hAnsi="新宋体" w:eastAsia="新宋体"/>
          <w:szCs w:val="21"/>
        </w:rPr>
        <w:t>1. 报价一览表中报价为符合采购文件要求的项目投标价（含税、运保、随机工具、随机附件等费用），同时包括</w:t>
      </w:r>
      <w:r>
        <w:rPr>
          <w:rFonts w:hint="eastAsia" w:ascii="宋体" w:hAnsi="宋体" w:cs="宋体"/>
          <w:szCs w:val="21"/>
        </w:rPr>
        <w:t>提供服务及其他所有服务所需的一切人员工资、奖金、各种加班费、各种社会保险、食宿（工作日的午餐）与交通、专用设备及工具、器械、消耗材料、服装、安全、管理费用、税费、利润、验收费（评审费）、完成合同所需的一切本身和不可或缺的所有工作开支、政策性文件规定，合同包含的所有风险、责任等相关各项其他可能产生的全部费用</w:t>
      </w:r>
      <w:r>
        <w:rPr>
          <w:rFonts w:hint="eastAsia" w:ascii="新宋体" w:hAnsi="新宋体" w:eastAsia="新宋体"/>
          <w:szCs w:val="21"/>
        </w:rPr>
        <w:t>。</w:t>
      </w:r>
    </w:p>
    <w:p>
      <w:pPr>
        <w:spacing w:line="380" w:lineRule="exact"/>
        <w:ind w:left="523" w:leftChars="247" w:hanging="4" w:hangingChars="2"/>
        <w:rPr>
          <w:rFonts w:ascii="新宋体" w:hAnsi="新宋体" w:eastAsia="新宋体"/>
          <w:szCs w:val="21"/>
        </w:rPr>
      </w:pPr>
      <w:r>
        <w:rPr>
          <w:rFonts w:hint="eastAsia" w:ascii="新宋体" w:hAnsi="新宋体" w:eastAsia="新宋体"/>
          <w:szCs w:val="21"/>
        </w:rPr>
        <w:t>2.</w:t>
      </w:r>
      <w:r>
        <w:rPr>
          <w:rFonts w:hint="eastAsia" w:ascii="宋体" w:hAnsi="宋体"/>
          <w:szCs w:val="21"/>
        </w:rPr>
        <w:t xml:space="preserve"> </w:t>
      </w:r>
      <w:r>
        <w:rPr>
          <w:rFonts w:hint="eastAsia" w:ascii="宋体" w:hAnsi="宋体"/>
          <w:b/>
          <w:bCs/>
          <w:szCs w:val="21"/>
        </w:rPr>
        <w:t>▲投标供应商提供的技术商务文件、报价文件标中承诺投入机械车辆、船只、人员须保持一致，如不一致经评标委员会判定为重大偏差导致无效投标的，责任自负。</w:t>
      </w:r>
      <w:r>
        <w:rPr>
          <w:rFonts w:hint="eastAsia" w:ascii="新宋体" w:hAnsi="新宋体" w:eastAsia="新宋体"/>
          <w:szCs w:val="21"/>
        </w:rPr>
        <w:t xml:space="preserve"> </w:t>
      </w:r>
    </w:p>
    <w:p>
      <w:pPr>
        <w:spacing w:line="380" w:lineRule="exact"/>
        <w:ind w:left="523" w:leftChars="247" w:hanging="4" w:hangingChars="2"/>
        <w:rPr>
          <w:rFonts w:hint="eastAsia" w:ascii="新宋体" w:hAnsi="新宋体" w:eastAsia="新宋体"/>
          <w:szCs w:val="21"/>
        </w:rPr>
      </w:pPr>
      <w:r>
        <w:rPr>
          <w:rFonts w:ascii="新宋体" w:hAnsi="新宋体" w:eastAsia="新宋体"/>
          <w:szCs w:val="21"/>
        </w:rPr>
        <w:t>3.</w:t>
      </w:r>
      <w:r>
        <w:rPr>
          <w:rFonts w:hint="eastAsia" w:ascii="新宋体" w:hAnsi="新宋体" w:eastAsia="新宋体"/>
          <w:szCs w:val="21"/>
        </w:rPr>
        <w:t>投标单位可自行选择报价，综合报价小数点最多保留二位。</w:t>
      </w:r>
    </w:p>
    <w:p>
      <w:pPr>
        <w:spacing w:line="380" w:lineRule="exact"/>
        <w:ind w:left="523" w:leftChars="247" w:hanging="4" w:hangingChars="2"/>
        <w:rPr>
          <w:rFonts w:hint="eastAsia" w:ascii="新宋体" w:hAnsi="新宋体" w:eastAsia="新宋体"/>
          <w:szCs w:val="21"/>
        </w:rPr>
      </w:pPr>
      <w:r>
        <w:rPr>
          <w:rFonts w:ascii="新宋体" w:hAnsi="新宋体" w:eastAsia="新宋体"/>
          <w:szCs w:val="21"/>
        </w:rPr>
        <w:t>4</w:t>
      </w:r>
      <w:r>
        <w:rPr>
          <w:rFonts w:hint="eastAsia" w:ascii="新宋体" w:hAnsi="新宋体" w:eastAsia="新宋体"/>
          <w:szCs w:val="21"/>
        </w:rPr>
        <w:t>.此栏内投标报价（合计部分）应与附件三 “投标分项报价表”中“</w:t>
      </w:r>
      <w:r>
        <w:rPr>
          <w:rFonts w:hint="eastAsia" w:ascii="宋体" w:hAnsi="宋体"/>
          <w:szCs w:val="21"/>
        </w:rPr>
        <w:t>合计</w:t>
      </w:r>
      <w:r>
        <w:rPr>
          <w:rFonts w:hint="eastAsia" w:ascii="新宋体" w:hAnsi="新宋体" w:eastAsia="新宋体"/>
          <w:szCs w:val="21"/>
        </w:rPr>
        <w:t>”相一致。</w:t>
      </w:r>
    </w:p>
    <w:p>
      <w:pPr>
        <w:spacing w:line="380" w:lineRule="exact"/>
        <w:ind w:left="523" w:leftChars="247" w:hanging="4" w:hangingChars="2"/>
        <w:rPr>
          <w:rFonts w:hint="eastAsia" w:ascii="新宋体" w:hAnsi="新宋体" w:eastAsia="新宋体"/>
          <w:szCs w:val="21"/>
        </w:rPr>
      </w:pPr>
      <w:r>
        <w:rPr>
          <w:rFonts w:ascii="新宋体" w:hAnsi="新宋体" w:eastAsia="新宋体"/>
          <w:szCs w:val="21"/>
        </w:rPr>
        <w:t>5</w:t>
      </w:r>
      <w:r>
        <w:rPr>
          <w:rFonts w:hint="eastAsia" w:ascii="新宋体" w:hAnsi="新宋体" w:eastAsia="新宋体"/>
          <w:szCs w:val="21"/>
        </w:rPr>
        <w:t>. ▲此表不得自行增减内容，未提供此表的作</w:t>
      </w:r>
      <w:r>
        <w:rPr>
          <w:rFonts w:hint="eastAsia" w:hAnsi="宋体"/>
          <w:bCs/>
          <w:sz w:val="22"/>
          <w:szCs w:val="22"/>
        </w:rPr>
        <w:t>没有实质性响应招标文件要求</w:t>
      </w:r>
      <w:r>
        <w:rPr>
          <w:rFonts w:hint="eastAsia" w:ascii="新宋体" w:hAnsi="新宋体" w:eastAsia="新宋体"/>
          <w:szCs w:val="21"/>
        </w:rPr>
        <w:t>。</w:t>
      </w:r>
    </w:p>
    <w:p>
      <w:pPr>
        <w:spacing w:line="380" w:lineRule="exact"/>
        <w:ind w:firstLine="630" w:firstLineChars="300"/>
        <w:rPr>
          <w:rFonts w:hint="eastAsia" w:ascii="宋体" w:hAnsi="宋体" w:cs="宋体"/>
          <w:szCs w:val="21"/>
        </w:rPr>
      </w:pPr>
    </w:p>
    <w:p>
      <w:pPr>
        <w:spacing w:line="380" w:lineRule="exact"/>
        <w:ind w:left="359" w:leftChars="171"/>
        <w:rPr>
          <w:rFonts w:hint="eastAsia" w:ascii="宋体" w:hAnsi="宋体" w:cs="宋体"/>
          <w:szCs w:val="21"/>
        </w:rPr>
      </w:pPr>
      <w:r>
        <w:rPr>
          <w:rFonts w:hint="eastAsia" w:ascii="Arial" w:hAnsi="Arial"/>
        </w:rPr>
        <w:t>投标供应商</w:t>
      </w:r>
      <w:r>
        <w:rPr>
          <w:rFonts w:hint="eastAsia" w:ascii="宋体" w:hAnsi="宋体" w:cs="宋体"/>
          <w:szCs w:val="21"/>
        </w:rPr>
        <w:t>全称（盖章）：</w:t>
      </w:r>
    </w:p>
    <w:p>
      <w:pPr>
        <w:spacing w:line="380" w:lineRule="exact"/>
        <w:ind w:left="359" w:leftChars="171"/>
        <w:rPr>
          <w:rFonts w:hint="eastAsia" w:ascii="宋体" w:hAnsi="宋体" w:cs="宋体"/>
          <w:szCs w:val="21"/>
        </w:rPr>
      </w:pPr>
      <w:r>
        <w:rPr>
          <w:rFonts w:hint="eastAsia" w:ascii="宋体" w:hAnsi="宋体" w:cs="宋体"/>
          <w:szCs w:val="21"/>
        </w:rPr>
        <w:t>法定代表人或授权代表（签字）：</w:t>
      </w:r>
    </w:p>
    <w:p>
      <w:pPr>
        <w:spacing w:line="380" w:lineRule="exact"/>
        <w:ind w:left="359" w:leftChars="171"/>
        <w:rPr>
          <w:rFonts w:hint="eastAsia" w:ascii="宋体" w:hAnsi="宋体" w:cs="宋体"/>
          <w:szCs w:val="21"/>
        </w:rPr>
      </w:pPr>
      <w:r>
        <w:rPr>
          <w:rFonts w:hint="eastAsia" w:ascii="宋体" w:hAnsi="宋体" w:cs="宋体"/>
          <w:szCs w:val="21"/>
        </w:rPr>
        <w:t>日 期：  年  月  日</w:t>
      </w:r>
    </w:p>
    <w:p>
      <w:pPr>
        <w:spacing w:line="380" w:lineRule="exact"/>
        <w:ind w:left="359" w:leftChars="171"/>
        <w:rPr>
          <w:rFonts w:hint="eastAsia" w:ascii="宋体" w:hAnsi="宋体" w:cs="宋体"/>
          <w:szCs w:val="21"/>
        </w:rPr>
      </w:pPr>
    </w:p>
    <w:p>
      <w:pPr>
        <w:spacing w:line="380" w:lineRule="exact"/>
        <w:rPr>
          <w:rFonts w:hint="eastAsia" w:ascii="宋体" w:hAnsi="宋体"/>
          <w:szCs w:val="21"/>
        </w:rPr>
        <w:sectPr>
          <w:headerReference r:id="rId13" w:type="first"/>
          <w:footerReference r:id="rId14" w:type="first"/>
          <w:headerReference r:id="rId12" w:type="default"/>
          <w:pgSz w:w="11906" w:h="16838"/>
          <w:pgMar w:top="1418" w:right="1418" w:bottom="1418" w:left="1418" w:header="851" w:footer="851" w:gutter="0"/>
          <w:cols w:space="720" w:num="1"/>
          <w:docGrid w:linePitch="286" w:charSpace="0"/>
        </w:sectPr>
      </w:pPr>
    </w:p>
    <w:p>
      <w:pPr>
        <w:pStyle w:val="5"/>
        <w:rPr>
          <w:rFonts w:hint="eastAsia"/>
          <w:sz w:val="24"/>
          <w:szCs w:val="24"/>
        </w:rPr>
      </w:pPr>
      <w:bookmarkStart w:id="363" w:name="_Toc64913375"/>
      <w:bookmarkStart w:id="364" w:name="_Toc176658520"/>
      <w:bookmarkStart w:id="365" w:name="_Toc176666483"/>
      <w:r>
        <w:rPr>
          <w:rFonts w:hint="eastAsia"/>
          <w:sz w:val="24"/>
          <w:szCs w:val="24"/>
        </w:rPr>
        <w:t>附件三  投标分项报价表</w:t>
      </w:r>
      <w:bookmarkEnd w:id="363"/>
    </w:p>
    <w:p>
      <w:pPr>
        <w:pStyle w:val="5"/>
        <w:keepNext w:val="0"/>
        <w:keepLines w:val="0"/>
        <w:wordWrap w:val="0"/>
        <w:overflowPunct w:val="0"/>
        <w:adjustRightInd w:val="0"/>
        <w:snapToGrid w:val="0"/>
        <w:spacing w:before="240" w:beforeLines="100" w:after="240" w:afterLines="100" w:line="400" w:lineRule="atLeast"/>
        <w:jc w:val="center"/>
        <w:rPr>
          <w:rFonts w:hAnsi="宋体"/>
          <w:sz w:val="28"/>
          <w:szCs w:val="36"/>
        </w:rPr>
      </w:pPr>
      <w:bookmarkStart w:id="366" w:name="_Toc10244"/>
      <w:bookmarkStart w:id="367" w:name="_Toc64901792"/>
      <w:bookmarkStart w:id="368" w:name="_Toc64913376"/>
      <w:bookmarkStart w:id="369" w:name="_Hlk64900584"/>
      <w:r>
        <w:rPr>
          <w:rFonts w:hint="eastAsia" w:hAnsi="宋体"/>
          <w:sz w:val="28"/>
          <w:szCs w:val="36"/>
        </w:rPr>
        <w:t>投标分项报价表1.1</w:t>
      </w:r>
      <w:bookmarkEnd w:id="366"/>
      <w:bookmarkEnd w:id="367"/>
      <w:bookmarkEnd w:id="368"/>
    </w:p>
    <w:bookmarkEnd w:id="369"/>
    <w:p>
      <w:pPr>
        <w:spacing w:line="360" w:lineRule="exact"/>
        <w:ind w:firstLine="210" w:firstLineChars="100"/>
        <w:rPr>
          <w:rFonts w:hint="eastAsia" w:ascii="宋体" w:hAnsi="宋体"/>
          <w:szCs w:val="21"/>
        </w:rPr>
      </w:pPr>
      <w:r>
        <w:rPr>
          <w:rFonts w:hint="eastAsia" w:ascii="宋体" w:hAnsi="宋体"/>
          <w:szCs w:val="21"/>
        </w:rPr>
        <w:t>项目名称：                   项目编号：              【价格单位：元】       安阳街道</w:t>
      </w:r>
    </w:p>
    <w:tbl>
      <w:tblPr>
        <w:tblStyle w:val="35"/>
        <w:tblW w:w="5000" w:type="pct"/>
        <w:jc w:val="center"/>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Layout w:type="autofit"/>
        <w:tblCellMar>
          <w:top w:w="0" w:type="dxa"/>
          <w:left w:w="108" w:type="dxa"/>
          <w:bottom w:w="0" w:type="dxa"/>
          <w:right w:w="108" w:type="dxa"/>
        </w:tblCellMar>
      </w:tblPr>
      <w:tblGrid>
        <w:gridCol w:w="691"/>
        <w:gridCol w:w="1218"/>
        <w:gridCol w:w="1432"/>
        <w:gridCol w:w="1211"/>
        <w:gridCol w:w="1155"/>
        <w:gridCol w:w="3579"/>
      </w:tblGrid>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372" w:type="pct"/>
            <w:tcBorders>
              <w:top w:val="single" w:color="auto" w:sz="18" w:space="0"/>
              <w:left w:val="single" w:color="auto" w:sz="18" w:space="0"/>
              <w:bottom w:val="single" w:color="auto" w:sz="6"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序号</w:t>
            </w:r>
          </w:p>
        </w:tc>
        <w:tc>
          <w:tcPr>
            <w:tcW w:w="1427" w:type="pct"/>
            <w:gridSpan w:val="2"/>
            <w:tcBorders>
              <w:top w:val="single" w:color="auto" w:sz="18"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项目</w:t>
            </w:r>
          </w:p>
        </w:tc>
        <w:tc>
          <w:tcPr>
            <w:tcW w:w="652" w:type="pct"/>
            <w:tcBorders>
              <w:top w:val="single" w:color="auto" w:sz="18" w:space="0"/>
              <w:left w:val="single" w:color="auto" w:sz="6"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pacing w:val="-20"/>
                <w:sz w:val="22"/>
              </w:rPr>
            </w:pPr>
            <w:r>
              <w:rPr>
                <w:rFonts w:hint="eastAsia" w:ascii="新宋体" w:hAnsi="新宋体" w:eastAsia="新宋体"/>
                <w:spacing w:val="-20"/>
                <w:sz w:val="22"/>
              </w:rPr>
              <w:t>月支出</w:t>
            </w:r>
          </w:p>
        </w:tc>
        <w:tc>
          <w:tcPr>
            <w:tcW w:w="622" w:type="pct"/>
            <w:tcBorders>
              <w:top w:val="single" w:color="auto" w:sz="18" w:space="0"/>
              <w:left w:val="single" w:color="auto" w:sz="6"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pacing w:val="-20"/>
                <w:sz w:val="22"/>
                <w:szCs w:val="22"/>
              </w:rPr>
              <w:t>一年支出</w:t>
            </w:r>
          </w:p>
        </w:tc>
        <w:tc>
          <w:tcPr>
            <w:tcW w:w="1926" w:type="pct"/>
            <w:tcBorders>
              <w:top w:val="single" w:color="auto" w:sz="18" w:space="0"/>
              <w:left w:val="single" w:color="auto" w:sz="6" w:space="0"/>
              <w:bottom w:val="single" w:color="auto" w:sz="6" w:space="0"/>
              <w:right w:val="single" w:color="auto" w:sz="18"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说明</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restart"/>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1</w:t>
            </w:r>
          </w:p>
        </w:tc>
        <w:tc>
          <w:tcPr>
            <w:tcW w:w="656" w:type="pct"/>
            <w:vMerge w:val="restart"/>
            <w:tcBorders>
              <w:left w:val="single" w:color="auto" w:sz="4" w:space="0"/>
              <w:right w:val="single" w:color="auto" w:sz="4" w:space="0"/>
            </w:tcBorders>
            <w:noWrap w:val="0"/>
            <w:vAlign w:val="center"/>
          </w:tcPr>
          <w:p>
            <w:pPr>
              <w:wordWrap w:val="0"/>
              <w:overflowPunct w:val="0"/>
              <w:spacing w:line="240" w:lineRule="exact"/>
              <w:jc w:val="center"/>
              <w:rPr>
                <w:rFonts w:hint="eastAsia" w:ascii="新宋体" w:hAnsi="新宋体" w:eastAsia="新宋体"/>
                <w:szCs w:val="21"/>
              </w:rPr>
            </w:pPr>
            <w:r>
              <w:rPr>
                <w:rFonts w:hint="eastAsia" w:ascii="新宋体" w:hAnsi="新宋体" w:eastAsia="新宋体"/>
                <w:szCs w:val="21"/>
              </w:rPr>
              <w:t>劳动成本</w:t>
            </w:r>
          </w:p>
          <w:p>
            <w:pPr>
              <w:wordWrap w:val="0"/>
              <w:overflowPunct w:val="0"/>
              <w:spacing w:line="240" w:lineRule="exact"/>
              <w:jc w:val="center"/>
              <w:rPr>
                <w:rFonts w:ascii="新宋体" w:hAnsi="新宋体" w:eastAsia="新宋体"/>
                <w:szCs w:val="21"/>
                <w:u w:val="single"/>
              </w:rPr>
            </w:pPr>
            <w:r>
              <w:rPr>
                <w:rFonts w:hint="eastAsia" w:ascii="新宋体" w:hAnsi="新宋体" w:eastAsia="新宋体"/>
                <w:szCs w:val="21"/>
                <w:u w:val="single"/>
              </w:rPr>
              <w:t>（   人）</w:t>
            </w: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人员工资</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hint="eastAsia" w:ascii="Arial" w:hAnsi="Arial" w:cs="Arial"/>
                <w:b/>
                <w:szCs w:val="21"/>
                <w:u w:val="single"/>
              </w:rPr>
            </w:pPr>
            <w:r>
              <w:rPr>
                <w:rFonts w:hint="eastAsia" w:ascii="Arial" w:hAnsi="Arial" w:eastAsia="新宋体" w:cs="Arial"/>
                <w:b/>
                <w:sz w:val="22"/>
              </w:rPr>
              <w:t>▲</w:t>
            </w:r>
            <w:r>
              <w:rPr>
                <w:rFonts w:hint="eastAsia" w:ascii="新宋体" w:hAnsi="新宋体" w:eastAsia="新宋体"/>
                <w:szCs w:val="21"/>
              </w:rPr>
              <w:t>根据浙江省人民政府办公厅文件（</w:t>
            </w:r>
            <w:r>
              <w:rPr>
                <w:rFonts w:ascii="Arial" w:hAnsi="宋体" w:cs="Arial"/>
                <w:b/>
                <w:szCs w:val="21"/>
                <w:u w:val="single"/>
              </w:rPr>
              <w:t>月工资收入不低于</w:t>
            </w:r>
            <w:r>
              <w:rPr>
                <w:rFonts w:hint="eastAsia" w:ascii="Arial" w:hAnsi="宋体" w:cs="Arial"/>
                <w:b/>
                <w:szCs w:val="21"/>
                <w:u w:val="single"/>
              </w:rPr>
              <w:t>瑞安</w:t>
            </w:r>
            <w:r>
              <w:rPr>
                <w:rFonts w:ascii="Arial" w:hAnsi="宋体" w:cs="Arial"/>
                <w:b/>
                <w:szCs w:val="21"/>
                <w:u w:val="single"/>
              </w:rPr>
              <w:t>市本年最低工资标准</w:t>
            </w:r>
            <w:r>
              <w:rPr>
                <w:rFonts w:hint="eastAsia" w:ascii="Arial" w:hAnsi="Arial" w:cs="Arial"/>
                <w:b/>
                <w:szCs w:val="21"/>
                <w:u w:val="single"/>
              </w:rPr>
              <w:t>120%，</w:t>
            </w:r>
          </w:p>
          <w:p>
            <w:pPr>
              <w:wordWrap w:val="0"/>
              <w:overflowPunct w:val="0"/>
              <w:spacing w:line="240" w:lineRule="exact"/>
              <w:rPr>
                <w:rFonts w:ascii="新宋体" w:hAnsi="新宋体" w:eastAsia="新宋体"/>
                <w:szCs w:val="21"/>
              </w:rPr>
            </w:pPr>
            <w:r>
              <w:rPr>
                <w:rFonts w:hint="eastAsia" w:ascii="Arial" w:hAnsi="Arial" w:eastAsia="新宋体" w:cs="Arial"/>
                <w:b/>
                <w:sz w:val="22"/>
              </w:rPr>
              <w:t>▲特殊岗位津贴发放标准按10元/每人/每出勤日</w:t>
            </w:r>
            <w:r>
              <w:rPr>
                <w:rFonts w:hint="eastAsia" w:ascii="新宋体" w:hAnsi="新宋体" w:eastAsia="新宋体"/>
                <w:szCs w:val="21"/>
              </w:rPr>
              <w:t>）</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加班费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926" w:type="pct"/>
            <w:tcBorders>
              <w:top w:val="single" w:color="auto" w:sz="6" w:space="0"/>
              <w:left w:val="single" w:color="auto" w:sz="6" w:space="0"/>
              <w:bottom w:val="single" w:color="auto" w:sz="6" w:space="0"/>
              <w:right w:val="single" w:color="auto" w:sz="18" w:space="0"/>
            </w:tcBorders>
            <w:noWrap w:val="0"/>
            <w:vAlign w:val="center"/>
          </w:tcPr>
          <w:p>
            <w:pPr>
              <w:wordWrap w:val="0"/>
              <w:overflowPunct w:val="0"/>
              <w:spacing w:line="240" w:lineRule="exact"/>
              <w:rPr>
                <w:rFonts w:ascii="新宋体" w:hAnsi="新宋体" w:eastAsia="新宋体"/>
                <w:szCs w:val="21"/>
              </w:rPr>
            </w:pPr>
            <w:r>
              <w:rPr>
                <w:rFonts w:hint="eastAsia" w:ascii="新宋体" w:hAnsi="新宋体" w:eastAsia="新宋体"/>
                <w:szCs w:val="21"/>
              </w:rPr>
              <w:t>法定节假日按全员全年11天计算；</w:t>
            </w:r>
            <w:r>
              <w:rPr>
                <w:rFonts w:ascii="新宋体" w:hAnsi="新宋体" w:eastAsia="新宋体"/>
                <w:szCs w:val="21"/>
              </w:rPr>
              <w:t xml:space="preserve"> </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高温费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Arial" w:hAnsi="Arial" w:eastAsia="新宋体" w:cs="Arial"/>
                <w:b/>
                <w:sz w:val="22"/>
              </w:rPr>
              <w:t>▲高温补贴共4个月（六、七、八、九共四月，逐月发放，</w:t>
            </w:r>
            <w:r>
              <w:rPr>
                <w:rFonts w:hint="eastAsia" w:ascii="宋体"/>
                <w:b/>
                <w:bCs/>
                <w:szCs w:val="21"/>
              </w:rPr>
              <w:t>一线现场服务人员</w:t>
            </w:r>
            <w:r>
              <w:rPr>
                <w:rFonts w:hint="eastAsia" w:ascii="Arial" w:hAnsi="Arial" w:eastAsia="新宋体" w:cs="Arial"/>
                <w:b/>
                <w:sz w:val="22"/>
              </w:rPr>
              <w:t>每人每月不低于300元人民币）按相关规定发放</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各类保险</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b/>
                <w:szCs w:val="21"/>
              </w:rPr>
            </w:pPr>
            <w:r>
              <w:rPr>
                <w:rFonts w:hint="eastAsia" w:ascii="Arial" w:hAnsi="Arial" w:eastAsia="新宋体" w:cs="Arial"/>
                <w:b/>
                <w:sz w:val="22"/>
              </w:rPr>
              <w:t>▲</w:t>
            </w:r>
            <w:r>
              <w:rPr>
                <w:rFonts w:hint="eastAsia" w:ascii="新宋体" w:hAnsi="新宋体" w:eastAsia="新宋体"/>
                <w:b/>
                <w:szCs w:val="21"/>
              </w:rPr>
              <w:t>包括社保、意外保险费，其中</w:t>
            </w:r>
            <w:r>
              <w:rPr>
                <w:rFonts w:hint="eastAsia" w:ascii="宋体"/>
                <w:b/>
                <w:szCs w:val="21"/>
              </w:rPr>
              <w:t>一线现场服务人员社保缴纳人数不得低于一线现场服务人员总数的30%</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人员福利</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包括过节费、奖金</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restart"/>
            <w:tcBorders>
              <w:top w:val="single" w:color="auto" w:sz="4" w:space="0"/>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2</w:t>
            </w:r>
          </w:p>
        </w:tc>
        <w:tc>
          <w:tcPr>
            <w:tcW w:w="656" w:type="pct"/>
            <w:vMerge w:val="restart"/>
            <w:tcBorders>
              <w:top w:val="single" w:color="auto" w:sz="4" w:space="0"/>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生产费用</w:t>
            </w: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劳保用品</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工作服、雨衣、雨鞋等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生产工具</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三轮车、快速保洁车、管理用车</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耗材用品</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扫帚、畚箕、铁锹等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修理费用</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住房租金</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restart"/>
            <w:tcBorders>
              <w:top w:val="single" w:color="auto" w:sz="4" w:space="0"/>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3</w:t>
            </w:r>
          </w:p>
        </w:tc>
        <w:tc>
          <w:tcPr>
            <w:tcW w:w="656" w:type="pct"/>
            <w:vMerge w:val="restart"/>
            <w:tcBorders>
              <w:top w:val="single" w:color="auto" w:sz="4" w:space="0"/>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机械设施（扫地车、冲洗车、洒水车、船只等）</w:t>
            </w: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折旧费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vMerge w:val="restart"/>
            <w:tcBorders>
              <w:top w:val="single" w:color="auto" w:sz="6" w:space="0"/>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按投入机械、车辆、船只等具体数量分列，表格可以延续</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保养、修理费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保险费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油  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水  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pacing w:val="-20"/>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耗  材</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vMerge w:val="continue"/>
            <w:tcBorders>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jc w:val="center"/>
        </w:trPr>
        <w:tc>
          <w:tcPr>
            <w:tcW w:w="372" w:type="pct"/>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656" w:type="pct"/>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771" w:type="pct"/>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ascii="新宋体" w:hAnsi="新宋体" w:eastAsia="新宋体"/>
                <w:szCs w:val="21"/>
              </w:rPr>
              <w:t>……</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jc w:val="center"/>
        </w:trPr>
        <w:tc>
          <w:tcPr>
            <w:tcW w:w="372" w:type="pct"/>
            <w:tcBorders>
              <w:top w:val="single" w:color="auto" w:sz="6" w:space="0"/>
              <w:left w:val="single" w:color="auto" w:sz="18" w:space="0"/>
              <w:bottom w:val="single" w:color="auto" w:sz="6" w:space="0"/>
              <w:right w:val="single" w:color="auto" w:sz="4" w:space="0"/>
            </w:tcBorders>
            <w:noWrap w:val="0"/>
            <w:vAlign w:val="center"/>
          </w:tcPr>
          <w:p>
            <w:pPr>
              <w:wordWrap w:val="0"/>
              <w:overflowPunct w:val="0"/>
              <w:spacing w:line="240" w:lineRule="exact"/>
              <w:jc w:val="center"/>
              <w:rPr>
                <w:rFonts w:ascii="新宋体" w:hAnsi="新宋体" w:eastAsia="新宋体"/>
                <w:bCs/>
                <w:sz w:val="22"/>
              </w:rPr>
            </w:pPr>
            <w:r>
              <w:rPr>
                <w:rFonts w:hint="eastAsia" w:ascii="新宋体" w:hAnsi="新宋体" w:eastAsia="新宋体"/>
                <w:bCs/>
                <w:sz w:val="22"/>
              </w:rPr>
              <w:t>4</w:t>
            </w:r>
          </w:p>
        </w:tc>
        <w:tc>
          <w:tcPr>
            <w:tcW w:w="1427" w:type="pct"/>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bCs/>
                <w:szCs w:val="21"/>
              </w:rPr>
            </w:pPr>
            <w:r>
              <w:rPr>
                <w:rFonts w:hint="eastAsia" w:ascii="新宋体" w:hAnsi="新宋体" w:eastAsia="新宋体"/>
                <w:bCs/>
                <w:szCs w:val="21"/>
              </w:rPr>
              <w:t>经营管理费</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jc w:val="center"/>
        </w:trPr>
        <w:tc>
          <w:tcPr>
            <w:tcW w:w="372" w:type="pct"/>
            <w:tcBorders>
              <w:top w:val="single" w:color="auto" w:sz="6" w:space="0"/>
              <w:left w:val="single" w:color="auto" w:sz="18" w:space="0"/>
              <w:bottom w:val="single" w:color="auto" w:sz="6" w:space="0"/>
              <w:right w:val="single" w:color="auto" w:sz="4" w:space="0"/>
            </w:tcBorders>
            <w:noWrap w:val="0"/>
            <w:vAlign w:val="center"/>
          </w:tcPr>
          <w:p>
            <w:pPr>
              <w:wordWrap w:val="0"/>
              <w:overflowPunct w:val="0"/>
              <w:spacing w:line="240" w:lineRule="exact"/>
              <w:jc w:val="center"/>
              <w:rPr>
                <w:rFonts w:ascii="新宋体" w:hAnsi="新宋体" w:eastAsia="新宋体"/>
                <w:bCs/>
                <w:sz w:val="22"/>
              </w:rPr>
            </w:pPr>
            <w:r>
              <w:rPr>
                <w:rFonts w:hint="eastAsia" w:ascii="新宋体" w:hAnsi="新宋体" w:eastAsia="新宋体"/>
                <w:bCs/>
                <w:sz w:val="22"/>
              </w:rPr>
              <w:t>5</w:t>
            </w:r>
          </w:p>
        </w:tc>
        <w:tc>
          <w:tcPr>
            <w:tcW w:w="1427" w:type="pct"/>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bCs/>
                <w:szCs w:val="21"/>
              </w:rPr>
            </w:pPr>
            <w:r>
              <w:rPr>
                <w:rFonts w:hint="eastAsia" w:ascii="新宋体" w:hAnsi="新宋体" w:eastAsia="新宋体"/>
                <w:bCs/>
                <w:szCs w:val="21"/>
              </w:rPr>
              <w:t>利润</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jc w:val="center"/>
        </w:trPr>
        <w:tc>
          <w:tcPr>
            <w:tcW w:w="372" w:type="pct"/>
            <w:tcBorders>
              <w:top w:val="single" w:color="auto" w:sz="6" w:space="0"/>
              <w:left w:val="single" w:color="auto" w:sz="18" w:space="0"/>
              <w:bottom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6</w:t>
            </w:r>
          </w:p>
        </w:tc>
        <w:tc>
          <w:tcPr>
            <w:tcW w:w="1427" w:type="pct"/>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bCs/>
                <w:szCs w:val="21"/>
              </w:rPr>
            </w:pPr>
            <w:r>
              <w:rPr>
                <w:rFonts w:hint="eastAsia" w:ascii="新宋体" w:hAnsi="新宋体" w:eastAsia="新宋体"/>
                <w:bCs/>
                <w:szCs w:val="21"/>
              </w:rPr>
              <w:t>税金</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jc w:val="center"/>
        </w:trPr>
        <w:tc>
          <w:tcPr>
            <w:tcW w:w="372" w:type="pct"/>
            <w:tcBorders>
              <w:top w:val="single" w:color="auto" w:sz="6" w:space="0"/>
              <w:left w:val="single" w:color="auto" w:sz="18" w:space="0"/>
              <w:bottom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7</w:t>
            </w:r>
          </w:p>
        </w:tc>
        <w:tc>
          <w:tcPr>
            <w:tcW w:w="1427" w:type="pct"/>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ind w:firstLine="1050" w:firstLineChars="500"/>
              <w:jc w:val="both"/>
              <w:rPr>
                <w:rFonts w:ascii="新宋体" w:hAnsi="新宋体" w:eastAsia="新宋体"/>
                <w:szCs w:val="21"/>
              </w:rPr>
            </w:pPr>
            <w:r>
              <w:rPr>
                <w:rFonts w:hint="eastAsia" w:ascii="新宋体" w:hAnsi="新宋体" w:eastAsia="新宋体"/>
                <w:bCs/>
                <w:szCs w:val="21"/>
              </w:rPr>
              <w:t>其他</w:t>
            </w:r>
          </w:p>
        </w:tc>
        <w:tc>
          <w:tcPr>
            <w:tcW w:w="65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622" w:type="pct"/>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1926" w:type="pct"/>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jc w:val="center"/>
        </w:trPr>
        <w:tc>
          <w:tcPr>
            <w:tcW w:w="1799" w:type="pct"/>
            <w:gridSpan w:val="3"/>
            <w:tcBorders>
              <w:top w:val="single" w:color="auto" w:sz="6" w:space="0"/>
              <w:left w:val="single" w:color="auto" w:sz="18" w:space="0"/>
              <w:bottom w:val="single" w:color="auto" w:sz="6" w:space="0"/>
              <w:right w:val="single" w:color="auto" w:sz="6" w:space="0"/>
            </w:tcBorders>
            <w:noWrap w:val="0"/>
            <w:vAlign w:val="top"/>
          </w:tcPr>
          <w:p>
            <w:pPr>
              <w:wordWrap w:val="0"/>
              <w:overflowPunct w:val="0"/>
              <w:spacing w:line="240" w:lineRule="exact"/>
              <w:ind w:firstLine="934" w:firstLineChars="445"/>
              <w:rPr>
                <w:rFonts w:ascii="新宋体" w:hAnsi="新宋体" w:eastAsia="新宋体"/>
                <w:bCs/>
                <w:szCs w:val="21"/>
              </w:rPr>
            </w:pPr>
            <w:r>
              <w:rPr>
                <w:rFonts w:hint="eastAsia" w:ascii="新宋体" w:hAnsi="新宋体" w:eastAsia="新宋体"/>
                <w:bCs/>
                <w:szCs w:val="21"/>
              </w:rPr>
              <w:t>合   计</w:t>
            </w:r>
          </w:p>
        </w:tc>
        <w:tc>
          <w:tcPr>
            <w:tcW w:w="3201" w:type="pct"/>
            <w:gridSpan w:val="3"/>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jc w:val="center"/>
        </w:trPr>
        <w:tc>
          <w:tcPr>
            <w:tcW w:w="1799" w:type="pct"/>
            <w:gridSpan w:val="3"/>
            <w:tcBorders>
              <w:left w:val="single" w:color="auto" w:sz="18" w:space="0"/>
              <w:bottom w:val="single" w:color="auto" w:sz="4" w:space="0"/>
              <w:right w:val="single" w:color="auto" w:sz="6" w:space="0"/>
            </w:tcBorders>
            <w:noWrap w:val="0"/>
            <w:vAlign w:val="top"/>
          </w:tcPr>
          <w:p>
            <w:pPr>
              <w:wordWrap w:val="0"/>
              <w:overflowPunct w:val="0"/>
              <w:spacing w:line="240" w:lineRule="exact"/>
              <w:rPr>
                <w:rFonts w:ascii="新宋体" w:hAnsi="新宋体" w:eastAsia="新宋体"/>
                <w:b/>
                <w:bCs/>
                <w:szCs w:val="21"/>
              </w:rPr>
            </w:pPr>
            <w:r>
              <w:rPr>
                <w:rFonts w:hint="eastAsia" w:ascii="Arial" w:hAnsi="Arial" w:eastAsia="新宋体" w:cs="Arial"/>
                <w:b/>
                <w:sz w:val="22"/>
              </w:rPr>
              <w:t>一年</w:t>
            </w:r>
            <w:r>
              <w:rPr>
                <w:rFonts w:hint="eastAsia" w:ascii="新宋体" w:hAnsi="新宋体" w:eastAsia="新宋体"/>
                <w:b/>
                <w:szCs w:val="21"/>
              </w:rPr>
              <w:t>总价</w:t>
            </w:r>
          </w:p>
        </w:tc>
        <w:tc>
          <w:tcPr>
            <w:tcW w:w="3201" w:type="pct"/>
            <w:gridSpan w:val="3"/>
            <w:tcBorders>
              <w:top w:val="single" w:color="auto" w:sz="6" w:space="0"/>
              <w:left w:val="single" w:color="auto" w:sz="6" w:space="0"/>
              <w:bottom w:val="single" w:color="auto" w:sz="4" w:space="0"/>
              <w:right w:val="single" w:color="auto" w:sz="18" w:space="0"/>
            </w:tcBorders>
            <w:noWrap w:val="0"/>
            <w:vAlign w:val="top"/>
          </w:tcPr>
          <w:p>
            <w:pPr>
              <w:wordWrap w:val="0"/>
              <w:overflowPunct w:val="0"/>
              <w:spacing w:line="240" w:lineRule="exact"/>
              <w:ind w:firstLine="630" w:firstLineChars="300"/>
              <w:rPr>
                <w:rFonts w:ascii="新宋体" w:hAnsi="新宋体" w:eastAsia="新宋体"/>
                <w:szCs w:val="21"/>
              </w:rPr>
            </w:pPr>
            <w:r>
              <w:rPr>
                <w:rFonts w:hint="eastAsia" w:ascii="新宋体" w:hAnsi="新宋体" w:eastAsia="新宋体"/>
                <w:bCs/>
                <w:szCs w:val="21"/>
              </w:rPr>
              <w:t>仟   佰   拾  万  仟  佰  拾  元  角  分</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jc w:val="center"/>
        </w:trPr>
        <w:tc>
          <w:tcPr>
            <w:tcW w:w="1799" w:type="pct"/>
            <w:gridSpan w:val="3"/>
            <w:tcBorders>
              <w:top w:val="single" w:color="auto" w:sz="4" w:space="0"/>
              <w:left w:val="single" w:color="auto" w:sz="18" w:space="0"/>
              <w:bottom w:val="single" w:color="auto" w:sz="12" w:space="0"/>
              <w:right w:val="single" w:color="auto" w:sz="6" w:space="0"/>
            </w:tcBorders>
            <w:noWrap w:val="0"/>
            <w:vAlign w:val="top"/>
          </w:tcPr>
          <w:p>
            <w:pPr>
              <w:wordWrap w:val="0"/>
              <w:overflowPunct w:val="0"/>
              <w:spacing w:line="240" w:lineRule="exact"/>
              <w:rPr>
                <w:rFonts w:ascii="新宋体" w:hAnsi="新宋体" w:eastAsia="新宋体"/>
                <w:b/>
                <w:szCs w:val="21"/>
              </w:rPr>
            </w:pPr>
            <w:r>
              <w:rPr>
                <w:rFonts w:hint="eastAsia" w:ascii="新宋体" w:hAnsi="新宋体" w:eastAsia="新宋体"/>
                <w:b/>
                <w:szCs w:val="21"/>
              </w:rPr>
              <w:t>三年总价（</w:t>
            </w:r>
            <w:r>
              <w:rPr>
                <w:rFonts w:hint="eastAsia" w:ascii="Arial" w:hAnsi="Arial" w:eastAsia="新宋体" w:cs="Arial"/>
                <w:b/>
                <w:sz w:val="22"/>
              </w:rPr>
              <w:t>一年</w:t>
            </w:r>
            <w:r>
              <w:rPr>
                <w:rFonts w:hint="eastAsia" w:ascii="新宋体" w:hAnsi="新宋体" w:eastAsia="新宋体"/>
                <w:b/>
                <w:szCs w:val="21"/>
              </w:rPr>
              <w:t>总价*</w:t>
            </w:r>
            <w:r>
              <w:rPr>
                <w:rFonts w:ascii="新宋体" w:hAnsi="新宋体" w:eastAsia="新宋体"/>
                <w:b/>
                <w:szCs w:val="21"/>
              </w:rPr>
              <w:t>3</w:t>
            </w:r>
            <w:r>
              <w:rPr>
                <w:rFonts w:hint="eastAsia" w:ascii="新宋体" w:hAnsi="新宋体" w:eastAsia="新宋体"/>
                <w:b/>
                <w:szCs w:val="21"/>
              </w:rPr>
              <w:t>）</w:t>
            </w:r>
          </w:p>
        </w:tc>
        <w:tc>
          <w:tcPr>
            <w:tcW w:w="3201" w:type="pct"/>
            <w:gridSpan w:val="3"/>
            <w:tcBorders>
              <w:top w:val="single" w:color="auto" w:sz="4" w:space="0"/>
              <w:left w:val="single" w:color="auto" w:sz="6" w:space="0"/>
              <w:bottom w:val="single" w:color="auto" w:sz="12" w:space="0"/>
              <w:right w:val="single" w:color="auto" w:sz="18" w:space="0"/>
            </w:tcBorders>
            <w:noWrap w:val="0"/>
            <w:vAlign w:val="top"/>
          </w:tcPr>
          <w:p>
            <w:pPr>
              <w:wordWrap w:val="0"/>
              <w:overflowPunct w:val="0"/>
              <w:spacing w:line="240" w:lineRule="exact"/>
              <w:ind w:firstLine="630" w:firstLineChars="300"/>
              <w:rPr>
                <w:rFonts w:ascii="新宋体" w:hAnsi="新宋体" w:eastAsia="新宋体"/>
                <w:bCs/>
                <w:szCs w:val="21"/>
              </w:rPr>
            </w:pPr>
            <w:r>
              <w:rPr>
                <w:rFonts w:hint="eastAsia" w:ascii="新宋体" w:hAnsi="新宋体" w:eastAsia="新宋体"/>
                <w:bCs/>
                <w:szCs w:val="21"/>
              </w:rPr>
              <w:t>仟   佰   拾  万  仟  佰  拾  元  角  分</w:t>
            </w:r>
          </w:p>
        </w:tc>
      </w:tr>
    </w:tbl>
    <w:p>
      <w:pPr>
        <w:wordWrap w:val="0"/>
        <w:overflowPunct w:val="0"/>
        <w:spacing w:line="240" w:lineRule="exact"/>
        <w:ind w:left="405" w:leftChars="-1" w:hanging="407" w:hangingChars="194"/>
        <w:rPr>
          <w:rFonts w:hint="eastAsia" w:ascii="宋体" w:hAnsi="宋体" w:cs="Arial Unicode MS"/>
          <w:szCs w:val="21"/>
        </w:rPr>
      </w:pPr>
      <w:r>
        <w:rPr>
          <w:rFonts w:hint="eastAsia" w:ascii="宋体" w:hAnsi="宋体" w:cs="Arial Unicode MS"/>
          <w:szCs w:val="21"/>
        </w:rPr>
        <w:t>注：1.本表所列费用为该分项的全部费用，未列费用均为综合考虑。</w:t>
      </w:r>
    </w:p>
    <w:p>
      <w:pPr>
        <w:wordWrap w:val="0"/>
        <w:overflowPunct w:val="0"/>
        <w:spacing w:line="240" w:lineRule="exact"/>
        <w:ind w:left="485" w:leftChars="231"/>
        <w:rPr>
          <w:rFonts w:hint="eastAsia" w:ascii="宋体" w:hAnsi="宋体" w:cs="Arial Unicode MS"/>
          <w:szCs w:val="21"/>
        </w:rPr>
      </w:pPr>
      <w:r>
        <w:rPr>
          <w:rFonts w:hint="eastAsia" w:ascii="宋体" w:hAnsi="宋体" w:cs="Arial Unicode MS"/>
          <w:szCs w:val="21"/>
        </w:rPr>
        <w:t>2.</w:t>
      </w:r>
      <w:r>
        <w:rPr>
          <w:rFonts w:hint="eastAsia" w:ascii="宋体" w:hAnsi="宋体" w:cs="Arial Unicode MS"/>
          <w:spacing w:val="-6"/>
          <w:szCs w:val="21"/>
        </w:rPr>
        <w:t>该表中的“三年总价”应与附件二“开标一览表”中 “投标总价”相一致。</w:t>
      </w:r>
    </w:p>
    <w:p>
      <w:pPr>
        <w:wordWrap w:val="0"/>
        <w:overflowPunct w:val="0"/>
        <w:spacing w:line="240" w:lineRule="exact"/>
        <w:ind w:left="485" w:leftChars="231"/>
        <w:rPr>
          <w:rFonts w:hint="eastAsia" w:ascii="宋体" w:hAnsi="宋体" w:cs="Arial Unicode MS"/>
          <w:szCs w:val="21"/>
        </w:rPr>
      </w:pPr>
      <w:r>
        <w:rPr>
          <w:rFonts w:hint="eastAsia" w:ascii="宋体" w:hAnsi="宋体" w:cs="Arial Unicode MS"/>
          <w:szCs w:val="21"/>
        </w:rPr>
        <w:t>3</w:t>
      </w:r>
      <w:r>
        <w:rPr>
          <w:rFonts w:ascii="宋体" w:hAnsi="宋体" w:cs="Arial Unicode MS"/>
          <w:szCs w:val="21"/>
        </w:rPr>
        <w:t>.</w:t>
      </w:r>
      <w:r>
        <w:rPr>
          <w:rFonts w:hint="eastAsia" w:ascii="宋体" w:hAnsi="宋体" w:cs="Arial Unicode MS"/>
          <w:szCs w:val="21"/>
        </w:rPr>
        <w:t>不提供此表的报价，视为没有实质性响应招标文件要求。</w:t>
      </w:r>
    </w:p>
    <w:p>
      <w:pPr>
        <w:wordWrap w:val="0"/>
        <w:overflowPunct w:val="0"/>
        <w:spacing w:line="240" w:lineRule="exact"/>
        <w:ind w:left="485" w:leftChars="231"/>
        <w:rPr>
          <w:rFonts w:hint="eastAsia" w:ascii="宋体" w:hAnsi="宋体" w:cs="Arial Unicode MS"/>
          <w:szCs w:val="21"/>
        </w:rPr>
      </w:pPr>
      <w:r>
        <w:rPr>
          <w:rFonts w:hint="eastAsia" w:ascii="宋体" w:hAnsi="宋体" w:cs="Arial Unicode MS"/>
          <w:szCs w:val="21"/>
        </w:rPr>
        <w:t>4.报价低于本表规定的，视为没有实质性响应招标文件要求。</w:t>
      </w:r>
    </w:p>
    <w:p>
      <w:pPr>
        <w:wordWrap w:val="0"/>
        <w:overflowPunct w:val="0"/>
        <w:spacing w:line="240" w:lineRule="exact"/>
        <w:ind w:left="485" w:leftChars="231"/>
        <w:rPr>
          <w:rFonts w:hint="eastAsia" w:ascii="宋体" w:hAnsi="宋体" w:eastAsia="新宋体" w:cs="Arial Unicode MS"/>
          <w:szCs w:val="21"/>
        </w:rPr>
      </w:pPr>
      <w:r>
        <w:rPr>
          <w:rFonts w:hint="eastAsia" w:ascii="宋体" w:hAnsi="宋体" w:cs="Arial Unicode MS"/>
          <w:szCs w:val="21"/>
        </w:rPr>
        <w:t>5、本表中劳动成本（</w:t>
      </w:r>
      <w:r>
        <w:rPr>
          <w:rFonts w:hint="eastAsia" w:ascii="宋体" w:hAnsi="宋体" w:cs="Arial Unicode MS"/>
          <w:szCs w:val="21"/>
          <w:u w:val="single"/>
        </w:rPr>
        <w:t xml:space="preserve">   人）</w:t>
      </w:r>
      <w:r>
        <w:rPr>
          <w:rFonts w:hint="eastAsia" w:ascii="宋体" w:hAnsi="宋体" w:cs="Arial Unicode MS"/>
          <w:szCs w:val="21"/>
        </w:rPr>
        <w:t>与拟投入本项目人员配备情况表中对应人数不一致，视为没有实质性响应招标文件要求。</w:t>
      </w:r>
    </w:p>
    <w:p>
      <w:pPr>
        <w:tabs>
          <w:tab w:val="left" w:pos="4635"/>
        </w:tabs>
        <w:wordWrap w:val="0"/>
        <w:overflowPunct w:val="0"/>
        <w:spacing w:line="240" w:lineRule="exact"/>
        <w:ind w:left="3826" w:leftChars="1822" w:right="840"/>
        <w:rPr>
          <w:rFonts w:hint="eastAsia" w:ascii="宋体" w:hAnsi="宋体" w:cs="Arial Unicode MS"/>
        </w:rPr>
      </w:pPr>
      <w:r>
        <w:rPr>
          <w:rFonts w:hint="eastAsia" w:ascii="宋体" w:hAnsi="宋体" w:cs="Arial Unicode MS"/>
        </w:rPr>
        <w:t>投标供应商全称（公章）：</w:t>
      </w:r>
    </w:p>
    <w:p>
      <w:pPr>
        <w:tabs>
          <w:tab w:val="left" w:pos="4635"/>
        </w:tabs>
        <w:wordWrap w:val="0"/>
        <w:overflowPunct w:val="0"/>
        <w:spacing w:line="240" w:lineRule="exact"/>
        <w:ind w:left="3826" w:leftChars="1822"/>
        <w:rPr>
          <w:rFonts w:hint="eastAsia" w:ascii="宋体" w:hAnsi="宋体" w:cs="Arial Unicode MS"/>
        </w:rPr>
      </w:pPr>
      <w:r>
        <w:rPr>
          <w:rFonts w:hint="eastAsia" w:ascii="宋体" w:hAnsi="宋体" w:cs="Arial Unicode MS"/>
        </w:rPr>
        <w:t>法定代表人或授权代表（签字或盖章）：</w:t>
      </w:r>
    </w:p>
    <w:p>
      <w:pPr>
        <w:tabs>
          <w:tab w:val="left" w:pos="4635"/>
        </w:tabs>
        <w:wordWrap w:val="0"/>
        <w:overflowPunct w:val="0"/>
        <w:spacing w:line="240" w:lineRule="exact"/>
        <w:ind w:left="3826" w:leftChars="1822"/>
        <w:rPr>
          <w:rFonts w:hint="eastAsia" w:ascii="宋体" w:hAnsi="宋体" w:cs="Arial Unicode MS"/>
        </w:rPr>
      </w:pPr>
      <w:r>
        <w:rPr>
          <w:rFonts w:hint="eastAsia" w:ascii="宋体" w:hAnsi="宋体" w:cs="Arial Unicode MS"/>
          <w:szCs w:val="22"/>
        </w:rPr>
        <w:t xml:space="preserve">日      </w:t>
      </w:r>
      <w:r>
        <w:rPr>
          <w:rFonts w:hint="eastAsia" w:ascii="宋体" w:hAnsi="宋体" w:cs="Arial Unicode MS"/>
        </w:rPr>
        <w:t>期：</w:t>
      </w:r>
    </w:p>
    <w:p>
      <w:pPr>
        <w:spacing w:line="500" w:lineRule="exact"/>
        <w:ind w:firstLine="420" w:firstLineChars="200"/>
        <w:rPr>
          <w:rFonts w:ascii="宋体" w:hAnsi="宋体"/>
          <w:szCs w:val="21"/>
        </w:rPr>
      </w:pPr>
    </w:p>
    <w:p>
      <w:pPr>
        <w:pStyle w:val="5"/>
        <w:keepNext w:val="0"/>
        <w:keepLines w:val="0"/>
        <w:wordWrap w:val="0"/>
        <w:overflowPunct w:val="0"/>
        <w:adjustRightInd w:val="0"/>
        <w:snapToGrid w:val="0"/>
        <w:spacing w:before="240" w:beforeLines="100" w:after="240" w:afterLines="100" w:line="400" w:lineRule="atLeast"/>
        <w:jc w:val="center"/>
        <w:rPr>
          <w:rFonts w:hAnsi="宋体"/>
          <w:sz w:val="28"/>
          <w:szCs w:val="36"/>
        </w:rPr>
      </w:pPr>
      <w:bookmarkStart w:id="370" w:name="_Toc2115"/>
      <w:bookmarkStart w:id="371" w:name="_Toc64913377"/>
      <w:bookmarkStart w:id="372" w:name="_Toc64901793"/>
      <w:r>
        <w:rPr>
          <w:rFonts w:hint="eastAsia" w:hAnsi="宋体"/>
          <w:sz w:val="28"/>
          <w:szCs w:val="36"/>
        </w:rPr>
        <w:t>投标分项报价表1.</w:t>
      </w:r>
      <w:bookmarkEnd w:id="370"/>
      <w:r>
        <w:rPr>
          <w:rFonts w:hint="eastAsia" w:hAnsi="宋体"/>
          <w:sz w:val="28"/>
          <w:szCs w:val="36"/>
        </w:rPr>
        <w:t>1.1</w:t>
      </w:r>
      <w:bookmarkEnd w:id="371"/>
      <w:bookmarkEnd w:id="372"/>
    </w:p>
    <w:p>
      <w:pPr>
        <w:wordWrap w:val="0"/>
        <w:overflowPunct w:val="0"/>
        <w:spacing w:line="240" w:lineRule="exact"/>
        <w:jc w:val="center"/>
        <w:rPr>
          <w:rFonts w:hint="eastAsia" w:ascii="宋体" w:hAnsi="宋体" w:cs="Arial Unicode MS"/>
          <w:b/>
          <w:bCs/>
          <w:sz w:val="22"/>
        </w:rPr>
      </w:pPr>
      <w:r>
        <w:rPr>
          <w:rFonts w:hint="eastAsia" w:ascii="宋体" w:hAnsi="宋体" w:cs="Arial Unicode MS"/>
          <w:b/>
          <w:bCs/>
          <w:sz w:val="22"/>
        </w:rPr>
        <w:t>（安阳街道道路公路、市政设施、小广告、装修垃圾清运等部分明细报价）</w:t>
      </w:r>
    </w:p>
    <w:p>
      <w:pPr>
        <w:wordWrap w:val="0"/>
        <w:overflowPunct w:val="0"/>
        <w:spacing w:line="240" w:lineRule="exact"/>
        <w:rPr>
          <w:rFonts w:ascii="新宋体" w:hAnsi="新宋体" w:eastAsia="新宋体"/>
          <w:szCs w:val="21"/>
        </w:rPr>
      </w:pPr>
      <w:r>
        <w:rPr>
          <w:rFonts w:hint="eastAsia" w:ascii="新宋体" w:hAnsi="新宋体" w:eastAsia="新宋体"/>
          <w:b/>
          <w:szCs w:val="21"/>
        </w:rPr>
        <w:t xml:space="preserve">项目名称：                        项目编号：            </w:t>
      </w:r>
      <w:r>
        <w:rPr>
          <w:rFonts w:hint="eastAsia" w:ascii="新宋体" w:hAnsi="新宋体" w:eastAsia="新宋体"/>
          <w:szCs w:val="21"/>
        </w:rPr>
        <w:t>【价格单位：元】</w:t>
      </w:r>
    </w:p>
    <w:tbl>
      <w:tblPr>
        <w:tblStyle w:val="35"/>
        <w:tblW w:w="9840" w:type="dxa"/>
        <w:tblInd w:w="-72" w:type="dxa"/>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Layout w:type="fixed"/>
        <w:tblCellMar>
          <w:top w:w="0" w:type="dxa"/>
          <w:left w:w="108" w:type="dxa"/>
          <w:bottom w:w="0" w:type="dxa"/>
          <w:right w:w="108" w:type="dxa"/>
        </w:tblCellMar>
      </w:tblPr>
      <w:tblGrid>
        <w:gridCol w:w="732"/>
        <w:gridCol w:w="1291"/>
        <w:gridCol w:w="1517"/>
        <w:gridCol w:w="1470"/>
        <w:gridCol w:w="1124"/>
        <w:gridCol w:w="3706"/>
      </w:tblGrid>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732" w:type="dxa"/>
            <w:tcBorders>
              <w:top w:val="single" w:color="auto" w:sz="18" w:space="0"/>
              <w:left w:val="single" w:color="auto" w:sz="18" w:space="0"/>
              <w:bottom w:val="single" w:color="auto" w:sz="6"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序号</w:t>
            </w:r>
          </w:p>
        </w:tc>
        <w:tc>
          <w:tcPr>
            <w:tcW w:w="2808" w:type="dxa"/>
            <w:gridSpan w:val="2"/>
            <w:tcBorders>
              <w:top w:val="single" w:color="auto" w:sz="18"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项目</w:t>
            </w:r>
          </w:p>
        </w:tc>
        <w:tc>
          <w:tcPr>
            <w:tcW w:w="1470" w:type="dxa"/>
            <w:tcBorders>
              <w:top w:val="single" w:color="auto" w:sz="18" w:space="0"/>
              <w:left w:val="single" w:color="auto" w:sz="6"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pacing w:val="-20"/>
                <w:sz w:val="22"/>
              </w:rPr>
            </w:pPr>
            <w:r>
              <w:rPr>
                <w:rFonts w:hint="eastAsia" w:ascii="新宋体" w:hAnsi="新宋体" w:eastAsia="新宋体"/>
                <w:spacing w:val="-20"/>
                <w:sz w:val="22"/>
              </w:rPr>
              <w:t>月支出</w:t>
            </w:r>
          </w:p>
        </w:tc>
        <w:tc>
          <w:tcPr>
            <w:tcW w:w="1124" w:type="dxa"/>
            <w:tcBorders>
              <w:top w:val="single" w:color="auto" w:sz="18" w:space="0"/>
              <w:left w:val="single" w:color="auto" w:sz="6"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b/>
                <w:sz w:val="22"/>
              </w:rPr>
              <w:t>一年</w:t>
            </w:r>
            <w:r>
              <w:rPr>
                <w:rFonts w:hint="eastAsia" w:ascii="新宋体" w:hAnsi="新宋体" w:eastAsia="新宋体"/>
                <w:sz w:val="22"/>
              </w:rPr>
              <w:t>支出</w:t>
            </w:r>
          </w:p>
        </w:tc>
        <w:tc>
          <w:tcPr>
            <w:tcW w:w="3706" w:type="dxa"/>
            <w:tcBorders>
              <w:top w:val="single" w:color="auto" w:sz="18" w:space="0"/>
              <w:left w:val="single" w:color="auto" w:sz="6" w:space="0"/>
              <w:bottom w:val="single" w:color="auto" w:sz="6" w:space="0"/>
              <w:right w:val="single" w:color="auto" w:sz="18"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说明</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1</w:t>
            </w:r>
          </w:p>
        </w:tc>
        <w:tc>
          <w:tcPr>
            <w:tcW w:w="1291" w:type="dxa"/>
            <w:vMerge w:val="restart"/>
            <w:tcBorders>
              <w:left w:val="single" w:color="auto" w:sz="4" w:space="0"/>
              <w:right w:val="single" w:color="auto" w:sz="4" w:space="0"/>
            </w:tcBorders>
            <w:noWrap w:val="0"/>
            <w:vAlign w:val="center"/>
          </w:tcPr>
          <w:p>
            <w:pPr>
              <w:wordWrap w:val="0"/>
              <w:overflowPunct w:val="0"/>
              <w:spacing w:line="240" w:lineRule="exact"/>
              <w:jc w:val="center"/>
              <w:rPr>
                <w:rFonts w:hint="eastAsia"/>
              </w:rPr>
            </w:pPr>
            <w:r>
              <w:rPr>
                <w:rFonts w:hint="eastAsia"/>
              </w:rPr>
              <w:t>劳动成本</w:t>
            </w:r>
          </w:p>
          <w:p>
            <w:pPr>
              <w:pStyle w:val="164"/>
              <w:widowControl/>
              <w:wordWrap w:val="0"/>
              <w:overflowPunct w:val="0"/>
              <w:spacing w:line="240" w:lineRule="exact"/>
              <w:ind w:left="0" w:firstLine="210"/>
            </w:pPr>
            <w:r>
              <w:rPr>
                <w:rFonts w:hint="eastAsia" w:ascii="新宋体" w:hAnsi="新宋体" w:eastAsia="新宋体"/>
                <w:szCs w:val="21"/>
                <w:u w:val="single"/>
              </w:rPr>
              <w:t>（   人）</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人员工资</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hint="eastAsia" w:ascii="Arial" w:hAnsi="Arial" w:cs="Arial"/>
                <w:b/>
                <w:szCs w:val="21"/>
                <w:u w:val="single"/>
              </w:rPr>
            </w:pPr>
            <w:r>
              <w:rPr>
                <w:rFonts w:hint="eastAsia" w:ascii="Arial" w:hAnsi="Arial" w:eastAsia="新宋体" w:cs="Arial"/>
                <w:b/>
                <w:sz w:val="22"/>
              </w:rPr>
              <w:t>▲</w:t>
            </w:r>
            <w:r>
              <w:rPr>
                <w:rFonts w:hint="eastAsia" w:ascii="新宋体" w:hAnsi="新宋体" w:eastAsia="新宋体"/>
                <w:szCs w:val="21"/>
              </w:rPr>
              <w:t>根据浙江省人民政府办公厅文件（</w:t>
            </w:r>
            <w:r>
              <w:rPr>
                <w:rFonts w:ascii="Arial" w:hAnsi="宋体" w:cs="Arial"/>
                <w:b/>
                <w:szCs w:val="21"/>
                <w:u w:val="single"/>
              </w:rPr>
              <w:t>月工资收入不低于</w:t>
            </w:r>
            <w:r>
              <w:rPr>
                <w:rFonts w:hint="eastAsia" w:ascii="Arial" w:hAnsi="宋体" w:cs="Arial"/>
                <w:b/>
                <w:szCs w:val="21"/>
                <w:u w:val="single"/>
              </w:rPr>
              <w:t>瑞安</w:t>
            </w:r>
            <w:r>
              <w:rPr>
                <w:rFonts w:ascii="Arial" w:hAnsi="宋体" w:cs="Arial"/>
                <w:b/>
                <w:szCs w:val="21"/>
                <w:u w:val="single"/>
              </w:rPr>
              <w:t>市本年最低工资标准</w:t>
            </w:r>
            <w:r>
              <w:rPr>
                <w:rFonts w:hint="eastAsia" w:ascii="Arial" w:hAnsi="Arial" w:cs="Arial"/>
                <w:b/>
                <w:szCs w:val="21"/>
                <w:u w:val="single"/>
              </w:rPr>
              <w:t>120%，</w:t>
            </w:r>
          </w:p>
          <w:p>
            <w:pPr>
              <w:wordWrap w:val="0"/>
              <w:overflowPunct w:val="0"/>
              <w:spacing w:line="240" w:lineRule="exact"/>
              <w:rPr>
                <w:rFonts w:ascii="新宋体" w:hAnsi="新宋体" w:eastAsia="新宋体"/>
                <w:szCs w:val="21"/>
              </w:rPr>
            </w:pPr>
            <w:r>
              <w:rPr>
                <w:rFonts w:hint="eastAsia" w:ascii="Arial" w:hAnsi="Arial" w:eastAsia="新宋体" w:cs="Arial"/>
                <w:b/>
                <w:sz w:val="22"/>
              </w:rPr>
              <w:t>▲特殊岗位津贴发放标准按10元/每人/每出勤日</w:t>
            </w:r>
            <w:r>
              <w:rPr>
                <w:rFonts w:hint="eastAsia" w:ascii="新宋体" w:hAnsi="新宋体" w:eastAsia="新宋体"/>
                <w:szCs w:val="21"/>
              </w:rPr>
              <w:t>）</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加班费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法定节假日按全员全年11天计算；</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高温费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Arial" w:hAnsi="Arial" w:eastAsia="新宋体" w:cs="Arial"/>
                <w:b/>
                <w:sz w:val="22"/>
              </w:rPr>
              <w:t>▲高温补贴共4个月（六、七、八、九共四月，逐月发放，</w:t>
            </w:r>
            <w:r>
              <w:rPr>
                <w:rFonts w:hint="eastAsia" w:ascii="宋体"/>
                <w:b/>
                <w:bCs/>
                <w:szCs w:val="21"/>
              </w:rPr>
              <w:t>一线现场服务人员</w:t>
            </w:r>
            <w:r>
              <w:rPr>
                <w:rFonts w:hint="eastAsia" w:ascii="Arial" w:hAnsi="Arial" w:eastAsia="新宋体" w:cs="Arial"/>
                <w:b/>
                <w:sz w:val="22"/>
              </w:rPr>
              <w:t>每人每月不低于300元人民币）按相关规定发放</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各类保险</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Arial" w:hAnsi="Arial" w:eastAsia="新宋体" w:cs="Arial"/>
                <w:b/>
                <w:sz w:val="22"/>
              </w:rPr>
              <w:t>▲</w:t>
            </w:r>
            <w:r>
              <w:rPr>
                <w:rFonts w:hint="eastAsia" w:ascii="新宋体" w:hAnsi="新宋体" w:eastAsia="新宋体"/>
                <w:b/>
                <w:szCs w:val="21"/>
              </w:rPr>
              <w:t>包括社保、意外保险费，其中</w:t>
            </w:r>
            <w:r>
              <w:rPr>
                <w:rFonts w:hint="eastAsia" w:ascii="宋体"/>
                <w:b/>
                <w:szCs w:val="21"/>
              </w:rPr>
              <w:t>一线现场服务人员社保缴纳人数不得低于一线现场服务人员总数的30%</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人员福利</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包括过节费、奖金</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top w:val="single" w:color="auto" w:sz="4" w:space="0"/>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2</w:t>
            </w:r>
          </w:p>
        </w:tc>
        <w:tc>
          <w:tcPr>
            <w:tcW w:w="1291" w:type="dxa"/>
            <w:vMerge w:val="restart"/>
            <w:tcBorders>
              <w:top w:val="single" w:color="auto" w:sz="4" w:space="0"/>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生产费用</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劳保用品</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工作服、雨衣、雨鞋等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12"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生产工具</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三轮车、快速保洁车、管理用车</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耗材用品</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扫帚、畚箕、铁锹等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修理费用</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住房租金</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top w:val="single" w:color="auto" w:sz="4" w:space="0"/>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3</w:t>
            </w:r>
          </w:p>
        </w:tc>
        <w:tc>
          <w:tcPr>
            <w:tcW w:w="1291" w:type="dxa"/>
            <w:vMerge w:val="restart"/>
            <w:tcBorders>
              <w:top w:val="single" w:color="auto" w:sz="4" w:space="0"/>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机械设施（扫地车、冲洗车、洒水车、等）</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折旧费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vMerge w:val="restart"/>
            <w:tcBorders>
              <w:top w:val="single" w:color="auto" w:sz="6" w:space="0"/>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按投入机械、车辆、船只等具体数量分列，表格可以延续</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保养、修理费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保险费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油  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水  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40" w:lineRule="exact"/>
              <w:rPr>
                <w:rFonts w:ascii="新宋体" w:hAnsi="新宋体" w:eastAsia="新宋体"/>
                <w:spacing w:val="-20"/>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耗  材</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vMerge w:val="continue"/>
            <w:tcBorders>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trPr>
        <w:tc>
          <w:tcPr>
            <w:tcW w:w="732" w:type="dxa"/>
            <w:tcBorders>
              <w:top w:val="single" w:color="auto" w:sz="6" w:space="0"/>
              <w:left w:val="single" w:color="auto" w:sz="18" w:space="0"/>
              <w:bottom w:val="single" w:color="auto" w:sz="6" w:space="0"/>
              <w:right w:val="single" w:color="auto" w:sz="4" w:space="0"/>
            </w:tcBorders>
            <w:noWrap w:val="0"/>
            <w:vAlign w:val="center"/>
          </w:tcPr>
          <w:p>
            <w:pPr>
              <w:wordWrap w:val="0"/>
              <w:overflowPunct w:val="0"/>
              <w:spacing w:line="240" w:lineRule="exact"/>
              <w:jc w:val="center"/>
              <w:rPr>
                <w:rFonts w:ascii="新宋体" w:hAnsi="新宋体" w:eastAsia="新宋体"/>
                <w:bCs/>
                <w:sz w:val="22"/>
              </w:rPr>
            </w:pPr>
            <w:r>
              <w:rPr>
                <w:rFonts w:hint="eastAsia" w:ascii="新宋体" w:hAnsi="新宋体" w:eastAsia="新宋体"/>
                <w:bCs/>
                <w:sz w:val="22"/>
              </w:rPr>
              <w:t>4</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bCs/>
                <w:szCs w:val="21"/>
              </w:rPr>
            </w:pPr>
            <w:r>
              <w:rPr>
                <w:rFonts w:hint="eastAsia" w:ascii="新宋体" w:hAnsi="新宋体" w:eastAsia="新宋体"/>
                <w:bCs/>
                <w:szCs w:val="21"/>
              </w:rPr>
              <w:t>经营管理费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trPr>
        <w:tc>
          <w:tcPr>
            <w:tcW w:w="732" w:type="dxa"/>
            <w:tcBorders>
              <w:top w:val="single" w:color="auto" w:sz="6" w:space="0"/>
              <w:left w:val="single" w:color="auto" w:sz="18" w:space="0"/>
              <w:bottom w:val="single" w:color="auto" w:sz="6" w:space="0"/>
              <w:right w:val="single" w:color="auto" w:sz="4" w:space="0"/>
            </w:tcBorders>
            <w:noWrap w:val="0"/>
            <w:vAlign w:val="center"/>
          </w:tcPr>
          <w:p>
            <w:pPr>
              <w:wordWrap w:val="0"/>
              <w:overflowPunct w:val="0"/>
              <w:spacing w:line="240" w:lineRule="exact"/>
              <w:jc w:val="center"/>
              <w:rPr>
                <w:rFonts w:ascii="新宋体" w:hAnsi="新宋体" w:eastAsia="新宋体"/>
                <w:bCs/>
                <w:sz w:val="22"/>
              </w:rPr>
            </w:pPr>
            <w:r>
              <w:rPr>
                <w:rFonts w:hint="eastAsia" w:ascii="新宋体" w:hAnsi="新宋体" w:eastAsia="新宋体"/>
                <w:bCs/>
                <w:sz w:val="22"/>
              </w:rPr>
              <w:t>5</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bCs/>
                <w:szCs w:val="21"/>
              </w:rPr>
            </w:pPr>
            <w:r>
              <w:rPr>
                <w:rFonts w:hint="eastAsia" w:ascii="新宋体" w:hAnsi="新宋体" w:eastAsia="新宋体"/>
                <w:bCs/>
                <w:szCs w:val="21"/>
              </w:rPr>
              <w:t>利润</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trPr>
        <w:tc>
          <w:tcPr>
            <w:tcW w:w="732" w:type="dxa"/>
            <w:tcBorders>
              <w:top w:val="single" w:color="auto" w:sz="6" w:space="0"/>
              <w:left w:val="single" w:color="auto" w:sz="18" w:space="0"/>
              <w:bottom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6</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bCs/>
                <w:szCs w:val="21"/>
              </w:rPr>
            </w:pPr>
            <w:r>
              <w:rPr>
                <w:rFonts w:hint="eastAsia" w:ascii="新宋体" w:hAnsi="新宋体" w:eastAsia="新宋体"/>
                <w:bCs/>
                <w:szCs w:val="21"/>
              </w:rPr>
              <w:t>税金</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trPr>
        <w:tc>
          <w:tcPr>
            <w:tcW w:w="732" w:type="dxa"/>
            <w:tcBorders>
              <w:top w:val="single" w:color="auto" w:sz="6" w:space="0"/>
              <w:left w:val="single" w:color="auto" w:sz="18" w:space="0"/>
              <w:bottom w:val="single" w:color="auto" w:sz="4" w:space="0"/>
              <w:right w:val="single" w:color="auto" w:sz="4" w:space="0"/>
            </w:tcBorders>
            <w:noWrap w:val="0"/>
            <w:vAlign w:val="center"/>
          </w:tcPr>
          <w:p>
            <w:pPr>
              <w:wordWrap w:val="0"/>
              <w:overflowPunct w:val="0"/>
              <w:spacing w:line="240" w:lineRule="exact"/>
              <w:jc w:val="center"/>
              <w:rPr>
                <w:rFonts w:ascii="新宋体" w:hAnsi="新宋体" w:eastAsia="新宋体"/>
                <w:sz w:val="22"/>
              </w:rPr>
            </w:pPr>
            <w:r>
              <w:rPr>
                <w:rFonts w:hint="eastAsia" w:ascii="新宋体" w:hAnsi="新宋体" w:eastAsia="新宋体"/>
                <w:sz w:val="22"/>
              </w:rPr>
              <w:t>7</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bCs/>
                <w:szCs w:val="21"/>
              </w:rPr>
              <w:t>其他</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4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6" w:space="0"/>
              <w:left w:val="single" w:color="auto" w:sz="18" w:space="0"/>
              <w:bottom w:val="single" w:color="auto" w:sz="6" w:space="0"/>
              <w:right w:val="single" w:color="auto" w:sz="6" w:space="0"/>
            </w:tcBorders>
            <w:noWrap w:val="0"/>
            <w:vAlign w:val="center"/>
          </w:tcPr>
          <w:p>
            <w:pPr>
              <w:wordWrap w:val="0"/>
              <w:overflowPunct w:val="0"/>
              <w:spacing w:line="240" w:lineRule="exact"/>
              <w:jc w:val="center"/>
              <w:rPr>
                <w:rFonts w:ascii="新宋体" w:hAnsi="新宋体" w:eastAsia="新宋体"/>
                <w:bCs/>
                <w:szCs w:val="21"/>
              </w:rPr>
            </w:pPr>
            <w:r>
              <w:rPr>
                <w:rFonts w:hint="eastAsia" w:ascii="新宋体" w:hAnsi="新宋体" w:eastAsia="新宋体"/>
                <w:bCs/>
                <w:szCs w:val="21"/>
              </w:rPr>
              <w:t>合   计</w:t>
            </w:r>
          </w:p>
        </w:tc>
        <w:tc>
          <w:tcPr>
            <w:tcW w:w="6300" w:type="dxa"/>
            <w:gridSpan w:val="3"/>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left w:val="single" w:color="auto" w:sz="18" w:space="0"/>
              <w:bottom w:val="single" w:color="auto" w:sz="4" w:space="0"/>
              <w:right w:val="single" w:color="auto" w:sz="6" w:space="0"/>
            </w:tcBorders>
            <w:noWrap w:val="0"/>
            <w:vAlign w:val="center"/>
          </w:tcPr>
          <w:p>
            <w:pPr>
              <w:wordWrap w:val="0"/>
              <w:overflowPunct w:val="0"/>
              <w:spacing w:line="240" w:lineRule="exact"/>
              <w:jc w:val="center"/>
              <w:rPr>
                <w:rFonts w:ascii="新宋体" w:hAnsi="新宋体" w:eastAsia="新宋体"/>
                <w:b/>
                <w:bCs/>
                <w:szCs w:val="21"/>
              </w:rPr>
            </w:pPr>
            <w:r>
              <w:rPr>
                <w:rFonts w:hint="eastAsia" w:ascii="新宋体" w:hAnsi="新宋体" w:eastAsia="新宋体"/>
                <w:szCs w:val="21"/>
              </w:rPr>
              <w:t>一年总价</w:t>
            </w:r>
          </w:p>
        </w:tc>
        <w:tc>
          <w:tcPr>
            <w:tcW w:w="6300" w:type="dxa"/>
            <w:gridSpan w:val="3"/>
            <w:tcBorders>
              <w:top w:val="single" w:color="auto" w:sz="6" w:space="0"/>
              <w:left w:val="single" w:color="auto" w:sz="6" w:space="0"/>
              <w:bottom w:val="single" w:color="auto" w:sz="4"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bCs/>
                <w:szCs w:val="21"/>
              </w:rPr>
              <w:t>佰   拾  万  仟  佰  拾  元  角  分</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4"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总面积（平方米）</w:t>
            </w:r>
          </w:p>
        </w:tc>
        <w:tc>
          <w:tcPr>
            <w:tcW w:w="6300" w:type="dxa"/>
            <w:gridSpan w:val="3"/>
            <w:tcBorders>
              <w:top w:val="single" w:color="auto" w:sz="4" w:space="0"/>
              <w:left w:val="single" w:color="auto" w:sz="6" w:space="0"/>
              <w:bottom w:val="single" w:color="auto" w:sz="4" w:space="0"/>
              <w:right w:val="single" w:color="auto" w:sz="18" w:space="0"/>
            </w:tcBorders>
            <w:noWrap w:val="0"/>
            <w:vAlign w:val="top"/>
          </w:tcPr>
          <w:p>
            <w:pPr>
              <w:wordWrap w:val="0"/>
              <w:overflowPunct w:val="0"/>
              <w:spacing w:line="240" w:lineRule="exact"/>
              <w:rPr>
                <w:rFonts w:ascii="新宋体" w:hAnsi="新宋体" w:eastAsia="新宋体"/>
                <w:bCs/>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540" w:type="dxa"/>
            <w:gridSpan w:val="3"/>
            <w:tcBorders>
              <w:top w:val="single" w:color="auto" w:sz="4" w:space="0"/>
              <w:left w:val="single" w:color="auto" w:sz="18" w:space="0"/>
              <w:bottom w:val="single" w:color="auto" w:sz="4" w:space="0"/>
              <w:right w:val="single" w:color="auto" w:sz="6" w:space="0"/>
            </w:tcBorders>
            <w:noWrap w:val="0"/>
            <w:vAlign w:val="center"/>
          </w:tcPr>
          <w:p>
            <w:pPr>
              <w:wordWrap w:val="0"/>
              <w:overflowPunct w:val="0"/>
              <w:spacing w:line="240" w:lineRule="exact"/>
              <w:jc w:val="center"/>
              <w:rPr>
                <w:rFonts w:ascii="新宋体" w:hAnsi="新宋体" w:eastAsia="新宋体"/>
                <w:szCs w:val="21"/>
              </w:rPr>
            </w:pPr>
            <w:r>
              <w:rPr>
                <w:rFonts w:hint="eastAsia" w:ascii="新宋体" w:hAnsi="新宋体" w:eastAsia="新宋体"/>
                <w:szCs w:val="21"/>
              </w:rPr>
              <w:t>平均单价（元/平方米）</w:t>
            </w:r>
          </w:p>
        </w:tc>
        <w:tc>
          <w:tcPr>
            <w:tcW w:w="6300" w:type="dxa"/>
            <w:gridSpan w:val="3"/>
            <w:tcBorders>
              <w:top w:val="single" w:color="auto" w:sz="4" w:space="0"/>
              <w:left w:val="single" w:color="auto" w:sz="6" w:space="0"/>
              <w:bottom w:val="single" w:color="auto" w:sz="4" w:space="0"/>
              <w:right w:val="single" w:color="auto" w:sz="18" w:space="0"/>
            </w:tcBorders>
            <w:noWrap w:val="0"/>
            <w:vAlign w:val="top"/>
          </w:tcPr>
          <w:p>
            <w:pPr>
              <w:wordWrap w:val="0"/>
              <w:overflowPunct w:val="0"/>
              <w:spacing w:line="240" w:lineRule="exact"/>
              <w:rPr>
                <w:rFonts w:ascii="新宋体" w:hAnsi="新宋体" w:eastAsia="新宋体"/>
                <w:bCs/>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12" w:space="0"/>
              <w:right w:val="single" w:color="auto" w:sz="6" w:space="0"/>
            </w:tcBorders>
            <w:noWrap w:val="0"/>
            <w:vAlign w:val="center"/>
          </w:tcPr>
          <w:p>
            <w:pPr>
              <w:wordWrap w:val="0"/>
              <w:overflowPunct w:val="0"/>
              <w:spacing w:line="240" w:lineRule="exact"/>
              <w:jc w:val="center"/>
              <w:rPr>
                <w:rFonts w:hint="eastAsia" w:ascii="新宋体" w:hAnsi="新宋体" w:eastAsia="新宋体"/>
                <w:szCs w:val="21"/>
              </w:rPr>
            </w:pPr>
            <w:r>
              <w:rPr>
                <w:rFonts w:hint="eastAsia" w:ascii="新宋体" w:hAnsi="新宋体" w:eastAsia="新宋体"/>
                <w:szCs w:val="21"/>
              </w:rPr>
              <w:t>三年总价（一年总价*3）</w:t>
            </w:r>
          </w:p>
        </w:tc>
        <w:tc>
          <w:tcPr>
            <w:tcW w:w="6300" w:type="dxa"/>
            <w:gridSpan w:val="3"/>
            <w:tcBorders>
              <w:top w:val="single" w:color="auto" w:sz="4" w:space="0"/>
              <w:left w:val="single" w:color="auto" w:sz="6" w:space="0"/>
              <w:bottom w:val="single" w:color="auto" w:sz="12" w:space="0"/>
              <w:right w:val="single" w:color="auto" w:sz="18" w:space="0"/>
            </w:tcBorders>
            <w:noWrap w:val="0"/>
            <w:vAlign w:val="top"/>
          </w:tcPr>
          <w:p>
            <w:pPr>
              <w:wordWrap w:val="0"/>
              <w:overflowPunct w:val="0"/>
              <w:spacing w:line="240" w:lineRule="exact"/>
              <w:rPr>
                <w:rFonts w:hint="eastAsia" w:ascii="新宋体" w:hAnsi="新宋体" w:eastAsia="新宋体"/>
                <w:bCs/>
                <w:szCs w:val="21"/>
              </w:rPr>
            </w:pPr>
            <w:r>
              <w:rPr>
                <w:rFonts w:hint="eastAsia" w:ascii="新宋体" w:hAnsi="新宋体" w:eastAsia="新宋体"/>
                <w:bCs/>
                <w:szCs w:val="21"/>
              </w:rPr>
              <w:t>佰   拾  万  仟  佰  拾  元  角  分</w:t>
            </w:r>
          </w:p>
        </w:tc>
      </w:tr>
    </w:tbl>
    <w:p>
      <w:pPr>
        <w:wordWrap w:val="0"/>
        <w:overflowPunct w:val="0"/>
        <w:spacing w:line="240" w:lineRule="exact"/>
        <w:ind w:left="405" w:leftChars="-1" w:hanging="407" w:hangingChars="194"/>
        <w:rPr>
          <w:rFonts w:hint="eastAsia" w:ascii="宋体" w:hAnsi="宋体" w:cs="Arial Unicode MS"/>
          <w:szCs w:val="21"/>
        </w:rPr>
      </w:pPr>
      <w:r>
        <w:rPr>
          <w:rFonts w:hint="eastAsia" w:ascii="宋体" w:hAnsi="宋体" w:cs="Arial Unicode MS"/>
          <w:szCs w:val="21"/>
        </w:rPr>
        <w:t>注：1.本表所列费用为该分项的全部费用，未列费用均为综合考虑。</w:t>
      </w:r>
    </w:p>
    <w:p>
      <w:pPr>
        <w:wordWrap w:val="0"/>
        <w:overflowPunct w:val="0"/>
        <w:spacing w:line="240" w:lineRule="exact"/>
        <w:ind w:left="485" w:leftChars="231"/>
        <w:rPr>
          <w:rFonts w:ascii="宋体" w:hAnsi="宋体" w:cs="Arial Unicode MS"/>
          <w:szCs w:val="21"/>
        </w:rPr>
      </w:pPr>
      <w:r>
        <w:rPr>
          <w:rFonts w:hint="eastAsia" w:ascii="宋体" w:hAnsi="宋体" w:cs="Arial Unicode MS"/>
          <w:szCs w:val="21"/>
        </w:rPr>
        <w:t>2.本表中劳动成本（</w:t>
      </w:r>
      <w:r>
        <w:rPr>
          <w:rFonts w:hint="eastAsia" w:ascii="宋体" w:hAnsi="宋体" w:cs="Arial Unicode MS"/>
          <w:szCs w:val="21"/>
          <w:u w:val="single"/>
        </w:rPr>
        <w:t xml:space="preserve">   人）</w:t>
      </w:r>
      <w:r>
        <w:rPr>
          <w:rFonts w:hint="eastAsia" w:ascii="宋体" w:hAnsi="宋体" w:cs="Arial Unicode MS"/>
          <w:szCs w:val="21"/>
        </w:rPr>
        <w:t>与拟投入本项目人员配备情况表中对应人数不一致，视为没有实质性响应招标文件要求。</w:t>
      </w:r>
    </w:p>
    <w:p>
      <w:pPr>
        <w:wordWrap w:val="0"/>
        <w:overflowPunct w:val="0"/>
        <w:spacing w:line="240" w:lineRule="exact"/>
        <w:ind w:left="485" w:leftChars="231"/>
        <w:rPr>
          <w:rFonts w:hint="eastAsia" w:ascii="宋体" w:hAnsi="宋体" w:cs="Arial Unicode MS"/>
          <w:szCs w:val="21"/>
        </w:rPr>
      </w:pPr>
      <w:r>
        <w:rPr>
          <w:rFonts w:ascii="宋体" w:hAnsi="宋体" w:cs="Arial Unicode MS"/>
          <w:szCs w:val="21"/>
        </w:rPr>
        <w:t>3.</w:t>
      </w:r>
      <w:r>
        <w:rPr>
          <w:rFonts w:hint="eastAsia" w:ascii="宋体" w:hAnsi="宋体" w:cs="Arial Unicode MS"/>
          <w:szCs w:val="21"/>
        </w:rPr>
        <w:t>不提供此表的报价，视为没有实质性响应招标文件要求。</w:t>
      </w:r>
    </w:p>
    <w:p>
      <w:pPr>
        <w:wordWrap w:val="0"/>
        <w:overflowPunct w:val="0"/>
        <w:spacing w:line="240" w:lineRule="exact"/>
        <w:ind w:left="485" w:leftChars="231"/>
        <w:rPr>
          <w:rFonts w:hint="eastAsia" w:ascii="宋体" w:hAnsi="宋体" w:cs="Arial Unicode MS"/>
          <w:sz w:val="22"/>
          <w:szCs w:val="22"/>
        </w:rPr>
      </w:pPr>
      <w:r>
        <w:rPr>
          <w:rFonts w:hint="eastAsia" w:ascii="宋体" w:hAnsi="宋体" w:cs="Arial Unicode MS"/>
          <w:szCs w:val="21"/>
        </w:rPr>
        <w:t>4.报价低于本表规定的，视为没有实质性响应招标文件要求。</w:t>
      </w:r>
    </w:p>
    <w:p>
      <w:pPr>
        <w:tabs>
          <w:tab w:val="left" w:pos="4635"/>
        </w:tabs>
        <w:wordWrap w:val="0"/>
        <w:overflowPunct w:val="0"/>
        <w:spacing w:line="240" w:lineRule="exact"/>
        <w:ind w:left="3826" w:leftChars="1822" w:right="840"/>
        <w:rPr>
          <w:rFonts w:hint="eastAsia" w:ascii="宋体" w:hAnsi="宋体" w:cs="Arial Unicode MS"/>
        </w:rPr>
      </w:pPr>
    </w:p>
    <w:p>
      <w:pPr>
        <w:tabs>
          <w:tab w:val="left" w:pos="4635"/>
        </w:tabs>
        <w:wordWrap w:val="0"/>
        <w:overflowPunct w:val="0"/>
        <w:spacing w:line="240" w:lineRule="exact"/>
        <w:ind w:left="3826" w:leftChars="1822" w:right="840"/>
        <w:rPr>
          <w:rFonts w:hint="eastAsia" w:ascii="宋体" w:hAnsi="宋体" w:cs="Arial Unicode MS"/>
        </w:rPr>
      </w:pPr>
      <w:r>
        <w:rPr>
          <w:rFonts w:hint="eastAsia" w:ascii="宋体" w:hAnsi="宋体" w:cs="Arial Unicode MS"/>
        </w:rPr>
        <w:t>投标供应商全称（公章）：</w:t>
      </w:r>
    </w:p>
    <w:p>
      <w:pPr>
        <w:tabs>
          <w:tab w:val="left" w:pos="4635"/>
        </w:tabs>
        <w:wordWrap w:val="0"/>
        <w:overflowPunct w:val="0"/>
        <w:spacing w:line="240" w:lineRule="exact"/>
        <w:ind w:left="3826" w:leftChars="1822"/>
        <w:rPr>
          <w:rFonts w:hint="eastAsia" w:ascii="宋体" w:hAnsi="宋体" w:cs="Arial Unicode MS"/>
        </w:rPr>
      </w:pPr>
      <w:r>
        <w:rPr>
          <w:rFonts w:hint="eastAsia" w:ascii="宋体" w:hAnsi="宋体" w:cs="Arial Unicode MS"/>
        </w:rPr>
        <w:t>法定代表人或授权代表（签字或盖章）：</w:t>
      </w:r>
    </w:p>
    <w:p>
      <w:pPr>
        <w:tabs>
          <w:tab w:val="left" w:pos="4635"/>
        </w:tabs>
        <w:wordWrap w:val="0"/>
        <w:overflowPunct w:val="0"/>
        <w:spacing w:line="240" w:lineRule="exact"/>
        <w:ind w:left="3826" w:leftChars="1822"/>
        <w:rPr>
          <w:rFonts w:hint="eastAsia" w:ascii="宋体" w:hAnsi="宋体" w:cs="Arial Unicode MS"/>
        </w:rPr>
      </w:pPr>
      <w:r>
        <w:rPr>
          <w:rFonts w:hint="eastAsia" w:ascii="宋体" w:hAnsi="宋体" w:cs="Arial Unicode MS"/>
          <w:szCs w:val="22"/>
        </w:rPr>
        <w:t xml:space="preserve">日      </w:t>
      </w:r>
      <w:r>
        <w:rPr>
          <w:rFonts w:hint="eastAsia" w:ascii="宋体" w:hAnsi="宋体" w:cs="Arial Unicode MS"/>
        </w:rPr>
        <w:t>期：</w:t>
      </w:r>
    </w:p>
    <w:p>
      <w:pPr>
        <w:spacing w:line="500" w:lineRule="exact"/>
        <w:ind w:firstLine="420" w:firstLineChars="200"/>
        <w:rPr>
          <w:rFonts w:ascii="宋体" w:hAnsi="宋体"/>
          <w:szCs w:val="21"/>
        </w:rPr>
      </w:pPr>
    </w:p>
    <w:p>
      <w:pPr>
        <w:pStyle w:val="2"/>
        <w:rPr>
          <w:rFonts w:hint="eastAsia" w:ascii="宋体" w:hAnsi="宋体" w:eastAsia="宋体"/>
          <w:color w:val="000000"/>
          <w:sz w:val="22"/>
          <w:szCs w:val="22"/>
        </w:rPr>
      </w:pPr>
    </w:p>
    <w:p>
      <w:pPr>
        <w:pStyle w:val="5"/>
        <w:keepNext w:val="0"/>
        <w:keepLines w:val="0"/>
        <w:wordWrap w:val="0"/>
        <w:overflowPunct w:val="0"/>
        <w:adjustRightInd w:val="0"/>
        <w:snapToGrid w:val="0"/>
        <w:spacing w:before="0" w:after="0" w:line="400" w:lineRule="atLeast"/>
        <w:jc w:val="center"/>
        <w:rPr>
          <w:rFonts w:hAnsi="宋体"/>
          <w:sz w:val="28"/>
          <w:szCs w:val="36"/>
        </w:rPr>
      </w:pPr>
      <w:bookmarkStart w:id="373" w:name="_Toc64913378"/>
      <w:bookmarkStart w:id="374" w:name="_Toc64901794"/>
      <w:r>
        <w:rPr>
          <w:rFonts w:hint="eastAsia" w:hAnsi="宋体"/>
          <w:sz w:val="28"/>
          <w:szCs w:val="36"/>
        </w:rPr>
        <w:t>投标分项报价表1.1.2</w:t>
      </w:r>
      <w:bookmarkEnd w:id="373"/>
      <w:bookmarkEnd w:id="374"/>
    </w:p>
    <w:p>
      <w:pPr>
        <w:wordWrap w:val="0"/>
        <w:overflowPunct w:val="0"/>
        <w:spacing w:line="260" w:lineRule="exact"/>
        <w:jc w:val="center"/>
        <w:rPr>
          <w:rFonts w:hint="eastAsia" w:ascii="宋体" w:hAnsi="宋体" w:cs="Arial Unicode MS"/>
          <w:b/>
          <w:bCs/>
          <w:sz w:val="22"/>
          <w:szCs w:val="22"/>
        </w:rPr>
      </w:pPr>
      <w:r>
        <w:rPr>
          <w:rFonts w:hint="eastAsia" w:ascii="宋体" w:hAnsi="宋体" w:cs="Arial Unicode MS"/>
          <w:b/>
          <w:bCs/>
          <w:sz w:val="22"/>
          <w:szCs w:val="22"/>
        </w:rPr>
        <w:t>（</w:t>
      </w:r>
      <w:r>
        <w:rPr>
          <w:rFonts w:hint="eastAsia" w:ascii="宋体" w:hAnsi="宋体" w:cs="Arial Unicode MS"/>
          <w:b/>
          <w:bCs/>
          <w:sz w:val="22"/>
        </w:rPr>
        <w:t>安阳街道</w:t>
      </w:r>
      <w:r>
        <w:rPr>
          <w:rFonts w:hint="eastAsia" w:ascii="宋体" w:hAnsi="宋体" w:cs="Arial Unicode MS"/>
          <w:b/>
          <w:bCs/>
          <w:sz w:val="22"/>
          <w:szCs w:val="22"/>
        </w:rPr>
        <w:t>河道部分明细报价）</w:t>
      </w:r>
    </w:p>
    <w:p>
      <w:pPr>
        <w:wordWrap w:val="0"/>
        <w:overflowPunct w:val="0"/>
        <w:spacing w:line="260" w:lineRule="exact"/>
        <w:rPr>
          <w:rFonts w:ascii="新宋体" w:hAnsi="新宋体" w:eastAsia="新宋体"/>
          <w:szCs w:val="21"/>
        </w:rPr>
      </w:pPr>
      <w:r>
        <w:rPr>
          <w:rFonts w:hint="eastAsia" w:ascii="新宋体" w:hAnsi="新宋体" w:eastAsia="新宋体"/>
          <w:b/>
          <w:szCs w:val="21"/>
        </w:rPr>
        <w:t xml:space="preserve">项目名称：                        项目编号：            </w:t>
      </w:r>
      <w:r>
        <w:rPr>
          <w:rFonts w:hint="eastAsia" w:ascii="新宋体" w:hAnsi="新宋体" w:eastAsia="新宋体"/>
          <w:szCs w:val="21"/>
        </w:rPr>
        <w:t>【价格单位：元】</w:t>
      </w:r>
    </w:p>
    <w:tbl>
      <w:tblPr>
        <w:tblStyle w:val="35"/>
        <w:tblW w:w="9840" w:type="dxa"/>
        <w:tblInd w:w="-72" w:type="dxa"/>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Layout w:type="fixed"/>
        <w:tblCellMar>
          <w:top w:w="0" w:type="dxa"/>
          <w:left w:w="108" w:type="dxa"/>
          <w:bottom w:w="0" w:type="dxa"/>
          <w:right w:w="108" w:type="dxa"/>
        </w:tblCellMar>
      </w:tblPr>
      <w:tblGrid>
        <w:gridCol w:w="732"/>
        <w:gridCol w:w="1291"/>
        <w:gridCol w:w="1517"/>
        <w:gridCol w:w="1470"/>
        <w:gridCol w:w="1124"/>
        <w:gridCol w:w="3706"/>
      </w:tblGrid>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732" w:type="dxa"/>
            <w:tcBorders>
              <w:top w:val="single" w:color="auto" w:sz="18" w:space="0"/>
              <w:left w:val="single" w:color="auto" w:sz="18" w:space="0"/>
              <w:bottom w:val="single" w:color="auto" w:sz="6"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序号</w:t>
            </w:r>
          </w:p>
        </w:tc>
        <w:tc>
          <w:tcPr>
            <w:tcW w:w="2808" w:type="dxa"/>
            <w:gridSpan w:val="2"/>
            <w:tcBorders>
              <w:top w:val="single" w:color="auto" w:sz="18"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项目</w:t>
            </w:r>
          </w:p>
        </w:tc>
        <w:tc>
          <w:tcPr>
            <w:tcW w:w="1470" w:type="dxa"/>
            <w:tcBorders>
              <w:top w:val="single" w:color="auto" w:sz="18" w:space="0"/>
              <w:left w:val="single" w:color="auto" w:sz="6"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pacing w:val="-20"/>
                <w:sz w:val="22"/>
              </w:rPr>
            </w:pPr>
            <w:r>
              <w:rPr>
                <w:rFonts w:hint="eastAsia" w:ascii="新宋体" w:hAnsi="新宋体" w:eastAsia="新宋体"/>
                <w:spacing w:val="-20"/>
                <w:sz w:val="22"/>
              </w:rPr>
              <w:t>月支出</w:t>
            </w:r>
          </w:p>
        </w:tc>
        <w:tc>
          <w:tcPr>
            <w:tcW w:w="1124" w:type="dxa"/>
            <w:tcBorders>
              <w:top w:val="single" w:color="auto" w:sz="18" w:space="0"/>
              <w:left w:val="single" w:color="auto" w:sz="6"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b/>
                <w:sz w:val="22"/>
              </w:rPr>
              <w:t>一年</w:t>
            </w:r>
            <w:r>
              <w:rPr>
                <w:rFonts w:hint="eastAsia" w:ascii="新宋体" w:hAnsi="新宋体" w:eastAsia="新宋体"/>
                <w:sz w:val="22"/>
              </w:rPr>
              <w:t>支出</w:t>
            </w:r>
          </w:p>
        </w:tc>
        <w:tc>
          <w:tcPr>
            <w:tcW w:w="3706" w:type="dxa"/>
            <w:tcBorders>
              <w:top w:val="single" w:color="auto" w:sz="18" w:space="0"/>
              <w:left w:val="single" w:color="auto" w:sz="6" w:space="0"/>
              <w:bottom w:val="single" w:color="auto" w:sz="6" w:space="0"/>
              <w:right w:val="single" w:color="auto" w:sz="18"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说明</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1</w:t>
            </w:r>
          </w:p>
        </w:tc>
        <w:tc>
          <w:tcPr>
            <w:tcW w:w="1291" w:type="dxa"/>
            <w:vMerge w:val="restart"/>
            <w:tcBorders>
              <w:left w:val="single" w:color="auto" w:sz="4" w:space="0"/>
              <w:right w:val="single" w:color="auto" w:sz="4" w:space="0"/>
            </w:tcBorders>
            <w:noWrap w:val="0"/>
            <w:vAlign w:val="center"/>
          </w:tcPr>
          <w:p>
            <w:pPr>
              <w:wordWrap w:val="0"/>
              <w:overflowPunct w:val="0"/>
              <w:spacing w:line="260" w:lineRule="exact"/>
              <w:jc w:val="center"/>
              <w:rPr>
                <w:rFonts w:hint="eastAsia"/>
              </w:rPr>
            </w:pPr>
            <w:r>
              <w:rPr>
                <w:rFonts w:hint="eastAsia"/>
              </w:rPr>
              <w:t>劳动成本</w:t>
            </w:r>
          </w:p>
          <w:p>
            <w:pPr>
              <w:pStyle w:val="164"/>
              <w:widowControl/>
              <w:wordWrap w:val="0"/>
              <w:overflowPunct w:val="0"/>
              <w:ind w:left="0" w:firstLine="210"/>
            </w:pPr>
            <w:r>
              <w:rPr>
                <w:rFonts w:hint="eastAsia" w:ascii="新宋体" w:hAnsi="新宋体" w:eastAsia="新宋体"/>
                <w:szCs w:val="21"/>
                <w:u w:val="single"/>
              </w:rPr>
              <w:t>（   人）</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人员工资</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hint="eastAsia" w:ascii="Arial" w:hAnsi="Arial" w:cs="Arial"/>
                <w:b/>
                <w:szCs w:val="21"/>
                <w:u w:val="single"/>
              </w:rPr>
            </w:pPr>
            <w:r>
              <w:rPr>
                <w:rFonts w:hint="eastAsia" w:ascii="Arial" w:hAnsi="Arial" w:eastAsia="新宋体" w:cs="Arial"/>
                <w:b/>
                <w:sz w:val="22"/>
              </w:rPr>
              <w:t>▲</w:t>
            </w:r>
            <w:r>
              <w:rPr>
                <w:rFonts w:hint="eastAsia" w:ascii="新宋体" w:hAnsi="新宋体" w:eastAsia="新宋体"/>
                <w:szCs w:val="21"/>
              </w:rPr>
              <w:t>根据浙江省人民政府办公厅文件（</w:t>
            </w:r>
            <w:r>
              <w:rPr>
                <w:rFonts w:ascii="Arial" w:hAnsi="宋体" w:cs="Arial"/>
                <w:b/>
                <w:szCs w:val="21"/>
                <w:u w:val="single"/>
              </w:rPr>
              <w:t>月工资收入不低于</w:t>
            </w:r>
            <w:r>
              <w:rPr>
                <w:rFonts w:hint="eastAsia" w:ascii="Arial" w:hAnsi="宋体" w:cs="Arial"/>
                <w:b/>
                <w:szCs w:val="21"/>
                <w:u w:val="single"/>
              </w:rPr>
              <w:t>瑞安</w:t>
            </w:r>
            <w:r>
              <w:rPr>
                <w:rFonts w:ascii="Arial" w:hAnsi="宋体" w:cs="Arial"/>
                <w:b/>
                <w:szCs w:val="21"/>
                <w:u w:val="single"/>
              </w:rPr>
              <w:t>市本年最低工资标准</w:t>
            </w:r>
            <w:r>
              <w:rPr>
                <w:rFonts w:hint="eastAsia" w:ascii="Arial" w:hAnsi="Arial" w:cs="Arial"/>
                <w:b/>
                <w:szCs w:val="21"/>
                <w:u w:val="single"/>
              </w:rPr>
              <w:t>120%，</w:t>
            </w:r>
          </w:p>
          <w:p>
            <w:pPr>
              <w:wordWrap w:val="0"/>
              <w:overflowPunct w:val="0"/>
              <w:spacing w:line="240" w:lineRule="exact"/>
              <w:rPr>
                <w:rFonts w:ascii="新宋体" w:hAnsi="新宋体" w:eastAsia="新宋体"/>
                <w:szCs w:val="21"/>
              </w:rPr>
            </w:pPr>
            <w:r>
              <w:rPr>
                <w:rFonts w:hint="eastAsia" w:ascii="Arial" w:hAnsi="Arial" w:eastAsia="新宋体" w:cs="Arial"/>
                <w:b/>
                <w:sz w:val="22"/>
              </w:rPr>
              <w:t>▲特殊岗位津贴发放标准按10元/每人/每出勤日</w:t>
            </w:r>
            <w:r>
              <w:rPr>
                <w:rFonts w:hint="eastAsia" w:ascii="新宋体" w:hAnsi="新宋体" w:eastAsia="新宋体"/>
                <w:szCs w:val="21"/>
              </w:rPr>
              <w:t>）</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加班费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新宋体" w:hAnsi="新宋体" w:eastAsia="新宋体"/>
                <w:szCs w:val="21"/>
              </w:rPr>
              <w:t>法定节假日按全员全年11天计算；</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高温费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Arial" w:hAnsi="Arial" w:eastAsia="新宋体" w:cs="Arial"/>
                <w:b/>
                <w:sz w:val="22"/>
              </w:rPr>
              <w:t>▲高温补贴共4个月（六、七、八、九共四月，逐月发放，</w:t>
            </w:r>
            <w:r>
              <w:rPr>
                <w:rFonts w:hint="eastAsia" w:ascii="宋体"/>
                <w:b/>
                <w:bCs/>
                <w:szCs w:val="21"/>
              </w:rPr>
              <w:t>一线现场服务人员</w:t>
            </w:r>
            <w:r>
              <w:rPr>
                <w:rFonts w:hint="eastAsia" w:ascii="Arial" w:hAnsi="Arial" w:eastAsia="新宋体" w:cs="Arial"/>
                <w:b/>
                <w:sz w:val="22"/>
              </w:rPr>
              <w:t>每人每月不低于300元人民币）按相关规定发放</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各类保险</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Arial" w:hAnsi="Arial" w:eastAsia="新宋体" w:cs="Arial"/>
                <w:b/>
                <w:sz w:val="22"/>
              </w:rPr>
              <w:t>▲</w:t>
            </w:r>
            <w:r>
              <w:rPr>
                <w:rFonts w:hint="eastAsia" w:ascii="新宋体" w:hAnsi="新宋体" w:eastAsia="新宋体"/>
                <w:b/>
                <w:szCs w:val="21"/>
              </w:rPr>
              <w:t>包括社保、意外保险费，其中</w:t>
            </w:r>
            <w:r>
              <w:rPr>
                <w:rFonts w:hint="eastAsia" w:ascii="宋体"/>
                <w:b/>
                <w:szCs w:val="21"/>
              </w:rPr>
              <w:t>一线现场服务人员社保缴纳人数不得低于一线现场服务人员总数的30%</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286"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人员福利</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r>
              <w:rPr>
                <w:rFonts w:hint="eastAsia" w:ascii="新宋体" w:hAnsi="新宋体" w:eastAsia="新宋体"/>
                <w:szCs w:val="21"/>
              </w:rPr>
              <w:t>包括过节费、奖金</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top w:val="single" w:color="auto" w:sz="4" w:space="0"/>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2</w:t>
            </w:r>
          </w:p>
        </w:tc>
        <w:tc>
          <w:tcPr>
            <w:tcW w:w="1291" w:type="dxa"/>
            <w:vMerge w:val="restart"/>
            <w:tcBorders>
              <w:top w:val="single" w:color="auto" w:sz="4" w:space="0"/>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生产费用</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劳保用品</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r>
              <w:rPr>
                <w:rFonts w:hint="eastAsia" w:ascii="新宋体" w:hAnsi="新宋体" w:eastAsia="新宋体"/>
                <w:szCs w:val="21"/>
              </w:rPr>
              <w:t>工作服、雨衣、雨鞋等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生产工具</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r>
              <w:rPr>
                <w:rFonts w:hint="eastAsia" w:ascii="新宋体" w:hAnsi="新宋体" w:eastAsia="新宋体"/>
                <w:szCs w:val="21"/>
              </w:rPr>
              <w:t>三轮车、快速保洁车、管理用车</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耗材用品</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r>
              <w:rPr>
                <w:rFonts w:hint="eastAsia" w:ascii="新宋体" w:hAnsi="新宋体" w:eastAsia="新宋体"/>
                <w:szCs w:val="21"/>
              </w:rPr>
              <w:t>扫帚、畚箕、铁锹等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修理费用</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住房租金</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top w:val="single" w:color="auto" w:sz="4" w:space="0"/>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3</w:t>
            </w:r>
          </w:p>
        </w:tc>
        <w:tc>
          <w:tcPr>
            <w:tcW w:w="1291" w:type="dxa"/>
            <w:vMerge w:val="restart"/>
            <w:tcBorders>
              <w:top w:val="single" w:color="auto" w:sz="4" w:space="0"/>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机械设施</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折旧费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vMerge w:val="restart"/>
            <w:tcBorders>
              <w:top w:val="single" w:color="auto" w:sz="6" w:space="0"/>
              <w:left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r>
              <w:rPr>
                <w:rFonts w:hint="eastAsia" w:ascii="新宋体" w:hAnsi="新宋体" w:eastAsia="新宋体"/>
                <w:szCs w:val="21"/>
              </w:rPr>
              <w:t>按投入船只等具体数量分列，表格可以延续</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保养、修理费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保险费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油  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水  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vMerge w:val="continue"/>
            <w:tcBorders>
              <w:left w:val="single" w:color="auto" w:sz="6" w:space="0"/>
              <w:right w:val="single" w:color="auto" w:sz="18" w:space="0"/>
            </w:tcBorders>
            <w:noWrap w:val="0"/>
            <w:vAlign w:val="top"/>
          </w:tcPr>
          <w:p>
            <w:pPr>
              <w:wordWrap w:val="0"/>
              <w:overflowPunct w:val="0"/>
              <w:spacing w:line="260" w:lineRule="exact"/>
              <w:rPr>
                <w:rFonts w:ascii="新宋体" w:hAnsi="新宋体" w:eastAsia="新宋体"/>
                <w:spacing w:val="-20"/>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耗  材</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vMerge w:val="continue"/>
            <w:tcBorders>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trPr>
        <w:tc>
          <w:tcPr>
            <w:tcW w:w="732" w:type="dxa"/>
            <w:tcBorders>
              <w:top w:val="single" w:color="auto" w:sz="6" w:space="0"/>
              <w:left w:val="single" w:color="auto" w:sz="18" w:space="0"/>
              <w:bottom w:val="single" w:color="auto" w:sz="6" w:space="0"/>
              <w:right w:val="single" w:color="auto" w:sz="4" w:space="0"/>
            </w:tcBorders>
            <w:noWrap w:val="0"/>
            <w:vAlign w:val="center"/>
          </w:tcPr>
          <w:p>
            <w:pPr>
              <w:wordWrap w:val="0"/>
              <w:overflowPunct w:val="0"/>
              <w:spacing w:line="260" w:lineRule="exact"/>
              <w:jc w:val="center"/>
              <w:rPr>
                <w:rFonts w:ascii="新宋体" w:hAnsi="新宋体" w:eastAsia="新宋体"/>
                <w:bCs/>
                <w:sz w:val="22"/>
              </w:rPr>
            </w:pPr>
            <w:r>
              <w:rPr>
                <w:rFonts w:hint="eastAsia" w:ascii="新宋体" w:hAnsi="新宋体" w:eastAsia="新宋体"/>
                <w:bCs/>
                <w:sz w:val="22"/>
              </w:rPr>
              <w:t>4</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bCs/>
                <w:szCs w:val="21"/>
              </w:rPr>
            </w:pPr>
            <w:r>
              <w:rPr>
                <w:rFonts w:hint="eastAsia" w:ascii="新宋体" w:hAnsi="新宋体" w:eastAsia="新宋体"/>
                <w:bCs/>
                <w:szCs w:val="21"/>
              </w:rPr>
              <w:t>经营管理费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trPr>
        <w:tc>
          <w:tcPr>
            <w:tcW w:w="732" w:type="dxa"/>
            <w:tcBorders>
              <w:top w:val="single" w:color="auto" w:sz="6" w:space="0"/>
              <w:left w:val="single" w:color="auto" w:sz="18" w:space="0"/>
              <w:bottom w:val="single" w:color="auto" w:sz="6" w:space="0"/>
              <w:right w:val="single" w:color="auto" w:sz="4" w:space="0"/>
            </w:tcBorders>
            <w:noWrap w:val="0"/>
            <w:vAlign w:val="center"/>
          </w:tcPr>
          <w:p>
            <w:pPr>
              <w:wordWrap w:val="0"/>
              <w:overflowPunct w:val="0"/>
              <w:spacing w:line="260" w:lineRule="exact"/>
              <w:jc w:val="center"/>
              <w:rPr>
                <w:rFonts w:ascii="新宋体" w:hAnsi="新宋体" w:eastAsia="新宋体"/>
                <w:bCs/>
                <w:sz w:val="22"/>
              </w:rPr>
            </w:pPr>
            <w:r>
              <w:rPr>
                <w:rFonts w:hint="eastAsia" w:ascii="新宋体" w:hAnsi="新宋体" w:eastAsia="新宋体"/>
                <w:bCs/>
                <w:sz w:val="22"/>
              </w:rPr>
              <w:t>5</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bCs/>
                <w:szCs w:val="21"/>
              </w:rPr>
            </w:pPr>
            <w:r>
              <w:rPr>
                <w:rFonts w:hint="eastAsia" w:ascii="新宋体" w:hAnsi="新宋体" w:eastAsia="新宋体"/>
                <w:bCs/>
                <w:szCs w:val="21"/>
              </w:rPr>
              <w:t>利润</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b/>
                <w:bCs/>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trPr>
        <w:tc>
          <w:tcPr>
            <w:tcW w:w="732" w:type="dxa"/>
            <w:tcBorders>
              <w:top w:val="single" w:color="auto" w:sz="6" w:space="0"/>
              <w:left w:val="single" w:color="auto" w:sz="18" w:space="0"/>
              <w:bottom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6</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bCs/>
                <w:szCs w:val="21"/>
              </w:rPr>
            </w:pPr>
            <w:r>
              <w:rPr>
                <w:rFonts w:hint="eastAsia" w:ascii="新宋体" w:hAnsi="新宋体" w:eastAsia="新宋体"/>
                <w:bCs/>
                <w:szCs w:val="21"/>
              </w:rPr>
              <w:t>税金</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trPr>
        <w:tc>
          <w:tcPr>
            <w:tcW w:w="732" w:type="dxa"/>
            <w:tcBorders>
              <w:top w:val="single" w:color="auto" w:sz="6" w:space="0"/>
              <w:left w:val="single" w:color="auto" w:sz="18" w:space="0"/>
              <w:bottom w:val="single" w:color="auto" w:sz="4" w:space="0"/>
              <w:right w:val="single" w:color="auto" w:sz="4" w:space="0"/>
            </w:tcBorders>
            <w:noWrap w:val="0"/>
            <w:vAlign w:val="center"/>
          </w:tcPr>
          <w:p>
            <w:pPr>
              <w:wordWrap w:val="0"/>
              <w:overflowPunct w:val="0"/>
              <w:spacing w:line="260" w:lineRule="exact"/>
              <w:jc w:val="center"/>
              <w:rPr>
                <w:rFonts w:ascii="新宋体" w:hAnsi="新宋体" w:eastAsia="新宋体"/>
                <w:sz w:val="22"/>
              </w:rPr>
            </w:pPr>
            <w:r>
              <w:rPr>
                <w:rFonts w:hint="eastAsia" w:ascii="新宋体" w:hAnsi="新宋体" w:eastAsia="新宋体"/>
                <w:sz w:val="22"/>
              </w:rPr>
              <w:t>7</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bCs/>
                <w:szCs w:val="21"/>
              </w:rPr>
              <w:t>其他</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zCs w:val="21"/>
              </w:rPr>
            </w:pPr>
          </w:p>
        </w:tc>
        <w:tc>
          <w:tcPr>
            <w:tcW w:w="1124"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spacing w:line="260" w:lineRule="exact"/>
              <w:rPr>
                <w:rFonts w:ascii="新宋体" w:hAnsi="新宋体" w:eastAsia="新宋体"/>
                <w:spacing w:val="-20"/>
                <w:szCs w:val="21"/>
              </w:rPr>
            </w:pPr>
          </w:p>
        </w:tc>
        <w:tc>
          <w:tcPr>
            <w:tcW w:w="3706"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6" w:space="0"/>
              <w:left w:val="single" w:color="auto" w:sz="18" w:space="0"/>
              <w:bottom w:val="single" w:color="auto" w:sz="6" w:space="0"/>
              <w:right w:val="single" w:color="auto" w:sz="6" w:space="0"/>
            </w:tcBorders>
            <w:noWrap w:val="0"/>
            <w:vAlign w:val="center"/>
          </w:tcPr>
          <w:p>
            <w:pPr>
              <w:wordWrap w:val="0"/>
              <w:overflowPunct w:val="0"/>
              <w:spacing w:line="260" w:lineRule="exact"/>
              <w:jc w:val="center"/>
              <w:rPr>
                <w:rFonts w:ascii="新宋体" w:hAnsi="新宋体" w:eastAsia="新宋体"/>
                <w:bCs/>
                <w:szCs w:val="21"/>
              </w:rPr>
            </w:pPr>
            <w:r>
              <w:rPr>
                <w:rFonts w:hint="eastAsia" w:ascii="新宋体" w:hAnsi="新宋体" w:eastAsia="新宋体"/>
                <w:bCs/>
                <w:szCs w:val="21"/>
              </w:rPr>
              <w:t>合   计</w:t>
            </w:r>
          </w:p>
        </w:tc>
        <w:tc>
          <w:tcPr>
            <w:tcW w:w="6300" w:type="dxa"/>
            <w:gridSpan w:val="3"/>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60" w:lineRule="exact"/>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left w:val="single" w:color="auto" w:sz="18" w:space="0"/>
              <w:bottom w:val="single" w:color="auto" w:sz="4" w:space="0"/>
              <w:right w:val="single" w:color="auto" w:sz="6" w:space="0"/>
            </w:tcBorders>
            <w:noWrap w:val="0"/>
            <w:vAlign w:val="center"/>
          </w:tcPr>
          <w:p>
            <w:pPr>
              <w:wordWrap w:val="0"/>
              <w:overflowPunct w:val="0"/>
              <w:spacing w:line="260" w:lineRule="exact"/>
              <w:jc w:val="center"/>
              <w:rPr>
                <w:rFonts w:ascii="新宋体" w:hAnsi="新宋体" w:eastAsia="新宋体"/>
                <w:b/>
                <w:bCs/>
                <w:szCs w:val="21"/>
              </w:rPr>
            </w:pPr>
            <w:r>
              <w:rPr>
                <w:rFonts w:hint="eastAsia" w:ascii="新宋体" w:hAnsi="新宋体" w:eastAsia="新宋体"/>
                <w:szCs w:val="21"/>
              </w:rPr>
              <w:t>一年总价</w:t>
            </w:r>
          </w:p>
        </w:tc>
        <w:tc>
          <w:tcPr>
            <w:tcW w:w="6300" w:type="dxa"/>
            <w:gridSpan w:val="3"/>
            <w:tcBorders>
              <w:top w:val="single" w:color="auto" w:sz="6" w:space="0"/>
              <w:left w:val="single" w:color="auto" w:sz="6" w:space="0"/>
              <w:bottom w:val="single" w:color="auto" w:sz="4" w:space="0"/>
              <w:right w:val="single" w:color="auto" w:sz="18" w:space="0"/>
            </w:tcBorders>
            <w:noWrap w:val="0"/>
            <w:vAlign w:val="top"/>
          </w:tcPr>
          <w:p>
            <w:pPr>
              <w:wordWrap w:val="0"/>
              <w:overflowPunct w:val="0"/>
              <w:spacing w:line="260" w:lineRule="exact"/>
              <w:rPr>
                <w:rFonts w:ascii="新宋体" w:hAnsi="新宋体" w:eastAsia="新宋体"/>
                <w:szCs w:val="21"/>
              </w:rPr>
            </w:pPr>
            <w:r>
              <w:rPr>
                <w:rFonts w:hint="eastAsia" w:ascii="新宋体" w:hAnsi="新宋体" w:eastAsia="新宋体"/>
                <w:bCs/>
                <w:szCs w:val="21"/>
              </w:rPr>
              <w:t>佰   拾  万  仟  佰  拾  元  角  分</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4"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河道总面积（平方米）</w:t>
            </w:r>
          </w:p>
        </w:tc>
        <w:tc>
          <w:tcPr>
            <w:tcW w:w="6300" w:type="dxa"/>
            <w:gridSpan w:val="3"/>
            <w:tcBorders>
              <w:top w:val="single" w:color="auto" w:sz="4" w:space="0"/>
              <w:left w:val="single" w:color="auto" w:sz="6" w:space="0"/>
              <w:bottom w:val="single" w:color="auto" w:sz="4" w:space="0"/>
              <w:right w:val="single" w:color="auto" w:sz="18" w:space="0"/>
            </w:tcBorders>
            <w:noWrap w:val="0"/>
            <w:vAlign w:val="top"/>
          </w:tcPr>
          <w:p>
            <w:pPr>
              <w:wordWrap w:val="0"/>
              <w:overflowPunct w:val="0"/>
              <w:spacing w:line="260" w:lineRule="exact"/>
              <w:rPr>
                <w:rFonts w:ascii="新宋体" w:hAnsi="新宋体" w:eastAsia="新宋体"/>
                <w:bCs/>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4" w:space="0"/>
              <w:right w:val="single" w:color="auto" w:sz="6" w:space="0"/>
            </w:tcBorders>
            <w:noWrap w:val="0"/>
            <w:vAlign w:val="center"/>
          </w:tcPr>
          <w:p>
            <w:pPr>
              <w:wordWrap w:val="0"/>
              <w:overflowPunct w:val="0"/>
              <w:spacing w:line="260" w:lineRule="exact"/>
              <w:jc w:val="center"/>
              <w:rPr>
                <w:rFonts w:ascii="新宋体" w:hAnsi="新宋体" w:eastAsia="新宋体"/>
                <w:szCs w:val="21"/>
              </w:rPr>
            </w:pPr>
            <w:r>
              <w:rPr>
                <w:rFonts w:hint="eastAsia" w:ascii="新宋体" w:hAnsi="新宋体" w:eastAsia="新宋体"/>
                <w:szCs w:val="21"/>
              </w:rPr>
              <w:t>平均单价（元/平方米）</w:t>
            </w:r>
          </w:p>
        </w:tc>
        <w:tc>
          <w:tcPr>
            <w:tcW w:w="6300" w:type="dxa"/>
            <w:gridSpan w:val="3"/>
            <w:tcBorders>
              <w:top w:val="single" w:color="auto" w:sz="4" w:space="0"/>
              <w:left w:val="single" w:color="auto" w:sz="6" w:space="0"/>
              <w:bottom w:val="single" w:color="auto" w:sz="4" w:space="0"/>
              <w:right w:val="single" w:color="auto" w:sz="18" w:space="0"/>
            </w:tcBorders>
            <w:noWrap w:val="0"/>
            <w:vAlign w:val="top"/>
          </w:tcPr>
          <w:p>
            <w:pPr>
              <w:wordWrap w:val="0"/>
              <w:overflowPunct w:val="0"/>
              <w:spacing w:line="260" w:lineRule="exact"/>
              <w:rPr>
                <w:rFonts w:ascii="新宋体" w:hAnsi="新宋体" w:eastAsia="新宋体"/>
                <w:bCs/>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12" w:space="0"/>
              <w:right w:val="single" w:color="auto" w:sz="6" w:space="0"/>
            </w:tcBorders>
            <w:noWrap w:val="0"/>
            <w:vAlign w:val="center"/>
          </w:tcPr>
          <w:p>
            <w:pPr>
              <w:wordWrap w:val="0"/>
              <w:overflowPunct w:val="0"/>
              <w:spacing w:line="260" w:lineRule="exact"/>
              <w:jc w:val="center"/>
              <w:rPr>
                <w:rFonts w:hint="eastAsia" w:ascii="新宋体" w:hAnsi="新宋体" w:eastAsia="新宋体"/>
                <w:szCs w:val="21"/>
              </w:rPr>
            </w:pPr>
            <w:r>
              <w:rPr>
                <w:rFonts w:hint="eastAsia" w:ascii="新宋体" w:hAnsi="新宋体" w:eastAsia="新宋体"/>
                <w:szCs w:val="21"/>
              </w:rPr>
              <w:t>三年总价（一年总价*3）</w:t>
            </w:r>
          </w:p>
        </w:tc>
        <w:tc>
          <w:tcPr>
            <w:tcW w:w="6300" w:type="dxa"/>
            <w:gridSpan w:val="3"/>
            <w:tcBorders>
              <w:top w:val="single" w:color="auto" w:sz="4" w:space="0"/>
              <w:left w:val="single" w:color="auto" w:sz="6" w:space="0"/>
              <w:bottom w:val="single" w:color="auto" w:sz="12" w:space="0"/>
              <w:right w:val="single" w:color="auto" w:sz="18" w:space="0"/>
            </w:tcBorders>
            <w:noWrap w:val="0"/>
            <w:vAlign w:val="top"/>
          </w:tcPr>
          <w:p>
            <w:pPr>
              <w:wordWrap w:val="0"/>
              <w:overflowPunct w:val="0"/>
              <w:spacing w:line="260" w:lineRule="exact"/>
              <w:rPr>
                <w:rFonts w:hint="eastAsia" w:ascii="新宋体" w:hAnsi="新宋体" w:eastAsia="新宋体"/>
                <w:bCs/>
                <w:szCs w:val="21"/>
              </w:rPr>
            </w:pPr>
            <w:r>
              <w:rPr>
                <w:rFonts w:hint="eastAsia" w:ascii="新宋体" w:hAnsi="新宋体" w:eastAsia="新宋体"/>
                <w:bCs/>
                <w:szCs w:val="21"/>
              </w:rPr>
              <w:t>佰   拾  万  仟  佰  拾  元  角  分</w:t>
            </w:r>
          </w:p>
        </w:tc>
      </w:tr>
    </w:tbl>
    <w:p>
      <w:pPr>
        <w:wordWrap w:val="0"/>
        <w:overflowPunct w:val="0"/>
        <w:spacing w:line="240" w:lineRule="exact"/>
        <w:ind w:left="405" w:leftChars="-1" w:hanging="407" w:hangingChars="194"/>
        <w:rPr>
          <w:rFonts w:hint="eastAsia" w:ascii="宋体" w:hAnsi="宋体" w:cs="Arial Unicode MS"/>
          <w:szCs w:val="21"/>
        </w:rPr>
      </w:pPr>
      <w:r>
        <w:rPr>
          <w:rFonts w:hint="eastAsia" w:ascii="宋体" w:hAnsi="宋体" w:cs="Arial Unicode MS"/>
          <w:szCs w:val="21"/>
        </w:rPr>
        <w:t>注：1.本表所列费用为该分项的全部费用，未列费用均为综合考虑。</w:t>
      </w:r>
    </w:p>
    <w:p>
      <w:pPr>
        <w:wordWrap w:val="0"/>
        <w:overflowPunct w:val="0"/>
        <w:spacing w:line="240" w:lineRule="exact"/>
        <w:ind w:left="485" w:leftChars="231"/>
        <w:rPr>
          <w:rFonts w:ascii="宋体" w:hAnsi="宋体" w:cs="Arial Unicode MS"/>
          <w:szCs w:val="21"/>
        </w:rPr>
      </w:pPr>
      <w:r>
        <w:rPr>
          <w:rFonts w:hint="eastAsia" w:ascii="宋体" w:hAnsi="宋体" w:cs="Arial Unicode MS"/>
          <w:szCs w:val="21"/>
        </w:rPr>
        <w:t>2.本表中劳动成本（</w:t>
      </w:r>
      <w:r>
        <w:rPr>
          <w:rFonts w:hint="eastAsia" w:ascii="宋体" w:hAnsi="宋体" w:cs="Arial Unicode MS"/>
          <w:szCs w:val="21"/>
          <w:u w:val="single"/>
        </w:rPr>
        <w:t xml:space="preserve">   人）</w:t>
      </w:r>
      <w:r>
        <w:rPr>
          <w:rFonts w:hint="eastAsia" w:ascii="宋体" w:hAnsi="宋体" w:cs="Arial Unicode MS"/>
          <w:szCs w:val="21"/>
        </w:rPr>
        <w:t>与拟投入本项目人员配备情况表中对应人数不一致，视为没有实质性响应招标文件要求。</w:t>
      </w:r>
    </w:p>
    <w:p>
      <w:pPr>
        <w:wordWrap w:val="0"/>
        <w:overflowPunct w:val="0"/>
        <w:spacing w:line="240" w:lineRule="exact"/>
        <w:ind w:left="485" w:leftChars="231"/>
        <w:rPr>
          <w:rFonts w:hint="eastAsia" w:ascii="宋体" w:hAnsi="宋体" w:cs="Arial Unicode MS"/>
          <w:szCs w:val="21"/>
        </w:rPr>
      </w:pPr>
      <w:r>
        <w:rPr>
          <w:rFonts w:ascii="宋体" w:hAnsi="宋体" w:cs="Arial Unicode MS"/>
          <w:szCs w:val="21"/>
        </w:rPr>
        <w:t>3.</w:t>
      </w:r>
      <w:r>
        <w:rPr>
          <w:rFonts w:hint="eastAsia" w:ascii="宋体" w:hAnsi="宋体" w:cs="Arial Unicode MS"/>
          <w:szCs w:val="21"/>
        </w:rPr>
        <w:t>不提供此表的报价，视为没有实质性响应招标文件要求。</w:t>
      </w:r>
    </w:p>
    <w:p>
      <w:pPr>
        <w:wordWrap w:val="0"/>
        <w:overflowPunct w:val="0"/>
        <w:spacing w:line="240" w:lineRule="exact"/>
        <w:ind w:left="485" w:leftChars="231"/>
        <w:rPr>
          <w:rFonts w:hint="eastAsia" w:ascii="宋体" w:hAnsi="宋体" w:cs="Arial Unicode MS"/>
          <w:szCs w:val="21"/>
        </w:rPr>
      </w:pPr>
      <w:r>
        <w:rPr>
          <w:rFonts w:hint="eastAsia" w:ascii="宋体" w:hAnsi="宋体" w:cs="Arial Unicode MS"/>
          <w:szCs w:val="21"/>
        </w:rPr>
        <w:t>4.报价低于本表规定的，视为没有实质性响应招标文件要求。</w:t>
      </w:r>
    </w:p>
    <w:p>
      <w:pPr>
        <w:tabs>
          <w:tab w:val="left" w:pos="4635"/>
        </w:tabs>
        <w:wordWrap w:val="0"/>
        <w:overflowPunct w:val="0"/>
        <w:spacing w:line="240" w:lineRule="exact"/>
        <w:ind w:left="3826" w:leftChars="1822" w:right="840"/>
        <w:rPr>
          <w:rFonts w:hint="eastAsia" w:ascii="宋体" w:hAnsi="宋体" w:cs="Arial Unicode MS"/>
        </w:rPr>
      </w:pPr>
      <w:r>
        <w:rPr>
          <w:rFonts w:hint="eastAsia" w:ascii="宋体" w:hAnsi="宋体" w:cs="Arial Unicode MS"/>
        </w:rPr>
        <w:t>投标供应商全称（公章）：</w:t>
      </w:r>
    </w:p>
    <w:p>
      <w:pPr>
        <w:tabs>
          <w:tab w:val="left" w:pos="4635"/>
        </w:tabs>
        <w:wordWrap w:val="0"/>
        <w:overflowPunct w:val="0"/>
        <w:spacing w:line="240" w:lineRule="exact"/>
        <w:ind w:left="3826" w:leftChars="1822"/>
        <w:rPr>
          <w:rFonts w:hint="eastAsia" w:ascii="宋体" w:hAnsi="宋体" w:cs="Arial Unicode MS"/>
        </w:rPr>
      </w:pPr>
      <w:r>
        <w:rPr>
          <w:rFonts w:hint="eastAsia" w:ascii="宋体" w:hAnsi="宋体" w:cs="Arial Unicode MS"/>
        </w:rPr>
        <w:t>法定代表人或授权代表（签字或盖章）：</w:t>
      </w:r>
    </w:p>
    <w:p>
      <w:pPr>
        <w:tabs>
          <w:tab w:val="left" w:pos="4635"/>
        </w:tabs>
        <w:wordWrap w:val="0"/>
        <w:overflowPunct w:val="0"/>
        <w:spacing w:line="240" w:lineRule="exact"/>
        <w:ind w:left="3826" w:leftChars="1822"/>
        <w:rPr>
          <w:rFonts w:hint="eastAsia" w:ascii="宋体" w:hAnsi="宋体" w:cs="Arial Unicode MS"/>
        </w:rPr>
      </w:pPr>
      <w:r>
        <w:rPr>
          <w:rFonts w:hint="eastAsia" w:ascii="宋体" w:hAnsi="宋体" w:cs="Arial Unicode MS"/>
          <w:szCs w:val="22"/>
        </w:rPr>
        <w:t xml:space="preserve">日      </w:t>
      </w:r>
      <w:r>
        <w:rPr>
          <w:rFonts w:hint="eastAsia" w:ascii="宋体" w:hAnsi="宋体" w:cs="Arial Unicode MS"/>
        </w:rPr>
        <w:t>期：</w:t>
      </w:r>
    </w:p>
    <w:p>
      <w:pPr>
        <w:pStyle w:val="5"/>
        <w:keepNext w:val="0"/>
        <w:keepLines w:val="0"/>
        <w:wordWrap w:val="0"/>
        <w:overflowPunct w:val="0"/>
        <w:adjustRightInd w:val="0"/>
        <w:snapToGrid w:val="0"/>
        <w:spacing w:before="240" w:beforeLines="100" w:after="240" w:afterLines="100" w:line="400" w:lineRule="atLeast"/>
        <w:jc w:val="center"/>
        <w:rPr>
          <w:rFonts w:hAnsi="宋体"/>
          <w:sz w:val="28"/>
          <w:szCs w:val="36"/>
        </w:rPr>
      </w:pPr>
      <w:r>
        <w:rPr>
          <w:rFonts w:hint="eastAsia" w:hAnsi="宋体"/>
          <w:sz w:val="28"/>
          <w:szCs w:val="36"/>
        </w:rPr>
        <w:br w:type="page"/>
      </w:r>
      <w:bookmarkStart w:id="375" w:name="_Toc17705"/>
      <w:bookmarkStart w:id="376" w:name="_Toc64913379"/>
      <w:bookmarkStart w:id="377" w:name="_Toc64901795"/>
      <w:r>
        <w:rPr>
          <w:rFonts w:hint="eastAsia" w:hAnsi="宋体"/>
          <w:sz w:val="28"/>
          <w:szCs w:val="36"/>
        </w:rPr>
        <w:t>投标分项报价表1.</w:t>
      </w:r>
      <w:bookmarkEnd w:id="375"/>
      <w:r>
        <w:rPr>
          <w:rFonts w:hint="eastAsia" w:hAnsi="宋体"/>
          <w:sz w:val="28"/>
          <w:szCs w:val="36"/>
        </w:rPr>
        <w:t>1</w:t>
      </w:r>
      <w:r>
        <w:rPr>
          <w:rFonts w:hAnsi="宋体"/>
          <w:sz w:val="28"/>
          <w:szCs w:val="36"/>
        </w:rPr>
        <w:t>.</w:t>
      </w:r>
      <w:r>
        <w:rPr>
          <w:rFonts w:hint="eastAsia" w:hAnsi="宋体"/>
          <w:sz w:val="28"/>
          <w:szCs w:val="36"/>
        </w:rPr>
        <w:t>3</w:t>
      </w:r>
      <w:bookmarkEnd w:id="376"/>
      <w:bookmarkEnd w:id="377"/>
    </w:p>
    <w:p>
      <w:pPr>
        <w:wordWrap w:val="0"/>
        <w:overflowPunct w:val="0"/>
        <w:spacing w:line="270" w:lineRule="exact"/>
        <w:jc w:val="center"/>
        <w:rPr>
          <w:rFonts w:hint="eastAsia" w:ascii="宋体" w:hAnsi="宋体" w:cs="Arial Unicode MS"/>
          <w:b/>
          <w:bCs/>
          <w:sz w:val="22"/>
          <w:szCs w:val="22"/>
        </w:rPr>
      </w:pPr>
      <w:r>
        <w:rPr>
          <w:rFonts w:hint="eastAsia" w:ascii="宋体" w:hAnsi="宋体" w:cs="Arial Unicode MS"/>
          <w:b/>
          <w:bCs/>
          <w:sz w:val="22"/>
          <w:szCs w:val="22"/>
        </w:rPr>
        <w:t>（</w:t>
      </w:r>
      <w:r>
        <w:rPr>
          <w:rFonts w:hint="eastAsia" w:ascii="宋体" w:hAnsi="宋体" w:cs="Arial Unicode MS"/>
          <w:b/>
          <w:bCs/>
          <w:sz w:val="22"/>
        </w:rPr>
        <w:t>安阳街道</w:t>
      </w:r>
      <w:r>
        <w:rPr>
          <w:rFonts w:hint="eastAsia" w:ascii="宋体" w:hAnsi="宋体" w:cs="Arial Unicode MS"/>
          <w:b/>
          <w:bCs/>
          <w:sz w:val="22"/>
          <w:szCs w:val="22"/>
        </w:rPr>
        <w:t>公厕明细报价）</w:t>
      </w:r>
    </w:p>
    <w:p>
      <w:pPr>
        <w:wordWrap w:val="0"/>
        <w:overflowPunct w:val="0"/>
        <w:spacing w:line="280" w:lineRule="exact"/>
        <w:rPr>
          <w:rFonts w:ascii="新宋体" w:hAnsi="新宋体" w:eastAsia="新宋体"/>
          <w:szCs w:val="21"/>
        </w:rPr>
      </w:pPr>
      <w:r>
        <w:rPr>
          <w:rFonts w:hint="eastAsia" w:ascii="新宋体" w:hAnsi="新宋体" w:eastAsia="新宋体"/>
          <w:b/>
          <w:szCs w:val="21"/>
        </w:rPr>
        <w:t xml:space="preserve">项目名称：                        项目编号：              </w:t>
      </w:r>
      <w:r>
        <w:rPr>
          <w:rFonts w:hint="eastAsia" w:ascii="新宋体" w:hAnsi="新宋体" w:eastAsia="新宋体"/>
          <w:szCs w:val="21"/>
        </w:rPr>
        <w:t>【价格单位：元】</w:t>
      </w:r>
    </w:p>
    <w:tbl>
      <w:tblPr>
        <w:tblStyle w:val="35"/>
        <w:tblW w:w="9840" w:type="dxa"/>
        <w:tblInd w:w="-72" w:type="dxa"/>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Layout w:type="fixed"/>
        <w:tblCellMar>
          <w:top w:w="0" w:type="dxa"/>
          <w:left w:w="108" w:type="dxa"/>
          <w:bottom w:w="0" w:type="dxa"/>
          <w:right w:w="108" w:type="dxa"/>
        </w:tblCellMar>
      </w:tblPr>
      <w:tblGrid>
        <w:gridCol w:w="732"/>
        <w:gridCol w:w="1291"/>
        <w:gridCol w:w="1517"/>
        <w:gridCol w:w="1470"/>
        <w:gridCol w:w="1266"/>
        <w:gridCol w:w="3564"/>
      </w:tblGrid>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732" w:type="dxa"/>
            <w:tcBorders>
              <w:top w:val="single" w:color="auto" w:sz="18" w:space="0"/>
              <w:left w:val="single" w:color="auto" w:sz="18" w:space="0"/>
              <w:bottom w:val="single" w:color="auto" w:sz="6" w:space="0"/>
              <w:right w:val="single" w:color="auto" w:sz="4" w:space="0"/>
            </w:tcBorders>
            <w:noWrap w:val="0"/>
            <w:vAlign w:val="center"/>
          </w:tcPr>
          <w:p>
            <w:pPr>
              <w:wordWrap w:val="0"/>
              <w:overflowPunct w:val="0"/>
              <w:jc w:val="center"/>
              <w:rPr>
                <w:rFonts w:ascii="新宋体" w:hAnsi="新宋体" w:eastAsia="新宋体"/>
                <w:sz w:val="22"/>
              </w:rPr>
            </w:pPr>
            <w:r>
              <w:rPr>
                <w:rFonts w:hint="eastAsia" w:ascii="新宋体" w:hAnsi="新宋体" w:eastAsia="新宋体"/>
                <w:sz w:val="22"/>
              </w:rPr>
              <w:t>序号</w:t>
            </w:r>
          </w:p>
        </w:tc>
        <w:tc>
          <w:tcPr>
            <w:tcW w:w="2808" w:type="dxa"/>
            <w:gridSpan w:val="2"/>
            <w:tcBorders>
              <w:top w:val="single" w:color="auto" w:sz="18"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 w:val="22"/>
              </w:rPr>
            </w:pPr>
            <w:r>
              <w:rPr>
                <w:rFonts w:hint="eastAsia" w:ascii="新宋体" w:hAnsi="新宋体" w:eastAsia="新宋体"/>
                <w:sz w:val="22"/>
              </w:rPr>
              <w:t>项目</w:t>
            </w:r>
          </w:p>
        </w:tc>
        <w:tc>
          <w:tcPr>
            <w:tcW w:w="1470" w:type="dxa"/>
            <w:tcBorders>
              <w:top w:val="single" w:color="auto" w:sz="18" w:space="0"/>
              <w:left w:val="single" w:color="auto" w:sz="6" w:space="0"/>
              <w:bottom w:val="single" w:color="auto" w:sz="6" w:space="0"/>
              <w:right w:val="single" w:color="auto" w:sz="6" w:space="0"/>
            </w:tcBorders>
            <w:noWrap w:val="0"/>
            <w:vAlign w:val="center"/>
          </w:tcPr>
          <w:p>
            <w:pPr>
              <w:wordWrap w:val="0"/>
              <w:overflowPunct w:val="0"/>
              <w:jc w:val="center"/>
              <w:rPr>
                <w:rFonts w:ascii="新宋体" w:hAnsi="新宋体" w:eastAsia="新宋体"/>
                <w:spacing w:val="-20"/>
                <w:sz w:val="22"/>
              </w:rPr>
            </w:pPr>
            <w:r>
              <w:rPr>
                <w:rFonts w:hint="eastAsia" w:ascii="新宋体" w:hAnsi="新宋体" w:eastAsia="新宋体"/>
                <w:spacing w:val="-20"/>
                <w:sz w:val="22"/>
              </w:rPr>
              <w:t>月支出</w:t>
            </w:r>
          </w:p>
        </w:tc>
        <w:tc>
          <w:tcPr>
            <w:tcW w:w="1266" w:type="dxa"/>
            <w:tcBorders>
              <w:top w:val="single" w:color="auto" w:sz="18" w:space="0"/>
              <w:left w:val="single" w:color="auto" w:sz="6" w:space="0"/>
              <w:bottom w:val="single" w:color="auto" w:sz="6" w:space="0"/>
              <w:right w:val="single" w:color="auto" w:sz="6" w:space="0"/>
            </w:tcBorders>
            <w:noWrap w:val="0"/>
            <w:vAlign w:val="center"/>
          </w:tcPr>
          <w:p>
            <w:pPr>
              <w:wordWrap w:val="0"/>
              <w:overflowPunct w:val="0"/>
              <w:jc w:val="center"/>
              <w:rPr>
                <w:rFonts w:ascii="新宋体" w:hAnsi="新宋体" w:eastAsia="新宋体"/>
                <w:sz w:val="22"/>
              </w:rPr>
            </w:pPr>
            <w:r>
              <w:rPr>
                <w:rFonts w:hint="eastAsia" w:ascii="新宋体" w:hAnsi="新宋体" w:eastAsia="新宋体"/>
                <w:b/>
                <w:sz w:val="22"/>
              </w:rPr>
              <w:t>一年</w:t>
            </w:r>
            <w:r>
              <w:rPr>
                <w:rFonts w:hint="eastAsia" w:ascii="新宋体" w:hAnsi="新宋体" w:eastAsia="新宋体"/>
                <w:sz w:val="22"/>
              </w:rPr>
              <w:t>支出</w:t>
            </w:r>
          </w:p>
        </w:tc>
        <w:tc>
          <w:tcPr>
            <w:tcW w:w="3564" w:type="dxa"/>
            <w:tcBorders>
              <w:top w:val="single" w:color="auto" w:sz="18" w:space="0"/>
              <w:left w:val="single" w:color="auto" w:sz="6" w:space="0"/>
              <w:bottom w:val="single" w:color="auto" w:sz="6" w:space="0"/>
              <w:right w:val="single" w:color="auto" w:sz="18" w:space="0"/>
            </w:tcBorders>
            <w:noWrap w:val="0"/>
            <w:vAlign w:val="center"/>
          </w:tcPr>
          <w:p>
            <w:pPr>
              <w:wordWrap w:val="0"/>
              <w:overflowPunct w:val="0"/>
              <w:jc w:val="center"/>
              <w:rPr>
                <w:rFonts w:ascii="新宋体" w:hAnsi="新宋体" w:eastAsia="新宋体"/>
                <w:sz w:val="22"/>
              </w:rPr>
            </w:pPr>
            <w:r>
              <w:rPr>
                <w:rFonts w:hint="eastAsia" w:ascii="新宋体" w:hAnsi="新宋体" w:eastAsia="新宋体"/>
                <w:sz w:val="22"/>
              </w:rPr>
              <w:t>说明</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r>
              <w:rPr>
                <w:rFonts w:hint="eastAsia" w:ascii="新宋体" w:hAnsi="新宋体" w:eastAsia="新宋体"/>
                <w:sz w:val="22"/>
              </w:rPr>
              <w:t>1</w:t>
            </w:r>
          </w:p>
        </w:tc>
        <w:tc>
          <w:tcPr>
            <w:tcW w:w="1291" w:type="dxa"/>
            <w:vMerge w:val="restart"/>
            <w:tcBorders>
              <w:left w:val="single" w:color="auto" w:sz="4" w:space="0"/>
              <w:right w:val="single" w:color="auto" w:sz="4" w:space="0"/>
            </w:tcBorders>
            <w:noWrap w:val="0"/>
            <w:vAlign w:val="center"/>
          </w:tcPr>
          <w:p>
            <w:pPr>
              <w:wordWrap w:val="0"/>
              <w:overflowPunct w:val="0"/>
              <w:jc w:val="center"/>
              <w:rPr>
                <w:rFonts w:hint="eastAsia"/>
              </w:rPr>
            </w:pPr>
            <w:r>
              <w:rPr>
                <w:rFonts w:hint="eastAsia"/>
              </w:rPr>
              <w:t>劳动成本</w:t>
            </w:r>
          </w:p>
          <w:p>
            <w:pPr>
              <w:pStyle w:val="164"/>
              <w:widowControl/>
              <w:wordWrap w:val="0"/>
              <w:overflowPunct w:val="0"/>
              <w:ind w:left="0" w:firstLine="210"/>
            </w:pPr>
            <w:r>
              <w:rPr>
                <w:rFonts w:hint="eastAsia" w:ascii="新宋体" w:hAnsi="新宋体" w:eastAsia="新宋体"/>
                <w:szCs w:val="21"/>
                <w:u w:val="single"/>
              </w:rPr>
              <w:t>（   人）</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人员工资</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hint="eastAsia" w:ascii="Arial" w:hAnsi="Arial" w:cs="Arial"/>
                <w:b/>
                <w:szCs w:val="21"/>
                <w:u w:val="single"/>
              </w:rPr>
            </w:pPr>
            <w:r>
              <w:rPr>
                <w:rFonts w:hint="eastAsia" w:ascii="Arial" w:hAnsi="Arial" w:eastAsia="新宋体" w:cs="Arial"/>
                <w:b/>
                <w:sz w:val="22"/>
              </w:rPr>
              <w:t>▲</w:t>
            </w:r>
            <w:r>
              <w:rPr>
                <w:rFonts w:hint="eastAsia" w:ascii="新宋体" w:hAnsi="新宋体" w:eastAsia="新宋体"/>
                <w:szCs w:val="21"/>
              </w:rPr>
              <w:t>根据浙江省人民政府办公厅文件（</w:t>
            </w:r>
            <w:r>
              <w:rPr>
                <w:rFonts w:ascii="Arial" w:hAnsi="宋体" w:cs="Arial"/>
                <w:b/>
                <w:szCs w:val="21"/>
                <w:u w:val="single"/>
              </w:rPr>
              <w:t>月工资收入不低于</w:t>
            </w:r>
            <w:r>
              <w:rPr>
                <w:rFonts w:hint="eastAsia" w:ascii="Arial" w:hAnsi="宋体" w:cs="Arial"/>
                <w:b/>
                <w:szCs w:val="21"/>
                <w:u w:val="single"/>
              </w:rPr>
              <w:t>瑞安</w:t>
            </w:r>
            <w:r>
              <w:rPr>
                <w:rFonts w:ascii="Arial" w:hAnsi="宋体" w:cs="Arial"/>
                <w:b/>
                <w:szCs w:val="21"/>
                <w:u w:val="single"/>
              </w:rPr>
              <w:t>市本年最低工资标准</w:t>
            </w:r>
            <w:r>
              <w:rPr>
                <w:rFonts w:hint="eastAsia" w:ascii="Arial" w:hAnsi="Arial" w:cs="Arial"/>
                <w:b/>
                <w:szCs w:val="21"/>
                <w:u w:val="single"/>
              </w:rPr>
              <w:t>120%，</w:t>
            </w:r>
          </w:p>
          <w:p>
            <w:pPr>
              <w:wordWrap w:val="0"/>
              <w:overflowPunct w:val="0"/>
              <w:spacing w:line="240" w:lineRule="exact"/>
              <w:rPr>
                <w:rFonts w:ascii="新宋体" w:hAnsi="新宋体" w:eastAsia="新宋体"/>
                <w:szCs w:val="21"/>
              </w:rPr>
            </w:pPr>
            <w:r>
              <w:rPr>
                <w:rFonts w:hint="eastAsia" w:ascii="Arial" w:hAnsi="Arial" w:eastAsia="新宋体" w:cs="Arial"/>
                <w:b/>
                <w:sz w:val="22"/>
              </w:rPr>
              <w:t>▲特殊岗位津贴发放标准按10元/每人/每出勤日</w:t>
            </w:r>
            <w:r>
              <w:rPr>
                <w:rFonts w:hint="eastAsia" w:ascii="新宋体" w:hAnsi="新宋体" w:eastAsia="新宋体"/>
                <w:szCs w:val="21"/>
              </w:rPr>
              <w:t>）</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加班费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hint="eastAsia" w:ascii="新宋体" w:hAnsi="新宋体" w:eastAsia="新宋体"/>
                <w:szCs w:val="21"/>
              </w:rPr>
            </w:pPr>
            <w:r>
              <w:rPr>
                <w:rFonts w:hint="eastAsia" w:ascii="新宋体" w:hAnsi="新宋体" w:eastAsia="新宋体"/>
                <w:szCs w:val="21"/>
              </w:rPr>
              <w:t>法定节假日按全员全年11天计算；</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高温费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Arial" w:hAnsi="Arial" w:eastAsia="新宋体" w:cs="Arial"/>
                <w:b/>
                <w:sz w:val="22"/>
              </w:rPr>
              <w:t>▲高温补贴共4个月（六、七、八、九共四月，逐月发放，</w:t>
            </w:r>
            <w:r>
              <w:rPr>
                <w:rFonts w:hint="eastAsia" w:ascii="宋体"/>
                <w:b/>
                <w:bCs/>
                <w:szCs w:val="21"/>
              </w:rPr>
              <w:t>一线现场服务人员</w:t>
            </w:r>
            <w:r>
              <w:rPr>
                <w:rFonts w:hint="eastAsia" w:ascii="Arial" w:hAnsi="Arial" w:eastAsia="新宋体" w:cs="Arial"/>
                <w:b/>
                <w:sz w:val="22"/>
              </w:rPr>
              <w:t>每人每月不低于300元人民币）按相关规定发放</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各类保险</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spacing w:line="240" w:lineRule="exact"/>
              <w:rPr>
                <w:rFonts w:ascii="新宋体" w:hAnsi="新宋体" w:eastAsia="新宋体"/>
                <w:szCs w:val="21"/>
              </w:rPr>
            </w:pPr>
            <w:r>
              <w:rPr>
                <w:rFonts w:hint="eastAsia" w:ascii="Arial" w:hAnsi="Arial" w:eastAsia="新宋体" w:cs="Arial"/>
                <w:b/>
                <w:sz w:val="22"/>
              </w:rPr>
              <w:t>▲</w:t>
            </w:r>
            <w:r>
              <w:rPr>
                <w:rFonts w:hint="eastAsia" w:ascii="新宋体" w:hAnsi="新宋体" w:eastAsia="新宋体"/>
                <w:b/>
                <w:szCs w:val="21"/>
              </w:rPr>
              <w:t>包括社保、意外保险费，其中</w:t>
            </w:r>
            <w:r>
              <w:rPr>
                <w:rFonts w:hint="eastAsia" w:ascii="宋体"/>
                <w:b/>
                <w:szCs w:val="21"/>
              </w:rPr>
              <w:t>一线现场服务人员社保缴纳人数不得低于一线现场服务人员总数的30%</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人员福利</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r>
              <w:rPr>
                <w:rFonts w:hint="eastAsia" w:ascii="新宋体" w:hAnsi="新宋体" w:eastAsia="新宋体"/>
                <w:szCs w:val="21"/>
              </w:rPr>
              <w:t>包括过节费、奖金</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restart"/>
            <w:tcBorders>
              <w:top w:val="single" w:color="auto" w:sz="4" w:space="0"/>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r>
              <w:rPr>
                <w:rFonts w:hint="eastAsia" w:ascii="新宋体" w:hAnsi="新宋体" w:eastAsia="新宋体"/>
                <w:sz w:val="22"/>
              </w:rPr>
              <w:t>2</w:t>
            </w:r>
          </w:p>
        </w:tc>
        <w:tc>
          <w:tcPr>
            <w:tcW w:w="1291" w:type="dxa"/>
            <w:vMerge w:val="restart"/>
            <w:tcBorders>
              <w:top w:val="single" w:color="auto" w:sz="4" w:space="0"/>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生产费用</w:t>
            </w: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劳保用品</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b/>
                <w:bCs/>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r>
              <w:rPr>
                <w:rFonts w:hint="eastAsia" w:ascii="新宋体" w:hAnsi="新宋体" w:eastAsia="新宋体"/>
                <w:szCs w:val="21"/>
              </w:rPr>
              <w:t>工作服、雨衣、雨鞋等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生产工具</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b/>
                <w:bCs/>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r>
              <w:rPr>
                <w:rFonts w:hint="eastAsia" w:ascii="新宋体" w:hAnsi="新宋体" w:eastAsia="新宋体"/>
                <w:szCs w:val="21"/>
              </w:rPr>
              <w:t>三轮车、快速保洁车、管理用车</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耗材用品</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b/>
                <w:bCs/>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r>
              <w:rPr>
                <w:rFonts w:hint="eastAsia" w:ascii="新宋体" w:hAnsi="新宋体" w:eastAsia="新宋体"/>
                <w:szCs w:val="21"/>
              </w:rPr>
              <w:t>扫帚、畚箕、铁锹等</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修理费用</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b/>
                <w:bCs/>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168" w:hRule="atLeast"/>
        </w:trPr>
        <w:tc>
          <w:tcPr>
            <w:tcW w:w="732" w:type="dxa"/>
            <w:vMerge w:val="continue"/>
            <w:tcBorders>
              <w:left w:val="single" w:color="auto" w:sz="18" w:space="0"/>
              <w:right w:val="single" w:color="auto" w:sz="4" w:space="0"/>
            </w:tcBorders>
            <w:noWrap w:val="0"/>
            <w:vAlign w:val="center"/>
          </w:tcPr>
          <w:p>
            <w:pPr>
              <w:wordWrap w:val="0"/>
              <w:overflowPunct w:val="0"/>
              <w:jc w:val="center"/>
              <w:rPr>
                <w:rFonts w:ascii="新宋体" w:hAnsi="新宋体" w:eastAsia="新宋体"/>
                <w:sz w:val="22"/>
              </w:rPr>
            </w:pPr>
          </w:p>
        </w:tc>
        <w:tc>
          <w:tcPr>
            <w:tcW w:w="1291" w:type="dxa"/>
            <w:vMerge w:val="continue"/>
            <w:tcBorders>
              <w:left w:val="single" w:color="auto" w:sz="4" w:space="0"/>
              <w:right w:val="single" w:color="auto" w:sz="4" w:space="0"/>
            </w:tcBorders>
            <w:noWrap w:val="0"/>
            <w:vAlign w:val="center"/>
          </w:tcPr>
          <w:p>
            <w:pPr>
              <w:wordWrap w:val="0"/>
              <w:overflowPunct w:val="0"/>
              <w:jc w:val="center"/>
              <w:rPr>
                <w:rFonts w:ascii="新宋体" w:hAnsi="新宋体" w:eastAsia="新宋体"/>
                <w:szCs w:val="21"/>
              </w:rPr>
            </w:pPr>
          </w:p>
        </w:tc>
        <w:tc>
          <w:tcPr>
            <w:tcW w:w="1517" w:type="dxa"/>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住房租金</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b/>
                <w:bCs/>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trPr>
        <w:tc>
          <w:tcPr>
            <w:tcW w:w="732" w:type="dxa"/>
            <w:tcBorders>
              <w:top w:val="single" w:color="auto" w:sz="6" w:space="0"/>
              <w:left w:val="single" w:color="auto" w:sz="18" w:space="0"/>
              <w:bottom w:val="single" w:color="auto" w:sz="6" w:space="0"/>
              <w:right w:val="single" w:color="auto" w:sz="4" w:space="0"/>
            </w:tcBorders>
            <w:noWrap w:val="0"/>
            <w:vAlign w:val="center"/>
          </w:tcPr>
          <w:p>
            <w:pPr>
              <w:wordWrap w:val="0"/>
              <w:overflowPunct w:val="0"/>
              <w:jc w:val="center"/>
              <w:rPr>
                <w:rFonts w:ascii="新宋体" w:hAnsi="新宋体" w:eastAsia="新宋体"/>
                <w:bCs/>
                <w:sz w:val="22"/>
              </w:rPr>
            </w:pPr>
            <w:r>
              <w:rPr>
                <w:rFonts w:ascii="新宋体" w:hAnsi="新宋体" w:eastAsia="新宋体"/>
                <w:bCs/>
                <w:sz w:val="22"/>
              </w:rPr>
              <w:t>3</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bCs/>
                <w:szCs w:val="21"/>
              </w:rPr>
            </w:pPr>
            <w:r>
              <w:rPr>
                <w:rFonts w:hint="eastAsia" w:ascii="新宋体" w:hAnsi="新宋体" w:eastAsia="新宋体"/>
                <w:bCs/>
                <w:szCs w:val="21"/>
              </w:rPr>
              <w:t>经营管理费</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b/>
                <w:bCs/>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31" w:hRule="atLeast"/>
        </w:trPr>
        <w:tc>
          <w:tcPr>
            <w:tcW w:w="732" w:type="dxa"/>
            <w:tcBorders>
              <w:top w:val="single" w:color="auto" w:sz="6" w:space="0"/>
              <w:left w:val="single" w:color="auto" w:sz="18" w:space="0"/>
              <w:bottom w:val="single" w:color="auto" w:sz="6" w:space="0"/>
              <w:right w:val="single" w:color="auto" w:sz="4" w:space="0"/>
            </w:tcBorders>
            <w:noWrap w:val="0"/>
            <w:vAlign w:val="center"/>
          </w:tcPr>
          <w:p>
            <w:pPr>
              <w:wordWrap w:val="0"/>
              <w:overflowPunct w:val="0"/>
              <w:jc w:val="center"/>
              <w:rPr>
                <w:rFonts w:ascii="新宋体" w:hAnsi="新宋体" w:eastAsia="新宋体"/>
                <w:bCs/>
                <w:sz w:val="22"/>
              </w:rPr>
            </w:pPr>
            <w:r>
              <w:rPr>
                <w:rFonts w:ascii="新宋体" w:hAnsi="新宋体" w:eastAsia="新宋体"/>
                <w:bCs/>
                <w:sz w:val="22"/>
              </w:rPr>
              <w:t>4</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bCs/>
                <w:szCs w:val="21"/>
              </w:rPr>
            </w:pPr>
            <w:r>
              <w:rPr>
                <w:rFonts w:hint="eastAsia" w:ascii="新宋体" w:hAnsi="新宋体" w:eastAsia="新宋体"/>
                <w:bCs/>
                <w:szCs w:val="21"/>
              </w:rPr>
              <w:t>利润</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b/>
                <w:bCs/>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trPr>
        <w:tc>
          <w:tcPr>
            <w:tcW w:w="732" w:type="dxa"/>
            <w:tcBorders>
              <w:top w:val="single" w:color="auto" w:sz="6" w:space="0"/>
              <w:left w:val="single" w:color="auto" w:sz="18" w:space="0"/>
              <w:bottom w:val="single" w:color="auto" w:sz="4" w:space="0"/>
              <w:right w:val="single" w:color="auto" w:sz="4" w:space="0"/>
            </w:tcBorders>
            <w:noWrap w:val="0"/>
            <w:vAlign w:val="center"/>
          </w:tcPr>
          <w:p>
            <w:pPr>
              <w:wordWrap w:val="0"/>
              <w:overflowPunct w:val="0"/>
              <w:jc w:val="center"/>
              <w:rPr>
                <w:rFonts w:ascii="新宋体" w:hAnsi="新宋体" w:eastAsia="新宋体"/>
                <w:sz w:val="22"/>
              </w:rPr>
            </w:pPr>
            <w:r>
              <w:rPr>
                <w:rFonts w:ascii="新宋体" w:hAnsi="新宋体" w:eastAsia="新宋体"/>
                <w:sz w:val="22"/>
              </w:rPr>
              <w:t>5</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bCs/>
                <w:szCs w:val="21"/>
              </w:rPr>
            </w:pPr>
            <w:r>
              <w:rPr>
                <w:rFonts w:hint="eastAsia" w:ascii="新宋体" w:hAnsi="新宋体" w:eastAsia="新宋体"/>
                <w:bCs/>
                <w:szCs w:val="21"/>
              </w:rPr>
              <w:t>税金</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cantSplit/>
          <w:trHeight w:val="331" w:hRule="atLeast"/>
        </w:trPr>
        <w:tc>
          <w:tcPr>
            <w:tcW w:w="732" w:type="dxa"/>
            <w:tcBorders>
              <w:top w:val="single" w:color="auto" w:sz="6" w:space="0"/>
              <w:left w:val="single" w:color="auto" w:sz="18" w:space="0"/>
              <w:bottom w:val="single" w:color="auto" w:sz="4" w:space="0"/>
              <w:right w:val="single" w:color="auto" w:sz="4" w:space="0"/>
            </w:tcBorders>
            <w:noWrap w:val="0"/>
            <w:vAlign w:val="center"/>
          </w:tcPr>
          <w:p>
            <w:pPr>
              <w:wordWrap w:val="0"/>
              <w:overflowPunct w:val="0"/>
              <w:jc w:val="center"/>
              <w:rPr>
                <w:rFonts w:ascii="新宋体" w:hAnsi="新宋体" w:eastAsia="新宋体"/>
                <w:sz w:val="22"/>
              </w:rPr>
            </w:pPr>
            <w:r>
              <w:rPr>
                <w:rFonts w:ascii="新宋体" w:hAnsi="新宋体" w:eastAsia="新宋体"/>
                <w:sz w:val="22"/>
              </w:rPr>
              <w:t>6</w:t>
            </w:r>
          </w:p>
        </w:tc>
        <w:tc>
          <w:tcPr>
            <w:tcW w:w="2808" w:type="dxa"/>
            <w:gridSpan w:val="2"/>
            <w:tcBorders>
              <w:top w:val="single" w:color="auto" w:sz="6" w:space="0"/>
              <w:left w:val="single" w:color="auto" w:sz="4" w:space="0"/>
              <w:bottom w:val="single" w:color="auto" w:sz="6"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bCs/>
                <w:szCs w:val="21"/>
              </w:rPr>
              <w:t>其他</w:t>
            </w:r>
          </w:p>
        </w:tc>
        <w:tc>
          <w:tcPr>
            <w:tcW w:w="1470"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zCs w:val="21"/>
              </w:rPr>
            </w:pPr>
          </w:p>
        </w:tc>
        <w:tc>
          <w:tcPr>
            <w:tcW w:w="1266" w:type="dxa"/>
            <w:tcBorders>
              <w:top w:val="single" w:color="auto" w:sz="6" w:space="0"/>
              <w:left w:val="single" w:color="auto" w:sz="6" w:space="0"/>
              <w:bottom w:val="single" w:color="auto" w:sz="6" w:space="0"/>
              <w:right w:val="single" w:color="auto" w:sz="6" w:space="0"/>
            </w:tcBorders>
            <w:noWrap w:val="0"/>
            <w:vAlign w:val="top"/>
          </w:tcPr>
          <w:p>
            <w:pPr>
              <w:wordWrap w:val="0"/>
              <w:overflowPunct w:val="0"/>
              <w:rPr>
                <w:rFonts w:ascii="新宋体" w:hAnsi="新宋体" w:eastAsia="新宋体"/>
                <w:spacing w:val="-20"/>
                <w:szCs w:val="21"/>
              </w:rPr>
            </w:pPr>
          </w:p>
        </w:tc>
        <w:tc>
          <w:tcPr>
            <w:tcW w:w="3564" w:type="dxa"/>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6" w:space="0"/>
              <w:left w:val="single" w:color="auto" w:sz="18" w:space="0"/>
              <w:bottom w:val="single" w:color="auto" w:sz="6" w:space="0"/>
              <w:right w:val="single" w:color="auto" w:sz="6" w:space="0"/>
            </w:tcBorders>
            <w:noWrap w:val="0"/>
            <w:vAlign w:val="center"/>
          </w:tcPr>
          <w:p>
            <w:pPr>
              <w:wordWrap w:val="0"/>
              <w:overflowPunct w:val="0"/>
              <w:ind w:firstLine="934" w:firstLineChars="445"/>
              <w:jc w:val="center"/>
              <w:rPr>
                <w:rFonts w:ascii="新宋体" w:hAnsi="新宋体" w:eastAsia="新宋体"/>
                <w:bCs/>
                <w:szCs w:val="21"/>
              </w:rPr>
            </w:pPr>
            <w:r>
              <w:rPr>
                <w:rFonts w:hint="eastAsia" w:ascii="新宋体" w:hAnsi="新宋体" w:eastAsia="新宋体"/>
                <w:bCs/>
                <w:szCs w:val="21"/>
              </w:rPr>
              <w:t>合   计</w:t>
            </w:r>
          </w:p>
        </w:tc>
        <w:tc>
          <w:tcPr>
            <w:tcW w:w="6300" w:type="dxa"/>
            <w:gridSpan w:val="3"/>
            <w:tcBorders>
              <w:top w:val="single" w:color="auto" w:sz="6" w:space="0"/>
              <w:left w:val="single" w:color="auto" w:sz="6" w:space="0"/>
              <w:bottom w:val="single" w:color="auto" w:sz="6" w:space="0"/>
              <w:right w:val="single" w:color="auto" w:sz="18" w:space="0"/>
            </w:tcBorders>
            <w:noWrap w:val="0"/>
            <w:vAlign w:val="top"/>
          </w:tcPr>
          <w:p>
            <w:pPr>
              <w:wordWrap w:val="0"/>
              <w:overflowPunct w:val="0"/>
              <w:rPr>
                <w:rFonts w:ascii="新宋体" w:hAnsi="新宋体" w:eastAsia="新宋体"/>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left w:val="single" w:color="auto" w:sz="18" w:space="0"/>
              <w:bottom w:val="single" w:color="auto" w:sz="4" w:space="0"/>
              <w:right w:val="single" w:color="auto" w:sz="6" w:space="0"/>
            </w:tcBorders>
            <w:noWrap w:val="0"/>
            <w:vAlign w:val="center"/>
          </w:tcPr>
          <w:p>
            <w:pPr>
              <w:wordWrap w:val="0"/>
              <w:overflowPunct w:val="0"/>
              <w:jc w:val="center"/>
              <w:rPr>
                <w:rFonts w:ascii="新宋体" w:hAnsi="新宋体" w:eastAsia="新宋体"/>
                <w:b/>
                <w:bCs/>
                <w:szCs w:val="21"/>
              </w:rPr>
            </w:pPr>
            <w:r>
              <w:rPr>
                <w:rFonts w:hint="eastAsia" w:ascii="新宋体" w:hAnsi="新宋体" w:eastAsia="新宋体"/>
                <w:szCs w:val="21"/>
              </w:rPr>
              <w:t>一年总价（</w:t>
            </w:r>
            <w:r>
              <w:rPr>
                <w:rFonts w:hint="eastAsia" w:ascii="Arial" w:hAnsi="Arial" w:eastAsia="新宋体" w:cs="Arial"/>
                <w:b/>
                <w:sz w:val="22"/>
              </w:rPr>
              <w:t>按一</w:t>
            </w:r>
            <w:r>
              <w:rPr>
                <w:rFonts w:hint="eastAsia" w:ascii="Arial" w:hAnsi="Arial" w:eastAsia="新宋体" w:cs="Arial"/>
                <w:b/>
                <w:sz w:val="22"/>
                <w:u w:val="single"/>
              </w:rPr>
              <w:t>年</w:t>
            </w:r>
            <w:r>
              <w:rPr>
                <w:rFonts w:hint="eastAsia" w:ascii="新宋体" w:hAnsi="新宋体" w:eastAsia="新宋体"/>
                <w:szCs w:val="21"/>
              </w:rPr>
              <w:t>）</w:t>
            </w:r>
          </w:p>
        </w:tc>
        <w:tc>
          <w:tcPr>
            <w:tcW w:w="6300" w:type="dxa"/>
            <w:gridSpan w:val="3"/>
            <w:tcBorders>
              <w:top w:val="single" w:color="auto" w:sz="6" w:space="0"/>
              <w:left w:val="single" w:color="auto" w:sz="6" w:space="0"/>
              <w:bottom w:val="single" w:color="auto" w:sz="4" w:space="0"/>
              <w:right w:val="single" w:color="auto" w:sz="18" w:space="0"/>
            </w:tcBorders>
            <w:noWrap w:val="0"/>
            <w:vAlign w:val="top"/>
          </w:tcPr>
          <w:p>
            <w:pPr>
              <w:wordWrap w:val="0"/>
              <w:overflowPunct w:val="0"/>
              <w:rPr>
                <w:rFonts w:ascii="新宋体" w:hAnsi="新宋体" w:eastAsia="新宋体"/>
                <w:szCs w:val="21"/>
              </w:rPr>
            </w:pPr>
            <w:r>
              <w:rPr>
                <w:rFonts w:hint="eastAsia" w:ascii="新宋体" w:hAnsi="新宋体" w:eastAsia="新宋体"/>
                <w:bCs/>
                <w:szCs w:val="21"/>
              </w:rPr>
              <w:t>佰   拾  万  仟  佰  拾  元  角  分</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4"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总数量</w:t>
            </w:r>
          </w:p>
        </w:tc>
        <w:tc>
          <w:tcPr>
            <w:tcW w:w="6300" w:type="dxa"/>
            <w:gridSpan w:val="3"/>
            <w:tcBorders>
              <w:top w:val="single" w:color="auto" w:sz="4" w:space="0"/>
              <w:left w:val="single" w:color="auto" w:sz="6" w:space="0"/>
              <w:bottom w:val="single" w:color="auto" w:sz="4" w:space="0"/>
              <w:right w:val="single" w:color="auto" w:sz="18" w:space="0"/>
            </w:tcBorders>
            <w:noWrap w:val="0"/>
            <w:vAlign w:val="top"/>
          </w:tcPr>
          <w:p>
            <w:pPr>
              <w:wordWrap w:val="0"/>
              <w:overflowPunct w:val="0"/>
              <w:rPr>
                <w:rFonts w:ascii="新宋体" w:hAnsi="新宋体" w:eastAsia="新宋体"/>
                <w:bCs/>
                <w:szCs w:val="21"/>
              </w:rPr>
            </w:pPr>
            <w:r>
              <w:rPr>
                <w:rFonts w:hint="eastAsia" w:ascii="新宋体" w:hAnsi="新宋体" w:eastAsia="新宋体"/>
                <w:bCs/>
                <w:szCs w:val="21"/>
              </w:rPr>
              <w:t xml:space="preserve"> </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4" w:space="0"/>
              <w:right w:val="single" w:color="auto" w:sz="6" w:space="0"/>
            </w:tcBorders>
            <w:noWrap w:val="0"/>
            <w:vAlign w:val="center"/>
          </w:tcPr>
          <w:p>
            <w:pPr>
              <w:wordWrap w:val="0"/>
              <w:overflowPunct w:val="0"/>
              <w:jc w:val="center"/>
              <w:rPr>
                <w:rFonts w:ascii="新宋体" w:hAnsi="新宋体" w:eastAsia="新宋体"/>
                <w:szCs w:val="21"/>
              </w:rPr>
            </w:pPr>
            <w:r>
              <w:rPr>
                <w:rFonts w:hint="eastAsia" w:ascii="新宋体" w:hAnsi="新宋体" w:eastAsia="新宋体"/>
                <w:szCs w:val="21"/>
              </w:rPr>
              <w:t>平均单价（元/每座公厕）</w:t>
            </w:r>
          </w:p>
        </w:tc>
        <w:tc>
          <w:tcPr>
            <w:tcW w:w="6300" w:type="dxa"/>
            <w:gridSpan w:val="3"/>
            <w:tcBorders>
              <w:top w:val="single" w:color="auto" w:sz="4" w:space="0"/>
              <w:left w:val="single" w:color="auto" w:sz="6" w:space="0"/>
              <w:bottom w:val="single" w:color="auto" w:sz="4" w:space="0"/>
              <w:right w:val="single" w:color="auto" w:sz="18" w:space="0"/>
            </w:tcBorders>
            <w:noWrap w:val="0"/>
            <w:vAlign w:val="top"/>
          </w:tcPr>
          <w:p>
            <w:pPr>
              <w:wordWrap w:val="0"/>
              <w:overflowPunct w:val="0"/>
              <w:rPr>
                <w:rFonts w:ascii="新宋体" w:hAnsi="新宋体" w:eastAsia="新宋体"/>
                <w:bCs/>
                <w:szCs w:val="21"/>
              </w:rPr>
            </w:pP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168" w:hRule="atLeast"/>
        </w:trPr>
        <w:tc>
          <w:tcPr>
            <w:tcW w:w="3540" w:type="dxa"/>
            <w:gridSpan w:val="3"/>
            <w:tcBorders>
              <w:top w:val="single" w:color="auto" w:sz="4" w:space="0"/>
              <w:left w:val="single" w:color="auto" w:sz="18" w:space="0"/>
              <w:bottom w:val="single" w:color="auto" w:sz="12" w:space="0"/>
              <w:right w:val="single" w:color="auto" w:sz="6" w:space="0"/>
            </w:tcBorders>
            <w:noWrap w:val="0"/>
            <w:vAlign w:val="center"/>
          </w:tcPr>
          <w:p>
            <w:pPr>
              <w:wordWrap w:val="0"/>
              <w:overflowPunct w:val="0"/>
              <w:jc w:val="center"/>
              <w:rPr>
                <w:rFonts w:hint="eastAsia" w:ascii="新宋体" w:hAnsi="新宋体" w:eastAsia="新宋体"/>
                <w:szCs w:val="21"/>
              </w:rPr>
            </w:pPr>
            <w:r>
              <w:rPr>
                <w:rFonts w:hint="eastAsia" w:ascii="新宋体" w:hAnsi="新宋体" w:eastAsia="新宋体"/>
                <w:szCs w:val="21"/>
              </w:rPr>
              <w:t>三年总价（一年总价*3）</w:t>
            </w:r>
          </w:p>
        </w:tc>
        <w:tc>
          <w:tcPr>
            <w:tcW w:w="6300" w:type="dxa"/>
            <w:gridSpan w:val="3"/>
            <w:tcBorders>
              <w:top w:val="single" w:color="auto" w:sz="4" w:space="0"/>
              <w:left w:val="single" w:color="auto" w:sz="6" w:space="0"/>
              <w:bottom w:val="single" w:color="auto" w:sz="12" w:space="0"/>
              <w:right w:val="single" w:color="auto" w:sz="18" w:space="0"/>
            </w:tcBorders>
            <w:noWrap w:val="0"/>
            <w:vAlign w:val="top"/>
          </w:tcPr>
          <w:p>
            <w:pPr>
              <w:wordWrap w:val="0"/>
              <w:overflowPunct w:val="0"/>
              <w:rPr>
                <w:rFonts w:hint="eastAsia" w:ascii="新宋体" w:hAnsi="新宋体" w:eastAsia="新宋体"/>
                <w:bCs/>
                <w:szCs w:val="21"/>
              </w:rPr>
            </w:pPr>
            <w:r>
              <w:rPr>
                <w:rFonts w:hint="eastAsia" w:ascii="新宋体" w:hAnsi="新宋体" w:eastAsia="新宋体"/>
                <w:bCs/>
                <w:szCs w:val="21"/>
              </w:rPr>
              <w:t>佰   拾  万  仟  佰  拾  元  角  分</w:t>
            </w:r>
          </w:p>
        </w:tc>
      </w:tr>
    </w:tbl>
    <w:p>
      <w:pPr>
        <w:wordWrap w:val="0"/>
        <w:overflowPunct w:val="0"/>
        <w:spacing w:line="270" w:lineRule="exact"/>
        <w:ind w:left="405" w:leftChars="-1" w:hanging="407" w:hangingChars="194"/>
        <w:rPr>
          <w:rFonts w:hint="eastAsia" w:ascii="宋体" w:hAnsi="宋体" w:cs="Arial Unicode MS"/>
          <w:szCs w:val="21"/>
        </w:rPr>
      </w:pPr>
      <w:r>
        <w:rPr>
          <w:rFonts w:hint="eastAsia" w:ascii="宋体" w:hAnsi="宋体" w:cs="Arial Unicode MS"/>
          <w:szCs w:val="21"/>
        </w:rPr>
        <w:t>注：1.本表所列费用为该分项的全部费用，未列费用均为综合考虑。</w:t>
      </w:r>
    </w:p>
    <w:p>
      <w:pPr>
        <w:wordWrap w:val="0"/>
        <w:overflowPunct w:val="0"/>
        <w:spacing w:line="270" w:lineRule="exact"/>
        <w:ind w:left="485" w:leftChars="231"/>
        <w:rPr>
          <w:rFonts w:ascii="宋体" w:hAnsi="宋体" w:cs="Arial Unicode MS"/>
          <w:szCs w:val="21"/>
        </w:rPr>
      </w:pPr>
      <w:r>
        <w:rPr>
          <w:rFonts w:hint="eastAsia" w:ascii="宋体" w:hAnsi="宋体" w:cs="Arial Unicode MS"/>
          <w:szCs w:val="21"/>
        </w:rPr>
        <w:t>2.本表中劳动成本（</w:t>
      </w:r>
      <w:r>
        <w:rPr>
          <w:rFonts w:hint="eastAsia" w:ascii="宋体" w:hAnsi="宋体" w:cs="Arial Unicode MS"/>
          <w:szCs w:val="21"/>
          <w:u w:val="single"/>
        </w:rPr>
        <w:t xml:space="preserve">   人）</w:t>
      </w:r>
      <w:r>
        <w:rPr>
          <w:rFonts w:hint="eastAsia" w:ascii="宋体" w:hAnsi="宋体" w:cs="Arial Unicode MS"/>
          <w:szCs w:val="21"/>
        </w:rPr>
        <w:t>与拟投入本项目人员配备情况表中对应人数不一致，视为没有实质性响应招标文件要求。</w:t>
      </w:r>
    </w:p>
    <w:p>
      <w:pPr>
        <w:wordWrap w:val="0"/>
        <w:overflowPunct w:val="0"/>
        <w:spacing w:line="270" w:lineRule="exact"/>
        <w:ind w:left="485" w:leftChars="231"/>
        <w:rPr>
          <w:rFonts w:hint="eastAsia" w:ascii="宋体" w:hAnsi="宋体" w:cs="Arial Unicode MS"/>
          <w:szCs w:val="21"/>
        </w:rPr>
      </w:pPr>
      <w:r>
        <w:rPr>
          <w:rFonts w:ascii="宋体" w:hAnsi="宋体" w:cs="Arial Unicode MS"/>
          <w:szCs w:val="21"/>
        </w:rPr>
        <w:t>3.</w:t>
      </w:r>
      <w:r>
        <w:rPr>
          <w:rFonts w:hint="eastAsia" w:ascii="宋体" w:hAnsi="宋体" w:cs="Arial Unicode MS"/>
          <w:szCs w:val="21"/>
        </w:rPr>
        <w:t>不提供此表的报价，视为没有实质性响应招标文件要求。</w:t>
      </w:r>
    </w:p>
    <w:p>
      <w:pPr>
        <w:wordWrap w:val="0"/>
        <w:overflowPunct w:val="0"/>
        <w:spacing w:line="270" w:lineRule="exact"/>
        <w:ind w:left="485" w:leftChars="231"/>
        <w:rPr>
          <w:rFonts w:hint="eastAsia" w:ascii="宋体" w:hAnsi="宋体" w:cs="Arial Unicode MS"/>
          <w:sz w:val="22"/>
          <w:szCs w:val="22"/>
        </w:rPr>
      </w:pPr>
      <w:r>
        <w:rPr>
          <w:rFonts w:hint="eastAsia" w:ascii="宋体" w:hAnsi="宋体" w:cs="Arial Unicode MS"/>
          <w:szCs w:val="21"/>
        </w:rPr>
        <w:t>4.报价低于本表规定的，视为没有实质性响应招标文件要求。</w:t>
      </w:r>
    </w:p>
    <w:p>
      <w:pPr>
        <w:tabs>
          <w:tab w:val="left" w:pos="4635"/>
        </w:tabs>
        <w:wordWrap w:val="0"/>
        <w:overflowPunct w:val="0"/>
        <w:spacing w:line="270" w:lineRule="exact"/>
        <w:ind w:left="3826" w:leftChars="1822" w:right="840"/>
        <w:rPr>
          <w:rFonts w:hint="eastAsia" w:ascii="宋体" w:hAnsi="宋体" w:cs="Arial Unicode MS"/>
        </w:rPr>
      </w:pPr>
    </w:p>
    <w:p>
      <w:pPr>
        <w:tabs>
          <w:tab w:val="left" w:pos="4635"/>
        </w:tabs>
        <w:wordWrap w:val="0"/>
        <w:overflowPunct w:val="0"/>
        <w:spacing w:line="270" w:lineRule="exact"/>
        <w:ind w:left="3826" w:leftChars="1822" w:right="840"/>
        <w:rPr>
          <w:rFonts w:hint="eastAsia" w:ascii="宋体" w:hAnsi="宋体" w:cs="Arial Unicode MS"/>
        </w:rPr>
      </w:pPr>
      <w:r>
        <w:rPr>
          <w:rFonts w:hint="eastAsia" w:ascii="宋体" w:hAnsi="宋体" w:cs="Arial Unicode MS"/>
        </w:rPr>
        <w:t>投标供应商全称（公章）：</w:t>
      </w:r>
    </w:p>
    <w:p>
      <w:pPr>
        <w:tabs>
          <w:tab w:val="left" w:pos="4635"/>
        </w:tabs>
        <w:wordWrap w:val="0"/>
        <w:overflowPunct w:val="0"/>
        <w:spacing w:line="270" w:lineRule="exact"/>
        <w:ind w:left="3826" w:leftChars="1822" w:right="840"/>
        <w:rPr>
          <w:rFonts w:hint="eastAsia" w:ascii="宋体" w:hAnsi="宋体" w:cs="Arial Unicode MS"/>
        </w:rPr>
      </w:pPr>
      <w:r>
        <w:rPr>
          <w:rFonts w:hint="eastAsia" w:ascii="宋体" w:hAnsi="宋体" w:cs="Arial Unicode MS"/>
        </w:rPr>
        <w:t>法定代表人或授权代表（签字或盖章）：</w:t>
      </w:r>
    </w:p>
    <w:p>
      <w:pPr>
        <w:tabs>
          <w:tab w:val="left" w:pos="4635"/>
        </w:tabs>
        <w:wordWrap w:val="0"/>
        <w:overflowPunct w:val="0"/>
        <w:spacing w:line="270" w:lineRule="exact"/>
        <w:ind w:left="3826" w:leftChars="1822" w:right="840"/>
        <w:rPr>
          <w:rFonts w:ascii="宋体" w:hAnsi="宋体" w:cs="Arial Unicode MS"/>
        </w:rPr>
      </w:pPr>
      <w:r>
        <w:rPr>
          <w:rFonts w:hint="eastAsia" w:ascii="宋体" w:hAnsi="宋体" w:cs="Arial Unicode MS"/>
        </w:rPr>
        <w:t>日      期：</w:t>
      </w:r>
    </w:p>
    <w:p>
      <w:pPr>
        <w:snapToGrid w:val="0"/>
        <w:spacing w:line="460" w:lineRule="exact"/>
        <w:ind w:firstLine="422" w:firstLineChars="200"/>
        <w:rPr>
          <w:rFonts w:hint="eastAsia" w:ascii="宋体" w:cs="Courier New"/>
          <w:b/>
          <w:szCs w:val="21"/>
        </w:rPr>
      </w:pPr>
    </w:p>
    <w:p>
      <w:pPr>
        <w:pStyle w:val="19"/>
        <w:adjustRightInd w:val="0"/>
        <w:snapToGrid w:val="0"/>
        <w:spacing w:line="400" w:lineRule="exact"/>
        <w:rPr>
          <w:rFonts w:hAnsi="宋体"/>
          <w:sz w:val="24"/>
        </w:rPr>
      </w:pPr>
    </w:p>
    <w:p>
      <w:pPr>
        <w:pStyle w:val="19"/>
        <w:adjustRightInd w:val="0"/>
        <w:snapToGrid w:val="0"/>
        <w:spacing w:line="400" w:lineRule="exact"/>
        <w:rPr>
          <w:rFonts w:hint="eastAsia" w:hAnsi="宋体"/>
          <w:sz w:val="24"/>
        </w:rPr>
      </w:pPr>
    </w:p>
    <w:p>
      <w:pPr>
        <w:rPr>
          <w:rFonts w:hint="eastAsia" w:ascii="宋体" w:hAnsi="宋体"/>
          <w:kern w:val="2"/>
          <w:sz w:val="22"/>
          <w:szCs w:val="22"/>
        </w:rPr>
        <w:sectPr>
          <w:headerReference r:id="rId15" w:type="default"/>
          <w:headerReference r:id="rId16" w:type="even"/>
          <w:footerReference r:id="rId17" w:type="even"/>
          <w:pgSz w:w="11906" w:h="16838"/>
          <w:pgMar w:top="1418" w:right="1418" w:bottom="1418" w:left="1418" w:header="851" w:footer="851" w:gutter="0"/>
          <w:cols w:space="720" w:num="1"/>
          <w:docGrid w:linePitch="285" w:charSpace="0"/>
        </w:sectPr>
      </w:pPr>
    </w:p>
    <w:p>
      <w:pPr>
        <w:pStyle w:val="5"/>
        <w:keepNext w:val="0"/>
        <w:keepLines w:val="0"/>
        <w:pageBreakBefore/>
        <w:widowControl w:val="0"/>
        <w:tabs>
          <w:tab w:val="left" w:pos="840"/>
        </w:tabs>
        <w:adjustRightInd w:val="0"/>
        <w:snapToGrid w:val="0"/>
        <w:spacing w:before="240" w:beforeLines="100" w:after="240" w:afterLines="100" w:line="240" w:lineRule="auto"/>
        <w:jc w:val="center"/>
        <w:rPr>
          <w:rFonts w:hAnsi="宋体"/>
          <w:sz w:val="24"/>
          <w:szCs w:val="24"/>
        </w:rPr>
      </w:pPr>
      <w:bookmarkStart w:id="378" w:name="_Toc64913380"/>
      <w:r>
        <w:rPr>
          <w:rFonts w:hint="eastAsia"/>
          <w:sz w:val="24"/>
          <w:szCs w:val="24"/>
        </w:rPr>
        <w:t xml:space="preserve">附件四 </w:t>
      </w:r>
      <w:r>
        <w:rPr>
          <w:sz w:val="24"/>
          <w:szCs w:val="24"/>
        </w:rPr>
        <w:t xml:space="preserve"> </w:t>
      </w:r>
      <w:r>
        <w:rPr>
          <w:rFonts w:hint="eastAsia"/>
          <w:sz w:val="24"/>
          <w:szCs w:val="24"/>
        </w:rPr>
        <w:t>法定代表人授权书</w:t>
      </w:r>
      <w:bookmarkEnd w:id="378"/>
    </w:p>
    <w:p>
      <w:pPr>
        <w:spacing w:line="276" w:lineRule="auto"/>
        <w:rPr>
          <w:rFonts w:ascii="宋体"/>
          <w:bCs/>
        </w:rPr>
      </w:pPr>
      <w:r>
        <w:rPr>
          <w:rFonts w:hint="eastAsia" w:ascii="宋体" w:hAnsi="宋体"/>
          <w:bCs/>
        </w:rPr>
        <w:t>瑞安市综合行政执法局、瑞安市安阳街道办事处：</w:t>
      </w:r>
    </w:p>
    <w:p>
      <w:pPr>
        <w:snapToGrid w:val="0"/>
        <w:spacing w:before="120" w:beforeLines="50" w:after="50" w:line="276" w:lineRule="auto"/>
        <w:rPr>
          <w:rFonts w:ascii="Arial" w:hAnsi="Arial" w:cs="Arial"/>
          <w:szCs w:val="21"/>
        </w:rPr>
      </w:pPr>
      <w:r>
        <w:rPr>
          <w:rFonts w:hint="eastAsia" w:ascii="Arial" w:hAnsi="Arial" w:cs="Arial"/>
          <w:szCs w:val="21"/>
        </w:rPr>
        <w:t>杭州华旗招标代理有限公司：</w:t>
      </w:r>
    </w:p>
    <w:p>
      <w:pPr>
        <w:spacing w:line="276" w:lineRule="auto"/>
        <w:ind w:left="420" w:leftChars="200" w:firstLine="426" w:firstLineChars="203"/>
        <w:rPr>
          <w:rFonts w:ascii="宋体"/>
        </w:rPr>
      </w:pPr>
      <w:r>
        <w:rPr>
          <w:rFonts w:hint="eastAsia" w:ascii="宋体" w:hAnsi="宋体"/>
        </w:rPr>
        <w:t>本授权委托书声明：我</w:t>
      </w:r>
      <w:r>
        <w:rPr>
          <w:rFonts w:ascii="宋体" w:hAnsi="宋体"/>
          <w:u w:val="single"/>
        </w:rPr>
        <w:t xml:space="preserve">      </w:t>
      </w:r>
      <w:r>
        <w:rPr>
          <w:rFonts w:hint="eastAsia" w:ascii="宋体" w:hAnsi="宋体"/>
        </w:rPr>
        <w:t>（法人代表姓名）系</w:t>
      </w:r>
      <w:r>
        <w:rPr>
          <w:rFonts w:ascii="宋体" w:hAnsi="宋体"/>
          <w:u w:val="single"/>
        </w:rPr>
        <w:t xml:space="preserve">                        </w:t>
      </w:r>
      <w:r>
        <w:rPr>
          <w:rFonts w:hint="eastAsia" w:ascii="宋体" w:hAnsi="宋体"/>
          <w:u w:val="single"/>
        </w:rPr>
        <w:t>（投标供应商名称）</w:t>
      </w:r>
      <w:r>
        <w:rPr>
          <w:rFonts w:hint="eastAsia" w:ascii="宋体" w:hAnsi="宋体"/>
        </w:rPr>
        <w:t>的法定代表人，现授权委托本单位正式职工</w:t>
      </w:r>
      <w:r>
        <w:rPr>
          <w:rFonts w:ascii="宋体" w:hAnsi="宋体"/>
          <w:u w:val="single"/>
        </w:rPr>
        <w:t xml:space="preserve">    </w:t>
      </w:r>
      <w:r>
        <w:rPr>
          <w:rFonts w:hint="eastAsia" w:ascii="宋体" w:hAnsi="宋体"/>
          <w:u w:val="single"/>
        </w:rPr>
        <w:t>（授权代表姓名）</w:t>
      </w:r>
      <w:r>
        <w:rPr>
          <w:rFonts w:ascii="宋体" w:hAnsi="宋体"/>
          <w:u w:val="single"/>
        </w:rPr>
        <w:t xml:space="preserve">    </w:t>
      </w:r>
      <w:r>
        <w:rPr>
          <w:rFonts w:hint="eastAsia" w:ascii="宋体" w:hAnsi="宋体"/>
        </w:rPr>
        <w:t>为我公司法定代表人授权代表，参加贵处组织的</w:t>
      </w:r>
      <w:r>
        <w:rPr>
          <w:rFonts w:hint="eastAsia" w:ascii="宋体" w:hAnsi="宋体"/>
          <w:u w:val="single"/>
        </w:rPr>
        <w:t>（项目编号及名称）</w:t>
      </w:r>
      <w:r>
        <w:rPr>
          <w:rFonts w:hint="eastAsia" w:ascii="宋体" w:hAnsi="宋体"/>
        </w:rPr>
        <w:t>项目投标，全权处理本次投标活动中的一切事宜，并代表我方全权办理针对上述项目的投标、开标、评标、签约等具体事务和签署相关文件。</w:t>
      </w:r>
      <w:r>
        <w:rPr>
          <w:rFonts w:ascii="宋体" w:hAnsi="宋体"/>
        </w:rPr>
        <w:t xml:space="preserve">   </w:t>
      </w:r>
    </w:p>
    <w:p>
      <w:pPr>
        <w:spacing w:line="276" w:lineRule="auto"/>
        <w:ind w:left="420" w:leftChars="200" w:firstLine="426" w:firstLineChars="203"/>
        <w:rPr>
          <w:rFonts w:ascii="宋体"/>
        </w:rPr>
      </w:pPr>
      <w:r>
        <w:rPr>
          <w:rFonts w:hint="eastAsia" w:ascii="宋体" w:hAnsi="宋体"/>
        </w:rPr>
        <w:t>我方对被授权人的签名负全部责任。</w:t>
      </w:r>
    </w:p>
    <w:p>
      <w:pPr>
        <w:spacing w:line="276" w:lineRule="auto"/>
        <w:ind w:left="420" w:leftChars="200" w:firstLine="426" w:firstLineChars="203"/>
        <w:rPr>
          <w:rFonts w:ascii="宋体"/>
        </w:rPr>
      </w:pPr>
      <w:r>
        <w:rPr>
          <w:rFonts w:hint="eastAsia" w:ascii="宋体" w:hAnsi="宋体"/>
        </w:rPr>
        <w:t>在撤销授权的书面通知以前，本授权书一直有效。被授权人在授权书有效期内签署的所有文件不因授权的撤销而失效。</w:t>
      </w:r>
    </w:p>
    <w:p>
      <w:pPr>
        <w:spacing w:line="276" w:lineRule="auto"/>
        <w:ind w:firstLine="420" w:firstLineChars="200"/>
        <w:rPr>
          <w:rFonts w:hint="eastAsia" w:ascii="宋体"/>
        </w:rPr>
      </w:pPr>
      <w:r>
        <w:rPr>
          <w:rFonts w:hint="eastAsia" w:ascii="宋体" w:hAnsi="宋体"/>
        </w:rPr>
        <w:t>授权代表无转委托权，特此委托。</w:t>
      </w:r>
    </w:p>
    <w:p>
      <w:pPr>
        <w:snapToGrid w:val="0"/>
        <w:spacing w:line="580" w:lineRule="atLeast"/>
        <w:ind w:left="2092" w:leftChars="996" w:firstLine="316" w:firstLineChars="150"/>
        <w:rPr>
          <w:rFonts w:ascii="宋体" w:hAnsi="宋体"/>
          <w:b/>
          <w:szCs w:val="21"/>
          <w:u w:val="single"/>
        </w:rPr>
      </w:pPr>
      <w:r>
        <w:rPr>
          <w:rFonts w:hint="eastAsia" w:ascii="宋体" w:hAnsi="宋体"/>
          <w:b/>
          <w:szCs w:val="21"/>
        </w:rPr>
        <w:t>授权代表：</w:t>
      </w:r>
      <w:r>
        <w:rPr>
          <w:rFonts w:hint="eastAsia" w:ascii="宋体" w:hAnsi="宋体"/>
          <w:b/>
          <w:szCs w:val="21"/>
          <w:u w:val="single"/>
        </w:rPr>
        <w:t xml:space="preserve">          </w:t>
      </w:r>
      <w:r>
        <w:rPr>
          <w:rFonts w:hint="eastAsia" w:ascii="宋体" w:hAnsi="宋体"/>
          <w:b/>
          <w:szCs w:val="21"/>
        </w:rPr>
        <w:t xml:space="preserve"> 性别 ：</w:t>
      </w:r>
      <w:r>
        <w:rPr>
          <w:rFonts w:hint="eastAsia" w:ascii="宋体" w:hAnsi="宋体"/>
          <w:b/>
          <w:szCs w:val="21"/>
          <w:u w:val="single"/>
        </w:rPr>
        <w:t xml:space="preserve">         </w:t>
      </w:r>
      <w:r>
        <w:rPr>
          <w:rFonts w:hint="eastAsia" w:ascii="宋体" w:hAnsi="宋体"/>
          <w:b/>
          <w:szCs w:val="21"/>
        </w:rPr>
        <w:t xml:space="preserve"> 年龄：</w:t>
      </w:r>
      <w:r>
        <w:rPr>
          <w:rFonts w:hint="eastAsia" w:ascii="宋体" w:hAnsi="宋体"/>
          <w:b/>
          <w:szCs w:val="21"/>
          <w:u w:val="single"/>
        </w:rPr>
        <w:t xml:space="preserve">         </w:t>
      </w:r>
      <w:r>
        <w:rPr>
          <w:rFonts w:hint="eastAsia" w:ascii="宋体" w:hAnsi="宋体"/>
          <w:b/>
          <w:szCs w:val="21"/>
        </w:rPr>
        <w:t xml:space="preserve"> </w:t>
      </w:r>
    </w:p>
    <w:p>
      <w:pPr>
        <w:snapToGrid w:val="0"/>
        <w:spacing w:line="580" w:lineRule="atLeast"/>
        <w:ind w:left="2100" w:leftChars="1000" w:firstLine="422" w:firstLineChars="200"/>
        <w:rPr>
          <w:rFonts w:ascii="宋体" w:hAnsi="宋体"/>
          <w:b/>
          <w:szCs w:val="21"/>
          <w:u w:val="single"/>
        </w:rPr>
      </w:pPr>
      <w:r>
        <w:rPr>
          <w:rFonts w:hint="eastAsia" w:ascii="宋体" w:hAnsi="宋体"/>
          <w:b/>
          <w:szCs w:val="21"/>
        </w:rPr>
        <w:t>详细通讯地址：</w:t>
      </w:r>
      <w:r>
        <w:rPr>
          <w:rFonts w:hint="eastAsia" w:ascii="宋体" w:hAnsi="宋体"/>
          <w:b/>
          <w:szCs w:val="21"/>
          <w:u w:val="single"/>
        </w:rPr>
        <w:t xml:space="preserve">                  </w:t>
      </w:r>
      <w:r>
        <w:rPr>
          <w:rFonts w:hint="eastAsia" w:ascii="宋体" w:hAnsi="宋体"/>
          <w:b/>
          <w:szCs w:val="21"/>
        </w:rPr>
        <w:t xml:space="preserve"> 邮政编码：</w:t>
      </w:r>
      <w:r>
        <w:rPr>
          <w:rFonts w:hint="eastAsia" w:ascii="宋体" w:hAnsi="宋体"/>
          <w:b/>
          <w:szCs w:val="21"/>
          <w:u w:val="single"/>
        </w:rPr>
        <w:t xml:space="preserve">           </w:t>
      </w:r>
    </w:p>
    <w:p>
      <w:pPr>
        <w:snapToGrid w:val="0"/>
        <w:spacing w:line="580" w:lineRule="atLeast"/>
        <w:ind w:left="1" w:firstLine="2405" w:firstLineChars="1141"/>
        <w:rPr>
          <w:rFonts w:ascii="宋体" w:hAnsi="宋体"/>
          <w:b/>
          <w:szCs w:val="21"/>
          <w:u w:val="single"/>
        </w:rPr>
      </w:pPr>
      <w:r>
        <w:rPr>
          <w:rFonts w:hint="eastAsia" w:ascii="宋体" w:hAnsi="宋体"/>
          <w:b/>
          <w:szCs w:val="21"/>
        </w:rPr>
        <w:t>电话：</w:t>
      </w:r>
      <w:r>
        <w:rPr>
          <w:rFonts w:hint="eastAsia" w:ascii="宋体" w:hAnsi="宋体"/>
          <w:b/>
          <w:szCs w:val="21"/>
          <w:u w:val="single"/>
        </w:rPr>
        <w:t xml:space="preserve">                   </w:t>
      </w:r>
      <w:r>
        <w:rPr>
          <w:rFonts w:hint="eastAsia" w:ascii="宋体" w:hAnsi="宋体"/>
          <w:b/>
          <w:szCs w:val="21"/>
        </w:rPr>
        <w:t xml:space="preserve"> 传真：</w:t>
      </w:r>
      <w:r>
        <w:rPr>
          <w:rFonts w:hint="eastAsia" w:ascii="宋体" w:hAnsi="宋体"/>
          <w:b/>
          <w:szCs w:val="21"/>
          <w:u w:val="single"/>
        </w:rPr>
        <w:t xml:space="preserve">                      </w:t>
      </w:r>
    </w:p>
    <w:p>
      <w:pPr>
        <w:snapToGrid w:val="0"/>
        <w:spacing w:line="580" w:lineRule="atLeast"/>
        <w:ind w:left="1" w:firstLine="405" w:firstLineChars="192"/>
        <w:rPr>
          <w:rFonts w:ascii="宋体" w:hAnsi="宋体"/>
          <w:b/>
          <w:szCs w:val="21"/>
        </w:rPr>
      </w:pPr>
      <w:r>
        <w:rPr>
          <w:rFonts w:hint="eastAsia" w:ascii="宋体" w:hAnsi="宋体"/>
          <w:b/>
          <w:szCs w:val="21"/>
        </w:rPr>
        <w:t xml:space="preserve">                   投标供应商：</w:t>
      </w:r>
      <w:r>
        <w:rPr>
          <w:rFonts w:hint="eastAsia" w:ascii="宋体" w:hAnsi="宋体"/>
          <w:b/>
          <w:szCs w:val="21"/>
          <w:u w:val="single"/>
        </w:rPr>
        <w:t xml:space="preserve">                                      （盖章）</w:t>
      </w:r>
    </w:p>
    <w:p>
      <w:pPr>
        <w:snapToGrid w:val="0"/>
        <w:spacing w:line="580" w:lineRule="atLeast"/>
        <w:ind w:left="2100" w:right="440"/>
        <w:jc w:val="center"/>
        <w:rPr>
          <w:rFonts w:ascii="宋体" w:hAnsi="宋体"/>
          <w:b/>
          <w:szCs w:val="21"/>
        </w:rPr>
      </w:pPr>
      <w:r>
        <w:rPr>
          <w:rFonts w:hint="eastAsia" w:ascii="宋体" w:hAnsi="宋体"/>
          <w:b/>
          <w:szCs w:val="21"/>
        </w:rPr>
        <w:t xml:space="preserve">    法定代表人：</w:t>
      </w:r>
      <w:r>
        <w:rPr>
          <w:rFonts w:hint="eastAsia" w:ascii="宋体" w:hAnsi="宋体"/>
          <w:b/>
          <w:szCs w:val="21"/>
          <w:u w:val="single"/>
        </w:rPr>
        <w:t xml:space="preserve">                                 （签字或盖章）</w:t>
      </w:r>
    </w:p>
    <w:p>
      <w:pPr>
        <w:pStyle w:val="19"/>
        <w:adjustRightInd w:val="0"/>
        <w:snapToGrid w:val="0"/>
        <w:spacing w:line="580" w:lineRule="atLeast"/>
        <w:ind w:firstLine="2424" w:firstLineChars="1150"/>
        <w:rPr>
          <w:rFonts w:hAnsi="宋体"/>
          <w:b/>
          <w:szCs w:val="21"/>
        </w:rPr>
      </w:pPr>
      <w:r>
        <w:rPr>
          <w:rFonts w:hAnsi="宋体"/>
          <w:b/>
          <w:szCs w:val="21"/>
        </w:rPr>
        <w:t>授权委托日期：</w:t>
      </w:r>
      <w:r>
        <w:rPr>
          <w:rFonts w:hAnsi="宋体"/>
          <w:b/>
          <w:szCs w:val="21"/>
          <w:u w:val="single"/>
        </w:rPr>
        <w:t xml:space="preserve">     </w:t>
      </w:r>
      <w:r>
        <w:rPr>
          <w:rFonts w:hAnsi="宋体"/>
          <w:b/>
          <w:szCs w:val="21"/>
        </w:rPr>
        <w:t xml:space="preserve">年 </w:t>
      </w:r>
      <w:r>
        <w:rPr>
          <w:rFonts w:hAnsi="宋体"/>
          <w:b/>
          <w:szCs w:val="21"/>
          <w:u w:val="single"/>
        </w:rPr>
        <w:t xml:space="preserve">    </w:t>
      </w:r>
      <w:r>
        <w:rPr>
          <w:rFonts w:hAnsi="宋体"/>
          <w:b/>
          <w:szCs w:val="21"/>
        </w:rPr>
        <w:t>月</w:t>
      </w:r>
      <w:r>
        <w:rPr>
          <w:rFonts w:hAnsi="宋体"/>
          <w:b/>
          <w:szCs w:val="21"/>
          <w:u w:val="single"/>
        </w:rPr>
        <w:t xml:space="preserve">     </w:t>
      </w:r>
      <w:r>
        <w:rPr>
          <w:rFonts w:hAnsi="宋体"/>
          <w:b/>
          <w:szCs w:val="21"/>
        </w:rPr>
        <w:t>日</w:t>
      </w:r>
    </w:p>
    <w:tbl>
      <w:tblPr>
        <w:tblStyle w:val="35"/>
        <w:tblpPr w:leftFromText="180" w:rightFromText="180" w:vertAnchor="text" w:tblpXSpec="center" w:tblpY="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975" w:hRule="atLeast"/>
        </w:trPr>
        <w:tc>
          <w:tcPr>
            <w:tcW w:w="6722" w:type="dxa"/>
            <w:noWrap w:val="0"/>
            <w:vAlign w:val="center"/>
          </w:tcPr>
          <w:p>
            <w:pPr>
              <w:pStyle w:val="19"/>
              <w:spacing w:line="440" w:lineRule="atLeast"/>
              <w:jc w:val="center"/>
              <w:rPr>
                <w:rFonts w:hAnsi="宋体"/>
                <w:b/>
                <w:sz w:val="36"/>
              </w:rPr>
            </w:pPr>
            <w:r>
              <w:rPr>
                <w:rFonts w:hAnsi="宋体"/>
                <w:sz w:val="36"/>
              </w:rPr>
              <w:t>粘贴授权代表身份证复印件或影印件</w:t>
            </w:r>
          </w:p>
        </w:tc>
      </w:tr>
    </w:tbl>
    <w:p>
      <w:pPr>
        <w:pStyle w:val="19"/>
        <w:adjustRightInd w:val="0"/>
        <w:snapToGrid w:val="0"/>
        <w:spacing w:line="580" w:lineRule="atLeast"/>
        <w:jc w:val="center"/>
        <w:rPr>
          <w:rFonts w:hAnsi="宋体"/>
          <w:b/>
          <w:sz w:val="22"/>
        </w:rPr>
      </w:pPr>
    </w:p>
    <w:p>
      <w:pPr>
        <w:pStyle w:val="19"/>
        <w:snapToGrid w:val="0"/>
        <w:spacing w:line="580" w:lineRule="atLeast"/>
        <w:rPr>
          <w:rFonts w:hAnsi="宋体" w:cs="黑体"/>
          <w:sz w:val="22"/>
          <w:u w:val="thick"/>
        </w:rPr>
      </w:pPr>
    </w:p>
    <w:p>
      <w:pPr>
        <w:pStyle w:val="19"/>
        <w:snapToGrid w:val="0"/>
        <w:spacing w:line="580" w:lineRule="atLeast"/>
        <w:rPr>
          <w:rFonts w:hAnsi="宋体" w:cs="黑体"/>
          <w:sz w:val="22"/>
          <w:u w:val="thick"/>
        </w:rPr>
      </w:pPr>
    </w:p>
    <w:p>
      <w:pPr>
        <w:pStyle w:val="19"/>
        <w:adjustRightInd w:val="0"/>
        <w:snapToGrid w:val="0"/>
        <w:spacing w:line="360" w:lineRule="exact"/>
        <w:rPr>
          <w:rFonts w:hint="eastAsia" w:hAnsi="宋体"/>
          <w:b/>
          <w:sz w:val="22"/>
        </w:rPr>
      </w:pPr>
    </w:p>
    <w:tbl>
      <w:tblPr>
        <w:tblStyle w:val="35"/>
        <w:tblpPr w:leftFromText="180" w:rightFromText="180" w:vertAnchor="text" w:tblpXSpec="center" w:tblpY="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975" w:hRule="atLeast"/>
        </w:trPr>
        <w:tc>
          <w:tcPr>
            <w:tcW w:w="6722" w:type="dxa"/>
            <w:noWrap w:val="0"/>
            <w:vAlign w:val="center"/>
          </w:tcPr>
          <w:p>
            <w:pPr>
              <w:pStyle w:val="19"/>
              <w:spacing w:line="440" w:lineRule="atLeast"/>
              <w:jc w:val="center"/>
              <w:rPr>
                <w:rFonts w:hAnsi="宋体"/>
                <w:b/>
                <w:sz w:val="36"/>
              </w:rPr>
            </w:pPr>
            <w:r>
              <w:rPr>
                <w:rFonts w:hAnsi="宋体"/>
                <w:sz w:val="36"/>
              </w:rPr>
              <w:t>粘贴法定代表人身份证复印件或影印件</w:t>
            </w:r>
          </w:p>
        </w:tc>
      </w:tr>
    </w:tbl>
    <w:p>
      <w:pPr>
        <w:spacing w:before="240" w:beforeLines="100" w:after="240" w:afterLines="100" w:line="400" w:lineRule="atLeast"/>
        <w:ind w:firstLine="697"/>
        <w:rPr>
          <w:rFonts w:ascii="宋体"/>
        </w:rPr>
      </w:pPr>
    </w:p>
    <w:p>
      <w:pPr>
        <w:tabs>
          <w:tab w:val="left" w:pos="4532"/>
        </w:tabs>
        <w:spacing w:before="240" w:beforeLines="100" w:after="240" w:afterLines="100" w:line="400" w:lineRule="atLeast"/>
        <w:ind w:firstLine="422" w:firstLineChars="200"/>
        <w:rPr>
          <w:rFonts w:hint="eastAsia"/>
          <w:b/>
        </w:rPr>
      </w:pPr>
    </w:p>
    <w:p>
      <w:pPr>
        <w:tabs>
          <w:tab w:val="left" w:pos="4532"/>
        </w:tabs>
        <w:spacing w:before="240" w:beforeLines="100" w:after="240" w:afterLines="100" w:line="400" w:lineRule="atLeast"/>
        <w:ind w:firstLine="422" w:firstLineChars="200"/>
        <w:rPr>
          <w:rFonts w:hint="eastAsia"/>
          <w:b/>
        </w:rPr>
      </w:pPr>
    </w:p>
    <w:p>
      <w:pPr>
        <w:tabs>
          <w:tab w:val="left" w:pos="4532"/>
        </w:tabs>
        <w:spacing w:before="240" w:beforeLines="100" w:after="240" w:afterLines="100" w:line="400" w:lineRule="atLeast"/>
        <w:ind w:firstLine="422" w:firstLineChars="200"/>
        <w:rPr>
          <w:b/>
        </w:rPr>
      </w:pPr>
      <w:r>
        <w:rPr>
          <w:rFonts w:hint="eastAsia"/>
          <w:b/>
        </w:rPr>
        <w:t>注：法定代表人则提供身份证复印件或影印件。</w:t>
      </w:r>
    </w:p>
    <w:p>
      <w:pPr>
        <w:tabs>
          <w:tab w:val="left" w:pos="4532"/>
        </w:tabs>
        <w:spacing w:line="360" w:lineRule="auto"/>
        <w:ind w:firstLine="600" w:firstLineChars="200"/>
        <w:jc w:val="center"/>
        <w:rPr>
          <w:sz w:val="30"/>
          <w:szCs w:val="30"/>
        </w:rPr>
      </w:pPr>
    </w:p>
    <w:p>
      <w:pPr>
        <w:pStyle w:val="2"/>
        <w:rPr>
          <w:rFonts w:hint="eastAsia" w:ascii="宋体" w:hAnsi="宋体" w:eastAsia="宋体"/>
          <w:color w:val="000000"/>
          <w:sz w:val="22"/>
          <w:szCs w:val="22"/>
        </w:rPr>
      </w:pPr>
    </w:p>
    <w:p>
      <w:pPr>
        <w:pStyle w:val="5"/>
        <w:rPr>
          <w:rFonts w:hint="eastAsia"/>
          <w:sz w:val="24"/>
          <w:szCs w:val="24"/>
        </w:rPr>
      </w:pPr>
      <w:bookmarkStart w:id="379" w:name="_Toc64913381"/>
      <w:r>
        <w:rPr>
          <w:rFonts w:hint="eastAsia"/>
          <w:sz w:val="24"/>
          <w:szCs w:val="24"/>
        </w:rPr>
        <w:t>附件五  投 标 函</w:t>
      </w:r>
      <w:bookmarkEnd w:id="364"/>
      <w:bookmarkEnd w:id="365"/>
      <w:bookmarkEnd w:id="379"/>
      <w:r>
        <w:rPr>
          <w:rFonts w:hint="eastAsia"/>
          <w:sz w:val="24"/>
          <w:szCs w:val="24"/>
        </w:rPr>
        <w:t xml:space="preserve">   </w:t>
      </w:r>
    </w:p>
    <w:p>
      <w:pPr>
        <w:snapToGrid w:val="0"/>
        <w:spacing w:line="380" w:lineRule="atLeast"/>
        <w:jc w:val="center"/>
        <w:rPr>
          <w:rFonts w:hint="eastAsia"/>
          <w:b/>
          <w:sz w:val="30"/>
          <w:szCs w:val="30"/>
        </w:rPr>
      </w:pPr>
      <w:r>
        <w:rPr>
          <w:rFonts w:hint="eastAsia"/>
          <w:b/>
          <w:sz w:val="30"/>
          <w:szCs w:val="30"/>
        </w:rPr>
        <w:t>投    标   函</w:t>
      </w:r>
    </w:p>
    <w:p>
      <w:pPr>
        <w:snapToGrid w:val="0"/>
        <w:spacing w:before="120" w:beforeLines="50" w:line="380" w:lineRule="atLeast"/>
        <w:rPr>
          <w:rFonts w:hint="eastAsia" w:ascii="宋体" w:hAnsi="宋体"/>
          <w:b/>
          <w:sz w:val="24"/>
          <w:u w:val="single"/>
        </w:rPr>
      </w:pPr>
      <w:r>
        <w:rPr>
          <w:rFonts w:hint="eastAsia" w:ascii="宋体" w:hAnsi="宋体"/>
          <w:b/>
          <w:sz w:val="24"/>
          <w:u w:val="single"/>
        </w:rPr>
        <w:t>致：瑞安市综合行政执法局、瑞安市安阳街道办事处</w:t>
      </w:r>
    </w:p>
    <w:p>
      <w:pPr>
        <w:snapToGrid w:val="0"/>
        <w:spacing w:line="380" w:lineRule="atLeast"/>
        <w:ind w:right="6" w:firstLine="420" w:firstLineChars="200"/>
        <w:jc w:val="both"/>
        <w:rPr>
          <w:rFonts w:hint="eastAsia" w:ascii="Arial" w:hAnsi="Arial"/>
        </w:rPr>
      </w:pPr>
      <w:r>
        <w:rPr>
          <w:rFonts w:hint="eastAsia" w:ascii="Arial" w:hAnsi="Arial"/>
        </w:rPr>
        <w:t>我方确认收到贵方提供的瑞安市“一把扫帚”环卫保洁一体化项目（安阳街道）</w:t>
      </w:r>
      <w:r>
        <w:rPr>
          <w:rFonts w:ascii="Arial" w:hAnsi="Arial"/>
        </w:rPr>
        <w:t>[</w:t>
      </w:r>
      <w:r>
        <w:rPr>
          <w:rFonts w:hint="eastAsia" w:ascii="Arial" w:hAnsi="Arial"/>
        </w:rPr>
        <w:t>项目编号：</w:t>
      </w:r>
      <w:r>
        <w:rPr>
          <w:rFonts w:ascii="Arial" w:hAnsi="Arial"/>
        </w:rPr>
        <w:t>HQZB-RA-2021-04</w:t>
      </w:r>
      <w:r>
        <w:rPr>
          <w:rFonts w:hint="eastAsia" w:ascii="Arial" w:hAnsi="Arial"/>
        </w:rPr>
        <w:t xml:space="preserve"> </w:t>
      </w:r>
      <w:r>
        <w:rPr>
          <w:rFonts w:ascii="Arial" w:hAnsi="Arial"/>
        </w:rPr>
        <w:t>]</w:t>
      </w:r>
      <w:r>
        <w:rPr>
          <w:rFonts w:hint="eastAsia" w:ascii="Arial" w:hAnsi="Arial"/>
        </w:rPr>
        <w:t>的招标文件，遵照国家及地方政府相关招标投标法规的规定，我单位：</w:t>
      </w:r>
      <w:r>
        <w:rPr>
          <w:rFonts w:hint="eastAsia" w:ascii="Arial" w:hAnsi="Arial"/>
          <w:u w:val="single"/>
        </w:rPr>
        <w:t>（投标供应商名称）</w:t>
      </w:r>
      <w:r>
        <w:rPr>
          <w:rFonts w:ascii="Arial" w:hAnsi="Arial"/>
          <w:u w:val="single"/>
        </w:rPr>
        <w:t xml:space="preserve"> </w:t>
      </w:r>
      <w:r>
        <w:rPr>
          <w:rFonts w:hint="eastAsia" w:ascii="Arial" w:hAnsi="Arial"/>
        </w:rPr>
        <w:t>研究上述招标文件的投标须知、合同条款、技术要求和其他有关文件后并经过现场勘察，充分理解并掌握了本项目采购的全部有关情况，决定作为投标者正式授权</w:t>
      </w:r>
      <w:r>
        <w:rPr>
          <w:rFonts w:ascii="Arial" w:hAnsi="Arial"/>
        </w:rPr>
        <w:t xml:space="preserve"> </w:t>
      </w:r>
      <w:r>
        <w:rPr>
          <w:rFonts w:hint="eastAsia" w:ascii="Arial" w:hAnsi="Arial"/>
        </w:rPr>
        <w:t>（</w:t>
      </w:r>
      <w:r>
        <w:rPr>
          <w:rFonts w:hint="eastAsia" w:ascii="Arial" w:hAnsi="Arial"/>
          <w:u w:val="single"/>
        </w:rPr>
        <w:t>授权代表全名，职务</w:t>
      </w:r>
      <w:r>
        <w:rPr>
          <w:rFonts w:hint="eastAsia" w:ascii="Arial" w:hAnsi="Arial"/>
        </w:rPr>
        <w:t>）代表我方进行有关本项目投标的一切事宜，为此：</w:t>
      </w:r>
    </w:p>
    <w:p>
      <w:pPr>
        <w:snapToGrid w:val="0"/>
        <w:spacing w:line="380" w:lineRule="atLeast"/>
        <w:ind w:right="6" w:firstLine="420" w:firstLineChars="200"/>
        <w:jc w:val="both"/>
        <w:rPr>
          <w:rFonts w:hint="eastAsia" w:ascii="Arial" w:hAnsi="Arial"/>
        </w:rPr>
      </w:pPr>
      <w:r>
        <w:rPr>
          <w:rFonts w:hint="eastAsia" w:ascii="宋体" w:hAnsi="宋体"/>
        </w:rPr>
        <w:t>1、按“投标供应商须</w:t>
      </w:r>
      <w:r>
        <w:rPr>
          <w:rFonts w:hint="eastAsia" w:ascii="Arial" w:hAnsi="Arial"/>
        </w:rPr>
        <w:t>知”要求提供招标文件要求的全部投标文件；</w:t>
      </w:r>
    </w:p>
    <w:p>
      <w:pPr>
        <w:snapToGrid w:val="0"/>
        <w:spacing w:line="380" w:lineRule="atLeast"/>
        <w:ind w:right="6" w:firstLine="420" w:firstLineChars="200"/>
        <w:jc w:val="both"/>
        <w:rPr>
          <w:rFonts w:ascii="宋体" w:hAnsi="宋体"/>
        </w:rPr>
      </w:pPr>
      <w:r>
        <w:rPr>
          <w:rFonts w:ascii="宋体" w:hAnsi="宋体"/>
        </w:rPr>
        <w:t>2</w:t>
      </w:r>
      <w:r>
        <w:rPr>
          <w:rFonts w:hint="eastAsia" w:ascii="宋体" w:hAnsi="宋体"/>
        </w:rPr>
        <w:t>、招标文件要求投标供应商提交的其它文件及资料</w:t>
      </w:r>
    </w:p>
    <w:p>
      <w:pPr>
        <w:snapToGrid w:val="0"/>
        <w:spacing w:line="380" w:lineRule="atLeast"/>
        <w:ind w:left="178" w:leftChars="85" w:firstLine="718" w:firstLineChars="342"/>
        <w:rPr>
          <w:rFonts w:hint="eastAsia" w:ascii="宋体" w:hAnsi="宋体"/>
        </w:rPr>
      </w:pPr>
      <w:r>
        <w:rPr>
          <w:rFonts w:hint="eastAsia" w:ascii="宋体" w:hAnsi="宋体"/>
        </w:rPr>
        <w:t>据此函，签字人兹宣布同意如下：</w:t>
      </w:r>
    </w:p>
    <w:p>
      <w:pPr>
        <w:snapToGrid w:val="0"/>
        <w:spacing w:line="380" w:lineRule="atLeast"/>
        <w:ind w:left="1304" w:leftChars="450" w:hanging="359" w:hangingChars="171"/>
        <w:rPr>
          <w:rFonts w:ascii="宋体" w:hAnsi="宋体"/>
        </w:rPr>
      </w:pPr>
      <w:r>
        <w:rPr>
          <w:rFonts w:hint="eastAsia" w:ascii="宋体" w:hAnsi="宋体"/>
        </w:rPr>
        <w:t>①  提供招标文件要求的全部投标文件。</w:t>
      </w:r>
    </w:p>
    <w:p>
      <w:pPr>
        <w:snapToGrid w:val="0"/>
        <w:spacing w:line="380" w:lineRule="atLeast"/>
        <w:ind w:left="1304" w:leftChars="450" w:hanging="359" w:hangingChars="171"/>
        <w:rPr>
          <w:rFonts w:hint="eastAsia" w:ascii="宋体" w:hAnsi="宋体"/>
        </w:rPr>
      </w:pPr>
      <w:r>
        <w:rPr>
          <w:rFonts w:hint="eastAsia" w:ascii="宋体" w:hAnsi="宋体"/>
        </w:rPr>
        <w:t xml:space="preserve">② </w:t>
      </w:r>
      <w:r>
        <w:rPr>
          <w:rFonts w:ascii="宋体" w:hAnsi="宋体"/>
        </w:rPr>
        <w:t xml:space="preserve"> </w:t>
      </w:r>
      <w:r>
        <w:rPr>
          <w:rFonts w:hint="eastAsia" w:ascii="宋体" w:hAnsi="宋体"/>
        </w:rPr>
        <w:t>保证遵守招标文件中的有关规定。</w:t>
      </w:r>
    </w:p>
    <w:p>
      <w:pPr>
        <w:snapToGrid w:val="0"/>
        <w:spacing w:line="380" w:lineRule="atLeast"/>
        <w:ind w:left="1304" w:leftChars="450" w:hanging="359" w:hangingChars="171"/>
        <w:rPr>
          <w:rFonts w:hint="eastAsia" w:ascii="宋体" w:hAnsi="宋体"/>
          <w:sz w:val="24"/>
        </w:rPr>
      </w:pPr>
      <w:r>
        <w:rPr>
          <w:rFonts w:hint="eastAsia" w:ascii="宋体" w:hAnsi="宋体"/>
        </w:rPr>
        <w:t>③  保证严格执行买、卖双方所签的经济合同，并承担全部规定的责任义务。</w:t>
      </w:r>
    </w:p>
    <w:p>
      <w:pPr>
        <w:snapToGrid w:val="0"/>
        <w:spacing w:line="380" w:lineRule="atLeast"/>
        <w:ind w:left="1304" w:leftChars="450" w:hanging="359" w:hangingChars="171"/>
        <w:rPr>
          <w:rFonts w:ascii="宋体" w:hAnsi="宋体"/>
        </w:rPr>
      </w:pPr>
      <w:r>
        <w:rPr>
          <w:rFonts w:hint="eastAsia" w:ascii="宋体" w:hAnsi="宋体"/>
        </w:rPr>
        <w:t>④  投标供应商已详细审核全部招标文件，包括修改文件、参考资料及有关附件，放弃提出含糊不清或误解的权利。</w:t>
      </w:r>
    </w:p>
    <w:p>
      <w:pPr>
        <w:snapToGrid w:val="0"/>
        <w:spacing w:line="380" w:lineRule="atLeast"/>
        <w:ind w:left="1365" w:leftChars="450" w:hanging="420" w:hangingChars="200"/>
        <w:rPr>
          <w:rFonts w:ascii="宋体" w:hAnsi="宋体"/>
        </w:rPr>
      </w:pPr>
      <w:r>
        <w:rPr>
          <w:rFonts w:hint="eastAsia" w:ascii="宋体" w:hAnsi="宋体"/>
        </w:rPr>
        <w:t>⑤  本投标自投标截止之日起</w:t>
      </w:r>
      <w:r>
        <w:rPr>
          <w:rFonts w:hint="eastAsia" w:ascii="宋体" w:hAnsi="宋体"/>
          <w:u w:val="single"/>
        </w:rPr>
        <w:t xml:space="preserve"> 90 </w:t>
      </w:r>
      <w:r>
        <w:rPr>
          <w:rFonts w:hint="eastAsia" w:ascii="宋体" w:hAnsi="宋体"/>
        </w:rPr>
        <w:t>天内有效。</w:t>
      </w:r>
      <w:r>
        <w:rPr>
          <w:rFonts w:hint="eastAsia" w:ascii="Arial" w:hAnsi="Arial"/>
        </w:rPr>
        <w:t>如中标，有效期将延至合同终止日为止。</w:t>
      </w:r>
    </w:p>
    <w:p>
      <w:pPr>
        <w:snapToGrid w:val="0"/>
        <w:spacing w:line="380" w:lineRule="atLeast"/>
        <w:ind w:left="1304" w:leftChars="450" w:hanging="359" w:hangingChars="171"/>
        <w:rPr>
          <w:rFonts w:ascii="宋体" w:hAnsi="宋体"/>
        </w:rPr>
      </w:pPr>
      <w:r>
        <w:rPr>
          <w:rFonts w:hint="eastAsia" w:ascii="宋体" w:hAnsi="宋体"/>
        </w:rPr>
        <w:t>⑥  如果在投标有效期内撤回投标、修改或拒绝接受已经确认的条款，同意采购机构给予不良记录。</w:t>
      </w:r>
    </w:p>
    <w:p>
      <w:pPr>
        <w:snapToGrid w:val="0"/>
        <w:spacing w:line="380" w:lineRule="atLeast"/>
        <w:ind w:left="1365" w:leftChars="450" w:hanging="420" w:hangingChars="200"/>
        <w:rPr>
          <w:rFonts w:hint="eastAsia" w:ascii="宋体" w:hAnsi="宋体"/>
        </w:rPr>
      </w:pPr>
      <w:r>
        <w:rPr>
          <w:rFonts w:hint="eastAsia" w:ascii="宋体" w:hAnsi="宋体"/>
        </w:rPr>
        <w:t>⑦  同意提供按照采购人可能要求的与其投标有关的任何数据或资料。</w:t>
      </w:r>
    </w:p>
    <w:p>
      <w:pPr>
        <w:snapToGrid w:val="0"/>
        <w:spacing w:line="380" w:lineRule="atLeast"/>
        <w:ind w:left="1365" w:leftChars="450" w:hanging="420" w:hangingChars="200"/>
        <w:rPr>
          <w:rFonts w:hint="eastAsia" w:ascii="宋体" w:hAnsi="宋体"/>
        </w:rPr>
      </w:pPr>
      <w:r>
        <w:rPr>
          <w:rFonts w:ascii="宋体" w:hAnsi="宋体"/>
        </w:rPr>
        <w:fldChar w:fldCharType="begin"/>
      </w:r>
      <w:r>
        <w:rPr>
          <w:rFonts w:ascii="宋体" w:hAnsi="宋体"/>
        </w:rPr>
        <w:instrText xml:space="preserve"> </w:instrText>
      </w:r>
      <w:r>
        <w:rPr>
          <w:rFonts w:hint="eastAsia" w:ascii="宋体" w:hAnsi="宋体"/>
        </w:rPr>
        <w:instrText xml:space="preserve">= 8 \* GB3</w:instrText>
      </w:r>
      <w:r>
        <w:rPr>
          <w:rFonts w:ascii="宋体" w:hAnsi="宋体"/>
        </w:rPr>
        <w:instrText xml:space="preserve"> </w:instrText>
      </w:r>
      <w:r>
        <w:rPr>
          <w:rFonts w:ascii="宋体" w:hAnsi="宋体"/>
        </w:rPr>
        <w:fldChar w:fldCharType="separate"/>
      </w:r>
      <w:r>
        <w:rPr>
          <w:rFonts w:hint="eastAsia" w:ascii="宋体" w:hAnsi="宋体"/>
          <w:lang/>
        </w:rPr>
        <w:t>⑧</w:t>
      </w:r>
      <w:r>
        <w:rPr>
          <w:rFonts w:ascii="宋体" w:hAnsi="宋体"/>
        </w:rPr>
        <w:fldChar w:fldCharType="end"/>
      </w:r>
      <w:r>
        <w:rPr>
          <w:rFonts w:hint="eastAsia" w:ascii="宋体" w:hAnsi="宋体"/>
        </w:rPr>
        <w:tab/>
      </w:r>
      <w:r>
        <w:rPr>
          <w:rFonts w:hint="eastAsia" w:ascii="宋体" w:hAnsi="宋体"/>
        </w:rPr>
        <w:t>我方理解贵方不一定接受最低标价或任何贵方可能收到的投标。</w:t>
      </w:r>
    </w:p>
    <w:p>
      <w:pPr>
        <w:snapToGrid w:val="0"/>
        <w:spacing w:line="380" w:lineRule="atLeast"/>
        <w:ind w:left="1365" w:leftChars="450" w:hanging="420" w:hangingChars="200"/>
        <w:rPr>
          <w:rFonts w:hint="eastAsia" w:ascii="宋体" w:hAnsi="宋体"/>
        </w:rPr>
      </w:pPr>
      <w:r>
        <w:rPr>
          <w:rFonts w:ascii="宋体" w:hAnsi="宋体"/>
        </w:rPr>
        <w:fldChar w:fldCharType="begin"/>
      </w:r>
      <w:r>
        <w:rPr>
          <w:rFonts w:ascii="宋体" w:hAnsi="宋体"/>
        </w:rPr>
        <w:instrText xml:space="preserve"> </w:instrText>
      </w:r>
      <w:r>
        <w:rPr>
          <w:rFonts w:hint="eastAsia" w:ascii="宋体" w:hAnsi="宋体"/>
        </w:rPr>
        <w:instrText xml:space="preserve">= 9 \* GB3</w:instrText>
      </w:r>
      <w:r>
        <w:rPr>
          <w:rFonts w:ascii="宋体" w:hAnsi="宋体"/>
        </w:rPr>
        <w:instrText xml:space="preserve"> </w:instrText>
      </w:r>
      <w:r>
        <w:rPr>
          <w:rFonts w:ascii="宋体" w:hAnsi="宋体"/>
        </w:rPr>
        <w:fldChar w:fldCharType="separate"/>
      </w:r>
      <w:r>
        <w:rPr>
          <w:rFonts w:hint="eastAsia" w:ascii="宋体" w:hAnsi="宋体"/>
          <w:lang/>
        </w:rPr>
        <w:t>⑨</w:t>
      </w:r>
      <w:r>
        <w:rPr>
          <w:rFonts w:ascii="宋体" w:hAnsi="宋体"/>
        </w:rPr>
        <w:fldChar w:fldCharType="end"/>
      </w:r>
      <w:r>
        <w:rPr>
          <w:rFonts w:hint="eastAsia" w:ascii="宋体" w:hAnsi="宋体"/>
        </w:rPr>
        <w:t xml:space="preserve">  我公司没有被财政部门限制参加政府采购活动或曾被财政部门限制参加政府采购活动但已不在限制期内。</w:t>
      </w:r>
    </w:p>
    <w:p>
      <w:pPr>
        <w:snapToGrid w:val="0"/>
        <w:spacing w:line="380" w:lineRule="atLeast"/>
        <w:ind w:left="1365" w:leftChars="450" w:hanging="420" w:hangingChars="200"/>
        <w:rPr>
          <w:rFonts w:hint="eastAsia" w:ascii="宋体" w:hAnsi="宋体"/>
        </w:rPr>
      </w:pPr>
      <w:r>
        <w:rPr>
          <w:rFonts w:hint="eastAsia" w:ascii="宋体" w:hAnsi="宋体"/>
        </w:rPr>
        <w:t>3、与投标有关的正式通讯地址为：________</w:t>
      </w:r>
      <w:r>
        <w:rPr>
          <w:rFonts w:hint="eastAsia" w:ascii="宋体" w:hAnsi="宋体"/>
          <w:u w:val="single"/>
        </w:rPr>
        <w:t>_     ___</w:t>
      </w:r>
      <w:r>
        <w:rPr>
          <w:rFonts w:hint="eastAsia" w:ascii="宋体" w:hAnsi="宋体"/>
        </w:rPr>
        <w:t>__________</w:t>
      </w:r>
    </w:p>
    <w:p>
      <w:pPr>
        <w:snapToGrid w:val="0"/>
        <w:spacing w:line="380" w:lineRule="atLeast"/>
        <w:ind w:left="1365" w:leftChars="650"/>
        <w:rPr>
          <w:rFonts w:hint="eastAsia" w:ascii="宋体" w:hAnsi="宋体"/>
          <w:u w:val="single"/>
        </w:rPr>
      </w:pPr>
      <w:r>
        <w:rPr>
          <w:rFonts w:hint="eastAsia" w:ascii="宋体" w:hAnsi="宋体"/>
        </w:rPr>
        <w:t>邮编：</w:t>
      </w:r>
      <w:r>
        <w:rPr>
          <w:rFonts w:hint="eastAsia" w:ascii="宋体" w:hAnsi="宋体"/>
          <w:u w:val="single"/>
        </w:rPr>
        <w:t xml:space="preserve">              </w:t>
      </w:r>
      <w:r>
        <w:rPr>
          <w:rFonts w:hint="eastAsia" w:ascii="宋体" w:hAnsi="宋体"/>
        </w:rPr>
        <w:t>电话：</w:t>
      </w:r>
      <w:r>
        <w:rPr>
          <w:rFonts w:hint="eastAsia" w:ascii="宋体" w:hAnsi="宋体"/>
          <w:u w:val="single"/>
        </w:rPr>
        <w:t xml:space="preserve">              </w:t>
      </w:r>
      <w:r>
        <w:rPr>
          <w:rFonts w:hint="eastAsia" w:ascii="宋体" w:hAnsi="宋体"/>
        </w:rPr>
        <w:t>传真：</w:t>
      </w:r>
      <w:r>
        <w:rPr>
          <w:rFonts w:hint="eastAsia" w:ascii="宋体" w:hAnsi="宋体"/>
          <w:u w:val="single"/>
        </w:rPr>
        <w:t xml:space="preserve">              </w:t>
      </w:r>
    </w:p>
    <w:p>
      <w:pPr>
        <w:snapToGrid w:val="0"/>
        <w:spacing w:line="380" w:lineRule="atLeast"/>
        <w:ind w:left="1365" w:leftChars="650"/>
        <w:rPr>
          <w:rFonts w:ascii="宋体" w:hAnsi="宋体"/>
        </w:rPr>
      </w:pPr>
      <w:r>
        <w:rPr>
          <w:rFonts w:hint="eastAsia" w:ascii="宋体" w:hAnsi="宋体"/>
        </w:rPr>
        <w:t>开户银行：</w:t>
      </w:r>
      <w:r>
        <w:rPr>
          <w:rFonts w:hint="eastAsia" w:ascii="宋体" w:hAnsi="宋体"/>
          <w:u w:val="single"/>
        </w:rPr>
        <w:t xml:space="preserve">                               </w:t>
      </w:r>
    </w:p>
    <w:p>
      <w:pPr>
        <w:snapToGrid w:val="0"/>
        <w:spacing w:line="380" w:lineRule="atLeast"/>
        <w:ind w:left="1365" w:leftChars="600" w:hanging="105" w:hangingChars="50"/>
        <w:rPr>
          <w:rFonts w:ascii="宋体" w:hAnsi="宋体"/>
        </w:rPr>
      </w:pPr>
      <w:r>
        <w:rPr>
          <w:rFonts w:hint="eastAsia" w:ascii="宋体" w:hAnsi="宋体"/>
        </w:rPr>
        <w:t xml:space="preserve"> 帐</w:t>
      </w:r>
      <w:r>
        <w:rPr>
          <w:rFonts w:ascii="宋体" w:hAnsi="宋体"/>
        </w:rPr>
        <w:t xml:space="preserve">   </w:t>
      </w:r>
      <w:r>
        <w:rPr>
          <w:rFonts w:hint="eastAsia" w:ascii="宋体" w:hAnsi="宋体"/>
        </w:rPr>
        <w:t xml:space="preserve"> 号：</w:t>
      </w:r>
      <w:r>
        <w:rPr>
          <w:rFonts w:hint="eastAsia" w:ascii="宋体" w:hAnsi="宋体"/>
          <w:u w:val="single"/>
        </w:rPr>
        <w:t xml:space="preserve">                               </w:t>
      </w:r>
    </w:p>
    <w:p>
      <w:pPr>
        <w:snapToGrid w:val="0"/>
        <w:spacing w:after="120" w:afterLines="50" w:line="380" w:lineRule="atLeast"/>
        <w:ind w:left="4200" w:leftChars="2000"/>
        <w:rPr>
          <w:rFonts w:hint="eastAsia" w:ascii="宋体" w:hAnsi="宋体"/>
          <w:szCs w:val="21"/>
        </w:rPr>
      </w:pPr>
      <w:r>
        <w:rPr>
          <w:rFonts w:hint="eastAsia" w:ascii="Arial" w:hAnsi="Arial"/>
        </w:rPr>
        <w:t>投标供应商</w:t>
      </w:r>
      <w:r>
        <w:rPr>
          <w:rFonts w:hint="eastAsia" w:ascii="宋体" w:hAnsi="宋体"/>
          <w:szCs w:val="21"/>
        </w:rPr>
        <w:t>全称（公章）：</w:t>
      </w:r>
    </w:p>
    <w:p>
      <w:pPr>
        <w:snapToGrid w:val="0"/>
        <w:spacing w:after="120" w:afterLines="50" w:line="380" w:lineRule="atLeast"/>
        <w:ind w:left="4200" w:leftChars="2000"/>
        <w:rPr>
          <w:rFonts w:hint="eastAsia" w:ascii="宋体" w:hAnsi="宋体"/>
          <w:szCs w:val="21"/>
        </w:rPr>
      </w:pPr>
      <w:r>
        <w:rPr>
          <w:rFonts w:hint="eastAsia" w:ascii="宋体" w:hAnsi="宋体"/>
          <w:szCs w:val="21"/>
        </w:rPr>
        <w:t>法定代表人或授权代表（签字或盖章）：</w:t>
      </w:r>
    </w:p>
    <w:p>
      <w:pPr>
        <w:snapToGrid w:val="0"/>
        <w:spacing w:after="120" w:afterLines="50" w:line="380" w:lineRule="atLeast"/>
        <w:ind w:left="4200" w:leftChars="2000"/>
        <w:rPr>
          <w:rFonts w:ascii="宋体" w:hAnsi="宋体"/>
          <w:szCs w:val="21"/>
        </w:rPr>
      </w:pPr>
      <w:r>
        <w:rPr>
          <w:rFonts w:hint="eastAsia" w:ascii="宋体" w:hAnsi="宋体"/>
          <w:szCs w:val="21"/>
        </w:rPr>
        <w:t>日期：</w:t>
      </w:r>
      <w:bookmarkStart w:id="380" w:name="_Toc176666485"/>
      <w:bookmarkStart w:id="381" w:name="_Toc176658522"/>
      <w:bookmarkStart w:id="382" w:name="_Toc70417081"/>
    </w:p>
    <w:p>
      <w:pPr>
        <w:snapToGrid w:val="0"/>
        <w:spacing w:after="120" w:afterLines="50" w:line="380" w:lineRule="atLeast"/>
        <w:ind w:left="4200" w:leftChars="2000"/>
        <w:rPr>
          <w:rFonts w:ascii="宋体" w:hAnsi="宋体"/>
          <w:szCs w:val="21"/>
        </w:rPr>
      </w:pPr>
    </w:p>
    <w:p>
      <w:pPr>
        <w:pStyle w:val="5"/>
        <w:rPr>
          <w:sz w:val="24"/>
          <w:szCs w:val="24"/>
        </w:rPr>
      </w:pPr>
      <w:bookmarkStart w:id="383" w:name="_Toc64913382"/>
      <w:bookmarkStart w:id="384" w:name="_Toc23334"/>
      <w:r>
        <w:rPr>
          <w:rFonts w:hint="eastAsia"/>
          <w:sz w:val="24"/>
          <w:szCs w:val="24"/>
        </w:rPr>
        <w:t>附件六、</w:t>
      </w:r>
      <w:bookmarkStart w:id="385" w:name="_Toc338075726"/>
      <w:bookmarkStart w:id="386" w:name="_Toc14578"/>
      <w:r>
        <w:rPr>
          <w:rFonts w:hint="eastAsia"/>
          <w:sz w:val="24"/>
          <w:szCs w:val="24"/>
        </w:rPr>
        <w:t>环卫保洁承诺书</w:t>
      </w:r>
      <w:bookmarkEnd w:id="383"/>
      <w:bookmarkEnd w:id="384"/>
      <w:bookmarkEnd w:id="385"/>
      <w:bookmarkEnd w:id="386"/>
    </w:p>
    <w:p>
      <w:pPr>
        <w:wordWrap w:val="0"/>
        <w:overflowPunct w:val="0"/>
        <w:spacing w:line="440" w:lineRule="atLeast"/>
        <w:rPr>
          <w:rFonts w:hint="eastAsia" w:ascii="Arial" w:hAnsi="Arial" w:cs="Arial"/>
          <w:b/>
          <w:sz w:val="24"/>
          <w:szCs w:val="24"/>
        </w:rPr>
      </w:pPr>
      <w:r>
        <w:rPr>
          <w:rFonts w:hint="eastAsia" w:ascii="Arial" w:hAnsi="Arial" w:cs="Arial"/>
          <w:b/>
          <w:sz w:val="24"/>
          <w:szCs w:val="24"/>
        </w:rPr>
        <w:t>瑞安市综合行政执法局、瑞安市安阳街道办事处：</w:t>
      </w:r>
    </w:p>
    <w:p>
      <w:pPr>
        <w:wordWrap w:val="0"/>
        <w:overflowPunct w:val="0"/>
        <w:spacing w:line="440" w:lineRule="atLeast"/>
        <w:ind w:left="359" w:leftChars="171" w:firstLine="420" w:firstLineChars="200"/>
        <w:rPr>
          <w:rFonts w:ascii="宋体" w:hAnsi="宋体"/>
          <w:szCs w:val="21"/>
        </w:rPr>
      </w:pPr>
      <w:r>
        <w:rPr>
          <w:rFonts w:hint="eastAsia" w:ascii="宋体" w:hAnsi="宋体"/>
          <w:szCs w:val="21"/>
        </w:rPr>
        <w:t>我方全面阅读和研究了</w:t>
      </w:r>
      <w:r>
        <w:rPr>
          <w:rFonts w:hint="eastAsia" w:ascii="宋体" w:hAnsi="宋体"/>
          <w:szCs w:val="21"/>
          <w:u w:val="single"/>
        </w:rPr>
        <w:t>服务项目[项目名称：       编号：</w:t>
      </w:r>
      <w:r>
        <w:rPr>
          <w:rFonts w:ascii="宋体" w:hAnsi="宋体"/>
          <w:szCs w:val="21"/>
          <w:u w:val="single"/>
        </w:rPr>
        <w:t xml:space="preserve">   </w:t>
      </w:r>
      <w:r>
        <w:rPr>
          <w:rFonts w:hint="eastAsia" w:ascii="宋体" w:hAnsi="宋体"/>
          <w:szCs w:val="21"/>
          <w:u w:val="single"/>
        </w:rPr>
        <w:t xml:space="preserve">      ]</w:t>
      </w:r>
      <w:r>
        <w:rPr>
          <w:rFonts w:hint="eastAsia" w:ascii="宋体" w:hAnsi="宋体"/>
          <w:szCs w:val="21"/>
        </w:rPr>
        <w:t>已充分理解和掌握本次招标的全部有关情况，充分理解</w:t>
      </w:r>
      <w:r>
        <w:rPr>
          <w:rFonts w:hint="eastAsia" w:ascii="宋体" w:hAnsi="宋体"/>
          <w:szCs w:val="21"/>
          <w:u w:val="single"/>
        </w:rPr>
        <w:t>服务项目[项目名称：     编号：</w:t>
      </w:r>
      <w:r>
        <w:rPr>
          <w:rFonts w:ascii="宋体" w:hAnsi="宋体"/>
          <w:szCs w:val="21"/>
          <w:u w:val="single"/>
        </w:rPr>
        <w:t xml:space="preserve">        </w:t>
      </w:r>
      <w:r>
        <w:rPr>
          <w:rFonts w:hint="eastAsia" w:ascii="宋体" w:hAnsi="宋体"/>
          <w:szCs w:val="21"/>
          <w:u w:val="single"/>
        </w:rPr>
        <w:t xml:space="preserve"> ]</w:t>
      </w:r>
      <w:r>
        <w:rPr>
          <w:rFonts w:hint="eastAsia" w:ascii="宋体" w:hAnsi="宋体"/>
          <w:szCs w:val="21"/>
        </w:rPr>
        <w:t>的重要性，同意接受采购文件的全部内容和条件，如果我公司中标，承诺如下：</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1、按采购文件要求做好清扫保洁工作。</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2、对员工做好安全教育，消除事故隐患，并承担安全责任及发生的费用。</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3、自行解决员工食宿、机械车辆停车、洗车场地。</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4、在合同期内，同意因市政建设需要征用、临时占用需要调整清扫保洁面积时，采购人可根据占用的时间和面积数，扣除相应的清扫保洁费，由属地镇街将核减区域面积、人数、机械化作业及核减经费以书面形式告知瑞安市执法局，具体核减方式按该核减区域面积与区域总面积比例来测算此次需要核减的经费。</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5、在合同期内，出现新增道路，新增小区或因改造、改建新增清扫保洁面积时，采购人可根据实际情况做出调整，或增加清扫保洁费的决定。</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6、本清扫保洁作业除在招投标文件中列明并经招标单位同意外，同意不得将本项目分包与转包，一经发现立即取消承包资格，并承担由此引起的法律责任及一切经济损失。</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7、按采购文件的要求和承诺配备人员。擅自减少清扫保洁人员的，采购人有权收回缺位人员工资及所有费用并终止采购合同，没收履约保证金，保留向违规供应商进一步索赔的权利，将违规供应商列入不诚信供应商黑名单，三年内不得参加瑞安市区清扫保洁投标活动。</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8、作业机械车辆船只（含增配）弄虚作假没有实际作业的，一经发现，扣除作业机械车辆船只全年清扫费用，并终止采购合同，没收履约保证金，保留向违规供应商进一步索赔的权利，将违规供应商列入不诚信供应商黑名单，三年内不得参加瑞安市区清扫保洁投标活动。</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9、提供用于本项目的机动车辆、船只如出安全事故，则由我公司自行负责处理并承担相应责任和费用，并根据驾驶员责任大小处以500元-2000元的罚款，罚款从承包费中扣除。</w:t>
      </w:r>
    </w:p>
    <w:p>
      <w:pPr>
        <w:wordWrap w:val="0"/>
        <w:overflowPunct w:val="0"/>
        <w:spacing w:line="440" w:lineRule="atLeast"/>
        <w:ind w:left="359" w:leftChars="171" w:firstLine="420" w:firstLineChars="200"/>
        <w:rPr>
          <w:rFonts w:hint="eastAsia" w:ascii="宋体" w:hAnsi="宋体"/>
          <w:szCs w:val="21"/>
        </w:rPr>
      </w:pPr>
      <w:r>
        <w:rPr>
          <w:rFonts w:hint="eastAsia" w:ascii="宋体" w:hAnsi="宋体"/>
          <w:szCs w:val="21"/>
        </w:rPr>
        <w:t>10、本项目专用的机械设备（车辆、船只）建立使用台账，做好使用记录。采购人有权进行检查</w:t>
      </w:r>
    </w:p>
    <w:p>
      <w:pPr>
        <w:wordWrap w:val="0"/>
        <w:overflowPunct w:val="0"/>
        <w:spacing w:line="440" w:lineRule="atLeast"/>
        <w:ind w:left="359" w:leftChars="171" w:firstLine="420" w:firstLineChars="200"/>
        <w:rPr>
          <w:rFonts w:ascii="宋体" w:hAnsi="宋体"/>
          <w:szCs w:val="21"/>
        </w:rPr>
      </w:pPr>
      <w:r>
        <w:rPr>
          <w:rFonts w:hint="eastAsia" w:ascii="宋体" w:hAnsi="宋体"/>
          <w:szCs w:val="21"/>
        </w:rPr>
        <w:t>11、如果我公司不遵守承诺，采购人有权没收履约保证金，并接受政府采购有关法规处罚，我们没有异议。</w:t>
      </w:r>
    </w:p>
    <w:p>
      <w:pPr>
        <w:wordWrap w:val="0"/>
        <w:overflowPunct w:val="0"/>
        <w:spacing w:line="276" w:lineRule="auto"/>
        <w:ind w:right="480" w:firstLine="3364" w:firstLineChars="1602"/>
        <w:jc w:val="right"/>
        <w:rPr>
          <w:rFonts w:ascii="宋体" w:hAnsi="宋体"/>
          <w:szCs w:val="21"/>
        </w:rPr>
      </w:pPr>
    </w:p>
    <w:p>
      <w:pPr>
        <w:wordWrap w:val="0"/>
        <w:overflowPunct w:val="0"/>
        <w:spacing w:line="276" w:lineRule="auto"/>
        <w:ind w:right="480" w:firstLine="3364" w:firstLineChars="1602"/>
        <w:jc w:val="right"/>
        <w:rPr>
          <w:rFonts w:ascii="宋体" w:hAnsi="宋体"/>
          <w:szCs w:val="21"/>
        </w:rPr>
      </w:pPr>
      <w:r>
        <w:rPr>
          <w:rFonts w:hint="eastAsia" w:ascii="宋体" w:hAnsi="宋体"/>
          <w:szCs w:val="21"/>
        </w:rPr>
        <w:t>承诺单位（公章）：</w:t>
      </w:r>
    </w:p>
    <w:p>
      <w:pPr>
        <w:wordWrap w:val="0"/>
        <w:overflowPunct w:val="0"/>
        <w:spacing w:line="276" w:lineRule="auto"/>
        <w:ind w:right="480" w:firstLine="3332" w:firstLineChars="1587"/>
        <w:jc w:val="right"/>
        <w:rPr>
          <w:rFonts w:ascii="宋体" w:hAnsi="宋体"/>
          <w:szCs w:val="21"/>
        </w:rPr>
      </w:pPr>
      <w:r>
        <w:rPr>
          <w:rFonts w:hint="eastAsia" w:ascii="宋体" w:hAnsi="宋体"/>
          <w:szCs w:val="21"/>
        </w:rPr>
        <w:t>法定代表人或授权代表人（签字或盖章）：</w:t>
      </w:r>
    </w:p>
    <w:p>
      <w:pPr>
        <w:overflowPunct w:val="0"/>
        <w:spacing w:line="276" w:lineRule="auto"/>
        <w:ind w:right="480" w:firstLine="3990" w:firstLineChars="1900"/>
        <w:jc w:val="right"/>
        <w:rPr>
          <w:rFonts w:hint="eastAsia" w:ascii="宋体" w:hAnsi="宋体"/>
          <w:szCs w:val="21"/>
        </w:rPr>
      </w:pPr>
      <w:r>
        <w:rPr>
          <w:rFonts w:hint="eastAsia" w:ascii="宋体" w:hAnsi="宋体"/>
          <w:szCs w:val="21"/>
        </w:rPr>
        <w:t>年   月   日</w:t>
      </w:r>
    </w:p>
    <w:p>
      <w:pPr>
        <w:snapToGrid w:val="0"/>
        <w:spacing w:after="120" w:afterLines="50" w:line="380" w:lineRule="atLeast"/>
        <w:ind w:left="4200" w:leftChars="2000"/>
        <w:rPr>
          <w:rFonts w:hint="eastAsia" w:ascii="宋体" w:hAnsi="宋体"/>
          <w:szCs w:val="21"/>
        </w:rPr>
      </w:pPr>
    </w:p>
    <w:p>
      <w:pPr>
        <w:tabs>
          <w:tab w:val="left" w:pos="4532"/>
        </w:tabs>
        <w:spacing w:line="360" w:lineRule="auto"/>
        <w:rPr>
          <w:rFonts w:hint="eastAsia"/>
          <w:szCs w:val="21"/>
        </w:rPr>
      </w:pPr>
    </w:p>
    <w:p>
      <w:pPr>
        <w:pStyle w:val="5"/>
        <w:rPr>
          <w:rFonts w:hint="eastAsia"/>
          <w:sz w:val="24"/>
          <w:szCs w:val="24"/>
        </w:rPr>
      </w:pPr>
      <w:bookmarkStart w:id="387" w:name="_Toc64913383"/>
      <w:r>
        <w:rPr>
          <w:rFonts w:hint="eastAsia"/>
          <w:sz w:val="24"/>
          <w:szCs w:val="24"/>
        </w:rPr>
        <w:t>附件七  建议与少量偏离表</w:t>
      </w:r>
      <w:bookmarkEnd w:id="380"/>
      <w:bookmarkEnd w:id="381"/>
      <w:bookmarkEnd w:id="382"/>
      <w:bookmarkEnd w:id="387"/>
      <w:r>
        <w:rPr>
          <w:rFonts w:hint="eastAsia"/>
          <w:sz w:val="24"/>
          <w:szCs w:val="24"/>
        </w:rPr>
        <w:t xml:space="preserve">  </w:t>
      </w:r>
    </w:p>
    <w:p>
      <w:pPr>
        <w:spacing w:line="360" w:lineRule="auto"/>
        <w:jc w:val="center"/>
        <w:rPr>
          <w:rFonts w:hint="eastAsia"/>
          <w:b/>
          <w:sz w:val="30"/>
          <w:szCs w:val="30"/>
        </w:rPr>
      </w:pPr>
      <w:r>
        <w:rPr>
          <w:rFonts w:hint="eastAsia"/>
          <w:b/>
          <w:sz w:val="30"/>
          <w:szCs w:val="30"/>
        </w:rPr>
        <w:t>技术、商务建议与少量偏离表</w:t>
      </w:r>
    </w:p>
    <w:p>
      <w:pPr>
        <w:spacing w:after="120" w:afterLines="50"/>
        <w:jc w:val="center"/>
        <w:rPr>
          <w:rFonts w:hint="eastAsia" w:ascii="宋体" w:hAnsi="宋体"/>
          <w:szCs w:val="21"/>
        </w:rPr>
      </w:pPr>
      <w:r>
        <w:rPr>
          <w:rFonts w:hint="eastAsia" w:ascii="宋体" w:hAnsi="宋体"/>
          <w:szCs w:val="21"/>
        </w:rPr>
        <w:t xml:space="preserve">  （商务和技术也可分别填写）</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82"/>
        <w:gridCol w:w="4137"/>
        <w:gridCol w:w="41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trHeight w:val="705" w:hRule="atLeast"/>
          <w:jc w:val="center"/>
        </w:trPr>
        <w:tc>
          <w:tcPr>
            <w:tcW w:w="982" w:type="dxa"/>
            <w:tcBorders>
              <w:top w:val="single" w:color="auto" w:sz="12" w:space="0"/>
              <w:left w:val="single" w:color="auto" w:sz="12" w:space="0"/>
              <w:bottom w:val="single" w:color="auto" w:sz="12" w:space="0"/>
              <w:right w:val="single" w:color="auto" w:sz="4" w:space="0"/>
            </w:tcBorders>
            <w:noWrap w:val="0"/>
            <w:vAlign w:val="center"/>
          </w:tcPr>
          <w:p>
            <w:pPr>
              <w:jc w:val="center"/>
              <w:rPr>
                <w:rFonts w:ascii="宋体"/>
                <w:b/>
                <w:bCs/>
              </w:rPr>
            </w:pPr>
            <w:r>
              <w:rPr>
                <w:rFonts w:hint="eastAsia" w:ascii="宋体"/>
                <w:b/>
                <w:bCs/>
              </w:rPr>
              <w:t>序号</w:t>
            </w:r>
          </w:p>
        </w:tc>
        <w:tc>
          <w:tcPr>
            <w:tcW w:w="4137" w:type="dxa"/>
            <w:tcBorders>
              <w:top w:val="single" w:color="auto" w:sz="12" w:space="0"/>
              <w:left w:val="single" w:color="auto" w:sz="4" w:space="0"/>
              <w:bottom w:val="single" w:color="auto" w:sz="12" w:space="0"/>
              <w:right w:val="single" w:color="auto" w:sz="4" w:space="0"/>
            </w:tcBorders>
            <w:noWrap w:val="0"/>
            <w:vAlign w:val="center"/>
          </w:tcPr>
          <w:p>
            <w:pPr>
              <w:jc w:val="center"/>
              <w:rPr>
                <w:rFonts w:ascii="宋体"/>
                <w:b/>
                <w:bCs/>
              </w:rPr>
            </w:pPr>
            <w:r>
              <w:rPr>
                <w:rFonts w:hint="eastAsia" w:ascii="宋体"/>
                <w:b/>
                <w:bCs/>
              </w:rPr>
              <w:t>招标文件重述</w:t>
            </w:r>
          </w:p>
        </w:tc>
        <w:tc>
          <w:tcPr>
            <w:tcW w:w="4138" w:type="dxa"/>
            <w:tcBorders>
              <w:top w:val="single" w:color="auto" w:sz="12" w:space="0"/>
              <w:left w:val="single" w:color="auto" w:sz="4" w:space="0"/>
              <w:bottom w:val="single" w:color="auto" w:sz="12" w:space="0"/>
              <w:right w:val="single" w:color="auto" w:sz="12" w:space="0"/>
            </w:tcBorders>
            <w:noWrap w:val="0"/>
            <w:vAlign w:val="center"/>
          </w:tcPr>
          <w:p>
            <w:pPr>
              <w:jc w:val="center"/>
              <w:rPr>
                <w:rFonts w:ascii="宋体"/>
                <w:b/>
                <w:bCs/>
              </w:rPr>
            </w:pPr>
            <w:r>
              <w:rPr>
                <w:rFonts w:hint="eastAsia" w:ascii="宋体"/>
                <w:b/>
                <w:bCs/>
              </w:rPr>
              <w:t>偏离或投标供应商建议（条件）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trHeight w:val="7436" w:hRule="atLeast"/>
          <w:jc w:val="center"/>
        </w:trPr>
        <w:tc>
          <w:tcPr>
            <w:tcW w:w="982" w:type="dxa"/>
            <w:tcBorders>
              <w:top w:val="single" w:color="auto" w:sz="12" w:space="0"/>
              <w:left w:val="single" w:color="auto" w:sz="12" w:space="0"/>
              <w:bottom w:val="single" w:color="auto" w:sz="12" w:space="0"/>
              <w:right w:val="single" w:color="auto" w:sz="4" w:space="0"/>
            </w:tcBorders>
            <w:noWrap w:val="0"/>
            <w:vAlign w:val="top"/>
          </w:tcPr>
          <w:p>
            <w:pPr>
              <w:ind w:firstLine="592"/>
              <w:rPr>
                <w:rFonts w:ascii="仿宋_GB2312" w:eastAsia="仿宋_GB2312"/>
              </w:rPr>
            </w:pPr>
          </w:p>
        </w:tc>
        <w:tc>
          <w:tcPr>
            <w:tcW w:w="4137" w:type="dxa"/>
            <w:tcBorders>
              <w:top w:val="single" w:color="auto" w:sz="12" w:space="0"/>
              <w:left w:val="single" w:color="auto" w:sz="4" w:space="0"/>
              <w:bottom w:val="single" w:color="auto" w:sz="12" w:space="0"/>
              <w:right w:val="single" w:color="auto" w:sz="4" w:space="0"/>
            </w:tcBorders>
            <w:noWrap w:val="0"/>
            <w:vAlign w:val="top"/>
          </w:tcPr>
          <w:p>
            <w:pPr>
              <w:ind w:firstLine="592"/>
              <w:rPr>
                <w:rFonts w:ascii="仿宋_GB2312" w:eastAsia="仿宋_GB2312"/>
              </w:rPr>
            </w:pPr>
          </w:p>
        </w:tc>
        <w:tc>
          <w:tcPr>
            <w:tcW w:w="4138" w:type="dxa"/>
            <w:tcBorders>
              <w:top w:val="single" w:color="auto" w:sz="12" w:space="0"/>
              <w:left w:val="single" w:color="auto" w:sz="4" w:space="0"/>
              <w:bottom w:val="single" w:color="auto" w:sz="12" w:space="0"/>
              <w:right w:val="single" w:color="auto" w:sz="12" w:space="0"/>
            </w:tcBorders>
            <w:noWrap w:val="0"/>
            <w:vAlign w:val="top"/>
          </w:tcPr>
          <w:p>
            <w:pPr>
              <w:ind w:firstLine="592"/>
              <w:rPr>
                <w:rFonts w:ascii="仿宋_GB2312" w:eastAsia="仿宋_GB2312"/>
              </w:rPr>
            </w:pPr>
          </w:p>
        </w:tc>
      </w:tr>
    </w:tbl>
    <w:p>
      <w:pPr>
        <w:pStyle w:val="25"/>
        <w:rPr>
          <w:rFonts w:hint="eastAsia"/>
        </w:rPr>
      </w:pPr>
      <w:r>
        <w:rPr>
          <w:rFonts w:hint="eastAsia"/>
        </w:rPr>
        <w:t>注：如不填写，则视为完全响应招标文件的技术及商务要求。</w:t>
      </w:r>
    </w:p>
    <w:p>
      <w:pPr>
        <w:spacing w:before="120" w:beforeLines="50" w:after="120" w:afterLines="50" w:line="360" w:lineRule="auto"/>
        <w:ind w:right="-21" w:rightChars="-10"/>
        <w:rPr>
          <w:rFonts w:ascii="仿宋_GB2312" w:hAnsi="宋体"/>
        </w:rPr>
      </w:pPr>
    </w:p>
    <w:p>
      <w:pPr>
        <w:spacing w:before="120" w:beforeLines="50" w:after="120" w:afterLines="50" w:line="360" w:lineRule="auto"/>
        <w:ind w:right="-21" w:rightChars="-10" w:firstLine="4620" w:firstLineChars="2200"/>
        <w:rPr>
          <w:rFonts w:hint="eastAsia" w:ascii="新宋体" w:hAnsi="新宋体" w:eastAsia="新宋体"/>
          <w:szCs w:val="21"/>
        </w:rPr>
      </w:pPr>
      <w:r>
        <w:rPr>
          <w:rFonts w:hint="eastAsia" w:ascii="Arial" w:hAnsi="Arial"/>
        </w:rPr>
        <w:t>投标供应商</w:t>
      </w:r>
      <w:r>
        <w:rPr>
          <w:rFonts w:hint="eastAsia" w:ascii="新宋体" w:hAnsi="新宋体" w:eastAsia="新宋体"/>
          <w:szCs w:val="21"/>
        </w:rPr>
        <w:t xml:space="preserve">全称（盖章）：  </w:t>
      </w:r>
    </w:p>
    <w:p>
      <w:pPr>
        <w:spacing w:line="360" w:lineRule="auto"/>
        <w:ind w:firstLine="4620" w:firstLineChars="2200"/>
        <w:rPr>
          <w:rFonts w:hint="eastAsia" w:ascii="新宋体" w:hAnsi="新宋体" w:eastAsia="新宋体"/>
          <w:szCs w:val="21"/>
        </w:rPr>
      </w:pPr>
      <w:r>
        <w:rPr>
          <w:rFonts w:hint="eastAsia" w:ascii="新宋体" w:hAnsi="新宋体" w:eastAsia="新宋体"/>
          <w:szCs w:val="21"/>
        </w:rPr>
        <w:t>授权代表（签字或盖章）：</w:t>
      </w:r>
    </w:p>
    <w:p>
      <w:pPr>
        <w:spacing w:line="360" w:lineRule="auto"/>
        <w:rPr>
          <w:rFonts w:hint="eastAsia"/>
          <w:szCs w:val="21"/>
        </w:rPr>
      </w:pPr>
      <w:r>
        <w:rPr>
          <w:rFonts w:hint="eastAsia"/>
          <w:szCs w:val="21"/>
        </w:rPr>
        <w:t xml:space="preserve">                                            日期：    年   月   日</w:t>
      </w:r>
      <w:bookmarkStart w:id="388" w:name="_Toc197741114"/>
      <w:bookmarkStart w:id="389" w:name="_Toc184281694"/>
    </w:p>
    <w:p>
      <w:pPr>
        <w:spacing w:line="360" w:lineRule="auto"/>
        <w:rPr>
          <w:rFonts w:hint="eastAsia"/>
          <w:szCs w:val="21"/>
        </w:rPr>
      </w:pPr>
    </w:p>
    <w:p>
      <w:pPr>
        <w:spacing w:line="360" w:lineRule="auto"/>
        <w:rPr>
          <w:rFonts w:hint="eastAsia"/>
          <w:szCs w:val="21"/>
        </w:rPr>
      </w:pPr>
    </w:p>
    <w:bookmarkEnd w:id="388"/>
    <w:bookmarkEnd w:id="389"/>
    <w:p>
      <w:pPr>
        <w:pStyle w:val="5"/>
        <w:spacing w:before="120" w:after="120" w:line="360" w:lineRule="auto"/>
        <w:rPr>
          <w:rFonts w:hint="eastAsia" w:ascii="新宋体" w:hAnsi="新宋体" w:eastAsia="新宋体"/>
          <w:sz w:val="24"/>
          <w:szCs w:val="24"/>
        </w:rPr>
      </w:pPr>
      <w:bookmarkStart w:id="390" w:name="_Toc64913384"/>
      <w:r>
        <w:rPr>
          <w:rFonts w:hint="eastAsia" w:ascii="新宋体" w:hAnsi="新宋体" w:eastAsia="新宋体"/>
          <w:sz w:val="24"/>
          <w:szCs w:val="24"/>
        </w:rPr>
        <w:t>附件八  投标供应商基本情况表</w:t>
      </w:r>
      <w:bookmarkEnd w:id="390"/>
    </w:p>
    <w:p>
      <w:pPr>
        <w:rPr>
          <w:rFonts w:hint="eastAsia"/>
        </w:rPr>
      </w:pPr>
      <w:r>
        <w:rPr>
          <w:rFonts w:hint="eastAsia" w:ascii="仿宋_GB2312" w:hAnsi="新宋体"/>
          <w:b/>
          <w:szCs w:val="21"/>
        </w:rPr>
        <w:t>投标供应商基本情况表</w:t>
      </w:r>
    </w:p>
    <w:tbl>
      <w:tblPr>
        <w:tblStyle w:val="35"/>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1527"/>
        <w:gridCol w:w="1525"/>
        <w:gridCol w:w="643"/>
        <w:gridCol w:w="884"/>
        <w:gridCol w:w="1525"/>
        <w:gridCol w:w="111"/>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noWrap w:val="0"/>
            <w:vAlign w:val="center"/>
          </w:tcPr>
          <w:p>
            <w:pPr>
              <w:jc w:val="center"/>
              <w:rPr>
                <w:rFonts w:hint="eastAsia" w:ascii="仿宋_GB2312" w:hAnsi="新宋体"/>
                <w:szCs w:val="21"/>
              </w:rPr>
            </w:pPr>
            <w:r>
              <w:rPr>
                <w:rFonts w:hint="eastAsia" w:ascii="仿宋_GB2312" w:hAnsi="新宋体"/>
                <w:szCs w:val="21"/>
              </w:rPr>
              <w:t>单位名称</w:t>
            </w:r>
          </w:p>
          <w:p>
            <w:pPr>
              <w:jc w:val="center"/>
              <w:rPr>
                <w:rFonts w:hint="eastAsia" w:ascii="仿宋_GB2312" w:hAnsi="新宋体"/>
                <w:szCs w:val="21"/>
              </w:rPr>
            </w:pPr>
            <w:r>
              <w:rPr>
                <w:rFonts w:hint="eastAsia" w:ascii="仿宋_GB2312" w:hAnsi="新宋体"/>
                <w:szCs w:val="21"/>
              </w:rPr>
              <w:t>（公章）</w:t>
            </w:r>
          </w:p>
        </w:tc>
        <w:tc>
          <w:tcPr>
            <w:tcW w:w="7631" w:type="dxa"/>
            <w:gridSpan w:val="7"/>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noWrap w:val="0"/>
            <w:vAlign w:val="center"/>
          </w:tcPr>
          <w:p>
            <w:pPr>
              <w:jc w:val="center"/>
              <w:rPr>
                <w:rFonts w:hint="eastAsia" w:ascii="仿宋_GB2312" w:hAnsi="新宋体"/>
                <w:szCs w:val="21"/>
              </w:rPr>
            </w:pPr>
            <w:r>
              <w:rPr>
                <w:rFonts w:hint="eastAsia" w:ascii="仿宋_GB2312" w:hAnsi="新宋体"/>
                <w:szCs w:val="21"/>
              </w:rPr>
              <w:t>单位地址</w:t>
            </w:r>
          </w:p>
        </w:tc>
        <w:tc>
          <w:tcPr>
            <w:tcW w:w="7631" w:type="dxa"/>
            <w:gridSpan w:val="7"/>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noWrap w:val="0"/>
            <w:vAlign w:val="center"/>
          </w:tcPr>
          <w:p>
            <w:pPr>
              <w:jc w:val="center"/>
              <w:rPr>
                <w:rFonts w:hint="eastAsia" w:ascii="仿宋_GB2312" w:hAnsi="新宋体"/>
                <w:szCs w:val="21"/>
              </w:rPr>
            </w:pPr>
            <w:r>
              <w:rPr>
                <w:rFonts w:hint="eastAsia" w:ascii="仿宋_GB2312" w:hAnsi="新宋体"/>
                <w:szCs w:val="21"/>
              </w:rPr>
              <w:t>主管部门</w:t>
            </w:r>
          </w:p>
        </w:tc>
        <w:tc>
          <w:tcPr>
            <w:tcW w:w="7631" w:type="dxa"/>
            <w:gridSpan w:val="7"/>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1525" w:type="dxa"/>
            <w:noWrap w:val="0"/>
            <w:vAlign w:val="center"/>
          </w:tcPr>
          <w:p>
            <w:pPr>
              <w:jc w:val="center"/>
              <w:rPr>
                <w:rFonts w:hint="eastAsia" w:ascii="仿宋_GB2312" w:hAnsi="新宋体"/>
                <w:szCs w:val="21"/>
              </w:rPr>
            </w:pPr>
            <w:r>
              <w:rPr>
                <w:rFonts w:hint="eastAsia" w:ascii="仿宋_GB2312" w:hAnsi="新宋体"/>
                <w:szCs w:val="21"/>
              </w:rPr>
              <w:t>成立时间</w:t>
            </w:r>
          </w:p>
        </w:tc>
        <w:tc>
          <w:tcPr>
            <w:tcW w:w="1527" w:type="dxa"/>
            <w:noWrap w:val="0"/>
            <w:vAlign w:val="center"/>
          </w:tcPr>
          <w:p>
            <w:pPr>
              <w:jc w:val="center"/>
              <w:rPr>
                <w:rFonts w:hint="eastAsia" w:ascii="仿宋_GB2312" w:hAnsi="新宋体"/>
                <w:szCs w:val="21"/>
              </w:rPr>
            </w:pPr>
          </w:p>
        </w:tc>
        <w:tc>
          <w:tcPr>
            <w:tcW w:w="2168" w:type="dxa"/>
            <w:gridSpan w:val="2"/>
            <w:noWrap w:val="0"/>
            <w:vAlign w:val="center"/>
          </w:tcPr>
          <w:p>
            <w:pPr>
              <w:jc w:val="center"/>
              <w:rPr>
                <w:rFonts w:hint="eastAsia" w:ascii="仿宋_GB2312" w:hAnsi="新宋体"/>
                <w:szCs w:val="21"/>
              </w:rPr>
            </w:pPr>
            <w:r>
              <w:rPr>
                <w:rFonts w:hint="eastAsia" w:ascii="仿宋_GB2312" w:hAnsi="新宋体"/>
                <w:szCs w:val="21"/>
              </w:rPr>
              <w:t>营业执照编号</w:t>
            </w:r>
          </w:p>
          <w:p>
            <w:pPr>
              <w:rPr>
                <w:rFonts w:hint="eastAsia" w:ascii="仿宋_GB2312" w:hAnsi="新宋体"/>
                <w:szCs w:val="21"/>
              </w:rPr>
            </w:pPr>
            <w:r>
              <w:rPr>
                <w:rFonts w:hint="eastAsia" w:ascii="仿宋_GB2312" w:hAnsi="新宋体"/>
                <w:szCs w:val="21"/>
              </w:rPr>
              <w:t>（</w:t>
            </w:r>
            <w:r>
              <w:rPr>
                <w:rFonts w:hint="eastAsia" w:ascii="仿宋_GB2312" w:hAnsi="新宋体"/>
                <w:color w:val="000000"/>
                <w:szCs w:val="21"/>
              </w:rPr>
              <w:t>事业单位法人证书</w:t>
            </w:r>
            <w:r>
              <w:rPr>
                <w:rFonts w:hint="eastAsia" w:ascii="仿宋_GB2312" w:hAnsi="新宋体"/>
                <w:szCs w:val="21"/>
              </w:rPr>
              <w:t>）</w:t>
            </w:r>
          </w:p>
        </w:tc>
        <w:tc>
          <w:tcPr>
            <w:tcW w:w="884" w:type="dxa"/>
            <w:noWrap w:val="0"/>
            <w:vAlign w:val="center"/>
          </w:tcPr>
          <w:p>
            <w:pPr>
              <w:jc w:val="center"/>
              <w:rPr>
                <w:rFonts w:hint="eastAsia" w:ascii="仿宋_GB2312" w:hAnsi="新宋体"/>
                <w:szCs w:val="21"/>
              </w:rPr>
            </w:pPr>
          </w:p>
        </w:tc>
        <w:tc>
          <w:tcPr>
            <w:tcW w:w="1636" w:type="dxa"/>
            <w:gridSpan w:val="2"/>
            <w:noWrap w:val="0"/>
            <w:vAlign w:val="center"/>
          </w:tcPr>
          <w:p>
            <w:pPr>
              <w:jc w:val="center"/>
              <w:rPr>
                <w:rFonts w:hint="eastAsia" w:ascii="仿宋_GB2312" w:hAnsi="新宋体"/>
                <w:szCs w:val="21"/>
              </w:rPr>
            </w:pPr>
            <w:r>
              <w:rPr>
                <w:rFonts w:hint="eastAsia" w:ascii="仿宋_GB2312" w:hAnsi="新宋体"/>
                <w:szCs w:val="21"/>
              </w:rPr>
              <w:t>税务登记证编号</w:t>
            </w:r>
          </w:p>
        </w:tc>
        <w:tc>
          <w:tcPr>
            <w:tcW w:w="1416" w:type="dxa"/>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1525" w:type="dxa"/>
            <w:noWrap w:val="0"/>
            <w:vAlign w:val="center"/>
          </w:tcPr>
          <w:p>
            <w:pPr>
              <w:jc w:val="center"/>
              <w:rPr>
                <w:rFonts w:hint="eastAsia" w:ascii="仿宋_GB2312" w:hAnsi="新宋体"/>
                <w:szCs w:val="21"/>
              </w:rPr>
            </w:pPr>
            <w:r>
              <w:rPr>
                <w:rFonts w:hint="eastAsia" w:ascii="仿宋_GB2312" w:hAnsi="新宋体"/>
                <w:szCs w:val="21"/>
              </w:rPr>
              <w:t>单位性质</w:t>
            </w:r>
          </w:p>
        </w:tc>
        <w:tc>
          <w:tcPr>
            <w:tcW w:w="1527" w:type="dxa"/>
            <w:noWrap w:val="0"/>
            <w:vAlign w:val="center"/>
          </w:tcPr>
          <w:p>
            <w:pPr>
              <w:jc w:val="center"/>
              <w:rPr>
                <w:rFonts w:hint="eastAsia" w:ascii="仿宋_GB2312" w:hAnsi="新宋体"/>
                <w:szCs w:val="21"/>
              </w:rPr>
            </w:pPr>
          </w:p>
        </w:tc>
        <w:tc>
          <w:tcPr>
            <w:tcW w:w="2168" w:type="dxa"/>
            <w:gridSpan w:val="2"/>
            <w:noWrap w:val="0"/>
            <w:vAlign w:val="center"/>
          </w:tcPr>
          <w:p>
            <w:pPr>
              <w:jc w:val="center"/>
              <w:rPr>
                <w:rFonts w:hint="eastAsia" w:ascii="仿宋_GB2312" w:hAnsi="新宋体"/>
                <w:szCs w:val="21"/>
              </w:rPr>
            </w:pPr>
            <w:r>
              <w:rPr>
                <w:rFonts w:hint="eastAsia" w:ascii="仿宋_GB2312" w:hAnsi="新宋体"/>
                <w:szCs w:val="21"/>
              </w:rPr>
              <w:t>开户银行</w:t>
            </w:r>
          </w:p>
          <w:p>
            <w:pPr>
              <w:jc w:val="center"/>
              <w:rPr>
                <w:rFonts w:hint="eastAsia" w:ascii="仿宋_GB2312" w:hAnsi="新宋体"/>
                <w:szCs w:val="21"/>
              </w:rPr>
            </w:pPr>
            <w:r>
              <w:rPr>
                <w:rFonts w:hint="eastAsia" w:ascii="仿宋_GB2312" w:hAnsi="新宋体"/>
                <w:szCs w:val="21"/>
              </w:rPr>
              <w:t>及账号</w:t>
            </w:r>
          </w:p>
        </w:tc>
        <w:tc>
          <w:tcPr>
            <w:tcW w:w="884" w:type="dxa"/>
            <w:noWrap w:val="0"/>
            <w:vAlign w:val="center"/>
          </w:tcPr>
          <w:p>
            <w:pPr>
              <w:jc w:val="center"/>
              <w:rPr>
                <w:rFonts w:hint="eastAsia" w:ascii="仿宋_GB2312" w:hAnsi="新宋体"/>
                <w:szCs w:val="21"/>
              </w:rPr>
            </w:pPr>
          </w:p>
        </w:tc>
        <w:tc>
          <w:tcPr>
            <w:tcW w:w="1636" w:type="dxa"/>
            <w:gridSpan w:val="2"/>
            <w:noWrap w:val="0"/>
            <w:vAlign w:val="center"/>
          </w:tcPr>
          <w:p>
            <w:pPr>
              <w:jc w:val="center"/>
              <w:rPr>
                <w:rFonts w:hint="eastAsia" w:ascii="仿宋_GB2312" w:hAnsi="新宋体"/>
                <w:szCs w:val="21"/>
              </w:rPr>
            </w:pPr>
            <w:r>
              <w:rPr>
                <w:rFonts w:hint="eastAsia" w:ascii="仿宋_GB2312" w:hAnsi="新宋体"/>
                <w:szCs w:val="21"/>
              </w:rPr>
              <w:t>注册资金</w:t>
            </w:r>
          </w:p>
          <w:p>
            <w:pPr>
              <w:jc w:val="center"/>
              <w:rPr>
                <w:rFonts w:hint="eastAsia" w:ascii="仿宋_GB2312" w:hAnsi="新宋体"/>
                <w:szCs w:val="21"/>
              </w:rPr>
            </w:pPr>
            <w:r>
              <w:rPr>
                <w:rFonts w:hint="eastAsia" w:ascii="仿宋_GB2312" w:hAnsi="新宋体"/>
                <w:szCs w:val="21"/>
              </w:rPr>
              <w:t>（万元）</w:t>
            </w:r>
          </w:p>
        </w:tc>
        <w:tc>
          <w:tcPr>
            <w:tcW w:w="1416" w:type="dxa"/>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1525" w:type="dxa"/>
            <w:noWrap w:val="0"/>
            <w:vAlign w:val="center"/>
          </w:tcPr>
          <w:p>
            <w:pPr>
              <w:jc w:val="center"/>
              <w:rPr>
                <w:rFonts w:hint="eastAsia" w:ascii="仿宋_GB2312" w:hAnsi="新宋体"/>
                <w:szCs w:val="21"/>
              </w:rPr>
            </w:pPr>
            <w:r>
              <w:rPr>
                <w:rFonts w:hint="eastAsia" w:ascii="仿宋_GB2312" w:hAnsi="新宋体"/>
                <w:szCs w:val="21"/>
              </w:rPr>
              <w:t>资质等级</w:t>
            </w:r>
          </w:p>
        </w:tc>
        <w:tc>
          <w:tcPr>
            <w:tcW w:w="1527" w:type="dxa"/>
            <w:noWrap w:val="0"/>
            <w:vAlign w:val="top"/>
          </w:tcPr>
          <w:p>
            <w:pPr>
              <w:rPr>
                <w:rFonts w:hint="eastAsia" w:ascii="仿宋_GB2312" w:hAnsi="新宋体"/>
                <w:szCs w:val="21"/>
              </w:rPr>
            </w:pPr>
          </w:p>
        </w:tc>
        <w:tc>
          <w:tcPr>
            <w:tcW w:w="2168" w:type="dxa"/>
            <w:gridSpan w:val="2"/>
            <w:noWrap w:val="0"/>
            <w:vAlign w:val="center"/>
          </w:tcPr>
          <w:p>
            <w:pPr>
              <w:jc w:val="center"/>
              <w:rPr>
                <w:rFonts w:hint="eastAsia" w:ascii="仿宋_GB2312" w:hAnsi="新宋体"/>
                <w:szCs w:val="21"/>
              </w:rPr>
            </w:pPr>
            <w:r>
              <w:rPr>
                <w:rFonts w:hint="eastAsia" w:ascii="仿宋_GB2312" w:hAnsi="新宋体"/>
                <w:szCs w:val="21"/>
              </w:rPr>
              <w:t>证号</w:t>
            </w:r>
          </w:p>
        </w:tc>
        <w:tc>
          <w:tcPr>
            <w:tcW w:w="884" w:type="dxa"/>
            <w:noWrap w:val="0"/>
            <w:vAlign w:val="top"/>
          </w:tcPr>
          <w:p>
            <w:pPr>
              <w:rPr>
                <w:rFonts w:hint="eastAsia" w:ascii="仿宋_GB2312" w:hAnsi="新宋体"/>
                <w:szCs w:val="21"/>
              </w:rPr>
            </w:pPr>
          </w:p>
        </w:tc>
        <w:tc>
          <w:tcPr>
            <w:tcW w:w="1636" w:type="dxa"/>
            <w:gridSpan w:val="2"/>
            <w:noWrap w:val="0"/>
            <w:vAlign w:val="center"/>
          </w:tcPr>
          <w:p>
            <w:pPr>
              <w:jc w:val="center"/>
              <w:rPr>
                <w:rFonts w:hint="eastAsia" w:ascii="仿宋_GB2312" w:hAnsi="新宋体"/>
                <w:szCs w:val="21"/>
              </w:rPr>
            </w:pPr>
            <w:r>
              <w:rPr>
                <w:rFonts w:hint="eastAsia" w:ascii="仿宋_GB2312" w:hAnsi="新宋体"/>
                <w:szCs w:val="21"/>
              </w:rPr>
              <w:t>发证单位</w:t>
            </w:r>
          </w:p>
        </w:tc>
        <w:tc>
          <w:tcPr>
            <w:tcW w:w="1416" w:type="dxa"/>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1525" w:type="dxa"/>
            <w:noWrap w:val="0"/>
            <w:vAlign w:val="center"/>
          </w:tcPr>
          <w:p>
            <w:pPr>
              <w:jc w:val="center"/>
              <w:rPr>
                <w:rFonts w:hint="eastAsia" w:ascii="仿宋_GB2312" w:hAnsi="新宋体"/>
                <w:szCs w:val="21"/>
              </w:rPr>
            </w:pPr>
            <w:r>
              <w:rPr>
                <w:rFonts w:hint="eastAsia" w:ascii="仿宋_GB2312" w:hAnsi="新宋体"/>
                <w:color w:val="000000"/>
                <w:szCs w:val="21"/>
              </w:rPr>
              <w:t>国际质量体系认证</w:t>
            </w:r>
          </w:p>
        </w:tc>
        <w:tc>
          <w:tcPr>
            <w:tcW w:w="1527" w:type="dxa"/>
            <w:noWrap w:val="0"/>
            <w:vAlign w:val="top"/>
          </w:tcPr>
          <w:p>
            <w:pPr>
              <w:rPr>
                <w:rFonts w:hint="eastAsia" w:ascii="仿宋_GB2312" w:hAnsi="新宋体"/>
                <w:szCs w:val="21"/>
              </w:rPr>
            </w:pPr>
          </w:p>
        </w:tc>
        <w:tc>
          <w:tcPr>
            <w:tcW w:w="2168" w:type="dxa"/>
            <w:gridSpan w:val="2"/>
            <w:noWrap w:val="0"/>
            <w:vAlign w:val="center"/>
          </w:tcPr>
          <w:p>
            <w:pPr>
              <w:jc w:val="center"/>
              <w:rPr>
                <w:rFonts w:hint="eastAsia" w:ascii="仿宋_GB2312" w:hAnsi="新宋体"/>
                <w:szCs w:val="21"/>
              </w:rPr>
            </w:pPr>
            <w:r>
              <w:rPr>
                <w:rFonts w:hint="eastAsia" w:ascii="仿宋_GB2312" w:hAnsi="新宋体"/>
                <w:szCs w:val="21"/>
              </w:rPr>
              <w:t>证号</w:t>
            </w:r>
          </w:p>
        </w:tc>
        <w:tc>
          <w:tcPr>
            <w:tcW w:w="884" w:type="dxa"/>
            <w:noWrap w:val="0"/>
            <w:vAlign w:val="top"/>
          </w:tcPr>
          <w:p>
            <w:pPr>
              <w:rPr>
                <w:rFonts w:hint="eastAsia" w:ascii="仿宋_GB2312" w:hAnsi="新宋体"/>
                <w:szCs w:val="21"/>
              </w:rPr>
            </w:pPr>
          </w:p>
        </w:tc>
        <w:tc>
          <w:tcPr>
            <w:tcW w:w="1636" w:type="dxa"/>
            <w:gridSpan w:val="2"/>
            <w:noWrap w:val="0"/>
            <w:vAlign w:val="center"/>
          </w:tcPr>
          <w:p>
            <w:pPr>
              <w:jc w:val="center"/>
              <w:rPr>
                <w:rFonts w:hint="eastAsia" w:ascii="仿宋_GB2312" w:hAnsi="新宋体"/>
                <w:szCs w:val="21"/>
              </w:rPr>
            </w:pPr>
            <w:r>
              <w:rPr>
                <w:rFonts w:hint="eastAsia" w:ascii="仿宋_GB2312" w:hAnsi="新宋体"/>
                <w:szCs w:val="21"/>
              </w:rPr>
              <w:t>发证单位</w:t>
            </w:r>
          </w:p>
        </w:tc>
        <w:tc>
          <w:tcPr>
            <w:tcW w:w="1416" w:type="dxa"/>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vMerge w:val="restart"/>
            <w:noWrap w:val="0"/>
            <w:vAlign w:val="center"/>
          </w:tcPr>
          <w:p>
            <w:pPr>
              <w:jc w:val="center"/>
              <w:rPr>
                <w:rFonts w:hint="eastAsia" w:ascii="仿宋_GB2312" w:hAnsi="新宋体"/>
                <w:szCs w:val="21"/>
              </w:rPr>
            </w:pPr>
            <w:r>
              <w:rPr>
                <w:rFonts w:hint="eastAsia" w:ascii="仿宋_GB2312" w:hAnsi="新宋体"/>
                <w:szCs w:val="21"/>
              </w:rPr>
              <w:t>联系人</w:t>
            </w:r>
          </w:p>
        </w:tc>
        <w:tc>
          <w:tcPr>
            <w:tcW w:w="1527" w:type="dxa"/>
            <w:vMerge w:val="restart"/>
            <w:noWrap w:val="0"/>
            <w:vAlign w:val="center"/>
          </w:tcPr>
          <w:p>
            <w:pPr>
              <w:jc w:val="center"/>
              <w:rPr>
                <w:rFonts w:hint="eastAsia" w:ascii="仿宋_GB2312" w:hAnsi="新宋体"/>
                <w:szCs w:val="21"/>
              </w:rPr>
            </w:pPr>
          </w:p>
        </w:tc>
        <w:tc>
          <w:tcPr>
            <w:tcW w:w="2168" w:type="dxa"/>
            <w:gridSpan w:val="2"/>
            <w:noWrap w:val="0"/>
            <w:vAlign w:val="center"/>
          </w:tcPr>
          <w:p>
            <w:pPr>
              <w:jc w:val="center"/>
              <w:rPr>
                <w:rFonts w:hint="eastAsia" w:ascii="仿宋_GB2312" w:hAnsi="新宋体"/>
                <w:szCs w:val="21"/>
              </w:rPr>
            </w:pPr>
            <w:r>
              <w:rPr>
                <w:rFonts w:hint="eastAsia" w:ascii="仿宋_GB2312" w:hAnsi="新宋体"/>
                <w:szCs w:val="21"/>
              </w:rPr>
              <w:t>电话</w:t>
            </w:r>
          </w:p>
        </w:tc>
        <w:tc>
          <w:tcPr>
            <w:tcW w:w="3936" w:type="dxa"/>
            <w:gridSpan w:val="4"/>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vMerge w:val="continue"/>
            <w:noWrap w:val="0"/>
            <w:vAlign w:val="center"/>
          </w:tcPr>
          <w:p>
            <w:pPr>
              <w:jc w:val="center"/>
              <w:rPr>
                <w:rFonts w:hint="eastAsia" w:ascii="仿宋_GB2312" w:hAnsi="新宋体"/>
                <w:szCs w:val="21"/>
              </w:rPr>
            </w:pPr>
          </w:p>
        </w:tc>
        <w:tc>
          <w:tcPr>
            <w:tcW w:w="1527" w:type="dxa"/>
            <w:vMerge w:val="continue"/>
            <w:noWrap w:val="0"/>
            <w:vAlign w:val="center"/>
          </w:tcPr>
          <w:p>
            <w:pPr>
              <w:jc w:val="center"/>
              <w:rPr>
                <w:rFonts w:hint="eastAsia" w:ascii="仿宋_GB2312" w:hAnsi="新宋体"/>
                <w:szCs w:val="21"/>
              </w:rPr>
            </w:pPr>
          </w:p>
        </w:tc>
        <w:tc>
          <w:tcPr>
            <w:tcW w:w="2168" w:type="dxa"/>
            <w:gridSpan w:val="2"/>
            <w:noWrap w:val="0"/>
            <w:vAlign w:val="center"/>
          </w:tcPr>
          <w:p>
            <w:pPr>
              <w:jc w:val="center"/>
              <w:rPr>
                <w:rFonts w:hint="eastAsia" w:ascii="仿宋_GB2312" w:hAnsi="新宋体"/>
                <w:szCs w:val="21"/>
              </w:rPr>
            </w:pPr>
            <w:r>
              <w:rPr>
                <w:rFonts w:hint="eastAsia" w:ascii="仿宋_GB2312" w:hAnsi="新宋体"/>
                <w:szCs w:val="21"/>
              </w:rPr>
              <w:t>传真</w:t>
            </w:r>
          </w:p>
        </w:tc>
        <w:tc>
          <w:tcPr>
            <w:tcW w:w="3936" w:type="dxa"/>
            <w:gridSpan w:val="4"/>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vMerge w:val="restart"/>
            <w:noWrap w:val="0"/>
            <w:vAlign w:val="center"/>
          </w:tcPr>
          <w:p>
            <w:pPr>
              <w:jc w:val="center"/>
              <w:rPr>
                <w:rFonts w:hint="eastAsia" w:ascii="仿宋_GB2312" w:hAnsi="新宋体"/>
                <w:szCs w:val="21"/>
              </w:rPr>
            </w:pPr>
            <w:r>
              <w:rPr>
                <w:rFonts w:hint="eastAsia" w:ascii="仿宋_GB2312" w:hAnsi="新宋体"/>
                <w:szCs w:val="21"/>
              </w:rPr>
              <w:t>职工概况</w:t>
            </w:r>
          </w:p>
        </w:tc>
        <w:tc>
          <w:tcPr>
            <w:tcW w:w="1527" w:type="dxa"/>
            <w:noWrap w:val="0"/>
            <w:vAlign w:val="center"/>
          </w:tcPr>
          <w:p>
            <w:pPr>
              <w:jc w:val="center"/>
              <w:rPr>
                <w:rFonts w:hint="eastAsia" w:ascii="仿宋_GB2312" w:hAnsi="新宋体"/>
                <w:szCs w:val="21"/>
              </w:rPr>
            </w:pPr>
            <w:r>
              <w:rPr>
                <w:rFonts w:hint="eastAsia" w:ascii="仿宋_GB2312" w:hAnsi="新宋体"/>
                <w:szCs w:val="21"/>
              </w:rPr>
              <w:t>职工总数</w:t>
            </w:r>
          </w:p>
        </w:tc>
        <w:tc>
          <w:tcPr>
            <w:tcW w:w="2168" w:type="dxa"/>
            <w:gridSpan w:val="2"/>
            <w:noWrap w:val="0"/>
            <w:vAlign w:val="center"/>
          </w:tcPr>
          <w:p>
            <w:pPr>
              <w:jc w:val="center"/>
              <w:rPr>
                <w:rFonts w:hint="eastAsia" w:ascii="仿宋_GB2312" w:hAnsi="新宋体"/>
                <w:szCs w:val="21"/>
              </w:rPr>
            </w:pPr>
          </w:p>
        </w:tc>
        <w:tc>
          <w:tcPr>
            <w:tcW w:w="2409" w:type="dxa"/>
            <w:gridSpan w:val="2"/>
            <w:noWrap w:val="0"/>
            <w:vAlign w:val="center"/>
          </w:tcPr>
          <w:p>
            <w:pPr>
              <w:jc w:val="center"/>
              <w:rPr>
                <w:rFonts w:hint="eastAsia" w:ascii="仿宋_GB2312" w:hAnsi="新宋体"/>
                <w:szCs w:val="21"/>
              </w:rPr>
            </w:pPr>
            <w:r>
              <w:rPr>
                <w:rFonts w:hint="eastAsia" w:ascii="仿宋_GB2312" w:hAnsi="新宋体"/>
                <w:szCs w:val="21"/>
              </w:rPr>
              <w:t>其中：技术人员数</w:t>
            </w: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r>
              <w:rPr>
                <w:rFonts w:hint="eastAsia" w:ascii="仿宋_GB2312" w:hAnsi="新宋体"/>
                <w:szCs w:val="21"/>
              </w:rPr>
              <w:t>教授级高工</w:t>
            </w:r>
          </w:p>
        </w:tc>
        <w:tc>
          <w:tcPr>
            <w:tcW w:w="2168" w:type="dxa"/>
            <w:gridSpan w:val="2"/>
            <w:noWrap w:val="0"/>
            <w:vAlign w:val="center"/>
          </w:tcPr>
          <w:p>
            <w:pPr>
              <w:jc w:val="center"/>
              <w:rPr>
                <w:rFonts w:hint="eastAsia" w:ascii="仿宋_GB2312" w:hAnsi="新宋体"/>
                <w:szCs w:val="21"/>
              </w:rPr>
            </w:pPr>
          </w:p>
        </w:tc>
        <w:tc>
          <w:tcPr>
            <w:tcW w:w="2409" w:type="dxa"/>
            <w:gridSpan w:val="2"/>
            <w:noWrap w:val="0"/>
            <w:vAlign w:val="center"/>
          </w:tcPr>
          <w:p>
            <w:pPr>
              <w:jc w:val="center"/>
              <w:rPr>
                <w:rFonts w:hint="eastAsia" w:ascii="仿宋_GB2312" w:hAnsi="新宋体"/>
                <w:szCs w:val="21"/>
              </w:rPr>
            </w:pPr>
            <w:r>
              <w:rPr>
                <w:rFonts w:hint="eastAsia" w:ascii="仿宋_GB2312" w:hAnsi="新宋体"/>
                <w:szCs w:val="21"/>
              </w:rPr>
              <w:t>高工</w:t>
            </w: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r>
              <w:rPr>
                <w:rFonts w:hint="eastAsia" w:ascii="仿宋_GB2312" w:hAnsi="新宋体"/>
                <w:szCs w:val="21"/>
              </w:rPr>
              <w:t>工程师</w:t>
            </w:r>
          </w:p>
        </w:tc>
        <w:tc>
          <w:tcPr>
            <w:tcW w:w="2168" w:type="dxa"/>
            <w:gridSpan w:val="2"/>
            <w:noWrap w:val="0"/>
            <w:vAlign w:val="center"/>
          </w:tcPr>
          <w:p>
            <w:pPr>
              <w:jc w:val="center"/>
              <w:rPr>
                <w:rFonts w:hint="eastAsia" w:ascii="仿宋_GB2312" w:hAnsi="新宋体"/>
                <w:szCs w:val="21"/>
              </w:rPr>
            </w:pPr>
          </w:p>
        </w:tc>
        <w:tc>
          <w:tcPr>
            <w:tcW w:w="2409" w:type="dxa"/>
            <w:gridSpan w:val="2"/>
            <w:noWrap w:val="0"/>
            <w:vAlign w:val="center"/>
          </w:tcPr>
          <w:p>
            <w:pPr>
              <w:jc w:val="center"/>
              <w:rPr>
                <w:rFonts w:hint="eastAsia" w:ascii="仿宋_GB2312" w:hAnsi="新宋体"/>
                <w:szCs w:val="21"/>
              </w:rPr>
            </w:pPr>
            <w:r>
              <w:rPr>
                <w:rFonts w:hint="eastAsia" w:ascii="仿宋_GB2312" w:hAnsi="新宋体"/>
                <w:szCs w:val="21"/>
              </w:rPr>
              <w:t>技工和技术员</w:t>
            </w: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vMerge w:val="continue"/>
            <w:noWrap w:val="0"/>
            <w:vAlign w:val="center"/>
          </w:tcPr>
          <w:p>
            <w:pPr>
              <w:jc w:val="center"/>
              <w:rPr>
                <w:rFonts w:hint="eastAsia" w:ascii="仿宋_GB2312" w:hAnsi="新宋体"/>
                <w:szCs w:val="21"/>
              </w:rPr>
            </w:pPr>
          </w:p>
        </w:tc>
        <w:tc>
          <w:tcPr>
            <w:tcW w:w="7631" w:type="dxa"/>
            <w:gridSpan w:val="7"/>
            <w:noWrap w:val="0"/>
            <w:vAlign w:val="center"/>
          </w:tcPr>
          <w:p>
            <w:pPr>
              <w:jc w:val="center"/>
              <w:rPr>
                <w:rFonts w:hint="eastAsia" w:ascii="仿宋_GB2312" w:hAnsi="新宋体"/>
                <w:szCs w:val="21"/>
              </w:rPr>
            </w:pPr>
            <w:r>
              <w:rPr>
                <w:rFonts w:hint="eastAsia" w:ascii="仿宋_GB2312" w:hAnsi="新宋体"/>
                <w:szCs w:val="21"/>
              </w:rPr>
              <w:t>单位行政和技术负责人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r>
              <w:rPr>
                <w:rFonts w:hint="eastAsia" w:ascii="仿宋_GB2312" w:hAnsi="新宋体"/>
                <w:szCs w:val="21"/>
              </w:rPr>
              <w:t>姓名</w:t>
            </w:r>
          </w:p>
        </w:tc>
        <w:tc>
          <w:tcPr>
            <w:tcW w:w="1525" w:type="dxa"/>
            <w:noWrap w:val="0"/>
            <w:vAlign w:val="center"/>
          </w:tcPr>
          <w:p>
            <w:pPr>
              <w:jc w:val="center"/>
              <w:rPr>
                <w:rFonts w:hint="eastAsia" w:ascii="仿宋_GB2312" w:hAnsi="新宋体"/>
                <w:szCs w:val="21"/>
              </w:rPr>
            </w:pPr>
            <w:r>
              <w:rPr>
                <w:rFonts w:hint="eastAsia" w:ascii="仿宋_GB2312" w:hAnsi="新宋体"/>
                <w:szCs w:val="21"/>
              </w:rPr>
              <w:t>职务及职称</w:t>
            </w:r>
          </w:p>
        </w:tc>
        <w:tc>
          <w:tcPr>
            <w:tcW w:w="1527" w:type="dxa"/>
            <w:gridSpan w:val="2"/>
            <w:noWrap w:val="0"/>
            <w:vAlign w:val="center"/>
          </w:tcPr>
          <w:p>
            <w:pPr>
              <w:jc w:val="center"/>
              <w:rPr>
                <w:rFonts w:hint="eastAsia" w:ascii="仿宋_GB2312" w:hAnsi="新宋体"/>
                <w:szCs w:val="21"/>
              </w:rPr>
            </w:pPr>
            <w:r>
              <w:rPr>
                <w:rFonts w:hint="eastAsia" w:ascii="仿宋_GB2312" w:hAnsi="新宋体"/>
                <w:szCs w:val="21"/>
              </w:rPr>
              <w:t>年龄</w:t>
            </w:r>
          </w:p>
        </w:tc>
        <w:tc>
          <w:tcPr>
            <w:tcW w:w="1525" w:type="dxa"/>
            <w:noWrap w:val="0"/>
            <w:vAlign w:val="center"/>
          </w:tcPr>
          <w:p>
            <w:pPr>
              <w:jc w:val="center"/>
              <w:rPr>
                <w:rFonts w:hint="eastAsia" w:ascii="仿宋_GB2312" w:hAnsi="新宋体"/>
                <w:szCs w:val="21"/>
              </w:rPr>
            </w:pPr>
            <w:r>
              <w:rPr>
                <w:rFonts w:hint="eastAsia" w:ascii="仿宋_GB2312" w:hAnsi="新宋体"/>
                <w:szCs w:val="21"/>
              </w:rPr>
              <w:t>专业</w:t>
            </w:r>
          </w:p>
        </w:tc>
        <w:tc>
          <w:tcPr>
            <w:tcW w:w="1527" w:type="dxa"/>
            <w:gridSpan w:val="2"/>
            <w:noWrap w:val="0"/>
            <w:vAlign w:val="center"/>
          </w:tcPr>
          <w:p>
            <w:pPr>
              <w:jc w:val="center"/>
              <w:rPr>
                <w:rFonts w:hint="eastAsia" w:ascii="仿宋_GB2312" w:hAnsi="新宋体"/>
                <w:szCs w:val="21"/>
              </w:rPr>
            </w:pPr>
            <w:r>
              <w:rPr>
                <w:rFonts w:hint="eastAsia" w:ascii="仿宋_GB2312" w:hAnsi="新宋体"/>
                <w:szCs w:val="21"/>
              </w:rPr>
              <w:t>从业年限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41"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89"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73"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73"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04"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73"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73" w:hRule="atLeast"/>
        </w:trPr>
        <w:tc>
          <w:tcPr>
            <w:tcW w:w="1525" w:type="dxa"/>
            <w:vMerge w:val="continue"/>
            <w:noWrap w:val="0"/>
            <w:vAlign w:val="center"/>
          </w:tcPr>
          <w:p>
            <w:pPr>
              <w:jc w:val="center"/>
              <w:rPr>
                <w:rFonts w:hint="eastAsia" w:ascii="仿宋_GB2312" w:hAnsi="新宋体"/>
                <w:szCs w:val="21"/>
              </w:rPr>
            </w:pPr>
          </w:p>
        </w:tc>
        <w:tc>
          <w:tcPr>
            <w:tcW w:w="1527" w:type="dxa"/>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c>
          <w:tcPr>
            <w:tcW w:w="1525" w:type="dxa"/>
            <w:noWrap w:val="0"/>
            <w:vAlign w:val="center"/>
          </w:tcPr>
          <w:p>
            <w:pPr>
              <w:jc w:val="center"/>
              <w:rPr>
                <w:rFonts w:hint="eastAsia" w:ascii="仿宋_GB2312" w:hAnsi="新宋体"/>
                <w:szCs w:val="21"/>
              </w:rPr>
            </w:pPr>
          </w:p>
        </w:tc>
        <w:tc>
          <w:tcPr>
            <w:tcW w:w="1527" w:type="dxa"/>
            <w:gridSpan w:val="2"/>
            <w:noWrap w:val="0"/>
            <w:vAlign w:val="center"/>
          </w:tcPr>
          <w:p>
            <w:pPr>
              <w:jc w:val="center"/>
              <w:rPr>
                <w:rFonts w:hint="eastAsia" w:ascii="仿宋_GB2312" w:hAnsi="新宋体"/>
                <w:szCs w:val="21"/>
              </w:rPr>
            </w:pPr>
          </w:p>
        </w:tc>
      </w:tr>
    </w:tbl>
    <w:p>
      <w:pPr>
        <w:spacing w:line="480" w:lineRule="auto"/>
        <w:rPr>
          <w:rFonts w:hint="eastAsia" w:ascii="新宋体" w:hAnsi="新宋体" w:eastAsia="新宋体"/>
          <w:b/>
          <w:szCs w:val="21"/>
        </w:rPr>
      </w:pPr>
      <w:r>
        <w:rPr>
          <w:rFonts w:hint="eastAsia" w:ascii="新宋体" w:hAnsi="新宋体" w:eastAsia="新宋体"/>
          <w:b/>
          <w:szCs w:val="21"/>
        </w:rPr>
        <w:t>（</w:t>
      </w:r>
      <w:r>
        <w:rPr>
          <w:rFonts w:ascii="新宋体" w:hAnsi="新宋体" w:eastAsia="新宋体"/>
          <w:b/>
          <w:szCs w:val="21"/>
        </w:rPr>
        <w:t>1</w:t>
      </w:r>
      <w:r>
        <w:rPr>
          <w:rFonts w:hint="eastAsia" w:ascii="新宋体" w:hAnsi="新宋体" w:eastAsia="新宋体"/>
          <w:b/>
          <w:szCs w:val="21"/>
        </w:rPr>
        <w:t>）投标供应商资质证书（复印件）；</w:t>
      </w:r>
    </w:p>
    <w:p>
      <w:pPr>
        <w:rPr>
          <w:rFonts w:hint="eastAsia" w:ascii="新宋体" w:hAnsi="新宋体" w:eastAsia="新宋体"/>
          <w:b/>
          <w:szCs w:val="21"/>
        </w:rPr>
      </w:pPr>
      <w:r>
        <w:rPr>
          <w:rFonts w:hint="eastAsia" w:ascii="新宋体" w:hAnsi="新宋体" w:eastAsia="新宋体"/>
          <w:b/>
          <w:szCs w:val="21"/>
        </w:rPr>
        <w:t>（</w:t>
      </w:r>
      <w:r>
        <w:rPr>
          <w:rFonts w:ascii="新宋体" w:hAnsi="新宋体" w:eastAsia="新宋体"/>
          <w:b/>
          <w:szCs w:val="21"/>
        </w:rPr>
        <w:t>2</w:t>
      </w:r>
      <w:r>
        <w:rPr>
          <w:rFonts w:hint="eastAsia" w:ascii="新宋体" w:hAnsi="新宋体" w:eastAsia="新宋体"/>
          <w:b/>
          <w:szCs w:val="21"/>
        </w:rPr>
        <w:t>）其他：投标供应商认为需提供的相关证书；</w:t>
      </w:r>
    </w:p>
    <w:p>
      <w:pPr>
        <w:spacing w:line="360" w:lineRule="exact"/>
        <w:jc w:val="both"/>
        <w:rPr>
          <w:rFonts w:hint="eastAsia" w:ascii="仿宋_GB2312" w:hAnsi="新宋体"/>
          <w:b/>
          <w:szCs w:val="21"/>
        </w:rPr>
      </w:pPr>
    </w:p>
    <w:p>
      <w:pPr>
        <w:spacing w:line="360" w:lineRule="exact"/>
        <w:jc w:val="both"/>
        <w:rPr>
          <w:rFonts w:ascii="宋体" w:hAnsi="宋体"/>
          <w:b/>
          <w:szCs w:val="21"/>
        </w:rPr>
      </w:pPr>
    </w:p>
    <w:p>
      <w:pPr>
        <w:pStyle w:val="2"/>
        <w:rPr>
          <w:rFonts w:hint="eastAsia" w:ascii="宋体" w:hAnsi="宋体" w:eastAsia="宋体"/>
          <w:color w:val="000000"/>
          <w:sz w:val="22"/>
          <w:szCs w:val="22"/>
        </w:rPr>
      </w:pPr>
    </w:p>
    <w:p>
      <w:pPr>
        <w:pStyle w:val="5"/>
        <w:spacing w:before="120" w:after="120" w:line="360" w:lineRule="auto"/>
        <w:rPr>
          <w:rFonts w:ascii="新宋体" w:hAnsi="新宋体" w:eastAsia="新宋体"/>
          <w:sz w:val="24"/>
          <w:szCs w:val="24"/>
        </w:rPr>
      </w:pPr>
      <w:bookmarkStart w:id="391" w:name="_Toc64913385"/>
      <w:r>
        <w:rPr>
          <w:rFonts w:hint="eastAsia" w:ascii="新宋体" w:hAnsi="新宋体" w:eastAsia="新宋体"/>
          <w:sz w:val="24"/>
          <w:szCs w:val="24"/>
        </w:rPr>
        <w:t xml:space="preserve">附件九 </w:t>
      </w:r>
      <w:r>
        <w:rPr>
          <w:rFonts w:ascii="新宋体" w:hAnsi="新宋体" w:eastAsia="新宋体"/>
          <w:sz w:val="24"/>
          <w:szCs w:val="24"/>
        </w:rPr>
        <w:t xml:space="preserve"> </w:t>
      </w:r>
      <w:r>
        <w:rPr>
          <w:rFonts w:hint="eastAsia"/>
          <w:sz w:val="24"/>
          <w:szCs w:val="24"/>
        </w:rPr>
        <w:t>供应商拟投入人员清单</w:t>
      </w:r>
      <w:bookmarkEnd w:id="391"/>
    </w:p>
    <w:p>
      <w:pPr>
        <w:spacing w:line="360" w:lineRule="exact"/>
        <w:rPr>
          <w:rFonts w:hint="eastAsia" w:ascii="仿宋_GB2312" w:hAnsi="新宋体"/>
          <w:b/>
          <w:szCs w:val="21"/>
        </w:rPr>
      </w:pPr>
      <w:r>
        <w:rPr>
          <w:rFonts w:ascii="仿宋_GB2312" w:hAnsi="新宋体"/>
          <w:b/>
          <w:szCs w:val="21"/>
        </w:rPr>
        <w:t>1</w:t>
      </w:r>
      <w:r>
        <w:rPr>
          <w:rFonts w:hint="eastAsia" w:ascii="仿宋_GB2312" w:hAnsi="新宋体"/>
          <w:b/>
          <w:szCs w:val="21"/>
        </w:rPr>
        <w:t>、项目负责人情况表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4"/>
        <w:gridCol w:w="429"/>
        <w:gridCol w:w="1428"/>
        <w:gridCol w:w="325"/>
        <w:gridCol w:w="1060"/>
        <w:gridCol w:w="468"/>
        <w:gridCol w:w="1612"/>
        <w:gridCol w:w="1733"/>
        <w:gridCol w:w="48"/>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88" w:hRule="atLeast"/>
          <w:jc w:val="center"/>
        </w:trPr>
        <w:tc>
          <w:tcPr>
            <w:tcW w:w="9286" w:type="dxa"/>
            <w:gridSpan w:val="10"/>
            <w:noWrap w:val="0"/>
            <w:vAlign w:val="center"/>
          </w:tcPr>
          <w:p>
            <w:pPr>
              <w:spacing w:line="360" w:lineRule="exact"/>
              <w:jc w:val="center"/>
              <w:rPr>
                <w:rFonts w:hint="eastAsia" w:ascii="仿宋_GB2312" w:hAnsi="新宋体"/>
                <w:szCs w:val="21"/>
              </w:rPr>
            </w:pPr>
            <w:r>
              <w:rPr>
                <w:rFonts w:hint="eastAsia" w:ascii="仿宋_GB2312" w:hAnsi="新宋体"/>
                <w:szCs w:val="21"/>
              </w:rPr>
              <w:t>1、一般情况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1423"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姓   名</w:t>
            </w:r>
          </w:p>
        </w:tc>
        <w:tc>
          <w:tcPr>
            <w:tcW w:w="1753" w:type="dxa"/>
            <w:gridSpan w:val="2"/>
            <w:noWrap w:val="0"/>
            <w:vAlign w:val="center"/>
          </w:tcPr>
          <w:p>
            <w:pPr>
              <w:spacing w:line="360" w:lineRule="exact"/>
              <w:jc w:val="center"/>
              <w:rPr>
                <w:rFonts w:hint="eastAsia" w:ascii="仿宋_GB2312" w:hAnsi="新宋体"/>
                <w:szCs w:val="21"/>
              </w:rPr>
            </w:pPr>
          </w:p>
        </w:tc>
        <w:tc>
          <w:tcPr>
            <w:tcW w:w="1528"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年  龄</w:t>
            </w:r>
          </w:p>
        </w:tc>
        <w:tc>
          <w:tcPr>
            <w:tcW w:w="1612" w:type="dxa"/>
            <w:noWrap w:val="0"/>
            <w:vAlign w:val="center"/>
          </w:tcPr>
          <w:p>
            <w:pPr>
              <w:spacing w:line="360" w:lineRule="exact"/>
              <w:jc w:val="center"/>
              <w:rPr>
                <w:rFonts w:hint="eastAsia" w:ascii="仿宋_GB2312" w:hAnsi="新宋体"/>
                <w:szCs w:val="21"/>
              </w:rPr>
            </w:pPr>
          </w:p>
        </w:tc>
        <w:tc>
          <w:tcPr>
            <w:tcW w:w="1781"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学  历</w:t>
            </w:r>
          </w:p>
        </w:tc>
        <w:tc>
          <w:tcPr>
            <w:tcW w:w="1189" w:type="dxa"/>
            <w:noWrap w:val="0"/>
            <w:vAlign w:val="center"/>
          </w:tcPr>
          <w:p>
            <w:pPr>
              <w:spacing w:line="360" w:lineRule="exact"/>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1423"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毕业学校</w:t>
            </w:r>
          </w:p>
        </w:tc>
        <w:tc>
          <w:tcPr>
            <w:tcW w:w="1753" w:type="dxa"/>
            <w:gridSpan w:val="2"/>
            <w:noWrap w:val="0"/>
            <w:vAlign w:val="center"/>
          </w:tcPr>
          <w:p>
            <w:pPr>
              <w:spacing w:line="360" w:lineRule="exact"/>
              <w:rPr>
                <w:rFonts w:hint="eastAsia" w:ascii="仿宋_GB2312" w:hAnsi="新宋体"/>
                <w:szCs w:val="21"/>
              </w:rPr>
            </w:pPr>
          </w:p>
        </w:tc>
        <w:tc>
          <w:tcPr>
            <w:tcW w:w="1528"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专  业</w:t>
            </w:r>
          </w:p>
        </w:tc>
        <w:tc>
          <w:tcPr>
            <w:tcW w:w="1612" w:type="dxa"/>
            <w:noWrap w:val="0"/>
            <w:vAlign w:val="center"/>
          </w:tcPr>
          <w:p>
            <w:pPr>
              <w:spacing w:line="360" w:lineRule="exact"/>
              <w:jc w:val="center"/>
              <w:rPr>
                <w:rFonts w:hint="eastAsia" w:ascii="仿宋_GB2312" w:hAnsi="新宋体"/>
                <w:szCs w:val="21"/>
              </w:rPr>
            </w:pPr>
          </w:p>
        </w:tc>
        <w:tc>
          <w:tcPr>
            <w:tcW w:w="1781"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职  务</w:t>
            </w:r>
          </w:p>
        </w:tc>
        <w:tc>
          <w:tcPr>
            <w:tcW w:w="1189" w:type="dxa"/>
            <w:noWrap w:val="0"/>
            <w:vAlign w:val="center"/>
          </w:tcPr>
          <w:p>
            <w:pPr>
              <w:spacing w:line="360" w:lineRule="exact"/>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605" w:hRule="exact"/>
          <w:jc w:val="center"/>
        </w:trPr>
        <w:tc>
          <w:tcPr>
            <w:tcW w:w="1423"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职  称</w:t>
            </w:r>
          </w:p>
        </w:tc>
        <w:tc>
          <w:tcPr>
            <w:tcW w:w="1753" w:type="dxa"/>
            <w:gridSpan w:val="2"/>
            <w:noWrap w:val="0"/>
            <w:vAlign w:val="center"/>
          </w:tcPr>
          <w:p>
            <w:pPr>
              <w:spacing w:line="360" w:lineRule="exact"/>
              <w:rPr>
                <w:rFonts w:hint="eastAsia" w:ascii="仿宋_GB2312" w:hAnsi="新宋体"/>
                <w:szCs w:val="21"/>
              </w:rPr>
            </w:pPr>
          </w:p>
        </w:tc>
        <w:tc>
          <w:tcPr>
            <w:tcW w:w="1528"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拟任何职</w:t>
            </w:r>
          </w:p>
        </w:tc>
        <w:tc>
          <w:tcPr>
            <w:tcW w:w="1612" w:type="dxa"/>
            <w:noWrap w:val="0"/>
            <w:vAlign w:val="center"/>
          </w:tcPr>
          <w:p>
            <w:pPr>
              <w:spacing w:line="360" w:lineRule="exact"/>
              <w:jc w:val="center"/>
              <w:rPr>
                <w:rFonts w:hint="eastAsia" w:ascii="仿宋_GB2312" w:hAnsi="新宋体"/>
                <w:szCs w:val="21"/>
              </w:rPr>
            </w:pPr>
          </w:p>
        </w:tc>
        <w:tc>
          <w:tcPr>
            <w:tcW w:w="1781" w:type="dxa"/>
            <w:gridSpan w:val="2"/>
            <w:noWrap w:val="0"/>
            <w:vAlign w:val="center"/>
          </w:tcPr>
          <w:p>
            <w:pPr>
              <w:spacing w:line="280" w:lineRule="exact"/>
              <w:jc w:val="center"/>
              <w:rPr>
                <w:rFonts w:hint="eastAsia" w:ascii="仿宋_GB2312" w:hAnsi="新宋体"/>
                <w:szCs w:val="21"/>
              </w:rPr>
            </w:pPr>
            <w:r>
              <w:rPr>
                <w:rFonts w:hint="eastAsia" w:ascii="仿宋_GB2312" w:hAnsi="新宋体"/>
                <w:szCs w:val="21"/>
              </w:rPr>
              <w:t>参加工作</w:t>
            </w:r>
          </w:p>
          <w:p>
            <w:pPr>
              <w:spacing w:line="280" w:lineRule="exact"/>
              <w:jc w:val="center"/>
              <w:rPr>
                <w:rFonts w:hint="eastAsia" w:ascii="仿宋_GB2312" w:hAnsi="新宋体"/>
                <w:szCs w:val="21"/>
              </w:rPr>
            </w:pPr>
            <w:r>
              <w:rPr>
                <w:rFonts w:hint="eastAsia" w:ascii="仿宋_GB2312" w:hAnsi="新宋体"/>
                <w:szCs w:val="21"/>
              </w:rPr>
              <w:t>时间</w:t>
            </w:r>
          </w:p>
        </w:tc>
        <w:tc>
          <w:tcPr>
            <w:tcW w:w="1189" w:type="dxa"/>
            <w:noWrap w:val="0"/>
            <w:vAlign w:val="center"/>
          </w:tcPr>
          <w:p>
            <w:pPr>
              <w:spacing w:line="360" w:lineRule="exact"/>
              <w:jc w:val="center"/>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9286" w:type="dxa"/>
            <w:gridSpan w:val="10"/>
            <w:noWrap w:val="0"/>
            <w:vAlign w:val="center"/>
          </w:tcPr>
          <w:p>
            <w:pPr>
              <w:spacing w:line="360" w:lineRule="exact"/>
              <w:jc w:val="center"/>
              <w:rPr>
                <w:rFonts w:hint="eastAsia" w:ascii="仿宋_GB2312" w:hAnsi="新宋体"/>
                <w:szCs w:val="21"/>
              </w:rPr>
            </w:pPr>
            <w:r>
              <w:rPr>
                <w:rFonts w:hint="eastAsia" w:ascii="仿宋_GB2312" w:hAnsi="新宋体"/>
                <w:szCs w:val="21"/>
              </w:rPr>
              <w:t>2、个人简历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1423"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时  间</w:t>
            </w:r>
          </w:p>
        </w:tc>
        <w:tc>
          <w:tcPr>
            <w:tcW w:w="7863" w:type="dxa"/>
            <w:gridSpan w:val="8"/>
            <w:noWrap w:val="0"/>
            <w:vAlign w:val="center"/>
          </w:tcPr>
          <w:p>
            <w:pPr>
              <w:spacing w:line="360" w:lineRule="exact"/>
              <w:jc w:val="center"/>
              <w:rPr>
                <w:rFonts w:hint="eastAsia" w:ascii="仿宋_GB2312" w:hAnsi="新宋体"/>
                <w:szCs w:val="21"/>
              </w:rPr>
            </w:pPr>
            <w:r>
              <w:rPr>
                <w:rFonts w:hint="eastAsia" w:ascii="仿宋_GB2312" w:hAnsi="新宋体"/>
                <w:szCs w:val="21"/>
              </w:rPr>
              <w:t>专业工作经历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1423" w:type="dxa"/>
            <w:gridSpan w:val="2"/>
            <w:noWrap w:val="0"/>
            <w:vAlign w:val="center"/>
          </w:tcPr>
          <w:p>
            <w:pPr>
              <w:spacing w:line="360" w:lineRule="exact"/>
              <w:rPr>
                <w:rFonts w:hint="eastAsia" w:ascii="仿宋_GB2312" w:hAnsi="新宋体"/>
                <w:szCs w:val="21"/>
              </w:rPr>
            </w:pPr>
          </w:p>
        </w:tc>
        <w:tc>
          <w:tcPr>
            <w:tcW w:w="7863" w:type="dxa"/>
            <w:gridSpan w:val="8"/>
            <w:noWrap w:val="0"/>
            <w:vAlign w:val="center"/>
          </w:tcPr>
          <w:p>
            <w:pPr>
              <w:spacing w:line="360" w:lineRule="exact"/>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1423" w:type="dxa"/>
            <w:gridSpan w:val="2"/>
            <w:noWrap w:val="0"/>
            <w:vAlign w:val="center"/>
          </w:tcPr>
          <w:p>
            <w:pPr>
              <w:spacing w:line="360" w:lineRule="exact"/>
              <w:rPr>
                <w:rFonts w:hint="eastAsia" w:ascii="仿宋_GB2312" w:hAnsi="新宋体"/>
                <w:szCs w:val="21"/>
              </w:rPr>
            </w:pPr>
          </w:p>
        </w:tc>
        <w:tc>
          <w:tcPr>
            <w:tcW w:w="7863" w:type="dxa"/>
            <w:gridSpan w:val="8"/>
            <w:noWrap w:val="0"/>
            <w:vAlign w:val="center"/>
          </w:tcPr>
          <w:p>
            <w:pPr>
              <w:spacing w:line="360" w:lineRule="exact"/>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9286" w:type="dxa"/>
            <w:gridSpan w:val="10"/>
            <w:noWrap w:val="0"/>
            <w:vAlign w:val="center"/>
          </w:tcPr>
          <w:p>
            <w:pPr>
              <w:spacing w:line="360" w:lineRule="exact"/>
              <w:jc w:val="center"/>
              <w:rPr>
                <w:rFonts w:hint="eastAsia" w:ascii="仿宋_GB2312" w:hAnsi="新宋体"/>
                <w:szCs w:val="21"/>
              </w:rPr>
            </w:pPr>
            <w:r>
              <w:rPr>
                <w:rFonts w:hint="eastAsia" w:ascii="仿宋_GB2312" w:hAnsi="新宋体"/>
                <w:szCs w:val="21"/>
              </w:rPr>
              <w:t xml:space="preserve">                    3、近年负责类似工程项目业绩情况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758" w:hRule="exact"/>
          <w:jc w:val="center"/>
        </w:trPr>
        <w:tc>
          <w:tcPr>
            <w:tcW w:w="994" w:type="dxa"/>
            <w:noWrap w:val="0"/>
            <w:vAlign w:val="center"/>
          </w:tcPr>
          <w:p>
            <w:pPr>
              <w:spacing w:line="360" w:lineRule="exact"/>
              <w:jc w:val="center"/>
              <w:rPr>
                <w:rFonts w:hint="eastAsia" w:ascii="仿宋_GB2312" w:hAnsi="新宋体"/>
                <w:szCs w:val="21"/>
              </w:rPr>
            </w:pPr>
            <w:r>
              <w:rPr>
                <w:rFonts w:hint="eastAsia" w:ascii="仿宋_GB2312" w:hAnsi="新宋体"/>
                <w:szCs w:val="21"/>
              </w:rPr>
              <w:t>序号</w:t>
            </w:r>
          </w:p>
        </w:tc>
        <w:tc>
          <w:tcPr>
            <w:tcW w:w="1857" w:type="dxa"/>
            <w:gridSpan w:val="2"/>
            <w:noWrap w:val="0"/>
            <w:vAlign w:val="center"/>
          </w:tcPr>
          <w:p>
            <w:pPr>
              <w:spacing w:line="360" w:lineRule="exact"/>
              <w:rPr>
                <w:rFonts w:hint="eastAsia" w:ascii="仿宋_GB2312" w:hAnsi="新宋体"/>
                <w:szCs w:val="21"/>
              </w:rPr>
            </w:pPr>
            <w:r>
              <w:rPr>
                <w:rFonts w:hint="eastAsia" w:ascii="仿宋_GB2312" w:hAnsi="新宋体"/>
                <w:szCs w:val="21"/>
              </w:rPr>
              <w:t>项目名称</w:t>
            </w:r>
          </w:p>
        </w:tc>
        <w:tc>
          <w:tcPr>
            <w:tcW w:w="1385" w:type="dxa"/>
            <w:gridSpan w:val="2"/>
            <w:noWrap w:val="0"/>
            <w:vAlign w:val="center"/>
          </w:tcPr>
          <w:p>
            <w:pPr>
              <w:spacing w:line="360" w:lineRule="exact"/>
              <w:rPr>
                <w:rFonts w:hint="eastAsia" w:ascii="仿宋_GB2312" w:hAnsi="新宋体"/>
                <w:szCs w:val="21"/>
              </w:rPr>
            </w:pPr>
            <w:r>
              <w:rPr>
                <w:rFonts w:hint="eastAsia" w:ascii="仿宋_GB2312" w:hAnsi="新宋体"/>
                <w:szCs w:val="21"/>
              </w:rPr>
              <w:t>该项目中任何职</w:t>
            </w:r>
          </w:p>
        </w:tc>
        <w:tc>
          <w:tcPr>
            <w:tcW w:w="2080" w:type="dxa"/>
            <w:gridSpan w:val="2"/>
            <w:noWrap w:val="0"/>
            <w:vAlign w:val="center"/>
          </w:tcPr>
          <w:p>
            <w:pPr>
              <w:spacing w:line="360" w:lineRule="exact"/>
              <w:rPr>
                <w:rFonts w:hint="eastAsia" w:ascii="仿宋_GB2312" w:hAnsi="新宋体"/>
                <w:szCs w:val="21"/>
              </w:rPr>
            </w:pPr>
            <w:r>
              <w:rPr>
                <w:rFonts w:hint="eastAsia" w:ascii="仿宋_GB2312" w:hAnsi="新宋体"/>
                <w:szCs w:val="21"/>
              </w:rPr>
              <w:t>合同签订时间</w:t>
            </w:r>
          </w:p>
        </w:tc>
        <w:tc>
          <w:tcPr>
            <w:tcW w:w="1733" w:type="dxa"/>
            <w:noWrap w:val="0"/>
            <w:vAlign w:val="center"/>
          </w:tcPr>
          <w:p>
            <w:pPr>
              <w:spacing w:line="360" w:lineRule="exact"/>
              <w:jc w:val="center"/>
              <w:rPr>
                <w:rFonts w:hint="eastAsia" w:ascii="仿宋_GB2312" w:hAnsi="新宋体"/>
                <w:szCs w:val="21"/>
              </w:rPr>
            </w:pPr>
            <w:r>
              <w:rPr>
                <w:rFonts w:hint="eastAsia" w:ascii="仿宋_GB2312" w:hAnsi="新宋体"/>
                <w:szCs w:val="21"/>
              </w:rPr>
              <w:t>合同金额</w:t>
            </w:r>
          </w:p>
        </w:tc>
        <w:tc>
          <w:tcPr>
            <w:tcW w:w="1237" w:type="dxa"/>
            <w:gridSpan w:val="2"/>
            <w:noWrap w:val="0"/>
            <w:vAlign w:val="center"/>
          </w:tcPr>
          <w:p>
            <w:pPr>
              <w:spacing w:line="360" w:lineRule="exact"/>
              <w:jc w:val="center"/>
              <w:rPr>
                <w:rFonts w:hint="eastAsia" w:ascii="仿宋_GB2312" w:hAnsi="新宋体"/>
                <w:szCs w:val="21"/>
              </w:rPr>
            </w:pPr>
            <w:r>
              <w:rPr>
                <w:rFonts w:hint="eastAsia" w:ascii="仿宋_GB2312" w:hAnsi="新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994" w:type="dxa"/>
            <w:noWrap w:val="0"/>
            <w:vAlign w:val="center"/>
          </w:tcPr>
          <w:p>
            <w:pPr>
              <w:spacing w:line="360" w:lineRule="exact"/>
              <w:rPr>
                <w:rFonts w:hint="eastAsia" w:ascii="仿宋_GB2312" w:hAnsi="新宋体"/>
                <w:szCs w:val="21"/>
              </w:rPr>
            </w:pPr>
          </w:p>
        </w:tc>
        <w:tc>
          <w:tcPr>
            <w:tcW w:w="1857" w:type="dxa"/>
            <w:gridSpan w:val="2"/>
            <w:noWrap w:val="0"/>
            <w:vAlign w:val="center"/>
          </w:tcPr>
          <w:p>
            <w:pPr>
              <w:spacing w:line="360" w:lineRule="exact"/>
              <w:rPr>
                <w:rFonts w:hint="eastAsia" w:ascii="仿宋_GB2312" w:hAnsi="新宋体"/>
                <w:szCs w:val="21"/>
              </w:rPr>
            </w:pPr>
          </w:p>
        </w:tc>
        <w:tc>
          <w:tcPr>
            <w:tcW w:w="1385" w:type="dxa"/>
            <w:gridSpan w:val="2"/>
            <w:noWrap w:val="0"/>
            <w:vAlign w:val="center"/>
          </w:tcPr>
          <w:p>
            <w:pPr>
              <w:spacing w:line="360" w:lineRule="exact"/>
              <w:rPr>
                <w:rFonts w:hint="eastAsia" w:ascii="仿宋_GB2312" w:hAnsi="新宋体"/>
                <w:szCs w:val="21"/>
              </w:rPr>
            </w:pPr>
          </w:p>
        </w:tc>
        <w:tc>
          <w:tcPr>
            <w:tcW w:w="2080" w:type="dxa"/>
            <w:gridSpan w:val="2"/>
            <w:noWrap w:val="0"/>
            <w:vAlign w:val="center"/>
          </w:tcPr>
          <w:p>
            <w:pPr>
              <w:spacing w:line="360" w:lineRule="exact"/>
              <w:rPr>
                <w:rFonts w:hint="eastAsia" w:ascii="仿宋_GB2312" w:hAnsi="新宋体"/>
                <w:szCs w:val="21"/>
              </w:rPr>
            </w:pPr>
          </w:p>
        </w:tc>
        <w:tc>
          <w:tcPr>
            <w:tcW w:w="1733" w:type="dxa"/>
            <w:noWrap w:val="0"/>
            <w:vAlign w:val="center"/>
          </w:tcPr>
          <w:p>
            <w:pPr>
              <w:spacing w:line="360" w:lineRule="exact"/>
              <w:rPr>
                <w:rFonts w:hint="eastAsia" w:ascii="仿宋_GB2312" w:hAnsi="新宋体"/>
                <w:szCs w:val="21"/>
              </w:rPr>
            </w:pPr>
          </w:p>
        </w:tc>
        <w:tc>
          <w:tcPr>
            <w:tcW w:w="1237" w:type="dxa"/>
            <w:gridSpan w:val="2"/>
            <w:noWrap w:val="0"/>
            <w:vAlign w:val="center"/>
          </w:tcPr>
          <w:p>
            <w:pPr>
              <w:spacing w:line="360" w:lineRule="exact"/>
              <w:rPr>
                <w:rFonts w:hint="eastAsia" w:ascii="仿宋_GB2312" w:hAnsi="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74" w:hRule="exact"/>
          <w:jc w:val="center"/>
        </w:trPr>
        <w:tc>
          <w:tcPr>
            <w:tcW w:w="994" w:type="dxa"/>
            <w:noWrap w:val="0"/>
            <w:vAlign w:val="center"/>
          </w:tcPr>
          <w:p>
            <w:pPr>
              <w:spacing w:line="360" w:lineRule="exact"/>
              <w:rPr>
                <w:rFonts w:hint="eastAsia" w:ascii="仿宋_GB2312" w:hAnsi="新宋体"/>
                <w:szCs w:val="21"/>
              </w:rPr>
            </w:pPr>
          </w:p>
        </w:tc>
        <w:tc>
          <w:tcPr>
            <w:tcW w:w="1857" w:type="dxa"/>
            <w:gridSpan w:val="2"/>
            <w:noWrap w:val="0"/>
            <w:vAlign w:val="center"/>
          </w:tcPr>
          <w:p>
            <w:pPr>
              <w:spacing w:line="360" w:lineRule="exact"/>
              <w:rPr>
                <w:rFonts w:hint="eastAsia" w:ascii="仿宋_GB2312" w:hAnsi="新宋体"/>
                <w:szCs w:val="21"/>
              </w:rPr>
            </w:pPr>
          </w:p>
        </w:tc>
        <w:tc>
          <w:tcPr>
            <w:tcW w:w="1385" w:type="dxa"/>
            <w:gridSpan w:val="2"/>
            <w:noWrap w:val="0"/>
            <w:vAlign w:val="center"/>
          </w:tcPr>
          <w:p>
            <w:pPr>
              <w:spacing w:line="360" w:lineRule="exact"/>
              <w:rPr>
                <w:rFonts w:hint="eastAsia" w:ascii="仿宋_GB2312" w:hAnsi="新宋体"/>
                <w:szCs w:val="21"/>
              </w:rPr>
            </w:pPr>
          </w:p>
        </w:tc>
        <w:tc>
          <w:tcPr>
            <w:tcW w:w="2080" w:type="dxa"/>
            <w:gridSpan w:val="2"/>
            <w:noWrap w:val="0"/>
            <w:vAlign w:val="center"/>
          </w:tcPr>
          <w:p>
            <w:pPr>
              <w:spacing w:line="360" w:lineRule="exact"/>
              <w:rPr>
                <w:rFonts w:hint="eastAsia" w:ascii="仿宋_GB2312" w:hAnsi="新宋体"/>
                <w:szCs w:val="21"/>
              </w:rPr>
            </w:pPr>
          </w:p>
        </w:tc>
        <w:tc>
          <w:tcPr>
            <w:tcW w:w="1733" w:type="dxa"/>
            <w:noWrap w:val="0"/>
            <w:vAlign w:val="center"/>
          </w:tcPr>
          <w:p>
            <w:pPr>
              <w:spacing w:line="360" w:lineRule="exact"/>
              <w:rPr>
                <w:rFonts w:hint="eastAsia" w:ascii="仿宋_GB2312" w:hAnsi="新宋体"/>
                <w:szCs w:val="21"/>
              </w:rPr>
            </w:pPr>
          </w:p>
        </w:tc>
        <w:tc>
          <w:tcPr>
            <w:tcW w:w="1237" w:type="dxa"/>
            <w:gridSpan w:val="2"/>
            <w:noWrap w:val="0"/>
            <w:vAlign w:val="center"/>
          </w:tcPr>
          <w:p>
            <w:pPr>
              <w:spacing w:line="360" w:lineRule="exact"/>
              <w:rPr>
                <w:rFonts w:hint="eastAsia" w:ascii="仿宋_GB2312" w:hAnsi="新宋体"/>
                <w:szCs w:val="21"/>
              </w:rPr>
            </w:pPr>
          </w:p>
        </w:tc>
      </w:tr>
    </w:tbl>
    <w:p>
      <w:pPr>
        <w:spacing w:line="360" w:lineRule="exact"/>
        <w:ind w:firstLine="450"/>
        <w:rPr>
          <w:rFonts w:hint="eastAsia" w:ascii="仿宋_GB2312" w:hAnsi="新宋体"/>
          <w:szCs w:val="21"/>
        </w:rPr>
      </w:pPr>
      <w:r>
        <w:rPr>
          <w:rFonts w:hint="eastAsia" w:ascii="仿宋_GB2312" w:hAnsi="新宋体"/>
          <w:szCs w:val="21"/>
        </w:rPr>
        <w:t>注：本表可在不改变格式的情况下根据具体需要自行增减；</w:t>
      </w:r>
    </w:p>
    <w:p>
      <w:pPr>
        <w:spacing w:line="360" w:lineRule="exact"/>
        <w:ind w:firstLine="450"/>
        <w:rPr>
          <w:rFonts w:hint="eastAsia" w:ascii="仿宋_GB2312" w:hAnsi="新宋体"/>
          <w:szCs w:val="21"/>
        </w:rPr>
      </w:pPr>
      <w:r>
        <w:rPr>
          <w:rFonts w:hint="eastAsia" w:ascii="仿宋_GB2312" w:hAnsi="新宋体"/>
          <w:szCs w:val="21"/>
        </w:rPr>
        <w:t>1、</w:t>
      </w:r>
      <w:r>
        <w:rPr>
          <w:rFonts w:hint="eastAsia"/>
        </w:rPr>
        <w:t>本表中项目负责人有资格证书的需随表提交职称、资格证书，类似执业经历需提供合同（合同上不能体现人员姓名的，另提供业主证明，否则不予计分）。证明材料扫描件加盖公章。</w:t>
      </w:r>
      <w:r>
        <w:rPr>
          <w:rFonts w:hint="eastAsia" w:ascii="仿宋_GB2312" w:hAnsi="新宋体"/>
          <w:szCs w:val="21"/>
        </w:rPr>
        <w:t>；</w:t>
      </w:r>
    </w:p>
    <w:p>
      <w:pPr>
        <w:spacing w:line="360" w:lineRule="exact"/>
        <w:ind w:firstLine="450"/>
        <w:rPr>
          <w:rFonts w:ascii="仿宋_GB2312"/>
          <w:szCs w:val="21"/>
        </w:rPr>
      </w:pPr>
      <w:r>
        <w:rPr>
          <w:rFonts w:hint="eastAsia" w:ascii="仿宋_GB2312"/>
          <w:szCs w:val="21"/>
        </w:rPr>
        <w:t>2、</w:t>
      </w:r>
      <w:r>
        <w:rPr>
          <w:rFonts w:hint="eastAsia"/>
        </w:rPr>
        <w:t>一旦我单位中标，将实行项目经理（负责人）负责制，我方保证并配备上述项目管理机构。上述填报内容真实，若不真实，愿按有关规定接受处理。</w:t>
      </w:r>
    </w:p>
    <w:p>
      <w:pPr>
        <w:spacing w:line="360" w:lineRule="exact"/>
        <w:ind w:firstLine="450"/>
        <w:rPr>
          <w:rFonts w:hint="eastAsia" w:ascii="仿宋_GB2312" w:hAnsi="新宋体"/>
          <w:szCs w:val="21"/>
        </w:rPr>
      </w:pPr>
      <w:r>
        <w:rPr>
          <w:rFonts w:hint="eastAsia" w:ascii="仿宋_GB2312"/>
          <w:szCs w:val="21"/>
        </w:rPr>
        <w:t>3、以上的人员应是公司正式在编人员（</w:t>
      </w:r>
      <w:r>
        <w:rPr>
          <w:rFonts w:hint="eastAsia" w:ascii="宋体" w:hAnsi="宋体"/>
          <w:bCs/>
          <w:color w:val="000000"/>
          <w:szCs w:val="21"/>
        </w:rPr>
        <w:t>须提供相应的近期的社保证明或劳务合同或其他相关证明材料等复印件加盖有效公章，如有其他职称证书的，需提供相关证明材料</w:t>
      </w:r>
      <w:r>
        <w:rPr>
          <w:rFonts w:hint="eastAsia" w:ascii="仿宋_GB2312"/>
          <w:szCs w:val="21"/>
        </w:rPr>
        <w:t>）。</w:t>
      </w:r>
    </w:p>
    <w:p>
      <w:pPr>
        <w:spacing w:line="340" w:lineRule="exact"/>
        <w:ind w:firstLine="5670" w:firstLineChars="2700"/>
        <w:rPr>
          <w:rFonts w:ascii="宋体" w:hAnsi="宋体" w:cs="Arial Unicode MS"/>
        </w:rPr>
      </w:pPr>
    </w:p>
    <w:p>
      <w:pPr>
        <w:pStyle w:val="2"/>
        <w:rPr>
          <w:rFonts w:ascii="宋体" w:hAnsi="宋体" w:eastAsia="宋体"/>
          <w:color w:val="000000"/>
          <w:sz w:val="22"/>
          <w:szCs w:val="22"/>
        </w:rPr>
      </w:pPr>
    </w:p>
    <w:p>
      <w:pPr>
        <w:pStyle w:val="2"/>
        <w:rPr>
          <w:rFonts w:hint="eastAsia" w:ascii="宋体" w:hAnsi="宋体" w:eastAsia="宋体"/>
          <w:color w:val="000000"/>
          <w:sz w:val="22"/>
          <w:szCs w:val="22"/>
        </w:rPr>
      </w:pPr>
    </w:p>
    <w:p>
      <w:pPr>
        <w:spacing w:line="500" w:lineRule="exact"/>
        <w:ind w:firstLine="411" w:firstLineChars="196"/>
        <w:rPr>
          <w:rFonts w:ascii="Arial" w:hAnsi="Arial"/>
        </w:rPr>
      </w:pPr>
    </w:p>
    <w:p>
      <w:pPr>
        <w:spacing w:line="500" w:lineRule="exact"/>
        <w:ind w:firstLine="411" w:firstLineChars="196"/>
        <w:rPr>
          <w:rFonts w:ascii="Arial" w:hAnsi="Arial"/>
        </w:rPr>
      </w:pPr>
    </w:p>
    <w:p>
      <w:pPr>
        <w:spacing w:line="500" w:lineRule="exact"/>
        <w:ind w:firstLine="411" w:firstLineChars="196"/>
        <w:rPr>
          <w:rFonts w:ascii="Arial" w:hAnsi="Arial"/>
        </w:rPr>
      </w:pPr>
    </w:p>
    <w:p>
      <w:pPr>
        <w:spacing w:line="500" w:lineRule="exact"/>
        <w:ind w:firstLine="411" w:firstLineChars="196"/>
      </w:pPr>
    </w:p>
    <w:p>
      <w:pPr>
        <w:pStyle w:val="2"/>
        <w:rPr>
          <w:rFonts w:hint="eastAsia" w:ascii="宋体" w:hAnsi="宋体" w:eastAsia="宋体"/>
          <w:color w:val="000000"/>
          <w:sz w:val="22"/>
          <w:szCs w:val="22"/>
        </w:rPr>
      </w:pPr>
    </w:p>
    <w:p>
      <w:pPr>
        <w:spacing w:line="360" w:lineRule="exact"/>
        <w:rPr>
          <w:rFonts w:hint="eastAsia" w:ascii="仿宋_GB2312" w:hAnsi="新宋体"/>
          <w:b/>
          <w:szCs w:val="21"/>
        </w:rPr>
      </w:pPr>
      <w:r>
        <w:rPr>
          <w:rFonts w:ascii="仿宋_GB2312" w:hAnsi="新宋体"/>
          <w:b/>
          <w:szCs w:val="21"/>
        </w:rPr>
        <w:t>2</w:t>
      </w:r>
      <w:r>
        <w:rPr>
          <w:rFonts w:hint="eastAsia" w:ascii="仿宋_GB2312" w:hAnsi="新宋体"/>
          <w:b/>
          <w:szCs w:val="21"/>
        </w:rPr>
        <w:t>、岗位员工配置计划表</w:t>
      </w:r>
    </w:p>
    <w:p>
      <w:pPr>
        <w:spacing w:line="360" w:lineRule="exact"/>
        <w:jc w:val="center"/>
        <w:rPr>
          <w:rFonts w:hint="eastAsia" w:ascii="仿宋_GB2312" w:hAnsi="新宋体"/>
          <w:szCs w:val="21"/>
        </w:rPr>
      </w:pP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138"/>
        <w:gridCol w:w="709"/>
        <w:gridCol w:w="739"/>
        <w:gridCol w:w="739"/>
        <w:gridCol w:w="925"/>
        <w:gridCol w:w="925"/>
        <w:gridCol w:w="1109"/>
        <w:gridCol w:w="18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姓名</w:t>
            </w:r>
          </w:p>
        </w:tc>
        <w:tc>
          <w:tcPr>
            <w:tcW w:w="1138"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本项目</w:t>
            </w:r>
          </w:p>
          <w:p>
            <w:pPr>
              <w:adjustRightInd w:val="0"/>
              <w:snapToGrid w:val="0"/>
              <w:spacing w:line="340" w:lineRule="exact"/>
              <w:jc w:val="center"/>
              <w:rPr>
                <w:rFonts w:hint="eastAsia" w:ascii="宋体" w:hAnsi="宋体"/>
                <w:szCs w:val="21"/>
              </w:rPr>
            </w:pPr>
            <w:r>
              <w:rPr>
                <w:rFonts w:hint="eastAsia" w:ascii="宋体" w:hAnsi="宋体"/>
                <w:szCs w:val="21"/>
              </w:rPr>
              <w:t>拟任岗位</w:t>
            </w:r>
          </w:p>
        </w:tc>
        <w:tc>
          <w:tcPr>
            <w:tcW w:w="709"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年龄</w:t>
            </w:r>
          </w:p>
        </w:tc>
        <w:tc>
          <w:tcPr>
            <w:tcW w:w="739"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性别</w:t>
            </w:r>
          </w:p>
        </w:tc>
        <w:tc>
          <w:tcPr>
            <w:tcW w:w="739"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专业</w:t>
            </w:r>
          </w:p>
          <w:p>
            <w:pPr>
              <w:adjustRightInd w:val="0"/>
              <w:snapToGrid w:val="0"/>
              <w:spacing w:line="340" w:lineRule="exact"/>
              <w:jc w:val="center"/>
              <w:rPr>
                <w:rFonts w:hint="eastAsia" w:ascii="宋体" w:hAnsi="宋体"/>
                <w:szCs w:val="21"/>
              </w:rPr>
            </w:pPr>
            <w:r>
              <w:rPr>
                <w:rFonts w:hint="eastAsia" w:ascii="宋体" w:hAnsi="宋体"/>
                <w:szCs w:val="21"/>
              </w:rPr>
              <w:t>学历</w:t>
            </w:r>
          </w:p>
        </w:tc>
        <w:tc>
          <w:tcPr>
            <w:tcW w:w="925"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专业</w:t>
            </w:r>
          </w:p>
          <w:p>
            <w:pPr>
              <w:adjustRightInd w:val="0"/>
              <w:snapToGrid w:val="0"/>
              <w:spacing w:line="340" w:lineRule="exact"/>
              <w:jc w:val="center"/>
              <w:rPr>
                <w:rFonts w:hint="eastAsia" w:ascii="宋体" w:hAnsi="宋体"/>
                <w:szCs w:val="21"/>
              </w:rPr>
            </w:pPr>
            <w:r>
              <w:rPr>
                <w:rFonts w:hint="eastAsia" w:ascii="宋体" w:hAnsi="宋体"/>
                <w:szCs w:val="21"/>
              </w:rPr>
              <w:t>年限</w:t>
            </w:r>
          </w:p>
        </w:tc>
        <w:tc>
          <w:tcPr>
            <w:tcW w:w="925"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职称</w:t>
            </w:r>
          </w:p>
        </w:tc>
        <w:tc>
          <w:tcPr>
            <w:tcW w:w="1109"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安排上</w:t>
            </w:r>
          </w:p>
          <w:p>
            <w:pPr>
              <w:adjustRightInd w:val="0"/>
              <w:snapToGrid w:val="0"/>
              <w:spacing w:line="340" w:lineRule="exact"/>
              <w:jc w:val="center"/>
              <w:rPr>
                <w:rFonts w:hint="eastAsia" w:ascii="宋体" w:hAnsi="宋体"/>
                <w:szCs w:val="21"/>
              </w:rPr>
            </w:pPr>
            <w:r>
              <w:rPr>
                <w:rFonts w:hint="eastAsia" w:ascii="宋体" w:hAnsi="宋体"/>
                <w:szCs w:val="21"/>
              </w:rPr>
              <w:t>岗的起</w:t>
            </w:r>
          </w:p>
          <w:p>
            <w:pPr>
              <w:adjustRightInd w:val="0"/>
              <w:snapToGrid w:val="0"/>
              <w:spacing w:line="340" w:lineRule="exact"/>
              <w:jc w:val="center"/>
              <w:rPr>
                <w:rFonts w:hint="eastAsia" w:ascii="宋体" w:hAnsi="宋体"/>
                <w:szCs w:val="21"/>
              </w:rPr>
            </w:pPr>
            <w:r>
              <w:rPr>
                <w:rFonts w:hint="eastAsia" w:ascii="宋体" w:hAnsi="宋体"/>
                <w:szCs w:val="21"/>
              </w:rPr>
              <w:t>止时间</w:t>
            </w:r>
          </w:p>
        </w:tc>
        <w:tc>
          <w:tcPr>
            <w:tcW w:w="1820" w:type="dxa"/>
            <w:noWrap w:val="0"/>
            <w:vAlign w:val="center"/>
          </w:tcPr>
          <w:p>
            <w:pPr>
              <w:adjustRightInd w:val="0"/>
              <w:snapToGrid w:val="0"/>
              <w:spacing w:line="340" w:lineRule="exact"/>
              <w:jc w:val="center"/>
              <w:rPr>
                <w:rFonts w:hint="eastAsia" w:ascii="宋体" w:hAnsi="宋体"/>
                <w:szCs w:val="21"/>
              </w:rPr>
            </w:pPr>
            <w:r>
              <w:rPr>
                <w:rFonts w:hint="eastAsia" w:ascii="宋体" w:hAnsi="宋体"/>
                <w:szCs w:val="21"/>
              </w:rPr>
              <w:t>类似经历、业绩情况（另附简历）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p>
        </w:tc>
        <w:tc>
          <w:tcPr>
            <w:tcW w:w="1138" w:type="dxa"/>
            <w:noWrap w:val="0"/>
            <w:vAlign w:val="center"/>
          </w:tcPr>
          <w:p>
            <w:pPr>
              <w:adjustRightInd w:val="0"/>
              <w:snapToGrid w:val="0"/>
              <w:spacing w:line="340" w:lineRule="exact"/>
              <w:jc w:val="center"/>
              <w:rPr>
                <w:rFonts w:hint="eastAsia" w:ascii="宋体" w:hAnsi="宋体"/>
                <w:szCs w:val="21"/>
              </w:rPr>
            </w:pPr>
          </w:p>
        </w:tc>
        <w:tc>
          <w:tcPr>
            <w:tcW w:w="70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1109" w:type="dxa"/>
            <w:noWrap w:val="0"/>
            <w:vAlign w:val="center"/>
          </w:tcPr>
          <w:p>
            <w:pPr>
              <w:adjustRightInd w:val="0"/>
              <w:snapToGrid w:val="0"/>
              <w:spacing w:line="340" w:lineRule="exact"/>
              <w:jc w:val="center"/>
              <w:rPr>
                <w:rFonts w:hint="eastAsia" w:ascii="宋体" w:hAnsi="宋体"/>
                <w:szCs w:val="21"/>
              </w:rPr>
            </w:pPr>
          </w:p>
        </w:tc>
        <w:tc>
          <w:tcPr>
            <w:tcW w:w="1820" w:type="dxa"/>
            <w:noWrap w:val="0"/>
            <w:vAlign w:val="center"/>
          </w:tcPr>
          <w:p>
            <w:pPr>
              <w:adjustRightInd w:val="0"/>
              <w:snapToGrid w:val="0"/>
              <w:spacing w:line="340" w:lineRule="exact"/>
              <w:jc w:val="center"/>
              <w:rPr>
                <w:rFonts w:hint="eastAsia"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p>
        </w:tc>
        <w:tc>
          <w:tcPr>
            <w:tcW w:w="1138" w:type="dxa"/>
            <w:noWrap w:val="0"/>
            <w:vAlign w:val="center"/>
          </w:tcPr>
          <w:p>
            <w:pPr>
              <w:adjustRightInd w:val="0"/>
              <w:snapToGrid w:val="0"/>
              <w:spacing w:line="340" w:lineRule="exact"/>
              <w:jc w:val="center"/>
              <w:rPr>
                <w:rFonts w:hint="eastAsia" w:ascii="宋体" w:hAnsi="宋体"/>
                <w:szCs w:val="21"/>
              </w:rPr>
            </w:pPr>
          </w:p>
        </w:tc>
        <w:tc>
          <w:tcPr>
            <w:tcW w:w="70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1109" w:type="dxa"/>
            <w:noWrap w:val="0"/>
            <w:vAlign w:val="center"/>
          </w:tcPr>
          <w:p>
            <w:pPr>
              <w:adjustRightInd w:val="0"/>
              <w:snapToGrid w:val="0"/>
              <w:spacing w:line="340" w:lineRule="exact"/>
              <w:jc w:val="center"/>
              <w:rPr>
                <w:rFonts w:hint="eastAsia" w:ascii="宋体" w:hAnsi="宋体"/>
                <w:szCs w:val="21"/>
              </w:rPr>
            </w:pPr>
          </w:p>
        </w:tc>
        <w:tc>
          <w:tcPr>
            <w:tcW w:w="1820" w:type="dxa"/>
            <w:noWrap w:val="0"/>
            <w:vAlign w:val="center"/>
          </w:tcPr>
          <w:p>
            <w:pPr>
              <w:adjustRightInd w:val="0"/>
              <w:snapToGrid w:val="0"/>
              <w:spacing w:line="340" w:lineRule="exact"/>
              <w:jc w:val="center"/>
              <w:rPr>
                <w:rFonts w:hint="eastAsia"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p>
        </w:tc>
        <w:tc>
          <w:tcPr>
            <w:tcW w:w="1138" w:type="dxa"/>
            <w:noWrap w:val="0"/>
            <w:vAlign w:val="center"/>
          </w:tcPr>
          <w:p>
            <w:pPr>
              <w:adjustRightInd w:val="0"/>
              <w:snapToGrid w:val="0"/>
              <w:spacing w:line="340" w:lineRule="exact"/>
              <w:jc w:val="center"/>
              <w:rPr>
                <w:rFonts w:hint="eastAsia" w:ascii="宋体" w:hAnsi="宋体"/>
                <w:szCs w:val="21"/>
              </w:rPr>
            </w:pPr>
          </w:p>
        </w:tc>
        <w:tc>
          <w:tcPr>
            <w:tcW w:w="70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1109" w:type="dxa"/>
            <w:noWrap w:val="0"/>
            <w:vAlign w:val="center"/>
          </w:tcPr>
          <w:p>
            <w:pPr>
              <w:adjustRightInd w:val="0"/>
              <w:snapToGrid w:val="0"/>
              <w:spacing w:line="340" w:lineRule="exact"/>
              <w:jc w:val="center"/>
              <w:rPr>
                <w:rFonts w:hint="eastAsia" w:ascii="宋体" w:hAnsi="宋体"/>
                <w:szCs w:val="21"/>
              </w:rPr>
            </w:pPr>
          </w:p>
        </w:tc>
        <w:tc>
          <w:tcPr>
            <w:tcW w:w="1820" w:type="dxa"/>
            <w:noWrap w:val="0"/>
            <w:vAlign w:val="center"/>
          </w:tcPr>
          <w:p>
            <w:pPr>
              <w:adjustRightInd w:val="0"/>
              <w:snapToGrid w:val="0"/>
              <w:spacing w:line="340" w:lineRule="exact"/>
              <w:jc w:val="center"/>
              <w:rPr>
                <w:rFonts w:hint="eastAsia"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p>
        </w:tc>
        <w:tc>
          <w:tcPr>
            <w:tcW w:w="1138" w:type="dxa"/>
            <w:noWrap w:val="0"/>
            <w:vAlign w:val="center"/>
          </w:tcPr>
          <w:p>
            <w:pPr>
              <w:adjustRightInd w:val="0"/>
              <w:snapToGrid w:val="0"/>
              <w:spacing w:line="340" w:lineRule="exact"/>
              <w:jc w:val="center"/>
              <w:rPr>
                <w:rFonts w:hint="eastAsia" w:ascii="宋体" w:hAnsi="宋体"/>
                <w:szCs w:val="21"/>
              </w:rPr>
            </w:pPr>
          </w:p>
        </w:tc>
        <w:tc>
          <w:tcPr>
            <w:tcW w:w="70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1109" w:type="dxa"/>
            <w:noWrap w:val="0"/>
            <w:vAlign w:val="center"/>
          </w:tcPr>
          <w:p>
            <w:pPr>
              <w:adjustRightInd w:val="0"/>
              <w:snapToGrid w:val="0"/>
              <w:spacing w:line="340" w:lineRule="exact"/>
              <w:jc w:val="center"/>
              <w:rPr>
                <w:rFonts w:hint="eastAsia" w:ascii="宋体" w:hAnsi="宋体"/>
                <w:szCs w:val="21"/>
              </w:rPr>
            </w:pPr>
          </w:p>
        </w:tc>
        <w:tc>
          <w:tcPr>
            <w:tcW w:w="1820" w:type="dxa"/>
            <w:noWrap w:val="0"/>
            <w:vAlign w:val="center"/>
          </w:tcPr>
          <w:p>
            <w:pPr>
              <w:adjustRightInd w:val="0"/>
              <w:snapToGrid w:val="0"/>
              <w:spacing w:line="340" w:lineRule="exact"/>
              <w:jc w:val="center"/>
              <w:rPr>
                <w:rFonts w:hint="eastAsia"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p>
        </w:tc>
        <w:tc>
          <w:tcPr>
            <w:tcW w:w="1138" w:type="dxa"/>
            <w:noWrap w:val="0"/>
            <w:vAlign w:val="center"/>
          </w:tcPr>
          <w:p>
            <w:pPr>
              <w:adjustRightInd w:val="0"/>
              <w:snapToGrid w:val="0"/>
              <w:spacing w:line="340" w:lineRule="exact"/>
              <w:jc w:val="center"/>
              <w:rPr>
                <w:rFonts w:hint="eastAsia" w:ascii="宋体" w:hAnsi="宋体"/>
                <w:szCs w:val="21"/>
              </w:rPr>
            </w:pPr>
          </w:p>
        </w:tc>
        <w:tc>
          <w:tcPr>
            <w:tcW w:w="70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1109" w:type="dxa"/>
            <w:noWrap w:val="0"/>
            <w:vAlign w:val="center"/>
          </w:tcPr>
          <w:p>
            <w:pPr>
              <w:adjustRightInd w:val="0"/>
              <w:snapToGrid w:val="0"/>
              <w:spacing w:line="340" w:lineRule="exact"/>
              <w:jc w:val="center"/>
              <w:rPr>
                <w:rFonts w:hint="eastAsia" w:ascii="宋体" w:hAnsi="宋体"/>
                <w:szCs w:val="21"/>
              </w:rPr>
            </w:pPr>
          </w:p>
        </w:tc>
        <w:tc>
          <w:tcPr>
            <w:tcW w:w="1820" w:type="dxa"/>
            <w:noWrap w:val="0"/>
            <w:vAlign w:val="center"/>
          </w:tcPr>
          <w:p>
            <w:pPr>
              <w:adjustRightInd w:val="0"/>
              <w:snapToGrid w:val="0"/>
              <w:spacing w:line="340" w:lineRule="exact"/>
              <w:jc w:val="center"/>
              <w:rPr>
                <w:rFonts w:hint="eastAsia"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p>
        </w:tc>
        <w:tc>
          <w:tcPr>
            <w:tcW w:w="1138" w:type="dxa"/>
            <w:noWrap w:val="0"/>
            <w:vAlign w:val="center"/>
          </w:tcPr>
          <w:p>
            <w:pPr>
              <w:adjustRightInd w:val="0"/>
              <w:snapToGrid w:val="0"/>
              <w:spacing w:line="340" w:lineRule="exact"/>
              <w:jc w:val="center"/>
              <w:rPr>
                <w:rFonts w:hint="eastAsia" w:ascii="宋体" w:hAnsi="宋体"/>
                <w:szCs w:val="21"/>
              </w:rPr>
            </w:pPr>
          </w:p>
        </w:tc>
        <w:tc>
          <w:tcPr>
            <w:tcW w:w="70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1109" w:type="dxa"/>
            <w:noWrap w:val="0"/>
            <w:vAlign w:val="center"/>
          </w:tcPr>
          <w:p>
            <w:pPr>
              <w:adjustRightInd w:val="0"/>
              <w:snapToGrid w:val="0"/>
              <w:spacing w:line="340" w:lineRule="exact"/>
              <w:jc w:val="center"/>
              <w:rPr>
                <w:rFonts w:hint="eastAsia" w:ascii="宋体" w:hAnsi="宋体"/>
                <w:szCs w:val="21"/>
              </w:rPr>
            </w:pPr>
          </w:p>
        </w:tc>
        <w:tc>
          <w:tcPr>
            <w:tcW w:w="1820" w:type="dxa"/>
            <w:noWrap w:val="0"/>
            <w:vAlign w:val="center"/>
          </w:tcPr>
          <w:p>
            <w:pPr>
              <w:adjustRightInd w:val="0"/>
              <w:snapToGrid w:val="0"/>
              <w:spacing w:line="340" w:lineRule="exact"/>
              <w:jc w:val="center"/>
              <w:rPr>
                <w:rFonts w:hint="eastAsia"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After w:w="0" w:type="dxa"/>
          <w:trHeight w:val="726" w:hRule="atLeast"/>
          <w:jc w:val="center"/>
        </w:trPr>
        <w:tc>
          <w:tcPr>
            <w:tcW w:w="1182" w:type="dxa"/>
            <w:noWrap w:val="0"/>
            <w:vAlign w:val="center"/>
          </w:tcPr>
          <w:p>
            <w:pPr>
              <w:adjustRightInd w:val="0"/>
              <w:snapToGrid w:val="0"/>
              <w:spacing w:line="340" w:lineRule="exact"/>
              <w:jc w:val="center"/>
              <w:rPr>
                <w:rFonts w:hint="eastAsia" w:ascii="宋体" w:hAnsi="宋体"/>
                <w:szCs w:val="21"/>
              </w:rPr>
            </w:pPr>
          </w:p>
        </w:tc>
        <w:tc>
          <w:tcPr>
            <w:tcW w:w="1138" w:type="dxa"/>
            <w:noWrap w:val="0"/>
            <w:vAlign w:val="center"/>
          </w:tcPr>
          <w:p>
            <w:pPr>
              <w:adjustRightInd w:val="0"/>
              <w:snapToGrid w:val="0"/>
              <w:spacing w:line="340" w:lineRule="exact"/>
              <w:jc w:val="center"/>
              <w:rPr>
                <w:rFonts w:hint="eastAsia" w:ascii="宋体" w:hAnsi="宋体"/>
                <w:szCs w:val="21"/>
              </w:rPr>
            </w:pPr>
          </w:p>
        </w:tc>
        <w:tc>
          <w:tcPr>
            <w:tcW w:w="70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739"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925" w:type="dxa"/>
            <w:noWrap w:val="0"/>
            <w:vAlign w:val="center"/>
          </w:tcPr>
          <w:p>
            <w:pPr>
              <w:adjustRightInd w:val="0"/>
              <w:snapToGrid w:val="0"/>
              <w:spacing w:line="340" w:lineRule="exact"/>
              <w:jc w:val="center"/>
              <w:rPr>
                <w:rFonts w:hint="eastAsia" w:ascii="宋体" w:hAnsi="宋体"/>
                <w:szCs w:val="21"/>
              </w:rPr>
            </w:pPr>
          </w:p>
        </w:tc>
        <w:tc>
          <w:tcPr>
            <w:tcW w:w="1109" w:type="dxa"/>
            <w:noWrap w:val="0"/>
            <w:vAlign w:val="center"/>
          </w:tcPr>
          <w:p>
            <w:pPr>
              <w:adjustRightInd w:val="0"/>
              <w:snapToGrid w:val="0"/>
              <w:spacing w:line="340" w:lineRule="exact"/>
              <w:jc w:val="center"/>
              <w:rPr>
                <w:rFonts w:hint="eastAsia" w:ascii="宋体" w:hAnsi="宋体"/>
                <w:szCs w:val="21"/>
              </w:rPr>
            </w:pPr>
          </w:p>
        </w:tc>
        <w:tc>
          <w:tcPr>
            <w:tcW w:w="1820" w:type="dxa"/>
            <w:noWrap w:val="0"/>
            <w:vAlign w:val="center"/>
          </w:tcPr>
          <w:p>
            <w:pPr>
              <w:adjustRightInd w:val="0"/>
              <w:snapToGrid w:val="0"/>
              <w:spacing w:line="340" w:lineRule="exact"/>
              <w:jc w:val="center"/>
              <w:rPr>
                <w:rFonts w:hint="eastAsia" w:ascii="宋体" w:hAnsi="宋体"/>
                <w:szCs w:val="21"/>
              </w:rPr>
            </w:pPr>
          </w:p>
        </w:tc>
      </w:tr>
    </w:tbl>
    <w:p>
      <w:pPr>
        <w:spacing w:line="360" w:lineRule="exact"/>
        <w:ind w:firstLine="420" w:firstLineChars="200"/>
        <w:rPr>
          <w:rFonts w:hint="eastAsia" w:ascii="宋体" w:hAnsi="宋体"/>
          <w:szCs w:val="21"/>
        </w:rPr>
      </w:pPr>
      <w:r>
        <w:rPr>
          <w:rFonts w:hint="eastAsia" w:ascii="宋体" w:hAnsi="宋体"/>
          <w:szCs w:val="21"/>
        </w:rPr>
        <w:t>注：1、附职称、资格证书复印件加盖公章</w:t>
      </w:r>
    </w:p>
    <w:p>
      <w:pPr>
        <w:spacing w:line="360" w:lineRule="exact"/>
        <w:ind w:left="806" w:leftChars="384"/>
        <w:rPr>
          <w:rFonts w:hint="eastAsia" w:ascii="宋体" w:hAnsi="宋体"/>
          <w:b/>
          <w:szCs w:val="21"/>
        </w:rPr>
      </w:pPr>
      <w:r>
        <w:rPr>
          <w:rFonts w:hint="eastAsia" w:ascii="宋体" w:hAnsi="宋体"/>
          <w:szCs w:val="21"/>
        </w:rPr>
        <w:t>2、</w:t>
      </w:r>
      <w:r>
        <w:rPr>
          <w:rFonts w:ascii="宋体" w:hAnsi="宋体"/>
          <w:b/>
          <w:szCs w:val="21"/>
        </w:rPr>
        <w:t>列入</w:t>
      </w:r>
      <w:r>
        <w:rPr>
          <w:rFonts w:hint="eastAsia" w:ascii="宋体" w:hAnsi="宋体"/>
          <w:b/>
          <w:szCs w:val="21"/>
        </w:rPr>
        <w:t>负责本项目</w:t>
      </w:r>
      <w:r>
        <w:rPr>
          <w:rFonts w:ascii="宋体" w:hAnsi="宋体"/>
          <w:b/>
          <w:szCs w:val="21"/>
        </w:rPr>
        <w:t>人员如要更换，需经</w:t>
      </w:r>
      <w:r>
        <w:rPr>
          <w:rFonts w:hint="eastAsia" w:ascii="宋体" w:hAnsi="宋体"/>
          <w:b/>
          <w:szCs w:val="21"/>
        </w:rPr>
        <w:t>采购</w:t>
      </w:r>
      <w:r>
        <w:rPr>
          <w:rFonts w:ascii="宋体" w:hAnsi="宋体"/>
          <w:b/>
          <w:szCs w:val="21"/>
        </w:rPr>
        <w:t>人同意；擅自更换或不到位属违约行为。</w:t>
      </w:r>
      <w:r>
        <w:rPr>
          <w:rFonts w:hint="eastAsia" w:ascii="宋体" w:hAnsi="宋体"/>
          <w:b/>
          <w:szCs w:val="21"/>
        </w:rPr>
        <w:t>如成交单位擅自更换项目负责人，按合同总额的10%标准收取违约金，如拒不整改的，采购人有权单方面终止合同，并且享有追究其法律责任的权利。</w:t>
      </w:r>
    </w:p>
    <w:p>
      <w:pPr>
        <w:spacing w:line="360" w:lineRule="exact"/>
        <w:ind w:firstLine="840" w:firstLineChars="400"/>
        <w:rPr>
          <w:rFonts w:ascii="宋体" w:hAnsi="宋体"/>
          <w:szCs w:val="21"/>
        </w:rPr>
      </w:pPr>
      <w:r>
        <w:rPr>
          <w:rFonts w:hint="eastAsia" w:ascii="宋体" w:hAnsi="宋体"/>
          <w:szCs w:val="21"/>
        </w:rPr>
        <w:t>3、明确人员投入。未经采购人审批同意后不得转包、分包项目，一经发现中止合同。</w:t>
      </w:r>
    </w:p>
    <w:p>
      <w:pPr>
        <w:pStyle w:val="2"/>
        <w:rPr>
          <w:rFonts w:hint="eastAsia" w:ascii="宋体" w:hAnsi="宋体" w:eastAsia="宋体"/>
          <w:color w:val="000000"/>
          <w:sz w:val="21"/>
          <w:szCs w:val="21"/>
        </w:rPr>
      </w:pPr>
      <w:r>
        <w:rPr>
          <w:rFonts w:hint="eastAsia" w:ascii="宋体" w:hAnsi="宋体" w:eastAsia="宋体"/>
          <w:color w:val="000000"/>
          <w:sz w:val="21"/>
          <w:szCs w:val="21"/>
        </w:rPr>
        <w:t xml:space="preserve"> </w:t>
      </w:r>
      <w:r>
        <w:rPr>
          <w:rFonts w:ascii="宋体" w:hAnsi="宋体" w:eastAsia="宋体"/>
          <w:color w:val="000000"/>
          <w:sz w:val="21"/>
          <w:szCs w:val="21"/>
        </w:rPr>
        <w:t xml:space="preserve">       4</w:t>
      </w:r>
      <w:r>
        <w:rPr>
          <w:rFonts w:hint="eastAsia" w:ascii="宋体" w:hAnsi="宋体" w:eastAsia="宋体"/>
          <w:color w:val="000000"/>
          <w:sz w:val="21"/>
          <w:szCs w:val="21"/>
        </w:rPr>
        <w:t>、▲人员总数须与技术商务文件、报价文件人员总数相同。</w:t>
      </w:r>
    </w:p>
    <w:p>
      <w:pPr>
        <w:snapToGrid w:val="0"/>
        <w:spacing w:line="480" w:lineRule="auto"/>
        <w:jc w:val="both"/>
      </w:pPr>
      <w:r>
        <w:rPr>
          <w:rFonts w:hint="eastAsia"/>
        </w:rPr>
        <w:t xml:space="preserve">  </w:t>
      </w:r>
    </w:p>
    <w:p>
      <w:pPr>
        <w:pStyle w:val="5"/>
        <w:keepNext w:val="0"/>
        <w:keepLines w:val="0"/>
        <w:pageBreakBefore/>
        <w:widowControl w:val="0"/>
        <w:tabs>
          <w:tab w:val="left" w:pos="840"/>
        </w:tabs>
        <w:adjustRightInd w:val="0"/>
        <w:snapToGrid w:val="0"/>
        <w:spacing w:before="240" w:beforeLines="100" w:after="240" w:afterLines="100" w:line="400" w:lineRule="atLeast"/>
        <w:jc w:val="center"/>
        <w:rPr>
          <w:rFonts w:hint="eastAsia" w:hAnsi="宋体"/>
          <w:sz w:val="28"/>
          <w:szCs w:val="36"/>
        </w:rPr>
      </w:pPr>
      <w:r>
        <w:rPr>
          <w:rFonts w:hint="eastAsia" w:hAnsi="宋体"/>
          <w:sz w:val="28"/>
          <w:szCs w:val="36"/>
        </w:rPr>
        <w:t>3、项目负责人履历情况证明（可选）</w:t>
      </w:r>
    </w:p>
    <w:p>
      <w:pPr>
        <w:spacing w:line="276" w:lineRule="auto"/>
        <w:rPr>
          <w:rFonts w:hint="eastAsia" w:ascii="宋体" w:hAnsi="宋体"/>
          <w:bCs/>
        </w:rPr>
      </w:pPr>
      <w:r>
        <w:rPr>
          <w:rFonts w:hint="eastAsia" w:ascii="宋体" w:hAnsi="宋体"/>
          <w:bCs/>
        </w:rPr>
        <w:t>招标采购单位：</w:t>
      </w:r>
    </w:p>
    <w:p>
      <w:pPr>
        <w:pStyle w:val="165"/>
        <w:ind w:firstLine="420" w:firstLineChars="200"/>
        <w:rPr>
          <w:rFonts w:hint="eastAsia" w:ascii="宋体" w:hAnsi="宋体"/>
          <w:bCs/>
        </w:rPr>
      </w:pPr>
      <w:r>
        <w:rPr>
          <w:rFonts w:hint="eastAsia" w:ascii="宋体" w:hAnsi="宋体"/>
          <w:bCs/>
          <w:u w:val="single"/>
        </w:rPr>
        <w:t>（投标供应商名称）</w:t>
      </w:r>
      <w:r>
        <w:rPr>
          <w:rFonts w:hint="eastAsia" w:ascii="宋体" w:hAnsi="宋体"/>
          <w:bCs/>
        </w:rPr>
        <w:t>为我单位</w:t>
      </w:r>
      <w:r>
        <w:rPr>
          <w:rFonts w:hint="eastAsia" w:ascii="宋体" w:hAnsi="宋体"/>
          <w:bCs/>
          <w:u w:val="single"/>
        </w:rPr>
        <w:t xml:space="preserve">   （保洁项目名称）   </w:t>
      </w:r>
      <w:r>
        <w:rPr>
          <w:rFonts w:hint="eastAsia" w:ascii="宋体" w:hAnsi="宋体"/>
          <w:bCs/>
        </w:rPr>
        <w:t>服务承包单位，该项目负责人为</w:t>
      </w:r>
      <w:r>
        <w:rPr>
          <w:rFonts w:hint="eastAsia" w:ascii="宋体" w:hAnsi="宋体"/>
          <w:bCs/>
          <w:u w:val="single"/>
        </w:rPr>
        <w:t xml:space="preserve">     （姓名、身份证号）   </w:t>
      </w:r>
      <w:r>
        <w:rPr>
          <w:rFonts w:hint="eastAsia" w:ascii="宋体" w:hAnsi="宋体"/>
          <w:bCs/>
        </w:rPr>
        <w:t>，保洁效果良好。</w:t>
      </w:r>
    </w:p>
    <w:p>
      <w:pPr>
        <w:pStyle w:val="165"/>
        <w:ind w:firstLine="420" w:firstLineChars="200"/>
        <w:rPr>
          <w:rFonts w:hint="eastAsia" w:ascii="宋体" w:hAnsi="宋体"/>
          <w:bCs/>
        </w:rPr>
      </w:pPr>
      <w:r>
        <w:rPr>
          <w:rFonts w:hint="eastAsia" w:ascii="宋体" w:hAnsi="宋体"/>
          <w:bCs/>
        </w:rPr>
        <w:t>特此证明！</w:t>
      </w:r>
    </w:p>
    <w:p>
      <w:pPr>
        <w:pStyle w:val="165"/>
        <w:rPr>
          <w:rFonts w:ascii="宋体" w:hAnsi="宋体"/>
          <w:bCs/>
        </w:rPr>
      </w:pPr>
      <w:r>
        <w:rPr>
          <w:rFonts w:hint="eastAsia" w:ascii="宋体" w:hAnsi="宋体"/>
          <w:bCs/>
        </w:rPr>
        <w:t xml:space="preserve">                                             </w:t>
      </w:r>
      <w:r>
        <w:rPr>
          <w:rFonts w:ascii="宋体" w:hAnsi="宋体"/>
          <w:bCs/>
        </w:rPr>
        <w:t xml:space="preserve">                   </w:t>
      </w:r>
      <w:r>
        <w:rPr>
          <w:rFonts w:hint="eastAsia" w:ascii="宋体" w:hAnsi="宋体"/>
          <w:bCs/>
        </w:rPr>
        <w:t xml:space="preserve"> 单位名称：</w:t>
      </w:r>
    </w:p>
    <w:p>
      <w:pPr>
        <w:pStyle w:val="165"/>
        <w:rPr>
          <w:rFonts w:ascii="宋体" w:hAnsi="宋体"/>
          <w:color w:val="000000"/>
          <w:sz w:val="22"/>
          <w:szCs w:val="22"/>
        </w:rPr>
      </w:pPr>
      <w:r>
        <w:rPr>
          <w:rFonts w:hint="eastAsia" w:ascii="宋体" w:hAnsi="宋体"/>
          <w:bCs/>
        </w:rPr>
        <w:t xml:space="preserve">                                              </w:t>
      </w:r>
      <w:r>
        <w:rPr>
          <w:rFonts w:ascii="宋体" w:hAnsi="宋体"/>
          <w:bCs/>
        </w:rPr>
        <w:t xml:space="preserve">                       </w:t>
      </w:r>
      <w:r>
        <w:rPr>
          <w:rFonts w:hint="eastAsia" w:ascii="宋体" w:hAnsi="宋体"/>
          <w:bCs/>
        </w:rPr>
        <w:t>日期：</w:t>
      </w: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rPr>
          <w:rFonts w:hint="eastAsia" w:ascii="宋体" w:hAnsi="宋体" w:eastAsia="宋体"/>
          <w:color w:val="000000"/>
          <w:sz w:val="22"/>
          <w:szCs w:val="22"/>
        </w:rPr>
      </w:pPr>
    </w:p>
    <w:p>
      <w:pPr>
        <w:pStyle w:val="5"/>
        <w:keepNext w:val="0"/>
        <w:keepLines w:val="0"/>
        <w:wordWrap w:val="0"/>
        <w:overflowPunct w:val="0"/>
        <w:adjustRightInd w:val="0"/>
        <w:snapToGrid w:val="0"/>
        <w:spacing w:before="240" w:beforeLines="100" w:after="240" w:afterLines="100" w:line="400" w:lineRule="atLeast"/>
        <w:jc w:val="center"/>
        <w:rPr>
          <w:rFonts w:hint="eastAsia" w:hAnsi="宋体"/>
          <w:sz w:val="28"/>
          <w:szCs w:val="36"/>
        </w:rPr>
      </w:pPr>
      <w:bookmarkStart w:id="392" w:name="_Toc64913386"/>
      <w:r>
        <w:rPr>
          <w:rFonts w:hint="eastAsia" w:hAnsi="宋体"/>
          <w:sz w:val="28"/>
          <w:szCs w:val="36"/>
        </w:rPr>
        <w:t xml:space="preserve">附件十 </w:t>
      </w:r>
      <w:r>
        <w:rPr>
          <w:rFonts w:hAnsi="宋体"/>
          <w:sz w:val="28"/>
          <w:szCs w:val="36"/>
        </w:rPr>
        <w:t xml:space="preserve"> </w:t>
      </w:r>
      <w:r>
        <w:rPr>
          <w:rFonts w:hint="eastAsia" w:hAnsi="宋体"/>
          <w:sz w:val="28"/>
          <w:szCs w:val="36"/>
        </w:rPr>
        <w:t>环卫保洁实施方案</w:t>
      </w:r>
      <w:bookmarkEnd w:id="392"/>
    </w:p>
    <w:p>
      <w:pPr>
        <w:wordWrap w:val="0"/>
        <w:overflowPunct w:val="0"/>
        <w:spacing w:line="360" w:lineRule="exact"/>
        <w:ind w:firstLine="330" w:firstLineChars="150"/>
        <w:rPr>
          <w:rFonts w:hint="eastAsia" w:ascii="新宋体" w:hAnsi="新宋体" w:eastAsia="新宋体"/>
          <w:sz w:val="22"/>
        </w:rPr>
      </w:pPr>
      <w:r>
        <w:rPr>
          <w:rFonts w:hint="eastAsia" w:ascii="新宋体" w:hAnsi="新宋体" w:eastAsia="新宋体"/>
          <w:sz w:val="22"/>
        </w:rPr>
        <w:t>投标供应商应按照招标要求提交以下投标技术方案（包括但不限于以下各项，关于本项目现场情况可结合现场照片进行表述）：</w:t>
      </w:r>
    </w:p>
    <w:p>
      <w:pPr>
        <w:wordWrap w:val="0"/>
        <w:overflowPunct w:val="0"/>
        <w:spacing w:line="360" w:lineRule="exact"/>
        <w:ind w:firstLine="316" w:firstLineChars="150"/>
        <w:rPr>
          <w:rFonts w:ascii="新宋体" w:hAnsi="新宋体" w:eastAsia="新宋体"/>
          <w:sz w:val="28"/>
          <w:szCs w:val="28"/>
        </w:rPr>
      </w:pPr>
      <w:r>
        <w:rPr>
          <w:rFonts w:hint="eastAsia" w:ascii="宋体" w:hAnsi="宋体"/>
          <w:b/>
          <w:bCs/>
        </w:rPr>
        <w:t>编制目录及评分索引表，在索引表内注明评标细则项目所在技术商务文件投标文件页码。</w:t>
      </w:r>
    </w:p>
    <w:p>
      <w:pPr>
        <w:numPr>
          <w:ilvl w:val="0"/>
          <w:numId w:val="26"/>
        </w:numPr>
        <w:wordWrap w:val="0"/>
        <w:overflowPunct w:val="0"/>
        <w:snapToGrid w:val="0"/>
        <w:spacing w:line="360" w:lineRule="exact"/>
        <w:rPr>
          <w:rFonts w:ascii="宋体" w:hAnsi="宋体"/>
          <w:b/>
          <w:szCs w:val="21"/>
        </w:rPr>
      </w:pPr>
      <w:r>
        <w:rPr>
          <w:rFonts w:hint="eastAsia" w:ascii="宋体" w:hAnsi="宋体"/>
          <w:b/>
          <w:szCs w:val="21"/>
        </w:rPr>
        <w:t>对本项目保洁工作的现状调查与问题剖析</w:t>
      </w:r>
    </w:p>
    <w:p>
      <w:pPr>
        <w:wordWrap w:val="0"/>
        <w:overflowPunct w:val="0"/>
        <w:spacing w:line="360" w:lineRule="exact"/>
        <w:ind w:left="439" w:leftChars="209" w:firstLine="315" w:firstLineChars="150"/>
        <w:rPr>
          <w:rFonts w:ascii="宋体" w:hAnsi="宋体"/>
          <w:szCs w:val="21"/>
        </w:rPr>
      </w:pPr>
      <w:r>
        <w:rPr>
          <w:rFonts w:hint="eastAsia" w:ascii="宋体" w:hAnsi="宋体"/>
          <w:szCs w:val="21"/>
        </w:rPr>
        <w:t>根据投标供应商对项目范围内道路的现状、保洁情况、存在的问题和本项目清扫保洁的重点、难点等问题进行调查剖析，并针对性的提出合理化的设想和建议。</w:t>
      </w:r>
    </w:p>
    <w:p>
      <w:pPr>
        <w:numPr>
          <w:ilvl w:val="0"/>
          <w:numId w:val="26"/>
        </w:numPr>
        <w:wordWrap w:val="0"/>
        <w:overflowPunct w:val="0"/>
        <w:snapToGrid w:val="0"/>
        <w:spacing w:line="360" w:lineRule="exact"/>
        <w:rPr>
          <w:rFonts w:ascii="宋体" w:hAnsi="宋体"/>
          <w:b/>
          <w:szCs w:val="21"/>
        </w:rPr>
      </w:pPr>
      <w:r>
        <w:rPr>
          <w:rFonts w:hint="eastAsia" w:ascii="宋体" w:hAnsi="宋体"/>
          <w:b/>
          <w:szCs w:val="21"/>
        </w:rPr>
        <w:t>清扫保洁具体实施计划和方案，包括（但不限于）：</w:t>
      </w:r>
    </w:p>
    <w:p>
      <w:pPr>
        <w:spacing w:line="360" w:lineRule="exact"/>
        <w:ind w:left="439" w:leftChars="209" w:firstLine="420" w:firstLineChars="200"/>
        <w:rPr>
          <w:rFonts w:hint="eastAsia" w:ascii="宋体" w:hAnsi="宋体"/>
          <w:szCs w:val="21"/>
        </w:rPr>
      </w:pPr>
      <w:r>
        <w:rPr>
          <w:rFonts w:hint="eastAsia" w:ascii="宋体" w:hAnsi="宋体"/>
          <w:szCs w:val="21"/>
        </w:rPr>
        <w:t>1）道路（含公路、桥梁）保洁</w:t>
      </w:r>
    </w:p>
    <w:p>
      <w:pPr>
        <w:spacing w:line="360" w:lineRule="exact"/>
        <w:ind w:left="439" w:leftChars="209" w:firstLine="420" w:firstLineChars="200"/>
        <w:rPr>
          <w:rFonts w:hint="eastAsia" w:ascii="宋体" w:hAnsi="宋体"/>
          <w:szCs w:val="21"/>
        </w:rPr>
      </w:pPr>
      <w:r>
        <w:rPr>
          <w:rFonts w:hint="eastAsia" w:ascii="宋体" w:hAnsi="宋体"/>
          <w:szCs w:val="21"/>
        </w:rPr>
        <w:t>2）公园、广场及公共绿地保洁方案（含席地而坐方案）</w:t>
      </w:r>
    </w:p>
    <w:p>
      <w:pPr>
        <w:spacing w:line="360" w:lineRule="exact"/>
        <w:ind w:left="439" w:leftChars="209" w:firstLine="420" w:firstLineChars="200"/>
        <w:rPr>
          <w:rFonts w:hint="eastAsia" w:ascii="宋体" w:hAnsi="宋体"/>
          <w:szCs w:val="21"/>
        </w:rPr>
      </w:pPr>
      <w:r>
        <w:rPr>
          <w:rFonts w:hint="eastAsia" w:ascii="宋体" w:hAnsi="宋体"/>
          <w:szCs w:val="21"/>
        </w:rPr>
        <w:t>3）市政设施保洁</w:t>
      </w:r>
    </w:p>
    <w:p>
      <w:pPr>
        <w:spacing w:line="360" w:lineRule="exact"/>
        <w:ind w:left="439" w:leftChars="209" w:firstLine="420" w:firstLineChars="200"/>
        <w:rPr>
          <w:rFonts w:hint="eastAsia" w:ascii="宋体" w:hAnsi="宋体"/>
          <w:szCs w:val="21"/>
        </w:rPr>
      </w:pPr>
      <w:r>
        <w:rPr>
          <w:rFonts w:hint="eastAsia" w:ascii="宋体" w:hAnsi="宋体"/>
          <w:szCs w:val="21"/>
        </w:rPr>
        <w:t>4）城市家具保洁</w:t>
      </w:r>
    </w:p>
    <w:p>
      <w:pPr>
        <w:spacing w:line="360" w:lineRule="exact"/>
        <w:ind w:left="439" w:leftChars="209" w:firstLine="420" w:firstLineChars="200"/>
        <w:rPr>
          <w:rFonts w:hint="eastAsia" w:ascii="宋体" w:hAnsi="宋体"/>
          <w:szCs w:val="21"/>
        </w:rPr>
      </w:pPr>
      <w:r>
        <w:rPr>
          <w:rFonts w:hint="eastAsia" w:ascii="宋体" w:hAnsi="宋体"/>
          <w:szCs w:val="21"/>
        </w:rPr>
        <w:t>5）河道保洁</w:t>
      </w:r>
    </w:p>
    <w:p>
      <w:pPr>
        <w:spacing w:line="360" w:lineRule="exact"/>
        <w:ind w:left="439" w:leftChars="209" w:firstLine="420" w:firstLineChars="200"/>
        <w:rPr>
          <w:rFonts w:hint="eastAsia" w:ascii="宋体" w:hAnsi="宋体"/>
          <w:szCs w:val="21"/>
        </w:rPr>
      </w:pPr>
      <w:r>
        <w:rPr>
          <w:rFonts w:hint="eastAsia" w:ascii="宋体" w:hAnsi="宋体"/>
          <w:szCs w:val="21"/>
        </w:rPr>
        <w:t>6）公厕保洁（含除臭设施）</w:t>
      </w:r>
    </w:p>
    <w:p>
      <w:pPr>
        <w:spacing w:line="360" w:lineRule="exact"/>
        <w:ind w:left="439" w:leftChars="209" w:firstLine="420" w:firstLineChars="200"/>
        <w:rPr>
          <w:rFonts w:hint="eastAsia" w:ascii="宋体" w:hAnsi="宋体"/>
          <w:szCs w:val="21"/>
        </w:rPr>
      </w:pPr>
      <w:r>
        <w:rPr>
          <w:rFonts w:hint="eastAsia" w:ascii="宋体" w:hAnsi="宋体"/>
          <w:szCs w:val="21"/>
        </w:rPr>
        <w:t>7）垃圾收集及清运</w:t>
      </w:r>
    </w:p>
    <w:p>
      <w:pPr>
        <w:spacing w:line="360" w:lineRule="exact"/>
        <w:ind w:left="439" w:leftChars="209" w:firstLine="420" w:firstLineChars="200"/>
        <w:rPr>
          <w:rFonts w:hint="eastAsia" w:ascii="宋体" w:hAnsi="宋体"/>
          <w:szCs w:val="21"/>
        </w:rPr>
      </w:pPr>
      <w:r>
        <w:rPr>
          <w:rFonts w:hint="eastAsia" w:ascii="宋体" w:hAnsi="宋体"/>
          <w:szCs w:val="21"/>
        </w:rPr>
        <w:t>8）小广告治理</w:t>
      </w:r>
    </w:p>
    <w:p>
      <w:pPr>
        <w:spacing w:line="360" w:lineRule="exact"/>
        <w:ind w:left="439" w:leftChars="209" w:firstLine="420" w:firstLineChars="200"/>
        <w:rPr>
          <w:rFonts w:hint="eastAsia" w:ascii="宋体" w:hAnsi="宋体"/>
          <w:szCs w:val="21"/>
        </w:rPr>
      </w:pPr>
      <w:r>
        <w:rPr>
          <w:rFonts w:hint="eastAsia" w:ascii="宋体" w:hAnsi="宋体"/>
          <w:szCs w:val="21"/>
        </w:rPr>
        <w:t>9）无主建筑垃圾清运</w:t>
      </w:r>
    </w:p>
    <w:p>
      <w:pPr>
        <w:spacing w:line="360" w:lineRule="exact"/>
        <w:ind w:left="439" w:leftChars="209" w:firstLine="420" w:firstLineChars="200"/>
        <w:rPr>
          <w:rFonts w:hint="eastAsia" w:ascii="宋体" w:hAnsi="宋体"/>
          <w:szCs w:val="21"/>
        </w:rPr>
      </w:pPr>
      <w:r>
        <w:rPr>
          <w:rFonts w:hint="eastAsia" w:ascii="宋体" w:hAnsi="宋体"/>
          <w:szCs w:val="21"/>
        </w:rPr>
        <w:t>10）垃圾分类</w:t>
      </w:r>
    </w:p>
    <w:p>
      <w:pPr>
        <w:spacing w:line="360" w:lineRule="exact"/>
        <w:ind w:left="439" w:leftChars="209" w:firstLine="420" w:firstLineChars="200"/>
        <w:rPr>
          <w:rFonts w:hint="eastAsia" w:ascii="宋体" w:hAnsi="宋体"/>
          <w:szCs w:val="21"/>
        </w:rPr>
      </w:pPr>
      <w:r>
        <w:rPr>
          <w:rFonts w:hint="eastAsia" w:ascii="宋体" w:hAnsi="宋体"/>
          <w:szCs w:val="21"/>
        </w:rPr>
        <w:t>11）清扫保洁规范管理措施及保障</w:t>
      </w:r>
    </w:p>
    <w:p>
      <w:pPr>
        <w:spacing w:line="360" w:lineRule="exact"/>
        <w:ind w:left="439" w:leftChars="209" w:firstLine="420" w:firstLineChars="200"/>
        <w:rPr>
          <w:rFonts w:hint="eastAsia" w:ascii="宋体" w:hAnsi="宋体"/>
          <w:szCs w:val="21"/>
        </w:rPr>
      </w:pPr>
      <w:r>
        <w:rPr>
          <w:rFonts w:hint="eastAsia" w:ascii="宋体" w:hAnsi="宋体"/>
          <w:szCs w:val="21"/>
        </w:rPr>
        <w:t>12）安全生产（包括但不限于车辆安全、人员安全、生产安全等）培训计划及内容</w:t>
      </w:r>
    </w:p>
    <w:p>
      <w:pPr>
        <w:spacing w:line="360" w:lineRule="exact"/>
        <w:ind w:left="439" w:leftChars="209" w:firstLine="420" w:firstLineChars="200"/>
        <w:rPr>
          <w:rFonts w:hint="eastAsia" w:ascii="宋体" w:hAnsi="宋体"/>
          <w:szCs w:val="21"/>
        </w:rPr>
      </w:pPr>
      <w:r>
        <w:rPr>
          <w:rFonts w:hint="eastAsia" w:ascii="宋体" w:hAnsi="宋体"/>
          <w:szCs w:val="21"/>
        </w:rPr>
        <w:t>1</w:t>
      </w:r>
      <w:r>
        <w:rPr>
          <w:rFonts w:ascii="宋体" w:hAnsi="宋体"/>
          <w:szCs w:val="21"/>
        </w:rPr>
        <w:t>3</w:t>
      </w:r>
      <w:r>
        <w:rPr>
          <w:rFonts w:hint="eastAsia" w:ascii="宋体" w:hAnsi="宋体"/>
          <w:szCs w:val="21"/>
        </w:rPr>
        <w:t>）与《瑞安市智慧环卫平台》对接承诺及相关措施方案</w:t>
      </w:r>
    </w:p>
    <w:p>
      <w:pPr>
        <w:spacing w:line="360" w:lineRule="exact"/>
        <w:ind w:left="439" w:leftChars="209" w:firstLine="420" w:firstLineChars="200"/>
        <w:rPr>
          <w:rFonts w:hint="eastAsia" w:ascii="宋体" w:hAnsi="宋体"/>
          <w:szCs w:val="21"/>
        </w:rPr>
      </w:pPr>
      <w:r>
        <w:rPr>
          <w:rFonts w:hint="eastAsia" w:ascii="宋体" w:hAnsi="宋体"/>
          <w:szCs w:val="21"/>
        </w:rPr>
        <w:t>1</w:t>
      </w:r>
      <w:r>
        <w:rPr>
          <w:rFonts w:ascii="宋体" w:hAnsi="宋体"/>
          <w:szCs w:val="21"/>
        </w:rPr>
        <w:t>4</w:t>
      </w:r>
      <w:r>
        <w:rPr>
          <w:rFonts w:hint="eastAsia" w:ascii="宋体" w:hAnsi="宋体"/>
          <w:szCs w:val="21"/>
        </w:rPr>
        <w:t>）中标供应商在中标后与采购人（相应街道）、原承包单位的移交及对接方案</w:t>
      </w:r>
    </w:p>
    <w:p>
      <w:pPr>
        <w:wordWrap w:val="0"/>
        <w:overflowPunct w:val="0"/>
        <w:spacing w:line="360" w:lineRule="exact"/>
        <w:ind w:left="439" w:leftChars="209" w:firstLine="422" w:firstLineChars="200"/>
        <w:rPr>
          <w:rFonts w:hint="eastAsia" w:ascii="宋体" w:hAnsi="宋体"/>
          <w:b/>
          <w:szCs w:val="21"/>
        </w:rPr>
      </w:pPr>
      <w:r>
        <w:rPr>
          <w:rFonts w:ascii="宋体" w:hAnsi="宋体"/>
          <w:b/>
          <w:szCs w:val="21"/>
        </w:rPr>
        <w:t>15</w:t>
      </w:r>
      <w:r>
        <w:rPr>
          <w:rFonts w:hint="eastAsia" w:ascii="宋体" w:hAnsi="宋体"/>
          <w:b/>
          <w:szCs w:val="21"/>
        </w:rPr>
        <w:t>）服务的人员人数、工作排班、时间安排和分工计划，拟投入的管理、作业人员人数、作业车辆、耗材等所投入的数量、概况及力度（</w:t>
      </w:r>
      <w:r>
        <w:rPr>
          <w:rFonts w:hint="eastAsia" w:ascii="宋体" w:hAnsi="宋体"/>
          <w:b/>
          <w:szCs w:val="21"/>
          <w:u w:val="single"/>
        </w:rPr>
        <w:t>供应商可以用表格方式列出投标承诺投入车辆、船只、机械设备等，表格自拟）</w:t>
      </w:r>
      <w:r>
        <w:rPr>
          <w:rFonts w:hint="eastAsia" w:ascii="宋体" w:hAnsi="宋体"/>
          <w:b/>
          <w:szCs w:val="21"/>
        </w:rPr>
        <w:t>。提供每条道路的清扫保洁人员、巡回保洁人员、绿化带保洁人员、果壳箱清洗人员配置清单</w:t>
      </w:r>
    </w:p>
    <w:p>
      <w:pPr>
        <w:numPr>
          <w:ilvl w:val="0"/>
          <w:numId w:val="26"/>
        </w:numPr>
        <w:wordWrap w:val="0"/>
        <w:overflowPunct w:val="0"/>
        <w:snapToGrid w:val="0"/>
        <w:spacing w:line="360" w:lineRule="exact"/>
        <w:rPr>
          <w:rFonts w:ascii="宋体" w:hAnsi="宋体"/>
          <w:b/>
          <w:szCs w:val="21"/>
        </w:rPr>
      </w:pPr>
      <w:r>
        <w:rPr>
          <w:rFonts w:hint="eastAsia" w:ascii="宋体" w:hAnsi="宋体"/>
          <w:b/>
          <w:szCs w:val="21"/>
        </w:rPr>
        <w:t>应付突发事情的响应及处理方案</w:t>
      </w:r>
    </w:p>
    <w:p>
      <w:pPr>
        <w:numPr>
          <w:ilvl w:val="0"/>
          <w:numId w:val="26"/>
        </w:numPr>
        <w:wordWrap w:val="0"/>
        <w:overflowPunct w:val="0"/>
        <w:snapToGrid w:val="0"/>
        <w:spacing w:line="360" w:lineRule="exact"/>
        <w:rPr>
          <w:rFonts w:ascii="宋体" w:hAnsi="宋体"/>
          <w:b/>
          <w:szCs w:val="21"/>
        </w:rPr>
      </w:pPr>
      <w:r>
        <w:rPr>
          <w:rFonts w:hint="eastAsia" w:ascii="宋体" w:hAnsi="宋体"/>
          <w:szCs w:val="21"/>
        </w:rPr>
        <w:t>日常管理组织、拟设立的各项管理规章制度及档案资料的建立管理：</w:t>
      </w:r>
    </w:p>
    <w:p>
      <w:pPr>
        <w:spacing w:line="360" w:lineRule="exact"/>
        <w:ind w:left="439" w:leftChars="209" w:firstLine="420" w:firstLineChars="200"/>
        <w:rPr>
          <w:rFonts w:hint="eastAsia" w:ascii="宋体" w:hAnsi="宋体"/>
          <w:szCs w:val="21"/>
        </w:rPr>
      </w:pPr>
      <w:r>
        <w:rPr>
          <w:rFonts w:hint="eastAsia" w:ascii="宋体" w:hAnsi="宋体"/>
          <w:szCs w:val="21"/>
        </w:rPr>
        <w:t>1）日常管理组织、各项公众制度、内部岗位责任制度、管理运作制度、考核制度及标准等，要求符合规范，体现高标准、高档次、科学合理、详细完备；</w:t>
      </w:r>
    </w:p>
    <w:p>
      <w:pPr>
        <w:spacing w:line="360" w:lineRule="exact"/>
        <w:ind w:left="439" w:leftChars="209" w:firstLine="420" w:firstLineChars="200"/>
        <w:rPr>
          <w:rFonts w:hint="eastAsia" w:ascii="宋体" w:hAnsi="宋体"/>
          <w:szCs w:val="21"/>
        </w:rPr>
      </w:pPr>
      <w:r>
        <w:rPr>
          <w:rFonts w:hint="eastAsia" w:ascii="宋体" w:hAnsi="宋体"/>
          <w:szCs w:val="21"/>
        </w:rPr>
        <w:t>2）人员、设施、设备管理服务、业主方反馈资料、行政文件资料等档案的建立与管理</w:t>
      </w:r>
    </w:p>
    <w:p>
      <w:pPr>
        <w:wordWrap w:val="0"/>
        <w:overflowPunct w:val="0"/>
        <w:spacing w:line="360" w:lineRule="exact"/>
        <w:ind w:left="439" w:leftChars="209" w:firstLine="420" w:firstLineChars="200"/>
        <w:rPr>
          <w:rFonts w:hint="eastAsia" w:ascii="宋体" w:hAnsi="宋体"/>
          <w:szCs w:val="21"/>
        </w:rPr>
      </w:pPr>
      <w:r>
        <w:rPr>
          <w:rFonts w:hint="eastAsia" w:ascii="宋体" w:hAnsi="宋体"/>
          <w:szCs w:val="21"/>
        </w:rPr>
        <w:t>3）除采购人的瑞安市智慧环卫监管平台外，供应商企业内部信息化管理平台的系统性和先进性</w:t>
      </w:r>
    </w:p>
    <w:p>
      <w:pPr>
        <w:numPr>
          <w:ilvl w:val="0"/>
          <w:numId w:val="26"/>
        </w:numPr>
        <w:wordWrap w:val="0"/>
        <w:overflowPunct w:val="0"/>
        <w:snapToGrid w:val="0"/>
        <w:spacing w:line="360" w:lineRule="exact"/>
        <w:rPr>
          <w:rFonts w:hint="eastAsia" w:ascii="宋体" w:hAnsi="宋体"/>
          <w:b/>
          <w:szCs w:val="21"/>
        </w:rPr>
      </w:pPr>
      <w:r>
        <w:rPr>
          <w:rFonts w:hint="eastAsia" w:ascii="宋体" w:hAnsi="宋体"/>
          <w:b/>
          <w:szCs w:val="21"/>
        </w:rPr>
        <w:t>增配车辆优化作业方案说明</w:t>
      </w:r>
    </w:p>
    <w:p>
      <w:pPr>
        <w:wordWrap w:val="0"/>
        <w:overflowPunct w:val="0"/>
        <w:spacing w:line="360" w:lineRule="exact"/>
        <w:ind w:left="439" w:leftChars="209" w:firstLine="420" w:firstLineChars="200"/>
        <w:rPr>
          <w:rFonts w:hint="eastAsia"/>
        </w:rPr>
      </w:pPr>
      <w:r>
        <w:rPr>
          <w:rFonts w:hint="eastAsia" w:ascii="宋体"/>
          <w:szCs w:val="21"/>
        </w:rPr>
        <w:t>增加道路机扫、清洗、洒水、降尘等作业时间和频次</w:t>
      </w:r>
    </w:p>
    <w:p>
      <w:pPr>
        <w:pStyle w:val="2"/>
        <w:rPr>
          <w:rFonts w:ascii="宋体" w:hAnsi="宋体" w:eastAsia="宋体"/>
          <w:color w:val="000000"/>
          <w:sz w:val="22"/>
          <w:szCs w:val="22"/>
        </w:rPr>
      </w:pPr>
    </w:p>
    <w:p>
      <w:pPr>
        <w:pStyle w:val="2"/>
        <w:rPr>
          <w:rFonts w:hint="eastAsia" w:ascii="宋体" w:hAnsi="宋体" w:eastAsia="宋体"/>
          <w:color w:val="000000"/>
          <w:sz w:val="22"/>
          <w:szCs w:val="22"/>
        </w:rPr>
      </w:pPr>
    </w:p>
    <w:p>
      <w:pPr>
        <w:pStyle w:val="5"/>
        <w:keepNext w:val="0"/>
        <w:keepLines w:val="0"/>
        <w:wordWrap w:val="0"/>
        <w:overflowPunct w:val="0"/>
        <w:adjustRightInd w:val="0"/>
        <w:snapToGrid w:val="0"/>
        <w:spacing w:before="240" w:beforeLines="100" w:after="240" w:afterLines="100" w:line="400" w:lineRule="atLeast"/>
        <w:jc w:val="center"/>
        <w:rPr>
          <w:rFonts w:hAnsi="宋体"/>
          <w:sz w:val="28"/>
          <w:szCs w:val="36"/>
        </w:rPr>
      </w:pPr>
      <w:bookmarkStart w:id="393" w:name="_Toc64913387"/>
      <w:r>
        <w:rPr>
          <w:rFonts w:hint="eastAsia" w:hAnsi="宋体"/>
          <w:sz w:val="28"/>
          <w:szCs w:val="36"/>
        </w:rPr>
        <w:t>附件十一  拟投入设备一览表</w:t>
      </w:r>
      <w:bookmarkEnd w:id="393"/>
    </w:p>
    <w:p>
      <w:pPr>
        <w:wordWrap w:val="0"/>
        <w:overflowPunct w:val="0"/>
        <w:spacing w:line="400" w:lineRule="exact"/>
        <w:jc w:val="center"/>
        <w:rPr>
          <w:rFonts w:ascii="宋体" w:hAnsi="宋体"/>
          <w:b/>
          <w:sz w:val="28"/>
          <w:szCs w:val="28"/>
        </w:rPr>
      </w:pPr>
      <w:r>
        <w:rPr>
          <w:rFonts w:hint="eastAsia" w:ascii="宋体" w:hAnsi="宋体"/>
          <w:b/>
          <w:sz w:val="28"/>
          <w:szCs w:val="28"/>
        </w:rPr>
        <w:t>（1）进场作业车辆明细表</w:t>
      </w:r>
    </w:p>
    <w:tbl>
      <w:tblPr>
        <w:tblStyle w:val="35"/>
        <w:tblpPr w:leftFromText="180" w:rightFromText="180" w:vertAnchor="text" w:horzAnchor="margin" w:tblpY="53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3"/>
        <w:gridCol w:w="1352"/>
        <w:gridCol w:w="1273"/>
        <w:gridCol w:w="1181"/>
        <w:gridCol w:w="992"/>
        <w:gridCol w:w="1276"/>
        <w:gridCol w:w="851"/>
        <w:gridCol w:w="1134"/>
        <w:gridCol w:w="12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17" w:hRule="atLeast"/>
        </w:trPr>
        <w:tc>
          <w:tcPr>
            <w:tcW w:w="413" w:type="dxa"/>
            <w:noWrap w:val="0"/>
            <w:vAlign w:val="center"/>
          </w:tcPr>
          <w:p>
            <w:pPr>
              <w:wordWrap w:val="0"/>
              <w:overflowPunct w:val="0"/>
              <w:rPr>
                <w:rFonts w:ascii="宋体" w:hAnsi="宋体"/>
                <w:b/>
                <w:szCs w:val="21"/>
              </w:rPr>
            </w:pPr>
            <w:r>
              <w:rPr>
                <w:rFonts w:hint="eastAsia" w:ascii="宋体" w:hAnsi="宋体"/>
                <w:b/>
                <w:szCs w:val="21"/>
              </w:rPr>
              <w:t>序号</w:t>
            </w:r>
          </w:p>
        </w:tc>
        <w:tc>
          <w:tcPr>
            <w:tcW w:w="1352" w:type="dxa"/>
            <w:noWrap w:val="0"/>
            <w:vAlign w:val="center"/>
          </w:tcPr>
          <w:p>
            <w:pPr>
              <w:wordWrap w:val="0"/>
              <w:overflowPunct w:val="0"/>
              <w:spacing w:line="280" w:lineRule="exact"/>
              <w:rPr>
                <w:rFonts w:ascii="宋体" w:hAnsi="宋体"/>
                <w:b/>
                <w:szCs w:val="21"/>
              </w:rPr>
            </w:pPr>
            <w:r>
              <w:rPr>
                <w:rFonts w:hint="eastAsia" w:ascii="宋体" w:hAnsi="宋体"/>
                <w:b/>
                <w:szCs w:val="21"/>
              </w:rPr>
              <w:t>设备名称</w:t>
            </w:r>
          </w:p>
        </w:tc>
        <w:tc>
          <w:tcPr>
            <w:tcW w:w="1273" w:type="dxa"/>
            <w:noWrap w:val="0"/>
            <w:vAlign w:val="center"/>
          </w:tcPr>
          <w:p>
            <w:pPr>
              <w:wordWrap w:val="0"/>
              <w:overflowPunct w:val="0"/>
              <w:spacing w:line="280" w:lineRule="exact"/>
              <w:rPr>
                <w:rFonts w:ascii="宋体" w:hAnsi="宋体"/>
                <w:b/>
                <w:szCs w:val="21"/>
              </w:rPr>
            </w:pPr>
            <w:r>
              <w:rPr>
                <w:rFonts w:hint="eastAsia" w:ascii="宋体" w:hAnsi="宋体"/>
                <w:b/>
                <w:szCs w:val="21"/>
              </w:rPr>
              <w:t>规格型号</w:t>
            </w:r>
          </w:p>
        </w:tc>
        <w:tc>
          <w:tcPr>
            <w:tcW w:w="1181" w:type="dxa"/>
            <w:noWrap w:val="0"/>
            <w:vAlign w:val="center"/>
          </w:tcPr>
          <w:p>
            <w:pPr>
              <w:wordWrap w:val="0"/>
              <w:overflowPunct w:val="0"/>
              <w:spacing w:line="280" w:lineRule="exact"/>
              <w:rPr>
                <w:rFonts w:ascii="宋体" w:hAnsi="宋体"/>
                <w:b/>
                <w:szCs w:val="21"/>
              </w:rPr>
            </w:pPr>
            <w:r>
              <w:rPr>
                <w:rFonts w:hint="eastAsia" w:ascii="宋体" w:hAnsi="宋体"/>
                <w:b/>
                <w:szCs w:val="21"/>
              </w:rPr>
              <w:t>品牌/产地</w:t>
            </w:r>
          </w:p>
        </w:tc>
        <w:tc>
          <w:tcPr>
            <w:tcW w:w="992" w:type="dxa"/>
            <w:noWrap w:val="0"/>
            <w:vAlign w:val="center"/>
          </w:tcPr>
          <w:p>
            <w:pPr>
              <w:wordWrap w:val="0"/>
              <w:overflowPunct w:val="0"/>
              <w:spacing w:line="280" w:lineRule="exact"/>
              <w:rPr>
                <w:rFonts w:ascii="宋体" w:hAnsi="宋体"/>
                <w:b/>
                <w:szCs w:val="21"/>
              </w:rPr>
            </w:pPr>
            <w:r>
              <w:rPr>
                <w:rFonts w:hint="eastAsia" w:ascii="宋体" w:hAnsi="宋体"/>
                <w:b/>
                <w:szCs w:val="21"/>
              </w:rPr>
              <w:t>已使用</w:t>
            </w:r>
          </w:p>
          <w:p>
            <w:pPr>
              <w:wordWrap w:val="0"/>
              <w:overflowPunct w:val="0"/>
              <w:spacing w:line="280" w:lineRule="exact"/>
              <w:rPr>
                <w:rFonts w:ascii="宋体" w:hAnsi="宋体"/>
                <w:b/>
                <w:szCs w:val="21"/>
              </w:rPr>
            </w:pPr>
            <w:r>
              <w:rPr>
                <w:rFonts w:hint="eastAsia" w:ascii="宋体" w:hAnsi="宋体"/>
                <w:b/>
                <w:szCs w:val="21"/>
              </w:rPr>
              <w:t>年限</w:t>
            </w:r>
          </w:p>
        </w:tc>
        <w:tc>
          <w:tcPr>
            <w:tcW w:w="1276" w:type="dxa"/>
            <w:noWrap w:val="0"/>
            <w:vAlign w:val="top"/>
          </w:tcPr>
          <w:p>
            <w:pPr>
              <w:wordWrap w:val="0"/>
              <w:overflowPunct w:val="0"/>
              <w:spacing w:line="280" w:lineRule="exact"/>
              <w:rPr>
                <w:rFonts w:ascii="宋体" w:hAnsi="宋体"/>
                <w:b/>
                <w:szCs w:val="21"/>
              </w:rPr>
            </w:pPr>
            <w:r>
              <w:rPr>
                <w:rFonts w:hint="eastAsia" w:ascii="宋体" w:hAnsi="宋体"/>
                <w:b/>
                <w:szCs w:val="21"/>
              </w:rPr>
              <w:t>核定载重量（kg）</w:t>
            </w:r>
          </w:p>
        </w:tc>
        <w:tc>
          <w:tcPr>
            <w:tcW w:w="851" w:type="dxa"/>
            <w:noWrap w:val="0"/>
            <w:vAlign w:val="center"/>
          </w:tcPr>
          <w:p>
            <w:pPr>
              <w:wordWrap w:val="0"/>
              <w:overflowPunct w:val="0"/>
              <w:spacing w:line="280" w:lineRule="exact"/>
              <w:rPr>
                <w:rFonts w:ascii="宋体" w:hAnsi="宋体"/>
                <w:b/>
                <w:szCs w:val="21"/>
              </w:rPr>
            </w:pPr>
            <w:r>
              <w:rPr>
                <w:rFonts w:hint="eastAsia" w:ascii="宋体" w:hAnsi="宋体"/>
                <w:b/>
                <w:szCs w:val="21"/>
              </w:rPr>
              <w:t>数量（台）</w:t>
            </w:r>
          </w:p>
        </w:tc>
        <w:tc>
          <w:tcPr>
            <w:tcW w:w="1134" w:type="dxa"/>
            <w:noWrap w:val="0"/>
            <w:vAlign w:val="top"/>
          </w:tcPr>
          <w:p>
            <w:pPr>
              <w:wordWrap w:val="0"/>
              <w:overflowPunct w:val="0"/>
              <w:spacing w:line="280" w:lineRule="exact"/>
              <w:rPr>
                <w:rFonts w:ascii="宋体" w:hAnsi="宋体"/>
                <w:b/>
                <w:szCs w:val="21"/>
              </w:rPr>
            </w:pPr>
            <w:r>
              <w:rPr>
                <w:rFonts w:hint="eastAsia" w:ascii="宋体" w:hAnsi="宋体"/>
                <w:b/>
                <w:szCs w:val="21"/>
              </w:rPr>
              <w:t>价格(元)</w:t>
            </w:r>
          </w:p>
        </w:tc>
        <w:tc>
          <w:tcPr>
            <w:tcW w:w="1275" w:type="dxa"/>
            <w:noWrap w:val="0"/>
            <w:vAlign w:val="center"/>
          </w:tcPr>
          <w:p>
            <w:pPr>
              <w:wordWrap w:val="0"/>
              <w:overflowPunct w:val="0"/>
              <w:spacing w:line="280" w:lineRule="exact"/>
              <w:rPr>
                <w:rFonts w:ascii="宋体" w:hAnsi="宋体"/>
                <w:b/>
                <w:szCs w:val="21"/>
              </w:rPr>
            </w:pPr>
            <w:r>
              <w:rPr>
                <w:rFonts w:hint="eastAsia" w:ascii="宋体" w:hAnsi="宋体"/>
                <w:b/>
                <w:szCs w:val="21"/>
              </w:rPr>
              <w:t xml:space="preserve">车辆持有形式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11" w:hRule="exact"/>
        </w:trPr>
        <w:tc>
          <w:tcPr>
            <w:tcW w:w="413" w:type="dxa"/>
            <w:noWrap w:val="0"/>
            <w:vAlign w:val="center"/>
          </w:tcPr>
          <w:p>
            <w:pPr>
              <w:wordWrap w:val="0"/>
              <w:overflowPunct w:val="0"/>
              <w:spacing w:line="360" w:lineRule="auto"/>
              <w:rPr>
                <w:rFonts w:ascii="宋体" w:hAnsi="宋体"/>
                <w:sz w:val="22"/>
              </w:rPr>
            </w:pPr>
          </w:p>
        </w:tc>
        <w:tc>
          <w:tcPr>
            <w:tcW w:w="1352" w:type="dxa"/>
            <w:noWrap w:val="0"/>
            <w:vAlign w:val="center"/>
          </w:tcPr>
          <w:p>
            <w:pPr>
              <w:wordWrap w:val="0"/>
              <w:overflowPunct w:val="0"/>
              <w:spacing w:line="360" w:lineRule="auto"/>
              <w:rPr>
                <w:rFonts w:ascii="宋体" w:hAnsi="宋体"/>
                <w:b/>
                <w:sz w:val="22"/>
              </w:rPr>
            </w:pPr>
          </w:p>
        </w:tc>
        <w:tc>
          <w:tcPr>
            <w:tcW w:w="1273" w:type="dxa"/>
            <w:noWrap w:val="0"/>
            <w:vAlign w:val="center"/>
          </w:tcPr>
          <w:p>
            <w:pPr>
              <w:wordWrap w:val="0"/>
              <w:overflowPunct w:val="0"/>
              <w:spacing w:line="360" w:lineRule="auto"/>
              <w:rPr>
                <w:rFonts w:ascii="宋体" w:hAnsi="宋体"/>
                <w:b/>
                <w:sz w:val="22"/>
              </w:rPr>
            </w:pPr>
          </w:p>
        </w:tc>
        <w:tc>
          <w:tcPr>
            <w:tcW w:w="1181" w:type="dxa"/>
            <w:noWrap w:val="0"/>
            <w:vAlign w:val="center"/>
          </w:tcPr>
          <w:p>
            <w:pPr>
              <w:wordWrap w:val="0"/>
              <w:overflowPunct w:val="0"/>
              <w:spacing w:line="360" w:lineRule="auto"/>
              <w:rPr>
                <w:rFonts w:ascii="宋体" w:hAnsi="宋体"/>
                <w:b/>
                <w:sz w:val="22"/>
              </w:rPr>
            </w:pPr>
          </w:p>
        </w:tc>
        <w:tc>
          <w:tcPr>
            <w:tcW w:w="992" w:type="dxa"/>
            <w:noWrap w:val="0"/>
            <w:vAlign w:val="center"/>
          </w:tcPr>
          <w:p>
            <w:pPr>
              <w:wordWrap w:val="0"/>
              <w:overflowPunct w:val="0"/>
              <w:spacing w:line="360" w:lineRule="auto"/>
              <w:rPr>
                <w:rFonts w:ascii="宋体" w:hAnsi="宋体"/>
                <w:b/>
                <w:sz w:val="22"/>
              </w:rPr>
            </w:pPr>
          </w:p>
        </w:tc>
        <w:tc>
          <w:tcPr>
            <w:tcW w:w="1276" w:type="dxa"/>
            <w:noWrap w:val="0"/>
            <w:vAlign w:val="center"/>
          </w:tcPr>
          <w:p>
            <w:pPr>
              <w:wordWrap w:val="0"/>
              <w:overflowPunct w:val="0"/>
              <w:spacing w:line="360" w:lineRule="auto"/>
              <w:rPr>
                <w:rFonts w:ascii="宋体" w:hAnsi="宋体"/>
                <w:b/>
                <w:sz w:val="22"/>
              </w:rPr>
            </w:pPr>
          </w:p>
        </w:tc>
        <w:tc>
          <w:tcPr>
            <w:tcW w:w="851" w:type="dxa"/>
            <w:noWrap w:val="0"/>
            <w:vAlign w:val="center"/>
          </w:tcPr>
          <w:p>
            <w:pPr>
              <w:wordWrap w:val="0"/>
              <w:overflowPunct w:val="0"/>
              <w:spacing w:line="360" w:lineRule="auto"/>
              <w:rPr>
                <w:rFonts w:ascii="宋体" w:hAnsi="宋体"/>
                <w:b/>
                <w:sz w:val="22"/>
              </w:rPr>
            </w:pPr>
          </w:p>
        </w:tc>
        <w:tc>
          <w:tcPr>
            <w:tcW w:w="1134" w:type="dxa"/>
            <w:noWrap w:val="0"/>
            <w:vAlign w:val="center"/>
          </w:tcPr>
          <w:p>
            <w:pPr>
              <w:wordWrap w:val="0"/>
              <w:overflowPunct w:val="0"/>
              <w:spacing w:line="360" w:lineRule="auto"/>
              <w:rPr>
                <w:rFonts w:ascii="宋体" w:hAnsi="宋体"/>
                <w:b/>
                <w:sz w:val="22"/>
              </w:rPr>
            </w:pPr>
          </w:p>
        </w:tc>
        <w:tc>
          <w:tcPr>
            <w:tcW w:w="1275" w:type="dxa"/>
            <w:noWrap w:val="0"/>
            <w:vAlign w:val="center"/>
          </w:tcPr>
          <w:p>
            <w:pPr>
              <w:wordWrap w:val="0"/>
              <w:overflowPunct w:val="0"/>
              <w:spacing w:line="360" w:lineRule="auto"/>
              <w:rPr>
                <w:rFonts w:ascii="宋体" w:hAnsi="宋体"/>
                <w:b/>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11" w:hRule="exact"/>
        </w:trPr>
        <w:tc>
          <w:tcPr>
            <w:tcW w:w="413" w:type="dxa"/>
            <w:noWrap w:val="0"/>
            <w:vAlign w:val="center"/>
          </w:tcPr>
          <w:p>
            <w:pPr>
              <w:wordWrap w:val="0"/>
              <w:overflowPunct w:val="0"/>
              <w:spacing w:line="360" w:lineRule="auto"/>
              <w:rPr>
                <w:rFonts w:ascii="宋体" w:hAnsi="宋体"/>
                <w:sz w:val="22"/>
              </w:rPr>
            </w:pPr>
          </w:p>
        </w:tc>
        <w:tc>
          <w:tcPr>
            <w:tcW w:w="1352" w:type="dxa"/>
            <w:noWrap w:val="0"/>
            <w:vAlign w:val="center"/>
          </w:tcPr>
          <w:p>
            <w:pPr>
              <w:wordWrap w:val="0"/>
              <w:overflowPunct w:val="0"/>
              <w:spacing w:line="360" w:lineRule="auto"/>
              <w:rPr>
                <w:rFonts w:ascii="宋体" w:hAnsi="宋体"/>
                <w:b/>
                <w:sz w:val="22"/>
              </w:rPr>
            </w:pPr>
          </w:p>
        </w:tc>
        <w:tc>
          <w:tcPr>
            <w:tcW w:w="1273" w:type="dxa"/>
            <w:noWrap w:val="0"/>
            <w:vAlign w:val="center"/>
          </w:tcPr>
          <w:p>
            <w:pPr>
              <w:wordWrap w:val="0"/>
              <w:overflowPunct w:val="0"/>
              <w:spacing w:line="360" w:lineRule="auto"/>
              <w:rPr>
                <w:rFonts w:ascii="宋体" w:hAnsi="宋体"/>
                <w:b/>
                <w:sz w:val="22"/>
              </w:rPr>
            </w:pPr>
          </w:p>
        </w:tc>
        <w:tc>
          <w:tcPr>
            <w:tcW w:w="1181" w:type="dxa"/>
            <w:noWrap w:val="0"/>
            <w:vAlign w:val="center"/>
          </w:tcPr>
          <w:p>
            <w:pPr>
              <w:wordWrap w:val="0"/>
              <w:overflowPunct w:val="0"/>
              <w:spacing w:line="360" w:lineRule="auto"/>
              <w:rPr>
                <w:rFonts w:ascii="宋体" w:hAnsi="宋体"/>
                <w:b/>
                <w:sz w:val="22"/>
              </w:rPr>
            </w:pPr>
          </w:p>
        </w:tc>
        <w:tc>
          <w:tcPr>
            <w:tcW w:w="992" w:type="dxa"/>
            <w:noWrap w:val="0"/>
            <w:vAlign w:val="center"/>
          </w:tcPr>
          <w:p>
            <w:pPr>
              <w:wordWrap w:val="0"/>
              <w:overflowPunct w:val="0"/>
              <w:spacing w:line="360" w:lineRule="auto"/>
              <w:rPr>
                <w:rFonts w:ascii="宋体" w:hAnsi="宋体"/>
                <w:b/>
                <w:sz w:val="22"/>
              </w:rPr>
            </w:pPr>
          </w:p>
        </w:tc>
        <w:tc>
          <w:tcPr>
            <w:tcW w:w="1276" w:type="dxa"/>
            <w:noWrap w:val="0"/>
            <w:vAlign w:val="center"/>
          </w:tcPr>
          <w:p>
            <w:pPr>
              <w:wordWrap w:val="0"/>
              <w:overflowPunct w:val="0"/>
              <w:spacing w:line="360" w:lineRule="auto"/>
              <w:rPr>
                <w:rFonts w:ascii="宋体" w:hAnsi="宋体"/>
                <w:b/>
                <w:sz w:val="22"/>
              </w:rPr>
            </w:pPr>
          </w:p>
        </w:tc>
        <w:tc>
          <w:tcPr>
            <w:tcW w:w="851" w:type="dxa"/>
            <w:noWrap w:val="0"/>
            <w:vAlign w:val="center"/>
          </w:tcPr>
          <w:p>
            <w:pPr>
              <w:wordWrap w:val="0"/>
              <w:overflowPunct w:val="0"/>
              <w:spacing w:line="360" w:lineRule="auto"/>
              <w:rPr>
                <w:rFonts w:ascii="宋体" w:hAnsi="宋体"/>
                <w:b/>
                <w:sz w:val="22"/>
              </w:rPr>
            </w:pPr>
          </w:p>
        </w:tc>
        <w:tc>
          <w:tcPr>
            <w:tcW w:w="1134" w:type="dxa"/>
            <w:noWrap w:val="0"/>
            <w:vAlign w:val="center"/>
          </w:tcPr>
          <w:p>
            <w:pPr>
              <w:wordWrap w:val="0"/>
              <w:overflowPunct w:val="0"/>
              <w:spacing w:line="360" w:lineRule="auto"/>
              <w:rPr>
                <w:rFonts w:ascii="宋体" w:hAnsi="宋体"/>
                <w:b/>
                <w:sz w:val="22"/>
              </w:rPr>
            </w:pPr>
          </w:p>
        </w:tc>
        <w:tc>
          <w:tcPr>
            <w:tcW w:w="1275" w:type="dxa"/>
            <w:noWrap w:val="0"/>
            <w:vAlign w:val="center"/>
          </w:tcPr>
          <w:p>
            <w:pPr>
              <w:wordWrap w:val="0"/>
              <w:overflowPunct w:val="0"/>
              <w:spacing w:line="360" w:lineRule="auto"/>
              <w:rPr>
                <w:rFonts w:ascii="宋体" w:hAnsi="宋体"/>
                <w:b/>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11" w:hRule="exact"/>
        </w:trPr>
        <w:tc>
          <w:tcPr>
            <w:tcW w:w="413" w:type="dxa"/>
            <w:noWrap w:val="0"/>
            <w:vAlign w:val="center"/>
          </w:tcPr>
          <w:p>
            <w:pPr>
              <w:wordWrap w:val="0"/>
              <w:overflowPunct w:val="0"/>
              <w:spacing w:line="360" w:lineRule="auto"/>
              <w:rPr>
                <w:rFonts w:ascii="宋体" w:hAnsi="宋体"/>
                <w:sz w:val="22"/>
              </w:rPr>
            </w:pPr>
          </w:p>
        </w:tc>
        <w:tc>
          <w:tcPr>
            <w:tcW w:w="1352" w:type="dxa"/>
            <w:noWrap w:val="0"/>
            <w:vAlign w:val="center"/>
          </w:tcPr>
          <w:p>
            <w:pPr>
              <w:wordWrap w:val="0"/>
              <w:overflowPunct w:val="0"/>
              <w:spacing w:line="360" w:lineRule="auto"/>
              <w:rPr>
                <w:rFonts w:ascii="宋体" w:hAnsi="宋体"/>
                <w:b/>
                <w:sz w:val="22"/>
              </w:rPr>
            </w:pPr>
          </w:p>
        </w:tc>
        <w:tc>
          <w:tcPr>
            <w:tcW w:w="1273" w:type="dxa"/>
            <w:noWrap w:val="0"/>
            <w:vAlign w:val="center"/>
          </w:tcPr>
          <w:p>
            <w:pPr>
              <w:wordWrap w:val="0"/>
              <w:overflowPunct w:val="0"/>
              <w:spacing w:line="360" w:lineRule="auto"/>
              <w:rPr>
                <w:rFonts w:ascii="宋体" w:hAnsi="宋体"/>
                <w:b/>
                <w:sz w:val="22"/>
              </w:rPr>
            </w:pPr>
          </w:p>
        </w:tc>
        <w:tc>
          <w:tcPr>
            <w:tcW w:w="1181" w:type="dxa"/>
            <w:noWrap w:val="0"/>
            <w:vAlign w:val="center"/>
          </w:tcPr>
          <w:p>
            <w:pPr>
              <w:wordWrap w:val="0"/>
              <w:overflowPunct w:val="0"/>
              <w:spacing w:line="360" w:lineRule="auto"/>
              <w:rPr>
                <w:rFonts w:ascii="宋体" w:hAnsi="宋体"/>
                <w:b/>
                <w:sz w:val="22"/>
              </w:rPr>
            </w:pPr>
          </w:p>
        </w:tc>
        <w:tc>
          <w:tcPr>
            <w:tcW w:w="992" w:type="dxa"/>
            <w:noWrap w:val="0"/>
            <w:vAlign w:val="center"/>
          </w:tcPr>
          <w:p>
            <w:pPr>
              <w:wordWrap w:val="0"/>
              <w:overflowPunct w:val="0"/>
              <w:spacing w:line="360" w:lineRule="auto"/>
              <w:rPr>
                <w:rFonts w:ascii="宋体" w:hAnsi="宋体"/>
                <w:b/>
                <w:sz w:val="22"/>
              </w:rPr>
            </w:pPr>
          </w:p>
        </w:tc>
        <w:tc>
          <w:tcPr>
            <w:tcW w:w="1276" w:type="dxa"/>
            <w:noWrap w:val="0"/>
            <w:vAlign w:val="center"/>
          </w:tcPr>
          <w:p>
            <w:pPr>
              <w:wordWrap w:val="0"/>
              <w:overflowPunct w:val="0"/>
              <w:spacing w:line="360" w:lineRule="auto"/>
              <w:rPr>
                <w:rFonts w:ascii="宋体" w:hAnsi="宋体"/>
                <w:b/>
                <w:sz w:val="22"/>
              </w:rPr>
            </w:pPr>
          </w:p>
        </w:tc>
        <w:tc>
          <w:tcPr>
            <w:tcW w:w="851" w:type="dxa"/>
            <w:noWrap w:val="0"/>
            <w:vAlign w:val="center"/>
          </w:tcPr>
          <w:p>
            <w:pPr>
              <w:wordWrap w:val="0"/>
              <w:overflowPunct w:val="0"/>
              <w:spacing w:line="360" w:lineRule="auto"/>
              <w:rPr>
                <w:rFonts w:ascii="宋体" w:hAnsi="宋体"/>
                <w:b/>
                <w:sz w:val="22"/>
              </w:rPr>
            </w:pPr>
          </w:p>
        </w:tc>
        <w:tc>
          <w:tcPr>
            <w:tcW w:w="1134" w:type="dxa"/>
            <w:noWrap w:val="0"/>
            <w:vAlign w:val="center"/>
          </w:tcPr>
          <w:p>
            <w:pPr>
              <w:wordWrap w:val="0"/>
              <w:overflowPunct w:val="0"/>
              <w:spacing w:line="360" w:lineRule="auto"/>
              <w:rPr>
                <w:rFonts w:ascii="宋体" w:hAnsi="宋体"/>
                <w:b/>
                <w:sz w:val="22"/>
              </w:rPr>
            </w:pPr>
          </w:p>
        </w:tc>
        <w:tc>
          <w:tcPr>
            <w:tcW w:w="1275" w:type="dxa"/>
            <w:noWrap w:val="0"/>
            <w:vAlign w:val="center"/>
          </w:tcPr>
          <w:p>
            <w:pPr>
              <w:wordWrap w:val="0"/>
              <w:overflowPunct w:val="0"/>
              <w:spacing w:line="360" w:lineRule="auto"/>
              <w:rPr>
                <w:rFonts w:ascii="宋体" w:hAnsi="宋体"/>
                <w:b/>
                <w:sz w:val="22"/>
              </w:rPr>
            </w:pPr>
          </w:p>
        </w:tc>
      </w:tr>
    </w:tbl>
    <w:p>
      <w:pPr>
        <w:wordWrap w:val="0"/>
        <w:overflowPunct w:val="0"/>
        <w:spacing w:line="400" w:lineRule="exact"/>
        <w:rPr>
          <w:rFonts w:ascii="宋体" w:hAnsi="宋体"/>
          <w:b/>
          <w:sz w:val="22"/>
          <w:u w:val="single"/>
        </w:rPr>
      </w:pPr>
      <w:r>
        <w:rPr>
          <w:rFonts w:hint="eastAsia" w:ascii="宋体" w:hAnsi="宋体"/>
          <w:b/>
          <w:sz w:val="22"/>
        </w:rPr>
        <w:t>项目名称：                                                      招标编号：</w:t>
      </w:r>
    </w:p>
    <w:p>
      <w:pPr>
        <w:pStyle w:val="19"/>
        <w:spacing w:line="360" w:lineRule="exact"/>
        <w:ind w:left="770" w:hanging="770" w:hangingChars="350"/>
        <w:rPr>
          <w:rFonts w:hAnsi="宋体"/>
        </w:rPr>
      </w:pPr>
      <w:r>
        <w:rPr>
          <w:rFonts w:hint="eastAsia" w:hAnsi="宋体"/>
          <w:sz w:val="22"/>
        </w:rPr>
        <w:t>注</w:t>
      </w:r>
      <w:r>
        <w:rPr>
          <w:rFonts w:hint="eastAsia" w:hAnsi="宋体"/>
        </w:rPr>
        <w:t>：1、本表所列为投标人拟投入本项目专用的作业车辆清单。</w:t>
      </w:r>
    </w:p>
    <w:p>
      <w:pPr>
        <w:pStyle w:val="19"/>
        <w:spacing w:line="360" w:lineRule="exact"/>
        <w:ind w:left="752" w:leftChars="208" w:hanging="315" w:hangingChars="150"/>
        <w:rPr>
          <w:rFonts w:hAnsi="宋体"/>
        </w:rPr>
      </w:pPr>
      <w:r>
        <w:rPr>
          <w:rFonts w:hint="eastAsia" w:hAnsi="宋体"/>
        </w:rPr>
        <w:t>2、本表所列设备价格不计入投标总价，但应在投标价格中考虑车辆的损耗、折旧及有关使用、维修费用。</w:t>
      </w:r>
    </w:p>
    <w:p>
      <w:pPr>
        <w:pStyle w:val="19"/>
        <w:spacing w:line="360" w:lineRule="exact"/>
        <w:ind w:left="647" w:leftChars="208" w:hanging="210" w:hangingChars="100"/>
        <w:rPr>
          <w:rFonts w:hAnsi="宋体"/>
        </w:rPr>
      </w:pPr>
      <w:r>
        <w:rPr>
          <w:rFonts w:hint="eastAsia" w:hAnsi="宋体"/>
        </w:rPr>
        <w:t>3、表格中必须注明车辆的持有形式（自有已上牌、现已租赁、承诺中标后购买、承诺中标后租赁），并提供以下证明资料：。</w:t>
      </w:r>
    </w:p>
    <w:p>
      <w:pPr>
        <w:pStyle w:val="19"/>
        <w:widowControl/>
        <w:numPr>
          <w:ilvl w:val="0"/>
          <w:numId w:val="27"/>
        </w:numPr>
        <w:overflowPunct w:val="0"/>
        <w:autoSpaceDE w:val="0"/>
        <w:autoSpaceDN w:val="0"/>
        <w:adjustRightInd w:val="0"/>
        <w:spacing w:line="360" w:lineRule="exact"/>
        <w:jc w:val="left"/>
        <w:textAlignment w:val="baseline"/>
        <w:rPr>
          <w:rFonts w:hAnsi="宋体"/>
        </w:rPr>
      </w:pPr>
      <w:r>
        <w:rPr>
          <w:rFonts w:hint="eastAsia" w:hAnsi="宋体" w:cs="宋体"/>
        </w:rPr>
        <w:t>投标供应商自有已上牌(指投标供应商自行购置，包括分公司或全资子公司购置)车辆：提供公安部门颁发的行驶证（行驶证带车辆照片）扫描件和车辆彩色照片</w:t>
      </w:r>
      <w:r>
        <w:rPr>
          <w:rFonts w:hint="eastAsia" w:hAnsi="宋体" w:cs="宋体"/>
          <w:szCs w:val="21"/>
        </w:rPr>
        <w:t>（注明车辆种类）</w:t>
      </w:r>
      <w:r>
        <w:rPr>
          <w:rFonts w:hint="eastAsia" w:hAnsi="宋体" w:cs="宋体"/>
        </w:rPr>
        <w:t>；</w:t>
      </w:r>
      <w:r>
        <w:rPr>
          <w:rFonts w:hint="eastAsia" w:hAnsi="宋体" w:cs="宋体"/>
          <w:b/>
          <w:szCs w:val="21"/>
        </w:rPr>
        <w:t>自有已上牌车辆必须为2017年1月1日以来首次上牌车辆</w:t>
      </w:r>
      <w:r>
        <w:rPr>
          <w:rFonts w:hint="eastAsia" w:hAnsi="宋体"/>
          <w:b/>
        </w:rPr>
        <w:t>；</w:t>
      </w:r>
    </w:p>
    <w:p>
      <w:pPr>
        <w:pStyle w:val="19"/>
        <w:widowControl/>
        <w:numPr>
          <w:ilvl w:val="0"/>
          <w:numId w:val="27"/>
        </w:numPr>
        <w:overflowPunct w:val="0"/>
        <w:autoSpaceDE w:val="0"/>
        <w:autoSpaceDN w:val="0"/>
        <w:adjustRightInd w:val="0"/>
        <w:spacing w:line="360" w:lineRule="exact"/>
        <w:jc w:val="left"/>
        <w:textAlignment w:val="baseline"/>
        <w:rPr>
          <w:rFonts w:hint="eastAsia" w:hAnsi="宋体"/>
        </w:rPr>
      </w:pPr>
      <w:r>
        <w:rPr>
          <w:rFonts w:hint="eastAsia" w:hAnsi="宋体"/>
        </w:rPr>
        <w:t>现已租赁车辆：提供公安部门颁发的行驶证（行驶证带车辆照片）扫描件、车辆全身彩色照片（注明车辆种类）及对应车辆租赁合同（租赁期覆盖本项目服务期）；现已租赁车辆必须为2019年1月1日以来首次上牌车辆；</w:t>
      </w:r>
    </w:p>
    <w:p>
      <w:pPr>
        <w:pStyle w:val="19"/>
        <w:widowControl/>
        <w:numPr>
          <w:ilvl w:val="0"/>
          <w:numId w:val="27"/>
        </w:numPr>
        <w:overflowPunct w:val="0"/>
        <w:autoSpaceDE w:val="0"/>
        <w:autoSpaceDN w:val="0"/>
        <w:adjustRightInd w:val="0"/>
        <w:spacing w:line="360" w:lineRule="exact"/>
        <w:jc w:val="left"/>
        <w:textAlignment w:val="baseline"/>
        <w:rPr>
          <w:rFonts w:hAnsi="宋体"/>
        </w:rPr>
      </w:pPr>
      <w:r>
        <w:rPr>
          <w:rFonts w:hint="eastAsia" w:hAnsi="宋体"/>
        </w:rPr>
        <w:t>承诺中标后购买或租赁的车辆：提供购买或租赁承诺书（承诺中标后购买及租赁车辆必须为2019年1月1</w:t>
      </w:r>
      <w:r>
        <w:rPr>
          <w:rFonts w:hint="eastAsia" w:hAnsi="宋体"/>
          <w:b/>
        </w:rPr>
        <w:t>日以来首次上牌车辆）及车辆全身彩色照片（注明车辆种类）；</w:t>
      </w:r>
    </w:p>
    <w:p>
      <w:pPr>
        <w:pStyle w:val="19"/>
        <w:wordWrap w:val="0"/>
        <w:spacing w:line="360" w:lineRule="exact"/>
        <w:ind w:firstLine="525" w:firstLineChars="250"/>
        <w:rPr>
          <w:rFonts w:hAnsi="宋体"/>
        </w:rPr>
      </w:pPr>
      <w:r>
        <w:rPr>
          <w:rFonts w:hint="eastAsia" w:hAnsi="宋体"/>
        </w:rPr>
        <w:t>4、此表仅提供了表格形式，投标人可按此表格复制。</w:t>
      </w:r>
    </w:p>
    <w:p>
      <w:pPr>
        <w:wordWrap w:val="0"/>
        <w:overflowPunct w:val="0"/>
        <w:spacing w:line="480" w:lineRule="auto"/>
        <w:ind w:right="-2" w:firstLine="5250" w:firstLineChars="2500"/>
        <w:rPr>
          <w:rFonts w:hint="eastAsia" w:ascii="Arial" w:hAnsi="Arial"/>
        </w:rPr>
      </w:pPr>
    </w:p>
    <w:p>
      <w:pPr>
        <w:wordWrap w:val="0"/>
        <w:overflowPunct w:val="0"/>
        <w:spacing w:line="480" w:lineRule="auto"/>
        <w:ind w:right="-2" w:firstLine="5250" w:firstLineChars="2500"/>
        <w:rPr>
          <w:rFonts w:ascii="Arial" w:hAnsi="Arial"/>
        </w:rPr>
      </w:pPr>
      <w:r>
        <w:rPr>
          <w:rFonts w:hint="eastAsia" w:ascii="Arial" w:hAnsi="Arial"/>
        </w:rPr>
        <w:t>投标供应商（公章）：</w:t>
      </w:r>
    </w:p>
    <w:p>
      <w:pPr>
        <w:wordWrap w:val="0"/>
        <w:overflowPunct w:val="0"/>
        <w:spacing w:line="480" w:lineRule="auto"/>
        <w:ind w:right="-2" w:firstLine="5250" w:firstLineChars="2500"/>
        <w:rPr>
          <w:rFonts w:ascii="Arial" w:hAnsi="Arial"/>
        </w:rPr>
      </w:pPr>
      <w:r>
        <w:rPr>
          <w:rFonts w:hint="eastAsia" w:ascii="Arial" w:hAnsi="Arial"/>
        </w:rPr>
        <w:t>法定</w:t>
      </w:r>
      <w:r>
        <w:rPr>
          <w:rFonts w:hint="eastAsia" w:ascii="Arial" w:hAnsi="Arial"/>
          <w:szCs w:val="22"/>
        </w:rPr>
        <w:t>代表人</w:t>
      </w:r>
      <w:r>
        <w:rPr>
          <w:rFonts w:hint="eastAsia" w:ascii="Arial" w:hAnsi="Arial"/>
        </w:rPr>
        <w:t>或授权代表（签字或盖章）：</w:t>
      </w:r>
    </w:p>
    <w:p>
      <w:pPr>
        <w:wordWrap w:val="0"/>
        <w:overflowPunct w:val="0"/>
        <w:spacing w:line="480" w:lineRule="auto"/>
        <w:ind w:right="-2" w:firstLine="5250" w:firstLineChars="2500"/>
        <w:rPr>
          <w:rFonts w:hint="eastAsia" w:ascii="Arial" w:hAnsi="Arial"/>
        </w:rPr>
      </w:pPr>
      <w:r>
        <w:rPr>
          <w:rFonts w:hint="eastAsia" w:ascii="Arial" w:hAnsi="Arial"/>
          <w:szCs w:val="22"/>
        </w:rPr>
        <w:t>日期</w:t>
      </w:r>
      <w:r>
        <w:rPr>
          <w:rFonts w:hint="eastAsia" w:ascii="宋体" w:hAnsi="宋体"/>
        </w:rPr>
        <w:t>：</w:t>
      </w:r>
    </w:p>
    <w:p>
      <w:pPr>
        <w:wordWrap w:val="0"/>
        <w:overflowPunct w:val="0"/>
        <w:spacing w:line="400" w:lineRule="exact"/>
        <w:jc w:val="center"/>
        <w:rPr>
          <w:rFonts w:ascii="宋体" w:hAnsi="宋体"/>
          <w:sz w:val="28"/>
        </w:rPr>
      </w:pPr>
      <w:r>
        <w:rPr>
          <w:rFonts w:hint="eastAsia" w:ascii="宋体" w:hAnsi="宋体"/>
          <w:b/>
          <w:sz w:val="28"/>
          <w:szCs w:val="28"/>
        </w:rPr>
        <w:br w:type="page"/>
      </w:r>
      <w:r>
        <w:rPr>
          <w:rFonts w:hint="eastAsia" w:ascii="宋体" w:hAnsi="宋体"/>
          <w:b/>
          <w:sz w:val="28"/>
          <w:szCs w:val="28"/>
        </w:rPr>
        <w:t>（2）进场作业机具、设备明细表</w:t>
      </w:r>
    </w:p>
    <w:p>
      <w:pPr>
        <w:wordWrap w:val="0"/>
        <w:overflowPunct w:val="0"/>
        <w:spacing w:line="400" w:lineRule="exact"/>
        <w:rPr>
          <w:rFonts w:ascii="宋体" w:hAnsi="宋体"/>
          <w:b/>
          <w:sz w:val="28"/>
          <w:szCs w:val="28"/>
        </w:rPr>
      </w:pPr>
      <w:r>
        <w:rPr>
          <w:rFonts w:hint="eastAsia" w:ascii="宋体" w:hAnsi="宋体"/>
          <w:b/>
          <w:sz w:val="22"/>
        </w:rPr>
        <w:t>项目名称：                                                      招标编号：</w:t>
      </w:r>
    </w:p>
    <w:tbl>
      <w:tblPr>
        <w:tblStyle w:val="35"/>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63"/>
        <w:gridCol w:w="1517"/>
        <w:gridCol w:w="1428"/>
        <w:gridCol w:w="1538"/>
        <w:gridCol w:w="1318"/>
        <w:gridCol w:w="878"/>
        <w:gridCol w:w="988"/>
        <w:gridCol w:w="15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26" w:hRule="atLeast"/>
        </w:trPr>
        <w:tc>
          <w:tcPr>
            <w:tcW w:w="463" w:type="dxa"/>
            <w:noWrap w:val="0"/>
            <w:vAlign w:val="center"/>
          </w:tcPr>
          <w:p>
            <w:pPr>
              <w:wordWrap w:val="0"/>
              <w:overflowPunct w:val="0"/>
              <w:rPr>
                <w:rFonts w:ascii="宋体" w:hAnsi="宋体" w:cs="Arial"/>
                <w:b/>
                <w:szCs w:val="21"/>
              </w:rPr>
            </w:pPr>
            <w:r>
              <w:rPr>
                <w:rFonts w:ascii="宋体" w:hAnsi="宋体" w:cs="Arial"/>
                <w:b/>
                <w:szCs w:val="21"/>
              </w:rPr>
              <w:t>序号</w:t>
            </w:r>
          </w:p>
        </w:tc>
        <w:tc>
          <w:tcPr>
            <w:tcW w:w="1517" w:type="dxa"/>
            <w:noWrap w:val="0"/>
            <w:vAlign w:val="center"/>
          </w:tcPr>
          <w:p>
            <w:pPr>
              <w:wordWrap w:val="0"/>
              <w:overflowPunct w:val="0"/>
              <w:spacing w:line="280" w:lineRule="exact"/>
              <w:rPr>
                <w:rFonts w:ascii="宋体" w:hAnsi="宋体" w:cs="Arial"/>
                <w:b/>
                <w:szCs w:val="21"/>
              </w:rPr>
            </w:pPr>
            <w:r>
              <w:rPr>
                <w:rFonts w:ascii="宋体" w:hAnsi="宋体" w:cs="Arial"/>
                <w:b/>
                <w:szCs w:val="21"/>
              </w:rPr>
              <w:t>设备名称</w:t>
            </w:r>
          </w:p>
        </w:tc>
        <w:tc>
          <w:tcPr>
            <w:tcW w:w="1428" w:type="dxa"/>
            <w:noWrap w:val="0"/>
            <w:vAlign w:val="center"/>
          </w:tcPr>
          <w:p>
            <w:pPr>
              <w:wordWrap w:val="0"/>
              <w:overflowPunct w:val="0"/>
              <w:spacing w:line="280" w:lineRule="exact"/>
              <w:rPr>
                <w:rFonts w:ascii="宋体" w:hAnsi="宋体" w:cs="Arial"/>
                <w:b/>
                <w:szCs w:val="21"/>
              </w:rPr>
            </w:pPr>
            <w:r>
              <w:rPr>
                <w:rFonts w:ascii="宋体" w:hAnsi="宋体" w:cs="Arial"/>
                <w:b/>
                <w:szCs w:val="21"/>
              </w:rPr>
              <w:t>规格型号</w:t>
            </w:r>
          </w:p>
        </w:tc>
        <w:tc>
          <w:tcPr>
            <w:tcW w:w="1538" w:type="dxa"/>
            <w:noWrap w:val="0"/>
            <w:vAlign w:val="center"/>
          </w:tcPr>
          <w:p>
            <w:pPr>
              <w:wordWrap w:val="0"/>
              <w:overflowPunct w:val="0"/>
              <w:spacing w:line="280" w:lineRule="exact"/>
              <w:rPr>
                <w:rFonts w:ascii="宋体" w:hAnsi="宋体" w:cs="Arial"/>
                <w:b/>
                <w:szCs w:val="21"/>
              </w:rPr>
            </w:pPr>
            <w:r>
              <w:rPr>
                <w:rFonts w:ascii="宋体" w:hAnsi="宋体" w:cs="Arial"/>
                <w:b/>
                <w:szCs w:val="21"/>
              </w:rPr>
              <w:t>品牌/产地</w:t>
            </w:r>
          </w:p>
        </w:tc>
        <w:tc>
          <w:tcPr>
            <w:tcW w:w="1318" w:type="dxa"/>
            <w:noWrap w:val="0"/>
            <w:vAlign w:val="center"/>
          </w:tcPr>
          <w:p>
            <w:pPr>
              <w:wordWrap w:val="0"/>
              <w:overflowPunct w:val="0"/>
              <w:spacing w:line="280" w:lineRule="exact"/>
              <w:rPr>
                <w:rFonts w:ascii="宋体" w:hAnsi="宋体" w:cs="Arial"/>
                <w:b/>
                <w:szCs w:val="21"/>
              </w:rPr>
            </w:pPr>
            <w:r>
              <w:rPr>
                <w:rFonts w:ascii="宋体" w:hAnsi="宋体" w:cs="Arial"/>
                <w:b/>
                <w:szCs w:val="21"/>
              </w:rPr>
              <w:t>已使用</w:t>
            </w:r>
          </w:p>
          <w:p>
            <w:pPr>
              <w:wordWrap w:val="0"/>
              <w:overflowPunct w:val="0"/>
              <w:spacing w:line="280" w:lineRule="exact"/>
              <w:rPr>
                <w:rFonts w:ascii="宋体" w:hAnsi="宋体" w:cs="Arial"/>
                <w:b/>
                <w:szCs w:val="21"/>
              </w:rPr>
            </w:pPr>
            <w:r>
              <w:rPr>
                <w:rFonts w:ascii="宋体" w:hAnsi="宋体" w:cs="Arial"/>
                <w:b/>
                <w:szCs w:val="21"/>
              </w:rPr>
              <w:t>年限</w:t>
            </w:r>
          </w:p>
        </w:tc>
        <w:tc>
          <w:tcPr>
            <w:tcW w:w="878" w:type="dxa"/>
            <w:noWrap w:val="0"/>
            <w:vAlign w:val="center"/>
          </w:tcPr>
          <w:p>
            <w:pPr>
              <w:wordWrap w:val="0"/>
              <w:overflowPunct w:val="0"/>
              <w:spacing w:line="280" w:lineRule="exact"/>
              <w:rPr>
                <w:rFonts w:ascii="宋体" w:hAnsi="宋体" w:cs="Arial"/>
                <w:b/>
                <w:szCs w:val="21"/>
              </w:rPr>
            </w:pPr>
            <w:r>
              <w:rPr>
                <w:rFonts w:ascii="宋体" w:hAnsi="宋体" w:cs="Arial"/>
                <w:b/>
                <w:szCs w:val="21"/>
              </w:rPr>
              <w:t>数量（台）</w:t>
            </w:r>
          </w:p>
        </w:tc>
        <w:tc>
          <w:tcPr>
            <w:tcW w:w="988" w:type="dxa"/>
            <w:noWrap w:val="0"/>
            <w:vAlign w:val="top"/>
          </w:tcPr>
          <w:p>
            <w:pPr>
              <w:wordWrap w:val="0"/>
              <w:overflowPunct w:val="0"/>
              <w:spacing w:line="280" w:lineRule="exact"/>
              <w:rPr>
                <w:rFonts w:ascii="宋体" w:hAnsi="宋体" w:cs="Arial"/>
                <w:b/>
                <w:szCs w:val="21"/>
              </w:rPr>
            </w:pPr>
            <w:r>
              <w:rPr>
                <w:rFonts w:ascii="宋体" w:hAnsi="宋体" w:cs="Arial"/>
                <w:b/>
                <w:szCs w:val="21"/>
              </w:rPr>
              <w:t>价格(元)</w:t>
            </w:r>
          </w:p>
        </w:tc>
        <w:tc>
          <w:tcPr>
            <w:tcW w:w="1518" w:type="dxa"/>
            <w:noWrap w:val="0"/>
            <w:vAlign w:val="center"/>
          </w:tcPr>
          <w:p>
            <w:pPr>
              <w:wordWrap w:val="0"/>
              <w:overflowPunct w:val="0"/>
              <w:spacing w:line="280" w:lineRule="exact"/>
              <w:rPr>
                <w:rFonts w:ascii="宋体" w:hAnsi="宋体" w:cs="Arial"/>
                <w:b/>
                <w:szCs w:val="21"/>
              </w:rPr>
            </w:pPr>
            <w:r>
              <w:rPr>
                <w:rFonts w:ascii="宋体" w:hAnsi="宋体" w:cs="Arial"/>
                <w:b/>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19" w:hRule="exact"/>
        </w:trPr>
        <w:tc>
          <w:tcPr>
            <w:tcW w:w="463" w:type="dxa"/>
            <w:noWrap w:val="0"/>
            <w:vAlign w:val="center"/>
          </w:tcPr>
          <w:p>
            <w:pPr>
              <w:wordWrap w:val="0"/>
              <w:overflowPunct w:val="0"/>
              <w:spacing w:line="360" w:lineRule="auto"/>
              <w:rPr>
                <w:rFonts w:ascii="宋体" w:hAnsi="宋体" w:cs="Arial"/>
                <w:sz w:val="22"/>
              </w:rPr>
            </w:pPr>
          </w:p>
        </w:tc>
        <w:tc>
          <w:tcPr>
            <w:tcW w:w="1517" w:type="dxa"/>
            <w:noWrap w:val="0"/>
            <w:vAlign w:val="center"/>
          </w:tcPr>
          <w:p>
            <w:pPr>
              <w:wordWrap w:val="0"/>
              <w:overflowPunct w:val="0"/>
              <w:spacing w:line="360" w:lineRule="auto"/>
              <w:rPr>
                <w:rFonts w:ascii="宋体" w:hAnsi="宋体" w:cs="Arial"/>
                <w:b/>
                <w:sz w:val="22"/>
              </w:rPr>
            </w:pPr>
          </w:p>
        </w:tc>
        <w:tc>
          <w:tcPr>
            <w:tcW w:w="1428" w:type="dxa"/>
            <w:noWrap w:val="0"/>
            <w:vAlign w:val="center"/>
          </w:tcPr>
          <w:p>
            <w:pPr>
              <w:wordWrap w:val="0"/>
              <w:overflowPunct w:val="0"/>
              <w:spacing w:line="360" w:lineRule="auto"/>
              <w:rPr>
                <w:rFonts w:ascii="宋体" w:hAnsi="宋体" w:cs="Arial"/>
                <w:b/>
                <w:sz w:val="22"/>
              </w:rPr>
            </w:pPr>
          </w:p>
        </w:tc>
        <w:tc>
          <w:tcPr>
            <w:tcW w:w="1538" w:type="dxa"/>
            <w:noWrap w:val="0"/>
            <w:vAlign w:val="center"/>
          </w:tcPr>
          <w:p>
            <w:pPr>
              <w:wordWrap w:val="0"/>
              <w:overflowPunct w:val="0"/>
              <w:spacing w:line="360" w:lineRule="auto"/>
              <w:rPr>
                <w:rFonts w:ascii="宋体" w:hAnsi="宋体" w:cs="Arial"/>
                <w:b/>
                <w:sz w:val="22"/>
              </w:rPr>
            </w:pPr>
          </w:p>
        </w:tc>
        <w:tc>
          <w:tcPr>
            <w:tcW w:w="1318" w:type="dxa"/>
            <w:noWrap w:val="0"/>
            <w:vAlign w:val="center"/>
          </w:tcPr>
          <w:p>
            <w:pPr>
              <w:wordWrap w:val="0"/>
              <w:overflowPunct w:val="0"/>
              <w:spacing w:line="360" w:lineRule="auto"/>
              <w:rPr>
                <w:rFonts w:ascii="宋体" w:hAnsi="宋体" w:cs="Arial"/>
                <w:b/>
                <w:sz w:val="22"/>
              </w:rPr>
            </w:pPr>
          </w:p>
        </w:tc>
        <w:tc>
          <w:tcPr>
            <w:tcW w:w="878" w:type="dxa"/>
            <w:noWrap w:val="0"/>
            <w:vAlign w:val="center"/>
          </w:tcPr>
          <w:p>
            <w:pPr>
              <w:wordWrap w:val="0"/>
              <w:overflowPunct w:val="0"/>
              <w:spacing w:line="360" w:lineRule="auto"/>
              <w:rPr>
                <w:rFonts w:ascii="宋体" w:hAnsi="宋体" w:cs="Arial"/>
                <w:b/>
                <w:sz w:val="22"/>
              </w:rPr>
            </w:pPr>
          </w:p>
        </w:tc>
        <w:tc>
          <w:tcPr>
            <w:tcW w:w="988" w:type="dxa"/>
            <w:noWrap w:val="0"/>
            <w:vAlign w:val="center"/>
          </w:tcPr>
          <w:p>
            <w:pPr>
              <w:wordWrap w:val="0"/>
              <w:overflowPunct w:val="0"/>
              <w:spacing w:line="360" w:lineRule="auto"/>
              <w:rPr>
                <w:rFonts w:ascii="宋体" w:hAnsi="宋体" w:cs="Arial"/>
                <w:b/>
                <w:sz w:val="22"/>
              </w:rPr>
            </w:pPr>
          </w:p>
        </w:tc>
        <w:tc>
          <w:tcPr>
            <w:tcW w:w="1518" w:type="dxa"/>
            <w:noWrap w:val="0"/>
            <w:vAlign w:val="center"/>
          </w:tcPr>
          <w:p>
            <w:pPr>
              <w:wordWrap w:val="0"/>
              <w:overflowPunct w:val="0"/>
              <w:spacing w:line="360" w:lineRule="auto"/>
              <w:rPr>
                <w:rFonts w:ascii="宋体" w:hAnsi="宋体" w:cs="Arial"/>
                <w:b/>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19" w:hRule="exact"/>
        </w:trPr>
        <w:tc>
          <w:tcPr>
            <w:tcW w:w="463" w:type="dxa"/>
            <w:noWrap w:val="0"/>
            <w:vAlign w:val="center"/>
          </w:tcPr>
          <w:p>
            <w:pPr>
              <w:wordWrap w:val="0"/>
              <w:overflowPunct w:val="0"/>
              <w:spacing w:line="360" w:lineRule="auto"/>
              <w:rPr>
                <w:rFonts w:ascii="宋体" w:hAnsi="宋体" w:cs="Arial"/>
                <w:sz w:val="22"/>
              </w:rPr>
            </w:pPr>
          </w:p>
        </w:tc>
        <w:tc>
          <w:tcPr>
            <w:tcW w:w="1517" w:type="dxa"/>
            <w:noWrap w:val="0"/>
            <w:vAlign w:val="center"/>
          </w:tcPr>
          <w:p>
            <w:pPr>
              <w:wordWrap w:val="0"/>
              <w:overflowPunct w:val="0"/>
              <w:spacing w:line="360" w:lineRule="auto"/>
              <w:rPr>
                <w:rFonts w:ascii="宋体" w:hAnsi="宋体" w:cs="Arial"/>
                <w:b/>
                <w:sz w:val="22"/>
              </w:rPr>
            </w:pPr>
          </w:p>
        </w:tc>
        <w:tc>
          <w:tcPr>
            <w:tcW w:w="1428" w:type="dxa"/>
            <w:noWrap w:val="0"/>
            <w:vAlign w:val="center"/>
          </w:tcPr>
          <w:p>
            <w:pPr>
              <w:wordWrap w:val="0"/>
              <w:overflowPunct w:val="0"/>
              <w:spacing w:line="360" w:lineRule="auto"/>
              <w:rPr>
                <w:rFonts w:ascii="宋体" w:hAnsi="宋体" w:cs="Arial"/>
                <w:b/>
                <w:sz w:val="22"/>
              </w:rPr>
            </w:pPr>
          </w:p>
        </w:tc>
        <w:tc>
          <w:tcPr>
            <w:tcW w:w="1538" w:type="dxa"/>
            <w:noWrap w:val="0"/>
            <w:vAlign w:val="center"/>
          </w:tcPr>
          <w:p>
            <w:pPr>
              <w:wordWrap w:val="0"/>
              <w:overflowPunct w:val="0"/>
              <w:spacing w:line="360" w:lineRule="auto"/>
              <w:rPr>
                <w:rFonts w:ascii="宋体" w:hAnsi="宋体" w:cs="Arial"/>
                <w:b/>
                <w:sz w:val="22"/>
              </w:rPr>
            </w:pPr>
          </w:p>
        </w:tc>
        <w:tc>
          <w:tcPr>
            <w:tcW w:w="1318" w:type="dxa"/>
            <w:noWrap w:val="0"/>
            <w:vAlign w:val="center"/>
          </w:tcPr>
          <w:p>
            <w:pPr>
              <w:wordWrap w:val="0"/>
              <w:overflowPunct w:val="0"/>
              <w:spacing w:line="360" w:lineRule="auto"/>
              <w:rPr>
                <w:rFonts w:ascii="宋体" w:hAnsi="宋体" w:cs="Arial"/>
                <w:b/>
                <w:sz w:val="22"/>
              </w:rPr>
            </w:pPr>
          </w:p>
        </w:tc>
        <w:tc>
          <w:tcPr>
            <w:tcW w:w="878" w:type="dxa"/>
            <w:noWrap w:val="0"/>
            <w:vAlign w:val="center"/>
          </w:tcPr>
          <w:p>
            <w:pPr>
              <w:wordWrap w:val="0"/>
              <w:overflowPunct w:val="0"/>
              <w:spacing w:line="360" w:lineRule="auto"/>
              <w:rPr>
                <w:rFonts w:ascii="宋体" w:hAnsi="宋体" w:cs="Arial"/>
                <w:b/>
                <w:sz w:val="22"/>
              </w:rPr>
            </w:pPr>
          </w:p>
        </w:tc>
        <w:tc>
          <w:tcPr>
            <w:tcW w:w="988" w:type="dxa"/>
            <w:noWrap w:val="0"/>
            <w:vAlign w:val="center"/>
          </w:tcPr>
          <w:p>
            <w:pPr>
              <w:wordWrap w:val="0"/>
              <w:overflowPunct w:val="0"/>
              <w:spacing w:line="360" w:lineRule="auto"/>
              <w:rPr>
                <w:rFonts w:ascii="宋体" w:hAnsi="宋体" w:cs="Arial"/>
                <w:b/>
                <w:sz w:val="22"/>
              </w:rPr>
            </w:pPr>
          </w:p>
        </w:tc>
        <w:tc>
          <w:tcPr>
            <w:tcW w:w="1518" w:type="dxa"/>
            <w:noWrap w:val="0"/>
            <w:vAlign w:val="center"/>
          </w:tcPr>
          <w:p>
            <w:pPr>
              <w:wordWrap w:val="0"/>
              <w:overflowPunct w:val="0"/>
              <w:spacing w:line="360" w:lineRule="auto"/>
              <w:rPr>
                <w:rFonts w:ascii="宋体" w:hAnsi="宋体" w:cs="Arial"/>
                <w:b/>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19" w:hRule="exact"/>
        </w:trPr>
        <w:tc>
          <w:tcPr>
            <w:tcW w:w="463" w:type="dxa"/>
            <w:noWrap w:val="0"/>
            <w:vAlign w:val="center"/>
          </w:tcPr>
          <w:p>
            <w:pPr>
              <w:wordWrap w:val="0"/>
              <w:overflowPunct w:val="0"/>
              <w:spacing w:line="360" w:lineRule="auto"/>
              <w:rPr>
                <w:rFonts w:ascii="宋体" w:hAnsi="宋体" w:cs="Arial"/>
                <w:sz w:val="22"/>
              </w:rPr>
            </w:pPr>
          </w:p>
        </w:tc>
        <w:tc>
          <w:tcPr>
            <w:tcW w:w="1517" w:type="dxa"/>
            <w:noWrap w:val="0"/>
            <w:vAlign w:val="center"/>
          </w:tcPr>
          <w:p>
            <w:pPr>
              <w:wordWrap w:val="0"/>
              <w:overflowPunct w:val="0"/>
              <w:spacing w:line="360" w:lineRule="auto"/>
              <w:rPr>
                <w:rFonts w:ascii="宋体" w:hAnsi="宋体" w:cs="Arial"/>
                <w:b/>
                <w:sz w:val="22"/>
              </w:rPr>
            </w:pPr>
          </w:p>
        </w:tc>
        <w:tc>
          <w:tcPr>
            <w:tcW w:w="1428" w:type="dxa"/>
            <w:noWrap w:val="0"/>
            <w:vAlign w:val="center"/>
          </w:tcPr>
          <w:p>
            <w:pPr>
              <w:wordWrap w:val="0"/>
              <w:overflowPunct w:val="0"/>
              <w:spacing w:line="360" w:lineRule="auto"/>
              <w:rPr>
                <w:rFonts w:ascii="宋体" w:hAnsi="宋体" w:cs="Arial"/>
                <w:b/>
                <w:sz w:val="22"/>
              </w:rPr>
            </w:pPr>
          </w:p>
        </w:tc>
        <w:tc>
          <w:tcPr>
            <w:tcW w:w="1538" w:type="dxa"/>
            <w:noWrap w:val="0"/>
            <w:vAlign w:val="center"/>
          </w:tcPr>
          <w:p>
            <w:pPr>
              <w:wordWrap w:val="0"/>
              <w:overflowPunct w:val="0"/>
              <w:spacing w:line="360" w:lineRule="auto"/>
              <w:rPr>
                <w:rFonts w:ascii="宋体" w:hAnsi="宋体" w:cs="Arial"/>
                <w:b/>
                <w:sz w:val="22"/>
              </w:rPr>
            </w:pPr>
          </w:p>
        </w:tc>
        <w:tc>
          <w:tcPr>
            <w:tcW w:w="1318" w:type="dxa"/>
            <w:noWrap w:val="0"/>
            <w:vAlign w:val="center"/>
          </w:tcPr>
          <w:p>
            <w:pPr>
              <w:wordWrap w:val="0"/>
              <w:overflowPunct w:val="0"/>
              <w:spacing w:line="360" w:lineRule="auto"/>
              <w:rPr>
                <w:rFonts w:ascii="宋体" w:hAnsi="宋体" w:cs="Arial"/>
                <w:b/>
                <w:sz w:val="22"/>
              </w:rPr>
            </w:pPr>
          </w:p>
        </w:tc>
        <w:tc>
          <w:tcPr>
            <w:tcW w:w="878" w:type="dxa"/>
            <w:noWrap w:val="0"/>
            <w:vAlign w:val="center"/>
          </w:tcPr>
          <w:p>
            <w:pPr>
              <w:wordWrap w:val="0"/>
              <w:overflowPunct w:val="0"/>
              <w:spacing w:line="360" w:lineRule="auto"/>
              <w:rPr>
                <w:rFonts w:ascii="宋体" w:hAnsi="宋体" w:cs="Arial"/>
                <w:b/>
                <w:sz w:val="22"/>
              </w:rPr>
            </w:pPr>
          </w:p>
        </w:tc>
        <w:tc>
          <w:tcPr>
            <w:tcW w:w="988" w:type="dxa"/>
            <w:noWrap w:val="0"/>
            <w:vAlign w:val="center"/>
          </w:tcPr>
          <w:p>
            <w:pPr>
              <w:wordWrap w:val="0"/>
              <w:overflowPunct w:val="0"/>
              <w:spacing w:line="360" w:lineRule="auto"/>
              <w:rPr>
                <w:rFonts w:ascii="宋体" w:hAnsi="宋体" w:cs="Arial"/>
                <w:b/>
                <w:sz w:val="22"/>
              </w:rPr>
            </w:pPr>
          </w:p>
        </w:tc>
        <w:tc>
          <w:tcPr>
            <w:tcW w:w="1518" w:type="dxa"/>
            <w:noWrap w:val="0"/>
            <w:vAlign w:val="center"/>
          </w:tcPr>
          <w:p>
            <w:pPr>
              <w:wordWrap w:val="0"/>
              <w:overflowPunct w:val="0"/>
              <w:spacing w:line="360" w:lineRule="auto"/>
              <w:rPr>
                <w:rFonts w:ascii="宋体" w:hAnsi="宋体" w:cs="Arial"/>
                <w:b/>
                <w:sz w:val="22"/>
              </w:rPr>
            </w:pPr>
          </w:p>
        </w:tc>
      </w:tr>
    </w:tbl>
    <w:p>
      <w:pPr>
        <w:pStyle w:val="19"/>
        <w:wordWrap w:val="0"/>
        <w:spacing w:line="320" w:lineRule="exact"/>
        <w:ind w:left="638" w:leftChars="104" w:hanging="420" w:hangingChars="200"/>
        <w:rPr>
          <w:rFonts w:hAnsi="宋体"/>
        </w:rPr>
      </w:pPr>
      <w:r>
        <w:rPr>
          <w:rFonts w:hint="eastAsia" w:hAnsi="宋体"/>
        </w:rPr>
        <w:t>注：1、本表所列为投标人拟投入的作业机具、设备清单。</w:t>
      </w:r>
    </w:p>
    <w:p>
      <w:pPr>
        <w:pStyle w:val="19"/>
        <w:wordWrap w:val="0"/>
        <w:spacing w:line="320" w:lineRule="exact"/>
        <w:ind w:left="972" w:leftChars="313" w:hanging="315" w:hangingChars="150"/>
        <w:rPr>
          <w:rFonts w:hAnsi="宋体"/>
        </w:rPr>
      </w:pPr>
      <w:r>
        <w:rPr>
          <w:rFonts w:hint="eastAsia" w:hAnsi="宋体"/>
        </w:rPr>
        <w:t>2、本表所列设备价格不计入投标总价，但应在投标价格中考虑作业机具、设备的损耗、折旧及有关使用、维修费用。</w:t>
      </w:r>
    </w:p>
    <w:p>
      <w:pPr>
        <w:pStyle w:val="19"/>
        <w:wordWrap w:val="0"/>
        <w:spacing w:line="320" w:lineRule="exact"/>
        <w:ind w:left="657" w:leftChars="313"/>
        <w:rPr>
          <w:rFonts w:hAnsi="宋体"/>
        </w:rPr>
      </w:pPr>
      <w:r>
        <w:rPr>
          <w:rFonts w:hint="eastAsia" w:hAnsi="宋体"/>
        </w:rPr>
        <w:t>3、此表仅提供了表格形式，投标人可按此表格复制。</w:t>
      </w:r>
    </w:p>
    <w:p>
      <w:pPr>
        <w:wordWrap w:val="0"/>
        <w:overflowPunct w:val="0"/>
        <w:spacing w:line="480" w:lineRule="auto"/>
        <w:ind w:right="-2" w:firstLine="5250" w:firstLineChars="2500"/>
        <w:rPr>
          <w:rFonts w:ascii="Arial" w:hAnsi="Arial"/>
        </w:rPr>
      </w:pPr>
      <w:r>
        <w:rPr>
          <w:rFonts w:hint="eastAsia" w:ascii="Arial" w:hAnsi="Arial"/>
        </w:rPr>
        <w:t>投标供应商（公章）：</w:t>
      </w:r>
    </w:p>
    <w:p>
      <w:pPr>
        <w:wordWrap w:val="0"/>
        <w:overflowPunct w:val="0"/>
        <w:spacing w:line="480" w:lineRule="auto"/>
        <w:ind w:right="-2" w:firstLine="5250" w:firstLineChars="2500"/>
        <w:rPr>
          <w:rFonts w:ascii="Arial" w:hAnsi="Arial"/>
        </w:rPr>
      </w:pPr>
      <w:r>
        <w:rPr>
          <w:rFonts w:hint="eastAsia" w:ascii="Arial" w:hAnsi="Arial"/>
        </w:rPr>
        <w:t>法定</w:t>
      </w:r>
      <w:r>
        <w:rPr>
          <w:rFonts w:hint="eastAsia" w:ascii="Arial" w:hAnsi="Arial"/>
          <w:szCs w:val="22"/>
        </w:rPr>
        <w:t>代表人</w:t>
      </w:r>
      <w:r>
        <w:rPr>
          <w:rFonts w:hint="eastAsia" w:ascii="Arial" w:hAnsi="Arial"/>
        </w:rPr>
        <w:t>或授权代表（签字或盖章）：</w:t>
      </w:r>
    </w:p>
    <w:p>
      <w:pPr>
        <w:wordWrap w:val="0"/>
        <w:overflowPunct w:val="0"/>
        <w:spacing w:line="480" w:lineRule="auto"/>
        <w:ind w:right="-2" w:firstLine="5250" w:firstLineChars="2500"/>
        <w:rPr>
          <w:rFonts w:ascii="宋体" w:hAnsi="宋体"/>
          <w:b/>
          <w:sz w:val="28"/>
          <w:szCs w:val="28"/>
        </w:rPr>
      </w:pPr>
      <w:r>
        <w:rPr>
          <w:rFonts w:hint="eastAsia" w:ascii="Arial" w:hAnsi="Arial"/>
          <w:szCs w:val="22"/>
        </w:rPr>
        <w:t>日期</w:t>
      </w:r>
      <w:r>
        <w:rPr>
          <w:rFonts w:hint="eastAsia" w:ascii="宋体" w:hAnsi="宋体"/>
        </w:rPr>
        <w:t>：</w:t>
      </w:r>
    </w:p>
    <w:p>
      <w:pPr>
        <w:wordWrap w:val="0"/>
        <w:overflowPunct w:val="0"/>
        <w:spacing w:line="400" w:lineRule="exact"/>
        <w:rPr>
          <w:rFonts w:ascii="宋体" w:hAnsi="宋体"/>
          <w:b/>
          <w:sz w:val="28"/>
          <w:szCs w:val="28"/>
        </w:rPr>
      </w:pPr>
    </w:p>
    <w:p>
      <w:pPr>
        <w:wordWrap w:val="0"/>
        <w:overflowPunct w:val="0"/>
        <w:spacing w:line="400" w:lineRule="exact"/>
        <w:jc w:val="center"/>
        <w:rPr>
          <w:rFonts w:ascii="宋体" w:hAnsi="宋体"/>
          <w:szCs w:val="21"/>
        </w:rPr>
      </w:pPr>
      <w:r>
        <w:rPr>
          <w:rFonts w:hint="eastAsia" w:ascii="宋体" w:hAnsi="宋体"/>
          <w:b/>
          <w:sz w:val="28"/>
          <w:szCs w:val="28"/>
        </w:rPr>
        <w:t>（3）保洁耗材配备明细表</w:t>
      </w:r>
    </w:p>
    <w:tbl>
      <w:tblPr>
        <w:tblStyle w:val="35"/>
        <w:tblpPr w:leftFromText="180" w:rightFromText="180" w:vertAnchor="text" w:horzAnchor="margin" w:tblpY="53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50"/>
        <w:gridCol w:w="1904"/>
        <w:gridCol w:w="1691"/>
        <w:gridCol w:w="1903"/>
        <w:gridCol w:w="787"/>
        <w:gridCol w:w="998"/>
        <w:gridCol w:w="1140"/>
        <w:gridCol w:w="88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97" w:hRule="atLeast"/>
        </w:trPr>
        <w:tc>
          <w:tcPr>
            <w:tcW w:w="550" w:type="dxa"/>
            <w:noWrap w:val="0"/>
            <w:vAlign w:val="center"/>
          </w:tcPr>
          <w:p>
            <w:pPr>
              <w:wordWrap w:val="0"/>
              <w:overflowPunct w:val="0"/>
              <w:rPr>
                <w:rFonts w:ascii="宋体" w:hAnsi="宋体"/>
                <w:b/>
                <w:szCs w:val="21"/>
              </w:rPr>
            </w:pPr>
            <w:r>
              <w:rPr>
                <w:rFonts w:hint="eastAsia" w:ascii="宋体" w:hAnsi="宋体"/>
                <w:b/>
                <w:szCs w:val="21"/>
              </w:rPr>
              <w:t>序号</w:t>
            </w:r>
          </w:p>
        </w:tc>
        <w:tc>
          <w:tcPr>
            <w:tcW w:w="1904" w:type="dxa"/>
            <w:noWrap w:val="0"/>
            <w:vAlign w:val="center"/>
          </w:tcPr>
          <w:p>
            <w:pPr>
              <w:wordWrap w:val="0"/>
              <w:overflowPunct w:val="0"/>
              <w:spacing w:line="280" w:lineRule="exact"/>
              <w:rPr>
                <w:rFonts w:ascii="宋体" w:hAnsi="宋体"/>
                <w:b/>
                <w:szCs w:val="21"/>
              </w:rPr>
            </w:pPr>
            <w:r>
              <w:rPr>
                <w:rFonts w:hint="eastAsia" w:ascii="宋体" w:hAnsi="宋体"/>
                <w:b/>
                <w:szCs w:val="21"/>
              </w:rPr>
              <w:t>耗材名称</w:t>
            </w:r>
          </w:p>
        </w:tc>
        <w:tc>
          <w:tcPr>
            <w:tcW w:w="1691" w:type="dxa"/>
            <w:noWrap w:val="0"/>
            <w:vAlign w:val="center"/>
          </w:tcPr>
          <w:p>
            <w:pPr>
              <w:wordWrap w:val="0"/>
              <w:overflowPunct w:val="0"/>
              <w:spacing w:line="280" w:lineRule="exact"/>
              <w:rPr>
                <w:rFonts w:ascii="宋体" w:hAnsi="宋体"/>
                <w:b/>
                <w:szCs w:val="21"/>
              </w:rPr>
            </w:pPr>
            <w:r>
              <w:rPr>
                <w:rFonts w:hint="eastAsia" w:ascii="宋体" w:hAnsi="宋体"/>
                <w:b/>
                <w:szCs w:val="21"/>
              </w:rPr>
              <w:t>规格型号</w:t>
            </w:r>
          </w:p>
        </w:tc>
        <w:tc>
          <w:tcPr>
            <w:tcW w:w="1903" w:type="dxa"/>
            <w:noWrap w:val="0"/>
            <w:vAlign w:val="center"/>
          </w:tcPr>
          <w:p>
            <w:pPr>
              <w:wordWrap w:val="0"/>
              <w:overflowPunct w:val="0"/>
              <w:spacing w:line="280" w:lineRule="exact"/>
              <w:rPr>
                <w:rFonts w:ascii="宋体" w:hAnsi="宋体"/>
                <w:b/>
                <w:szCs w:val="21"/>
              </w:rPr>
            </w:pPr>
            <w:r>
              <w:rPr>
                <w:rFonts w:hint="eastAsia" w:ascii="宋体" w:hAnsi="宋体"/>
                <w:b/>
                <w:szCs w:val="21"/>
              </w:rPr>
              <w:t>品牌/产地</w:t>
            </w:r>
          </w:p>
        </w:tc>
        <w:tc>
          <w:tcPr>
            <w:tcW w:w="787" w:type="dxa"/>
            <w:noWrap w:val="0"/>
            <w:vAlign w:val="center"/>
          </w:tcPr>
          <w:p>
            <w:pPr>
              <w:wordWrap w:val="0"/>
              <w:overflowPunct w:val="0"/>
              <w:spacing w:line="280" w:lineRule="exact"/>
              <w:rPr>
                <w:rFonts w:ascii="宋体" w:hAnsi="宋体"/>
                <w:b/>
                <w:szCs w:val="21"/>
              </w:rPr>
            </w:pPr>
            <w:r>
              <w:rPr>
                <w:rFonts w:hint="eastAsia" w:ascii="宋体" w:hAnsi="宋体"/>
                <w:b/>
                <w:szCs w:val="21"/>
              </w:rPr>
              <w:t>数量</w:t>
            </w:r>
          </w:p>
        </w:tc>
        <w:tc>
          <w:tcPr>
            <w:tcW w:w="998" w:type="dxa"/>
            <w:tcBorders>
              <w:right w:val="single" w:color="auto" w:sz="4" w:space="0"/>
            </w:tcBorders>
            <w:noWrap w:val="0"/>
            <w:vAlign w:val="top"/>
          </w:tcPr>
          <w:p>
            <w:pPr>
              <w:wordWrap w:val="0"/>
              <w:overflowPunct w:val="0"/>
              <w:spacing w:line="280" w:lineRule="exact"/>
              <w:rPr>
                <w:rFonts w:ascii="宋体" w:hAnsi="宋体"/>
                <w:b/>
                <w:szCs w:val="21"/>
              </w:rPr>
            </w:pPr>
            <w:r>
              <w:rPr>
                <w:rFonts w:hint="eastAsia" w:ascii="宋体" w:hAnsi="宋体"/>
                <w:b/>
                <w:szCs w:val="21"/>
              </w:rPr>
              <w:t>单价 (元)</w:t>
            </w:r>
          </w:p>
        </w:tc>
        <w:tc>
          <w:tcPr>
            <w:tcW w:w="1140" w:type="dxa"/>
            <w:tcBorders>
              <w:left w:val="single" w:color="auto" w:sz="4" w:space="0"/>
            </w:tcBorders>
            <w:noWrap w:val="0"/>
            <w:vAlign w:val="top"/>
          </w:tcPr>
          <w:p>
            <w:pPr>
              <w:wordWrap w:val="0"/>
              <w:overflowPunct w:val="0"/>
              <w:spacing w:line="280" w:lineRule="exact"/>
              <w:rPr>
                <w:rFonts w:ascii="宋体" w:hAnsi="宋体"/>
                <w:b/>
                <w:szCs w:val="21"/>
              </w:rPr>
            </w:pPr>
            <w:r>
              <w:rPr>
                <w:rFonts w:hint="eastAsia" w:ascii="宋体" w:hAnsi="宋体"/>
                <w:b/>
                <w:szCs w:val="21"/>
              </w:rPr>
              <w:t>合价 (元)</w:t>
            </w:r>
          </w:p>
        </w:tc>
        <w:tc>
          <w:tcPr>
            <w:tcW w:w="881" w:type="dxa"/>
            <w:noWrap w:val="0"/>
            <w:vAlign w:val="center"/>
          </w:tcPr>
          <w:p>
            <w:pPr>
              <w:wordWrap w:val="0"/>
              <w:overflowPunct w:val="0"/>
              <w:rPr>
                <w:rFonts w:ascii="宋体" w:hAnsi="宋体"/>
                <w:b/>
                <w:szCs w:val="21"/>
              </w:rPr>
            </w:pPr>
            <w:r>
              <w:rPr>
                <w:rFonts w:hint="eastAsia" w:ascii="宋体" w:hAnsi="宋体"/>
                <w:b/>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exact"/>
        </w:trPr>
        <w:tc>
          <w:tcPr>
            <w:tcW w:w="550" w:type="dxa"/>
            <w:noWrap w:val="0"/>
            <w:vAlign w:val="center"/>
          </w:tcPr>
          <w:p>
            <w:pPr>
              <w:wordWrap w:val="0"/>
              <w:overflowPunct w:val="0"/>
              <w:spacing w:line="360" w:lineRule="auto"/>
              <w:rPr>
                <w:rFonts w:ascii="宋体" w:hAnsi="宋体"/>
                <w:sz w:val="22"/>
              </w:rPr>
            </w:pPr>
          </w:p>
        </w:tc>
        <w:tc>
          <w:tcPr>
            <w:tcW w:w="1904" w:type="dxa"/>
            <w:noWrap w:val="0"/>
            <w:vAlign w:val="center"/>
          </w:tcPr>
          <w:p>
            <w:pPr>
              <w:wordWrap w:val="0"/>
              <w:overflowPunct w:val="0"/>
              <w:spacing w:line="360" w:lineRule="auto"/>
              <w:rPr>
                <w:rFonts w:ascii="宋体" w:hAnsi="宋体"/>
                <w:b/>
                <w:sz w:val="22"/>
              </w:rPr>
            </w:pPr>
          </w:p>
        </w:tc>
        <w:tc>
          <w:tcPr>
            <w:tcW w:w="1691" w:type="dxa"/>
            <w:noWrap w:val="0"/>
            <w:vAlign w:val="top"/>
          </w:tcPr>
          <w:p>
            <w:pPr>
              <w:wordWrap w:val="0"/>
              <w:overflowPunct w:val="0"/>
              <w:spacing w:line="360" w:lineRule="auto"/>
              <w:rPr>
                <w:rFonts w:ascii="宋体" w:hAnsi="宋体"/>
                <w:b/>
                <w:sz w:val="22"/>
              </w:rPr>
            </w:pPr>
          </w:p>
        </w:tc>
        <w:tc>
          <w:tcPr>
            <w:tcW w:w="1903" w:type="dxa"/>
            <w:noWrap w:val="0"/>
            <w:vAlign w:val="center"/>
          </w:tcPr>
          <w:p>
            <w:pPr>
              <w:wordWrap w:val="0"/>
              <w:overflowPunct w:val="0"/>
              <w:spacing w:line="360" w:lineRule="auto"/>
              <w:rPr>
                <w:rFonts w:ascii="宋体" w:hAnsi="宋体"/>
                <w:b/>
                <w:sz w:val="22"/>
              </w:rPr>
            </w:pPr>
          </w:p>
        </w:tc>
        <w:tc>
          <w:tcPr>
            <w:tcW w:w="787" w:type="dxa"/>
            <w:noWrap w:val="0"/>
            <w:vAlign w:val="top"/>
          </w:tcPr>
          <w:p>
            <w:pPr>
              <w:wordWrap w:val="0"/>
              <w:overflowPunct w:val="0"/>
              <w:spacing w:line="360" w:lineRule="auto"/>
              <w:rPr>
                <w:rFonts w:ascii="宋体" w:hAnsi="宋体"/>
                <w:b/>
                <w:sz w:val="22"/>
              </w:rPr>
            </w:pPr>
          </w:p>
        </w:tc>
        <w:tc>
          <w:tcPr>
            <w:tcW w:w="998" w:type="dxa"/>
            <w:tcBorders>
              <w:right w:val="single" w:color="auto" w:sz="4" w:space="0"/>
            </w:tcBorders>
            <w:noWrap w:val="0"/>
            <w:vAlign w:val="center"/>
          </w:tcPr>
          <w:p>
            <w:pPr>
              <w:wordWrap w:val="0"/>
              <w:overflowPunct w:val="0"/>
              <w:spacing w:line="360" w:lineRule="auto"/>
              <w:rPr>
                <w:rFonts w:ascii="宋体" w:hAnsi="宋体"/>
                <w:b/>
                <w:sz w:val="22"/>
              </w:rPr>
            </w:pPr>
          </w:p>
        </w:tc>
        <w:tc>
          <w:tcPr>
            <w:tcW w:w="1140" w:type="dxa"/>
            <w:tcBorders>
              <w:left w:val="single" w:color="auto" w:sz="4" w:space="0"/>
            </w:tcBorders>
            <w:noWrap w:val="0"/>
            <w:vAlign w:val="center"/>
          </w:tcPr>
          <w:p>
            <w:pPr>
              <w:wordWrap w:val="0"/>
              <w:overflowPunct w:val="0"/>
              <w:spacing w:line="360" w:lineRule="auto"/>
              <w:rPr>
                <w:rFonts w:ascii="宋体" w:hAnsi="宋体"/>
                <w:b/>
                <w:sz w:val="22"/>
              </w:rPr>
            </w:pPr>
          </w:p>
        </w:tc>
        <w:tc>
          <w:tcPr>
            <w:tcW w:w="881" w:type="dxa"/>
            <w:noWrap w:val="0"/>
            <w:vAlign w:val="top"/>
          </w:tcPr>
          <w:p>
            <w:pPr>
              <w:wordWrap w:val="0"/>
              <w:overflowPunct w:val="0"/>
              <w:rPr>
                <w:rFonts w:ascii="宋体" w:hAnsi="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exact"/>
        </w:trPr>
        <w:tc>
          <w:tcPr>
            <w:tcW w:w="550" w:type="dxa"/>
            <w:noWrap w:val="0"/>
            <w:vAlign w:val="center"/>
          </w:tcPr>
          <w:p>
            <w:pPr>
              <w:wordWrap w:val="0"/>
              <w:overflowPunct w:val="0"/>
              <w:spacing w:line="360" w:lineRule="auto"/>
              <w:rPr>
                <w:rFonts w:ascii="宋体" w:hAnsi="宋体"/>
                <w:sz w:val="22"/>
              </w:rPr>
            </w:pPr>
          </w:p>
        </w:tc>
        <w:tc>
          <w:tcPr>
            <w:tcW w:w="1904" w:type="dxa"/>
            <w:noWrap w:val="0"/>
            <w:vAlign w:val="center"/>
          </w:tcPr>
          <w:p>
            <w:pPr>
              <w:wordWrap w:val="0"/>
              <w:overflowPunct w:val="0"/>
              <w:spacing w:line="360" w:lineRule="auto"/>
              <w:rPr>
                <w:rFonts w:ascii="宋体" w:hAnsi="宋体"/>
                <w:b/>
                <w:sz w:val="22"/>
              </w:rPr>
            </w:pPr>
          </w:p>
        </w:tc>
        <w:tc>
          <w:tcPr>
            <w:tcW w:w="1691" w:type="dxa"/>
            <w:noWrap w:val="0"/>
            <w:vAlign w:val="top"/>
          </w:tcPr>
          <w:p>
            <w:pPr>
              <w:wordWrap w:val="0"/>
              <w:overflowPunct w:val="0"/>
              <w:spacing w:line="360" w:lineRule="auto"/>
              <w:rPr>
                <w:rFonts w:ascii="宋体" w:hAnsi="宋体"/>
                <w:b/>
                <w:sz w:val="22"/>
              </w:rPr>
            </w:pPr>
          </w:p>
        </w:tc>
        <w:tc>
          <w:tcPr>
            <w:tcW w:w="1903" w:type="dxa"/>
            <w:noWrap w:val="0"/>
            <w:vAlign w:val="center"/>
          </w:tcPr>
          <w:p>
            <w:pPr>
              <w:wordWrap w:val="0"/>
              <w:overflowPunct w:val="0"/>
              <w:spacing w:line="360" w:lineRule="auto"/>
              <w:rPr>
                <w:rFonts w:ascii="宋体" w:hAnsi="宋体"/>
                <w:b/>
                <w:sz w:val="22"/>
              </w:rPr>
            </w:pPr>
          </w:p>
        </w:tc>
        <w:tc>
          <w:tcPr>
            <w:tcW w:w="787" w:type="dxa"/>
            <w:noWrap w:val="0"/>
            <w:vAlign w:val="top"/>
          </w:tcPr>
          <w:p>
            <w:pPr>
              <w:wordWrap w:val="0"/>
              <w:overflowPunct w:val="0"/>
              <w:spacing w:line="360" w:lineRule="auto"/>
              <w:rPr>
                <w:rFonts w:ascii="宋体" w:hAnsi="宋体"/>
                <w:b/>
                <w:sz w:val="22"/>
              </w:rPr>
            </w:pPr>
          </w:p>
        </w:tc>
        <w:tc>
          <w:tcPr>
            <w:tcW w:w="998" w:type="dxa"/>
            <w:tcBorders>
              <w:right w:val="single" w:color="auto" w:sz="4" w:space="0"/>
            </w:tcBorders>
            <w:noWrap w:val="0"/>
            <w:vAlign w:val="center"/>
          </w:tcPr>
          <w:p>
            <w:pPr>
              <w:wordWrap w:val="0"/>
              <w:overflowPunct w:val="0"/>
              <w:spacing w:line="360" w:lineRule="auto"/>
              <w:rPr>
                <w:rFonts w:ascii="宋体" w:hAnsi="宋体"/>
                <w:b/>
                <w:sz w:val="22"/>
              </w:rPr>
            </w:pPr>
          </w:p>
        </w:tc>
        <w:tc>
          <w:tcPr>
            <w:tcW w:w="1140" w:type="dxa"/>
            <w:tcBorders>
              <w:left w:val="single" w:color="auto" w:sz="4" w:space="0"/>
            </w:tcBorders>
            <w:noWrap w:val="0"/>
            <w:vAlign w:val="center"/>
          </w:tcPr>
          <w:p>
            <w:pPr>
              <w:wordWrap w:val="0"/>
              <w:overflowPunct w:val="0"/>
              <w:spacing w:line="360" w:lineRule="auto"/>
              <w:rPr>
                <w:rFonts w:ascii="宋体" w:hAnsi="宋体"/>
                <w:b/>
                <w:sz w:val="22"/>
              </w:rPr>
            </w:pPr>
          </w:p>
        </w:tc>
        <w:tc>
          <w:tcPr>
            <w:tcW w:w="881" w:type="dxa"/>
            <w:noWrap w:val="0"/>
            <w:vAlign w:val="top"/>
          </w:tcPr>
          <w:p>
            <w:pPr>
              <w:wordWrap w:val="0"/>
              <w:overflowPunct w:val="0"/>
              <w:rPr>
                <w:rFonts w:ascii="宋体" w:hAnsi="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exact"/>
        </w:trPr>
        <w:tc>
          <w:tcPr>
            <w:tcW w:w="550" w:type="dxa"/>
            <w:noWrap w:val="0"/>
            <w:vAlign w:val="center"/>
          </w:tcPr>
          <w:p>
            <w:pPr>
              <w:wordWrap w:val="0"/>
              <w:overflowPunct w:val="0"/>
              <w:spacing w:line="360" w:lineRule="auto"/>
              <w:rPr>
                <w:rFonts w:ascii="宋体" w:hAnsi="宋体"/>
                <w:sz w:val="22"/>
              </w:rPr>
            </w:pPr>
          </w:p>
        </w:tc>
        <w:tc>
          <w:tcPr>
            <w:tcW w:w="1904" w:type="dxa"/>
            <w:noWrap w:val="0"/>
            <w:vAlign w:val="center"/>
          </w:tcPr>
          <w:p>
            <w:pPr>
              <w:wordWrap w:val="0"/>
              <w:overflowPunct w:val="0"/>
              <w:spacing w:line="360" w:lineRule="auto"/>
              <w:rPr>
                <w:rFonts w:ascii="宋体" w:hAnsi="宋体"/>
                <w:b/>
                <w:sz w:val="22"/>
              </w:rPr>
            </w:pPr>
          </w:p>
        </w:tc>
        <w:tc>
          <w:tcPr>
            <w:tcW w:w="1691" w:type="dxa"/>
            <w:noWrap w:val="0"/>
            <w:vAlign w:val="top"/>
          </w:tcPr>
          <w:p>
            <w:pPr>
              <w:wordWrap w:val="0"/>
              <w:overflowPunct w:val="0"/>
              <w:spacing w:line="360" w:lineRule="auto"/>
              <w:rPr>
                <w:rFonts w:ascii="宋体" w:hAnsi="宋体"/>
                <w:b/>
                <w:sz w:val="22"/>
              </w:rPr>
            </w:pPr>
          </w:p>
        </w:tc>
        <w:tc>
          <w:tcPr>
            <w:tcW w:w="1903" w:type="dxa"/>
            <w:noWrap w:val="0"/>
            <w:vAlign w:val="center"/>
          </w:tcPr>
          <w:p>
            <w:pPr>
              <w:wordWrap w:val="0"/>
              <w:overflowPunct w:val="0"/>
              <w:spacing w:line="360" w:lineRule="auto"/>
              <w:rPr>
                <w:rFonts w:ascii="宋体" w:hAnsi="宋体"/>
                <w:b/>
                <w:sz w:val="22"/>
              </w:rPr>
            </w:pPr>
          </w:p>
        </w:tc>
        <w:tc>
          <w:tcPr>
            <w:tcW w:w="787" w:type="dxa"/>
            <w:noWrap w:val="0"/>
            <w:vAlign w:val="top"/>
          </w:tcPr>
          <w:p>
            <w:pPr>
              <w:wordWrap w:val="0"/>
              <w:overflowPunct w:val="0"/>
              <w:spacing w:line="360" w:lineRule="auto"/>
              <w:rPr>
                <w:rFonts w:ascii="宋体" w:hAnsi="宋体"/>
                <w:b/>
                <w:sz w:val="22"/>
              </w:rPr>
            </w:pPr>
          </w:p>
        </w:tc>
        <w:tc>
          <w:tcPr>
            <w:tcW w:w="998" w:type="dxa"/>
            <w:tcBorders>
              <w:right w:val="single" w:color="auto" w:sz="4" w:space="0"/>
            </w:tcBorders>
            <w:noWrap w:val="0"/>
            <w:vAlign w:val="center"/>
          </w:tcPr>
          <w:p>
            <w:pPr>
              <w:wordWrap w:val="0"/>
              <w:overflowPunct w:val="0"/>
              <w:spacing w:line="360" w:lineRule="auto"/>
              <w:rPr>
                <w:rFonts w:ascii="宋体" w:hAnsi="宋体"/>
                <w:b/>
                <w:sz w:val="22"/>
              </w:rPr>
            </w:pPr>
          </w:p>
        </w:tc>
        <w:tc>
          <w:tcPr>
            <w:tcW w:w="1140" w:type="dxa"/>
            <w:tcBorders>
              <w:left w:val="single" w:color="auto" w:sz="4" w:space="0"/>
            </w:tcBorders>
            <w:noWrap w:val="0"/>
            <w:vAlign w:val="center"/>
          </w:tcPr>
          <w:p>
            <w:pPr>
              <w:wordWrap w:val="0"/>
              <w:overflowPunct w:val="0"/>
              <w:spacing w:line="360" w:lineRule="auto"/>
              <w:rPr>
                <w:rFonts w:ascii="宋体" w:hAnsi="宋体"/>
                <w:b/>
                <w:sz w:val="22"/>
              </w:rPr>
            </w:pPr>
          </w:p>
        </w:tc>
        <w:tc>
          <w:tcPr>
            <w:tcW w:w="881" w:type="dxa"/>
            <w:noWrap w:val="0"/>
            <w:vAlign w:val="top"/>
          </w:tcPr>
          <w:p>
            <w:pPr>
              <w:wordWrap w:val="0"/>
              <w:overflowPunct w:val="0"/>
              <w:rPr>
                <w:rFonts w:ascii="宋体" w:hAnsi="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exact"/>
        </w:trPr>
        <w:tc>
          <w:tcPr>
            <w:tcW w:w="550" w:type="dxa"/>
            <w:noWrap w:val="0"/>
            <w:vAlign w:val="center"/>
          </w:tcPr>
          <w:p>
            <w:pPr>
              <w:wordWrap w:val="0"/>
              <w:overflowPunct w:val="0"/>
              <w:spacing w:line="360" w:lineRule="auto"/>
              <w:rPr>
                <w:rFonts w:ascii="宋体" w:hAnsi="宋体"/>
                <w:sz w:val="22"/>
              </w:rPr>
            </w:pPr>
          </w:p>
        </w:tc>
        <w:tc>
          <w:tcPr>
            <w:tcW w:w="1904" w:type="dxa"/>
            <w:noWrap w:val="0"/>
            <w:vAlign w:val="center"/>
          </w:tcPr>
          <w:p>
            <w:pPr>
              <w:wordWrap w:val="0"/>
              <w:overflowPunct w:val="0"/>
              <w:spacing w:line="360" w:lineRule="auto"/>
              <w:rPr>
                <w:rFonts w:ascii="宋体" w:hAnsi="宋体"/>
                <w:b/>
                <w:sz w:val="22"/>
              </w:rPr>
            </w:pPr>
          </w:p>
        </w:tc>
        <w:tc>
          <w:tcPr>
            <w:tcW w:w="1691" w:type="dxa"/>
            <w:noWrap w:val="0"/>
            <w:vAlign w:val="top"/>
          </w:tcPr>
          <w:p>
            <w:pPr>
              <w:wordWrap w:val="0"/>
              <w:overflowPunct w:val="0"/>
              <w:spacing w:line="360" w:lineRule="auto"/>
              <w:rPr>
                <w:rFonts w:ascii="宋体" w:hAnsi="宋体"/>
                <w:b/>
                <w:sz w:val="22"/>
              </w:rPr>
            </w:pPr>
          </w:p>
        </w:tc>
        <w:tc>
          <w:tcPr>
            <w:tcW w:w="1903" w:type="dxa"/>
            <w:noWrap w:val="0"/>
            <w:vAlign w:val="center"/>
          </w:tcPr>
          <w:p>
            <w:pPr>
              <w:wordWrap w:val="0"/>
              <w:overflowPunct w:val="0"/>
              <w:spacing w:line="360" w:lineRule="auto"/>
              <w:rPr>
                <w:rFonts w:ascii="宋体" w:hAnsi="宋体"/>
                <w:b/>
                <w:sz w:val="22"/>
              </w:rPr>
            </w:pPr>
          </w:p>
        </w:tc>
        <w:tc>
          <w:tcPr>
            <w:tcW w:w="787" w:type="dxa"/>
            <w:noWrap w:val="0"/>
            <w:vAlign w:val="top"/>
          </w:tcPr>
          <w:p>
            <w:pPr>
              <w:wordWrap w:val="0"/>
              <w:overflowPunct w:val="0"/>
              <w:spacing w:line="360" w:lineRule="auto"/>
              <w:rPr>
                <w:rFonts w:ascii="宋体" w:hAnsi="宋体"/>
                <w:b/>
                <w:sz w:val="22"/>
              </w:rPr>
            </w:pPr>
          </w:p>
        </w:tc>
        <w:tc>
          <w:tcPr>
            <w:tcW w:w="998" w:type="dxa"/>
            <w:tcBorders>
              <w:right w:val="single" w:color="auto" w:sz="4" w:space="0"/>
            </w:tcBorders>
            <w:noWrap w:val="0"/>
            <w:vAlign w:val="center"/>
          </w:tcPr>
          <w:p>
            <w:pPr>
              <w:wordWrap w:val="0"/>
              <w:overflowPunct w:val="0"/>
              <w:spacing w:line="360" w:lineRule="auto"/>
              <w:rPr>
                <w:rFonts w:ascii="宋体" w:hAnsi="宋体"/>
                <w:b/>
                <w:sz w:val="22"/>
              </w:rPr>
            </w:pPr>
          </w:p>
        </w:tc>
        <w:tc>
          <w:tcPr>
            <w:tcW w:w="1140" w:type="dxa"/>
            <w:tcBorders>
              <w:left w:val="single" w:color="auto" w:sz="4" w:space="0"/>
            </w:tcBorders>
            <w:noWrap w:val="0"/>
            <w:vAlign w:val="center"/>
          </w:tcPr>
          <w:p>
            <w:pPr>
              <w:wordWrap w:val="0"/>
              <w:overflowPunct w:val="0"/>
              <w:spacing w:line="360" w:lineRule="auto"/>
              <w:rPr>
                <w:rFonts w:ascii="宋体" w:hAnsi="宋体"/>
                <w:b/>
                <w:sz w:val="22"/>
              </w:rPr>
            </w:pPr>
          </w:p>
        </w:tc>
        <w:tc>
          <w:tcPr>
            <w:tcW w:w="881" w:type="dxa"/>
            <w:noWrap w:val="0"/>
            <w:vAlign w:val="top"/>
          </w:tcPr>
          <w:p>
            <w:pPr>
              <w:wordWrap w:val="0"/>
              <w:overflowPunct w:val="0"/>
              <w:rPr>
                <w:rFonts w:ascii="宋体" w:hAnsi="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exact"/>
        </w:trPr>
        <w:tc>
          <w:tcPr>
            <w:tcW w:w="550" w:type="dxa"/>
            <w:tcBorders>
              <w:bottom w:val="single" w:color="auto" w:sz="4" w:space="0"/>
            </w:tcBorders>
            <w:noWrap w:val="0"/>
            <w:vAlign w:val="center"/>
          </w:tcPr>
          <w:p>
            <w:pPr>
              <w:wordWrap w:val="0"/>
              <w:overflowPunct w:val="0"/>
              <w:spacing w:line="360" w:lineRule="auto"/>
              <w:rPr>
                <w:rFonts w:ascii="宋体" w:hAnsi="宋体"/>
                <w:sz w:val="22"/>
              </w:rPr>
            </w:pPr>
          </w:p>
        </w:tc>
        <w:tc>
          <w:tcPr>
            <w:tcW w:w="1904" w:type="dxa"/>
            <w:tcBorders>
              <w:bottom w:val="single" w:color="auto" w:sz="4" w:space="0"/>
            </w:tcBorders>
            <w:noWrap w:val="0"/>
            <w:vAlign w:val="center"/>
          </w:tcPr>
          <w:p>
            <w:pPr>
              <w:wordWrap w:val="0"/>
              <w:overflowPunct w:val="0"/>
              <w:spacing w:line="360" w:lineRule="auto"/>
              <w:rPr>
                <w:rFonts w:ascii="宋体" w:hAnsi="宋体"/>
                <w:b/>
                <w:sz w:val="22"/>
              </w:rPr>
            </w:pPr>
          </w:p>
        </w:tc>
        <w:tc>
          <w:tcPr>
            <w:tcW w:w="1691" w:type="dxa"/>
            <w:tcBorders>
              <w:bottom w:val="single" w:color="auto" w:sz="4" w:space="0"/>
            </w:tcBorders>
            <w:noWrap w:val="0"/>
            <w:vAlign w:val="top"/>
          </w:tcPr>
          <w:p>
            <w:pPr>
              <w:wordWrap w:val="0"/>
              <w:overflowPunct w:val="0"/>
              <w:spacing w:line="360" w:lineRule="auto"/>
              <w:rPr>
                <w:rFonts w:ascii="宋体" w:hAnsi="宋体"/>
                <w:b/>
                <w:sz w:val="22"/>
              </w:rPr>
            </w:pPr>
          </w:p>
        </w:tc>
        <w:tc>
          <w:tcPr>
            <w:tcW w:w="1903" w:type="dxa"/>
            <w:tcBorders>
              <w:bottom w:val="single" w:color="auto" w:sz="4" w:space="0"/>
            </w:tcBorders>
            <w:noWrap w:val="0"/>
            <w:vAlign w:val="center"/>
          </w:tcPr>
          <w:p>
            <w:pPr>
              <w:wordWrap w:val="0"/>
              <w:overflowPunct w:val="0"/>
              <w:spacing w:line="360" w:lineRule="auto"/>
              <w:rPr>
                <w:rFonts w:ascii="宋体" w:hAnsi="宋体"/>
                <w:b/>
                <w:sz w:val="22"/>
              </w:rPr>
            </w:pPr>
          </w:p>
        </w:tc>
        <w:tc>
          <w:tcPr>
            <w:tcW w:w="787" w:type="dxa"/>
            <w:tcBorders>
              <w:bottom w:val="single" w:color="auto" w:sz="4" w:space="0"/>
            </w:tcBorders>
            <w:noWrap w:val="0"/>
            <w:vAlign w:val="top"/>
          </w:tcPr>
          <w:p>
            <w:pPr>
              <w:wordWrap w:val="0"/>
              <w:overflowPunct w:val="0"/>
              <w:spacing w:line="360" w:lineRule="auto"/>
              <w:rPr>
                <w:rFonts w:ascii="宋体" w:hAnsi="宋体"/>
                <w:b/>
                <w:sz w:val="22"/>
              </w:rPr>
            </w:pPr>
          </w:p>
        </w:tc>
        <w:tc>
          <w:tcPr>
            <w:tcW w:w="998" w:type="dxa"/>
            <w:tcBorders>
              <w:bottom w:val="single" w:color="auto" w:sz="4" w:space="0"/>
              <w:right w:val="single" w:color="auto" w:sz="4" w:space="0"/>
            </w:tcBorders>
            <w:noWrap w:val="0"/>
            <w:vAlign w:val="center"/>
          </w:tcPr>
          <w:p>
            <w:pPr>
              <w:wordWrap w:val="0"/>
              <w:overflowPunct w:val="0"/>
              <w:spacing w:line="360" w:lineRule="auto"/>
              <w:rPr>
                <w:rFonts w:ascii="宋体" w:hAnsi="宋体"/>
                <w:b/>
                <w:sz w:val="22"/>
              </w:rPr>
            </w:pPr>
          </w:p>
        </w:tc>
        <w:tc>
          <w:tcPr>
            <w:tcW w:w="1140" w:type="dxa"/>
            <w:tcBorders>
              <w:left w:val="single" w:color="auto" w:sz="4" w:space="0"/>
              <w:bottom w:val="single" w:color="auto" w:sz="4" w:space="0"/>
            </w:tcBorders>
            <w:noWrap w:val="0"/>
            <w:vAlign w:val="center"/>
          </w:tcPr>
          <w:p>
            <w:pPr>
              <w:wordWrap w:val="0"/>
              <w:overflowPunct w:val="0"/>
              <w:spacing w:line="360" w:lineRule="auto"/>
              <w:rPr>
                <w:rFonts w:ascii="宋体" w:hAnsi="宋体"/>
                <w:b/>
                <w:sz w:val="22"/>
              </w:rPr>
            </w:pPr>
          </w:p>
        </w:tc>
        <w:tc>
          <w:tcPr>
            <w:tcW w:w="881" w:type="dxa"/>
            <w:tcBorders>
              <w:bottom w:val="single" w:color="auto" w:sz="4" w:space="0"/>
            </w:tcBorders>
            <w:noWrap w:val="0"/>
            <w:vAlign w:val="top"/>
          </w:tcPr>
          <w:p>
            <w:pPr>
              <w:wordWrap w:val="0"/>
              <w:overflowPunct w:val="0"/>
              <w:rPr>
                <w:rFonts w:ascii="宋体" w:hAnsi="宋体"/>
                <w:sz w:val="22"/>
              </w:rPr>
            </w:pPr>
          </w:p>
        </w:tc>
      </w:tr>
    </w:tbl>
    <w:p>
      <w:pPr>
        <w:wordWrap w:val="0"/>
        <w:overflowPunct w:val="0"/>
        <w:spacing w:line="400" w:lineRule="exact"/>
        <w:rPr>
          <w:rFonts w:ascii="宋体" w:hAnsi="宋体"/>
          <w:b/>
          <w:sz w:val="22"/>
          <w:u w:val="single"/>
        </w:rPr>
      </w:pPr>
      <w:r>
        <w:rPr>
          <w:rFonts w:hint="eastAsia" w:ascii="宋体" w:hAnsi="宋体"/>
          <w:b/>
          <w:sz w:val="22"/>
        </w:rPr>
        <w:t>项目名称：                                          招标编号：</w:t>
      </w:r>
    </w:p>
    <w:p>
      <w:pPr>
        <w:pStyle w:val="19"/>
        <w:wordWrap w:val="0"/>
        <w:spacing w:line="320" w:lineRule="exact"/>
        <w:rPr>
          <w:rFonts w:hAnsi="宋体"/>
        </w:rPr>
      </w:pPr>
      <w:r>
        <w:rPr>
          <w:rFonts w:hint="eastAsia" w:hAnsi="宋体"/>
        </w:rPr>
        <w:t>注：1、本表所列为投标人拟投入的消耗材料清单。</w:t>
      </w:r>
    </w:p>
    <w:p>
      <w:pPr>
        <w:pStyle w:val="19"/>
        <w:wordWrap w:val="0"/>
        <w:spacing w:line="320" w:lineRule="exact"/>
        <w:ind w:left="972" w:leftChars="313" w:hanging="315" w:hangingChars="150"/>
        <w:rPr>
          <w:rFonts w:hAnsi="宋体"/>
        </w:rPr>
      </w:pPr>
      <w:r>
        <w:rPr>
          <w:rFonts w:hint="eastAsia" w:hAnsi="宋体"/>
        </w:rPr>
        <w:t>2、本表所列耗材价格应计入投标总价。</w:t>
      </w:r>
    </w:p>
    <w:p>
      <w:pPr>
        <w:pStyle w:val="19"/>
        <w:wordWrap w:val="0"/>
        <w:spacing w:line="320" w:lineRule="exact"/>
        <w:ind w:left="657" w:leftChars="313"/>
        <w:rPr>
          <w:rFonts w:hAnsi="宋体"/>
        </w:rPr>
      </w:pPr>
      <w:r>
        <w:rPr>
          <w:rFonts w:hint="eastAsia" w:hAnsi="宋体"/>
        </w:rPr>
        <w:t>3、此表仅提供了表格形式，投标人可按此表格复制。</w:t>
      </w:r>
    </w:p>
    <w:p>
      <w:pPr>
        <w:pStyle w:val="19"/>
        <w:wordWrap w:val="0"/>
        <w:spacing w:line="360" w:lineRule="exact"/>
        <w:ind w:left="764" w:leftChars="364" w:firstLine="3570" w:firstLineChars="1700"/>
        <w:rPr>
          <w:rFonts w:hAnsi="宋体"/>
        </w:rPr>
      </w:pPr>
    </w:p>
    <w:p>
      <w:pPr>
        <w:wordWrap w:val="0"/>
        <w:overflowPunct w:val="0"/>
        <w:spacing w:line="480" w:lineRule="auto"/>
        <w:ind w:right="-2" w:firstLine="5250" w:firstLineChars="2500"/>
        <w:rPr>
          <w:rFonts w:ascii="Arial" w:hAnsi="Arial"/>
        </w:rPr>
      </w:pPr>
      <w:r>
        <w:rPr>
          <w:rFonts w:hint="eastAsia" w:ascii="Arial" w:hAnsi="Arial"/>
        </w:rPr>
        <w:t>投标供应商（公章）：</w:t>
      </w:r>
    </w:p>
    <w:p>
      <w:pPr>
        <w:wordWrap w:val="0"/>
        <w:overflowPunct w:val="0"/>
        <w:spacing w:line="480" w:lineRule="auto"/>
        <w:ind w:right="-2" w:firstLine="5250" w:firstLineChars="2500"/>
        <w:rPr>
          <w:rFonts w:ascii="Arial" w:hAnsi="Arial"/>
        </w:rPr>
      </w:pPr>
      <w:r>
        <w:rPr>
          <w:rFonts w:hint="eastAsia" w:ascii="Arial" w:hAnsi="Arial"/>
        </w:rPr>
        <w:t>法定</w:t>
      </w:r>
      <w:r>
        <w:rPr>
          <w:rFonts w:hint="eastAsia" w:ascii="Arial" w:hAnsi="Arial"/>
          <w:szCs w:val="22"/>
        </w:rPr>
        <w:t>代表人</w:t>
      </w:r>
      <w:r>
        <w:rPr>
          <w:rFonts w:hint="eastAsia" w:ascii="Arial" w:hAnsi="Arial"/>
        </w:rPr>
        <w:t>或授权代表（签字或盖章）：</w:t>
      </w:r>
    </w:p>
    <w:p>
      <w:pPr>
        <w:wordWrap w:val="0"/>
        <w:overflowPunct w:val="0"/>
        <w:spacing w:line="480" w:lineRule="auto"/>
        <w:ind w:right="-2" w:firstLine="5250" w:firstLineChars="2500"/>
        <w:rPr>
          <w:rFonts w:hint="eastAsia" w:ascii="Arial" w:hAnsi="Arial"/>
        </w:rPr>
      </w:pPr>
      <w:r>
        <w:rPr>
          <w:rFonts w:hint="eastAsia" w:ascii="Arial" w:hAnsi="Arial"/>
          <w:szCs w:val="22"/>
        </w:rPr>
        <w:t>日期</w:t>
      </w:r>
      <w:r>
        <w:rPr>
          <w:rFonts w:hint="eastAsia" w:ascii="宋体" w:hAnsi="宋体"/>
        </w:rPr>
        <w:t>：</w:t>
      </w:r>
    </w:p>
    <w:p>
      <w:pPr>
        <w:pStyle w:val="2"/>
        <w:rPr>
          <w:rFonts w:hint="eastAsia" w:ascii="宋体" w:hAnsi="宋体" w:eastAsia="宋体"/>
          <w:color w:val="000000"/>
          <w:sz w:val="22"/>
          <w:szCs w:val="22"/>
        </w:rPr>
      </w:pPr>
      <w:r>
        <w:rPr>
          <w:rFonts w:hint="eastAsia" w:ascii="宋体" w:hAnsi="宋体"/>
          <w:sz w:val="28"/>
        </w:rPr>
        <w:br w:type="page"/>
      </w:r>
    </w:p>
    <w:p>
      <w:pPr>
        <w:pStyle w:val="5"/>
        <w:spacing w:before="120" w:after="120" w:line="360" w:lineRule="auto"/>
        <w:jc w:val="center"/>
        <w:rPr>
          <w:rFonts w:ascii="新宋体" w:hAnsi="新宋体" w:eastAsia="新宋体"/>
          <w:sz w:val="24"/>
          <w:szCs w:val="24"/>
        </w:rPr>
      </w:pPr>
      <w:bookmarkStart w:id="394" w:name="_Toc501378384"/>
      <w:bookmarkStart w:id="395" w:name="_Toc64913388"/>
      <w:r>
        <w:rPr>
          <w:rFonts w:hint="eastAsia" w:ascii="新宋体" w:hAnsi="新宋体" w:eastAsia="新宋体"/>
          <w:sz w:val="24"/>
          <w:szCs w:val="24"/>
        </w:rPr>
        <w:t>附件十二  供应商自201</w:t>
      </w:r>
      <w:r>
        <w:rPr>
          <w:rFonts w:ascii="新宋体" w:hAnsi="新宋体" w:eastAsia="新宋体"/>
          <w:sz w:val="24"/>
          <w:szCs w:val="24"/>
        </w:rPr>
        <w:t>7</w:t>
      </w:r>
      <w:r>
        <w:rPr>
          <w:rFonts w:hint="eastAsia" w:ascii="新宋体" w:hAnsi="新宋体" w:eastAsia="新宋体"/>
          <w:sz w:val="24"/>
          <w:szCs w:val="24"/>
        </w:rPr>
        <w:t>年</w:t>
      </w:r>
      <w:r>
        <w:rPr>
          <w:rFonts w:ascii="新宋体" w:hAnsi="新宋体" w:eastAsia="新宋体"/>
          <w:sz w:val="24"/>
          <w:szCs w:val="24"/>
        </w:rPr>
        <w:t>1</w:t>
      </w:r>
      <w:r>
        <w:rPr>
          <w:rFonts w:hint="eastAsia" w:ascii="新宋体" w:hAnsi="新宋体" w:eastAsia="新宋体"/>
          <w:sz w:val="24"/>
          <w:szCs w:val="24"/>
        </w:rPr>
        <w:t>月1日以来同类业绩一览表</w:t>
      </w:r>
      <w:bookmarkEnd w:id="394"/>
      <w:bookmarkEnd w:id="395"/>
    </w:p>
    <w:tbl>
      <w:tblPr>
        <w:tblStyle w:val="35"/>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30" w:type="dxa"/>
          <w:bottom w:w="0" w:type="dxa"/>
          <w:right w:w="30" w:type="dxa"/>
        </w:tblCellMar>
      </w:tblPr>
      <w:tblGrid>
        <w:gridCol w:w="1185"/>
        <w:gridCol w:w="1890"/>
        <w:gridCol w:w="1785"/>
        <w:gridCol w:w="1407"/>
        <w:gridCol w:w="1276"/>
        <w:gridCol w:w="17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343" w:hRule="exact"/>
        </w:trPr>
        <w:tc>
          <w:tcPr>
            <w:tcW w:w="1185" w:type="dxa"/>
            <w:vMerge w:val="restart"/>
            <w:tcBorders>
              <w:top w:val="single" w:color="auto" w:sz="12" w:space="0"/>
            </w:tcBorders>
            <w:noWrap w:val="0"/>
            <w:vAlign w:val="center"/>
          </w:tcPr>
          <w:p>
            <w:pPr>
              <w:spacing w:line="240" w:lineRule="exact"/>
              <w:jc w:val="center"/>
              <w:rPr>
                <w:rFonts w:ascii="宋体" w:hAnsi="宋体"/>
                <w:b/>
                <w:bCs/>
                <w:szCs w:val="21"/>
              </w:rPr>
            </w:pPr>
            <w:r>
              <w:rPr>
                <w:rFonts w:hint="eastAsia" w:ascii="宋体" w:hAnsi="宋体"/>
                <w:b/>
                <w:bCs/>
                <w:szCs w:val="21"/>
              </w:rPr>
              <w:t>序号</w:t>
            </w:r>
          </w:p>
        </w:tc>
        <w:tc>
          <w:tcPr>
            <w:tcW w:w="1890" w:type="dxa"/>
            <w:vMerge w:val="restart"/>
            <w:tcBorders>
              <w:top w:val="single" w:color="auto" w:sz="12" w:space="0"/>
            </w:tcBorders>
            <w:noWrap w:val="0"/>
            <w:vAlign w:val="center"/>
          </w:tcPr>
          <w:p>
            <w:pPr>
              <w:spacing w:line="240" w:lineRule="exact"/>
              <w:jc w:val="center"/>
              <w:rPr>
                <w:rFonts w:ascii="宋体" w:hAnsi="宋体"/>
                <w:b/>
                <w:bCs/>
                <w:szCs w:val="21"/>
              </w:rPr>
            </w:pPr>
            <w:r>
              <w:rPr>
                <w:rFonts w:hint="eastAsia" w:ascii="宋体" w:hAnsi="宋体"/>
                <w:b/>
                <w:bCs/>
                <w:szCs w:val="21"/>
              </w:rPr>
              <w:t>项目名称</w:t>
            </w:r>
          </w:p>
        </w:tc>
        <w:tc>
          <w:tcPr>
            <w:tcW w:w="1785" w:type="dxa"/>
            <w:vMerge w:val="restart"/>
            <w:tcBorders>
              <w:top w:val="single" w:color="auto" w:sz="12" w:space="0"/>
            </w:tcBorders>
            <w:noWrap w:val="0"/>
            <w:vAlign w:val="center"/>
          </w:tcPr>
          <w:p>
            <w:pPr>
              <w:spacing w:line="240" w:lineRule="exact"/>
              <w:jc w:val="center"/>
              <w:rPr>
                <w:rFonts w:ascii="宋体" w:hAnsi="宋体"/>
                <w:b/>
                <w:bCs/>
                <w:szCs w:val="21"/>
              </w:rPr>
            </w:pPr>
            <w:r>
              <w:rPr>
                <w:rFonts w:hint="eastAsia" w:ascii="宋体" w:hAnsi="宋体"/>
                <w:b/>
                <w:bCs/>
                <w:szCs w:val="21"/>
              </w:rPr>
              <w:t>用户单位</w:t>
            </w:r>
          </w:p>
        </w:tc>
        <w:tc>
          <w:tcPr>
            <w:tcW w:w="1407" w:type="dxa"/>
            <w:vMerge w:val="restart"/>
            <w:tcBorders>
              <w:top w:val="single" w:color="auto" w:sz="12" w:space="0"/>
            </w:tcBorders>
            <w:noWrap w:val="0"/>
            <w:vAlign w:val="center"/>
          </w:tcPr>
          <w:p>
            <w:pPr>
              <w:spacing w:line="240" w:lineRule="exact"/>
              <w:jc w:val="center"/>
              <w:rPr>
                <w:rFonts w:ascii="宋体" w:hAnsi="宋体"/>
                <w:b/>
                <w:bCs/>
                <w:szCs w:val="21"/>
              </w:rPr>
            </w:pPr>
            <w:r>
              <w:rPr>
                <w:rFonts w:hint="eastAsia" w:ascii="宋体" w:hAnsi="宋体"/>
                <w:b/>
                <w:bCs/>
                <w:szCs w:val="21"/>
              </w:rPr>
              <w:t>合同金额</w:t>
            </w:r>
          </w:p>
        </w:tc>
        <w:tc>
          <w:tcPr>
            <w:tcW w:w="1276" w:type="dxa"/>
            <w:vMerge w:val="restart"/>
            <w:tcBorders>
              <w:top w:val="single" w:color="auto" w:sz="12" w:space="0"/>
            </w:tcBorders>
            <w:noWrap w:val="0"/>
            <w:vAlign w:val="center"/>
          </w:tcPr>
          <w:p>
            <w:pPr>
              <w:spacing w:line="240" w:lineRule="exact"/>
              <w:jc w:val="center"/>
              <w:rPr>
                <w:rFonts w:ascii="宋体" w:hAnsi="宋体"/>
                <w:b/>
                <w:bCs/>
                <w:szCs w:val="21"/>
              </w:rPr>
            </w:pPr>
            <w:r>
              <w:rPr>
                <w:rFonts w:hint="eastAsia" w:ascii="宋体" w:hAnsi="宋体"/>
                <w:b/>
                <w:bCs/>
                <w:szCs w:val="21"/>
              </w:rPr>
              <w:t>合同日期</w:t>
            </w:r>
          </w:p>
        </w:tc>
        <w:tc>
          <w:tcPr>
            <w:tcW w:w="1727" w:type="dxa"/>
            <w:tcBorders>
              <w:top w:val="single" w:color="auto" w:sz="12" w:space="0"/>
              <w:bottom w:val="single" w:color="auto" w:sz="4" w:space="0"/>
            </w:tcBorders>
            <w:noWrap w:val="0"/>
            <w:vAlign w:val="center"/>
          </w:tcPr>
          <w:p>
            <w:pPr>
              <w:spacing w:line="240" w:lineRule="exact"/>
              <w:jc w:val="center"/>
              <w:rPr>
                <w:rFonts w:ascii="宋体" w:hAnsi="宋体"/>
                <w:b/>
                <w:bCs/>
                <w:szCs w:val="21"/>
              </w:rPr>
            </w:pPr>
            <w:r>
              <w:rPr>
                <w:rFonts w:hint="eastAsia" w:ascii="宋体" w:hAnsi="宋体"/>
                <w:b/>
                <w:bCs/>
                <w:szCs w:val="21"/>
              </w:rPr>
              <w:t>联系人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389" w:hRule="exact"/>
        </w:trPr>
        <w:tc>
          <w:tcPr>
            <w:tcW w:w="1185" w:type="dxa"/>
            <w:vMerge w:val="continue"/>
            <w:noWrap w:val="0"/>
            <w:vAlign w:val="center"/>
          </w:tcPr>
          <w:p>
            <w:pPr>
              <w:spacing w:line="240" w:lineRule="exact"/>
              <w:jc w:val="center"/>
              <w:rPr>
                <w:rFonts w:ascii="宋体" w:hAnsi="宋体"/>
                <w:b/>
                <w:bCs/>
                <w:szCs w:val="21"/>
              </w:rPr>
            </w:pPr>
          </w:p>
        </w:tc>
        <w:tc>
          <w:tcPr>
            <w:tcW w:w="1890" w:type="dxa"/>
            <w:vMerge w:val="continue"/>
            <w:noWrap w:val="0"/>
            <w:vAlign w:val="center"/>
          </w:tcPr>
          <w:p>
            <w:pPr>
              <w:spacing w:line="240" w:lineRule="exact"/>
              <w:jc w:val="center"/>
              <w:rPr>
                <w:rFonts w:ascii="宋体" w:hAnsi="宋体"/>
                <w:b/>
                <w:bCs/>
                <w:szCs w:val="21"/>
              </w:rPr>
            </w:pPr>
          </w:p>
        </w:tc>
        <w:tc>
          <w:tcPr>
            <w:tcW w:w="1785" w:type="dxa"/>
            <w:vMerge w:val="continue"/>
            <w:noWrap w:val="0"/>
            <w:vAlign w:val="center"/>
          </w:tcPr>
          <w:p>
            <w:pPr>
              <w:spacing w:line="240" w:lineRule="exact"/>
              <w:jc w:val="center"/>
              <w:rPr>
                <w:rFonts w:ascii="宋体" w:hAnsi="宋体"/>
                <w:b/>
                <w:bCs/>
                <w:szCs w:val="21"/>
              </w:rPr>
            </w:pPr>
          </w:p>
        </w:tc>
        <w:tc>
          <w:tcPr>
            <w:tcW w:w="1407" w:type="dxa"/>
            <w:vMerge w:val="continue"/>
            <w:noWrap w:val="0"/>
            <w:vAlign w:val="center"/>
          </w:tcPr>
          <w:p>
            <w:pPr>
              <w:spacing w:line="240" w:lineRule="exact"/>
              <w:jc w:val="center"/>
              <w:rPr>
                <w:rFonts w:ascii="宋体" w:hAnsi="宋体"/>
                <w:b/>
                <w:bCs/>
                <w:szCs w:val="21"/>
              </w:rPr>
            </w:pPr>
          </w:p>
        </w:tc>
        <w:tc>
          <w:tcPr>
            <w:tcW w:w="1276" w:type="dxa"/>
            <w:vMerge w:val="continue"/>
            <w:noWrap w:val="0"/>
            <w:vAlign w:val="center"/>
          </w:tcPr>
          <w:p>
            <w:pPr>
              <w:spacing w:line="240" w:lineRule="exact"/>
              <w:jc w:val="center"/>
              <w:rPr>
                <w:rFonts w:ascii="宋体" w:hAnsi="宋体"/>
                <w:b/>
                <w:bCs/>
                <w:szCs w:val="21"/>
              </w:rPr>
            </w:pPr>
          </w:p>
        </w:tc>
        <w:tc>
          <w:tcPr>
            <w:tcW w:w="1727" w:type="dxa"/>
            <w:tcBorders>
              <w:top w:val="single" w:color="auto" w:sz="4" w:space="0"/>
            </w:tcBorders>
            <w:noWrap w:val="0"/>
            <w:vAlign w:val="center"/>
          </w:tcPr>
          <w:p>
            <w:pPr>
              <w:spacing w:line="240" w:lineRule="exact"/>
              <w:jc w:val="center"/>
              <w:rPr>
                <w:rFonts w:ascii="宋体" w:hAnsi="宋体"/>
                <w:b/>
                <w:bCs/>
                <w:szCs w:val="21"/>
              </w:rPr>
            </w:pPr>
            <w:r>
              <w:rPr>
                <w:rFonts w:hint="eastAsia" w:ascii="宋体" w:hAnsi="宋体"/>
                <w:b/>
                <w:bCs/>
                <w:szCs w:val="21"/>
              </w:rPr>
              <w:t>联系电话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spacing w:line="240" w:lineRule="atLeast"/>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noWrap w:val="0"/>
            <w:vAlign w:val="center"/>
          </w:tcPr>
          <w:p>
            <w:pPr>
              <w:autoSpaceDE w:val="0"/>
              <w:autoSpaceDN w:val="0"/>
              <w:adjustRightInd w:val="0"/>
              <w:jc w:val="center"/>
              <w:rPr>
                <w:rFonts w:ascii="宋体" w:hAnsi="宋体"/>
                <w:szCs w:val="21"/>
              </w:rPr>
            </w:pPr>
          </w:p>
        </w:tc>
        <w:tc>
          <w:tcPr>
            <w:tcW w:w="1890" w:type="dxa"/>
            <w:noWrap w:val="0"/>
            <w:vAlign w:val="center"/>
          </w:tcPr>
          <w:p>
            <w:pPr>
              <w:autoSpaceDE w:val="0"/>
              <w:autoSpaceDN w:val="0"/>
              <w:adjustRightInd w:val="0"/>
              <w:jc w:val="center"/>
              <w:rPr>
                <w:rFonts w:ascii="宋体" w:hAnsi="宋体"/>
                <w:szCs w:val="21"/>
              </w:rPr>
            </w:pPr>
          </w:p>
        </w:tc>
        <w:tc>
          <w:tcPr>
            <w:tcW w:w="1785" w:type="dxa"/>
            <w:noWrap w:val="0"/>
            <w:vAlign w:val="center"/>
          </w:tcPr>
          <w:p>
            <w:pPr>
              <w:autoSpaceDE w:val="0"/>
              <w:autoSpaceDN w:val="0"/>
              <w:adjustRightInd w:val="0"/>
              <w:jc w:val="center"/>
              <w:rPr>
                <w:rFonts w:ascii="宋体" w:hAnsi="宋体"/>
                <w:szCs w:val="21"/>
              </w:rPr>
            </w:pPr>
          </w:p>
        </w:tc>
        <w:tc>
          <w:tcPr>
            <w:tcW w:w="1407" w:type="dxa"/>
            <w:noWrap w:val="0"/>
            <w:vAlign w:val="center"/>
          </w:tcPr>
          <w:p>
            <w:pPr>
              <w:autoSpaceDE w:val="0"/>
              <w:autoSpaceDN w:val="0"/>
              <w:adjustRightInd w:val="0"/>
              <w:jc w:val="center"/>
              <w:rPr>
                <w:rFonts w:ascii="宋体" w:hAnsi="宋体"/>
                <w:szCs w:val="21"/>
              </w:rPr>
            </w:pPr>
          </w:p>
        </w:tc>
        <w:tc>
          <w:tcPr>
            <w:tcW w:w="1276" w:type="dxa"/>
            <w:noWrap w:val="0"/>
            <w:vAlign w:val="center"/>
          </w:tcPr>
          <w:p>
            <w:pPr>
              <w:autoSpaceDE w:val="0"/>
              <w:autoSpaceDN w:val="0"/>
              <w:adjustRightInd w:val="0"/>
              <w:jc w:val="center"/>
              <w:rPr>
                <w:rFonts w:ascii="宋体" w:hAnsi="宋体"/>
                <w:szCs w:val="21"/>
              </w:rPr>
            </w:pPr>
          </w:p>
        </w:tc>
        <w:tc>
          <w:tcPr>
            <w:tcW w:w="1727" w:type="dxa"/>
            <w:noWrap w:val="0"/>
            <w:vAlign w:val="top"/>
          </w:tcPr>
          <w:p>
            <w:pPr>
              <w:autoSpaceDE w:val="0"/>
              <w:autoSpaceDN w:val="0"/>
              <w:adjustRightInd w:val="0"/>
              <w:jc w:val="center"/>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30" w:type="dxa"/>
            <w:bottom w:w="0" w:type="dxa"/>
            <w:right w:w="30" w:type="dxa"/>
          </w:tblCellMar>
        </w:tblPrEx>
        <w:trPr>
          <w:wBefore w:w="0" w:type="dxa"/>
          <w:trHeight w:val="510" w:hRule="exact"/>
        </w:trPr>
        <w:tc>
          <w:tcPr>
            <w:tcW w:w="1185" w:type="dxa"/>
            <w:tcBorders>
              <w:bottom w:val="single" w:color="auto" w:sz="12" w:space="0"/>
            </w:tcBorders>
            <w:noWrap w:val="0"/>
            <w:vAlign w:val="center"/>
          </w:tcPr>
          <w:p>
            <w:pPr>
              <w:autoSpaceDE w:val="0"/>
              <w:autoSpaceDN w:val="0"/>
              <w:adjustRightInd w:val="0"/>
              <w:jc w:val="center"/>
              <w:rPr>
                <w:rFonts w:ascii="宋体" w:hAnsi="宋体"/>
                <w:szCs w:val="21"/>
              </w:rPr>
            </w:pPr>
          </w:p>
        </w:tc>
        <w:tc>
          <w:tcPr>
            <w:tcW w:w="1890" w:type="dxa"/>
            <w:tcBorders>
              <w:bottom w:val="single" w:color="auto" w:sz="12" w:space="0"/>
            </w:tcBorders>
            <w:noWrap w:val="0"/>
            <w:vAlign w:val="center"/>
          </w:tcPr>
          <w:p>
            <w:pPr>
              <w:autoSpaceDE w:val="0"/>
              <w:autoSpaceDN w:val="0"/>
              <w:adjustRightInd w:val="0"/>
              <w:jc w:val="center"/>
              <w:rPr>
                <w:rFonts w:ascii="宋体" w:hAnsi="宋体"/>
                <w:szCs w:val="21"/>
              </w:rPr>
            </w:pPr>
          </w:p>
        </w:tc>
        <w:tc>
          <w:tcPr>
            <w:tcW w:w="1785" w:type="dxa"/>
            <w:tcBorders>
              <w:bottom w:val="single" w:color="auto" w:sz="12" w:space="0"/>
            </w:tcBorders>
            <w:noWrap w:val="0"/>
            <w:vAlign w:val="center"/>
          </w:tcPr>
          <w:p>
            <w:pPr>
              <w:autoSpaceDE w:val="0"/>
              <w:autoSpaceDN w:val="0"/>
              <w:adjustRightInd w:val="0"/>
              <w:jc w:val="center"/>
              <w:rPr>
                <w:rFonts w:ascii="宋体" w:hAnsi="宋体"/>
                <w:szCs w:val="21"/>
              </w:rPr>
            </w:pPr>
          </w:p>
        </w:tc>
        <w:tc>
          <w:tcPr>
            <w:tcW w:w="1407" w:type="dxa"/>
            <w:tcBorders>
              <w:bottom w:val="single" w:color="auto" w:sz="12" w:space="0"/>
            </w:tcBorders>
            <w:noWrap w:val="0"/>
            <w:vAlign w:val="center"/>
          </w:tcPr>
          <w:p>
            <w:pPr>
              <w:autoSpaceDE w:val="0"/>
              <w:autoSpaceDN w:val="0"/>
              <w:adjustRightInd w:val="0"/>
              <w:jc w:val="center"/>
              <w:rPr>
                <w:rFonts w:ascii="宋体" w:hAnsi="宋体"/>
                <w:szCs w:val="21"/>
              </w:rPr>
            </w:pPr>
          </w:p>
        </w:tc>
        <w:tc>
          <w:tcPr>
            <w:tcW w:w="1276" w:type="dxa"/>
            <w:tcBorders>
              <w:bottom w:val="single" w:color="auto" w:sz="12" w:space="0"/>
            </w:tcBorders>
            <w:noWrap w:val="0"/>
            <w:vAlign w:val="center"/>
          </w:tcPr>
          <w:p>
            <w:pPr>
              <w:autoSpaceDE w:val="0"/>
              <w:autoSpaceDN w:val="0"/>
              <w:adjustRightInd w:val="0"/>
              <w:jc w:val="center"/>
              <w:rPr>
                <w:rFonts w:ascii="宋体" w:hAnsi="宋体"/>
                <w:szCs w:val="21"/>
              </w:rPr>
            </w:pPr>
          </w:p>
        </w:tc>
        <w:tc>
          <w:tcPr>
            <w:tcW w:w="1727" w:type="dxa"/>
            <w:tcBorders>
              <w:bottom w:val="single" w:color="auto" w:sz="12" w:space="0"/>
            </w:tcBorders>
            <w:noWrap w:val="0"/>
            <w:vAlign w:val="top"/>
          </w:tcPr>
          <w:p>
            <w:pPr>
              <w:autoSpaceDE w:val="0"/>
              <w:autoSpaceDN w:val="0"/>
              <w:adjustRightInd w:val="0"/>
              <w:jc w:val="center"/>
              <w:rPr>
                <w:rFonts w:ascii="宋体" w:hAnsi="宋体"/>
                <w:szCs w:val="21"/>
              </w:rPr>
            </w:pPr>
          </w:p>
        </w:tc>
      </w:tr>
    </w:tbl>
    <w:p>
      <w:pPr>
        <w:snapToGrid w:val="0"/>
        <w:spacing w:line="400" w:lineRule="atLeast"/>
        <w:rPr>
          <w:rFonts w:hint="eastAsia" w:hAnsi="宋体"/>
        </w:rPr>
      </w:pPr>
      <w:r>
        <w:rPr>
          <w:rFonts w:hint="eastAsia" w:hAnsi="宋体"/>
          <w:b/>
        </w:rPr>
        <w:t>注：</w:t>
      </w:r>
      <w:r>
        <w:rPr>
          <w:rFonts w:hint="eastAsia" w:ascii="宋体" w:hAnsi="宋体"/>
        </w:rPr>
        <w:t>同类业绩需提供成交通知书和合同扫描件加盖公章，或者提供合同和发票扫描件加盖公章，业绩认定时间以合同签订时间为准，</w:t>
      </w:r>
      <w:r>
        <w:rPr>
          <w:rFonts w:hint="eastAsia" w:ascii="宋体" w:hAnsi="宋体" w:cs="Arial"/>
          <w:szCs w:val="21"/>
        </w:rPr>
        <w:t>如提供的合同上未能体现服务的具体内容，将有可能作对供应商不利评定</w:t>
      </w:r>
      <w:r>
        <w:rPr>
          <w:rFonts w:hint="eastAsia" w:ascii="宋体" w:hAnsi="宋体"/>
        </w:rPr>
        <w:t>。</w:t>
      </w:r>
    </w:p>
    <w:p>
      <w:pPr>
        <w:snapToGrid w:val="0"/>
        <w:spacing w:line="400" w:lineRule="atLeast"/>
        <w:jc w:val="center"/>
        <w:rPr>
          <w:rFonts w:hint="eastAsia" w:hAnsi="宋体"/>
        </w:rPr>
      </w:pPr>
    </w:p>
    <w:p>
      <w:pPr>
        <w:snapToGrid w:val="0"/>
        <w:spacing w:line="400" w:lineRule="atLeast"/>
        <w:jc w:val="center"/>
        <w:rPr>
          <w:rFonts w:ascii="宋体"/>
          <w:sz w:val="22"/>
        </w:rPr>
      </w:pPr>
    </w:p>
    <w:p>
      <w:pPr>
        <w:pStyle w:val="2"/>
        <w:rPr>
          <w:rFonts w:hint="eastAsia" w:ascii="宋体" w:hAnsi="宋体" w:eastAsia="宋体"/>
          <w:color w:val="000000"/>
          <w:sz w:val="22"/>
          <w:szCs w:val="22"/>
        </w:rPr>
      </w:pPr>
    </w:p>
    <w:p>
      <w:pPr>
        <w:pStyle w:val="3"/>
        <w:keepNext w:val="0"/>
        <w:keepLines w:val="0"/>
        <w:pageBreakBefore/>
        <w:spacing w:before="240" w:beforeLines="100" w:after="240" w:afterLines="100" w:line="400" w:lineRule="atLeast"/>
        <w:jc w:val="center"/>
        <w:rPr>
          <w:rFonts w:hAnsi="宋体"/>
          <w:sz w:val="28"/>
          <w:szCs w:val="36"/>
        </w:rPr>
      </w:pPr>
      <w:bookmarkStart w:id="396" w:name="_Toc64913389"/>
      <w:r>
        <w:rPr>
          <w:rFonts w:hint="eastAsia" w:hAnsi="宋体"/>
          <w:sz w:val="28"/>
          <w:szCs w:val="36"/>
        </w:rPr>
        <w:t>第七部分  评标办法</w:t>
      </w:r>
      <w:bookmarkEnd w:id="396"/>
    </w:p>
    <w:p>
      <w:pPr>
        <w:spacing w:line="400" w:lineRule="atLeast"/>
        <w:ind w:firstLine="420" w:firstLineChars="200"/>
        <w:rPr>
          <w:rFonts w:ascii="宋体" w:hAnsi="宋体" w:cs="Arial"/>
          <w:bCs/>
          <w:kern w:val="28"/>
        </w:rPr>
      </w:pPr>
      <w:r>
        <w:rPr>
          <w:rFonts w:hint="eastAsia" w:ascii="宋体" w:hAnsi="宋体" w:cs="Arial"/>
          <w:bCs/>
          <w:kern w:val="28"/>
        </w:rPr>
        <w:t>根据《中华人民共和国政府采购法》和《政府采购货物和服务招标投标管理办法》等相关法规和本项目招标文件，特制定本办法。</w:t>
      </w:r>
    </w:p>
    <w:p>
      <w:pPr>
        <w:spacing w:line="400" w:lineRule="atLeast"/>
        <w:rPr>
          <w:rFonts w:hint="eastAsia" w:ascii="宋体" w:hAnsi="宋体" w:cs="Arial"/>
          <w:b/>
          <w:bCs/>
          <w:kern w:val="28"/>
        </w:rPr>
      </w:pPr>
      <w:r>
        <w:rPr>
          <w:rFonts w:hint="eastAsia" w:ascii="宋体" w:hAnsi="宋体" w:cs="Arial"/>
          <w:b/>
          <w:bCs/>
          <w:kern w:val="28"/>
        </w:rPr>
        <w:t>一、 评标原则</w:t>
      </w:r>
    </w:p>
    <w:p>
      <w:pPr>
        <w:spacing w:line="400" w:lineRule="atLeast"/>
        <w:ind w:firstLine="420" w:firstLineChars="200"/>
        <w:rPr>
          <w:rFonts w:hint="eastAsia" w:ascii="宋体" w:hAnsi="宋体" w:cs="Arial"/>
          <w:bCs/>
          <w:kern w:val="28"/>
        </w:rPr>
      </w:pPr>
      <w:r>
        <w:rPr>
          <w:rFonts w:hint="eastAsia" w:ascii="宋体" w:hAnsi="宋体" w:cs="Arial"/>
          <w:bCs/>
          <w:kern w:val="28"/>
        </w:rPr>
        <w:t>为最大限度地保护当事人的权益，评审委员会应严格按照招标文件的技术、商务要求，对投标文件进行综合分析、对比、评价，编制评标报告。评标人员必须严格遵守保密规定，不得泄漏评标的有关情况，不得索贿受贿，不得接受吃请和礼品，不得参加影响公正评标的有关活动。投标供应商不得以任何方式干扰招投标工作的进行，一经发现其投标文件将被拒绝。对落标单位，评审委员会不作任何落标解释。</w:t>
      </w:r>
    </w:p>
    <w:p>
      <w:pPr>
        <w:spacing w:line="400" w:lineRule="atLeast"/>
        <w:ind w:firstLine="420" w:firstLineChars="200"/>
        <w:rPr>
          <w:rFonts w:hint="eastAsia" w:ascii="宋体" w:hAnsi="宋体" w:cs="Arial"/>
          <w:bCs/>
          <w:kern w:val="28"/>
        </w:rPr>
      </w:pPr>
      <w:r>
        <w:rPr>
          <w:rFonts w:hint="eastAsia" w:ascii="宋体" w:hAnsi="宋体" w:cs="Arial"/>
          <w:bCs/>
          <w:kern w:val="28"/>
        </w:rPr>
        <w:t>本次评标采取百分制综合评分的方法。评标应遵循公平、公正、科学、择优的原则推荐中标候选人。</w:t>
      </w:r>
    </w:p>
    <w:p>
      <w:pPr>
        <w:spacing w:line="400" w:lineRule="atLeast"/>
        <w:rPr>
          <w:rFonts w:hint="eastAsia" w:ascii="宋体" w:hAnsi="宋体" w:cs="Arial"/>
          <w:b/>
          <w:bCs/>
          <w:kern w:val="28"/>
        </w:rPr>
      </w:pPr>
      <w:r>
        <w:rPr>
          <w:rFonts w:hint="eastAsia" w:ascii="宋体" w:hAnsi="宋体" w:cs="Arial"/>
          <w:b/>
          <w:bCs/>
          <w:kern w:val="28"/>
        </w:rPr>
        <w:t>二、评标组织</w:t>
      </w:r>
    </w:p>
    <w:p>
      <w:pPr>
        <w:pStyle w:val="16"/>
        <w:spacing w:line="400" w:lineRule="atLeast"/>
        <w:ind w:left="0" w:leftChars="0" w:firstLine="420" w:firstLineChars="200"/>
        <w:rPr>
          <w:rFonts w:hint="eastAsia"/>
        </w:rPr>
      </w:pPr>
      <w:r>
        <w:rPr>
          <w:rFonts w:hint="eastAsia"/>
        </w:rPr>
        <w:t>评标工作由采购人依法组建的评审委员会负责，评审委员会由</w:t>
      </w:r>
      <w:r>
        <w:rPr>
          <w:rFonts w:hint="eastAsia" w:ascii="新宋体" w:hAnsi="新宋体"/>
        </w:rPr>
        <w:t>采购人</w:t>
      </w:r>
      <w:r>
        <w:rPr>
          <w:rFonts w:hint="eastAsia"/>
        </w:rPr>
        <w:t>以及评标专家库中随机抽取的有关技术、经济等方面的专家组成，人</w:t>
      </w:r>
      <w:r>
        <w:rPr>
          <w:rFonts w:hint="eastAsia" w:ascii="宋体" w:hAnsi="宋体" w:cs="Arial"/>
          <w:bCs/>
          <w:kern w:val="28"/>
        </w:rPr>
        <w:t>员人数为七人及以上单数，其中技术、经济方面的专家将不少于总数的三分之二。</w:t>
      </w:r>
    </w:p>
    <w:p>
      <w:pPr>
        <w:spacing w:line="375" w:lineRule="atLeast"/>
        <w:rPr>
          <w:rFonts w:hint="eastAsia" w:ascii="宋体" w:hAnsi="宋体" w:cs="Arial"/>
          <w:b/>
          <w:bCs/>
          <w:kern w:val="28"/>
        </w:rPr>
      </w:pPr>
      <w:r>
        <w:rPr>
          <w:rFonts w:hint="eastAsia" w:ascii="宋体" w:hAnsi="宋体" w:cs="Arial"/>
          <w:b/>
          <w:bCs/>
          <w:kern w:val="28"/>
        </w:rPr>
        <w:t>三、评标程序</w:t>
      </w:r>
    </w:p>
    <w:p>
      <w:pPr>
        <w:spacing w:line="375" w:lineRule="atLeast"/>
        <w:ind w:firstLine="210" w:firstLineChars="100"/>
        <w:rPr>
          <w:rFonts w:ascii="宋体" w:hAnsi="宋体" w:cs="Arial"/>
          <w:bCs/>
          <w:kern w:val="28"/>
        </w:rPr>
      </w:pPr>
      <w:r>
        <w:rPr>
          <w:rFonts w:hint="eastAsia" w:ascii="Arial" w:hAnsi="Arial" w:cs="Arial"/>
          <w:bCs/>
          <w:kern w:val="28"/>
        </w:rPr>
        <w:t xml:space="preserve">具体流程见本招标文件《第二部分 </w:t>
      </w:r>
      <w:r>
        <w:rPr>
          <w:rFonts w:ascii="Arial" w:hAnsi="Arial" w:cs="Arial"/>
          <w:bCs/>
          <w:kern w:val="28"/>
        </w:rPr>
        <w:t xml:space="preserve"> </w:t>
      </w:r>
      <w:r>
        <w:rPr>
          <w:rFonts w:hint="eastAsia" w:ascii="Arial" w:hAnsi="Arial" w:cs="Arial"/>
          <w:bCs/>
          <w:kern w:val="28"/>
        </w:rPr>
        <w:t>投标供应商须知》相关内容描述见</w:t>
      </w:r>
      <w:r>
        <w:rPr>
          <w:rFonts w:hint="eastAsia" w:ascii="Arial" w:hAnsi="Arial"/>
        </w:rPr>
        <w:t>。</w:t>
      </w:r>
    </w:p>
    <w:p>
      <w:pPr>
        <w:spacing w:line="375" w:lineRule="atLeast"/>
        <w:jc w:val="both"/>
        <w:rPr>
          <w:rFonts w:ascii="宋体" w:hAnsi="宋体" w:cs="Arial"/>
          <w:b/>
          <w:bCs/>
          <w:kern w:val="28"/>
        </w:rPr>
      </w:pPr>
      <w:r>
        <w:rPr>
          <w:rFonts w:hint="eastAsia" w:ascii="宋体" w:hAnsi="宋体" w:cs="Arial"/>
          <w:b/>
          <w:bCs/>
          <w:kern w:val="28"/>
        </w:rPr>
        <w:t>四、评标办法</w:t>
      </w:r>
    </w:p>
    <w:p>
      <w:pPr>
        <w:spacing w:line="375" w:lineRule="atLeast"/>
        <w:ind w:firstLine="420" w:firstLineChars="200"/>
        <w:rPr>
          <w:rFonts w:ascii="宋体" w:hAnsi="宋体" w:cs="Arial"/>
          <w:bCs/>
          <w:kern w:val="28"/>
        </w:rPr>
      </w:pPr>
      <w:r>
        <w:rPr>
          <w:rFonts w:hint="eastAsia" w:ascii="宋体" w:hAnsi="宋体" w:cs="Arial"/>
          <w:bCs/>
          <w:kern w:val="28"/>
        </w:rPr>
        <w:t>1、</w:t>
      </w:r>
      <w:r>
        <w:rPr>
          <w:rFonts w:hint="eastAsia" w:ascii="宋体" w:hAnsi="宋体" w:cs="Arial Unicode MS"/>
          <w:bCs/>
          <w:kern w:val="28"/>
          <w:szCs w:val="22"/>
        </w:rPr>
        <w:t>本评标办法采取综合评分法（百分制法），评标委员会先对技术商务文件评审，然后对技术商务文件符合招标文件要求的投标供应商进入报价文件评审。评标结束后，评标委员会将根据投标供应商的合计得分（技术商务文件和报价文件分开打分，最后二部分得分相加）由高到低确定一个预选中标供应商（得分高者），</w:t>
      </w:r>
      <w:bookmarkStart w:id="397" w:name="_Hlk64902035"/>
      <w:r>
        <w:rPr>
          <w:rFonts w:hint="eastAsia" w:ascii="宋体" w:hAnsi="宋体" w:cs="Arial Unicode MS"/>
          <w:bCs/>
          <w:kern w:val="28"/>
          <w:szCs w:val="22"/>
        </w:rPr>
        <w:t>其余有效投标供应商按得分由高到低依次确定为备选中标供应商</w:t>
      </w:r>
      <w:bookmarkEnd w:id="397"/>
      <w:r>
        <w:rPr>
          <w:rFonts w:hint="eastAsia" w:ascii="宋体" w:hAnsi="宋体" w:cs="Arial Unicode MS"/>
          <w:bCs/>
          <w:kern w:val="28"/>
          <w:szCs w:val="22"/>
        </w:rPr>
        <w:t>，并出具评审报告。</w:t>
      </w:r>
      <w:bookmarkStart w:id="398" w:name="_Hlk64902050"/>
      <w:r>
        <w:rPr>
          <w:rFonts w:hint="eastAsia" w:ascii="宋体" w:hAnsi="宋体" w:cs="Arial Unicode MS"/>
          <w:bCs/>
          <w:kern w:val="28"/>
          <w:szCs w:val="22"/>
        </w:rPr>
        <w:t>合计得分相同的，按投标报价由低到高顺序排列；合计得分且投标报价相同的，则由采购人代表在所有得分均相同者中随机抽取其中一名为名次优先者，依法予以确认为中标供应商</w:t>
      </w:r>
      <w:bookmarkEnd w:id="398"/>
      <w:r>
        <w:rPr>
          <w:rFonts w:hint="eastAsia" w:ascii="宋体" w:hAnsi="宋体"/>
          <w:szCs w:val="21"/>
        </w:rPr>
        <w:t>。</w:t>
      </w:r>
    </w:p>
    <w:p>
      <w:pPr>
        <w:spacing w:line="375" w:lineRule="atLeast"/>
        <w:ind w:firstLine="420" w:firstLineChars="200"/>
        <w:rPr>
          <w:rFonts w:hint="eastAsia" w:ascii="宋体" w:hAnsi="宋体" w:cs="Arial"/>
          <w:bCs/>
          <w:kern w:val="28"/>
        </w:rPr>
      </w:pPr>
      <w:r>
        <w:rPr>
          <w:rFonts w:hint="eastAsia" w:ascii="宋体" w:hAnsi="宋体" w:cs="Arial"/>
          <w:bCs/>
          <w:kern w:val="28"/>
        </w:rPr>
        <w:t>2、开标后，招标代理机构或采购人首先对投标书进行资格性检查，凡投标供应商资格不符合招标文件资格要求，告知投标供应商后，出具相关说明，由招标代理机构或采购人审查为无效投标，予以废除，不再进入后续评审。</w:t>
      </w:r>
    </w:p>
    <w:p>
      <w:pPr>
        <w:spacing w:line="375" w:lineRule="atLeast"/>
        <w:ind w:firstLine="420" w:firstLineChars="200"/>
        <w:rPr>
          <w:rFonts w:ascii="宋体" w:hAnsi="宋体" w:cs="Arial"/>
          <w:bCs/>
          <w:kern w:val="28"/>
        </w:rPr>
      </w:pPr>
      <w:r>
        <w:rPr>
          <w:rFonts w:hint="eastAsia" w:ascii="宋体" w:hAnsi="宋体" w:cs="Arial"/>
          <w:bCs/>
          <w:kern w:val="28"/>
        </w:rPr>
        <w:t>评审委员会对投标书进行符合性检查，凡投标供应商资格不符合招标文件要求；投标书实质性内容和格式严重不符合有关规定或不响应招标文件要求者，经评审委员会认定作为无效投标，予以废除，不再进入后续评审。对投标书中的疑问，由评审委员会对投标供应商进行询标，投标供应商做出书面答复作为投标书的补充文件。除对投标的算术错误按有关规定处理外，不得在询标过程中修改投标书的实质性条款内容。</w:t>
      </w:r>
    </w:p>
    <w:p>
      <w:pPr>
        <w:spacing w:line="375" w:lineRule="atLeast"/>
        <w:ind w:firstLine="420" w:firstLineChars="200"/>
        <w:rPr>
          <w:rFonts w:ascii="宋体" w:hAnsi="宋体" w:cs="Arial"/>
          <w:bCs/>
          <w:kern w:val="28"/>
        </w:rPr>
      </w:pPr>
      <w:r>
        <w:rPr>
          <w:rFonts w:hint="eastAsia"/>
        </w:rPr>
        <w:t>经资格性检查和符合性检查后，开、评标期间出现符合专业条件的投标供应商或者对招标文件作出实质响应的投标供应商（有效投标供应商）不足三家，或投标供应商的报价均超过最高限价的，按政府采购法律法规有关规定，依法继续进行或转为其它政府采购方式进行采购，或宣布本次招标失败，重新组织招标</w:t>
      </w:r>
      <w:r>
        <w:rPr>
          <w:rFonts w:hint="eastAsia" w:ascii="宋体" w:hAnsi="宋体" w:cs="Arial"/>
          <w:bCs/>
          <w:kern w:val="28"/>
        </w:rPr>
        <w:t>。</w:t>
      </w:r>
    </w:p>
    <w:p>
      <w:pPr>
        <w:spacing w:line="375" w:lineRule="atLeast"/>
        <w:jc w:val="both"/>
        <w:rPr>
          <w:rFonts w:hint="eastAsia" w:ascii="宋体" w:hAnsi="宋体" w:cs="Arial"/>
          <w:bCs/>
          <w:kern w:val="28"/>
        </w:rPr>
      </w:pPr>
      <w:r>
        <w:rPr>
          <w:rFonts w:hint="eastAsia" w:ascii="宋体" w:hAnsi="宋体" w:cs="Arial"/>
          <w:b/>
          <w:bCs/>
          <w:kern w:val="28"/>
          <w:sz w:val="24"/>
          <w:szCs w:val="24"/>
        </w:rPr>
        <w:t>五、</w:t>
      </w:r>
      <w:bookmarkStart w:id="399" w:name="_Hlk42016638"/>
      <w:r>
        <w:rPr>
          <w:rFonts w:hint="eastAsia" w:ascii="宋体" w:hAnsi="宋体" w:cs="Arial"/>
          <w:b/>
          <w:bCs/>
          <w:kern w:val="28"/>
          <w:sz w:val="24"/>
          <w:szCs w:val="24"/>
        </w:rPr>
        <w:t>评标细则</w:t>
      </w:r>
      <w:bookmarkEnd w:id="399"/>
      <w:r>
        <w:rPr>
          <w:rFonts w:hint="eastAsia" w:ascii="宋体" w:hAnsi="宋体" w:cs="Arial"/>
          <w:b/>
          <w:bCs/>
          <w:kern w:val="28"/>
          <w:sz w:val="24"/>
          <w:szCs w:val="24"/>
        </w:rPr>
        <w:t xml:space="preserve"> </w:t>
      </w:r>
    </w:p>
    <w:p>
      <w:pPr>
        <w:rPr>
          <w:rFonts w:ascii="宋体" w:hAnsi="宋体"/>
          <w:b/>
          <w:szCs w:val="21"/>
        </w:rPr>
      </w:pPr>
      <w:r>
        <w:rPr>
          <w:rFonts w:hint="eastAsia" w:ascii="宋体" w:hAnsi="宋体"/>
          <w:b/>
          <w:szCs w:val="21"/>
        </w:rPr>
        <w:t xml:space="preserve">1、技术、商务评分标准 </w:t>
      </w:r>
      <w:r>
        <w:rPr>
          <w:rFonts w:ascii="宋体" w:hAnsi="宋体"/>
          <w:b/>
          <w:szCs w:val="21"/>
        </w:rPr>
        <w:t>80</w:t>
      </w:r>
      <w:r>
        <w:rPr>
          <w:rFonts w:hint="eastAsia" w:ascii="宋体" w:hAnsi="宋体"/>
          <w:b/>
          <w:szCs w:val="21"/>
        </w:rPr>
        <w:t>分</w:t>
      </w:r>
    </w:p>
    <w:tbl>
      <w:tblPr>
        <w:tblStyle w:val="35"/>
        <w:tblW w:w="5096"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0" w:type="dxa"/>
          <w:bottom w:w="0" w:type="dxa"/>
          <w:right w:w="0" w:type="dxa"/>
        </w:tblCellMar>
      </w:tblPr>
      <w:tblGrid>
        <w:gridCol w:w="425"/>
        <w:gridCol w:w="1351"/>
        <w:gridCol w:w="328"/>
        <w:gridCol w:w="557"/>
        <w:gridCol w:w="659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503" w:hRule="atLeast"/>
          <w:jc w:val="center"/>
        </w:trPr>
        <w:tc>
          <w:tcPr>
            <w:tcW w:w="230" w:type="pct"/>
            <w:noWrap w:val="0"/>
            <w:vAlign w:val="center"/>
          </w:tcPr>
          <w:p>
            <w:pPr>
              <w:ind w:left="-99" w:leftChars="-47" w:firstLine="98" w:firstLineChars="47"/>
              <w:jc w:val="center"/>
              <w:rPr>
                <w:rFonts w:hint="eastAsia" w:ascii="宋体" w:hAnsi="宋体"/>
                <w:szCs w:val="21"/>
              </w:rPr>
            </w:pPr>
            <w:r>
              <w:rPr>
                <w:rFonts w:hint="eastAsia" w:ascii="宋体" w:hAnsi="宋体"/>
                <w:szCs w:val="21"/>
              </w:rPr>
              <w:t>序号</w:t>
            </w:r>
          </w:p>
        </w:tc>
        <w:tc>
          <w:tcPr>
            <w:tcW w:w="730" w:type="pct"/>
            <w:tcBorders>
              <w:bottom w:val="single" w:color="auto" w:sz="4" w:space="0"/>
            </w:tcBorders>
            <w:noWrap w:val="0"/>
            <w:vAlign w:val="center"/>
          </w:tcPr>
          <w:p>
            <w:pPr>
              <w:rPr>
                <w:rFonts w:hint="eastAsia" w:ascii="宋体" w:hAnsi="宋体"/>
                <w:szCs w:val="21"/>
              </w:rPr>
            </w:pPr>
            <w:r>
              <w:rPr>
                <w:rFonts w:hint="eastAsia" w:ascii="宋体" w:hAnsi="宋体"/>
                <w:szCs w:val="21"/>
              </w:rPr>
              <w:t>评定项目</w:t>
            </w:r>
          </w:p>
        </w:tc>
        <w:tc>
          <w:tcPr>
            <w:tcW w:w="478" w:type="pct"/>
            <w:gridSpan w:val="2"/>
            <w:noWrap w:val="0"/>
            <w:vAlign w:val="center"/>
          </w:tcPr>
          <w:p>
            <w:pPr>
              <w:jc w:val="center"/>
              <w:rPr>
                <w:rFonts w:hint="eastAsia" w:ascii="宋体" w:hAnsi="宋体"/>
                <w:szCs w:val="21"/>
              </w:rPr>
            </w:pPr>
            <w:r>
              <w:rPr>
                <w:rFonts w:hint="eastAsia" w:ascii="宋体" w:hAnsi="宋体"/>
                <w:szCs w:val="21"/>
              </w:rPr>
              <w:t>分值</w:t>
            </w:r>
          </w:p>
          <w:p>
            <w:pPr>
              <w:jc w:val="center"/>
              <w:rPr>
                <w:rFonts w:hint="eastAsia" w:ascii="宋体" w:hAnsi="宋体"/>
                <w:szCs w:val="21"/>
              </w:rPr>
            </w:pPr>
            <w:r>
              <w:rPr>
                <w:rFonts w:hint="eastAsia" w:ascii="宋体" w:hAnsi="宋体"/>
                <w:szCs w:val="21"/>
              </w:rPr>
              <w:t>范围</w:t>
            </w:r>
          </w:p>
        </w:tc>
        <w:tc>
          <w:tcPr>
            <w:tcW w:w="3562" w:type="pct"/>
            <w:noWrap w:val="0"/>
            <w:vAlign w:val="center"/>
          </w:tcPr>
          <w:p>
            <w:pPr>
              <w:jc w:val="center"/>
              <w:rPr>
                <w:rFonts w:hint="eastAsia" w:ascii="宋体" w:hAnsi="宋体"/>
                <w:szCs w:val="21"/>
              </w:rPr>
            </w:pPr>
            <w:r>
              <w:rPr>
                <w:rFonts w:hint="eastAsia" w:ascii="宋体" w:hAnsi="宋体"/>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670" w:hRule="atLeast"/>
          <w:jc w:val="center"/>
        </w:trPr>
        <w:tc>
          <w:tcPr>
            <w:tcW w:w="230" w:type="pct"/>
            <w:vMerge w:val="restart"/>
            <w:noWrap w:val="0"/>
            <w:vAlign w:val="center"/>
          </w:tcPr>
          <w:p>
            <w:pPr>
              <w:numPr>
                <w:ilvl w:val="0"/>
                <w:numId w:val="28"/>
              </w:numPr>
              <w:rPr>
                <w:rFonts w:hint="eastAsia" w:ascii="宋体" w:hAnsi="宋体"/>
                <w:szCs w:val="21"/>
              </w:rPr>
            </w:pPr>
          </w:p>
        </w:tc>
        <w:tc>
          <w:tcPr>
            <w:tcW w:w="730" w:type="pct"/>
            <w:vMerge w:val="restart"/>
            <w:noWrap w:val="0"/>
            <w:vAlign w:val="center"/>
          </w:tcPr>
          <w:p>
            <w:pPr>
              <w:jc w:val="center"/>
              <w:rPr>
                <w:rFonts w:hint="eastAsia" w:ascii="宋体" w:hAnsi="宋体"/>
                <w:szCs w:val="21"/>
              </w:rPr>
            </w:pPr>
            <w:r>
              <w:rPr>
                <w:rFonts w:hint="eastAsia" w:ascii="宋体" w:hAnsi="宋体"/>
                <w:szCs w:val="21"/>
              </w:rPr>
              <w:t>综合实力</w:t>
            </w:r>
          </w:p>
        </w:tc>
        <w:tc>
          <w:tcPr>
            <w:tcW w:w="478" w:type="pct"/>
            <w:gridSpan w:val="2"/>
            <w:tcBorders>
              <w:bottom w:val="single" w:color="auto" w:sz="4" w:space="0"/>
            </w:tcBorders>
            <w:noWrap w:val="0"/>
            <w:vAlign w:val="center"/>
          </w:tcPr>
          <w:p>
            <w:pPr>
              <w:jc w:val="center"/>
              <w:rPr>
                <w:rFonts w:hint="eastAsia" w:ascii="宋体" w:hAnsi="宋体"/>
                <w:szCs w:val="21"/>
              </w:rPr>
            </w:pPr>
            <w:r>
              <w:rPr>
                <w:rFonts w:ascii="宋体" w:hAnsi="宋体"/>
                <w:szCs w:val="21"/>
              </w:rPr>
              <w:t>0</w:t>
            </w:r>
            <w:r>
              <w:rPr>
                <w:rFonts w:hint="eastAsia" w:ascii="宋体" w:hAnsi="宋体"/>
                <w:szCs w:val="21"/>
              </w:rPr>
              <w:t>-</w:t>
            </w:r>
            <w:r>
              <w:rPr>
                <w:rFonts w:ascii="宋体" w:hAnsi="宋体"/>
                <w:szCs w:val="21"/>
              </w:rPr>
              <w:t>1</w:t>
            </w:r>
            <w:r>
              <w:rPr>
                <w:rFonts w:hint="eastAsia" w:ascii="宋体" w:hAnsi="宋体"/>
                <w:szCs w:val="21"/>
              </w:rPr>
              <w:t>分</w:t>
            </w:r>
          </w:p>
        </w:tc>
        <w:tc>
          <w:tcPr>
            <w:tcW w:w="3562" w:type="pct"/>
            <w:tcBorders>
              <w:bottom w:val="single" w:color="auto" w:sz="4" w:space="0"/>
            </w:tcBorders>
            <w:noWrap w:val="0"/>
            <w:vAlign w:val="center"/>
          </w:tcPr>
          <w:p>
            <w:pPr>
              <w:rPr>
                <w:rFonts w:hint="eastAsia" w:ascii="宋体" w:hAnsi="宋体"/>
                <w:szCs w:val="21"/>
              </w:rPr>
            </w:pPr>
            <w:r>
              <w:rPr>
                <w:rFonts w:hint="eastAsia" w:ascii="宋体" w:hAnsi="宋体"/>
                <w:szCs w:val="21"/>
              </w:rPr>
              <w:t>1</w:t>
            </w:r>
            <w:r>
              <w:rPr>
                <w:rFonts w:ascii="宋体" w:hAnsi="宋体"/>
                <w:szCs w:val="21"/>
              </w:rPr>
              <w:t>.1</w:t>
            </w:r>
            <w:r>
              <w:rPr>
                <w:rFonts w:hint="eastAsia" w:ascii="宋体" w:hAnsi="宋体"/>
                <w:szCs w:val="21"/>
              </w:rPr>
              <w:t>、</w:t>
            </w:r>
            <w:r>
              <w:rPr>
                <w:rFonts w:hint="eastAsia" w:ascii="宋体" w:hAnsi="宋体" w:cs="宋体"/>
                <w:snapToGrid w:val="0"/>
                <w:szCs w:val="21"/>
              </w:rPr>
              <w:t>投标供应商提供2017年1月1日以来由县市级及以上人民政府或县市级人民政府所属的市容环卫主管部门颁发的市容环卫服务方面的荣誉证书或获奖证书，1个得0.5分，最多得1分（客观分）</w:t>
            </w:r>
            <w:r>
              <w:rPr>
                <w:rFonts w:hint="eastAsia" w:ascii="宋体" w:hAnsi="宋体"/>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580" w:hRule="atLeast"/>
          <w:jc w:val="center"/>
        </w:trPr>
        <w:tc>
          <w:tcPr>
            <w:tcW w:w="230" w:type="pct"/>
            <w:vMerge w:val="continue"/>
            <w:tcBorders>
              <w:bottom w:val="single" w:color="auto" w:sz="4" w:space="0"/>
            </w:tcBorders>
            <w:noWrap w:val="0"/>
            <w:vAlign w:val="center"/>
          </w:tcPr>
          <w:p>
            <w:pPr>
              <w:numPr>
                <w:ilvl w:val="0"/>
                <w:numId w:val="28"/>
              </w:numPr>
              <w:rPr>
                <w:rFonts w:hint="eastAsia" w:ascii="宋体" w:hAnsi="宋体"/>
                <w:szCs w:val="21"/>
              </w:rPr>
            </w:pPr>
          </w:p>
        </w:tc>
        <w:tc>
          <w:tcPr>
            <w:tcW w:w="730" w:type="pct"/>
            <w:vMerge w:val="continue"/>
            <w:tcBorders>
              <w:bottom w:val="single" w:color="auto" w:sz="4" w:space="0"/>
            </w:tcBorders>
            <w:noWrap w:val="0"/>
            <w:vAlign w:val="center"/>
          </w:tcPr>
          <w:p>
            <w:pPr>
              <w:jc w:val="center"/>
              <w:rPr>
                <w:rFonts w:hint="eastAsia" w:ascii="宋体" w:hAnsi="宋体"/>
                <w:szCs w:val="21"/>
              </w:rPr>
            </w:pPr>
          </w:p>
        </w:tc>
        <w:tc>
          <w:tcPr>
            <w:tcW w:w="478" w:type="pct"/>
            <w:gridSpan w:val="2"/>
            <w:tcBorders>
              <w:top w:val="single" w:color="auto" w:sz="4" w:space="0"/>
            </w:tcBorders>
            <w:noWrap w:val="0"/>
            <w:vAlign w:val="center"/>
          </w:tcPr>
          <w:p>
            <w:pPr>
              <w:jc w:val="center"/>
              <w:rPr>
                <w:rFonts w:hint="eastAsia" w:ascii="宋体" w:hAnsi="宋体"/>
                <w:szCs w:val="21"/>
              </w:rPr>
            </w:pPr>
            <w:r>
              <w:rPr>
                <w:rFonts w:ascii="宋体" w:hAnsi="宋体"/>
                <w:szCs w:val="21"/>
              </w:rPr>
              <w:t>0</w:t>
            </w:r>
            <w:r>
              <w:rPr>
                <w:rFonts w:hint="eastAsia" w:ascii="宋体" w:hAnsi="宋体"/>
                <w:szCs w:val="21"/>
              </w:rPr>
              <w:t>-</w:t>
            </w:r>
            <w:r>
              <w:rPr>
                <w:rFonts w:ascii="宋体" w:hAnsi="宋体"/>
                <w:szCs w:val="21"/>
              </w:rPr>
              <w:t>2</w:t>
            </w:r>
            <w:r>
              <w:rPr>
                <w:rFonts w:hint="eastAsia" w:ascii="宋体" w:hAnsi="宋体"/>
                <w:szCs w:val="21"/>
              </w:rPr>
              <w:t>分</w:t>
            </w:r>
          </w:p>
        </w:tc>
        <w:tc>
          <w:tcPr>
            <w:tcW w:w="3562" w:type="pct"/>
            <w:tcBorders>
              <w:top w:val="single" w:color="auto" w:sz="4" w:space="0"/>
            </w:tcBorders>
            <w:noWrap w:val="0"/>
            <w:vAlign w:val="center"/>
          </w:tcPr>
          <w:p>
            <w:pPr>
              <w:pStyle w:val="2"/>
              <w:rPr>
                <w:rFonts w:hint="eastAsia" w:ascii="宋体" w:hAnsi="宋体" w:eastAsia="宋体"/>
                <w:sz w:val="21"/>
                <w:szCs w:val="21"/>
              </w:rPr>
            </w:pPr>
            <w:r>
              <w:rPr>
                <w:rFonts w:ascii="宋体" w:hAnsi="宋体" w:eastAsia="宋体"/>
                <w:sz w:val="21"/>
                <w:szCs w:val="21"/>
              </w:rPr>
              <w:t>1.2</w:t>
            </w:r>
            <w:r>
              <w:rPr>
                <w:rFonts w:hint="eastAsia" w:ascii="宋体" w:hAnsi="宋体" w:eastAsia="宋体"/>
                <w:sz w:val="21"/>
                <w:szCs w:val="21"/>
              </w:rPr>
              <w:t>、根据投标人的资信、综合服务能力等情况由专家评审。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120" w:hRule="atLeast"/>
          <w:jc w:val="center"/>
        </w:trPr>
        <w:tc>
          <w:tcPr>
            <w:tcW w:w="230" w:type="pct"/>
            <w:noWrap w:val="0"/>
            <w:vAlign w:val="center"/>
          </w:tcPr>
          <w:p>
            <w:pPr>
              <w:numPr>
                <w:ilvl w:val="0"/>
                <w:numId w:val="28"/>
              </w:numPr>
              <w:rPr>
                <w:rFonts w:hint="eastAsia" w:ascii="宋体" w:hAnsi="宋体"/>
                <w:szCs w:val="21"/>
              </w:rPr>
            </w:pPr>
          </w:p>
        </w:tc>
        <w:tc>
          <w:tcPr>
            <w:tcW w:w="730" w:type="pct"/>
            <w:noWrap w:val="0"/>
            <w:vAlign w:val="center"/>
          </w:tcPr>
          <w:p>
            <w:pPr>
              <w:jc w:val="center"/>
              <w:rPr>
                <w:rFonts w:hint="eastAsia" w:ascii="宋体" w:hAnsi="宋体" w:cs="Arial"/>
                <w:szCs w:val="21"/>
              </w:rPr>
            </w:pPr>
            <w:r>
              <w:rPr>
                <w:rFonts w:hint="eastAsia" w:ascii="宋体" w:hAnsi="宋体"/>
                <w:szCs w:val="21"/>
              </w:rPr>
              <w:t>对本项目清扫保洁工作的现状调查与问题剖析</w:t>
            </w:r>
          </w:p>
        </w:tc>
        <w:tc>
          <w:tcPr>
            <w:tcW w:w="478" w:type="pct"/>
            <w:gridSpan w:val="2"/>
            <w:tcBorders>
              <w:bottom w:val="single" w:color="auto" w:sz="4" w:space="0"/>
            </w:tcBorders>
            <w:noWrap w:val="0"/>
            <w:vAlign w:val="center"/>
          </w:tcPr>
          <w:p>
            <w:pPr>
              <w:jc w:val="center"/>
              <w:rPr>
                <w:rFonts w:hint="eastAsia" w:ascii="宋体" w:hAnsi="宋体"/>
                <w:szCs w:val="21"/>
              </w:rPr>
            </w:pPr>
            <w:r>
              <w:rPr>
                <w:rFonts w:ascii="宋体" w:hAnsi="宋体"/>
                <w:szCs w:val="21"/>
              </w:rPr>
              <w:t>0</w:t>
            </w:r>
            <w:r>
              <w:rPr>
                <w:rFonts w:hint="eastAsia" w:ascii="宋体" w:hAnsi="宋体"/>
                <w:szCs w:val="21"/>
              </w:rPr>
              <w:t>-</w:t>
            </w:r>
            <w:r>
              <w:rPr>
                <w:rFonts w:ascii="宋体" w:hAnsi="宋体"/>
                <w:szCs w:val="21"/>
              </w:rPr>
              <w:t>3</w:t>
            </w:r>
            <w:r>
              <w:rPr>
                <w:rFonts w:hint="eastAsia" w:ascii="宋体" w:hAnsi="宋体"/>
                <w:szCs w:val="21"/>
              </w:rPr>
              <w:t>分</w:t>
            </w:r>
          </w:p>
        </w:tc>
        <w:tc>
          <w:tcPr>
            <w:tcW w:w="3562" w:type="pct"/>
            <w:tcBorders>
              <w:bottom w:val="single" w:color="auto" w:sz="4" w:space="0"/>
            </w:tcBorders>
            <w:noWrap w:val="0"/>
            <w:vAlign w:val="center"/>
          </w:tcPr>
          <w:p>
            <w:pPr>
              <w:snapToGrid w:val="0"/>
              <w:rPr>
                <w:rFonts w:hint="eastAsia" w:ascii="宋体" w:hAnsi="宋体"/>
                <w:szCs w:val="21"/>
              </w:rPr>
            </w:pPr>
            <w:r>
              <w:rPr>
                <w:rFonts w:hint="eastAsia" w:ascii="宋体" w:hAnsi="宋体"/>
                <w:szCs w:val="21"/>
              </w:rPr>
              <w:t>根据投标供应商对项目范围内道路的现状、保洁情况、存在的问题和清扫保洁的难点、要点等问题进行调查剖析，并针对性的提出克服难点和要点技术措施。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580" w:hRule="atLeast"/>
          <w:jc w:val="center"/>
        </w:trPr>
        <w:tc>
          <w:tcPr>
            <w:tcW w:w="230" w:type="pct"/>
            <w:vMerge w:val="restart"/>
            <w:noWrap w:val="0"/>
            <w:vAlign w:val="center"/>
          </w:tcPr>
          <w:p>
            <w:pPr>
              <w:numPr>
                <w:ilvl w:val="0"/>
                <w:numId w:val="28"/>
              </w:numPr>
              <w:rPr>
                <w:rFonts w:hint="eastAsia" w:ascii="宋体" w:hAnsi="宋体"/>
                <w:szCs w:val="21"/>
              </w:rPr>
            </w:pPr>
          </w:p>
        </w:tc>
        <w:tc>
          <w:tcPr>
            <w:tcW w:w="730" w:type="pct"/>
            <w:vMerge w:val="restart"/>
            <w:noWrap w:val="0"/>
            <w:vAlign w:val="center"/>
          </w:tcPr>
          <w:p>
            <w:pPr>
              <w:jc w:val="center"/>
              <w:rPr>
                <w:rFonts w:hint="eastAsia" w:ascii="宋体" w:hAnsi="宋体" w:cs="Arial"/>
                <w:szCs w:val="21"/>
              </w:rPr>
            </w:pPr>
            <w:r>
              <w:rPr>
                <w:rFonts w:hint="eastAsia" w:ascii="宋体" w:hAnsi="宋体"/>
                <w:szCs w:val="21"/>
              </w:rPr>
              <w:t>清扫保洁具体实施计划和方案措施，扫保洁服务的工作排班、时间安排和分工计划，拟投入的管理、作业人员、作业设备、作业工具、耗材等所投入的数量、概况及力度.人员配备合理，作业计划、排班详细，可行性强。满足项目要求情况；</w:t>
            </w:r>
          </w:p>
        </w:tc>
        <w:tc>
          <w:tcPr>
            <w:tcW w:w="177" w:type="pct"/>
            <w:vMerge w:val="restart"/>
            <w:tcBorders>
              <w:right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5</w:t>
            </w:r>
            <w:r>
              <w:rPr>
                <w:rFonts w:hint="eastAsia" w:ascii="宋体" w:hAnsi="宋体"/>
                <w:szCs w:val="21"/>
              </w:rPr>
              <w:t>分</w:t>
            </w:r>
          </w:p>
        </w:tc>
        <w:tc>
          <w:tcPr>
            <w:tcW w:w="301" w:type="pct"/>
            <w:tcBorders>
              <w:left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3分</w:t>
            </w:r>
          </w:p>
        </w:tc>
        <w:tc>
          <w:tcPr>
            <w:tcW w:w="3562" w:type="pct"/>
            <w:tcBorders>
              <w:bottom w:val="single" w:color="auto" w:sz="4" w:space="0"/>
            </w:tcBorders>
            <w:noWrap w:val="0"/>
            <w:vAlign w:val="center"/>
          </w:tcPr>
          <w:p>
            <w:pPr>
              <w:tabs>
                <w:tab w:val="left" w:pos="252"/>
              </w:tabs>
              <w:rPr>
                <w:rFonts w:hint="eastAsia" w:ascii="宋体" w:hAnsi="宋体"/>
                <w:szCs w:val="21"/>
              </w:rPr>
            </w:pPr>
            <w:r>
              <w:rPr>
                <w:rFonts w:ascii="宋体" w:hAnsi="宋体"/>
                <w:kern w:val="28"/>
                <w:szCs w:val="21"/>
              </w:rPr>
              <w:t>3</w:t>
            </w:r>
            <w:r>
              <w:rPr>
                <w:rFonts w:hint="eastAsia" w:ascii="宋体" w:hAnsi="宋体"/>
                <w:kern w:val="28"/>
                <w:szCs w:val="21"/>
              </w:rPr>
              <w:t>.1、</w:t>
            </w:r>
            <w:r>
              <w:rPr>
                <w:rFonts w:hint="eastAsia" w:ascii="宋体" w:hAnsi="宋体" w:cs="宋体"/>
                <w:szCs w:val="21"/>
              </w:rPr>
              <w:t>根据供应商提供的针对本项目的道路（</w:t>
            </w:r>
            <w:r>
              <w:rPr>
                <w:rFonts w:hint="eastAsia" w:ascii="宋体" w:hAnsi="宋体"/>
                <w:szCs w:val="21"/>
              </w:rPr>
              <w:t>含车行道和人行道）保洁方案：</w:t>
            </w:r>
          </w:p>
          <w:p>
            <w:pPr>
              <w:pStyle w:val="4"/>
              <w:ind w:firstLine="0"/>
              <w:rPr>
                <w:rFonts w:hint="eastAsia" w:ascii="宋体" w:hAnsi="宋体" w:cs="宋体"/>
                <w:szCs w:val="21"/>
              </w:rPr>
            </w:pPr>
            <w:r>
              <w:rPr>
                <w:rFonts w:ascii="宋体" w:hAnsi="宋体" w:cs="宋体"/>
                <w:szCs w:val="21"/>
              </w:rPr>
              <w:t>3.1.1</w:t>
            </w:r>
            <w:r>
              <w:rPr>
                <w:rFonts w:hint="eastAsia" w:ascii="宋体" w:hAnsi="宋体" w:cs="宋体"/>
                <w:szCs w:val="21"/>
              </w:rPr>
              <w:t>、集镇区道路保洁：</w:t>
            </w:r>
          </w:p>
          <w:p>
            <w:pPr>
              <w:pStyle w:val="4"/>
              <w:ind w:firstLine="0"/>
              <w:rPr>
                <w:rFonts w:hint="eastAsia" w:ascii="宋体" w:hAnsi="宋体"/>
                <w:szCs w:val="21"/>
              </w:rPr>
            </w:pPr>
            <w:r>
              <w:rPr>
                <w:rFonts w:hint="eastAsia" w:ascii="宋体" w:hAnsi="宋体"/>
                <w:szCs w:val="21"/>
              </w:rPr>
              <w:t>主要道路保洁（0-2分）；</w:t>
            </w:r>
          </w:p>
          <w:p>
            <w:pPr>
              <w:pStyle w:val="4"/>
              <w:ind w:firstLine="0"/>
              <w:rPr>
                <w:rFonts w:hint="eastAsia" w:ascii="宋体" w:hAnsi="宋体"/>
                <w:szCs w:val="21"/>
              </w:rPr>
            </w:pPr>
            <w:r>
              <w:rPr>
                <w:rFonts w:hint="eastAsia" w:ascii="宋体" w:hAnsi="宋体"/>
                <w:szCs w:val="21"/>
              </w:rPr>
              <w:t>背街小巷保洁（0-1分）；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499"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177" w:type="pct"/>
            <w:vMerge w:val="continue"/>
            <w:tcBorders>
              <w:right w:val="single" w:color="auto" w:sz="4" w:space="0"/>
            </w:tcBorders>
            <w:noWrap w:val="0"/>
            <w:vAlign w:val="center"/>
          </w:tcPr>
          <w:p>
            <w:pPr>
              <w:jc w:val="center"/>
              <w:rPr>
                <w:rFonts w:hint="eastAsia" w:ascii="宋体" w:hAnsi="宋体"/>
                <w:szCs w:val="21"/>
              </w:rPr>
            </w:pPr>
          </w:p>
        </w:tc>
        <w:tc>
          <w:tcPr>
            <w:tcW w:w="301" w:type="pct"/>
            <w:tcBorders>
              <w:top w:val="single" w:color="auto" w:sz="4" w:space="0"/>
              <w:left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1分</w:t>
            </w:r>
          </w:p>
        </w:tc>
        <w:tc>
          <w:tcPr>
            <w:tcW w:w="3562" w:type="pct"/>
            <w:tcBorders>
              <w:top w:val="single" w:color="auto" w:sz="4" w:space="0"/>
              <w:bottom w:val="single" w:color="auto" w:sz="4" w:space="0"/>
            </w:tcBorders>
            <w:noWrap w:val="0"/>
            <w:vAlign w:val="center"/>
          </w:tcPr>
          <w:p>
            <w:pPr>
              <w:snapToGrid w:val="0"/>
              <w:rPr>
                <w:rFonts w:ascii="宋体" w:hAnsi="宋体"/>
                <w:kern w:val="28"/>
                <w:szCs w:val="21"/>
              </w:rPr>
            </w:pPr>
            <w:r>
              <w:rPr>
                <w:rFonts w:ascii="宋体" w:hAnsi="宋体"/>
                <w:szCs w:val="21"/>
              </w:rPr>
              <w:t>3.1.2</w:t>
            </w:r>
            <w:r>
              <w:rPr>
                <w:rFonts w:hint="eastAsia" w:ascii="宋体" w:hAnsi="宋体"/>
                <w:szCs w:val="21"/>
              </w:rPr>
              <w:t>、经合社道路保洁（0-1分）；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582"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177" w:type="pct"/>
            <w:vMerge w:val="continue"/>
            <w:tcBorders>
              <w:right w:val="single" w:color="auto" w:sz="4" w:space="0"/>
            </w:tcBorders>
            <w:noWrap w:val="0"/>
            <w:vAlign w:val="center"/>
          </w:tcPr>
          <w:p>
            <w:pPr>
              <w:jc w:val="center"/>
              <w:rPr>
                <w:rFonts w:hint="eastAsia" w:ascii="宋体" w:hAnsi="宋体"/>
                <w:szCs w:val="21"/>
              </w:rPr>
            </w:pPr>
          </w:p>
        </w:tc>
        <w:tc>
          <w:tcPr>
            <w:tcW w:w="301" w:type="pct"/>
            <w:tcBorders>
              <w:top w:val="single" w:color="auto" w:sz="4" w:space="0"/>
              <w:left w:val="single" w:color="auto" w:sz="4" w:space="0"/>
            </w:tcBorders>
            <w:noWrap w:val="0"/>
            <w:vAlign w:val="center"/>
          </w:tcPr>
          <w:p>
            <w:pPr>
              <w:jc w:val="center"/>
              <w:rPr>
                <w:rFonts w:hint="eastAsia" w:ascii="宋体" w:hAnsi="宋体"/>
                <w:szCs w:val="21"/>
              </w:rPr>
            </w:pPr>
            <w:r>
              <w:rPr>
                <w:rFonts w:hint="eastAsia" w:ascii="宋体" w:hAnsi="宋体"/>
                <w:szCs w:val="21"/>
              </w:rPr>
              <w:t>1分</w:t>
            </w:r>
          </w:p>
        </w:tc>
        <w:tc>
          <w:tcPr>
            <w:tcW w:w="3562" w:type="pct"/>
            <w:tcBorders>
              <w:top w:val="single" w:color="auto" w:sz="4" w:space="0"/>
            </w:tcBorders>
            <w:noWrap w:val="0"/>
            <w:vAlign w:val="center"/>
          </w:tcPr>
          <w:p>
            <w:pPr>
              <w:snapToGrid w:val="0"/>
              <w:rPr>
                <w:rFonts w:ascii="宋体" w:hAnsi="宋体"/>
                <w:kern w:val="28"/>
                <w:szCs w:val="21"/>
              </w:rPr>
            </w:pPr>
            <w:r>
              <w:rPr>
                <w:rFonts w:ascii="宋体" w:hAnsi="宋体"/>
                <w:szCs w:val="21"/>
              </w:rPr>
              <w:t>3.1.3</w:t>
            </w:r>
            <w:r>
              <w:rPr>
                <w:rFonts w:hint="eastAsia" w:ascii="宋体" w:hAnsi="宋体"/>
                <w:szCs w:val="21"/>
              </w:rPr>
              <w:t>、公路保洁（0-1分）；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69"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cs="Arial"/>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2</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cs="宋体"/>
                <w:szCs w:val="21"/>
              </w:rPr>
            </w:pPr>
            <w:r>
              <w:rPr>
                <w:rFonts w:ascii="宋体" w:hAnsi="宋体"/>
                <w:kern w:val="28"/>
                <w:szCs w:val="21"/>
              </w:rPr>
              <w:t>3</w:t>
            </w:r>
            <w:r>
              <w:rPr>
                <w:rFonts w:hint="eastAsia" w:ascii="宋体" w:hAnsi="宋体"/>
                <w:kern w:val="28"/>
                <w:szCs w:val="21"/>
              </w:rPr>
              <w:t>.2、</w:t>
            </w:r>
            <w:r>
              <w:rPr>
                <w:rFonts w:hint="eastAsia" w:ascii="宋体" w:hAnsi="宋体" w:cs="宋体"/>
                <w:szCs w:val="21"/>
              </w:rPr>
              <w:t>根据供应商提供的针对本项目</w:t>
            </w:r>
            <w:r>
              <w:rPr>
                <w:rFonts w:hint="eastAsia" w:ascii="宋体" w:hAnsi="宋体" w:cs="宋体"/>
                <w:b/>
                <w:bCs/>
                <w:szCs w:val="21"/>
              </w:rPr>
              <w:t>公园、广场及公共绿地保洁方案（含席地而坐方案）</w:t>
            </w:r>
            <w:r>
              <w:rPr>
                <w:rFonts w:hint="eastAsia" w:ascii="宋体" w:hAnsi="宋体"/>
                <w:szCs w:val="21"/>
                <w:lang w:val="zh-CN"/>
              </w:rPr>
              <w:t>是否具体、详细、可行，有利于项目实施的情况由专家评审</w:t>
            </w:r>
            <w:r>
              <w:rPr>
                <w:rFonts w:hint="eastAsia" w:ascii="宋体"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195"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cs="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2</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lang w:val="zh-CN"/>
              </w:rPr>
            </w:pPr>
            <w:r>
              <w:rPr>
                <w:rFonts w:ascii="宋体" w:hAnsi="宋体"/>
                <w:szCs w:val="21"/>
                <w:lang w:val="zh-CN"/>
              </w:rPr>
              <w:t>3</w:t>
            </w:r>
            <w:r>
              <w:rPr>
                <w:rFonts w:hint="eastAsia" w:ascii="宋体" w:hAnsi="宋体"/>
                <w:szCs w:val="21"/>
                <w:lang w:val="zh-CN"/>
              </w:rPr>
              <w:t>.3、</w:t>
            </w:r>
            <w:r>
              <w:rPr>
                <w:rFonts w:hint="eastAsia" w:ascii="宋体" w:hAnsi="宋体" w:cs="宋体"/>
                <w:szCs w:val="21"/>
              </w:rPr>
              <w:t>根据供应商提供</w:t>
            </w:r>
            <w:r>
              <w:rPr>
                <w:rFonts w:hint="eastAsia" w:ascii="宋体" w:hAnsi="宋体"/>
                <w:b/>
                <w:szCs w:val="21"/>
                <w:lang w:val="zh-CN"/>
              </w:rPr>
              <w:t>市政设施保洁方案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703"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cs="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2</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rPr>
            </w:pPr>
            <w:r>
              <w:rPr>
                <w:rFonts w:ascii="宋体" w:hAnsi="宋体"/>
                <w:kern w:val="28"/>
                <w:szCs w:val="21"/>
              </w:rPr>
              <w:t>3</w:t>
            </w:r>
            <w:r>
              <w:rPr>
                <w:rFonts w:hint="eastAsia" w:ascii="宋体" w:hAnsi="宋体"/>
                <w:kern w:val="28"/>
                <w:szCs w:val="21"/>
              </w:rPr>
              <w:t>.4、</w:t>
            </w:r>
            <w:r>
              <w:rPr>
                <w:rFonts w:hint="eastAsia" w:ascii="宋体" w:hAnsi="宋体"/>
                <w:szCs w:val="21"/>
              </w:rPr>
              <w:t>根据供应商提供针对本项目</w:t>
            </w:r>
            <w:r>
              <w:rPr>
                <w:rFonts w:hint="eastAsia" w:ascii="宋体" w:hAnsi="宋体"/>
                <w:b/>
                <w:bCs/>
                <w:szCs w:val="21"/>
              </w:rPr>
              <w:t>城市家具保洁方案</w:t>
            </w:r>
            <w:r>
              <w:rPr>
                <w:rFonts w:hint="eastAsia" w:ascii="宋体" w:hAnsi="宋体"/>
                <w:szCs w:val="21"/>
              </w:rPr>
              <w:t>的合理性、科学性及其承诺由专家评审。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2"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2</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rPr>
            </w:pPr>
            <w:r>
              <w:rPr>
                <w:rFonts w:ascii="宋体" w:hAnsi="宋体"/>
                <w:szCs w:val="21"/>
              </w:rPr>
              <w:t>3.5</w:t>
            </w:r>
            <w:r>
              <w:rPr>
                <w:rFonts w:hint="eastAsia" w:ascii="宋体" w:hAnsi="宋体"/>
                <w:szCs w:val="21"/>
              </w:rPr>
              <w:t>、根据供应商提供</w:t>
            </w:r>
            <w:r>
              <w:rPr>
                <w:rFonts w:hint="eastAsia" w:ascii="宋体" w:hAnsi="宋体"/>
                <w:b/>
                <w:bCs/>
                <w:szCs w:val="21"/>
              </w:rPr>
              <w:t>河道保洁方案</w:t>
            </w:r>
            <w:r>
              <w:rPr>
                <w:rFonts w:hint="eastAsia" w:ascii="宋体" w:hAnsi="宋体"/>
                <w:szCs w:val="21"/>
              </w:rPr>
              <w:t>的合理性、科学性及其承诺由专家评审。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546"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3</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rPr>
            </w:pPr>
            <w:r>
              <w:rPr>
                <w:rFonts w:ascii="宋体" w:hAnsi="宋体"/>
                <w:kern w:val="28"/>
                <w:szCs w:val="21"/>
              </w:rPr>
              <w:t>3</w:t>
            </w:r>
            <w:r>
              <w:rPr>
                <w:rFonts w:hint="eastAsia" w:ascii="宋体" w:hAnsi="宋体"/>
                <w:kern w:val="28"/>
                <w:szCs w:val="21"/>
              </w:rPr>
              <w:t>.</w:t>
            </w:r>
            <w:r>
              <w:rPr>
                <w:rFonts w:ascii="宋体" w:hAnsi="宋体"/>
                <w:kern w:val="28"/>
                <w:szCs w:val="21"/>
              </w:rPr>
              <w:t>6</w:t>
            </w:r>
            <w:r>
              <w:rPr>
                <w:rFonts w:hint="eastAsia" w:ascii="宋体" w:hAnsi="宋体"/>
                <w:kern w:val="28"/>
                <w:szCs w:val="21"/>
              </w:rPr>
              <w:t>、</w:t>
            </w:r>
            <w:r>
              <w:rPr>
                <w:rFonts w:hint="eastAsia" w:ascii="宋体" w:hAnsi="宋体" w:cs="Arial"/>
                <w:szCs w:val="21"/>
              </w:rPr>
              <w:t>根据供应商提供的针对本项目</w:t>
            </w:r>
            <w:r>
              <w:rPr>
                <w:rFonts w:hint="eastAsia" w:ascii="宋体" w:hAnsi="宋体" w:cs="Arial"/>
                <w:b/>
                <w:bCs/>
                <w:szCs w:val="21"/>
              </w:rPr>
              <w:t>公厕保洁（含除臭设施）方案</w:t>
            </w:r>
            <w:r>
              <w:rPr>
                <w:rFonts w:hint="eastAsia" w:ascii="宋体" w:hAnsi="宋体"/>
                <w:szCs w:val="21"/>
              </w:rPr>
              <w:t>的合理性、科学性及其承诺由专家评审。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61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cs="宋体"/>
                <w:szCs w:val="21"/>
              </w:rPr>
            </w:pPr>
            <w:r>
              <w:rPr>
                <w:rFonts w:ascii="宋体" w:hAnsi="宋体"/>
                <w:szCs w:val="21"/>
              </w:rPr>
              <w:t>3.7</w:t>
            </w:r>
            <w:r>
              <w:rPr>
                <w:rFonts w:hint="eastAsia" w:ascii="宋体" w:hAnsi="宋体"/>
                <w:szCs w:val="21"/>
              </w:rPr>
              <w:t>、根据供应商提供的</w:t>
            </w:r>
            <w:r>
              <w:rPr>
                <w:rFonts w:hint="eastAsia" w:ascii="宋体" w:hAnsi="宋体"/>
                <w:b/>
                <w:bCs/>
                <w:szCs w:val="21"/>
              </w:rPr>
              <w:t>垃圾收集及清运方案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7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3.8</w:t>
            </w:r>
            <w:r>
              <w:rPr>
                <w:rFonts w:hint="eastAsia" w:ascii="宋体" w:hAnsi="宋体"/>
                <w:szCs w:val="21"/>
              </w:rPr>
              <w:t>、根据供应商提供的</w:t>
            </w:r>
            <w:r>
              <w:rPr>
                <w:rFonts w:hint="eastAsia" w:ascii="宋体" w:hAnsi="宋体"/>
                <w:b/>
                <w:bCs/>
                <w:szCs w:val="21"/>
              </w:rPr>
              <w:t>小广告治理方案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8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3.9</w:t>
            </w:r>
            <w:r>
              <w:rPr>
                <w:rFonts w:hint="eastAsia" w:ascii="宋体" w:hAnsi="宋体"/>
                <w:szCs w:val="21"/>
              </w:rPr>
              <w:t>、根据供应商提供的</w:t>
            </w:r>
            <w:r>
              <w:rPr>
                <w:rFonts w:hint="eastAsia" w:ascii="宋体" w:hAnsi="宋体"/>
                <w:b/>
                <w:bCs/>
                <w:szCs w:val="21"/>
              </w:rPr>
              <w:t>无主建筑垃圾清运方案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63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3.10</w:t>
            </w:r>
            <w:r>
              <w:rPr>
                <w:rFonts w:hint="eastAsia" w:ascii="宋体" w:hAnsi="宋体"/>
                <w:szCs w:val="21"/>
              </w:rPr>
              <w:t>、根据供应商提供的</w:t>
            </w:r>
            <w:r>
              <w:rPr>
                <w:rFonts w:hint="eastAsia" w:ascii="宋体" w:hAnsi="宋体"/>
                <w:b/>
                <w:bCs/>
                <w:szCs w:val="21"/>
              </w:rPr>
              <w:t>垃圾分类运输方案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1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3.11</w:t>
            </w:r>
            <w:r>
              <w:rPr>
                <w:rFonts w:hint="eastAsia" w:ascii="宋体" w:hAnsi="宋体"/>
                <w:szCs w:val="21"/>
              </w:rPr>
              <w:t>、根据供应商提供的</w:t>
            </w:r>
            <w:r>
              <w:rPr>
                <w:rFonts w:hint="eastAsia" w:ascii="宋体" w:hAnsi="宋体"/>
                <w:b/>
                <w:bCs/>
                <w:szCs w:val="21"/>
              </w:rPr>
              <w:t>清扫保洁规范管理措施及保障方案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66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0.7</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3.12</w:t>
            </w:r>
            <w:r>
              <w:rPr>
                <w:rFonts w:hint="eastAsia" w:ascii="宋体" w:hAnsi="宋体"/>
                <w:szCs w:val="21"/>
              </w:rPr>
              <w:t>、根据供应商提供的</w:t>
            </w:r>
            <w:r>
              <w:rPr>
                <w:rFonts w:hint="eastAsia" w:ascii="宋体" w:hAnsi="宋体"/>
                <w:b/>
                <w:bCs/>
                <w:szCs w:val="21"/>
              </w:rPr>
              <w:t>安全生产（包括但不限于车辆安全、人员安全、生产安全等）培训计划方案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45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3.13</w:t>
            </w:r>
            <w:r>
              <w:rPr>
                <w:rFonts w:hint="eastAsia" w:ascii="宋体" w:hAnsi="宋体"/>
                <w:szCs w:val="21"/>
              </w:rPr>
              <w:t>、根据供应商提供的</w:t>
            </w:r>
            <w:r>
              <w:rPr>
                <w:rFonts w:hint="eastAsia" w:ascii="宋体" w:hAnsi="宋体"/>
                <w:b/>
                <w:bCs/>
                <w:szCs w:val="21"/>
              </w:rPr>
              <w:t>安全生产（包括但不限于车辆安全、人员安全、生产安全等）培训内容</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4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2</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3.14</w:t>
            </w:r>
            <w:r>
              <w:rPr>
                <w:rFonts w:hint="eastAsia" w:ascii="宋体" w:hAnsi="宋体"/>
                <w:szCs w:val="21"/>
              </w:rPr>
              <w:t>、根据供应商提供的</w:t>
            </w:r>
            <w:r>
              <w:rPr>
                <w:rFonts w:hint="eastAsia" w:ascii="宋体" w:hAnsi="宋体"/>
                <w:b/>
                <w:bCs/>
                <w:szCs w:val="21"/>
              </w:rPr>
              <w:t>与《瑞安市智慧环卫平台》对接承诺及相关措施方案和配置合理性</w:t>
            </w:r>
            <w:r>
              <w:rPr>
                <w:rFonts w:hint="eastAsia" w:ascii="宋体" w:hAnsi="宋体"/>
                <w:szCs w:val="21"/>
                <w:lang w:val="zh-CN"/>
              </w:rPr>
              <w:t>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20" w:hRule="atLeast"/>
          <w:jc w:val="center"/>
        </w:trPr>
        <w:tc>
          <w:tcPr>
            <w:tcW w:w="230" w:type="pct"/>
            <w:vMerge w:val="continue"/>
            <w:noWrap w:val="0"/>
            <w:vAlign w:val="center"/>
          </w:tcPr>
          <w:p>
            <w:pPr>
              <w:numPr>
                <w:ilvl w:val="0"/>
                <w:numId w:val="29"/>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ascii="宋体" w:hAnsi="宋体"/>
                <w:szCs w:val="21"/>
              </w:rPr>
            </w:pPr>
            <w:r>
              <w:rPr>
                <w:rFonts w:ascii="宋体" w:hAnsi="宋体"/>
                <w:szCs w:val="21"/>
              </w:rPr>
              <w:t>3.15</w:t>
            </w:r>
            <w:r>
              <w:rPr>
                <w:rFonts w:hint="eastAsia" w:ascii="宋体" w:hAnsi="宋体"/>
                <w:szCs w:val="21"/>
              </w:rPr>
              <w:t>、根据供应商提供的</w:t>
            </w:r>
            <w:r>
              <w:rPr>
                <w:rFonts w:hint="eastAsia" w:ascii="宋体" w:hAnsi="宋体"/>
                <w:b/>
                <w:bCs/>
                <w:szCs w:val="21"/>
              </w:rPr>
              <w:t>在中标后与采购人（相应街道）、原承包单位的移交及对接方案</w:t>
            </w:r>
            <w:r>
              <w:rPr>
                <w:rFonts w:hint="eastAsia" w:ascii="宋体" w:hAnsi="宋体"/>
                <w:szCs w:val="21"/>
                <w:lang w:val="zh-CN"/>
              </w:rPr>
              <w:t>是否具体、详细、可行，有利于项目实施的情况由专家评审。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10" w:hRule="atLeast"/>
          <w:jc w:val="center"/>
        </w:trPr>
        <w:tc>
          <w:tcPr>
            <w:tcW w:w="230" w:type="pct"/>
            <w:tcBorders>
              <w:top w:val="single" w:color="auto" w:sz="4" w:space="0"/>
            </w:tcBorders>
            <w:noWrap w:val="0"/>
            <w:vAlign w:val="center"/>
          </w:tcPr>
          <w:p>
            <w:pPr>
              <w:numPr>
                <w:ilvl w:val="0"/>
                <w:numId w:val="28"/>
              </w:numPr>
              <w:rPr>
                <w:rFonts w:hint="eastAsia" w:ascii="宋体" w:hAnsi="宋体"/>
                <w:szCs w:val="21"/>
              </w:rPr>
            </w:pPr>
          </w:p>
        </w:tc>
        <w:tc>
          <w:tcPr>
            <w:tcW w:w="730" w:type="pct"/>
            <w:tcBorders>
              <w:top w:val="single" w:color="auto" w:sz="4" w:space="0"/>
            </w:tcBorders>
            <w:noWrap w:val="0"/>
            <w:vAlign w:val="center"/>
          </w:tcPr>
          <w:p>
            <w:pPr>
              <w:jc w:val="center"/>
              <w:rPr>
                <w:rFonts w:hint="eastAsia" w:ascii="宋体" w:hAnsi="宋体"/>
                <w:szCs w:val="21"/>
              </w:rPr>
            </w:pPr>
            <w:r>
              <w:rPr>
                <w:rFonts w:hint="eastAsia" w:ascii="宋体" w:hAnsi="宋体"/>
                <w:szCs w:val="21"/>
              </w:rPr>
              <w:t>应付突发事情的响应及处理方案</w:t>
            </w:r>
          </w:p>
        </w:tc>
        <w:tc>
          <w:tcPr>
            <w:tcW w:w="478" w:type="pct"/>
            <w:gridSpan w:val="2"/>
            <w:tcBorders>
              <w:top w:val="single" w:color="auto" w:sz="4" w:space="0"/>
              <w:bottom w:val="single" w:color="auto" w:sz="4" w:space="0"/>
            </w:tcBorders>
            <w:noWrap w:val="0"/>
            <w:vAlign w:val="center"/>
          </w:tcPr>
          <w:p>
            <w:pPr>
              <w:snapToGrid w:val="0"/>
              <w:jc w:val="center"/>
              <w:rPr>
                <w:rFonts w:hint="eastAsia" w:ascii="宋体" w:hAnsi="宋体" w:cs="Arial"/>
                <w:szCs w:val="21"/>
              </w:rPr>
            </w:pPr>
            <w:r>
              <w:rPr>
                <w:rFonts w:hint="eastAsia" w:ascii="宋体" w:hAnsi="宋体" w:cs="Arial"/>
                <w:szCs w:val="21"/>
              </w:rPr>
              <w:t>0-</w:t>
            </w:r>
            <w:r>
              <w:rPr>
                <w:rFonts w:ascii="宋体" w:hAnsi="宋体" w:cs="Arial"/>
                <w:szCs w:val="21"/>
              </w:rPr>
              <w:t>3</w:t>
            </w:r>
            <w:r>
              <w:rPr>
                <w:rFonts w:hint="eastAsia" w:ascii="宋体" w:hAnsi="宋体" w:cs="Arial"/>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rPr>
            </w:pPr>
            <w:r>
              <w:rPr>
                <w:rFonts w:hint="eastAsia" w:ascii="宋体" w:hAnsi="宋体"/>
                <w:szCs w:val="21"/>
              </w:rPr>
              <w:t>应对突发事情（包括但不限于公共卫生突发事件、自然灾害、重大安全事故、突击检查等）的响应及处理方案的科学性、合理性、可操作性及高效性。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10" w:hRule="atLeast"/>
          <w:jc w:val="center"/>
        </w:trPr>
        <w:tc>
          <w:tcPr>
            <w:tcW w:w="230" w:type="pct"/>
            <w:vMerge w:val="restart"/>
            <w:tcBorders>
              <w:top w:val="single" w:color="auto" w:sz="4" w:space="0"/>
            </w:tcBorders>
            <w:noWrap w:val="0"/>
            <w:vAlign w:val="center"/>
          </w:tcPr>
          <w:p>
            <w:pPr>
              <w:numPr>
                <w:ilvl w:val="0"/>
                <w:numId w:val="28"/>
              </w:numPr>
              <w:rPr>
                <w:rFonts w:hint="eastAsia" w:ascii="宋体" w:hAnsi="宋体"/>
                <w:szCs w:val="21"/>
              </w:rPr>
            </w:pPr>
          </w:p>
        </w:tc>
        <w:tc>
          <w:tcPr>
            <w:tcW w:w="730" w:type="pct"/>
            <w:vMerge w:val="restart"/>
            <w:tcBorders>
              <w:top w:val="single" w:color="auto" w:sz="4" w:space="0"/>
            </w:tcBorders>
            <w:noWrap w:val="0"/>
            <w:vAlign w:val="center"/>
          </w:tcPr>
          <w:p>
            <w:pPr>
              <w:jc w:val="center"/>
              <w:rPr>
                <w:rFonts w:hint="eastAsia" w:ascii="宋体" w:hAnsi="宋体"/>
                <w:szCs w:val="21"/>
              </w:rPr>
            </w:pPr>
            <w:r>
              <w:rPr>
                <w:rFonts w:hint="eastAsia" w:ascii="宋体" w:hAnsi="宋体"/>
                <w:szCs w:val="21"/>
              </w:rPr>
              <w:t>日常管理组织、拟设立的各项管理规章制度及档案资料的建立管理</w:t>
            </w:r>
          </w:p>
        </w:tc>
        <w:tc>
          <w:tcPr>
            <w:tcW w:w="478" w:type="pct"/>
            <w:gridSpan w:val="2"/>
            <w:tcBorders>
              <w:top w:val="single" w:color="auto" w:sz="4" w:space="0"/>
              <w:bottom w:val="single" w:color="auto" w:sz="4" w:space="0"/>
            </w:tcBorders>
            <w:noWrap w:val="0"/>
            <w:vAlign w:val="center"/>
          </w:tcPr>
          <w:p>
            <w:pPr>
              <w:snapToGrid w:val="0"/>
              <w:jc w:val="center"/>
              <w:rPr>
                <w:rFonts w:hint="eastAsia" w:ascii="宋体" w:hAnsi="宋体" w:cs="Arial"/>
                <w:szCs w:val="21"/>
              </w:rPr>
            </w:pPr>
            <w:r>
              <w:rPr>
                <w:rFonts w:hint="eastAsia" w:ascii="宋体" w:hAnsi="宋体" w:cs="Arial"/>
                <w:szCs w:val="21"/>
              </w:rPr>
              <w:t>0-</w:t>
            </w:r>
            <w:r>
              <w:rPr>
                <w:rFonts w:ascii="宋体" w:hAnsi="宋体" w:cs="Arial"/>
                <w:szCs w:val="21"/>
              </w:rPr>
              <w:t>2</w:t>
            </w:r>
            <w:r>
              <w:rPr>
                <w:rFonts w:hint="eastAsia" w:ascii="宋体" w:hAnsi="宋体" w:cs="Arial"/>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lang w:val="zh-CN"/>
              </w:rPr>
            </w:pPr>
            <w:r>
              <w:rPr>
                <w:rFonts w:ascii="宋体" w:hAnsi="宋体" w:cs="Arial"/>
                <w:szCs w:val="21"/>
              </w:rPr>
              <w:t>5.1</w:t>
            </w:r>
            <w:r>
              <w:rPr>
                <w:rFonts w:hint="eastAsia" w:ascii="宋体" w:hAnsi="宋体" w:cs="Arial"/>
                <w:szCs w:val="21"/>
              </w:rPr>
              <w:t>、根据供应商提供的</w:t>
            </w:r>
            <w:r>
              <w:rPr>
                <w:rFonts w:hint="eastAsia" w:ascii="宋体" w:hAnsi="宋体"/>
                <w:szCs w:val="21"/>
              </w:rPr>
              <w:t>日常管理组织、各项公众制度、内部岗位责任制度、管理运作制度、考核制度及标准等，要求符合规范，体现高标准、高档次、科学合理、详细完备；人员、设施、设备管理服务、业主方反馈资料、行政文件资料等档案的建立与管理</w:t>
            </w:r>
            <w:r>
              <w:rPr>
                <w:rFonts w:hint="eastAsia" w:ascii="宋体" w:hAnsi="宋体"/>
                <w:szCs w:val="21"/>
                <w:lang w:val="zh-CN"/>
              </w:rPr>
              <w:t>情况由专家评审。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170"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snapToGrid w:val="0"/>
              <w:jc w:val="center"/>
              <w:rPr>
                <w:rFonts w:hint="eastAsia" w:ascii="宋体" w:hAnsi="宋体" w:cs="Arial"/>
                <w:szCs w:val="21"/>
              </w:rPr>
            </w:pPr>
            <w:r>
              <w:rPr>
                <w:rFonts w:hint="eastAsia" w:ascii="宋体" w:hAnsi="宋体" w:cs="Arial"/>
                <w:szCs w:val="21"/>
              </w:rPr>
              <w:t>0-</w:t>
            </w:r>
            <w:r>
              <w:rPr>
                <w:rFonts w:ascii="宋体" w:hAnsi="宋体" w:cs="Arial"/>
                <w:szCs w:val="21"/>
              </w:rPr>
              <w:t>1</w:t>
            </w:r>
            <w:r>
              <w:rPr>
                <w:rFonts w:hint="eastAsia" w:ascii="宋体" w:hAnsi="宋体" w:cs="Arial"/>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lang w:val="zh-CN"/>
              </w:rPr>
            </w:pPr>
            <w:r>
              <w:rPr>
                <w:rFonts w:ascii="宋体" w:hAnsi="宋体" w:cs="Arial"/>
                <w:szCs w:val="21"/>
              </w:rPr>
              <w:t>5.2</w:t>
            </w:r>
            <w:r>
              <w:rPr>
                <w:rFonts w:hint="eastAsia" w:ascii="宋体" w:hAnsi="宋体" w:cs="Arial"/>
                <w:szCs w:val="21"/>
              </w:rPr>
              <w:t>、</w:t>
            </w:r>
            <w:r>
              <w:rPr>
                <w:rFonts w:hint="eastAsia" w:ascii="宋体" w:hAnsi="宋体"/>
                <w:szCs w:val="21"/>
              </w:rPr>
              <w:t>除采购人的瑞安市智慧环卫监管平台外，供应商企业内部服务于本项目信息化管理平台的便利性、系统性、先进性</w:t>
            </w:r>
            <w:r>
              <w:rPr>
                <w:rFonts w:hint="eastAsia" w:ascii="宋体" w:hAnsi="宋体"/>
                <w:szCs w:val="21"/>
                <w:lang w:val="zh-CN"/>
              </w:rPr>
              <w:t>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915" w:hRule="atLeast"/>
          <w:jc w:val="center"/>
        </w:trPr>
        <w:tc>
          <w:tcPr>
            <w:tcW w:w="230" w:type="pct"/>
            <w:vMerge w:val="restart"/>
            <w:tcBorders>
              <w:top w:val="single" w:color="auto" w:sz="4" w:space="0"/>
            </w:tcBorders>
            <w:noWrap w:val="0"/>
            <w:vAlign w:val="center"/>
          </w:tcPr>
          <w:p>
            <w:pPr>
              <w:numPr>
                <w:ilvl w:val="0"/>
                <w:numId w:val="28"/>
              </w:numPr>
              <w:rPr>
                <w:rFonts w:hint="eastAsia" w:ascii="宋体" w:hAnsi="宋体"/>
                <w:szCs w:val="21"/>
              </w:rPr>
            </w:pPr>
          </w:p>
        </w:tc>
        <w:tc>
          <w:tcPr>
            <w:tcW w:w="730" w:type="pct"/>
            <w:vMerge w:val="restart"/>
            <w:tcBorders>
              <w:top w:val="single" w:color="auto" w:sz="4" w:space="0"/>
            </w:tcBorders>
            <w:noWrap w:val="0"/>
            <w:vAlign w:val="center"/>
          </w:tcPr>
          <w:p>
            <w:pPr>
              <w:snapToGrid w:val="0"/>
              <w:rPr>
                <w:rFonts w:hint="eastAsia" w:ascii="宋体" w:hAnsi="宋体"/>
                <w:szCs w:val="21"/>
              </w:rPr>
            </w:pPr>
            <w:r>
              <w:rPr>
                <w:rFonts w:hint="eastAsia" w:ascii="宋体" w:hAnsi="宋体"/>
                <w:szCs w:val="21"/>
              </w:rPr>
              <w:t>项目负责人</w:t>
            </w:r>
          </w:p>
        </w:tc>
        <w:tc>
          <w:tcPr>
            <w:tcW w:w="478" w:type="pct"/>
            <w:gridSpan w:val="2"/>
            <w:tcBorders>
              <w:top w:val="single" w:color="auto" w:sz="4" w:space="0"/>
              <w:bottom w:val="single" w:color="auto" w:sz="4" w:space="0"/>
            </w:tcBorders>
            <w:noWrap w:val="0"/>
            <w:vAlign w:val="center"/>
          </w:tcPr>
          <w:p>
            <w:pPr>
              <w:snapToGrid w:val="0"/>
              <w:rPr>
                <w:rFonts w:hint="eastAsia" w:ascii="宋体" w:hAnsi="宋体"/>
                <w:szCs w:val="21"/>
              </w:rPr>
            </w:pPr>
            <w:r>
              <w:rPr>
                <w:rFonts w:hint="eastAsia" w:ascii="宋体" w:hAnsi="宋体"/>
                <w:szCs w:val="21"/>
              </w:rPr>
              <w:t>0-</w:t>
            </w:r>
            <w:r>
              <w:rPr>
                <w:rFonts w:ascii="宋体" w:hAnsi="宋体"/>
                <w:szCs w:val="21"/>
              </w:rPr>
              <w:t>1.5</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pStyle w:val="14"/>
              <w:adjustRightInd w:val="0"/>
              <w:snapToGrid w:val="0"/>
              <w:jc w:val="left"/>
              <w:rPr>
                <w:rFonts w:hint="eastAsia" w:ascii="宋体" w:hAnsi="宋体" w:cs="Times New Roman"/>
                <w:kern w:val="0"/>
                <w:sz w:val="21"/>
                <w:szCs w:val="21"/>
              </w:rPr>
            </w:pPr>
            <w:r>
              <w:rPr>
                <w:rFonts w:ascii="宋体" w:hAnsi="宋体" w:cs="Times New Roman"/>
                <w:kern w:val="0"/>
                <w:sz w:val="21"/>
                <w:szCs w:val="21"/>
              </w:rPr>
              <w:t>6.1</w:t>
            </w:r>
            <w:r>
              <w:rPr>
                <w:rFonts w:hint="eastAsia" w:ascii="宋体" w:hAnsi="宋体" w:cs="Times New Roman"/>
                <w:kern w:val="0"/>
                <w:sz w:val="21"/>
                <w:szCs w:val="21"/>
              </w:rPr>
              <w:t>、根据项目负责人的学历、项目相关荣誉及技能由评标委员会酌情打分（0-1.5分）（主观分）；以上人员须为公司正式在编人员，提供本单位近期的社保证明或劳务合同或其他相关证明材料。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915"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snapToGrid w:val="0"/>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snapToGrid w:val="0"/>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w:t>
            </w:r>
            <w:r>
              <w:rPr>
                <w:rFonts w:ascii="宋体" w:hAnsi="宋体"/>
                <w:szCs w:val="21"/>
              </w:rPr>
              <w:t>5</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pStyle w:val="14"/>
              <w:adjustRightInd w:val="0"/>
              <w:snapToGrid w:val="0"/>
              <w:jc w:val="left"/>
              <w:rPr>
                <w:rFonts w:hint="eastAsia" w:ascii="宋体" w:hAnsi="宋体" w:cs="Times New Roman"/>
                <w:kern w:val="0"/>
                <w:sz w:val="21"/>
                <w:szCs w:val="21"/>
              </w:rPr>
            </w:pPr>
            <w:r>
              <w:rPr>
                <w:rFonts w:ascii="宋体" w:hAnsi="宋体" w:cs="Times New Roman"/>
                <w:kern w:val="0"/>
                <w:sz w:val="21"/>
                <w:szCs w:val="21"/>
              </w:rPr>
              <w:t>6.2</w:t>
            </w:r>
            <w:r>
              <w:rPr>
                <w:rFonts w:hint="eastAsia" w:ascii="宋体" w:hAnsi="宋体" w:cs="Times New Roman"/>
                <w:kern w:val="0"/>
                <w:sz w:val="21"/>
                <w:szCs w:val="21"/>
              </w:rPr>
              <w:t>、项目负责人自2017年1月1日（以合同签订时间为准）以来乡镇、街道及以上的公共道路保洁服务业绩（不包括高速公路、小区和单位内部保洁，也不包含物业服务项目）情况（0-1.5分）。须提供合同扫描件加盖公章，如合同中无法体现项目负责人信息的须另提供业主证明（见投标文件格式：附件九-</w:t>
            </w:r>
            <w:r>
              <w:rPr>
                <w:rFonts w:ascii="宋体" w:hAnsi="宋体" w:cs="Times New Roman"/>
                <w:kern w:val="0"/>
                <w:sz w:val="21"/>
                <w:szCs w:val="21"/>
              </w:rPr>
              <w:t>3</w:t>
            </w:r>
            <w:r>
              <w:rPr>
                <w:rFonts w:hint="eastAsia" w:ascii="宋体" w:hAnsi="宋体" w:cs="Times New Roman"/>
                <w:kern w:val="0"/>
                <w:sz w:val="21"/>
                <w:szCs w:val="21"/>
              </w:rPr>
              <w:t>项目负责人履历情况证明），否则不予计分。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915" w:hRule="atLeast"/>
          <w:jc w:val="center"/>
        </w:trPr>
        <w:tc>
          <w:tcPr>
            <w:tcW w:w="230" w:type="pct"/>
            <w:vMerge w:val="restart"/>
            <w:tcBorders>
              <w:top w:val="single" w:color="auto" w:sz="4" w:space="0"/>
            </w:tcBorders>
            <w:noWrap w:val="0"/>
            <w:vAlign w:val="center"/>
          </w:tcPr>
          <w:p>
            <w:pPr>
              <w:numPr>
                <w:ilvl w:val="0"/>
                <w:numId w:val="28"/>
              </w:numPr>
              <w:rPr>
                <w:rFonts w:hint="eastAsia" w:ascii="宋体" w:hAnsi="宋体"/>
                <w:szCs w:val="21"/>
              </w:rPr>
            </w:pPr>
          </w:p>
        </w:tc>
        <w:tc>
          <w:tcPr>
            <w:tcW w:w="730" w:type="pct"/>
            <w:vMerge w:val="restart"/>
            <w:tcBorders>
              <w:top w:val="single" w:color="auto" w:sz="4" w:space="0"/>
            </w:tcBorders>
            <w:noWrap w:val="0"/>
            <w:vAlign w:val="center"/>
          </w:tcPr>
          <w:p>
            <w:pPr>
              <w:jc w:val="center"/>
              <w:rPr>
                <w:rFonts w:hint="eastAsia" w:ascii="宋体" w:hAnsi="宋体"/>
                <w:szCs w:val="21"/>
              </w:rPr>
            </w:pPr>
            <w:r>
              <w:rPr>
                <w:rFonts w:hint="eastAsia" w:ascii="宋体" w:hAnsi="宋体"/>
                <w:szCs w:val="21"/>
              </w:rPr>
              <w:t>提升技术、服务水平及履约能力评价</w:t>
            </w: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24</w:t>
            </w:r>
            <w:r>
              <w:rPr>
                <w:rFonts w:hint="eastAsia" w:ascii="宋体" w:hAnsi="宋体"/>
                <w:szCs w:val="21"/>
              </w:rPr>
              <w:t>分</w:t>
            </w:r>
          </w:p>
        </w:tc>
        <w:tc>
          <w:tcPr>
            <w:tcW w:w="3562" w:type="pct"/>
            <w:tcBorders>
              <w:top w:val="single" w:color="auto" w:sz="4" w:space="0"/>
              <w:bottom w:val="single" w:color="auto" w:sz="4" w:space="0"/>
            </w:tcBorders>
            <w:noWrap w:val="0"/>
            <w:vAlign w:val="top"/>
          </w:tcPr>
          <w:p>
            <w:pPr>
              <w:pStyle w:val="14"/>
              <w:adjustRightInd w:val="0"/>
              <w:snapToGrid w:val="0"/>
              <w:jc w:val="left"/>
              <w:rPr>
                <w:rFonts w:ascii="宋体" w:hAnsi="宋体"/>
                <w:kern w:val="0"/>
                <w:sz w:val="21"/>
                <w:szCs w:val="21"/>
              </w:rPr>
            </w:pPr>
            <w:r>
              <w:rPr>
                <w:rFonts w:hint="eastAsia" w:ascii="宋体" w:hAnsi="宋体"/>
                <w:kern w:val="0"/>
                <w:sz w:val="21"/>
                <w:szCs w:val="21"/>
              </w:rPr>
              <w:t>7</w:t>
            </w:r>
            <w:r>
              <w:rPr>
                <w:rFonts w:ascii="宋体" w:hAnsi="宋体"/>
                <w:kern w:val="0"/>
                <w:sz w:val="21"/>
                <w:szCs w:val="21"/>
              </w:rPr>
              <w:t>.1</w:t>
            </w:r>
            <w:r>
              <w:rPr>
                <w:rFonts w:hint="eastAsia" w:ascii="宋体" w:hAnsi="宋体"/>
                <w:kern w:val="0"/>
                <w:sz w:val="21"/>
                <w:szCs w:val="21"/>
              </w:rPr>
              <w:t>、1、供应商投入本项目的车辆进行打分，其中车辆持有形式包括自有已上牌(指投标供应商自行购置，包括分公司或全资子公司购置)和其他方式（包括现已租赁车辆、承诺中标后购买和承诺中标后租赁），具体评分点如下（客观分）：</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8"/>
              <w:gridCol w:w="741"/>
              <w:gridCol w:w="954"/>
              <w:gridCol w:w="940"/>
              <w:gridCol w:w="938"/>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vMerge w:val="restart"/>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b/>
                      <w:szCs w:val="21"/>
                    </w:rPr>
                    <w:t>车型</w:t>
                  </w:r>
                </w:p>
              </w:tc>
              <w:tc>
                <w:tcPr>
                  <w:tcW w:w="564" w:type="pct"/>
                  <w:vMerge w:val="restart"/>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b/>
                      <w:szCs w:val="21"/>
                    </w:rPr>
                    <w:t>分值</w:t>
                  </w:r>
                </w:p>
              </w:tc>
              <w:tc>
                <w:tcPr>
                  <w:tcW w:w="2960" w:type="pct"/>
                  <w:gridSpan w:val="4"/>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szCs w:val="21"/>
                    </w:rPr>
                    <w:t>车辆持有形式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1476" w:type="pct"/>
                  <w:vMerge w:val="continue"/>
                  <w:shd w:val="clear" w:color="auto" w:fill="auto"/>
                  <w:noWrap w:val="0"/>
                  <w:vAlign w:val="center"/>
                </w:tcPr>
                <w:p>
                  <w:pPr>
                    <w:pStyle w:val="175"/>
                    <w:spacing w:after="120" w:line="300" w:lineRule="exact"/>
                    <w:ind w:left="0" w:firstLine="0"/>
                    <w:jc w:val="center"/>
                    <w:rPr>
                      <w:rFonts w:hint="eastAsia" w:hAnsi="宋体"/>
                      <w:szCs w:val="21"/>
                    </w:rPr>
                  </w:pPr>
                </w:p>
              </w:tc>
              <w:tc>
                <w:tcPr>
                  <w:tcW w:w="564" w:type="pct"/>
                  <w:vMerge w:val="continue"/>
                  <w:shd w:val="clear" w:color="auto" w:fill="auto"/>
                  <w:noWrap w:val="0"/>
                  <w:vAlign w:val="center"/>
                </w:tcPr>
                <w:p>
                  <w:pPr>
                    <w:pStyle w:val="175"/>
                    <w:spacing w:after="120" w:line="300" w:lineRule="exact"/>
                    <w:ind w:left="0" w:firstLine="0"/>
                    <w:jc w:val="center"/>
                    <w:rPr>
                      <w:rFonts w:hint="eastAsia" w:hAnsi="宋体"/>
                      <w:szCs w:val="21"/>
                    </w:rPr>
                  </w:pPr>
                </w:p>
              </w:tc>
              <w:tc>
                <w:tcPr>
                  <w:tcW w:w="1442" w:type="pct"/>
                  <w:gridSpan w:val="2"/>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szCs w:val="21"/>
                    </w:rPr>
                    <w:t>自有已上牌</w:t>
                  </w:r>
                </w:p>
              </w:tc>
              <w:tc>
                <w:tcPr>
                  <w:tcW w:w="1518" w:type="pct"/>
                  <w:gridSpan w:val="2"/>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其他方式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1476" w:type="pct"/>
                  <w:vMerge w:val="continue"/>
                  <w:shd w:val="clear" w:color="auto" w:fill="auto"/>
                  <w:noWrap w:val="0"/>
                  <w:vAlign w:val="center"/>
                </w:tcPr>
                <w:p>
                  <w:pPr>
                    <w:pStyle w:val="175"/>
                    <w:spacing w:after="120" w:line="300" w:lineRule="exact"/>
                    <w:ind w:left="0" w:firstLine="0"/>
                    <w:jc w:val="center"/>
                    <w:rPr>
                      <w:rFonts w:hAnsi="宋体"/>
                      <w:szCs w:val="21"/>
                    </w:rPr>
                  </w:pPr>
                </w:p>
              </w:tc>
              <w:tc>
                <w:tcPr>
                  <w:tcW w:w="564" w:type="pct"/>
                  <w:vMerge w:val="continue"/>
                  <w:shd w:val="clear" w:color="auto" w:fill="auto"/>
                  <w:noWrap w:val="0"/>
                  <w:vAlign w:val="center"/>
                </w:tcPr>
                <w:p>
                  <w:pPr>
                    <w:pStyle w:val="175"/>
                    <w:spacing w:after="120" w:line="300" w:lineRule="exact"/>
                    <w:ind w:left="0" w:firstLine="0"/>
                    <w:jc w:val="center"/>
                    <w:rPr>
                      <w:rFonts w:hAnsi="宋体"/>
                      <w:szCs w:val="21"/>
                    </w:rPr>
                  </w:pPr>
                </w:p>
              </w:tc>
              <w:tc>
                <w:tcPr>
                  <w:tcW w:w="726" w:type="pct"/>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szCs w:val="21"/>
                    </w:rPr>
                    <w:t>每辆得分</w:t>
                  </w:r>
                </w:p>
              </w:tc>
              <w:tc>
                <w:tcPr>
                  <w:tcW w:w="716" w:type="pct"/>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szCs w:val="21"/>
                    </w:rPr>
                    <w:t>最高得分</w:t>
                  </w:r>
                </w:p>
              </w:tc>
              <w:tc>
                <w:tcPr>
                  <w:tcW w:w="714" w:type="pct"/>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szCs w:val="21"/>
                    </w:rPr>
                    <w:t>每辆得分</w:t>
                  </w:r>
                </w:p>
              </w:tc>
              <w:tc>
                <w:tcPr>
                  <w:tcW w:w="804" w:type="pct"/>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szCs w:val="21"/>
                    </w:rPr>
                    <w:t>最高得分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76" w:type="pct"/>
                  <w:shd w:val="clear" w:color="auto" w:fill="auto"/>
                  <w:noWrap w:val="0"/>
                  <w:vAlign w:val="center"/>
                </w:tcPr>
                <w:p>
                  <w:pPr>
                    <w:pStyle w:val="175"/>
                    <w:spacing w:after="120" w:line="280" w:lineRule="exact"/>
                    <w:ind w:left="0" w:firstLine="0"/>
                    <w:jc w:val="left"/>
                    <w:rPr>
                      <w:rFonts w:hAnsi="宋体"/>
                      <w:szCs w:val="21"/>
                    </w:rPr>
                  </w:pPr>
                  <w:r>
                    <w:rPr>
                      <w:rFonts w:hint="eastAsia" w:hAnsi="宋体"/>
                      <w:szCs w:val="21"/>
                    </w:rPr>
                    <w:t>重型洗扫一体车(最多</w:t>
                  </w:r>
                  <w:r>
                    <w:rPr>
                      <w:rFonts w:hAnsi="宋体"/>
                      <w:szCs w:val="21"/>
                    </w:rPr>
                    <w:t>3</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w:t>
                  </w:r>
                  <w:r>
                    <w:rPr>
                      <w:rFonts w:hAnsi="宋体"/>
                      <w:szCs w:val="21"/>
                    </w:rPr>
                    <w:t>4.5</w:t>
                  </w:r>
                </w:p>
              </w:tc>
              <w:tc>
                <w:tcPr>
                  <w:tcW w:w="726" w:type="pct"/>
                  <w:shd w:val="clear" w:color="auto" w:fill="auto"/>
                  <w:noWrap w:val="0"/>
                  <w:vAlign w:val="center"/>
                </w:tcPr>
                <w:p>
                  <w:pPr>
                    <w:widowControl w:val="0"/>
                    <w:jc w:val="center"/>
                    <w:textAlignment w:val="center"/>
                    <w:rPr>
                      <w:rFonts w:hint="eastAsia" w:ascii="宋体" w:hAnsi="宋体"/>
                      <w:szCs w:val="21"/>
                    </w:rPr>
                  </w:pPr>
                  <w:r>
                    <w:rPr>
                      <w:rFonts w:hint="eastAsia" w:ascii="宋体" w:hAnsi="宋体" w:cs="宋体"/>
                      <w:szCs w:val="21"/>
                      <w:lang w:bidi="ar"/>
                    </w:rPr>
                    <w:t>1.5</w:t>
                  </w:r>
                </w:p>
              </w:tc>
              <w:tc>
                <w:tcPr>
                  <w:tcW w:w="716"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4.5</w:t>
                  </w:r>
                </w:p>
              </w:tc>
              <w:tc>
                <w:tcPr>
                  <w:tcW w:w="714"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0.75</w:t>
                  </w:r>
                </w:p>
              </w:tc>
              <w:tc>
                <w:tcPr>
                  <w:tcW w:w="804"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shd w:val="clear" w:color="auto" w:fill="auto"/>
                  <w:noWrap w:val="0"/>
                  <w:vAlign w:val="center"/>
                </w:tcPr>
                <w:p>
                  <w:pPr>
                    <w:pStyle w:val="175"/>
                    <w:spacing w:after="120" w:line="280" w:lineRule="exact"/>
                    <w:ind w:left="0" w:firstLine="0"/>
                    <w:jc w:val="left"/>
                    <w:rPr>
                      <w:rFonts w:hint="eastAsia" w:hAnsi="宋体"/>
                      <w:szCs w:val="21"/>
                    </w:rPr>
                  </w:pPr>
                  <w:r>
                    <w:rPr>
                      <w:rFonts w:hint="eastAsia" w:hAnsi="宋体"/>
                      <w:szCs w:val="21"/>
                    </w:rPr>
                    <w:t>中型或中型以上洗扫一体车(最多</w:t>
                  </w:r>
                  <w:r>
                    <w:rPr>
                      <w:rFonts w:hAnsi="宋体"/>
                      <w:szCs w:val="21"/>
                    </w:rPr>
                    <w:t>2</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w:t>
                  </w:r>
                  <w:r>
                    <w:rPr>
                      <w:rFonts w:hAnsi="宋体"/>
                      <w:szCs w:val="21"/>
                    </w:rPr>
                    <w:t>1.6</w:t>
                  </w:r>
                </w:p>
              </w:tc>
              <w:tc>
                <w:tcPr>
                  <w:tcW w:w="726"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0.8</w:t>
                  </w:r>
                </w:p>
              </w:tc>
              <w:tc>
                <w:tcPr>
                  <w:tcW w:w="716" w:type="pct"/>
                  <w:shd w:val="clear" w:color="auto" w:fill="auto"/>
                  <w:noWrap w:val="0"/>
                  <w:vAlign w:val="center"/>
                </w:tcPr>
                <w:p>
                  <w:pPr>
                    <w:widowControl w:val="0"/>
                    <w:jc w:val="center"/>
                    <w:textAlignment w:val="center"/>
                    <w:rPr>
                      <w:rFonts w:hint="eastAsia" w:ascii="宋体" w:hAnsi="宋体"/>
                      <w:szCs w:val="21"/>
                    </w:rPr>
                  </w:pPr>
                  <w:r>
                    <w:rPr>
                      <w:rFonts w:ascii="宋体" w:hAnsi="宋体" w:cs="宋体"/>
                      <w:szCs w:val="21"/>
                      <w:lang w:bidi="ar"/>
                    </w:rPr>
                    <w:t>1.6</w:t>
                  </w:r>
                </w:p>
              </w:tc>
              <w:tc>
                <w:tcPr>
                  <w:tcW w:w="714"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0.4</w:t>
                  </w:r>
                </w:p>
              </w:tc>
              <w:tc>
                <w:tcPr>
                  <w:tcW w:w="804"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shd w:val="clear" w:color="auto" w:fill="auto"/>
                  <w:noWrap w:val="0"/>
                  <w:vAlign w:val="center"/>
                </w:tcPr>
                <w:p>
                  <w:pPr>
                    <w:pStyle w:val="175"/>
                    <w:spacing w:after="120" w:line="280" w:lineRule="exact"/>
                    <w:ind w:left="0" w:firstLine="0"/>
                    <w:jc w:val="left"/>
                    <w:rPr>
                      <w:rFonts w:hint="eastAsia" w:hAnsi="宋体"/>
                      <w:szCs w:val="21"/>
                    </w:rPr>
                  </w:pPr>
                  <w:r>
                    <w:rPr>
                      <w:rFonts w:hint="eastAsia" w:hAnsi="宋体"/>
                      <w:szCs w:val="21"/>
                    </w:rPr>
                    <w:t>中型或中型以上洒水车(最多</w:t>
                  </w:r>
                  <w:r>
                    <w:rPr>
                      <w:rFonts w:hAnsi="宋体"/>
                      <w:szCs w:val="21"/>
                    </w:rPr>
                    <w:t>3</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w:t>
                  </w:r>
                  <w:r>
                    <w:rPr>
                      <w:rFonts w:hAnsi="宋体"/>
                      <w:szCs w:val="21"/>
                    </w:rPr>
                    <w:t>2.4</w:t>
                  </w:r>
                </w:p>
              </w:tc>
              <w:tc>
                <w:tcPr>
                  <w:tcW w:w="726" w:type="pct"/>
                  <w:shd w:val="clear" w:color="auto" w:fill="auto"/>
                  <w:noWrap w:val="0"/>
                  <w:vAlign w:val="center"/>
                </w:tcPr>
                <w:p>
                  <w:pPr>
                    <w:widowControl w:val="0"/>
                    <w:jc w:val="center"/>
                    <w:textAlignment w:val="center"/>
                    <w:rPr>
                      <w:rFonts w:hint="eastAsia" w:ascii="宋体" w:hAnsi="宋体"/>
                      <w:szCs w:val="21"/>
                    </w:rPr>
                  </w:pPr>
                  <w:r>
                    <w:rPr>
                      <w:rFonts w:hint="eastAsia" w:ascii="宋体" w:hAnsi="宋体" w:cs="宋体"/>
                      <w:szCs w:val="21"/>
                      <w:lang w:bidi="ar"/>
                    </w:rPr>
                    <w:t>0.8</w:t>
                  </w:r>
                </w:p>
              </w:tc>
              <w:tc>
                <w:tcPr>
                  <w:tcW w:w="716" w:type="pct"/>
                  <w:shd w:val="clear" w:color="auto" w:fill="auto"/>
                  <w:noWrap w:val="0"/>
                  <w:vAlign w:val="center"/>
                </w:tcPr>
                <w:p>
                  <w:pPr>
                    <w:widowControl w:val="0"/>
                    <w:jc w:val="center"/>
                    <w:textAlignment w:val="center"/>
                    <w:rPr>
                      <w:rFonts w:ascii="宋体" w:hAnsi="宋体" w:cs="宋体"/>
                      <w:szCs w:val="21"/>
                      <w:lang w:bidi="ar"/>
                    </w:rPr>
                  </w:pPr>
                  <w:r>
                    <w:rPr>
                      <w:rFonts w:ascii="宋体" w:hAnsi="宋体"/>
                      <w:szCs w:val="21"/>
                    </w:rPr>
                    <w:t>2.4</w:t>
                  </w:r>
                </w:p>
              </w:tc>
              <w:tc>
                <w:tcPr>
                  <w:tcW w:w="714" w:type="pct"/>
                  <w:shd w:val="clear" w:color="auto" w:fill="auto"/>
                  <w:noWrap w:val="0"/>
                  <w:vAlign w:val="center"/>
                </w:tcPr>
                <w:p>
                  <w:pPr>
                    <w:widowControl w:val="0"/>
                    <w:jc w:val="center"/>
                    <w:textAlignment w:val="center"/>
                    <w:rPr>
                      <w:rFonts w:hint="eastAsia" w:ascii="宋体" w:hAnsi="宋体"/>
                      <w:szCs w:val="21"/>
                    </w:rPr>
                  </w:pPr>
                  <w:r>
                    <w:rPr>
                      <w:rFonts w:hint="eastAsia" w:ascii="宋体" w:hAnsi="宋体" w:cs="宋体"/>
                      <w:szCs w:val="21"/>
                      <w:lang w:bidi="ar"/>
                    </w:rPr>
                    <w:t>0.4</w:t>
                  </w:r>
                </w:p>
              </w:tc>
              <w:tc>
                <w:tcPr>
                  <w:tcW w:w="804"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shd w:val="clear" w:color="auto" w:fill="auto"/>
                  <w:noWrap w:val="0"/>
                  <w:vAlign w:val="center"/>
                </w:tcPr>
                <w:p>
                  <w:pPr>
                    <w:pStyle w:val="175"/>
                    <w:spacing w:after="120" w:line="280" w:lineRule="exact"/>
                    <w:ind w:left="0" w:firstLine="0"/>
                    <w:jc w:val="left"/>
                    <w:rPr>
                      <w:rFonts w:hint="eastAsia" w:hAnsi="宋体"/>
                      <w:szCs w:val="21"/>
                    </w:rPr>
                  </w:pPr>
                  <w:r>
                    <w:rPr>
                      <w:rFonts w:hint="eastAsia" w:hAnsi="宋体"/>
                      <w:szCs w:val="21"/>
                    </w:rPr>
                    <w:t>重型高压冲洗车体车(最多</w:t>
                  </w:r>
                  <w:r>
                    <w:rPr>
                      <w:rFonts w:hAnsi="宋体"/>
                      <w:szCs w:val="21"/>
                    </w:rPr>
                    <w:t>2</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w:t>
                  </w:r>
                  <w:r>
                    <w:rPr>
                      <w:rFonts w:hAnsi="宋体"/>
                      <w:szCs w:val="21"/>
                    </w:rPr>
                    <w:t>3</w:t>
                  </w:r>
                </w:p>
              </w:tc>
              <w:tc>
                <w:tcPr>
                  <w:tcW w:w="726" w:type="pct"/>
                  <w:shd w:val="clear" w:color="auto" w:fill="auto"/>
                  <w:noWrap w:val="0"/>
                  <w:vAlign w:val="center"/>
                </w:tcPr>
                <w:p>
                  <w:pPr>
                    <w:widowControl w:val="0"/>
                    <w:jc w:val="center"/>
                    <w:textAlignment w:val="center"/>
                    <w:rPr>
                      <w:rFonts w:ascii="宋体" w:hAnsi="宋体" w:cs="宋体"/>
                      <w:szCs w:val="21"/>
                      <w:lang w:bidi="ar"/>
                    </w:rPr>
                  </w:pPr>
                  <w:r>
                    <w:rPr>
                      <w:rFonts w:hint="eastAsia" w:ascii="宋体" w:hAnsi="宋体" w:cs="宋体"/>
                      <w:szCs w:val="21"/>
                      <w:lang w:bidi="ar"/>
                    </w:rPr>
                    <w:t>1.5</w:t>
                  </w:r>
                </w:p>
              </w:tc>
              <w:tc>
                <w:tcPr>
                  <w:tcW w:w="716" w:type="pct"/>
                  <w:shd w:val="clear" w:color="auto" w:fill="auto"/>
                  <w:noWrap w:val="0"/>
                  <w:vAlign w:val="center"/>
                </w:tcPr>
                <w:p>
                  <w:pPr>
                    <w:widowControl w:val="0"/>
                    <w:jc w:val="center"/>
                    <w:textAlignment w:val="center"/>
                    <w:rPr>
                      <w:rFonts w:ascii="宋体" w:hAnsi="宋体" w:cs="宋体"/>
                      <w:szCs w:val="21"/>
                      <w:lang w:bidi="ar"/>
                    </w:rPr>
                  </w:pPr>
                  <w:r>
                    <w:rPr>
                      <w:rFonts w:ascii="宋体" w:hAnsi="宋体" w:cs="宋体"/>
                      <w:szCs w:val="21"/>
                      <w:lang w:bidi="ar"/>
                    </w:rPr>
                    <w:t>3</w:t>
                  </w:r>
                </w:p>
              </w:tc>
              <w:tc>
                <w:tcPr>
                  <w:tcW w:w="714" w:type="pct"/>
                  <w:shd w:val="clear" w:color="auto" w:fill="auto"/>
                  <w:noWrap w:val="0"/>
                  <w:vAlign w:val="center"/>
                </w:tcPr>
                <w:p>
                  <w:pPr>
                    <w:widowControl w:val="0"/>
                    <w:jc w:val="center"/>
                    <w:textAlignment w:val="center"/>
                    <w:rPr>
                      <w:rFonts w:ascii="宋体" w:hAnsi="宋体" w:cs="宋体"/>
                      <w:szCs w:val="21"/>
                      <w:lang w:bidi="ar"/>
                    </w:rPr>
                  </w:pPr>
                  <w:r>
                    <w:rPr>
                      <w:rFonts w:hint="eastAsia" w:ascii="宋体" w:hAnsi="宋体" w:cs="宋体"/>
                      <w:szCs w:val="21"/>
                      <w:lang w:bidi="ar"/>
                    </w:rPr>
                    <w:t>0.75</w:t>
                  </w:r>
                </w:p>
              </w:tc>
              <w:tc>
                <w:tcPr>
                  <w:tcW w:w="804" w:type="pct"/>
                  <w:shd w:val="clear" w:color="auto" w:fill="auto"/>
                  <w:noWrap w:val="0"/>
                  <w:vAlign w:val="center"/>
                </w:tcPr>
                <w:p>
                  <w:pPr>
                    <w:widowControl w:val="0"/>
                    <w:jc w:val="center"/>
                    <w:textAlignment w:val="center"/>
                    <w:rPr>
                      <w:rFonts w:ascii="宋体" w:hAnsi="宋体" w:cs="宋体"/>
                      <w:szCs w:val="21"/>
                      <w:lang w:bidi="ar"/>
                    </w:rPr>
                  </w:pPr>
                  <w:r>
                    <w:rPr>
                      <w:rFonts w:ascii="宋体" w:hAnsi="宋体" w:cs="宋体"/>
                      <w:szCs w:val="21"/>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shd w:val="clear" w:color="auto" w:fill="auto"/>
                  <w:noWrap w:val="0"/>
                  <w:vAlign w:val="top"/>
                </w:tcPr>
                <w:p>
                  <w:pPr>
                    <w:pStyle w:val="175"/>
                    <w:spacing w:after="120" w:line="280" w:lineRule="exact"/>
                    <w:ind w:left="0" w:firstLine="0"/>
                    <w:jc w:val="left"/>
                    <w:rPr>
                      <w:rFonts w:hAnsi="宋体"/>
                      <w:szCs w:val="21"/>
                    </w:rPr>
                  </w:pPr>
                  <w:r>
                    <w:rPr>
                      <w:rFonts w:hint="eastAsia" w:hAnsi="宋体"/>
                      <w:szCs w:val="21"/>
                    </w:rPr>
                    <w:t>建筑垃圾运输（轻型自卸）车(最多</w:t>
                  </w:r>
                  <w:r>
                    <w:rPr>
                      <w:rFonts w:hAnsi="宋体"/>
                      <w:szCs w:val="21"/>
                    </w:rPr>
                    <w:t>2</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w:t>
                  </w:r>
                  <w:r>
                    <w:rPr>
                      <w:rFonts w:hAnsi="宋体"/>
                      <w:szCs w:val="21"/>
                    </w:rPr>
                    <w:t>0.8</w:t>
                  </w:r>
                </w:p>
              </w:tc>
              <w:tc>
                <w:tcPr>
                  <w:tcW w:w="726"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0.4</w:t>
                  </w:r>
                </w:p>
              </w:tc>
              <w:tc>
                <w:tcPr>
                  <w:tcW w:w="716" w:type="pct"/>
                  <w:shd w:val="clear" w:color="auto" w:fill="auto"/>
                  <w:noWrap w:val="0"/>
                  <w:vAlign w:val="center"/>
                </w:tcPr>
                <w:p>
                  <w:pPr>
                    <w:widowControl w:val="0"/>
                    <w:jc w:val="center"/>
                    <w:textAlignment w:val="center"/>
                    <w:rPr>
                      <w:rFonts w:ascii="宋体" w:hAnsi="宋体" w:cs="宋体"/>
                      <w:szCs w:val="21"/>
                      <w:lang w:bidi="ar"/>
                    </w:rPr>
                  </w:pPr>
                  <w:r>
                    <w:rPr>
                      <w:rFonts w:ascii="宋体" w:hAnsi="宋体" w:cs="宋体"/>
                      <w:szCs w:val="21"/>
                      <w:lang w:bidi="ar"/>
                    </w:rPr>
                    <w:t>0.8</w:t>
                  </w:r>
                </w:p>
              </w:tc>
              <w:tc>
                <w:tcPr>
                  <w:tcW w:w="714" w:type="pct"/>
                  <w:shd w:val="clear" w:color="auto" w:fill="auto"/>
                  <w:noWrap w:val="0"/>
                  <w:vAlign w:val="center"/>
                </w:tcPr>
                <w:p>
                  <w:pPr>
                    <w:widowControl w:val="0"/>
                    <w:jc w:val="center"/>
                    <w:textAlignment w:val="center"/>
                    <w:rPr>
                      <w:rFonts w:ascii="宋体" w:hAnsi="宋体" w:cs="宋体"/>
                      <w:szCs w:val="21"/>
                      <w:lang w:bidi="ar"/>
                    </w:rPr>
                  </w:pPr>
                  <w:r>
                    <w:rPr>
                      <w:rFonts w:hint="eastAsia" w:ascii="宋体" w:hAnsi="宋体" w:cs="宋体"/>
                      <w:szCs w:val="21"/>
                      <w:lang w:bidi="ar"/>
                    </w:rPr>
                    <w:t>0.2</w:t>
                  </w:r>
                </w:p>
              </w:tc>
              <w:tc>
                <w:tcPr>
                  <w:tcW w:w="804" w:type="pct"/>
                  <w:shd w:val="clear" w:color="auto" w:fill="auto"/>
                  <w:noWrap w:val="0"/>
                  <w:vAlign w:val="center"/>
                </w:tcPr>
                <w:p>
                  <w:pPr>
                    <w:widowControl w:val="0"/>
                    <w:jc w:val="center"/>
                    <w:textAlignment w:val="center"/>
                    <w:rPr>
                      <w:rFonts w:ascii="宋体" w:hAnsi="宋体" w:cs="宋体"/>
                      <w:szCs w:val="21"/>
                      <w:lang w:bidi="ar"/>
                    </w:rPr>
                  </w:pPr>
                  <w:r>
                    <w:rPr>
                      <w:rFonts w:hint="eastAsia" w:ascii="宋体" w:hAnsi="宋体" w:cs="宋体"/>
                      <w:szCs w:val="21"/>
                      <w:lang w:bidi="ar"/>
                    </w:rPr>
                    <w:t>0.</w:t>
                  </w:r>
                  <w:r>
                    <w:rPr>
                      <w:rFonts w:ascii="宋体" w:hAnsi="宋体" w:cs="宋体"/>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shd w:val="clear" w:color="auto" w:fill="auto"/>
                  <w:noWrap w:val="0"/>
                  <w:vAlign w:val="center"/>
                </w:tcPr>
                <w:p>
                  <w:pPr>
                    <w:pStyle w:val="175"/>
                    <w:spacing w:after="120" w:line="280" w:lineRule="exact"/>
                    <w:ind w:left="0" w:firstLine="0"/>
                    <w:jc w:val="left"/>
                    <w:rPr>
                      <w:rFonts w:hint="eastAsia" w:hAnsi="宋体"/>
                      <w:szCs w:val="21"/>
                    </w:rPr>
                  </w:pPr>
                  <w:r>
                    <w:rPr>
                      <w:rFonts w:hint="eastAsia" w:hAnsi="宋体"/>
                      <w:szCs w:val="21"/>
                    </w:rPr>
                    <w:t>重型压缩式垃圾车（无滴漏）(最多</w:t>
                  </w:r>
                  <w:r>
                    <w:rPr>
                      <w:rFonts w:hAnsi="宋体"/>
                      <w:szCs w:val="21"/>
                    </w:rPr>
                    <w:t>3</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w:t>
                  </w:r>
                  <w:r>
                    <w:rPr>
                      <w:rFonts w:hAnsi="宋体"/>
                      <w:szCs w:val="21"/>
                    </w:rPr>
                    <w:t>3.6</w:t>
                  </w:r>
                </w:p>
              </w:tc>
              <w:tc>
                <w:tcPr>
                  <w:tcW w:w="726"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1.</w:t>
                  </w:r>
                  <w:r>
                    <w:rPr>
                      <w:rFonts w:ascii="宋体" w:hAnsi="宋体" w:cs="宋体"/>
                      <w:szCs w:val="21"/>
                      <w:lang w:bidi="ar"/>
                    </w:rPr>
                    <w:t>2</w:t>
                  </w:r>
                </w:p>
              </w:tc>
              <w:tc>
                <w:tcPr>
                  <w:tcW w:w="716"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3.6</w:t>
                  </w:r>
                </w:p>
              </w:tc>
              <w:tc>
                <w:tcPr>
                  <w:tcW w:w="714"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0.</w:t>
                  </w:r>
                  <w:r>
                    <w:rPr>
                      <w:rFonts w:ascii="宋体" w:hAnsi="宋体" w:cs="宋体"/>
                      <w:szCs w:val="21"/>
                      <w:lang w:bidi="ar"/>
                    </w:rPr>
                    <w:t>6</w:t>
                  </w:r>
                </w:p>
              </w:tc>
              <w:tc>
                <w:tcPr>
                  <w:tcW w:w="804"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shd w:val="clear" w:color="auto" w:fill="auto"/>
                  <w:noWrap w:val="0"/>
                  <w:vAlign w:val="center"/>
                </w:tcPr>
                <w:p>
                  <w:pPr>
                    <w:pStyle w:val="175"/>
                    <w:spacing w:after="120" w:line="280" w:lineRule="exact"/>
                    <w:ind w:left="0" w:firstLine="0"/>
                    <w:jc w:val="left"/>
                    <w:rPr>
                      <w:rFonts w:hint="eastAsia" w:hAnsi="宋体"/>
                      <w:szCs w:val="21"/>
                    </w:rPr>
                  </w:pPr>
                  <w:r>
                    <w:rPr>
                      <w:rFonts w:hint="eastAsia" w:hAnsi="宋体"/>
                      <w:szCs w:val="21"/>
                    </w:rPr>
                    <w:t>重型多功能抑尘车（最多</w:t>
                  </w:r>
                  <w:r>
                    <w:rPr>
                      <w:rFonts w:hAnsi="宋体"/>
                      <w:szCs w:val="21"/>
                    </w:rPr>
                    <w:t>2</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0-3</w:t>
                  </w:r>
                </w:p>
              </w:tc>
              <w:tc>
                <w:tcPr>
                  <w:tcW w:w="726" w:type="pct"/>
                  <w:shd w:val="clear" w:color="auto" w:fill="auto"/>
                  <w:noWrap w:val="0"/>
                  <w:vAlign w:val="center"/>
                </w:tcPr>
                <w:p>
                  <w:pPr>
                    <w:widowControl w:val="0"/>
                    <w:jc w:val="center"/>
                    <w:textAlignment w:val="center"/>
                    <w:rPr>
                      <w:rFonts w:hint="eastAsia" w:ascii="宋体" w:hAnsi="宋体"/>
                      <w:szCs w:val="21"/>
                    </w:rPr>
                  </w:pPr>
                  <w:r>
                    <w:rPr>
                      <w:rFonts w:hint="eastAsia" w:ascii="宋体" w:hAnsi="宋体" w:cs="宋体"/>
                      <w:szCs w:val="21"/>
                      <w:lang w:bidi="ar"/>
                    </w:rPr>
                    <w:t>1.5</w:t>
                  </w:r>
                </w:p>
              </w:tc>
              <w:tc>
                <w:tcPr>
                  <w:tcW w:w="716"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3</w:t>
                  </w:r>
                </w:p>
              </w:tc>
              <w:tc>
                <w:tcPr>
                  <w:tcW w:w="714"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0.75</w:t>
                  </w:r>
                </w:p>
              </w:tc>
              <w:tc>
                <w:tcPr>
                  <w:tcW w:w="804"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6" w:type="pct"/>
                  <w:shd w:val="clear" w:color="auto" w:fill="auto"/>
                  <w:noWrap w:val="0"/>
                  <w:vAlign w:val="center"/>
                </w:tcPr>
                <w:p>
                  <w:pPr>
                    <w:pStyle w:val="175"/>
                    <w:spacing w:after="120" w:line="280" w:lineRule="exact"/>
                    <w:ind w:left="0" w:firstLine="0"/>
                    <w:jc w:val="left"/>
                    <w:rPr>
                      <w:rFonts w:hint="eastAsia" w:hAnsi="宋体"/>
                      <w:szCs w:val="21"/>
                    </w:rPr>
                  </w:pPr>
                  <w:r>
                    <w:rPr>
                      <w:rFonts w:hint="eastAsia" w:hAnsi="宋体"/>
                      <w:szCs w:val="21"/>
                    </w:rPr>
                    <w:t>二分类（易腐、其他）垃圾运输车(最多</w:t>
                  </w:r>
                  <w:r>
                    <w:rPr>
                      <w:rFonts w:hAnsi="宋体"/>
                      <w:szCs w:val="21"/>
                    </w:rPr>
                    <w:t>5</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Ansi="宋体"/>
                      <w:szCs w:val="21"/>
                    </w:rPr>
                  </w:pPr>
                  <w:r>
                    <w:rPr>
                      <w:rFonts w:hint="eastAsia" w:hAnsi="宋体"/>
                      <w:szCs w:val="21"/>
                    </w:rPr>
                    <w:t>0-</w:t>
                  </w:r>
                  <w:r>
                    <w:rPr>
                      <w:rFonts w:hAnsi="宋体"/>
                      <w:szCs w:val="21"/>
                    </w:rPr>
                    <w:t>3.5</w:t>
                  </w:r>
                </w:p>
              </w:tc>
              <w:tc>
                <w:tcPr>
                  <w:tcW w:w="726" w:type="pct"/>
                  <w:shd w:val="clear" w:color="auto" w:fill="auto"/>
                  <w:noWrap w:val="0"/>
                  <w:vAlign w:val="center"/>
                </w:tcPr>
                <w:p>
                  <w:pPr>
                    <w:widowControl w:val="0"/>
                    <w:jc w:val="center"/>
                    <w:textAlignment w:val="center"/>
                    <w:rPr>
                      <w:rFonts w:hint="eastAsia" w:ascii="宋体" w:hAnsi="宋体"/>
                      <w:szCs w:val="21"/>
                    </w:rPr>
                  </w:pPr>
                  <w:r>
                    <w:rPr>
                      <w:rFonts w:hint="eastAsia" w:ascii="宋体" w:hAnsi="宋体" w:cs="宋体"/>
                      <w:szCs w:val="21"/>
                      <w:lang w:bidi="ar"/>
                    </w:rPr>
                    <w:t>0.</w:t>
                  </w:r>
                  <w:r>
                    <w:rPr>
                      <w:rFonts w:ascii="宋体" w:hAnsi="宋体" w:cs="宋体"/>
                      <w:szCs w:val="21"/>
                      <w:lang w:bidi="ar"/>
                    </w:rPr>
                    <w:t>7</w:t>
                  </w:r>
                </w:p>
              </w:tc>
              <w:tc>
                <w:tcPr>
                  <w:tcW w:w="716"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3.5</w:t>
                  </w:r>
                </w:p>
              </w:tc>
              <w:tc>
                <w:tcPr>
                  <w:tcW w:w="714" w:type="pct"/>
                  <w:shd w:val="clear" w:color="auto" w:fill="auto"/>
                  <w:noWrap w:val="0"/>
                  <w:vAlign w:val="center"/>
                </w:tcPr>
                <w:p>
                  <w:pPr>
                    <w:widowControl w:val="0"/>
                    <w:jc w:val="center"/>
                    <w:textAlignment w:val="center"/>
                    <w:rPr>
                      <w:rFonts w:ascii="宋体" w:hAnsi="宋体"/>
                      <w:szCs w:val="21"/>
                    </w:rPr>
                  </w:pPr>
                  <w:r>
                    <w:rPr>
                      <w:rFonts w:hint="eastAsia" w:ascii="宋体" w:hAnsi="宋体" w:cs="宋体"/>
                      <w:szCs w:val="21"/>
                      <w:lang w:bidi="ar"/>
                    </w:rPr>
                    <w:t>0.3</w:t>
                  </w:r>
                  <w:r>
                    <w:rPr>
                      <w:rFonts w:ascii="宋体" w:hAnsi="宋体" w:cs="宋体"/>
                      <w:szCs w:val="21"/>
                      <w:lang w:bidi="ar"/>
                    </w:rPr>
                    <w:t>5</w:t>
                  </w:r>
                </w:p>
              </w:tc>
              <w:tc>
                <w:tcPr>
                  <w:tcW w:w="804" w:type="pct"/>
                  <w:shd w:val="clear" w:color="auto" w:fill="auto"/>
                  <w:noWrap w:val="0"/>
                  <w:vAlign w:val="center"/>
                </w:tcPr>
                <w:p>
                  <w:pPr>
                    <w:widowControl w:val="0"/>
                    <w:jc w:val="center"/>
                    <w:textAlignment w:val="center"/>
                    <w:rPr>
                      <w:rFonts w:ascii="宋体" w:hAnsi="宋体"/>
                      <w:szCs w:val="21"/>
                    </w:rPr>
                  </w:pPr>
                  <w:r>
                    <w:rPr>
                      <w:rFonts w:ascii="宋体" w:hAnsi="宋体" w:cs="宋体"/>
                      <w:szCs w:val="21"/>
                      <w:lang w:bidi="ar"/>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476" w:type="pct"/>
                  <w:shd w:val="clear" w:color="auto" w:fill="auto"/>
                  <w:noWrap w:val="0"/>
                  <w:vAlign w:val="center"/>
                </w:tcPr>
                <w:p>
                  <w:pPr>
                    <w:pStyle w:val="175"/>
                    <w:spacing w:after="120" w:line="280" w:lineRule="exact"/>
                    <w:ind w:left="0" w:firstLine="0"/>
                    <w:jc w:val="left"/>
                    <w:rPr>
                      <w:rFonts w:hint="eastAsia" w:hAnsi="宋体"/>
                      <w:szCs w:val="21"/>
                    </w:rPr>
                  </w:pPr>
                  <w:r>
                    <w:rPr>
                      <w:rFonts w:hint="eastAsia" w:hAnsi="宋体"/>
                      <w:szCs w:val="21"/>
                    </w:rPr>
                    <w:t>中型压缩式垃圾车（无滴漏）(最多</w:t>
                  </w:r>
                  <w:r>
                    <w:rPr>
                      <w:rFonts w:hAnsi="宋体"/>
                      <w:szCs w:val="21"/>
                    </w:rPr>
                    <w:t>2</w:t>
                  </w:r>
                  <w:r>
                    <w:rPr>
                      <w:rFonts w:hint="eastAsia" w:hAnsi="宋体"/>
                      <w:szCs w:val="21"/>
                    </w:rPr>
                    <w:t>辆）</w:t>
                  </w:r>
                </w:p>
              </w:tc>
              <w:tc>
                <w:tcPr>
                  <w:tcW w:w="564" w:type="pct"/>
                  <w:shd w:val="clear" w:color="auto" w:fill="auto"/>
                  <w:noWrap w:val="0"/>
                  <w:vAlign w:val="center"/>
                </w:tcPr>
                <w:p>
                  <w:pPr>
                    <w:pStyle w:val="175"/>
                    <w:spacing w:after="120" w:line="300" w:lineRule="exact"/>
                    <w:ind w:left="0" w:firstLine="0"/>
                    <w:jc w:val="center"/>
                    <w:rPr>
                      <w:rFonts w:hint="eastAsia" w:hAnsi="宋体"/>
                      <w:szCs w:val="21"/>
                    </w:rPr>
                  </w:pPr>
                  <w:r>
                    <w:rPr>
                      <w:rFonts w:hint="eastAsia" w:hAnsi="宋体"/>
                      <w:szCs w:val="21"/>
                    </w:rPr>
                    <w:t>0-</w:t>
                  </w:r>
                  <w:r>
                    <w:rPr>
                      <w:rFonts w:hAnsi="宋体" w:cs="宋体"/>
                      <w:szCs w:val="21"/>
                      <w:lang w:bidi="ar"/>
                    </w:rPr>
                    <w:t>1.6</w:t>
                  </w:r>
                </w:p>
              </w:tc>
              <w:tc>
                <w:tcPr>
                  <w:tcW w:w="726" w:type="pct"/>
                  <w:shd w:val="clear" w:color="auto" w:fill="auto"/>
                  <w:noWrap w:val="0"/>
                  <w:vAlign w:val="center"/>
                </w:tcPr>
                <w:p>
                  <w:pPr>
                    <w:widowControl w:val="0"/>
                    <w:jc w:val="center"/>
                    <w:textAlignment w:val="center"/>
                    <w:rPr>
                      <w:rFonts w:hint="eastAsia" w:ascii="宋体" w:hAnsi="宋体" w:cs="宋体"/>
                      <w:szCs w:val="21"/>
                      <w:lang w:bidi="ar"/>
                    </w:rPr>
                  </w:pPr>
                  <w:r>
                    <w:rPr>
                      <w:rFonts w:hint="eastAsia" w:ascii="宋体" w:hAnsi="宋体" w:cs="宋体"/>
                      <w:szCs w:val="21"/>
                      <w:lang w:bidi="ar"/>
                    </w:rPr>
                    <w:t>0.8</w:t>
                  </w:r>
                </w:p>
              </w:tc>
              <w:tc>
                <w:tcPr>
                  <w:tcW w:w="716" w:type="pct"/>
                  <w:shd w:val="clear" w:color="auto" w:fill="auto"/>
                  <w:noWrap w:val="0"/>
                  <w:vAlign w:val="center"/>
                </w:tcPr>
                <w:p>
                  <w:pPr>
                    <w:widowControl w:val="0"/>
                    <w:jc w:val="center"/>
                    <w:textAlignment w:val="center"/>
                    <w:rPr>
                      <w:rFonts w:hint="eastAsia" w:ascii="宋体" w:hAnsi="宋体" w:cs="宋体"/>
                      <w:szCs w:val="21"/>
                      <w:lang w:bidi="ar"/>
                    </w:rPr>
                  </w:pPr>
                  <w:r>
                    <w:rPr>
                      <w:rFonts w:ascii="宋体" w:hAnsi="宋体" w:cs="宋体"/>
                      <w:szCs w:val="21"/>
                      <w:lang w:bidi="ar"/>
                    </w:rPr>
                    <w:t>1.6</w:t>
                  </w:r>
                </w:p>
              </w:tc>
              <w:tc>
                <w:tcPr>
                  <w:tcW w:w="714" w:type="pct"/>
                  <w:shd w:val="clear" w:color="auto" w:fill="auto"/>
                  <w:noWrap w:val="0"/>
                  <w:vAlign w:val="center"/>
                </w:tcPr>
                <w:p>
                  <w:pPr>
                    <w:widowControl w:val="0"/>
                    <w:jc w:val="center"/>
                    <w:textAlignment w:val="center"/>
                    <w:rPr>
                      <w:rFonts w:hint="eastAsia" w:ascii="宋体" w:hAnsi="宋体" w:cs="宋体"/>
                      <w:szCs w:val="21"/>
                      <w:lang w:bidi="ar"/>
                    </w:rPr>
                  </w:pPr>
                  <w:r>
                    <w:rPr>
                      <w:rFonts w:hint="eastAsia" w:ascii="宋体" w:hAnsi="宋体" w:cs="宋体"/>
                      <w:szCs w:val="21"/>
                      <w:lang w:bidi="ar"/>
                    </w:rPr>
                    <w:t>0.4</w:t>
                  </w:r>
                </w:p>
              </w:tc>
              <w:tc>
                <w:tcPr>
                  <w:tcW w:w="804" w:type="pct"/>
                  <w:shd w:val="clear" w:color="auto" w:fill="auto"/>
                  <w:noWrap w:val="0"/>
                  <w:vAlign w:val="center"/>
                </w:tcPr>
                <w:p>
                  <w:pPr>
                    <w:widowControl w:val="0"/>
                    <w:jc w:val="center"/>
                    <w:textAlignment w:val="center"/>
                    <w:rPr>
                      <w:rFonts w:hint="eastAsia" w:ascii="宋体" w:hAnsi="宋体" w:cs="宋体"/>
                      <w:szCs w:val="21"/>
                      <w:lang w:bidi="ar"/>
                    </w:rPr>
                  </w:pPr>
                  <w:r>
                    <w:rPr>
                      <w:rFonts w:hint="eastAsia" w:ascii="宋体" w:hAnsi="宋体" w:cs="宋体"/>
                      <w:szCs w:val="21"/>
                      <w:lang w:bidi="ar"/>
                    </w:rPr>
                    <w:t>0.</w:t>
                  </w:r>
                  <w:r>
                    <w:rPr>
                      <w:rFonts w:ascii="宋体" w:hAnsi="宋体" w:cs="宋体"/>
                      <w:szCs w:val="21"/>
                      <w:lang w:bidi="ar"/>
                    </w:rPr>
                    <w:t>8</w:t>
                  </w:r>
                </w:p>
              </w:tc>
            </w:tr>
          </w:tbl>
          <w:p>
            <w:pPr>
              <w:spacing w:line="300" w:lineRule="exact"/>
              <w:rPr>
                <w:rFonts w:hint="eastAsia" w:ascii="宋体" w:hAnsi="宋体"/>
                <w:szCs w:val="21"/>
              </w:rPr>
            </w:pPr>
            <w:r>
              <w:rPr>
                <w:rFonts w:hint="eastAsia" w:ascii="宋体" w:hAnsi="宋体" w:cs="宋体"/>
                <w:b/>
                <w:szCs w:val="21"/>
              </w:rPr>
              <w:t>以上</w:t>
            </w:r>
            <w:r>
              <w:rPr>
                <w:rFonts w:hint="eastAsia" w:ascii="宋体" w:hAnsi="宋体"/>
                <w:b/>
                <w:szCs w:val="21"/>
              </w:rPr>
              <w:t>车辆持有形式须分别对应提交如下证明材料：</w:t>
            </w:r>
          </w:p>
          <w:p>
            <w:pPr>
              <w:spacing w:line="240" w:lineRule="exact"/>
              <w:rPr>
                <w:rFonts w:hint="eastAsia" w:ascii="宋体" w:hAnsi="宋体"/>
                <w:b/>
                <w:szCs w:val="21"/>
              </w:rPr>
            </w:pPr>
            <w:r>
              <w:rPr>
                <w:rFonts w:hint="eastAsia" w:ascii="宋体" w:hAnsi="宋体"/>
                <w:b/>
                <w:szCs w:val="21"/>
              </w:rPr>
              <w:t>A、自有已上牌车辆：以提供公安部门颁发的行驶证（行驶证带车辆照片）扫描件、车辆全身彩色照片（注明车辆种类）为准；自有已上牌车辆必须为2017年1月1日以来首次上牌车辆；</w:t>
            </w:r>
          </w:p>
          <w:p>
            <w:pPr>
              <w:spacing w:line="240" w:lineRule="exact"/>
              <w:rPr>
                <w:rFonts w:hint="eastAsia" w:ascii="宋体" w:hAnsi="宋体"/>
                <w:b/>
                <w:szCs w:val="21"/>
              </w:rPr>
            </w:pPr>
            <w:r>
              <w:rPr>
                <w:rFonts w:hint="eastAsia" w:ascii="宋体" w:hAnsi="宋体"/>
                <w:b/>
                <w:szCs w:val="21"/>
              </w:rPr>
              <w:t>B、现已租赁车辆：以提供公安部门颁发的行驶证（行驶证带车辆照片）扫描件、车辆全身彩色照片（注明车辆种类）及对应车辆租赁合同（租赁期覆盖本项目服务期）为准；现已租赁车辆必须为2019年1月1日以来首次上牌车辆；</w:t>
            </w:r>
          </w:p>
          <w:p>
            <w:pPr>
              <w:spacing w:line="300" w:lineRule="exact"/>
              <w:rPr>
                <w:rFonts w:hint="eastAsia" w:ascii="宋体" w:hAnsi="宋体"/>
                <w:b/>
                <w:szCs w:val="21"/>
              </w:rPr>
            </w:pPr>
            <w:r>
              <w:rPr>
                <w:rFonts w:hint="eastAsia" w:ascii="宋体" w:hAnsi="宋体"/>
                <w:b/>
                <w:szCs w:val="21"/>
              </w:rPr>
              <w:t>C、承诺中标后购买或租赁的车辆：</w:t>
            </w:r>
          </w:p>
          <w:p>
            <w:pPr>
              <w:spacing w:line="300" w:lineRule="exact"/>
              <w:rPr>
                <w:rFonts w:ascii="宋体" w:hAnsi="宋体"/>
                <w:b/>
                <w:szCs w:val="21"/>
              </w:rPr>
            </w:pPr>
            <w:r>
              <w:rPr>
                <w:rFonts w:hint="eastAsia" w:ascii="宋体" w:hAnsi="宋体"/>
                <w:b/>
                <w:szCs w:val="21"/>
              </w:rPr>
              <w:t>在投标文件中须提供购买或租赁承诺书（承诺中标后购买及租赁车辆必须为2019年1月1日以来首次上牌车辆）及车辆全身彩色照片（注明车辆种类）为准；</w:t>
            </w:r>
          </w:p>
          <w:p>
            <w:pPr>
              <w:pStyle w:val="175"/>
              <w:spacing w:after="120" w:line="300" w:lineRule="exact"/>
              <w:ind w:left="0" w:firstLine="0"/>
              <w:rPr>
                <w:rFonts w:hint="eastAsia" w:hAnsi="宋体"/>
                <w:b/>
                <w:szCs w:val="21"/>
              </w:rPr>
            </w:pPr>
            <w:r>
              <w:rPr>
                <w:rFonts w:hint="eastAsia" w:hAnsi="宋体"/>
                <w:b/>
                <w:szCs w:val="21"/>
              </w:rPr>
              <w:t>供应商投标资料提供不全导致无法得分的，责任自负。</w:t>
            </w:r>
          </w:p>
          <w:p>
            <w:pPr>
              <w:rPr>
                <w:rFonts w:hint="eastAsia" w:ascii="宋体" w:hAnsi="宋体"/>
                <w:kern w:val="2"/>
                <w:szCs w:val="21"/>
              </w:rPr>
            </w:pPr>
            <w:r>
              <w:rPr>
                <w:rFonts w:hint="eastAsia" w:ascii="宋体" w:hAnsi="宋体"/>
                <w:b/>
                <w:szCs w:val="21"/>
              </w:rPr>
              <w:t>注：</w:t>
            </w:r>
            <w:r>
              <w:rPr>
                <w:rFonts w:hint="eastAsia" w:ascii="宋体" w:hAnsi="宋体"/>
                <w:szCs w:val="21"/>
              </w:rPr>
              <w:t>超过上表中各种车型数量最高要求的，超出部分不予计分</w:t>
            </w:r>
            <w:r>
              <w:rPr>
                <w:rFonts w:hint="eastAsia" w:ascii="宋体" w:hAnsi="宋体"/>
                <w:b/>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150"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0.3</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pStyle w:val="14"/>
              <w:adjustRightInd w:val="0"/>
              <w:snapToGrid w:val="0"/>
              <w:jc w:val="left"/>
              <w:rPr>
                <w:rFonts w:hint="eastAsia" w:ascii="宋体" w:hAnsi="宋体"/>
                <w:kern w:val="0"/>
                <w:sz w:val="21"/>
                <w:szCs w:val="21"/>
              </w:rPr>
            </w:pPr>
            <w:r>
              <w:rPr>
                <w:rFonts w:hint="eastAsia" w:ascii="宋体" w:hAnsi="宋体"/>
                <w:kern w:val="0"/>
                <w:sz w:val="21"/>
                <w:szCs w:val="21"/>
              </w:rPr>
              <w:t>7</w:t>
            </w:r>
            <w:r>
              <w:rPr>
                <w:rFonts w:ascii="宋体" w:hAnsi="宋体"/>
                <w:kern w:val="0"/>
                <w:sz w:val="21"/>
                <w:szCs w:val="21"/>
              </w:rPr>
              <w:t>.2</w:t>
            </w:r>
            <w:r>
              <w:rPr>
                <w:rFonts w:hint="eastAsia" w:ascii="宋体" w:hAnsi="宋体"/>
                <w:kern w:val="0"/>
                <w:sz w:val="21"/>
                <w:szCs w:val="21"/>
              </w:rPr>
              <w:t>、供应商投入本项目装载机（轮式铲车）（一辆），如为现已自有的得0.3分，最多得0.3分，提供发票扫描件及设备照片；如为现已租赁车辆（或承诺中标后购买或租赁）的得0.15分，最多得0.15分，提供租赁期覆盖本项目服务期租赁合同及设备照片（或中标后购买承诺书或中标后租赁承诺书）。本小项最高得0.3分（客观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40"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1</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pStyle w:val="14"/>
              <w:adjustRightInd w:val="0"/>
              <w:snapToGrid w:val="0"/>
              <w:rPr>
                <w:rFonts w:hint="eastAsia" w:ascii="宋体" w:hAnsi="宋体"/>
                <w:kern w:val="0"/>
                <w:sz w:val="21"/>
                <w:szCs w:val="21"/>
              </w:rPr>
            </w:pPr>
            <w:r>
              <w:rPr>
                <w:rFonts w:hint="eastAsia" w:ascii="宋体" w:hAnsi="宋体"/>
                <w:kern w:val="0"/>
                <w:sz w:val="21"/>
                <w:szCs w:val="21"/>
              </w:rPr>
              <w:t>7</w:t>
            </w:r>
            <w:r>
              <w:rPr>
                <w:rFonts w:ascii="宋体" w:hAnsi="宋体"/>
                <w:kern w:val="0"/>
                <w:sz w:val="21"/>
                <w:szCs w:val="21"/>
              </w:rPr>
              <w:t>.3</w:t>
            </w:r>
            <w:r>
              <w:rPr>
                <w:rFonts w:hint="eastAsia" w:ascii="宋体" w:hAnsi="宋体"/>
                <w:kern w:val="0"/>
                <w:sz w:val="21"/>
                <w:szCs w:val="21"/>
              </w:rPr>
              <w:t>、供应商投入本项目的小型冲洗车满足采购文件第三部分“本项目要求机械车辆、船只投入的最低要求”外，增配一辆现已自有小型冲洗车得0.2分，最多得1分，提供发票扫描件及设备照片；增配小型冲洗车如为现已租赁车辆（或承诺中标后购买或租赁）的，1辆得0.1分，最多得0.5分，提供租赁期覆盖本项目服务期租赁合同及设备照片（或中标后购买承诺书或中标后租赁承诺书）。本小项最高得1分（客观分）。</w:t>
            </w:r>
          </w:p>
          <w:p>
            <w:pPr>
              <w:pStyle w:val="14"/>
              <w:adjustRightInd w:val="0"/>
              <w:snapToGrid w:val="0"/>
              <w:jc w:val="left"/>
              <w:rPr>
                <w:rFonts w:hint="eastAsia" w:ascii="宋体" w:hAnsi="宋体"/>
                <w:kern w:val="0"/>
                <w:sz w:val="21"/>
                <w:szCs w:val="21"/>
              </w:rPr>
            </w:pPr>
            <w:r>
              <w:rPr>
                <w:rFonts w:hint="eastAsia" w:ascii="宋体" w:hAnsi="宋体"/>
                <w:kern w:val="0"/>
                <w:sz w:val="21"/>
                <w:szCs w:val="21"/>
              </w:rPr>
              <w:t>注：供应商投入本项目的所有小型冲洗车持有形式如有“现已自有”的，应当按照先满足采购文件第三部分“本项目要求机械车辆、船只投入的最低要求，再满足增配要求的原则来配置及得分。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00"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pStyle w:val="14"/>
              <w:adjustRightInd w:val="0"/>
              <w:snapToGrid w:val="0"/>
              <w:jc w:val="center"/>
              <w:rPr>
                <w:rFonts w:hint="eastAsia" w:ascii="宋体" w:hAnsi="宋体"/>
                <w:kern w:val="0"/>
                <w:sz w:val="21"/>
                <w:szCs w:val="21"/>
              </w:rPr>
            </w:pPr>
            <w:r>
              <w:rPr>
                <w:rFonts w:hint="eastAsia" w:ascii="宋体" w:hAnsi="宋体"/>
                <w:kern w:val="0"/>
                <w:sz w:val="21"/>
                <w:szCs w:val="21"/>
              </w:rPr>
              <w:t>0-</w:t>
            </w:r>
            <w:r>
              <w:rPr>
                <w:rFonts w:ascii="宋体" w:hAnsi="宋体"/>
                <w:kern w:val="0"/>
                <w:sz w:val="21"/>
                <w:szCs w:val="21"/>
              </w:rPr>
              <w:t>3</w:t>
            </w:r>
            <w:r>
              <w:rPr>
                <w:rFonts w:hint="eastAsia" w:ascii="宋体" w:hAnsi="宋体"/>
                <w:kern w:val="0"/>
                <w:sz w:val="21"/>
                <w:szCs w:val="21"/>
              </w:rPr>
              <w:t>分</w:t>
            </w:r>
          </w:p>
        </w:tc>
        <w:tc>
          <w:tcPr>
            <w:tcW w:w="3562" w:type="pct"/>
            <w:tcBorders>
              <w:top w:val="single" w:color="auto" w:sz="4" w:space="0"/>
              <w:bottom w:val="single" w:color="auto" w:sz="4" w:space="0"/>
            </w:tcBorders>
            <w:noWrap w:val="0"/>
            <w:vAlign w:val="center"/>
          </w:tcPr>
          <w:p>
            <w:pPr>
              <w:pStyle w:val="14"/>
              <w:adjustRightInd w:val="0"/>
              <w:snapToGrid w:val="0"/>
              <w:jc w:val="left"/>
              <w:rPr>
                <w:rFonts w:hint="eastAsia" w:ascii="宋体" w:hAnsi="宋体"/>
                <w:kern w:val="0"/>
                <w:sz w:val="21"/>
                <w:szCs w:val="21"/>
              </w:rPr>
            </w:pPr>
            <w:r>
              <w:rPr>
                <w:rFonts w:hint="eastAsia" w:ascii="宋体" w:hAnsi="宋体"/>
                <w:kern w:val="0"/>
                <w:sz w:val="21"/>
                <w:szCs w:val="21"/>
              </w:rPr>
              <w:t>7</w:t>
            </w:r>
            <w:r>
              <w:rPr>
                <w:rFonts w:ascii="宋体" w:hAnsi="宋体"/>
                <w:kern w:val="0"/>
                <w:sz w:val="21"/>
                <w:szCs w:val="21"/>
              </w:rPr>
              <w:t>.4</w:t>
            </w:r>
            <w:r>
              <w:rPr>
                <w:rFonts w:hint="eastAsia" w:ascii="宋体" w:hAnsi="宋体"/>
                <w:kern w:val="0"/>
                <w:sz w:val="21"/>
                <w:szCs w:val="21"/>
              </w:rPr>
              <w:t>、针对以上1-3点车辆中满足采购文件第三部分“本项目要求机械车辆、船只投入的最低要求”外增配的车辆，提供增配车辆优化作业方案说明，方案中必须说明在满足“道路（含公路）保洁等级要求”基础上增加道路机扫、洒水、冲洗、降尘等作业时间和频次。根据方案的具体性、合理性和可操作性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50" w:hRule="atLeast"/>
          <w:jc w:val="center"/>
        </w:trPr>
        <w:tc>
          <w:tcPr>
            <w:tcW w:w="230" w:type="pct"/>
            <w:vMerge w:val="restart"/>
            <w:tcBorders>
              <w:top w:val="single" w:color="auto" w:sz="4" w:space="0"/>
            </w:tcBorders>
            <w:noWrap w:val="0"/>
            <w:vAlign w:val="center"/>
          </w:tcPr>
          <w:p>
            <w:pPr>
              <w:numPr>
                <w:ilvl w:val="0"/>
                <w:numId w:val="28"/>
              </w:numPr>
              <w:rPr>
                <w:rFonts w:hint="eastAsia" w:ascii="宋体" w:hAnsi="宋体"/>
                <w:szCs w:val="21"/>
              </w:rPr>
            </w:pPr>
          </w:p>
        </w:tc>
        <w:tc>
          <w:tcPr>
            <w:tcW w:w="730" w:type="pct"/>
            <w:vMerge w:val="restart"/>
            <w:tcBorders>
              <w:top w:val="single" w:color="auto" w:sz="4" w:space="0"/>
            </w:tcBorders>
            <w:noWrap w:val="0"/>
            <w:vAlign w:val="center"/>
          </w:tcPr>
          <w:p>
            <w:pPr>
              <w:jc w:val="center"/>
              <w:rPr>
                <w:rFonts w:hint="eastAsia" w:ascii="宋体" w:hAnsi="宋体"/>
                <w:szCs w:val="21"/>
              </w:rPr>
            </w:pPr>
            <w:r>
              <w:rPr>
                <w:rFonts w:hint="eastAsia" w:ascii="宋体" w:hAnsi="宋体"/>
                <w:szCs w:val="21"/>
              </w:rPr>
              <w:t>投标车辆综合评价</w:t>
            </w: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2</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spacing w:line="240" w:lineRule="exact"/>
              <w:rPr>
                <w:rFonts w:hint="eastAsia" w:ascii="宋体" w:hAnsi="宋体"/>
                <w:szCs w:val="21"/>
              </w:rPr>
            </w:pPr>
            <w:r>
              <w:rPr>
                <w:rFonts w:ascii="宋体" w:hAnsi="宋体"/>
                <w:szCs w:val="21"/>
              </w:rPr>
              <w:t>8.</w:t>
            </w:r>
            <w:r>
              <w:rPr>
                <w:rFonts w:hint="eastAsia" w:ascii="宋体" w:hAnsi="宋体"/>
                <w:szCs w:val="21"/>
              </w:rPr>
              <w:t>1、供应商投入本项目的所有新能源车[含</w:t>
            </w:r>
            <w:r>
              <w:rPr>
                <w:rFonts w:hint="eastAsia" w:ascii="宋体" w:hAnsi="宋体"/>
                <w:szCs w:val="21"/>
              </w:rPr>
              <w:fldChar w:fldCharType="begin"/>
            </w:r>
            <w:r>
              <w:rPr>
                <w:rFonts w:hint="eastAsia" w:ascii="宋体" w:hAnsi="宋体"/>
                <w:szCs w:val="21"/>
              </w:rPr>
              <w:instrText xml:space="preserve"> HYPERLINK "https://baike.so.com/doc/5888906-6101791.html" \t "https://baike.so.com/doc/_blank" </w:instrText>
            </w:r>
            <w:r>
              <w:rPr>
                <w:rFonts w:hint="eastAsia" w:ascii="宋体" w:hAnsi="宋体"/>
                <w:szCs w:val="21"/>
              </w:rPr>
              <w:fldChar w:fldCharType="separate"/>
            </w:r>
            <w:r>
              <w:rPr>
                <w:rFonts w:ascii="宋体" w:hAnsi="宋体"/>
                <w:szCs w:val="21"/>
              </w:rPr>
              <w:t>混合动力电动汽车</w:t>
            </w:r>
            <w:r>
              <w:rPr>
                <w:rFonts w:ascii="宋体" w:hAnsi="宋体"/>
                <w:szCs w:val="21"/>
              </w:rPr>
              <w:fldChar w:fldCharType="end"/>
            </w:r>
            <w:r>
              <w:rPr>
                <w:rFonts w:ascii="宋体" w:hAnsi="宋体"/>
                <w:szCs w:val="21"/>
              </w:rPr>
              <w:t>(HEV)、</w:t>
            </w:r>
            <w:r>
              <w:rPr>
                <w:rFonts w:ascii="宋体" w:hAnsi="宋体"/>
                <w:szCs w:val="21"/>
              </w:rPr>
              <w:fldChar w:fldCharType="begin"/>
            </w:r>
            <w:r>
              <w:rPr>
                <w:rFonts w:ascii="宋体" w:hAnsi="宋体"/>
                <w:szCs w:val="21"/>
              </w:rPr>
              <w:instrText xml:space="preserve"> HYPERLINK "https://baike.so.com/doc/5388070-5624633.html" \t "https://baike.so.com/doc/_blank" </w:instrText>
            </w:r>
            <w:r>
              <w:rPr>
                <w:rFonts w:ascii="宋体" w:hAnsi="宋体"/>
                <w:szCs w:val="21"/>
              </w:rPr>
              <w:fldChar w:fldCharType="separate"/>
            </w:r>
            <w:r>
              <w:rPr>
                <w:rFonts w:ascii="宋体" w:hAnsi="宋体"/>
                <w:szCs w:val="21"/>
              </w:rPr>
              <w:t>纯电动汽车</w:t>
            </w:r>
            <w:r>
              <w:rPr>
                <w:rFonts w:ascii="宋体" w:hAnsi="宋体"/>
                <w:szCs w:val="21"/>
              </w:rPr>
              <w:fldChar w:fldCharType="end"/>
            </w:r>
            <w:r>
              <w:rPr>
                <w:rFonts w:ascii="宋体" w:hAnsi="宋体"/>
                <w:szCs w:val="21"/>
              </w:rPr>
              <w:t>(BEV，包括</w:t>
            </w:r>
            <w:r>
              <w:rPr>
                <w:rFonts w:ascii="宋体" w:hAnsi="宋体"/>
                <w:szCs w:val="21"/>
              </w:rPr>
              <w:fldChar w:fldCharType="begin"/>
            </w:r>
            <w:r>
              <w:rPr>
                <w:rFonts w:ascii="宋体" w:hAnsi="宋体"/>
                <w:szCs w:val="21"/>
              </w:rPr>
              <w:instrText xml:space="preserve"> HYPERLINK "https://baike.so.com/doc/4911526-5130144.html" \t "https://baike.so.com/doc/_blank" </w:instrText>
            </w:r>
            <w:r>
              <w:rPr>
                <w:rFonts w:ascii="宋体" w:hAnsi="宋体"/>
                <w:szCs w:val="21"/>
              </w:rPr>
              <w:fldChar w:fldCharType="separate"/>
            </w:r>
            <w:r>
              <w:rPr>
                <w:rFonts w:ascii="宋体" w:hAnsi="宋体"/>
                <w:szCs w:val="21"/>
              </w:rPr>
              <w:t>太阳能汽车</w:t>
            </w:r>
            <w:r>
              <w:rPr>
                <w:rFonts w:ascii="宋体" w:hAnsi="宋体"/>
                <w:szCs w:val="21"/>
              </w:rPr>
              <w:fldChar w:fldCharType="end"/>
            </w:r>
            <w:r>
              <w:rPr>
                <w:rFonts w:ascii="宋体" w:hAnsi="宋体"/>
                <w:szCs w:val="21"/>
              </w:rPr>
              <w:t>)、</w:t>
            </w:r>
            <w:r>
              <w:rPr>
                <w:rFonts w:ascii="宋体" w:hAnsi="宋体"/>
                <w:szCs w:val="21"/>
              </w:rPr>
              <w:fldChar w:fldCharType="begin"/>
            </w:r>
            <w:r>
              <w:rPr>
                <w:rFonts w:ascii="宋体" w:hAnsi="宋体"/>
                <w:szCs w:val="21"/>
              </w:rPr>
              <w:instrText xml:space="preserve"> HYPERLINK "https://baike.so.com/doc/3720409-3909313.html" \t "https://baike.so.com/doc/_blank" </w:instrText>
            </w:r>
            <w:r>
              <w:rPr>
                <w:rFonts w:ascii="宋体" w:hAnsi="宋体"/>
                <w:szCs w:val="21"/>
              </w:rPr>
              <w:fldChar w:fldCharType="separate"/>
            </w:r>
            <w:r>
              <w:rPr>
                <w:rFonts w:ascii="宋体" w:hAnsi="宋体"/>
                <w:szCs w:val="21"/>
              </w:rPr>
              <w:t>燃料电池电动汽车</w:t>
            </w:r>
            <w:r>
              <w:rPr>
                <w:rFonts w:ascii="宋体" w:hAnsi="宋体"/>
                <w:szCs w:val="21"/>
              </w:rPr>
              <w:fldChar w:fldCharType="end"/>
            </w:r>
            <w:r>
              <w:rPr>
                <w:rFonts w:ascii="宋体" w:hAnsi="宋体"/>
                <w:szCs w:val="21"/>
              </w:rPr>
              <w:t>(FCEV)、其他新能源(如超级电容器、飞轮等高效储能器</w:t>
            </w:r>
            <w:r>
              <w:rPr>
                <w:rFonts w:hint="eastAsia" w:ascii="宋体" w:hAnsi="宋体"/>
                <w:szCs w:val="21"/>
              </w:rPr>
              <w:t>、清洁能源等</w:t>
            </w:r>
            <w:r>
              <w:rPr>
                <w:rFonts w:ascii="宋体" w:hAnsi="宋体"/>
                <w:szCs w:val="21"/>
              </w:rPr>
              <w:t>)汽车</w:t>
            </w:r>
            <w:r>
              <w:rPr>
                <w:rFonts w:hint="eastAsia" w:ascii="宋体" w:hAnsi="宋体"/>
                <w:szCs w:val="21"/>
              </w:rPr>
              <w:t>等]进行打分，其中车辆持有形式包括自有已上牌</w:t>
            </w:r>
            <w:r>
              <w:rPr>
                <w:rFonts w:hint="eastAsia" w:ascii="宋体" w:hAnsi="宋体" w:cs="宋体"/>
              </w:rPr>
              <w:t>(指投标供应商自行购置，包括分公司或全资子公司购置)</w:t>
            </w:r>
            <w:r>
              <w:rPr>
                <w:rFonts w:hint="eastAsia" w:ascii="宋体" w:hAnsi="宋体"/>
                <w:szCs w:val="21"/>
              </w:rPr>
              <w:t>和其他方式（包括现已租赁车辆、承诺中标后购买和承诺中标后租赁），</w:t>
            </w:r>
            <w:r>
              <w:rPr>
                <w:rFonts w:hint="eastAsia" w:ascii="宋体" w:hAnsi="宋体"/>
                <w:b/>
                <w:bCs/>
                <w:szCs w:val="21"/>
              </w:rPr>
              <w:t>本小项最高得2分：</w:t>
            </w:r>
            <w:r>
              <w:rPr>
                <w:rFonts w:hint="eastAsia" w:ascii="宋体" w:hAnsi="宋体" w:cs="Arial Unicode MS"/>
                <w:b/>
                <w:bCs/>
                <w:snapToGrid w:val="0"/>
                <w:szCs w:val="21"/>
              </w:rPr>
              <w:t>（客观分）</w:t>
            </w:r>
          </w:p>
          <w:p>
            <w:pPr>
              <w:spacing w:line="240" w:lineRule="exact"/>
              <w:rPr>
                <w:rFonts w:hint="eastAsia" w:ascii="宋体" w:hAnsi="宋体"/>
                <w:szCs w:val="21"/>
              </w:rPr>
            </w:pPr>
            <w:r>
              <w:rPr>
                <w:rFonts w:ascii="宋体" w:hAnsi="宋体" w:cs="Calibri"/>
                <w:szCs w:val="21"/>
              </w:rPr>
              <w:t>①</w:t>
            </w:r>
            <w:r>
              <w:rPr>
                <w:rFonts w:hint="eastAsia" w:ascii="宋体" w:hAnsi="宋体"/>
                <w:szCs w:val="21"/>
              </w:rPr>
              <w:t>每具有1辆自有已上牌重型新能源车加2分，最高2分；如为其他方式的加1.0分，最高1分；</w:t>
            </w:r>
          </w:p>
          <w:p>
            <w:pPr>
              <w:spacing w:line="240" w:lineRule="exact"/>
              <w:rPr>
                <w:rFonts w:hint="eastAsia" w:ascii="宋体" w:hAnsi="宋体"/>
                <w:szCs w:val="21"/>
              </w:rPr>
            </w:pPr>
            <w:r>
              <w:rPr>
                <w:rFonts w:ascii="宋体" w:hAnsi="宋体" w:cs="Calibri"/>
                <w:szCs w:val="21"/>
              </w:rPr>
              <w:t>②</w:t>
            </w:r>
            <w:r>
              <w:rPr>
                <w:rFonts w:hint="eastAsia" w:ascii="宋体" w:hAnsi="宋体"/>
                <w:szCs w:val="21"/>
              </w:rPr>
              <w:t>每具有1辆自有已上牌中型新能源车加1分，最高2分；如为其他方式的加0.5分，最高1分；</w:t>
            </w:r>
          </w:p>
          <w:p>
            <w:pPr>
              <w:spacing w:line="300" w:lineRule="exact"/>
              <w:rPr>
                <w:rFonts w:hint="eastAsia" w:ascii="宋体" w:hAnsi="宋体"/>
                <w:szCs w:val="21"/>
              </w:rPr>
            </w:pPr>
            <w:r>
              <w:rPr>
                <w:rFonts w:ascii="宋体" w:hAnsi="宋体" w:cs="Calibri"/>
                <w:szCs w:val="21"/>
              </w:rPr>
              <w:t>③</w:t>
            </w:r>
            <w:r>
              <w:rPr>
                <w:rFonts w:hint="eastAsia" w:ascii="宋体" w:hAnsi="宋体"/>
                <w:szCs w:val="21"/>
              </w:rPr>
              <w:t>每具有1辆自有已上牌轻型新能源车加0.5分，最高2分；如为其他方式的加0.25分，最高1分。</w:t>
            </w:r>
          </w:p>
          <w:p>
            <w:pPr>
              <w:spacing w:line="300" w:lineRule="exact"/>
              <w:rPr>
                <w:rFonts w:hint="eastAsia" w:ascii="宋体" w:hAnsi="宋体"/>
                <w:bCs/>
                <w:szCs w:val="21"/>
              </w:rPr>
            </w:pPr>
            <w:r>
              <w:rPr>
                <w:rFonts w:hint="eastAsia" w:ascii="宋体" w:hAnsi="宋体" w:cs="宋体"/>
                <w:bCs/>
                <w:szCs w:val="21"/>
              </w:rPr>
              <w:t>以上</w:t>
            </w:r>
            <w:r>
              <w:rPr>
                <w:rFonts w:hint="eastAsia" w:ascii="宋体" w:hAnsi="宋体"/>
                <w:bCs/>
                <w:szCs w:val="21"/>
              </w:rPr>
              <w:t>车辆持有形式须分别对应提交如下证明材料：</w:t>
            </w:r>
          </w:p>
          <w:p>
            <w:pPr>
              <w:spacing w:line="240" w:lineRule="exact"/>
              <w:rPr>
                <w:rFonts w:hint="eastAsia" w:ascii="宋体" w:hAnsi="宋体"/>
                <w:bCs/>
                <w:szCs w:val="21"/>
              </w:rPr>
            </w:pPr>
            <w:r>
              <w:rPr>
                <w:rFonts w:hint="eastAsia" w:ascii="宋体" w:hAnsi="宋体"/>
                <w:bCs/>
                <w:szCs w:val="21"/>
              </w:rPr>
              <w:t>A、自有已上牌车辆：以提供公安部门颁发的行驶证（行驶证带车辆照片）扫描件、车辆全身彩色照片（注明车辆种类）为准；自有已上牌车辆必须为2017年1月1日以来首次上牌车辆；</w:t>
            </w:r>
          </w:p>
          <w:p>
            <w:pPr>
              <w:spacing w:line="240" w:lineRule="exact"/>
              <w:rPr>
                <w:rFonts w:hint="eastAsia" w:ascii="宋体" w:hAnsi="宋体"/>
                <w:bCs/>
                <w:szCs w:val="21"/>
              </w:rPr>
            </w:pPr>
            <w:r>
              <w:rPr>
                <w:rFonts w:hint="eastAsia" w:ascii="宋体" w:hAnsi="宋体"/>
                <w:bCs/>
                <w:szCs w:val="21"/>
              </w:rPr>
              <w:t>B、现已租赁车辆：以提供公安部门颁发的行驶证（行驶证带车辆照片）扫描件、车辆全身彩色照片（注明车辆种类）及对应车辆租赁合同（租赁期覆盖本项目服务期）为准；现已租赁车辆必须为2019年1月1日以来首次上牌车辆；</w:t>
            </w:r>
          </w:p>
          <w:p>
            <w:pPr>
              <w:spacing w:line="300" w:lineRule="exact"/>
              <w:rPr>
                <w:rFonts w:hint="eastAsia" w:ascii="宋体" w:hAnsi="宋体"/>
                <w:bCs/>
                <w:szCs w:val="21"/>
              </w:rPr>
            </w:pPr>
            <w:r>
              <w:rPr>
                <w:rFonts w:hint="eastAsia" w:ascii="宋体" w:hAnsi="宋体"/>
                <w:bCs/>
                <w:szCs w:val="21"/>
              </w:rPr>
              <w:t>C、承诺中标后购买或租赁的车辆：</w:t>
            </w:r>
          </w:p>
          <w:p>
            <w:pPr>
              <w:spacing w:line="300" w:lineRule="exact"/>
              <w:rPr>
                <w:rFonts w:hint="eastAsia" w:ascii="宋体" w:hAnsi="宋体"/>
                <w:bCs/>
                <w:szCs w:val="21"/>
              </w:rPr>
            </w:pPr>
            <w:r>
              <w:rPr>
                <w:rFonts w:hint="eastAsia" w:ascii="宋体" w:hAnsi="宋体"/>
                <w:bCs/>
                <w:szCs w:val="21"/>
              </w:rPr>
              <w:t>在投标文件中须提供购买或租赁承诺书（承诺中标后购买及租赁车辆必须为2019年1月1日以来首次上牌车辆）及车辆全身彩色照片（注明车辆种类）为准。</w:t>
            </w:r>
          </w:p>
          <w:p>
            <w:pPr>
              <w:rPr>
                <w:rFonts w:hint="eastAsia" w:ascii="宋体" w:hAnsi="宋体"/>
                <w:szCs w:val="21"/>
              </w:rPr>
            </w:pPr>
            <w:r>
              <w:rPr>
                <w:rFonts w:hint="eastAsia" w:ascii="宋体" w:hAnsi="宋体"/>
                <w:bCs/>
                <w:szCs w:val="21"/>
              </w:rPr>
              <w:t>供应商投标资料提供不全导致无法得分的，责任自负。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280" w:hRule="atLeast"/>
          <w:jc w:val="center"/>
        </w:trPr>
        <w:tc>
          <w:tcPr>
            <w:tcW w:w="230" w:type="pct"/>
            <w:vMerge w:val="continue"/>
            <w:noWrap w:val="0"/>
            <w:vAlign w:val="center"/>
          </w:tcPr>
          <w:p>
            <w:pPr>
              <w:numPr>
                <w:ilvl w:val="0"/>
                <w:numId w:val="28"/>
              </w:numPr>
              <w:rPr>
                <w:rFonts w:hint="eastAsia" w:ascii="宋体" w:hAnsi="宋体"/>
                <w:szCs w:val="21"/>
              </w:rPr>
            </w:pPr>
          </w:p>
        </w:tc>
        <w:tc>
          <w:tcPr>
            <w:tcW w:w="730" w:type="pct"/>
            <w:vMerge w:val="continue"/>
            <w:noWrap w:val="0"/>
            <w:vAlign w:val="center"/>
          </w:tcPr>
          <w:p>
            <w:pPr>
              <w:jc w:val="center"/>
              <w:rPr>
                <w:rFonts w:hint="eastAsia" w:ascii="宋体" w:hAnsi="宋体"/>
                <w:szCs w:val="21"/>
              </w:rPr>
            </w:pP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3</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snapToGrid w:val="0"/>
              <w:rPr>
                <w:rFonts w:hint="eastAsia" w:ascii="宋体" w:hAnsi="宋体"/>
                <w:szCs w:val="21"/>
                <w:lang w:val="zh-CN"/>
              </w:rPr>
            </w:pPr>
            <w:r>
              <w:rPr>
                <w:rFonts w:ascii="宋体" w:hAnsi="宋体"/>
                <w:kern w:val="28"/>
                <w:szCs w:val="21"/>
              </w:rPr>
              <w:t>8.2</w:t>
            </w:r>
            <w:r>
              <w:rPr>
                <w:rFonts w:hint="eastAsia" w:ascii="宋体" w:hAnsi="宋体"/>
                <w:kern w:val="28"/>
                <w:szCs w:val="21"/>
              </w:rPr>
              <w:t>、</w:t>
            </w:r>
            <w:r>
              <w:rPr>
                <w:rFonts w:hint="eastAsia" w:ascii="宋体" w:hAnsi="宋体" w:cs="Arial"/>
                <w:szCs w:val="21"/>
              </w:rPr>
              <w:t>根据供应商投标文件中投入的重型、中型、轻型车辆性能、参数等情况</w:t>
            </w:r>
            <w:r>
              <w:rPr>
                <w:rFonts w:hint="eastAsia" w:ascii="宋体" w:hAnsi="宋体"/>
                <w:szCs w:val="21"/>
                <w:lang w:val="zh-CN"/>
              </w:rPr>
              <w:t>由专家评审。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915" w:hRule="atLeast"/>
          <w:jc w:val="center"/>
        </w:trPr>
        <w:tc>
          <w:tcPr>
            <w:tcW w:w="230" w:type="pct"/>
            <w:tcBorders>
              <w:top w:val="single" w:color="auto" w:sz="4" w:space="0"/>
              <w:bottom w:val="single" w:color="auto" w:sz="4" w:space="0"/>
            </w:tcBorders>
            <w:noWrap w:val="0"/>
            <w:vAlign w:val="center"/>
          </w:tcPr>
          <w:p>
            <w:pPr>
              <w:numPr>
                <w:ilvl w:val="0"/>
                <w:numId w:val="28"/>
              </w:numPr>
              <w:rPr>
                <w:rFonts w:hint="eastAsia" w:ascii="宋体" w:hAnsi="宋体"/>
                <w:szCs w:val="21"/>
              </w:rPr>
            </w:pPr>
          </w:p>
        </w:tc>
        <w:tc>
          <w:tcPr>
            <w:tcW w:w="730" w:type="pct"/>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投入本项目小型车辆及其他配套设施综合评价</w:t>
            </w: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ascii="宋体" w:hAnsi="宋体"/>
                <w:szCs w:val="21"/>
              </w:rPr>
              <w:t>0</w:t>
            </w:r>
            <w:r>
              <w:rPr>
                <w:rFonts w:hint="eastAsia" w:ascii="宋体" w:hAnsi="宋体"/>
                <w:szCs w:val="21"/>
              </w:rPr>
              <w:t>-2分</w:t>
            </w:r>
          </w:p>
        </w:tc>
        <w:tc>
          <w:tcPr>
            <w:tcW w:w="3562" w:type="pct"/>
            <w:tcBorders>
              <w:top w:val="single" w:color="auto" w:sz="4" w:space="0"/>
              <w:bottom w:val="single" w:color="auto" w:sz="4" w:space="0"/>
            </w:tcBorders>
            <w:noWrap w:val="0"/>
            <w:vAlign w:val="center"/>
          </w:tcPr>
          <w:p>
            <w:pPr>
              <w:rPr>
                <w:rFonts w:hint="eastAsia" w:ascii="宋体" w:hAnsi="宋体"/>
                <w:szCs w:val="21"/>
              </w:rPr>
            </w:pPr>
            <w:r>
              <w:rPr>
                <w:rFonts w:hint="eastAsia" w:ascii="宋体" w:hAnsi="宋体" w:cs="宋体"/>
                <w:szCs w:val="21"/>
              </w:rPr>
              <w:t>小型冲洗车、小型高温高压冲洗车（油污清洗车）、小型多功能清扫车、垃圾分类上门收集车（四分类）、有害垃圾运输车、垃圾桶自装卸式垃圾运输车、人员清扫保洁车（密闭式）（提供产品彩色图片、产地、功能说明）</w:t>
            </w:r>
            <w:r>
              <w:rPr>
                <w:rFonts w:hint="eastAsia" w:ascii="宋体" w:hAnsi="宋体"/>
                <w:szCs w:val="21"/>
                <w:lang w:val="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915" w:hRule="atLeast"/>
          <w:jc w:val="center"/>
        </w:trPr>
        <w:tc>
          <w:tcPr>
            <w:tcW w:w="230" w:type="pct"/>
            <w:tcBorders>
              <w:top w:val="single" w:color="auto" w:sz="4" w:space="0"/>
              <w:bottom w:val="single" w:color="auto" w:sz="4" w:space="0"/>
            </w:tcBorders>
            <w:noWrap w:val="0"/>
            <w:vAlign w:val="center"/>
          </w:tcPr>
          <w:p>
            <w:pPr>
              <w:numPr>
                <w:ilvl w:val="0"/>
                <w:numId w:val="28"/>
              </w:numPr>
              <w:rPr>
                <w:rFonts w:hint="eastAsia" w:ascii="宋体" w:hAnsi="宋体"/>
                <w:szCs w:val="21"/>
              </w:rPr>
            </w:pPr>
          </w:p>
        </w:tc>
        <w:tc>
          <w:tcPr>
            <w:tcW w:w="730" w:type="pct"/>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业绩情况</w:t>
            </w:r>
            <w:r>
              <w:rPr>
                <w:rFonts w:hint="eastAsia" w:ascii="宋体" w:hAnsi="宋体" w:cs="Arial Unicode MS"/>
                <w:b/>
                <w:bCs/>
                <w:snapToGrid w:val="0"/>
                <w:szCs w:val="21"/>
              </w:rPr>
              <w:t>（客观分）</w:t>
            </w:r>
          </w:p>
        </w:tc>
        <w:tc>
          <w:tcPr>
            <w:tcW w:w="478" w:type="pct"/>
            <w:gridSpan w:val="2"/>
            <w:tcBorders>
              <w:top w:val="single" w:color="auto" w:sz="4" w:space="0"/>
              <w:bottom w:val="single" w:color="auto" w:sz="4" w:space="0"/>
            </w:tcBorders>
            <w:noWrap w:val="0"/>
            <w:vAlign w:val="center"/>
          </w:tcPr>
          <w:p>
            <w:pPr>
              <w:jc w:val="center"/>
              <w:rPr>
                <w:rFonts w:hint="eastAsia" w:ascii="宋体" w:hAnsi="宋体"/>
                <w:szCs w:val="21"/>
              </w:rPr>
            </w:pPr>
            <w:r>
              <w:rPr>
                <w:rFonts w:hint="eastAsia" w:ascii="宋体" w:hAnsi="宋体"/>
                <w:szCs w:val="21"/>
              </w:rPr>
              <w:t>0-</w:t>
            </w:r>
            <w:r>
              <w:rPr>
                <w:rFonts w:ascii="宋体" w:hAnsi="宋体"/>
                <w:szCs w:val="21"/>
              </w:rPr>
              <w:t>4</w:t>
            </w:r>
            <w:r>
              <w:rPr>
                <w:rFonts w:hint="eastAsia" w:ascii="宋体" w:hAnsi="宋体"/>
                <w:szCs w:val="21"/>
              </w:rPr>
              <w:t>分</w:t>
            </w:r>
          </w:p>
        </w:tc>
        <w:tc>
          <w:tcPr>
            <w:tcW w:w="3562" w:type="pct"/>
            <w:tcBorders>
              <w:top w:val="single" w:color="auto" w:sz="4" w:space="0"/>
              <w:bottom w:val="single" w:color="auto" w:sz="4" w:space="0"/>
            </w:tcBorders>
            <w:noWrap w:val="0"/>
            <w:vAlign w:val="center"/>
          </w:tcPr>
          <w:p>
            <w:pPr>
              <w:rPr>
                <w:rFonts w:hint="eastAsia" w:ascii="宋体" w:hAnsi="宋体"/>
                <w:szCs w:val="21"/>
              </w:rPr>
            </w:pPr>
            <w:r>
              <w:rPr>
                <w:rFonts w:hint="eastAsia" w:ascii="宋体" w:hAnsi="宋体"/>
                <w:szCs w:val="21"/>
              </w:rPr>
              <w:t>根据供应商2017年1月1日（以合同签订时间为准）以来乡镇、街道及以上的公共道路保洁服务业绩（不包括高速公路、小区和单位内部保洁，也不包含物业服务项目）情况，每个得1分；最多得</w:t>
            </w:r>
            <w:r>
              <w:rPr>
                <w:rFonts w:ascii="宋体" w:hAnsi="宋体"/>
                <w:szCs w:val="21"/>
              </w:rPr>
              <w:t>4</w:t>
            </w:r>
            <w:r>
              <w:rPr>
                <w:rFonts w:hint="eastAsia" w:ascii="宋体" w:hAnsi="宋体"/>
                <w:szCs w:val="21"/>
              </w:rPr>
              <w:t>分。需提供成交通知书和合同扫描件加盖公章，或者提供合同和合同期内任一期发票扫描件加盖公章。</w:t>
            </w:r>
          </w:p>
        </w:tc>
      </w:tr>
    </w:tbl>
    <w:p>
      <w:pPr>
        <w:spacing w:line="420" w:lineRule="exact"/>
        <w:rPr>
          <w:rFonts w:ascii="宋体" w:hAnsi="宋体"/>
          <w:b/>
          <w:szCs w:val="21"/>
        </w:rPr>
      </w:pPr>
      <w:r>
        <w:rPr>
          <w:rFonts w:ascii="宋体" w:hAnsi="宋体"/>
          <w:b/>
          <w:szCs w:val="21"/>
        </w:rPr>
        <w:t>2</w:t>
      </w:r>
      <w:r>
        <w:rPr>
          <w:rFonts w:hint="eastAsia" w:ascii="宋体" w:hAnsi="宋体"/>
          <w:b/>
          <w:szCs w:val="21"/>
        </w:rPr>
        <w:t>． 报价评分标准（得分0～</w:t>
      </w:r>
      <w:r>
        <w:rPr>
          <w:rFonts w:ascii="宋体" w:hAnsi="宋体"/>
          <w:b/>
          <w:szCs w:val="21"/>
        </w:rPr>
        <w:t>20</w:t>
      </w:r>
      <w:r>
        <w:rPr>
          <w:rFonts w:hint="eastAsia" w:ascii="宋体" w:hAnsi="宋体"/>
          <w:b/>
          <w:szCs w:val="21"/>
        </w:rPr>
        <w:t>分）</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8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71" w:hRule="atLeast"/>
          <w:jc w:val="center"/>
        </w:trPr>
        <w:tc>
          <w:tcPr>
            <w:tcW w:w="534" w:type="dxa"/>
            <w:noWrap w:val="0"/>
            <w:vAlign w:val="center"/>
          </w:tcPr>
          <w:p>
            <w:pPr>
              <w:spacing w:line="360" w:lineRule="auto"/>
              <w:ind w:right="3"/>
              <w:jc w:val="center"/>
              <w:rPr>
                <w:rFonts w:ascii="宋体" w:hAnsi="宋体"/>
                <w:szCs w:val="21"/>
              </w:rPr>
            </w:pPr>
            <w:r>
              <w:rPr>
                <w:rFonts w:ascii="宋体" w:hAnsi="宋体"/>
                <w:szCs w:val="21"/>
              </w:rPr>
              <w:t>2</w:t>
            </w:r>
            <w:r>
              <w:rPr>
                <w:rFonts w:hint="eastAsia" w:ascii="宋体" w:hAnsi="宋体"/>
                <w:szCs w:val="21"/>
              </w:rPr>
              <w:t>.1</w:t>
            </w:r>
          </w:p>
        </w:tc>
        <w:tc>
          <w:tcPr>
            <w:tcW w:w="8752" w:type="dxa"/>
            <w:noWrap w:val="0"/>
            <w:vAlign w:val="center"/>
          </w:tcPr>
          <w:p>
            <w:pPr>
              <w:widowControl w:val="0"/>
              <w:snapToGrid w:val="0"/>
              <w:spacing w:before="120" w:beforeLines="50" w:line="320" w:lineRule="exact"/>
              <w:jc w:val="both"/>
              <w:rPr>
                <w:rFonts w:hint="eastAsia"/>
                <w:b/>
              </w:rPr>
            </w:pPr>
            <w:r>
              <w:rPr>
                <w:rFonts w:hint="eastAsia"/>
                <w:b/>
              </w:rPr>
              <w:t>报价的初评</w:t>
            </w:r>
          </w:p>
          <w:p>
            <w:pPr>
              <w:spacing w:line="320" w:lineRule="exact"/>
              <w:rPr>
                <w:rFonts w:ascii="宋体" w:hAnsi="宋体"/>
                <w:snapToGrid w:val="0"/>
              </w:rPr>
            </w:pPr>
            <w:r>
              <w:rPr>
                <w:rFonts w:hint="eastAsia" w:ascii="宋体" w:hAnsi="宋体"/>
                <w:snapToGrid w:val="0"/>
              </w:rPr>
              <w:t>报价文件开标后评标专家组成员对各投标单位的报价进行审查。</w:t>
            </w:r>
          </w:p>
          <w:p>
            <w:pPr>
              <w:widowControl w:val="0"/>
              <w:numPr>
                <w:ilvl w:val="0"/>
                <w:numId w:val="30"/>
              </w:numPr>
              <w:tabs>
                <w:tab w:val="left" w:pos="1134"/>
              </w:tabs>
              <w:spacing w:line="320" w:lineRule="exact"/>
              <w:ind w:left="134" w:firstLine="575"/>
              <w:jc w:val="both"/>
              <w:rPr>
                <w:rFonts w:ascii="宋体" w:hAnsi="宋体"/>
                <w:snapToGrid w:val="0"/>
              </w:rPr>
            </w:pPr>
            <w:r>
              <w:rPr>
                <w:rFonts w:hint="eastAsia" w:ascii="宋体" w:hAnsi="宋体"/>
                <w:snapToGrid w:val="0"/>
              </w:rPr>
              <w:t>报价书中有无差错</w:t>
            </w:r>
            <w:r>
              <w:rPr>
                <w:rFonts w:ascii="宋体" w:hAnsi="宋体"/>
                <w:snapToGrid w:val="0"/>
              </w:rPr>
              <w:t>(遗漏或多计)或存在严重不平衡报价</w:t>
            </w:r>
            <w:r>
              <w:rPr>
                <w:rFonts w:hint="eastAsia" w:ascii="宋体" w:hAnsi="宋体"/>
                <w:snapToGrid w:val="0"/>
              </w:rPr>
              <w:t>；</w:t>
            </w:r>
          </w:p>
          <w:p>
            <w:pPr>
              <w:widowControl w:val="0"/>
              <w:numPr>
                <w:ilvl w:val="0"/>
                <w:numId w:val="30"/>
              </w:numPr>
              <w:tabs>
                <w:tab w:val="left" w:pos="1134"/>
              </w:tabs>
              <w:spacing w:line="320" w:lineRule="exact"/>
              <w:ind w:left="134" w:firstLine="575"/>
              <w:rPr>
                <w:rFonts w:ascii="宋体" w:hAnsi="宋体"/>
                <w:snapToGrid w:val="0"/>
              </w:rPr>
            </w:pPr>
            <w:r>
              <w:rPr>
                <w:rFonts w:ascii="宋体" w:hAnsi="宋体"/>
                <w:snapToGrid w:val="0"/>
              </w:rPr>
              <w:t>付款方式和进度是否响应招标要求</w:t>
            </w:r>
            <w:r>
              <w:rPr>
                <w:rFonts w:hint="eastAsia" w:ascii="宋体" w:hAnsi="宋体"/>
                <w:snapToGrid w:val="0"/>
              </w:rPr>
              <w:t>；</w:t>
            </w:r>
          </w:p>
          <w:p>
            <w:pPr>
              <w:widowControl w:val="0"/>
              <w:numPr>
                <w:ilvl w:val="0"/>
                <w:numId w:val="30"/>
              </w:numPr>
              <w:tabs>
                <w:tab w:val="left" w:pos="1134"/>
              </w:tabs>
              <w:spacing w:line="320" w:lineRule="exact"/>
              <w:ind w:left="134" w:firstLine="575"/>
              <w:rPr>
                <w:rFonts w:ascii="宋体" w:hAnsi="宋体"/>
                <w:snapToGrid w:val="0"/>
              </w:rPr>
            </w:pPr>
            <w:r>
              <w:rPr>
                <w:rFonts w:ascii="宋体" w:hAnsi="宋体"/>
                <w:snapToGrid w:val="0"/>
              </w:rPr>
              <w:t>是否提出与招标文件中的合同条款相悖的要求</w:t>
            </w:r>
            <w:r>
              <w:rPr>
                <w:rFonts w:hint="eastAsia" w:ascii="宋体" w:hAnsi="宋体"/>
                <w:snapToGrid w:val="0"/>
              </w:rPr>
              <w:t>，</w:t>
            </w:r>
            <w:r>
              <w:rPr>
                <w:rFonts w:ascii="宋体" w:hAnsi="宋体"/>
                <w:snapToGrid w:val="0"/>
              </w:rPr>
              <w:t>如</w:t>
            </w:r>
            <w:r>
              <w:rPr>
                <w:rFonts w:hint="eastAsia" w:ascii="宋体" w:hAnsi="宋体"/>
                <w:snapToGrid w:val="0"/>
              </w:rPr>
              <w:t>：</w:t>
            </w:r>
            <w:r>
              <w:rPr>
                <w:rFonts w:ascii="宋体" w:hAnsi="宋体"/>
                <w:snapToGrid w:val="0"/>
              </w:rPr>
              <w:t>重新划分风险，增加</w:t>
            </w:r>
            <w:r>
              <w:rPr>
                <w:rFonts w:hint="eastAsia" w:ascii="宋体" w:hAnsi="宋体"/>
                <w:bCs/>
                <w:szCs w:val="21"/>
              </w:rPr>
              <w:t>采购人</w:t>
            </w:r>
            <w:r>
              <w:rPr>
                <w:rFonts w:ascii="宋体" w:hAnsi="宋体"/>
                <w:snapToGrid w:val="0"/>
              </w:rPr>
              <w:t>责任范围，减少投标供应商义务，或提出不同的验收和计量办法不同的纠纷和质量事故处理办法，或对合同条款有重要保留等</w:t>
            </w:r>
            <w:r>
              <w:rPr>
                <w:rFonts w:hint="eastAsia" w:ascii="宋体" w:hAnsi="宋体"/>
                <w:snapToGrid w:val="0"/>
              </w:rPr>
              <w:t>；服务、质量目标是否满足招标文件的要求。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71" w:hRule="atLeast"/>
          <w:jc w:val="center"/>
        </w:trPr>
        <w:tc>
          <w:tcPr>
            <w:tcW w:w="534" w:type="dxa"/>
            <w:noWrap w:val="0"/>
            <w:vAlign w:val="center"/>
          </w:tcPr>
          <w:p>
            <w:pPr>
              <w:spacing w:line="360" w:lineRule="auto"/>
              <w:ind w:right="3"/>
              <w:jc w:val="center"/>
              <w:rPr>
                <w:rFonts w:ascii="宋体" w:hAnsi="宋体"/>
                <w:szCs w:val="21"/>
              </w:rPr>
            </w:pPr>
            <w:r>
              <w:rPr>
                <w:rFonts w:ascii="宋体" w:hAnsi="宋体"/>
                <w:szCs w:val="21"/>
              </w:rPr>
              <w:t>2</w:t>
            </w:r>
            <w:r>
              <w:rPr>
                <w:rFonts w:hint="eastAsia" w:ascii="宋体" w:hAnsi="宋体"/>
                <w:szCs w:val="21"/>
              </w:rPr>
              <w:t>.2</w:t>
            </w:r>
          </w:p>
        </w:tc>
        <w:tc>
          <w:tcPr>
            <w:tcW w:w="8752" w:type="dxa"/>
            <w:noWrap w:val="0"/>
            <w:vAlign w:val="center"/>
          </w:tcPr>
          <w:p>
            <w:pPr>
              <w:widowControl w:val="0"/>
              <w:snapToGrid w:val="0"/>
              <w:spacing w:before="120" w:beforeLines="50" w:line="320" w:lineRule="exact"/>
              <w:jc w:val="both"/>
              <w:rPr>
                <w:b/>
              </w:rPr>
            </w:pPr>
            <w:r>
              <w:rPr>
                <w:rFonts w:hint="eastAsia"/>
                <w:b/>
              </w:rPr>
              <w:t>评标价的确定：</w:t>
            </w:r>
          </w:p>
          <w:p>
            <w:pPr>
              <w:spacing w:line="320" w:lineRule="exact"/>
              <w:rPr>
                <w:rFonts w:ascii="宋体" w:hAnsi="宋体"/>
                <w:snapToGrid w:val="0"/>
              </w:rPr>
            </w:pPr>
            <w:r>
              <w:rPr>
                <w:rFonts w:hint="eastAsia" w:ascii="宋体" w:hAnsi="宋体"/>
                <w:snapToGrid w:val="0"/>
              </w:rPr>
              <w:t>初审时发现价格计算有误，将按下述原则修正：</w:t>
            </w:r>
          </w:p>
          <w:p>
            <w:pPr>
              <w:widowControl w:val="0"/>
              <w:numPr>
                <w:ilvl w:val="0"/>
                <w:numId w:val="31"/>
              </w:numPr>
              <w:tabs>
                <w:tab w:val="left" w:pos="1134"/>
              </w:tabs>
              <w:snapToGrid w:val="0"/>
              <w:spacing w:line="360" w:lineRule="exact"/>
              <w:ind w:firstLine="274"/>
              <w:jc w:val="both"/>
              <w:rPr>
                <w:rFonts w:ascii="Arial" w:hAnsi="Arial"/>
              </w:rPr>
            </w:pPr>
            <w:r>
              <w:rPr>
                <w:rFonts w:hint="eastAsia" w:ascii="Arial" w:hAnsi="Arial"/>
              </w:rPr>
              <w:t>投标供应商在线制作投标文件时《开标一览表》中填写的金额与解密后“电子加密投标文件”中《开标一览表》填写的金额不一致的，以解密后“电子加密投标文件”中《开标一览表》填写的金额为准，投标供应商拒绝接受此调整的，按无效投标处理。</w:t>
            </w:r>
          </w:p>
          <w:p>
            <w:pPr>
              <w:widowControl w:val="0"/>
              <w:numPr>
                <w:ilvl w:val="0"/>
                <w:numId w:val="31"/>
              </w:numPr>
              <w:tabs>
                <w:tab w:val="left" w:pos="1134"/>
              </w:tabs>
              <w:snapToGrid w:val="0"/>
              <w:spacing w:line="360" w:lineRule="exact"/>
              <w:ind w:firstLine="274"/>
              <w:jc w:val="both"/>
              <w:rPr>
                <w:rFonts w:ascii="Arial" w:hAnsi="Arial"/>
              </w:rPr>
            </w:pPr>
            <w:r>
              <w:rPr>
                <w:rFonts w:hint="eastAsia" w:ascii="Arial" w:hAnsi="Arial"/>
              </w:rPr>
              <w:t>开标时：</w:t>
            </w:r>
          </w:p>
          <w:p>
            <w:pPr>
              <w:widowControl w:val="0"/>
              <w:tabs>
                <w:tab w:val="left" w:pos="435"/>
                <w:tab w:val="left" w:pos="1134"/>
              </w:tabs>
              <w:snapToGrid w:val="0"/>
              <w:spacing w:line="360" w:lineRule="exact"/>
              <w:ind w:left="709"/>
              <w:jc w:val="both"/>
              <w:rPr>
                <w:rFonts w:hint="eastAsia" w:ascii="Arial" w:hAnsi="Arial"/>
              </w:rPr>
            </w:pPr>
            <w:r>
              <w:rPr>
                <w:rFonts w:hint="eastAsia" w:ascii="Arial" w:hAnsi="Arial"/>
              </w:rPr>
              <w:t>（一）投标文件中开标一览表内容与投标文件中相应内容不一致的，以开标一览表为准；</w:t>
            </w:r>
          </w:p>
          <w:p>
            <w:pPr>
              <w:widowControl w:val="0"/>
              <w:tabs>
                <w:tab w:val="left" w:pos="435"/>
                <w:tab w:val="left" w:pos="1134"/>
              </w:tabs>
              <w:snapToGrid w:val="0"/>
              <w:spacing w:line="360" w:lineRule="exact"/>
              <w:ind w:left="709"/>
              <w:jc w:val="both"/>
              <w:rPr>
                <w:rFonts w:hint="eastAsia" w:ascii="Arial" w:hAnsi="Arial"/>
              </w:rPr>
            </w:pPr>
            <w:r>
              <w:rPr>
                <w:rFonts w:hint="eastAsia" w:ascii="Arial" w:hAnsi="Arial"/>
              </w:rPr>
              <w:t>（二）大写金额和小写金额不一致的，以大写金额为准；</w:t>
            </w:r>
          </w:p>
          <w:p>
            <w:pPr>
              <w:widowControl w:val="0"/>
              <w:tabs>
                <w:tab w:val="left" w:pos="435"/>
                <w:tab w:val="left" w:pos="1134"/>
              </w:tabs>
              <w:snapToGrid w:val="0"/>
              <w:spacing w:line="360" w:lineRule="exact"/>
              <w:ind w:left="709"/>
              <w:jc w:val="both"/>
              <w:rPr>
                <w:rFonts w:hint="eastAsia" w:ascii="Arial" w:hAnsi="Arial"/>
              </w:rPr>
            </w:pPr>
            <w:r>
              <w:rPr>
                <w:rFonts w:hint="eastAsia" w:ascii="Arial" w:hAnsi="Arial"/>
              </w:rPr>
              <w:t>（三）单价金额小数点或者百分比有明显错位的，以开标一览表的总价为准，并修改单价；</w:t>
            </w:r>
          </w:p>
          <w:p>
            <w:pPr>
              <w:widowControl w:val="0"/>
              <w:tabs>
                <w:tab w:val="left" w:pos="435"/>
                <w:tab w:val="left" w:pos="1134"/>
              </w:tabs>
              <w:snapToGrid w:val="0"/>
              <w:spacing w:line="360" w:lineRule="exact"/>
              <w:ind w:left="709"/>
              <w:jc w:val="both"/>
              <w:rPr>
                <w:rFonts w:hint="eastAsia" w:ascii="Arial" w:hAnsi="Arial"/>
              </w:rPr>
            </w:pPr>
            <w:r>
              <w:rPr>
                <w:rFonts w:hint="eastAsia" w:ascii="Arial" w:hAnsi="Arial"/>
              </w:rPr>
              <w:t>（四）总价金额与按单价汇总金额不一致的，以单价金额计算结果为准。</w:t>
            </w:r>
          </w:p>
          <w:p>
            <w:pPr>
              <w:widowControl w:val="0"/>
              <w:tabs>
                <w:tab w:val="left" w:pos="435"/>
                <w:tab w:val="left" w:pos="1134"/>
              </w:tabs>
              <w:snapToGrid w:val="0"/>
              <w:spacing w:line="360" w:lineRule="exact"/>
              <w:ind w:left="709" w:firstLine="630" w:firstLineChars="300"/>
              <w:jc w:val="both"/>
              <w:rPr>
                <w:rFonts w:hint="eastAsia" w:ascii="Arial" w:hAnsi="Arial"/>
              </w:rPr>
            </w:pPr>
            <w:r>
              <w:rPr>
                <w:rFonts w:hint="eastAsia" w:ascii="Arial" w:hAnsi="Arial"/>
              </w:rPr>
              <w:t>同时出现两种以上不一致的，按照前款规定的顺序修正。修正后的报价按照《中华人民共和国财政部令第87号--政府采购货物和服务招标投标管理办法》第五十一条第二款的规定经投标供应商确认后产生约束力，投标供应商不确认的，其投标无效。</w:t>
            </w:r>
          </w:p>
          <w:p>
            <w:pPr>
              <w:widowControl w:val="0"/>
              <w:tabs>
                <w:tab w:val="left" w:pos="435"/>
                <w:tab w:val="left" w:pos="1134"/>
              </w:tabs>
              <w:snapToGrid w:val="0"/>
              <w:spacing w:line="360" w:lineRule="exact"/>
              <w:ind w:left="709" w:firstLine="630" w:firstLineChars="300"/>
              <w:jc w:val="both"/>
              <w:rPr>
                <w:rFonts w:ascii="Arial" w:hAnsi="Arial"/>
              </w:rPr>
            </w:pPr>
            <w:r>
              <w:rPr>
                <w:rFonts w:hint="eastAsia" w:ascii="Arial" w:hAnsi="Arial"/>
              </w:rPr>
              <w:t>评审委员会将按上述修正错误的方法调整投标文件中的投标报价，调整后的报价对投标供应商具有约束力。如果投标供应商不接受修正后的价格，则其投标将被拒绝。</w:t>
            </w:r>
          </w:p>
          <w:p>
            <w:pPr>
              <w:widowControl w:val="0"/>
              <w:numPr>
                <w:ilvl w:val="0"/>
                <w:numId w:val="31"/>
              </w:numPr>
              <w:tabs>
                <w:tab w:val="left" w:pos="1134"/>
              </w:tabs>
              <w:snapToGrid w:val="0"/>
              <w:spacing w:line="360" w:lineRule="exact"/>
              <w:ind w:firstLine="274"/>
              <w:jc w:val="both"/>
              <w:rPr>
                <w:rFonts w:ascii="Arial" w:hAnsi="Arial"/>
              </w:rPr>
            </w:pPr>
            <w:r>
              <w:rPr>
                <w:rFonts w:hint="eastAsia" w:ascii="Arial" w:hAnsi="Arial"/>
              </w:rPr>
              <w:t>▲如投标供应商缺漏项价格比例达到投标报价的5%（含）以上时，属于商务重大偏离，评标委员会将对其投标按无效标处理。</w:t>
            </w:r>
          </w:p>
          <w:p>
            <w:pPr>
              <w:widowControl w:val="0"/>
              <w:numPr>
                <w:ilvl w:val="0"/>
                <w:numId w:val="31"/>
              </w:numPr>
              <w:tabs>
                <w:tab w:val="left" w:pos="1134"/>
              </w:tabs>
              <w:snapToGrid w:val="0"/>
              <w:spacing w:line="360" w:lineRule="exact"/>
              <w:ind w:firstLine="274"/>
              <w:jc w:val="both"/>
              <w:rPr>
                <w:rFonts w:ascii="Arial" w:hAnsi="Arial"/>
              </w:rPr>
            </w:pPr>
            <w:r>
              <w:rPr>
                <w:rFonts w:hint="eastAsia" w:ascii="Arial" w:hAnsi="Arial"/>
              </w:rPr>
              <w:t>如投标供应商的投标文件前后矛盾，评委会将作出不利于投标供应商的修正。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71" w:hRule="atLeast"/>
          <w:jc w:val="center"/>
        </w:trPr>
        <w:tc>
          <w:tcPr>
            <w:tcW w:w="534" w:type="dxa"/>
            <w:noWrap w:val="0"/>
            <w:vAlign w:val="center"/>
          </w:tcPr>
          <w:p>
            <w:pPr>
              <w:spacing w:line="360" w:lineRule="auto"/>
              <w:ind w:right="3"/>
              <w:jc w:val="center"/>
              <w:rPr>
                <w:rFonts w:ascii="宋体" w:hAnsi="宋体"/>
                <w:szCs w:val="21"/>
              </w:rPr>
            </w:pPr>
            <w:r>
              <w:rPr>
                <w:rFonts w:ascii="宋体" w:hAnsi="宋体"/>
                <w:szCs w:val="21"/>
              </w:rPr>
              <w:t>2</w:t>
            </w:r>
            <w:r>
              <w:rPr>
                <w:rFonts w:hint="eastAsia" w:ascii="宋体" w:hAnsi="宋体"/>
                <w:szCs w:val="21"/>
              </w:rPr>
              <w:t>.3</w:t>
            </w:r>
          </w:p>
        </w:tc>
        <w:tc>
          <w:tcPr>
            <w:tcW w:w="8752" w:type="dxa"/>
            <w:noWrap w:val="0"/>
            <w:vAlign w:val="center"/>
          </w:tcPr>
          <w:p>
            <w:pPr>
              <w:widowControl w:val="0"/>
              <w:snapToGrid w:val="0"/>
              <w:spacing w:before="120" w:beforeLines="50" w:line="320" w:lineRule="exact"/>
              <w:jc w:val="both"/>
              <w:rPr>
                <w:b/>
              </w:rPr>
            </w:pPr>
            <w:r>
              <w:rPr>
                <w:rFonts w:hint="eastAsia"/>
                <w:b/>
              </w:rPr>
              <w:t>合同价的确定：</w:t>
            </w:r>
          </w:p>
          <w:p>
            <w:pPr>
              <w:rPr>
                <w:rFonts w:ascii="宋体" w:hAnsi="宋体"/>
                <w:i/>
                <w:szCs w:val="21"/>
              </w:rPr>
            </w:pPr>
            <w:r>
              <w:rPr>
                <w:rFonts w:hint="eastAsia" w:ascii="Arial" w:hAnsi="Arial"/>
              </w:rPr>
              <w:t>投标文件任何有缺漏项报价的，包括漏项产生的费用，如果中标，将以不利于投标供应商利益调整合同价格。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555" w:hRule="atLeast"/>
          <w:jc w:val="center"/>
        </w:trPr>
        <w:tc>
          <w:tcPr>
            <w:tcW w:w="534" w:type="dxa"/>
            <w:noWrap w:val="0"/>
            <w:vAlign w:val="center"/>
          </w:tcPr>
          <w:p>
            <w:pPr>
              <w:spacing w:line="360" w:lineRule="auto"/>
              <w:ind w:right="3"/>
              <w:jc w:val="center"/>
              <w:rPr>
                <w:rFonts w:ascii="宋体" w:hAnsi="宋体"/>
                <w:szCs w:val="21"/>
              </w:rPr>
            </w:pPr>
            <w:r>
              <w:rPr>
                <w:rFonts w:ascii="宋体" w:hAnsi="宋体"/>
                <w:szCs w:val="21"/>
              </w:rPr>
              <w:t>2</w:t>
            </w:r>
            <w:r>
              <w:rPr>
                <w:rFonts w:hint="eastAsia" w:ascii="宋体" w:hAnsi="宋体"/>
                <w:szCs w:val="21"/>
              </w:rPr>
              <w:t>.4</w:t>
            </w:r>
          </w:p>
        </w:tc>
        <w:tc>
          <w:tcPr>
            <w:tcW w:w="8752" w:type="dxa"/>
            <w:noWrap w:val="0"/>
            <w:vAlign w:val="center"/>
          </w:tcPr>
          <w:p>
            <w:pPr>
              <w:pStyle w:val="27"/>
              <w:spacing w:line="375" w:lineRule="atLeast"/>
              <w:ind w:left="316" w:leftChars="0" w:hanging="316" w:hangingChars="150"/>
              <w:rPr>
                <w:rFonts w:ascii="宋体" w:hAnsi="宋体"/>
                <w:b/>
                <w:snapToGrid w:val="0"/>
              </w:rPr>
            </w:pPr>
            <w:r>
              <w:rPr>
                <w:b/>
              </w:rPr>
              <w:t>报价得分</w:t>
            </w:r>
            <w:r>
              <w:rPr>
                <w:rFonts w:hint="eastAsia"/>
                <w:b/>
              </w:rPr>
              <w:t>：</w:t>
            </w:r>
            <w:r>
              <w:rPr>
                <w:rFonts w:ascii="Arial" w:hAnsi="Arial"/>
                <w:b/>
              </w:rPr>
              <w:t xml:space="preserve"> </w:t>
            </w:r>
          </w:p>
          <w:p>
            <w:pPr>
              <w:snapToGrid w:val="0"/>
              <w:spacing w:line="340" w:lineRule="exact"/>
              <w:rPr>
                <w:rFonts w:ascii="宋体" w:hAnsi="宋体"/>
                <w:b/>
                <w:snapToGrid w:val="0"/>
              </w:rPr>
            </w:pPr>
            <w:r>
              <w:rPr>
                <w:rFonts w:hint="eastAsia" w:ascii="宋体"/>
              </w:rPr>
              <w:t>资格及符合性审查通过并且技术、商务合格的投标单位参加报价评分。</w:t>
            </w:r>
          </w:p>
          <w:p>
            <w:pPr>
              <w:snapToGrid w:val="0"/>
              <w:spacing w:line="340" w:lineRule="exact"/>
              <w:rPr>
                <w:rFonts w:ascii="宋体"/>
              </w:rPr>
            </w:pPr>
            <w:r>
              <w:rPr>
                <w:rFonts w:hint="eastAsia" w:ascii="宋体" w:hAnsi="宋体"/>
              </w:rPr>
              <w:t>进入商务报价程序的</w:t>
            </w:r>
            <w:r>
              <w:rPr>
                <w:rFonts w:hint="eastAsia" w:ascii="宋体"/>
              </w:rPr>
              <w:t>全部有效投标供应商中的最低评标价作为评分基准值。投标供应商商务报价与基准值对比，计算出商务报价评分值：</w:t>
            </w:r>
          </w:p>
          <w:p>
            <w:pPr>
              <w:widowControl w:val="0"/>
              <w:numPr>
                <w:ilvl w:val="0"/>
                <w:numId w:val="32"/>
              </w:numPr>
              <w:tabs>
                <w:tab w:val="left" w:pos="1134"/>
              </w:tabs>
              <w:snapToGrid w:val="0"/>
              <w:spacing w:line="360" w:lineRule="exact"/>
              <w:ind w:firstLine="311"/>
              <w:jc w:val="both"/>
              <w:rPr>
                <w:rFonts w:ascii="Arial" w:hAnsi="Arial"/>
              </w:rPr>
            </w:pPr>
            <w:r>
              <w:rPr>
                <w:rFonts w:hint="eastAsia" w:ascii="Arial" w:hAnsi="Arial"/>
              </w:rPr>
              <w:t>全部有效投标供应商中的最低评标价作为评标基准价。</w:t>
            </w:r>
          </w:p>
          <w:p>
            <w:pPr>
              <w:widowControl w:val="0"/>
              <w:numPr>
                <w:ilvl w:val="0"/>
                <w:numId w:val="33"/>
              </w:numPr>
              <w:tabs>
                <w:tab w:val="left" w:pos="982"/>
                <w:tab w:val="clear" w:pos="420"/>
              </w:tabs>
              <w:snapToGrid w:val="0"/>
              <w:spacing w:line="340" w:lineRule="exact"/>
              <w:ind w:left="1672" w:hanging="540"/>
              <w:jc w:val="both"/>
              <w:rPr>
                <w:rFonts w:ascii="Arial" w:hAnsi="Arial"/>
                <w:snapToGrid w:val="0"/>
              </w:rPr>
            </w:pPr>
            <w:r>
              <w:rPr>
                <w:rFonts w:hint="eastAsia" w:ascii="Arial" w:hAnsi="Arial"/>
              </w:rPr>
              <w:t>各投标供应商评</w:t>
            </w:r>
            <w:r>
              <w:rPr>
                <w:rFonts w:hint="eastAsia" w:ascii="Arial" w:hAnsi="Arial"/>
                <w:snapToGrid w:val="0"/>
              </w:rPr>
              <w:t>基准价的得满分</w:t>
            </w:r>
            <w:r>
              <w:rPr>
                <w:rFonts w:ascii="Arial" w:hAnsi="Arial"/>
                <w:snapToGrid w:val="0"/>
              </w:rPr>
              <w:t>20</w:t>
            </w:r>
            <w:r>
              <w:rPr>
                <w:rFonts w:hint="eastAsia" w:ascii="Arial" w:hAnsi="Arial"/>
                <w:snapToGrid w:val="0"/>
              </w:rPr>
              <w:t>分；</w:t>
            </w:r>
          </w:p>
          <w:p>
            <w:pPr>
              <w:widowControl w:val="0"/>
              <w:numPr>
                <w:ilvl w:val="0"/>
                <w:numId w:val="32"/>
              </w:numPr>
              <w:tabs>
                <w:tab w:val="left" w:pos="1134"/>
              </w:tabs>
              <w:snapToGrid w:val="0"/>
              <w:spacing w:line="360" w:lineRule="exact"/>
              <w:ind w:firstLine="311"/>
              <w:jc w:val="both"/>
              <w:rPr>
                <w:rFonts w:ascii="Arial" w:hAnsi="Arial"/>
              </w:rPr>
            </w:pPr>
            <w:r>
              <w:rPr>
                <w:rFonts w:hint="eastAsia" w:ascii="Arial" w:hAnsi="Arial"/>
              </w:rPr>
              <w:t>其他投标供应商标价与评标基准价对比，计算各投标供应商的商务报价得分：</w:t>
            </w:r>
          </w:p>
          <w:p>
            <w:pPr>
              <w:widowControl w:val="0"/>
              <w:numPr>
                <w:ilvl w:val="0"/>
                <w:numId w:val="33"/>
              </w:numPr>
              <w:tabs>
                <w:tab w:val="left" w:pos="982"/>
                <w:tab w:val="clear" w:pos="420"/>
              </w:tabs>
              <w:snapToGrid w:val="0"/>
              <w:spacing w:line="340" w:lineRule="exact"/>
              <w:ind w:left="1672" w:hanging="540"/>
              <w:jc w:val="both"/>
              <w:rPr>
                <w:rFonts w:hint="eastAsia" w:ascii="Arial" w:hAnsi="Arial"/>
                <w:snapToGrid w:val="0"/>
              </w:rPr>
            </w:pPr>
            <w:r>
              <w:rPr>
                <w:rFonts w:hint="eastAsia" w:ascii="Arial" w:hAnsi="Arial"/>
                <w:snapToGrid w:val="0"/>
              </w:rPr>
              <w:t>等于评标的商务报价得分按下面公式计算得出：投标供应商的商务报价得分=（评标基准价/评标价）×</w:t>
            </w:r>
            <w:r>
              <w:rPr>
                <w:rFonts w:ascii="Arial" w:hAnsi="Arial"/>
                <w:snapToGrid w:val="0"/>
              </w:rPr>
              <w:t>20</w:t>
            </w:r>
            <w:r>
              <w:rPr>
                <w:rFonts w:hint="eastAsia" w:ascii="Arial" w:hAnsi="Arial"/>
                <w:snapToGrid w:val="0"/>
              </w:rPr>
              <w:t>分；</w:t>
            </w:r>
          </w:p>
          <w:p>
            <w:pPr>
              <w:widowControl w:val="0"/>
              <w:numPr>
                <w:ilvl w:val="0"/>
                <w:numId w:val="33"/>
              </w:numPr>
              <w:tabs>
                <w:tab w:val="left" w:pos="982"/>
                <w:tab w:val="clear" w:pos="420"/>
              </w:tabs>
              <w:snapToGrid w:val="0"/>
              <w:spacing w:line="340" w:lineRule="exact"/>
              <w:ind w:left="1672" w:hanging="540"/>
              <w:jc w:val="both"/>
              <w:rPr>
                <w:rFonts w:hint="eastAsia" w:ascii="Arial" w:hAnsi="Arial"/>
                <w:snapToGrid w:val="0"/>
              </w:rPr>
            </w:pPr>
            <w:r>
              <w:rPr>
                <w:rFonts w:hint="eastAsia" w:ascii="Arial" w:hAnsi="Arial"/>
                <w:snapToGrid w:val="0"/>
              </w:rPr>
              <w:t>商务报价得分计算保留小数</w:t>
            </w:r>
            <w:r>
              <w:rPr>
                <w:rFonts w:ascii="Arial" w:hAnsi="Arial"/>
                <w:snapToGrid w:val="0"/>
              </w:rPr>
              <w:t>2</w:t>
            </w:r>
            <w:r>
              <w:rPr>
                <w:rFonts w:hint="eastAsia" w:ascii="Arial" w:hAnsi="Arial"/>
                <w:snapToGrid w:val="0"/>
              </w:rPr>
              <w:t>位，第三位四舍五入。</w:t>
            </w:r>
          </w:p>
        </w:tc>
      </w:tr>
    </w:tbl>
    <w:p>
      <w:pPr>
        <w:pStyle w:val="27"/>
        <w:spacing w:line="375" w:lineRule="atLeast"/>
        <w:ind w:left="315" w:leftChars="0" w:hanging="315" w:hangingChars="150"/>
        <w:rPr>
          <w:rFonts w:hint="eastAsia" w:ascii="Arial" w:hAnsi="Arial" w:cs="Arial"/>
          <w:bCs/>
        </w:rPr>
      </w:pPr>
      <w:r>
        <w:rPr>
          <w:rFonts w:hint="eastAsia"/>
          <w:kern w:val="28"/>
        </w:rPr>
        <w:t xml:space="preserve">                                              </w:t>
      </w:r>
      <w:r>
        <w:rPr>
          <w:kern w:val="28"/>
        </w:rPr>
        <w:t xml:space="preserve">                                                                                                                                                      </w:t>
      </w:r>
    </w:p>
    <w:p>
      <w:pPr>
        <w:spacing w:before="120" w:beforeLines="50" w:line="320" w:lineRule="exact"/>
        <w:ind w:left="134" w:leftChars="64" w:firstLine="354" w:firstLineChars="147"/>
        <w:rPr>
          <w:b/>
          <w:bCs/>
          <w:sz w:val="24"/>
        </w:rPr>
      </w:pPr>
      <w:r>
        <w:rPr>
          <w:rFonts w:hint="eastAsia"/>
          <w:b/>
          <w:bCs/>
          <w:sz w:val="24"/>
        </w:rPr>
        <w:t>六、投标供应商义务</w:t>
      </w:r>
    </w:p>
    <w:p>
      <w:pPr>
        <w:snapToGrid w:val="0"/>
        <w:spacing w:line="360" w:lineRule="exact"/>
        <w:ind w:left="680" w:leftChars="324" w:firstLine="420" w:firstLineChars="200"/>
        <w:rPr>
          <w:rFonts w:ascii="宋体" w:hAnsi="宋体"/>
          <w:b/>
          <w:bCs/>
          <w:snapToGrid w:val="0"/>
          <w:szCs w:val="21"/>
        </w:rPr>
      </w:pPr>
      <w:r>
        <w:rPr>
          <w:rFonts w:hint="eastAsia" w:ascii="宋体" w:hAnsi="宋体"/>
          <w:szCs w:val="21"/>
        </w:rPr>
        <w:t>投标供应商应随时随地答复评标委员会的询标，解答包括有关的商务、技术问题等。评标结束，所有评标资料存瑞安市公共资源交易中心备查。</w:t>
      </w:r>
    </w:p>
    <w:p>
      <w:pPr>
        <w:widowControl w:val="0"/>
        <w:snapToGrid w:val="0"/>
        <w:spacing w:line="400" w:lineRule="exact"/>
        <w:ind w:firstLine="422" w:firstLineChars="200"/>
        <w:jc w:val="both"/>
        <w:rPr>
          <w:rFonts w:hint="eastAsia" w:ascii="宋体" w:hAnsi="宋体"/>
          <w:b/>
          <w:bCs/>
          <w:snapToGrid w:val="0"/>
          <w:szCs w:val="21"/>
        </w:rPr>
      </w:pPr>
      <w:r>
        <w:rPr>
          <w:rFonts w:hint="eastAsia" w:ascii="宋体" w:hAnsi="宋体"/>
          <w:b/>
          <w:bCs/>
          <w:snapToGrid w:val="0"/>
          <w:szCs w:val="21"/>
        </w:rPr>
        <w:t>未尽事宜按有关法律法规规定执行。</w:t>
      </w:r>
      <w:r>
        <w:tab/>
      </w:r>
    </w:p>
    <w:p/>
    <w:p>
      <w:pPr>
        <w:pStyle w:val="2"/>
        <w:rPr>
          <w:rFonts w:ascii="宋体" w:hAnsi="宋体" w:eastAsia="宋体"/>
          <w:color w:val="000000"/>
          <w:sz w:val="22"/>
          <w:szCs w:val="22"/>
        </w:rPr>
      </w:pPr>
    </w:p>
    <w:p>
      <w:pPr>
        <w:pStyle w:val="2"/>
        <w:rPr>
          <w:rFonts w:ascii="宋体" w:hAnsi="宋体" w:eastAsia="宋体"/>
          <w:color w:val="000000"/>
          <w:sz w:val="22"/>
          <w:szCs w:val="22"/>
        </w:rPr>
      </w:pPr>
    </w:p>
    <w:p>
      <w:pPr>
        <w:pStyle w:val="2"/>
        <w:jc w:val="center"/>
        <w:rPr>
          <w:rFonts w:ascii="宋体" w:hAnsi="宋体" w:eastAsia="宋体" w:cs="Arial"/>
          <w:b/>
          <w:bCs/>
          <w:sz w:val="28"/>
          <w:szCs w:val="28"/>
        </w:rPr>
      </w:pPr>
      <w:r>
        <w:rPr>
          <w:rFonts w:hint="eastAsia" w:ascii="宋体" w:hAnsi="宋体" w:eastAsia="宋体" w:cs="Arial"/>
          <w:b/>
          <w:bCs/>
          <w:sz w:val="28"/>
          <w:szCs w:val="28"/>
        </w:rPr>
        <w:t>附件1-《瑞安市安阳街道环卫保洁作业量清单》</w:t>
      </w:r>
    </w:p>
    <w:p>
      <w:pPr>
        <w:pStyle w:val="2"/>
        <w:rPr>
          <w:rFonts w:ascii="宋体" w:hAnsi="宋体" w:eastAsia="宋体"/>
          <w:color w:val="000000"/>
          <w:sz w:val="21"/>
          <w:szCs w:val="21"/>
        </w:rPr>
      </w:pPr>
    </w:p>
    <w:tbl>
      <w:tblPr>
        <w:tblStyle w:val="35"/>
        <w:tblW w:w="4880"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538"/>
        <w:gridCol w:w="1601"/>
        <w:gridCol w:w="832"/>
        <w:gridCol w:w="2202"/>
        <w:gridCol w:w="1514"/>
        <w:gridCol w:w="2376"/>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1、安阳</w:t>
            </w:r>
            <w:r>
              <w:rPr>
                <w:rFonts w:ascii="宋体" w:hAnsi="宋体" w:cs="宋体"/>
                <w:b/>
                <w:bCs/>
                <w:color w:val="000000"/>
                <w:kern w:val="2"/>
                <w:szCs w:val="21"/>
              </w:rPr>
              <w:t>街道一级道路环卫作业工程量清单</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8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459"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道路级别</w:t>
            </w:r>
          </w:p>
        </w:tc>
        <w:tc>
          <w:tcPr>
            <w:tcW w:w="121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83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1310" w:type="pct"/>
            <w:vMerge w:val="restar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continue"/>
            <w:noWrap w:val="0"/>
            <w:vAlign w:val="center"/>
          </w:tcPr>
          <w:p>
            <w:pPr>
              <w:rPr>
                <w:rFonts w:ascii="宋体" w:hAnsi="宋体" w:cs="宋体"/>
                <w:color w:val="000000"/>
                <w:szCs w:val="21"/>
              </w:rPr>
            </w:pPr>
          </w:p>
        </w:tc>
        <w:tc>
          <w:tcPr>
            <w:tcW w:w="883" w:type="pct"/>
            <w:vMerge w:val="continue"/>
            <w:noWrap w:val="0"/>
            <w:vAlign w:val="center"/>
          </w:tcPr>
          <w:p>
            <w:pPr>
              <w:rPr>
                <w:rFonts w:ascii="宋体" w:hAnsi="宋体" w:cs="宋体"/>
                <w:color w:val="000000"/>
                <w:szCs w:val="21"/>
              </w:rPr>
            </w:pPr>
          </w:p>
        </w:tc>
        <w:tc>
          <w:tcPr>
            <w:tcW w:w="459" w:type="pct"/>
            <w:vMerge w:val="continue"/>
            <w:noWrap w:val="0"/>
            <w:vAlign w:val="center"/>
          </w:tcPr>
          <w:p>
            <w:pPr>
              <w:rPr>
                <w:rFonts w:ascii="宋体" w:hAnsi="宋体" w:cs="宋体"/>
                <w:color w:val="000000"/>
                <w:szCs w:val="21"/>
              </w:rPr>
            </w:pPr>
          </w:p>
        </w:tc>
        <w:tc>
          <w:tcPr>
            <w:tcW w:w="1215" w:type="pct"/>
            <w:vMerge w:val="continue"/>
            <w:noWrap w:val="0"/>
            <w:vAlign w:val="center"/>
          </w:tcPr>
          <w:p>
            <w:pPr>
              <w:rPr>
                <w:rFonts w:ascii="宋体" w:hAnsi="宋体" w:cs="宋体"/>
                <w:color w:val="000000"/>
                <w:szCs w:val="21"/>
              </w:rPr>
            </w:pPr>
          </w:p>
        </w:tc>
        <w:tc>
          <w:tcPr>
            <w:tcW w:w="835" w:type="pct"/>
            <w:vMerge w:val="continue"/>
            <w:noWrap w:val="0"/>
            <w:vAlign w:val="center"/>
          </w:tcPr>
          <w:p>
            <w:pPr>
              <w:rPr>
                <w:rFonts w:ascii="宋体" w:hAnsi="宋体" w:cs="宋体"/>
                <w:color w:val="000000"/>
                <w:szCs w:val="21"/>
              </w:rPr>
            </w:pPr>
          </w:p>
        </w:tc>
        <w:tc>
          <w:tcPr>
            <w:tcW w:w="1310" w:type="pct"/>
            <w:vMerge w:val="continue"/>
            <w:noWrap w:val="0"/>
            <w:vAlign w:val="center"/>
          </w:tcPr>
          <w:p>
            <w:pPr>
              <w:rPr>
                <w:rFonts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restar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8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1350x41</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55350</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瑞祥大道至罗阳大道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continue"/>
            <w:shd w:val="clear" w:color="auto" w:fill="auto"/>
            <w:noWrap w:val="0"/>
            <w:vAlign w:val="center"/>
          </w:tcPr>
          <w:p>
            <w:pPr>
              <w:rPr>
                <w:rFonts w:ascii="宋体" w:hAnsi="宋体" w:cs="宋体"/>
                <w:color w:val="000000"/>
                <w:szCs w:val="21"/>
              </w:rPr>
            </w:pPr>
          </w:p>
        </w:tc>
        <w:tc>
          <w:tcPr>
            <w:tcW w:w="883" w:type="pct"/>
            <w:vMerge w:val="continue"/>
            <w:shd w:val="clear" w:color="auto" w:fill="auto"/>
            <w:noWrap w:val="0"/>
            <w:vAlign w:val="center"/>
          </w:tcPr>
          <w:p>
            <w:pPr>
              <w:rPr>
                <w:rFonts w:ascii="宋体" w:hAnsi="宋体" w:cs="宋体"/>
                <w:color w:val="000000"/>
                <w:szCs w:val="21"/>
              </w:rPr>
            </w:pP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600x38</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22800</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商城大道至瑞祥大道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8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1005x36.45</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36632.25</w:t>
            </w:r>
          </w:p>
        </w:tc>
        <w:tc>
          <w:tcPr>
            <w:tcW w:w="131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瑞祥大道至陈虬路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continue"/>
            <w:shd w:val="clear" w:color="auto" w:fill="auto"/>
            <w:noWrap w:val="0"/>
            <w:vAlign w:val="center"/>
          </w:tcPr>
          <w:p>
            <w:pPr>
              <w:rPr>
                <w:rFonts w:ascii="宋体" w:hAnsi="宋体" w:cs="宋体"/>
                <w:color w:val="000000"/>
                <w:szCs w:val="21"/>
              </w:rPr>
            </w:pPr>
          </w:p>
        </w:tc>
        <w:tc>
          <w:tcPr>
            <w:tcW w:w="883" w:type="pct"/>
            <w:vMerge w:val="continue"/>
            <w:shd w:val="clear" w:color="auto" w:fill="auto"/>
            <w:noWrap w:val="0"/>
            <w:vAlign w:val="center"/>
          </w:tcPr>
          <w:p>
            <w:pPr>
              <w:rPr>
                <w:rFonts w:ascii="宋体" w:hAnsi="宋体" w:cs="宋体"/>
                <w:color w:val="000000"/>
                <w:szCs w:val="21"/>
              </w:rPr>
            </w:pP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1600x32</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51200</w:t>
            </w:r>
          </w:p>
        </w:tc>
        <w:tc>
          <w:tcPr>
            <w:tcW w:w="1310" w:type="pct"/>
            <w:vMerge w:val="continue"/>
            <w:noWrap w:val="0"/>
            <w:vAlign w:val="center"/>
          </w:tcPr>
          <w:p>
            <w:pPr>
              <w:rPr>
                <w:rFonts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莘阳大道</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1250x45.58</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56975</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瑞祥大道至塘河</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万松东路三期</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500x55</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27500</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罗阳大道至莘阳大道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拱瑞山路</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1450x36.1</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52345</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万松东路至陈虬路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8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250x28（沿江东路段）</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7000</w:t>
            </w:r>
          </w:p>
        </w:tc>
        <w:tc>
          <w:tcPr>
            <w:tcW w:w="131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万松路至商城桥</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vMerge w:val="continue"/>
            <w:shd w:val="clear" w:color="auto" w:fill="auto"/>
            <w:noWrap w:val="0"/>
            <w:vAlign w:val="center"/>
          </w:tcPr>
          <w:p>
            <w:pPr>
              <w:rPr>
                <w:rFonts w:ascii="宋体" w:hAnsi="宋体" w:cs="宋体"/>
                <w:color w:val="000000"/>
                <w:szCs w:val="21"/>
              </w:rPr>
            </w:pPr>
          </w:p>
        </w:tc>
        <w:tc>
          <w:tcPr>
            <w:tcW w:w="883" w:type="pct"/>
            <w:vMerge w:val="continue"/>
            <w:shd w:val="clear" w:color="auto" w:fill="auto"/>
            <w:noWrap w:val="0"/>
            <w:vAlign w:val="center"/>
          </w:tcPr>
          <w:p>
            <w:pPr>
              <w:rPr>
                <w:rFonts w:ascii="宋体" w:hAnsi="宋体" w:cs="宋体"/>
                <w:color w:val="000000"/>
                <w:szCs w:val="21"/>
              </w:rPr>
            </w:pP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1150x35</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40250</w:t>
            </w:r>
          </w:p>
        </w:tc>
        <w:tc>
          <w:tcPr>
            <w:tcW w:w="1310" w:type="pct"/>
            <w:vMerge w:val="continue"/>
            <w:noWrap w:val="0"/>
            <w:vAlign w:val="center"/>
          </w:tcPr>
          <w:p>
            <w:pPr>
              <w:rPr>
                <w:rFonts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瑞祥大道一段</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2300x60</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138000</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滨江大道至周湖转盘</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瑞祥大道二段</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2900x60</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174000</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周湖转盘至华峰山边红绿灯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莘阳大道                (人行道加宽）</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258×35</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9030</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红绿灯路口至周家桥老人公寓新桥头对面路口</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莘阳大道 (人行道加宽）</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108×6</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648</w:t>
            </w:r>
          </w:p>
        </w:tc>
        <w:tc>
          <w:tcPr>
            <w:tcW w:w="13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红绿灯路口至瑞安市海滨新区管委会南首墙</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w:t>
            </w:r>
          </w:p>
        </w:tc>
        <w:tc>
          <w:tcPr>
            <w:tcW w:w="8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安阳路</w:t>
            </w:r>
          </w:p>
        </w:tc>
        <w:tc>
          <w:tcPr>
            <w:tcW w:w="45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21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2266x29.75</w:t>
            </w:r>
          </w:p>
        </w:tc>
        <w:tc>
          <w:tcPr>
            <w:tcW w:w="8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67413.5</w:t>
            </w:r>
          </w:p>
        </w:tc>
        <w:tc>
          <w:tcPr>
            <w:tcW w:w="1310"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瑞祥大道至陈虬路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4" w:type="pct"/>
            <w:gridSpan w:val="4"/>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合计</w:t>
            </w:r>
          </w:p>
        </w:tc>
        <w:tc>
          <w:tcPr>
            <w:tcW w:w="835"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739143.75</w:t>
            </w:r>
          </w:p>
        </w:tc>
        <w:tc>
          <w:tcPr>
            <w:tcW w:w="1310" w:type="pct"/>
            <w:shd w:val="clear" w:color="auto" w:fill="auto"/>
            <w:noWrap/>
            <w:vAlign w:val="center"/>
          </w:tcPr>
          <w:p>
            <w:pPr>
              <w:jc w:val="center"/>
              <w:rPr>
                <w:rFonts w:hint="eastAsia" w:ascii="宋体" w:hAnsi="宋体" w:cs="宋体"/>
                <w:b/>
                <w:bCs/>
                <w:color w:val="000000"/>
                <w:szCs w:val="21"/>
              </w:rPr>
            </w:pPr>
          </w:p>
        </w:tc>
      </w:tr>
    </w:tbl>
    <w:p>
      <w:pPr>
        <w:pStyle w:val="2"/>
        <w:rPr>
          <w:rFonts w:hint="eastAsia"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19"/>
        <w:gridCol w:w="1929"/>
        <w:gridCol w:w="799"/>
        <w:gridCol w:w="1651"/>
        <w:gridCol w:w="1459"/>
        <w:gridCol w:w="270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60" w:hRule="atLeast"/>
        </w:trPr>
        <w:tc>
          <w:tcPr>
            <w:tcW w:w="5000" w:type="pct"/>
            <w:gridSpan w:val="6"/>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2、安阳</w:t>
            </w:r>
            <w:r>
              <w:rPr>
                <w:rFonts w:ascii="宋体" w:hAnsi="宋体" w:cs="宋体"/>
                <w:b/>
                <w:bCs/>
                <w:color w:val="000000"/>
                <w:kern w:val="2"/>
                <w:szCs w:val="21"/>
              </w:rPr>
              <w:t>街道二级道路环卫作业工程量清单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60" w:hRule="atLeast"/>
        </w:trPr>
        <w:tc>
          <w:tcPr>
            <w:tcW w:w="28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106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441"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道路级别</w:t>
            </w:r>
          </w:p>
        </w:tc>
        <w:tc>
          <w:tcPr>
            <w:tcW w:w="911"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80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1493" w:type="pct"/>
            <w:vMerge w:val="restar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60" w:hRule="atLeast"/>
        </w:trPr>
        <w:tc>
          <w:tcPr>
            <w:tcW w:w="286" w:type="pct"/>
            <w:vMerge w:val="continue"/>
            <w:noWrap w:val="0"/>
            <w:vAlign w:val="center"/>
          </w:tcPr>
          <w:p>
            <w:pPr>
              <w:rPr>
                <w:rFonts w:ascii="宋体" w:hAnsi="宋体" w:cs="宋体"/>
                <w:color w:val="000000"/>
                <w:szCs w:val="21"/>
              </w:rPr>
            </w:pPr>
          </w:p>
        </w:tc>
        <w:tc>
          <w:tcPr>
            <w:tcW w:w="1064" w:type="pct"/>
            <w:vMerge w:val="continue"/>
            <w:noWrap w:val="0"/>
            <w:vAlign w:val="center"/>
          </w:tcPr>
          <w:p>
            <w:pPr>
              <w:rPr>
                <w:rFonts w:ascii="宋体" w:hAnsi="宋体" w:cs="宋体"/>
                <w:color w:val="000000"/>
                <w:szCs w:val="21"/>
              </w:rPr>
            </w:pPr>
          </w:p>
        </w:tc>
        <w:tc>
          <w:tcPr>
            <w:tcW w:w="441" w:type="pct"/>
            <w:vMerge w:val="continue"/>
            <w:noWrap w:val="0"/>
            <w:vAlign w:val="center"/>
          </w:tcPr>
          <w:p>
            <w:pPr>
              <w:rPr>
                <w:rFonts w:ascii="宋体" w:hAnsi="宋体" w:cs="宋体"/>
                <w:color w:val="000000"/>
                <w:szCs w:val="21"/>
              </w:rPr>
            </w:pPr>
          </w:p>
        </w:tc>
        <w:tc>
          <w:tcPr>
            <w:tcW w:w="911" w:type="pct"/>
            <w:vMerge w:val="continue"/>
            <w:noWrap w:val="0"/>
            <w:vAlign w:val="center"/>
          </w:tcPr>
          <w:p>
            <w:pPr>
              <w:rPr>
                <w:rFonts w:ascii="宋体" w:hAnsi="宋体" w:cs="宋体"/>
                <w:color w:val="000000"/>
                <w:szCs w:val="21"/>
              </w:rPr>
            </w:pPr>
          </w:p>
        </w:tc>
        <w:tc>
          <w:tcPr>
            <w:tcW w:w="805" w:type="pct"/>
            <w:vMerge w:val="continue"/>
            <w:noWrap w:val="0"/>
            <w:vAlign w:val="center"/>
          </w:tcPr>
          <w:p>
            <w:pPr>
              <w:rPr>
                <w:rFonts w:ascii="宋体" w:hAnsi="宋体" w:cs="宋体"/>
                <w:color w:val="000000"/>
                <w:szCs w:val="21"/>
              </w:rPr>
            </w:pPr>
          </w:p>
        </w:tc>
        <w:tc>
          <w:tcPr>
            <w:tcW w:w="1493"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vMerge w:val="restar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106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华泰路</w:t>
            </w:r>
          </w:p>
        </w:tc>
        <w:tc>
          <w:tcPr>
            <w:tcW w:w="441"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250x24</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万松路至万事好路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vMerge w:val="continue"/>
            <w:shd w:val="clear" w:color="auto" w:fill="auto"/>
            <w:noWrap w:val="0"/>
            <w:vAlign w:val="center"/>
          </w:tcPr>
          <w:p>
            <w:pPr>
              <w:rPr>
                <w:rFonts w:ascii="宋体" w:hAnsi="宋体" w:cs="宋体"/>
                <w:color w:val="000000"/>
                <w:szCs w:val="21"/>
              </w:rPr>
            </w:pPr>
          </w:p>
        </w:tc>
        <w:tc>
          <w:tcPr>
            <w:tcW w:w="1064" w:type="pct"/>
            <w:vMerge w:val="continue"/>
            <w:shd w:val="clear" w:color="auto" w:fill="auto"/>
            <w:noWrap w:val="0"/>
            <w:vAlign w:val="center"/>
          </w:tcPr>
          <w:p>
            <w:pPr>
              <w:rPr>
                <w:rFonts w:ascii="宋体" w:hAnsi="宋体" w:cs="宋体"/>
                <w:color w:val="000000"/>
                <w:szCs w:val="21"/>
              </w:rPr>
            </w:pPr>
          </w:p>
        </w:tc>
        <w:tc>
          <w:tcPr>
            <w:tcW w:w="441" w:type="pct"/>
            <w:vMerge w:val="continue"/>
            <w:shd w:val="clear" w:color="auto" w:fill="auto"/>
            <w:noWrap w:val="0"/>
            <w:vAlign w:val="center"/>
          </w:tcPr>
          <w:p>
            <w:pPr>
              <w:rPr>
                <w:rFonts w:ascii="宋体" w:hAnsi="宋体" w:cs="宋体"/>
                <w:color w:val="000000"/>
                <w:szCs w:val="21"/>
              </w:rPr>
            </w:pPr>
          </w:p>
        </w:tc>
        <w:tc>
          <w:tcPr>
            <w:tcW w:w="91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330*34</w:t>
            </w:r>
          </w:p>
        </w:tc>
        <w:tc>
          <w:tcPr>
            <w:tcW w:w="805"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11220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万事好路至瑞祥大道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106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仲容路</w:t>
            </w: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1650x29.85</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49252.5</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兴隆南路至莘阳大道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106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w:t>
            </w: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2000x38</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76000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106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莘阳大道延伸段</w:t>
            </w: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650x40</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26000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塘河至隆山东路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vMerge w:val="continue"/>
            <w:shd w:val="clear" w:color="auto" w:fill="auto"/>
            <w:noWrap w:val="0"/>
            <w:vAlign w:val="center"/>
          </w:tcPr>
          <w:p>
            <w:pPr>
              <w:rPr>
                <w:rFonts w:ascii="宋体" w:hAnsi="宋体" w:cs="宋体"/>
                <w:color w:val="000000"/>
                <w:szCs w:val="21"/>
              </w:rPr>
            </w:pPr>
          </w:p>
        </w:tc>
        <w:tc>
          <w:tcPr>
            <w:tcW w:w="1064" w:type="pct"/>
            <w:vMerge w:val="continue"/>
            <w:shd w:val="clear" w:color="auto" w:fill="auto"/>
            <w:noWrap w:val="0"/>
            <w:vAlign w:val="center"/>
          </w:tcPr>
          <w:p>
            <w:pPr>
              <w:rPr>
                <w:rFonts w:ascii="宋体" w:hAnsi="宋体" w:cs="宋体"/>
                <w:color w:val="000000"/>
                <w:szCs w:val="21"/>
              </w:rPr>
            </w:pP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1150x40</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46000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隆山东路至陈虬路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w:t>
            </w:r>
          </w:p>
        </w:tc>
        <w:tc>
          <w:tcPr>
            <w:tcW w:w="106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阳光路</w:t>
            </w: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400x27.4</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10960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阳光北路至万松路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106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w:t>
            </w: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730x36</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26280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瑞祥大道至万松公园处转盘</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106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机场路</w:t>
            </w: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500x35</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17500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w:t>
            </w:r>
          </w:p>
        </w:tc>
        <w:tc>
          <w:tcPr>
            <w:tcW w:w="106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w:t>
            </w:r>
          </w:p>
        </w:tc>
        <w:tc>
          <w:tcPr>
            <w:tcW w:w="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600x36</w:t>
            </w:r>
          </w:p>
        </w:tc>
        <w:tc>
          <w:tcPr>
            <w:tcW w:w="8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21600</w:t>
            </w:r>
          </w:p>
        </w:tc>
        <w:tc>
          <w:tcPr>
            <w:tcW w:w="14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1064"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华尔达路</w:t>
            </w:r>
          </w:p>
        </w:tc>
        <w:tc>
          <w:tcPr>
            <w:tcW w:w="44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1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330*19</w:t>
            </w:r>
          </w:p>
        </w:tc>
        <w:tc>
          <w:tcPr>
            <w:tcW w:w="805"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6270</w:t>
            </w:r>
          </w:p>
        </w:tc>
        <w:tc>
          <w:tcPr>
            <w:tcW w:w="1493"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702" w:type="pct"/>
            <w:gridSpan w:val="4"/>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合计</w:t>
            </w:r>
          </w:p>
        </w:tc>
        <w:tc>
          <w:tcPr>
            <w:tcW w:w="805"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297082.5</w:t>
            </w:r>
          </w:p>
        </w:tc>
        <w:tc>
          <w:tcPr>
            <w:tcW w:w="1493" w:type="pct"/>
            <w:shd w:val="clear" w:color="auto" w:fill="auto"/>
            <w:noWrap/>
            <w:vAlign w:val="center"/>
          </w:tcPr>
          <w:p>
            <w:pPr>
              <w:jc w:val="center"/>
              <w:rPr>
                <w:rFonts w:hint="eastAsia" w:ascii="宋体" w:hAnsi="宋体" w:cs="宋体"/>
                <w:b/>
                <w:bCs/>
                <w:color w:val="000000"/>
                <w:szCs w:val="21"/>
              </w:rPr>
            </w:pPr>
          </w:p>
        </w:tc>
      </w:tr>
    </w:tbl>
    <w:p>
      <w:pPr>
        <w:pStyle w:val="2"/>
        <w:rPr>
          <w:rFonts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16"/>
        <w:gridCol w:w="2144"/>
        <w:gridCol w:w="850"/>
        <w:gridCol w:w="1419"/>
        <w:gridCol w:w="1276"/>
        <w:gridCol w:w="285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 xml:space="preserve">3、安阳 </w:t>
            </w:r>
            <w:r>
              <w:rPr>
                <w:rFonts w:ascii="宋体" w:hAnsi="宋体" w:cs="宋体"/>
                <w:b/>
                <w:bCs/>
                <w:color w:val="000000"/>
                <w:kern w:val="2"/>
                <w:szCs w:val="21"/>
              </w:rPr>
              <w:t>街道三级道路环卫作业工程量清单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11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469"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道路级别</w:t>
            </w:r>
          </w:p>
        </w:tc>
        <w:tc>
          <w:tcPr>
            <w:tcW w:w="7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70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1577" w:type="pct"/>
            <w:vMerge w:val="restar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continue"/>
            <w:noWrap w:val="0"/>
            <w:vAlign w:val="center"/>
          </w:tcPr>
          <w:p>
            <w:pPr>
              <w:rPr>
                <w:rFonts w:ascii="宋体" w:hAnsi="宋体" w:cs="宋体"/>
                <w:color w:val="000000"/>
                <w:szCs w:val="21"/>
              </w:rPr>
            </w:pPr>
          </w:p>
        </w:tc>
        <w:tc>
          <w:tcPr>
            <w:tcW w:w="1183" w:type="pct"/>
            <w:vMerge w:val="continue"/>
            <w:noWrap w:val="0"/>
            <w:vAlign w:val="center"/>
          </w:tcPr>
          <w:p>
            <w:pPr>
              <w:rPr>
                <w:rFonts w:ascii="宋体" w:hAnsi="宋体" w:cs="宋体"/>
                <w:color w:val="000000"/>
                <w:szCs w:val="21"/>
              </w:rPr>
            </w:pPr>
          </w:p>
        </w:tc>
        <w:tc>
          <w:tcPr>
            <w:tcW w:w="469" w:type="pct"/>
            <w:vMerge w:val="continue"/>
            <w:noWrap w:val="0"/>
            <w:vAlign w:val="center"/>
          </w:tcPr>
          <w:p>
            <w:pPr>
              <w:rPr>
                <w:rFonts w:ascii="宋体" w:hAnsi="宋体" w:cs="宋体"/>
                <w:color w:val="000000"/>
                <w:szCs w:val="21"/>
              </w:rPr>
            </w:pPr>
          </w:p>
        </w:tc>
        <w:tc>
          <w:tcPr>
            <w:tcW w:w="783" w:type="pct"/>
            <w:vMerge w:val="continue"/>
            <w:noWrap w:val="0"/>
            <w:vAlign w:val="center"/>
          </w:tcPr>
          <w:p>
            <w:pPr>
              <w:rPr>
                <w:rFonts w:ascii="宋体" w:hAnsi="宋体" w:cs="宋体"/>
                <w:color w:val="000000"/>
                <w:szCs w:val="21"/>
              </w:rPr>
            </w:pPr>
          </w:p>
        </w:tc>
        <w:tc>
          <w:tcPr>
            <w:tcW w:w="704" w:type="pct"/>
            <w:vMerge w:val="continue"/>
            <w:noWrap w:val="0"/>
            <w:vAlign w:val="center"/>
          </w:tcPr>
          <w:p>
            <w:pPr>
              <w:rPr>
                <w:rFonts w:ascii="宋体" w:hAnsi="宋体" w:cs="宋体"/>
                <w:color w:val="000000"/>
                <w:szCs w:val="21"/>
              </w:rPr>
            </w:pPr>
          </w:p>
        </w:tc>
        <w:tc>
          <w:tcPr>
            <w:tcW w:w="1577"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马鞍山路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950x19.5</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18525</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万松东路至罗阳大道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11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安福路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297x11</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3267</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万松路至马鞍山路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continue"/>
            <w:shd w:val="clear" w:color="auto" w:fill="auto"/>
            <w:noWrap w:val="0"/>
            <w:vAlign w:val="center"/>
          </w:tcPr>
          <w:p>
            <w:pPr>
              <w:rPr>
                <w:rFonts w:ascii="宋体" w:hAnsi="宋体" w:cs="宋体"/>
                <w:color w:val="000000"/>
                <w:szCs w:val="21"/>
              </w:rPr>
            </w:pPr>
          </w:p>
        </w:tc>
        <w:tc>
          <w:tcPr>
            <w:tcW w:w="1183" w:type="pct"/>
            <w:vMerge w:val="continue"/>
            <w:shd w:val="clear" w:color="auto" w:fill="auto"/>
            <w:noWrap w:val="0"/>
            <w:vAlign w:val="center"/>
          </w:tcPr>
          <w:p>
            <w:pPr>
              <w:rPr>
                <w:rFonts w:ascii="宋体" w:hAnsi="宋体" w:cs="宋体"/>
                <w:color w:val="000000"/>
                <w:szCs w:val="21"/>
              </w:rPr>
            </w:pP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14.2×29.5</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419</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市府草坪地停车场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安吉路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370x10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安强路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228x15.4</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3511.2</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马鞍山路至瑞祥大道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万松路支路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72×11</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792</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安阳大厦与自来水厂中间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华尔达路(拆建中）</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p>
        </w:tc>
        <w:tc>
          <w:tcPr>
            <w:tcW w:w="704" w:type="pct"/>
            <w:shd w:val="clear" w:color="auto" w:fill="auto"/>
            <w:noWrap w:val="0"/>
            <w:vAlign w:val="center"/>
          </w:tcPr>
          <w:p>
            <w:pPr>
              <w:jc w:val="center"/>
              <w:rPr>
                <w:rFonts w:ascii="宋体" w:hAnsi="宋体"/>
                <w:szCs w:val="21"/>
              </w:rPr>
            </w:pPr>
          </w:p>
        </w:tc>
        <w:tc>
          <w:tcPr>
            <w:tcW w:w="157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周红路至罗阳大道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墩皇北路(拆建中）</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p>
        </w:tc>
        <w:tc>
          <w:tcPr>
            <w:tcW w:w="704" w:type="pct"/>
            <w:shd w:val="clear" w:color="auto" w:fill="auto"/>
            <w:noWrap w:val="0"/>
            <w:vAlign w:val="center"/>
          </w:tcPr>
          <w:p>
            <w:pPr>
              <w:jc w:val="center"/>
              <w:rPr>
                <w:rFonts w:ascii="宋体" w:hAnsi="宋体"/>
                <w:szCs w:val="21"/>
              </w:rPr>
            </w:pPr>
          </w:p>
        </w:tc>
        <w:tc>
          <w:tcPr>
            <w:tcW w:w="157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万事好路至瑞祥大道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万事好路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550x16.7</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9185</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周红路至罗阳大道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1900x18</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34200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塘河南路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1900x12.3</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23370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安民路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207x13</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2691</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塘河北路支路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210x7</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1470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塘河北路至万松路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陈虬路支路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500x7</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陈虬路至仲容路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广场环路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430x19</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8170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广场边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嘉宁路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570x12</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6840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兴隆南北路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670x23.9</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16013</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塘河南路至仲容路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w:t>
            </w:r>
          </w:p>
        </w:tc>
        <w:tc>
          <w:tcPr>
            <w:tcW w:w="11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w:t>
            </w:r>
          </w:p>
        </w:tc>
        <w:tc>
          <w:tcPr>
            <w:tcW w:w="469"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 xml:space="preserve"> 1060x22.1                    </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23426</w:t>
            </w:r>
          </w:p>
        </w:tc>
        <w:tc>
          <w:tcPr>
            <w:tcW w:w="157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瑞安广场至隆山东路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continue"/>
            <w:shd w:val="clear" w:color="auto" w:fill="auto"/>
            <w:noWrap w:val="0"/>
            <w:vAlign w:val="center"/>
          </w:tcPr>
          <w:p>
            <w:pPr>
              <w:rPr>
                <w:rFonts w:ascii="宋体" w:hAnsi="宋体" w:cs="宋体"/>
                <w:color w:val="000000"/>
                <w:szCs w:val="21"/>
              </w:rPr>
            </w:pPr>
          </w:p>
        </w:tc>
        <w:tc>
          <w:tcPr>
            <w:tcW w:w="1183" w:type="pct"/>
            <w:vMerge w:val="continue"/>
            <w:shd w:val="clear" w:color="auto" w:fill="auto"/>
            <w:noWrap w:val="0"/>
            <w:vAlign w:val="center"/>
          </w:tcPr>
          <w:p>
            <w:pPr>
              <w:rPr>
                <w:rFonts w:ascii="宋体" w:hAnsi="宋体" w:cs="宋体"/>
                <w:color w:val="000000"/>
                <w:szCs w:val="21"/>
              </w:rPr>
            </w:pPr>
          </w:p>
        </w:tc>
        <w:tc>
          <w:tcPr>
            <w:tcW w:w="469" w:type="pct"/>
            <w:vMerge w:val="continue"/>
            <w:shd w:val="clear" w:color="auto" w:fill="auto"/>
            <w:noWrap w:val="0"/>
            <w:vAlign w:val="center"/>
          </w:tcPr>
          <w:p>
            <w:pPr>
              <w:rPr>
                <w:rFonts w:ascii="宋体" w:hAnsi="宋体" w:cs="宋体"/>
                <w:color w:val="000000"/>
                <w:szCs w:val="21"/>
              </w:rPr>
            </w:pP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100×6+350×14</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5500</w:t>
            </w:r>
          </w:p>
        </w:tc>
        <w:tc>
          <w:tcPr>
            <w:tcW w:w="1577"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安宁路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140x20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兴隆南路延伸段</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700x25</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周红路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13×600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7800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南至万松东路，北至瑞祥大道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安泰路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14×320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4480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北至安康路，西至隆山东路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14×350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东至安阳路，西至塘河南路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兴民路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13×250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3250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东至拱瑞山路，西至兴隆南路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兴盛路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西至兴隆南路西，东至拱瑞山路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w:t>
            </w:r>
          </w:p>
        </w:tc>
        <w:tc>
          <w:tcPr>
            <w:tcW w:w="118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集云山小学对面</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30×250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7500</w:t>
            </w:r>
          </w:p>
        </w:tc>
        <w:tc>
          <w:tcPr>
            <w:tcW w:w="157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vMerge w:val="continue"/>
            <w:shd w:val="clear" w:color="auto" w:fill="auto"/>
            <w:noWrap w:val="0"/>
            <w:vAlign w:val="center"/>
          </w:tcPr>
          <w:p>
            <w:pPr>
              <w:rPr>
                <w:rFonts w:ascii="宋体" w:hAnsi="宋体" w:cs="宋体"/>
                <w:color w:val="000000"/>
                <w:szCs w:val="21"/>
              </w:rPr>
            </w:pPr>
          </w:p>
        </w:tc>
        <w:tc>
          <w:tcPr>
            <w:tcW w:w="1183" w:type="pct"/>
            <w:vMerge w:val="continue"/>
            <w:shd w:val="clear" w:color="auto" w:fill="auto"/>
            <w:noWrap w:val="0"/>
            <w:vAlign w:val="center"/>
          </w:tcPr>
          <w:p>
            <w:pPr>
              <w:rPr>
                <w:rFonts w:ascii="宋体" w:hAnsi="宋体" w:cs="宋体"/>
                <w:color w:val="000000"/>
                <w:szCs w:val="21"/>
              </w:rPr>
            </w:pPr>
          </w:p>
        </w:tc>
        <w:tc>
          <w:tcPr>
            <w:tcW w:w="469"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120x21</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2520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集云佳园桥至莘阳大道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开发路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12×600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南至耀华路，北至兴隆南路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10×300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北至隆山东路，南至耀华路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李祠街</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7×350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2450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西至瑞祥大道，东至隆山东路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隆裕路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东至兴隆南路廷伸，西至瑞祥大道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山前路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南至耀华路，北至李祠街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耀华路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19×350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6650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西至瑞祥大道，东至万隆花园</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光明路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12×400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南至耀华路，北至兴隆南路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宝隆路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12×400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南至耀华路北至农贸市场西大门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兴达路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15×350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5250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北至隆山东路，南至仲容路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兴达路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15×350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5250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8、19幢至1幢前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解放东路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18×300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5400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西至商城大道东至塘河边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38</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岭下东路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15×300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西至岭安路东至罗阳大厦后街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39</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东安路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15×300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北至万松路南至塘河北路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16×450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东至高架桥西至解放东路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41</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塘中新路</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10×150</w:t>
            </w:r>
          </w:p>
        </w:tc>
        <w:tc>
          <w:tcPr>
            <w:tcW w:w="70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57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南至隆山路北至塘河南路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塘河北路河边景观带</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0"/>
            <w:vAlign w:val="center"/>
          </w:tcPr>
          <w:p>
            <w:pPr>
              <w:jc w:val="center"/>
              <w:rPr>
                <w:rFonts w:hint="eastAsia" w:ascii="宋体" w:hAnsi="宋体" w:cs="宋体"/>
                <w:color w:val="000000"/>
                <w:szCs w:val="21"/>
              </w:rPr>
            </w:pPr>
          </w:p>
        </w:tc>
        <w:tc>
          <w:tcPr>
            <w:tcW w:w="704" w:type="pct"/>
            <w:shd w:val="clear" w:color="auto" w:fill="auto"/>
            <w:noWrap w:val="0"/>
            <w:vAlign w:val="center"/>
          </w:tcPr>
          <w:p>
            <w:pPr>
              <w:jc w:val="center"/>
              <w:rPr>
                <w:rFonts w:ascii="宋体" w:hAnsi="宋体"/>
                <w:szCs w:val="21"/>
              </w:rPr>
            </w:pPr>
          </w:p>
        </w:tc>
        <w:tc>
          <w:tcPr>
            <w:tcW w:w="1577" w:type="pct"/>
            <w:shd w:val="clear" w:color="auto" w:fill="auto"/>
            <w:noWrap/>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84"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43</w:t>
            </w:r>
          </w:p>
        </w:tc>
        <w:tc>
          <w:tcPr>
            <w:tcW w:w="118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飞云花园边街心公园</w:t>
            </w:r>
          </w:p>
        </w:tc>
        <w:tc>
          <w:tcPr>
            <w:tcW w:w="4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783" w:type="pct"/>
            <w:shd w:val="clear" w:color="auto" w:fill="auto"/>
            <w:noWrap/>
            <w:vAlign w:val="center"/>
          </w:tcPr>
          <w:p>
            <w:pPr>
              <w:jc w:val="center"/>
              <w:rPr>
                <w:rFonts w:hint="eastAsia" w:ascii="宋体" w:hAnsi="宋体" w:cs="宋体"/>
                <w:color w:val="000000"/>
                <w:szCs w:val="21"/>
              </w:rPr>
            </w:pPr>
          </w:p>
        </w:tc>
        <w:tc>
          <w:tcPr>
            <w:tcW w:w="704" w:type="pct"/>
            <w:shd w:val="clear" w:color="auto" w:fill="auto"/>
            <w:noWrap/>
            <w:vAlign w:val="center"/>
          </w:tcPr>
          <w:p>
            <w:pPr>
              <w:jc w:val="center"/>
              <w:rPr>
                <w:rFonts w:ascii="宋体" w:hAnsi="宋体"/>
                <w:szCs w:val="21"/>
              </w:rPr>
            </w:pPr>
          </w:p>
        </w:tc>
        <w:tc>
          <w:tcPr>
            <w:tcW w:w="1577" w:type="pct"/>
            <w:shd w:val="clear" w:color="auto" w:fill="auto"/>
            <w:noWrap/>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719" w:type="pct"/>
            <w:gridSpan w:val="4"/>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合计</w:t>
            </w:r>
          </w:p>
        </w:tc>
        <w:tc>
          <w:tcPr>
            <w:tcW w:w="70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291329.2</w:t>
            </w:r>
          </w:p>
        </w:tc>
        <w:tc>
          <w:tcPr>
            <w:tcW w:w="1577" w:type="pct"/>
            <w:shd w:val="clear" w:color="auto" w:fill="auto"/>
            <w:noWrap/>
            <w:vAlign w:val="center"/>
          </w:tcPr>
          <w:p>
            <w:pPr>
              <w:jc w:val="center"/>
              <w:rPr>
                <w:rFonts w:hint="eastAsia" w:ascii="宋体" w:hAnsi="宋体" w:cs="宋体"/>
                <w:b/>
                <w:bCs/>
                <w:color w:val="000000"/>
                <w:szCs w:val="21"/>
              </w:rPr>
            </w:pPr>
          </w:p>
        </w:tc>
      </w:tr>
    </w:tbl>
    <w:p>
      <w:pPr>
        <w:pStyle w:val="2"/>
        <w:rPr>
          <w:rFonts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31"/>
        <w:gridCol w:w="2073"/>
        <w:gridCol w:w="433"/>
        <w:gridCol w:w="2612"/>
        <w:gridCol w:w="1063"/>
        <w:gridCol w:w="235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0"/>
            <w:vAlign w:val="center"/>
          </w:tcPr>
          <w:p>
            <w:pPr>
              <w:jc w:val="center"/>
              <w:rPr>
                <w:rFonts w:ascii="宋体" w:hAnsi="宋体" w:cs="宋体"/>
                <w:b/>
                <w:bCs/>
                <w:color w:val="000000"/>
                <w:szCs w:val="21"/>
                <w:u w:val="single"/>
              </w:rPr>
            </w:pPr>
            <w:r>
              <w:rPr>
                <w:rFonts w:hint="eastAsia" w:ascii="宋体" w:hAnsi="宋体" w:cs="宋体"/>
                <w:b/>
                <w:bCs/>
                <w:color w:val="000000"/>
                <w:szCs w:val="21"/>
              </w:rPr>
              <w:t xml:space="preserve">4、安阳 </w:t>
            </w:r>
            <w:r>
              <w:rPr>
                <w:rFonts w:ascii="宋体" w:hAnsi="宋体" w:cs="宋体"/>
                <w:b/>
                <w:bCs/>
                <w:color w:val="000000"/>
                <w:kern w:val="2"/>
                <w:szCs w:val="21"/>
              </w:rPr>
              <w:t>街道四级道路环卫作业工程量清单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114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239"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道路级别</w:t>
            </w:r>
          </w:p>
        </w:tc>
        <w:tc>
          <w:tcPr>
            <w:tcW w:w="1441"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58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129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vMerge w:val="continue"/>
            <w:noWrap w:val="0"/>
            <w:vAlign w:val="center"/>
          </w:tcPr>
          <w:p>
            <w:pPr>
              <w:rPr>
                <w:rFonts w:ascii="宋体" w:hAnsi="宋体" w:cs="宋体"/>
                <w:color w:val="000000"/>
                <w:szCs w:val="21"/>
              </w:rPr>
            </w:pPr>
          </w:p>
        </w:tc>
        <w:tc>
          <w:tcPr>
            <w:tcW w:w="1144" w:type="pct"/>
            <w:vMerge w:val="continue"/>
            <w:noWrap w:val="0"/>
            <w:vAlign w:val="center"/>
          </w:tcPr>
          <w:p>
            <w:pPr>
              <w:rPr>
                <w:rFonts w:ascii="宋体" w:hAnsi="宋体" w:cs="宋体"/>
                <w:color w:val="000000"/>
                <w:szCs w:val="21"/>
              </w:rPr>
            </w:pPr>
          </w:p>
        </w:tc>
        <w:tc>
          <w:tcPr>
            <w:tcW w:w="239" w:type="pct"/>
            <w:vMerge w:val="continue"/>
            <w:noWrap w:val="0"/>
            <w:vAlign w:val="center"/>
          </w:tcPr>
          <w:p>
            <w:pPr>
              <w:rPr>
                <w:rFonts w:ascii="宋体" w:hAnsi="宋体" w:cs="宋体"/>
                <w:color w:val="000000"/>
                <w:szCs w:val="21"/>
              </w:rPr>
            </w:pPr>
          </w:p>
        </w:tc>
        <w:tc>
          <w:tcPr>
            <w:tcW w:w="1441" w:type="pct"/>
            <w:vMerge w:val="continue"/>
            <w:noWrap w:val="0"/>
            <w:vAlign w:val="center"/>
          </w:tcPr>
          <w:p>
            <w:pPr>
              <w:rPr>
                <w:rFonts w:ascii="宋体" w:hAnsi="宋体" w:cs="宋体"/>
                <w:color w:val="000000"/>
                <w:szCs w:val="21"/>
              </w:rPr>
            </w:pPr>
          </w:p>
        </w:tc>
        <w:tc>
          <w:tcPr>
            <w:tcW w:w="586" w:type="pct"/>
            <w:vMerge w:val="continue"/>
            <w:noWrap w:val="0"/>
            <w:vAlign w:val="center"/>
          </w:tcPr>
          <w:p>
            <w:pPr>
              <w:rPr>
                <w:rFonts w:ascii="宋体" w:hAnsi="宋体" w:cs="宋体"/>
                <w:color w:val="000000"/>
                <w:szCs w:val="21"/>
              </w:rPr>
            </w:pPr>
          </w:p>
        </w:tc>
        <w:tc>
          <w:tcPr>
            <w:tcW w:w="1297"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A</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周湖村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10530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清荷小区（属周湖村）</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10×400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安强路以东含小区周边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新湖花园路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西瑞祥大道至东新湖花园A幢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瑞祥大道22幢后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新湖路西首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瑞祥大道948号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打私宿舍内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新湖花园南首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新湖花园A幢后</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瑞祥大道18-22幢之间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西瑞祥大道至东新湖花园A幢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瑞祥大道20幢至安吉路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9×270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2430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含4个至瑞祥大道出口</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B</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杨家桥村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4760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马鞍山路后侧</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东至安阳路  西至杨家桥村18间（清莲小区内以北）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瑞祥大道后侧18-27间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安阳路与瑞祥交接处（清莲小区内）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安阳东路建建房道路3厕</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南至瑞祥大道，北至山边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C</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瑞阳社区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3911</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安阳路10幢后面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4.5×134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603</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安阳大厦北首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土地局宿舍6幢后面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南方大厦东首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土地局宿舍7幢后面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7×34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238</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南方大厦东首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土地局宿舍5幢后面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14×35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南方大厦东首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瑞嘉城酒店边后面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16×35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南方大厦东首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瑞嘉城酒店边（路）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8×95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南方大厦东首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南方大厦边</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8×95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西至瑞祥大道，东至土地局宿舍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变电所宿舍后面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农村信用合作社西首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D</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杨家桥村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3790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杨家桥北路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安阳***对面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云海二期南首1-2幢之间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安阳***对面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云海二期南首2-3幢之间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安阳***对面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云海二期南首3-4幢之间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13×40+7×40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安阳***对面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云海二期南首1-4幢之间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E</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祥云社区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30295</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19幢至万家大厦</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120×8.2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8幢至万松东路（万家大厦东首）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120×15.2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1824</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A幢至万松东路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A幢至万事好路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120×13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万事好路至菜市场楼</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A幢至5幢东首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150×10－150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D幢至东方花苑</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17，18，19幢南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220×18-190×4.7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3067</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4，5幢南首（4幢-万家）</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100×15.5－80×6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1070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4，5幢北首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100×15.5－80×6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1070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A幢B8幢南首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10幢南--8幢北（罗阳--华泰）</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300×18－100×3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5100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E幢北至F幢南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szCs w:val="21"/>
              </w:rPr>
            </w:pPr>
          </w:p>
        </w:tc>
        <w:tc>
          <w:tcPr>
            <w:tcW w:w="1144"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华泰路以东阳光小区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szCs w:val="21"/>
              </w:rPr>
            </w:pPr>
          </w:p>
        </w:tc>
        <w:tc>
          <w:tcPr>
            <w:tcW w:w="1297"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阳光28幢南华泰路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21幢南至29幢南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23幢27幢周围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p>
        </w:tc>
        <w:tc>
          <w:tcPr>
            <w:tcW w:w="58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20幢东首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24幢南26幢北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25×60－65　</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1435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26幢北28幢南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25×60－65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1435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F</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周家桥小区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33405</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szCs w:val="21"/>
              </w:rPr>
            </w:pPr>
          </w:p>
        </w:tc>
        <w:tc>
          <w:tcPr>
            <w:tcW w:w="1144"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老宅区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szCs w:val="21"/>
              </w:rPr>
            </w:pPr>
          </w:p>
        </w:tc>
        <w:tc>
          <w:tcPr>
            <w:tcW w:w="1297"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17-19幢南首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20×145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南至周红路，东至周家桥大桥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老宅河边</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9×80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北至瑞祥二期，西至周家桥大桥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老宅出口</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385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18幢对面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老宅内横路二条</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12×130+18×130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3900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西周红路至东河边路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p>
        </w:tc>
        <w:tc>
          <w:tcPr>
            <w:tcW w:w="1144"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新宅</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szCs w:val="21"/>
              </w:rPr>
            </w:pPr>
          </w:p>
        </w:tc>
        <w:tc>
          <w:tcPr>
            <w:tcW w:w="1297"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7．5×330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2475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8-14幢-老宅</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8×330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2640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20幢河边-老宅</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9×330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2970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河边道路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20-21幢南首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20-21幢北首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20幢东首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18-16幢之间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38×100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3800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16-14幢之间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8-6幢之间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14-12幢之间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12-11幢之间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5-7幢之间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11-13幢之间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7-9幢之间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13-15幢之间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22×35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770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G</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渔墩村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4030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火车站38弄3幢南首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东至罗阳大道,至西河边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火车站38弄2幢北首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910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东至罗阳大道,至西河边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火车站38弄4幢西首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北瑞祥大道至3幢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火车站38弄4-3-2幢之间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80×90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H</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华祥家园（东南大厦）</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12650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东南大厦-华祥家园5幢东首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东南大厦-华祥家园5幢西首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180×5.5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990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1幢-2幢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80×17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2幢-3幢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3幢-4幢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4幢-5幢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东罗阳大道（东南大厦北首）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东南大厦北罗阳大道1弄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I</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进源社区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34640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进源路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安阳菜市场南首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开河路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西至安泰路，东至河边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隆山东路297弄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300×5+700×7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隆山东路381弄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400×11+150×6×2+100×6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隆山东路417弄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7.5×220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安泰路35弄（含绿化0.25）</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0.75（300×12+100×8）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安康330弄（同上）</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0.75（100×8+80×12）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安康331弄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安康333弄（含绿化0.25）</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0.75（150×12+100×7）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安康377弄（含绿化0.25）</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0.75（120×15+100×7）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安盛路45弄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安盛路63弄（含绿化0.25）</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0.75（100×12+100×6）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安盛路99弄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安盛路101弄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安盛路133弄（含绿化0.25）</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0.75（100×12+100×10）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安康路293弄（含绿化0.25）</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0.75（100×12+80×6）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石油宿舍白岩桥返回地</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北至安盛路，西至安康路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安阳路至文化宿舍后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新中医院北首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新华书店南侧</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西至安盛路，北至安阳路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J</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岭下村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15800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97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国际酒店西侧道路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北至万松东路，南至塘河北路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岭下小区</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300×13＋350×17＋250×11＋50×18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安民路东首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K</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塘根村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1950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99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安康路225弄后门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安康路225弄3幢2号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安阳菜场西大门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北至安康路，南至安泰路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p>
        </w:tc>
        <w:tc>
          <w:tcPr>
            <w:tcW w:w="1144" w:type="pct"/>
            <w:shd w:val="clear" w:color="auto" w:fill="auto"/>
            <w:noWrap w:val="0"/>
            <w:vAlign w:val="center"/>
          </w:tcPr>
          <w:p>
            <w:pPr>
              <w:jc w:val="center"/>
              <w:rPr>
                <w:rFonts w:ascii="宋体" w:hAnsi="宋体"/>
                <w:szCs w:val="21"/>
              </w:rPr>
            </w:pPr>
          </w:p>
        </w:tc>
        <w:tc>
          <w:tcPr>
            <w:tcW w:w="239" w:type="pct"/>
            <w:shd w:val="clear" w:color="auto" w:fill="auto"/>
            <w:noWrap w:val="0"/>
            <w:vAlign w:val="center"/>
          </w:tcPr>
          <w:p>
            <w:pPr>
              <w:jc w:val="center"/>
              <w:rPr>
                <w:rFonts w:ascii="宋体" w:hAnsi="宋体"/>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szCs w:val="21"/>
              </w:rPr>
            </w:pPr>
          </w:p>
        </w:tc>
        <w:tc>
          <w:tcPr>
            <w:tcW w:w="1297"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L</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华瑞社区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3150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vMerge w:val="restar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102</w:t>
            </w:r>
          </w:p>
        </w:tc>
        <w:tc>
          <w:tcPr>
            <w:tcW w:w="114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万松东路381弄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东至万松东路，西至塘河北路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vMerge w:val="continue"/>
            <w:shd w:val="clear" w:color="auto" w:fill="auto"/>
            <w:noWrap w:val="0"/>
            <w:vAlign w:val="center"/>
          </w:tcPr>
          <w:p>
            <w:pPr>
              <w:rPr>
                <w:rFonts w:ascii="宋体" w:hAnsi="宋体" w:cs="宋体"/>
                <w:color w:val="000000"/>
                <w:szCs w:val="21"/>
              </w:rPr>
            </w:pPr>
          </w:p>
        </w:tc>
        <w:tc>
          <w:tcPr>
            <w:tcW w:w="1144" w:type="pct"/>
            <w:vMerge w:val="continue"/>
            <w:shd w:val="clear" w:color="auto" w:fill="auto"/>
            <w:noWrap w:val="0"/>
            <w:vAlign w:val="center"/>
          </w:tcPr>
          <w:p>
            <w:pPr>
              <w:rPr>
                <w:rFonts w:ascii="宋体" w:hAnsi="宋体" w:cs="宋体"/>
                <w:color w:val="000000"/>
                <w:szCs w:val="21"/>
              </w:rPr>
            </w:pP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12×75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西至拱瑞山路，东至建行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建砂台大楼</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烟草公司大楼后门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M</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风荷社区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3538.2</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石桥</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48×8.5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408</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南起自动铁门北至石桥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佳幼路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335×7.2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2412</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南起石桥北至安阳路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风荷服务中心环路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133×5.4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718.2</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东起铁门西至佳园路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风荷社区科普长廊前</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p>
        </w:tc>
        <w:tc>
          <w:tcPr>
            <w:tcW w:w="586" w:type="pct"/>
            <w:shd w:val="clear" w:color="auto" w:fill="auto"/>
            <w:noWrap w:val="0"/>
            <w:vAlign w:val="center"/>
          </w:tcPr>
          <w:p>
            <w:pPr>
              <w:jc w:val="center"/>
              <w:rPr>
                <w:rFonts w:ascii="宋体" w:hAnsi="宋体"/>
                <w:szCs w:val="21"/>
              </w:rPr>
            </w:pPr>
          </w:p>
        </w:tc>
        <w:tc>
          <w:tcPr>
            <w:tcW w:w="129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南起科普长廊北至幼儿园</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N</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筼筜桥村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17018</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小区内的中心路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浃底河边小路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安阳路的后面小路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老村19幢、21幢前后间距</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16×13+100×6+70×6+50×15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1978</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小区内前后间距长宽总和</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15×560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筼筜桥小区内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14×160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南至安阳路，东至狭底河桥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O</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安康路450弄</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3010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弄内河边道路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弄内北首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18×110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1980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弄内南首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弄内至安康路口</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P</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望湖家园</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53642.4</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望湖家园河边道路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王氏祠堂前后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何氏祠堂南首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22-24幢之间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1170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24-26幢之间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26-28幢之间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28-30幢之间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30-32幢之间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32-34幢之间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25-27幢之间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29-31幢之间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1140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31-33幢之间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37-39幢之间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18幢-12幢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100×18.5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19幢-13幢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72×11.2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806.4</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17幢-11幢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100×21.5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17幢-11幢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110×12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11幢-13幢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3800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19幢-14幢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57×20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1140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13幢-14幢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57×19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1083</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18幢-15幢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60×22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15幢-12幢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60×19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1140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17幢-16幢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36×22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792</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16幢-11幢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36×22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792</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13幢东首花坛</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43×14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602</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望湖家园34幢至38幢之间道路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65*11</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红光村老人公寓</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p>
        </w:tc>
        <w:tc>
          <w:tcPr>
            <w:tcW w:w="58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4333</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华峰专家楼前</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南至塘河北路，北至万松路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银座大厦南（罗阳-专家楼）</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11×100－12×3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1064</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万湖家园商住楼东首路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20×310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南至塘河边，北至万松路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万湖家园商住楼南首路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望湖家园20幢前道坦</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21×35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735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望湖大厦东首路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万湖家园商住楼西首路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Q</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其他</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32220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罗阳大道集云实验门口道路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东至罗阳大道西至集云实验门口</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罗阳大道至金色家园门口道路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10×400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万顺锦园前路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则诚路（罗阳-开泰-安康）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12×300－200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大润发西北边路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12×280－3×50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3210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东至罗阳大道，西至安康路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新湖大厦东首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南至隆山东路，北至则诚路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华昌公寓南首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安阳路8</w:t>
            </w:r>
            <w:r>
              <w:rPr>
                <w:rFonts w:ascii="宋体" w:hAnsi="宋体" w:cs="宋体"/>
                <w:color w:val="000000"/>
                <w:kern w:val="2"/>
                <w:szCs w:val="21"/>
              </w:rPr>
              <w:t>00号后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160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安阳中学南首边</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161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瑞安书城后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南至安盛路，北至塘河南路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仲容路至隆欣家园门口道路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南至隆欣家园门口，北至仲容路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拱瑞山路至陈虬路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10×400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R</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2016年新增道路</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7834</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164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嘉宝锦园与瑞都大厦之间（绿地）</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50×1+40×1+47×29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1453</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嘉宁路至河边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嘉宝锦园与瑞都大厦 之间道路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总面积（65×53）- 绿地（1453）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1992</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嘉宁路至河边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嘉宝锦园与瑞都大厦之间（小桥绿化）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桥上中间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嘉宝锦园与瑞都大厦之间（小桥）</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36×20-50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670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河面中间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汇锦大厦后面小路（绿地）</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70×6</w:t>
            </w:r>
          </w:p>
        </w:tc>
        <w:tc>
          <w:tcPr>
            <w:tcW w:w="586" w:type="pct"/>
            <w:shd w:val="clear" w:color="auto" w:fill="auto"/>
            <w:noWrap w:val="0"/>
            <w:vAlign w:val="center"/>
          </w:tcPr>
          <w:p>
            <w:pPr>
              <w:jc w:val="center"/>
              <w:rPr>
                <w:rFonts w:hint="eastAsia" w:ascii="宋体" w:hAnsi="宋体" w:cs="宋体"/>
                <w:color w:val="000000"/>
                <w:szCs w:val="21"/>
              </w:rPr>
            </w:pPr>
          </w:p>
        </w:tc>
        <w:tc>
          <w:tcPr>
            <w:tcW w:w="129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汇锦大厦后面至河边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汇锦大厦后面小路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总面积（100×15）- 绿地（420）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汇锦大厦后面至河边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汇锦大厦南首路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58×27.5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1595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莘阳大道至河边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汇锦大厦北首路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58×18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1044</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莘阳大道至河边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S</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周湖村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13260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拱瑞山路3-5幢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50×16+10×70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拱瑞山路至安康路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周湖小区</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98×120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11760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南方大厦对面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T</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塘根村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18875</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安康路8幢前门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安康路127弄前门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12×250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安康路127弄6幢前门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兴达路11幢后门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兴达路10幢后门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兴达路12幢后门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180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兴达路13、14幢后门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181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兴达路18幢后门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182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兴隆南路后门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183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兴民路一弄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8×250+11×200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包含兴民路二弄及周边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U</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兴隆社区</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48346.4</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184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塘河南路河边道路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p>
        </w:tc>
        <w:tc>
          <w:tcPr>
            <w:tcW w:w="58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2066.4</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北至塘河，南至安瑞幼儿园</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粮食局宿舍南首道路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东至安康路，西至瑞祥一期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隆山小学东河边道路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西至安康路，北至塘河南路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街心公园西首道路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南至隆山东路，北至塘河南路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新长虹健康城内</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安康路以北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隆山东路233弄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10×900+8×700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隆山东路97弄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隆山东路95弄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隆山东路295弄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w:t>
            </w:r>
            <w:r>
              <w:rPr>
                <w:rFonts w:ascii="宋体" w:hAnsi="宋体" w:cs="宋体"/>
                <w:color w:val="000000"/>
                <w:kern w:val="2"/>
                <w:szCs w:val="21"/>
              </w:rPr>
              <w:t>60×12+5×200+2×200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5760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白岩桥返回地</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5×300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东至安康路，西至瑞祥一期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194</w:t>
            </w:r>
          </w:p>
        </w:tc>
        <w:tc>
          <w:tcPr>
            <w:tcW w:w="1144" w:type="pct"/>
            <w:shd w:val="clear" w:color="auto" w:fill="auto"/>
            <w:noWrap w:val="0"/>
            <w:vAlign w:val="center"/>
          </w:tcPr>
          <w:p>
            <w:pPr>
              <w:jc w:val="center"/>
              <w:rPr>
                <w:rFonts w:hint="eastAsia" w:ascii="宋体" w:hAnsi="宋体" w:cs="宋体"/>
                <w:color w:val="333333"/>
                <w:szCs w:val="21"/>
              </w:rPr>
            </w:pPr>
            <w:r>
              <w:rPr>
                <w:rFonts w:hint="eastAsia" w:ascii="宋体" w:hAnsi="宋体" w:cs="宋体"/>
                <w:color w:val="333333"/>
                <w:szCs w:val="21"/>
              </w:rPr>
              <w:t>新增绿化带改道路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p>
        </w:tc>
        <w:tc>
          <w:tcPr>
            <w:tcW w:w="58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V</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十八家村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12080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195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集云山路   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8×300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196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兴隆家园</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16×400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兴隆南路  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5-2幢之间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十八家无名路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170*14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2380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W</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白岩桥村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21445</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199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隆山路一弄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白岩桥老人公寓东首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隆山路二弄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白岩桥老人公寓东首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隆山路三弄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白岩桥老人公寓东首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自路弄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4.5×160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北至塘河南，至隆山路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自路弄一弄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204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10×900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西至商城大道东至瑞祥大道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老人公寓内</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p>
        </w:tc>
        <w:tc>
          <w:tcPr>
            <w:tcW w:w="58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隆山路A1和A3幢之间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90×18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隆山A3幢北首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90×18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隆山路A1和A3幢西首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酒厂宿舍南面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西至商城大道东至墙围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白岩桥2幢和3幢之间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东至塘中新路，西至张宅巷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张宅巷1幢和2幢之间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东至塘中新路，西至张宅巷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张宅巷</w:t>
            </w:r>
            <w:r>
              <w:rPr>
                <w:rFonts w:ascii="宋体" w:hAnsi="宋体" w:cs="宋体"/>
                <w:b/>
                <w:bCs/>
                <w:color w:val="000000"/>
                <w:kern w:val="2"/>
                <w:szCs w:val="21"/>
              </w:rPr>
              <w:t>1</w:t>
            </w:r>
            <w:r>
              <w:rPr>
                <w:rFonts w:ascii="宋体" w:hAnsi="宋体" w:cs="宋体"/>
                <w:color w:val="000000"/>
                <w:kern w:val="2"/>
                <w:szCs w:val="21"/>
              </w:rPr>
              <w:t>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东至塘中新路，西至张宅巷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张宅巷和心河路交界</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隆山路96-100号北首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龙山东路以南瑞祥大道以北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北至龙山路东至瑞祥大道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龙山东路3幢南首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50×3.5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东至龙山东路，西至白岩桥老人公寓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白岩桥老人公寓门口东首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910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北至隆山路，东至龙山东路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X</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岭下村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24015</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217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9×180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北至万松路南至解放东路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东门菜市场路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22×120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北至万松路南至塘河北路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岭下东路一弄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220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岭下东路二弄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221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岭下路五弄(交通大厦后巷)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西至交通大厦转盘东至新王朝酒店后边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老人公寓</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6×300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万松路北边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岭下工业区</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17×100路口</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阳光酒店西侧木材市场路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南至阳光路北至阳光北路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东门菜市场东大门巷弄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北至岭下东路南至塘河北路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罗阳大厦西首巷弄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北至万松路南至塘河北路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岭下东路北首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东至万松路179号，西至岭安路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岭下东路143-145号之间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南至塘河北路，北至万松路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塘河北路20号西首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10×6×2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南至白岩桥，北至解放东路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岭下办公楼南首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东至岭下路，西至商城大道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商城大道47号东首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30×3　</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新王朝东首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南至万松路，北至瑞湖路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万松东路16号北首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南至万松路，北至瑞湖路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万松东路42弄15号-23南首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北至新王朝酒店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万松东路16北首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50×3.5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东至岭下老人公寓，西至万松东路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万松东路42弄1-12北首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东至岭下老人公寓，西至万松东路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万松宾馆西首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南至万松路，北至老人公寓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万松宾馆东首老年宫前</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南至万松东路北至市乡镇工业局宿舍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万松东路80号东首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南至万松东路北至胡同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万松东路84北首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南至万松东路北至</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万松东路86公路段宿舍院内</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人武部宿舍院内</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阳光北路15幢北首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阳光北路15幢与17幢之间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阳光北路17幢南首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150×13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Y</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周湖村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15335</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vMerge w:val="restar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246</w:t>
            </w:r>
          </w:p>
        </w:tc>
        <w:tc>
          <w:tcPr>
            <w:tcW w:w="114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学明路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vMerge w:val="continue"/>
            <w:shd w:val="clear" w:color="auto" w:fill="auto"/>
            <w:noWrap w:val="0"/>
            <w:vAlign w:val="center"/>
          </w:tcPr>
          <w:p>
            <w:pPr>
              <w:rPr>
                <w:rFonts w:ascii="宋体" w:hAnsi="宋体" w:cs="宋体"/>
                <w:color w:val="000000"/>
                <w:szCs w:val="21"/>
              </w:rPr>
            </w:pPr>
          </w:p>
        </w:tc>
        <w:tc>
          <w:tcPr>
            <w:tcW w:w="1144" w:type="pct"/>
            <w:vMerge w:val="continue"/>
            <w:shd w:val="clear" w:color="auto" w:fill="auto"/>
            <w:noWrap w:val="0"/>
            <w:vAlign w:val="center"/>
          </w:tcPr>
          <w:p>
            <w:pPr>
              <w:rPr>
                <w:rFonts w:ascii="宋体" w:hAnsi="宋体" w:cs="宋体"/>
                <w:color w:val="000000"/>
                <w:szCs w:val="21"/>
              </w:rPr>
            </w:pP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老人公寓门口</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70×12+10×250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南至阳光北路西至老人公寓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周湖村5幢与3幢之间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周湖村3幢与6幢之间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周湖村6幢西首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w:t>
            </w:r>
            <w:r>
              <w:rPr>
                <w:rFonts w:ascii="宋体" w:hAnsi="宋体" w:cs="宋体"/>
                <w:color w:val="000000"/>
                <w:kern w:val="2"/>
                <w:szCs w:val="21"/>
              </w:rPr>
              <w:t>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周湖路3、5、6幢和周湖路94之间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东瑞祥大道，西阳光路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阳光路11-13号南首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253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周湖加油站西首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阳光北路北首至万松山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阳光北路30号西首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阳光北路北首至万松山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阳光北路8幢东首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阳光北路北首至万松山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阳光北路8幢西首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阳光北路北首至万松山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阳光北路116号北首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阳光北路北首至万松山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阳光北路8幢，116号北首和阳光北路138号北首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阳光北路北首至万松山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阳光北路16幢东首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阳光北路16幢后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阳光北路16幢和18幢之间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南至阳光北路，北至万松山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万松中学操场南首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阳光北路18幢北首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阳光北路18幢西首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阳光北路20幢北首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东至阳光北路，西老人公寓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阳光北路人和春天后面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Z</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塘根村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19575</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环河路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南至隆山路北至塘河南路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石坦巷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8.5×150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东至新河路西至张宅巷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万福路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根坛街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7×210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1470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东至塘中新路西至石坦巷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塘中新路22、14、6幢后门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塘中新路13、7、3幢后门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8×300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南至隆山中学北至塘河南路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新河路一弄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新河路东首南到隆山中学</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新河路二弄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新河路东首南到隆山中学</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新河路一弄前门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8×35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隆山中学北首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新河路二弄前门</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隆山中学北首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新河路二弄边</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老人公寓</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塘中新路1幢与5幢之间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1幢与5幢之间南北走向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塘中新路16、8幢与12、18幢之间（包括12、18幢花坛）10幢西首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东西走向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塘河新路11、17南首（包括花坛）</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东西走向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新河路85号至97号北首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东至瑞祥大道西至新河路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新河路8号后面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东至塘河，西至新河路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塘中新路19、21与9、17幢之间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南至新河路，北至塘河</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新河路（加宽）</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南隆山中学，北至隆山路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I</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三圣门村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51711</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287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柏屏街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12×220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东至商城大道，西至菜场西路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柏屏后巷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栢屏后街北首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小东门街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9×500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东至商城大道西至硐桥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三圣门河(中路)菜场南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13×300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3900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东至商城大道，西至菜场路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三圣门河(中路)菜场北</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东至商城大道，西至菜场路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环城河二巷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环城河三巷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望江菜市场</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70×150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4×110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南至小东门街，北至菜市场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三圣门1弄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2.5×40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商城大道西首，南至小东门街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三圣门2弄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三圣门3弄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三圣门8弄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棚下菜场西首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三圣门9弄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棚下菜场西首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南至小东门路北至菜市场南路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高桥路1巷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高桥路东首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高桥路2巷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高桥路东首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瑞光大道一巷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南至商城北路，北至机场路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瑞光大道二巷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南至商城北路，北至机场路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瑞光大道三巷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w:t>
            </w:r>
            <w:r>
              <w:rPr>
                <w:rFonts w:ascii="宋体" w:hAnsi="宋体" w:cs="宋体"/>
                <w:color w:val="000000"/>
                <w:kern w:val="2"/>
                <w:szCs w:val="21"/>
              </w:rPr>
              <w:t>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北至机场路，南至河边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瑞光大道四巷及支路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w:t>
            </w:r>
            <w:r>
              <w:rPr>
                <w:rFonts w:ascii="宋体" w:hAnsi="宋体" w:cs="宋体"/>
                <w:color w:val="000000"/>
                <w:kern w:val="2"/>
                <w:szCs w:val="21"/>
              </w:rPr>
              <w:t>4＋40×4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北至瑞光大道南至新城北路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瑞光大道一巷和二巷之间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w:t>
            </w:r>
            <w:r>
              <w:rPr>
                <w:rFonts w:ascii="宋体" w:hAnsi="宋体" w:cs="宋体"/>
                <w:color w:val="000000"/>
                <w:kern w:val="2"/>
                <w:szCs w:val="21"/>
              </w:rPr>
              <w:t>15＋80×6＋80×6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西至瑞光大道一巷北至瑞光大道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瑞光大道二巷和三巷之间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w:t>
            </w:r>
            <w:r>
              <w:rPr>
                <w:rFonts w:ascii="宋体" w:hAnsi="宋体" w:cs="宋体"/>
                <w:color w:val="000000"/>
                <w:kern w:val="2"/>
                <w:szCs w:val="21"/>
              </w:rPr>
              <w:t>10＋80×6＋80×6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东至第三巷南至商城北路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东方足浴东首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北至瑞光大道南至商城北路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机场路2幢路政大道一中队院内支路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60×8＋50×5＋80×8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1370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北至瑞光大道南至商城北路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瑞光大道126号与126的东首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100×10＋30×3×5＋80×2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1610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北至瑞光大道南至商城北路支路瑞光大道第三巷西首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三圣门路4弄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60×2.5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三圣门路小弄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商城大道92号后弄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三圣门路18号西首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10×3＋10×5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三圣门路西首，高桥路东首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三圣门路5弄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50×3＋40×1.5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铁蓬下菜市场西首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三圣门路6弄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50×2.5＋30×2.5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319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三圣门路7弄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80×2.5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320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新建路2幢菜场东</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2幢南首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新建路2幢和3幢之间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东至商城大道，西至三圣门路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新建路3幢和4幢之间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东至商城大道，西至三圣门路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新建路5幢和6幢之间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东至长松园，西至三圣门路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新建路6幢和7幢之间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东至长松园，西至三圣门路菜场北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新建路7幢和8幢之间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东至新苗幼儿园，西至三圣门路菜场北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新建路8幢和9幢之间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东至新苗幼儿园，西至三圣门路菜场北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新建路9幢和瑞兴水暖之间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东至新苗幼儿园，西至三圣门路菜场北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长松园1-4单元</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栢屏街北首长松园内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新苗幼儿园西首和新建路5、6、7、8、9幢之间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南至栢屏街北至新苗幼儿园</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柏屏后巷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50×1.5＋50×1.5＋30×3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331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柏屏后巷43号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前面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柏屏后巷37号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后面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柏屏后巷47号</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前面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柏屏后巷67号和69号之间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后面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菜场路9弄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菜市场西首北面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菜场路9弄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菜市场西首南面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菜场路1弄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高桥巷西首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菜场路2弄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高桥巷西首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菜场路3弄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高桥巷西首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菜场路4弄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高桥巷西首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小东门街7-1号西首</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40×6＋20×4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小东门街8号以东和以南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342</w:t>
            </w:r>
          </w:p>
        </w:tc>
        <w:tc>
          <w:tcPr>
            <w:tcW w:w="1144"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商城正品街道路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82×18</w:t>
            </w:r>
          </w:p>
        </w:tc>
        <w:tc>
          <w:tcPr>
            <w:tcW w:w="58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1476</w:t>
            </w:r>
          </w:p>
        </w:tc>
        <w:tc>
          <w:tcPr>
            <w:tcW w:w="129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商城前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J</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其他</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2000</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三圣门老人公寓</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p>
        </w:tc>
        <w:tc>
          <w:tcPr>
            <w:tcW w:w="58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K</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2016年新增道路</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jc w:val="center"/>
              <w:rPr>
                <w:rFonts w:ascii="宋体" w:hAnsi="宋体"/>
                <w:szCs w:val="21"/>
              </w:rPr>
            </w:pPr>
          </w:p>
        </w:tc>
        <w:tc>
          <w:tcPr>
            <w:tcW w:w="586"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23266.7</w:t>
            </w:r>
          </w:p>
        </w:tc>
        <w:tc>
          <w:tcPr>
            <w:tcW w:w="1297" w:type="pct"/>
            <w:shd w:val="clear" w:color="auto" w:fill="auto"/>
            <w:noWrap w:val="0"/>
            <w:vAlign w:val="center"/>
          </w:tcPr>
          <w:p>
            <w:pPr>
              <w:jc w:val="center"/>
              <w:rPr>
                <w:rFonts w:hint="eastAsia"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szCs w:val="21"/>
              </w:rPr>
            </w:pPr>
          </w:p>
        </w:tc>
        <w:tc>
          <w:tcPr>
            <w:tcW w:w="1144"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十八家村</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rPr>
                <w:rFonts w:ascii="宋体" w:hAnsi="宋体"/>
                <w:szCs w:val="21"/>
              </w:rPr>
            </w:pPr>
          </w:p>
        </w:tc>
        <w:tc>
          <w:tcPr>
            <w:tcW w:w="586" w:type="pct"/>
            <w:shd w:val="clear" w:color="auto" w:fill="auto"/>
            <w:noWrap w:val="0"/>
            <w:vAlign w:val="center"/>
          </w:tcPr>
          <w:p>
            <w:pPr>
              <w:rPr>
                <w:rFonts w:ascii="宋体" w:hAnsi="宋体"/>
                <w:szCs w:val="21"/>
              </w:rPr>
            </w:pPr>
          </w:p>
        </w:tc>
        <w:tc>
          <w:tcPr>
            <w:tcW w:w="1297"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十八家开发路北首河边路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58×6.1+23×8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537.8</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北起隆山东路南至大榕树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十八家公厕绿化带</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58×6.4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371.2</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北起隆山东路南至大榕树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公厕河边小路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58×2.6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150.8</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北起隆山东路南至大榕树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十八家酒楼东首小路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33×6.2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204.6</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十八家酒楼西首小路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43×6.2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266.6</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249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十八家开发路北首河边路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78×12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936</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北起大榕树南至隆裕街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变压器边花坛</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36×15.3</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550.8</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251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十八家开发路北首河边路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164×5.4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885.6</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北起隆裕街南至开发路桥头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十八家小区</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85×11.5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977.5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十八家开发路北首</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37×17+140×8+150×8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2949</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北起桥头南至耀华路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河边三角公园</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37×18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666</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小区内三角绿化地</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24×9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小区内三角花坛</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26×10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小区内三角花坛菜地</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24×10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十八家耀华路西首</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53×9.4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498.2</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东起耀华路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耀华路（加宽）</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350×〔宽12+人行道（10+4.5）〕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2625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耀华路实际道路面积9275减标书耀华路面积6650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1、开发路南首小巷</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156×9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1404</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北起开发路5幢河边南至耀华路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2、开发路南首小巷</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410×8.5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3485</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北起南大超市后门南至开发路河边桥头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十八家河边小路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442×4.8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2121.6</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西起耀华路北至瑞祥大道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十八家老人公寓</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228×7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1596</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十八家老人公寓河边花坛道路</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34×11.5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391</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szCs w:val="21"/>
              </w:rPr>
            </w:pPr>
          </w:p>
        </w:tc>
        <w:tc>
          <w:tcPr>
            <w:tcW w:w="1144"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其他</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rPr>
                <w:rFonts w:ascii="宋体" w:hAnsi="宋体"/>
                <w:szCs w:val="21"/>
              </w:rPr>
            </w:pPr>
          </w:p>
        </w:tc>
        <w:tc>
          <w:tcPr>
            <w:tcW w:w="586" w:type="pct"/>
            <w:shd w:val="clear" w:color="auto" w:fill="auto"/>
            <w:noWrap w:val="0"/>
            <w:vAlign w:val="center"/>
          </w:tcPr>
          <w:p>
            <w:pPr>
              <w:rPr>
                <w:rFonts w:ascii="宋体" w:hAnsi="宋体"/>
                <w:szCs w:val="21"/>
              </w:rPr>
            </w:pPr>
          </w:p>
        </w:tc>
        <w:tc>
          <w:tcPr>
            <w:tcW w:w="1297"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瑞祥大道683号周边</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26×12+40×10+26×7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894</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阳光路1—3号北侧</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（20+20）×8</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阳光路1—3号东侧河边</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120×2.5</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周湖村11幢周边</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60×7</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M</w:t>
            </w:r>
          </w:p>
        </w:tc>
        <w:tc>
          <w:tcPr>
            <w:tcW w:w="1144"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2021年新增道路</w:t>
            </w:r>
          </w:p>
        </w:tc>
        <w:tc>
          <w:tcPr>
            <w:tcW w:w="239" w:type="pct"/>
            <w:shd w:val="clear" w:color="auto" w:fill="auto"/>
            <w:noWrap w:val="0"/>
            <w:vAlign w:val="center"/>
          </w:tcPr>
          <w:p>
            <w:pPr>
              <w:jc w:val="center"/>
              <w:rPr>
                <w:rFonts w:hint="eastAsia" w:ascii="宋体" w:hAnsi="宋体" w:cs="宋体"/>
                <w:b/>
                <w:bCs/>
                <w:color w:val="000000"/>
                <w:szCs w:val="21"/>
              </w:rPr>
            </w:pPr>
          </w:p>
        </w:tc>
        <w:tc>
          <w:tcPr>
            <w:tcW w:w="1441" w:type="pct"/>
            <w:shd w:val="clear" w:color="auto" w:fill="auto"/>
            <w:noWrap w:val="0"/>
            <w:vAlign w:val="center"/>
          </w:tcPr>
          <w:p>
            <w:pPr>
              <w:rPr>
                <w:rFonts w:ascii="宋体" w:hAnsi="宋体"/>
                <w:szCs w:val="21"/>
              </w:rPr>
            </w:pPr>
          </w:p>
        </w:tc>
        <w:tc>
          <w:tcPr>
            <w:tcW w:w="58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67196</w:t>
            </w:r>
          </w:p>
        </w:tc>
        <w:tc>
          <w:tcPr>
            <w:tcW w:w="1297"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269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城隍庙团块及周边</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瑞祥大道551号前</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立体停车场前面</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600</w:t>
            </w:r>
          </w:p>
        </w:tc>
        <w:tc>
          <w:tcPr>
            <w:tcW w:w="1297"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农家大院后面</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60×9</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540</w:t>
            </w:r>
          </w:p>
        </w:tc>
        <w:tc>
          <w:tcPr>
            <w:tcW w:w="1297"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瑞祥大道647号-685号 周边三角地</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4×100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w:t>
            </w:r>
          </w:p>
        </w:tc>
        <w:tc>
          <w:tcPr>
            <w:tcW w:w="1297"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阳光路1幢及周边</w:t>
            </w:r>
          </w:p>
        </w:tc>
        <w:tc>
          <w:tcPr>
            <w:tcW w:w="239"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1297"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275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祥和路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1800</w:t>
            </w:r>
          </w:p>
        </w:tc>
        <w:tc>
          <w:tcPr>
            <w:tcW w:w="1297" w:type="pct"/>
            <w:shd w:val="clear" w:color="auto" w:fill="auto"/>
            <w:noWrap w:val="0"/>
            <w:vAlign w:val="center"/>
          </w:tcPr>
          <w:p>
            <w:pPr>
              <w:jc w:val="center"/>
              <w:rPr>
                <w:rFonts w:hint="eastAsia" w:ascii="宋体" w:hAnsi="宋体" w:cs="宋体"/>
                <w:color w:val="002060"/>
                <w:szCs w:val="21"/>
              </w:rPr>
            </w:pPr>
            <w:r>
              <w:rPr>
                <w:rFonts w:hint="eastAsia" w:ascii="宋体" w:hAnsi="宋体" w:cs="宋体"/>
                <w:color w:val="002060"/>
                <w:szCs w:val="21"/>
              </w:rPr>
              <w:t>院士路到民公路，东晖华庭与滨江幼儿园瑞祥分院之间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万和锦苑与瑞馨苑之间小路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780</w:t>
            </w:r>
          </w:p>
        </w:tc>
        <w:tc>
          <w:tcPr>
            <w:tcW w:w="1297" w:type="pct"/>
            <w:shd w:val="clear" w:color="auto" w:fill="auto"/>
            <w:noWrap w:val="0"/>
            <w:vAlign w:val="center"/>
          </w:tcPr>
          <w:p>
            <w:pPr>
              <w:jc w:val="center"/>
              <w:rPr>
                <w:rFonts w:hint="eastAsia" w:ascii="宋体" w:hAnsi="宋体" w:cs="宋体"/>
                <w:color w:val="002060"/>
                <w:szCs w:val="21"/>
              </w:rPr>
            </w:pPr>
            <w:r>
              <w:rPr>
                <w:rFonts w:hint="eastAsia" w:ascii="宋体" w:hAnsi="宋体" w:cs="宋体"/>
                <w:color w:val="002060"/>
                <w:szCs w:val="21"/>
              </w:rPr>
              <w:t>院士路到石榴置业工地，万和锦苑与瑞馨苑之间小路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公用集团，瑞祥菜场，变电站前小路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180*6</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1080</w:t>
            </w:r>
          </w:p>
        </w:tc>
        <w:tc>
          <w:tcPr>
            <w:tcW w:w="1297" w:type="pct"/>
            <w:shd w:val="clear" w:color="auto" w:fill="auto"/>
            <w:noWrap w:val="0"/>
            <w:vAlign w:val="center"/>
          </w:tcPr>
          <w:p>
            <w:pPr>
              <w:jc w:val="center"/>
              <w:rPr>
                <w:rFonts w:hint="eastAsia" w:ascii="宋体" w:hAnsi="宋体" w:cs="宋体"/>
                <w:color w:val="002060"/>
                <w:szCs w:val="21"/>
              </w:rPr>
            </w:pPr>
            <w:r>
              <w:rPr>
                <w:rFonts w:hint="eastAsia" w:ascii="宋体" w:hAnsi="宋体" w:cs="宋体"/>
                <w:color w:val="002060"/>
                <w:szCs w:val="21"/>
              </w:rPr>
              <w:t>院士路-瑞祥菜场门口-卓敬路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278</w:t>
            </w:r>
          </w:p>
        </w:tc>
        <w:tc>
          <w:tcPr>
            <w:tcW w:w="1144"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枫景名苑西首文昌路</w:t>
            </w:r>
          </w:p>
        </w:tc>
        <w:tc>
          <w:tcPr>
            <w:tcW w:w="239" w:type="pct"/>
            <w:shd w:val="clear" w:color="auto" w:fill="auto"/>
            <w:noWrap/>
            <w:vAlign w:val="center"/>
          </w:tcPr>
          <w:p>
            <w:pPr>
              <w:rPr>
                <w:rFonts w:hint="eastAsia" w:ascii="宋体" w:hAnsi="宋体" w:cs="宋体"/>
                <w:color w:val="000000"/>
                <w:szCs w:val="21"/>
              </w:rPr>
            </w:pPr>
          </w:p>
        </w:tc>
        <w:tc>
          <w:tcPr>
            <w:tcW w:w="1441" w:type="pct"/>
            <w:shd w:val="clear" w:color="auto" w:fill="auto"/>
            <w:noWrap/>
            <w:vAlign w:val="center"/>
          </w:tcPr>
          <w:p>
            <w:pPr>
              <w:rPr>
                <w:rFonts w:ascii="宋体" w:hAnsi="宋体" w:cs="宋体"/>
                <w:color w:val="000000"/>
                <w:szCs w:val="21"/>
              </w:rPr>
            </w:pPr>
            <w:r>
              <w:rPr>
                <w:rFonts w:hint="eastAsia" w:ascii="宋体" w:hAnsi="宋体" w:cs="宋体"/>
                <w:color w:val="000000"/>
                <w:szCs w:val="21"/>
              </w:rPr>
              <w:t>1500*5</w:t>
            </w:r>
          </w:p>
        </w:tc>
        <w:tc>
          <w:tcPr>
            <w:tcW w:w="58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7500</w:t>
            </w:r>
          </w:p>
        </w:tc>
        <w:tc>
          <w:tcPr>
            <w:tcW w:w="1297" w:type="pct"/>
            <w:shd w:val="clear" w:color="auto" w:fill="auto"/>
            <w:noWrap w:val="0"/>
            <w:vAlign w:val="center"/>
          </w:tcPr>
          <w:p>
            <w:pPr>
              <w:rPr>
                <w:rFonts w:hint="eastAsia" w:ascii="宋体" w:hAnsi="宋体" w:cs="宋体"/>
                <w:color w:val="002060"/>
                <w:szCs w:val="21"/>
              </w:rPr>
            </w:pPr>
            <w:r>
              <w:rPr>
                <w:rFonts w:hint="eastAsia" w:ascii="宋体" w:hAnsi="宋体" w:cs="宋体"/>
                <w:color w:val="002060"/>
                <w:szCs w:val="21"/>
              </w:rPr>
              <w:t>瑞枫大道至枫景名苑后门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279</w:t>
            </w:r>
          </w:p>
        </w:tc>
        <w:tc>
          <w:tcPr>
            <w:tcW w:w="1144" w:type="pct"/>
            <w:shd w:val="clear" w:color="auto" w:fill="auto"/>
            <w:noWrap/>
            <w:vAlign w:val="center"/>
          </w:tcPr>
          <w:p>
            <w:pPr>
              <w:rPr>
                <w:rFonts w:hint="eastAsia" w:ascii="宋体" w:hAnsi="宋体" w:cs="宋体"/>
                <w:color w:val="000000"/>
                <w:szCs w:val="21"/>
              </w:rPr>
            </w:pPr>
            <w:r>
              <w:rPr>
                <w:rFonts w:hint="eastAsia" w:ascii="宋体" w:hAnsi="宋体" w:cs="宋体"/>
                <w:color w:val="000000"/>
                <w:szCs w:val="21"/>
              </w:rPr>
              <w:t>福利院东首小路</w:t>
            </w:r>
          </w:p>
        </w:tc>
        <w:tc>
          <w:tcPr>
            <w:tcW w:w="239" w:type="pct"/>
            <w:shd w:val="clear" w:color="auto" w:fill="auto"/>
            <w:noWrap/>
            <w:vAlign w:val="center"/>
          </w:tcPr>
          <w:p>
            <w:pPr>
              <w:rPr>
                <w:rFonts w:hint="eastAsia" w:ascii="宋体" w:hAnsi="宋体" w:cs="宋体"/>
                <w:color w:val="000000"/>
                <w:szCs w:val="21"/>
              </w:rPr>
            </w:pPr>
          </w:p>
        </w:tc>
        <w:tc>
          <w:tcPr>
            <w:tcW w:w="1441" w:type="pct"/>
            <w:shd w:val="clear" w:color="auto" w:fill="auto"/>
            <w:noWrap/>
            <w:vAlign w:val="center"/>
          </w:tcPr>
          <w:p>
            <w:pPr>
              <w:rPr>
                <w:rFonts w:ascii="宋体" w:hAnsi="宋体" w:cs="宋体"/>
                <w:color w:val="000000"/>
                <w:szCs w:val="21"/>
              </w:rPr>
            </w:pPr>
            <w:r>
              <w:rPr>
                <w:rFonts w:hint="eastAsia" w:ascii="宋体" w:hAnsi="宋体" w:cs="宋体"/>
                <w:color w:val="000000"/>
                <w:szCs w:val="21"/>
              </w:rPr>
              <w:t>300*5</w:t>
            </w:r>
          </w:p>
        </w:tc>
        <w:tc>
          <w:tcPr>
            <w:tcW w:w="58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1297" w:type="pct"/>
            <w:shd w:val="clear" w:color="auto" w:fill="auto"/>
            <w:noWrap w:val="0"/>
            <w:vAlign w:val="center"/>
          </w:tcPr>
          <w:p>
            <w:pPr>
              <w:rPr>
                <w:rFonts w:hint="eastAsia" w:ascii="宋体" w:hAnsi="宋体" w:cs="宋体"/>
                <w:color w:val="002060"/>
                <w:szCs w:val="21"/>
              </w:rPr>
            </w:pPr>
            <w:r>
              <w:rPr>
                <w:rFonts w:hint="eastAsia" w:ascii="宋体" w:hAnsi="宋体" w:cs="宋体"/>
                <w:color w:val="002060"/>
                <w:szCs w:val="21"/>
              </w:rPr>
              <w:t>瑞祥大道往福利院方向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280</w:t>
            </w:r>
          </w:p>
        </w:tc>
        <w:tc>
          <w:tcPr>
            <w:tcW w:w="1144" w:type="pct"/>
            <w:shd w:val="clear" w:color="auto" w:fill="auto"/>
            <w:noWrap/>
            <w:vAlign w:val="center"/>
          </w:tcPr>
          <w:p>
            <w:pPr>
              <w:rPr>
                <w:rFonts w:hint="eastAsia" w:ascii="宋体" w:hAnsi="宋体" w:cs="宋体"/>
                <w:color w:val="000000"/>
                <w:szCs w:val="21"/>
              </w:rPr>
            </w:pPr>
            <w:r>
              <w:rPr>
                <w:rFonts w:hint="eastAsia" w:ascii="宋体" w:hAnsi="宋体" w:cs="宋体"/>
                <w:color w:val="000000"/>
                <w:szCs w:val="21"/>
              </w:rPr>
              <w:t>景衡路</w:t>
            </w:r>
          </w:p>
        </w:tc>
        <w:tc>
          <w:tcPr>
            <w:tcW w:w="239" w:type="pct"/>
            <w:shd w:val="clear" w:color="auto" w:fill="auto"/>
            <w:noWrap/>
            <w:vAlign w:val="center"/>
          </w:tcPr>
          <w:p>
            <w:pPr>
              <w:rPr>
                <w:rFonts w:hint="eastAsia" w:ascii="宋体" w:hAnsi="宋体" w:cs="宋体"/>
                <w:color w:val="000000"/>
                <w:szCs w:val="21"/>
              </w:rPr>
            </w:pPr>
          </w:p>
        </w:tc>
        <w:tc>
          <w:tcPr>
            <w:tcW w:w="1441" w:type="pct"/>
            <w:shd w:val="clear" w:color="auto" w:fill="auto"/>
            <w:noWrap/>
            <w:vAlign w:val="center"/>
          </w:tcPr>
          <w:p>
            <w:pPr>
              <w:rPr>
                <w:rFonts w:ascii="宋体" w:hAnsi="宋体" w:cs="宋体"/>
                <w:color w:val="000000"/>
                <w:szCs w:val="21"/>
              </w:rPr>
            </w:pPr>
            <w:r>
              <w:rPr>
                <w:rFonts w:hint="eastAsia" w:ascii="宋体" w:hAnsi="宋体" w:cs="宋体"/>
                <w:color w:val="000000"/>
                <w:szCs w:val="21"/>
              </w:rPr>
              <w:t>1000*5</w:t>
            </w:r>
          </w:p>
        </w:tc>
        <w:tc>
          <w:tcPr>
            <w:tcW w:w="58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2500</w:t>
            </w:r>
          </w:p>
        </w:tc>
        <w:tc>
          <w:tcPr>
            <w:tcW w:w="1297" w:type="pct"/>
            <w:shd w:val="clear" w:color="auto" w:fill="auto"/>
            <w:noWrap/>
            <w:vAlign w:val="center"/>
          </w:tcPr>
          <w:p>
            <w:pPr>
              <w:rPr>
                <w:rFonts w:hint="eastAsia" w:ascii="宋体" w:hAnsi="宋体" w:cs="宋体"/>
                <w:color w:val="002060"/>
                <w:szCs w:val="21"/>
              </w:rPr>
            </w:pPr>
            <w:r>
              <w:rPr>
                <w:rFonts w:hint="eastAsia" w:ascii="宋体" w:hAnsi="宋体" w:cs="宋体"/>
                <w:color w:val="002060"/>
                <w:szCs w:val="21"/>
              </w:rPr>
              <w:t>院士路至瑞祥大道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281</w:t>
            </w:r>
          </w:p>
        </w:tc>
        <w:tc>
          <w:tcPr>
            <w:tcW w:w="1144" w:type="pct"/>
            <w:shd w:val="clear" w:color="auto" w:fill="auto"/>
            <w:noWrap/>
            <w:vAlign w:val="center"/>
          </w:tcPr>
          <w:p>
            <w:pPr>
              <w:rPr>
                <w:rFonts w:hint="eastAsia" w:ascii="宋体" w:hAnsi="宋体" w:cs="宋体"/>
                <w:color w:val="000000"/>
                <w:szCs w:val="21"/>
              </w:rPr>
            </w:pPr>
            <w:r>
              <w:rPr>
                <w:rFonts w:hint="eastAsia" w:ascii="宋体" w:hAnsi="宋体" w:cs="宋体"/>
                <w:color w:val="000000"/>
                <w:szCs w:val="21"/>
              </w:rPr>
              <w:t>绍箕路</w:t>
            </w:r>
          </w:p>
        </w:tc>
        <w:tc>
          <w:tcPr>
            <w:tcW w:w="239" w:type="pct"/>
            <w:shd w:val="clear" w:color="auto" w:fill="auto"/>
            <w:noWrap/>
            <w:vAlign w:val="center"/>
          </w:tcPr>
          <w:p>
            <w:pPr>
              <w:rPr>
                <w:rFonts w:hint="eastAsia" w:ascii="宋体" w:hAnsi="宋体" w:cs="宋体"/>
                <w:color w:val="000000"/>
                <w:szCs w:val="21"/>
              </w:rPr>
            </w:pPr>
          </w:p>
        </w:tc>
        <w:tc>
          <w:tcPr>
            <w:tcW w:w="1441" w:type="pct"/>
            <w:shd w:val="clear" w:color="auto" w:fill="auto"/>
            <w:noWrap/>
            <w:vAlign w:val="center"/>
          </w:tcPr>
          <w:p>
            <w:pPr>
              <w:rPr>
                <w:rFonts w:ascii="宋体" w:hAnsi="宋体" w:cs="宋体"/>
                <w:color w:val="000000"/>
                <w:szCs w:val="21"/>
              </w:rPr>
            </w:pPr>
            <w:r>
              <w:rPr>
                <w:rFonts w:hint="eastAsia" w:ascii="宋体" w:hAnsi="宋体" w:cs="宋体"/>
                <w:color w:val="000000"/>
                <w:szCs w:val="21"/>
              </w:rPr>
              <w:t>120*4</w:t>
            </w:r>
          </w:p>
        </w:tc>
        <w:tc>
          <w:tcPr>
            <w:tcW w:w="58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480</w:t>
            </w:r>
          </w:p>
        </w:tc>
        <w:tc>
          <w:tcPr>
            <w:tcW w:w="1297" w:type="pct"/>
            <w:shd w:val="clear" w:color="auto" w:fill="auto"/>
            <w:noWrap/>
            <w:vAlign w:val="center"/>
          </w:tcPr>
          <w:p>
            <w:pPr>
              <w:rPr>
                <w:rFonts w:hint="eastAsia" w:ascii="宋体" w:hAnsi="宋体" w:cs="宋体"/>
                <w:color w:val="002060"/>
                <w:szCs w:val="21"/>
              </w:rPr>
            </w:pPr>
            <w:r>
              <w:rPr>
                <w:rFonts w:hint="eastAsia" w:ascii="宋体" w:hAnsi="宋体" w:cs="宋体"/>
                <w:color w:val="002060"/>
                <w:szCs w:val="21"/>
              </w:rPr>
              <w:t>环卫管理中心前方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新湖花园B幢楼下停车场</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15X30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283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马鞍山路1幢后</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15×70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284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35-37幢之间</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c>
          <w:tcPr>
            <w:tcW w:w="1297" w:type="pct"/>
            <w:vMerge w:val="restart"/>
            <w:shd w:val="clear" w:color="auto" w:fill="auto"/>
            <w:noWrap/>
            <w:vAlign w:val="center"/>
          </w:tcPr>
          <w:p>
            <w:pPr>
              <w:jc w:val="center"/>
              <w:rPr>
                <w:rFonts w:hint="eastAsia" w:ascii="宋体" w:hAnsi="宋体" w:cs="宋体"/>
                <w:color w:val="002060"/>
                <w:szCs w:val="21"/>
              </w:rPr>
            </w:pPr>
            <w:r>
              <w:rPr>
                <w:rFonts w:hint="eastAsia" w:ascii="宋体" w:hAnsi="宋体" w:cs="宋体"/>
                <w:color w:val="002060"/>
                <w:szCs w:val="21"/>
              </w:rPr>
              <w:t>新增楼幢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望湖家园38幢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650</w:t>
            </w:r>
          </w:p>
        </w:tc>
        <w:tc>
          <w:tcPr>
            <w:tcW w:w="1297" w:type="pct"/>
            <w:vMerge w:val="continue"/>
            <w:noWrap w:val="0"/>
            <w:vAlign w:val="center"/>
          </w:tcPr>
          <w:p>
            <w:pPr>
              <w:rPr>
                <w:rFonts w:ascii="宋体" w:hAnsi="宋体" w:cs="宋体"/>
                <w:color w:val="00206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望湖家园39幢</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650</w:t>
            </w:r>
          </w:p>
        </w:tc>
        <w:tc>
          <w:tcPr>
            <w:tcW w:w="1297" w:type="pct"/>
            <w:vMerge w:val="continue"/>
            <w:noWrap w:val="0"/>
            <w:vAlign w:val="center"/>
          </w:tcPr>
          <w:p>
            <w:pPr>
              <w:rPr>
                <w:rFonts w:ascii="宋体" w:hAnsi="宋体" w:cs="宋体"/>
                <w:color w:val="00206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盛兴大厦</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1260</w:t>
            </w:r>
          </w:p>
        </w:tc>
        <w:tc>
          <w:tcPr>
            <w:tcW w:w="1297" w:type="pct"/>
            <w:vMerge w:val="continue"/>
            <w:noWrap w:val="0"/>
            <w:vAlign w:val="center"/>
          </w:tcPr>
          <w:p>
            <w:pPr>
              <w:rPr>
                <w:rFonts w:ascii="宋体" w:hAnsi="宋体" w:cs="宋体"/>
                <w:color w:val="00206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万松东路农行大厦交警亭旁边花坛</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289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万松东路银座广场停车场人行盲道及花坛</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时代东路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13×800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10400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时代南路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13×200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292</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罗阳大道至莘阳大道</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420×12</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5040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西至金色家园，东至莘阳大道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293</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罗阳大道至莘阳大道</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420×20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8400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西至金瑞名苑，东至莘阳大道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294</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安康路127弄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北至塘河南路，南至隆山东路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295</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安康路157弄</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7*500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3500</w:t>
            </w:r>
          </w:p>
        </w:tc>
        <w:tc>
          <w:tcPr>
            <w:tcW w:w="129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北至塘河南路，南至隆山东路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296</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十八家商业园区原十八家停车场）</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150*50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7500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297</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周红路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44×4</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176</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298</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万顺锦园南侧道路（万顺B幢与公安局交界路段）</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299</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万好大厦西侧道路（万顺与万好交界道路）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300</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安盛路侨联大厦段</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9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301</w:t>
            </w:r>
          </w:p>
        </w:tc>
        <w:tc>
          <w:tcPr>
            <w:tcW w:w="114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新湖金座西侧道路（新湖金座与筼筜桥小区交界道路）</w:t>
            </w:r>
          </w:p>
        </w:tc>
        <w:tc>
          <w:tcPr>
            <w:tcW w:w="23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144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30×10</w:t>
            </w:r>
          </w:p>
        </w:tc>
        <w:tc>
          <w:tcPr>
            <w:tcW w:w="58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1297"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117" w:type="pct"/>
            <w:gridSpan w:val="4"/>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合计</w:t>
            </w:r>
          </w:p>
        </w:tc>
        <w:tc>
          <w:tcPr>
            <w:tcW w:w="586"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593278.7</w:t>
            </w:r>
          </w:p>
        </w:tc>
        <w:tc>
          <w:tcPr>
            <w:tcW w:w="1297" w:type="pct"/>
            <w:shd w:val="clear" w:color="auto" w:fill="auto"/>
            <w:noWrap w:val="0"/>
            <w:vAlign w:val="center"/>
          </w:tcPr>
          <w:p>
            <w:pPr>
              <w:jc w:val="center"/>
              <w:rPr>
                <w:rFonts w:hint="eastAsia" w:ascii="宋体" w:hAnsi="宋体" w:cs="宋体"/>
                <w:b/>
                <w:bCs/>
                <w:color w:val="000000"/>
                <w:szCs w:val="21"/>
              </w:rPr>
            </w:pPr>
          </w:p>
        </w:tc>
      </w:tr>
    </w:tbl>
    <w:p>
      <w:pPr>
        <w:pStyle w:val="2"/>
        <w:rPr>
          <w:rFonts w:ascii="宋体" w:hAnsi="宋体" w:eastAsia="宋体"/>
          <w:color w:val="000000"/>
          <w:sz w:val="21"/>
          <w:szCs w:val="21"/>
        </w:rPr>
      </w:pPr>
    </w:p>
    <w:tbl>
      <w:tblPr>
        <w:tblStyle w:val="35"/>
        <w:tblW w:w="5000" w:type="pct"/>
        <w:tblInd w:w="0" w:type="dxa"/>
        <w:tblLayout w:type="autofit"/>
        <w:tblCellMar>
          <w:top w:w="0" w:type="dxa"/>
          <w:left w:w="108" w:type="dxa"/>
          <w:bottom w:w="0" w:type="dxa"/>
          <w:right w:w="108" w:type="dxa"/>
        </w:tblCellMar>
      </w:tblPr>
      <w:tblGrid>
        <w:gridCol w:w="754"/>
        <w:gridCol w:w="4056"/>
        <w:gridCol w:w="1377"/>
        <w:gridCol w:w="846"/>
        <w:gridCol w:w="2253"/>
      </w:tblGrid>
      <w:tr>
        <w:tblPrEx>
          <w:tblCellMar>
            <w:top w:w="0" w:type="dxa"/>
            <w:left w:w="108" w:type="dxa"/>
            <w:bottom w:w="0" w:type="dxa"/>
            <w:right w:w="108" w:type="dxa"/>
          </w:tblCellMar>
        </w:tblPrEx>
        <w:trPr>
          <w:trHeight w:val="34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5、经合社道路</w:t>
            </w:r>
          </w:p>
        </w:tc>
      </w:tr>
      <w:tr>
        <w:tblPrEx>
          <w:tblCellMar>
            <w:top w:w="0" w:type="dxa"/>
            <w:left w:w="108" w:type="dxa"/>
            <w:bottom w:w="0" w:type="dxa"/>
            <w:right w:w="108" w:type="dxa"/>
          </w:tblCellMar>
        </w:tblPrEx>
        <w:trPr>
          <w:trHeight w:val="34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5</w:t>
            </w:r>
            <w:r>
              <w:rPr>
                <w:rFonts w:ascii="宋体" w:hAnsi="宋体" w:cs="宋体"/>
                <w:b/>
                <w:bCs/>
                <w:color w:val="000000"/>
                <w:szCs w:val="21"/>
              </w:rPr>
              <w:t>.1</w:t>
            </w:r>
            <w:r>
              <w:rPr>
                <w:rFonts w:hint="eastAsia" w:ascii="宋体" w:hAnsi="宋体" w:cs="宋体"/>
                <w:b/>
                <w:bCs/>
                <w:color w:val="000000"/>
                <w:szCs w:val="21"/>
              </w:rPr>
              <w:t>、下沙塘经合社新接收道路面积统计表</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地址</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长（米）</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宽（米）</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面积（m</w:t>
            </w:r>
            <w:r>
              <w:rPr>
                <w:rFonts w:hint="eastAsia" w:ascii="宋体" w:hAnsi="宋体" w:cs="宋体"/>
                <w:color w:val="000000"/>
                <w:kern w:val="2"/>
                <w:szCs w:val="21"/>
                <w:vertAlign w:val="superscript"/>
              </w:rPr>
              <w:t>2)</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老人安置房路</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民公路</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1200</w:t>
            </w:r>
          </w:p>
        </w:tc>
      </w:tr>
      <w:tr>
        <w:tblPrEx>
          <w:tblCellMar>
            <w:top w:w="0" w:type="dxa"/>
            <w:left w:w="108" w:type="dxa"/>
            <w:bottom w:w="0" w:type="dxa"/>
            <w:right w:w="108" w:type="dxa"/>
          </w:tblCellMar>
        </w:tblPrEx>
        <w:trPr>
          <w:trHeight w:val="340" w:hRule="atLeast"/>
        </w:trPr>
        <w:tc>
          <w:tcPr>
            <w:tcW w:w="3776" w:type="pct"/>
            <w:gridSpan w:val="4"/>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合计面积</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7000</w:t>
            </w:r>
          </w:p>
        </w:tc>
      </w:tr>
      <w:tr>
        <w:tblPrEx>
          <w:tblCellMar>
            <w:top w:w="0" w:type="dxa"/>
            <w:left w:w="108" w:type="dxa"/>
            <w:bottom w:w="0" w:type="dxa"/>
            <w:right w:w="108" w:type="dxa"/>
          </w:tblCellMar>
        </w:tblPrEx>
        <w:trPr>
          <w:trHeight w:val="34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5</w:t>
            </w:r>
            <w:r>
              <w:rPr>
                <w:rFonts w:ascii="宋体" w:hAnsi="宋体" w:cs="宋体"/>
                <w:b/>
                <w:bCs/>
                <w:color w:val="000000"/>
                <w:szCs w:val="21"/>
              </w:rPr>
              <w:t>.2</w:t>
            </w:r>
            <w:r>
              <w:rPr>
                <w:rFonts w:hint="eastAsia" w:ascii="宋体" w:hAnsi="宋体" w:cs="宋体"/>
                <w:b/>
                <w:bCs/>
                <w:color w:val="000000"/>
                <w:szCs w:val="21"/>
              </w:rPr>
              <w:t>、西垟经合社接收道路面积统计表</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地址</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长（米）</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宽（米）</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面积（m</w:t>
            </w:r>
            <w:r>
              <w:rPr>
                <w:rFonts w:hint="eastAsia" w:ascii="宋体" w:hAnsi="宋体" w:cs="宋体"/>
                <w:color w:val="000000"/>
                <w:kern w:val="2"/>
                <w:szCs w:val="21"/>
                <w:vertAlign w:val="superscript"/>
              </w:rPr>
              <w:t>2)</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民丰路471-河边</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1800</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民莘西路沈学宽左边-超市</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160</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瑞莘路</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8800</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卓敬路</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6250</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民莘西路490号右边</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民莘西路489号右边</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90</w:t>
            </w:r>
          </w:p>
        </w:tc>
      </w:tr>
      <w:tr>
        <w:tblPrEx>
          <w:tblCellMar>
            <w:top w:w="0" w:type="dxa"/>
            <w:left w:w="108" w:type="dxa"/>
            <w:bottom w:w="0" w:type="dxa"/>
            <w:right w:w="108" w:type="dxa"/>
          </w:tblCellMar>
        </w:tblPrEx>
        <w:trPr>
          <w:trHeight w:val="340"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219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和平路</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2700</w:t>
            </w:r>
          </w:p>
        </w:tc>
      </w:tr>
      <w:tr>
        <w:tblPrEx>
          <w:tblCellMar>
            <w:top w:w="0" w:type="dxa"/>
            <w:left w:w="108" w:type="dxa"/>
            <w:bottom w:w="0" w:type="dxa"/>
            <w:right w:w="108" w:type="dxa"/>
          </w:tblCellMar>
        </w:tblPrEx>
        <w:trPr>
          <w:trHeight w:val="340" w:hRule="atLeast"/>
        </w:trPr>
        <w:tc>
          <w:tcPr>
            <w:tcW w:w="3776" w:type="pct"/>
            <w:gridSpan w:val="4"/>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合计面积</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20456</w:t>
            </w:r>
          </w:p>
        </w:tc>
      </w:tr>
    </w:tbl>
    <w:p>
      <w:pPr>
        <w:pStyle w:val="2"/>
        <w:rPr>
          <w:rFonts w:ascii="宋体" w:hAnsi="宋体" w:eastAsia="宋体"/>
          <w:color w:val="000000"/>
          <w:sz w:val="21"/>
          <w:szCs w:val="21"/>
        </w:rPr>
      </w:pPr>
    </w:p>
    <w:tbl>
      <w:tblPr>
        <w:tblStyle w:val="35"/>
        <w:tblW w:w="0" w:type="auto"/>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675"/>
        <w:gridCol w:w="2127"/>
        <w:gridCol w:w="1268"/>
        <w:gridCol w:w="1141"/>
        <w:gridCol w:w="1642"/>
        <w:gridCol w:w="2433"/>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9286" w:type="dxa"/>
            <w:gridSpan w:val="6"/>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6、瑞祥新区和瑞枫大道清扫保洁服务工程量清单</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2127"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1268"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道路级别</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1642"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2433"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1</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院士路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1378×36-3534（绿化）</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45777</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瑞祥大道到景衡路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2</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院士路二期</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760x31.6</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24016</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景衡路至绍箕路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3</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民工路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610×24</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14640</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景衡路至卓敬路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vMerge w:val="restart"/>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4</w:t>
            </w:r>
          </w:p>
        </w:tc>
        <w:tc>
          <w:tcPr>
            <w:tcW w:w="2127" w:type="dxa"/>
            <w:vMerge w:val="restar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安阳路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654×24</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15696</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院士路至瑞枫大道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vMerge w:val="continue"/>
            <w:shd w:val="clear" w:color="auto" w:fill="auto"/>
            <w:noWrap w:val="0"/>
            <w:vAlign w:val="center"/>
          </w:tcPr>
          <w:p>
            <w:pPr>
              <w:rPr>
                <w:rFonts w:ascii="宋体" w:hAnsi="宋体" w:cs="宋体"/>
                <w:b/>
                <w:bCs/>
                <w:color w:val="000000"/>
                <w:szCs w:val="21"/>
              </w:rPr>
            </w:pPr>
          </w:p>
        </w:tc>
        <w:tc>
          <w:tcPr>
            <w:tcW w:w="2127" w:type="dxa"/>
            <w:vMerge w:val="continue"/>
            <w:shd w:val="clear" w:color="auto" w:fill="auto"/>
            <w:noWrap w:val="0"/>
            <w:vAlign w:val="center"/>
          </w:tcPr>
          <w:p>
            <w:pPr>
              <w:rPr>
                <w:rFonts w:ascii="宋体" w:hAnsi="宋体" w:cs="宋体"/>
                <w:color w:val="000000"/>
                <w:szCs w:val="21"/>
              </w:rPr>
            </w:pP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230×20</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4600</w:t>
            </w:r>
          </w:p>
        </w:tc>
        <w:tc>
          <w:tcPr>
            <w:tcW w:w="2433"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院士路至下沙塘口</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5</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文庄路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1087×24</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26088</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文节路至绍箕路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6</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卓敬路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667.5×24</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16020</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民工路至瑞枫大道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7</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罗阳大道</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1010×</w:t>
            </w:r>
            <w:r>
              <w:rPr>
                <w:rFonts w:ascii="宋体" w:hAnsi="宋体" w:cs="宋体"/>
                <w:b/>
                <w:bCs/>
                <w:color w:val="000000"/>
                <w:kern w:val="2"/>
                <w:szCs w:val="21"/>
              </w:rPr>
              <w:t>51-</w:t>
            </w:r>
            <w:r>
              <w:rPr>
                <w:rFonts w:ascii="宋体" w:hAnsi="宋体" w:cs="宋体"/>
                <w:color w:val="000000"/>
                <w:kern w:val="2"/>
                <w:szCs w:val="21"/>
              </w:rPr>
              <w:t>7858（绿化）</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43652</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瑞祥大道到华龙一品</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8</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文节路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439×</w:t>
            </w:r>
            <w:r>
              <w:rPr>
                <w:rFonts w:ascii="宋体" w:hAnsi="宋体" w:cs="宋体"/>
                <w:b/>
                <w:bCs/>
                <w:color w:val="000000"/>
                <w:kern w:val="2"/>
                <w:szCs w:val="21"/>
              </w:rPr>
              <w:t>28</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12292</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华龙一品到瑞枫大道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9</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文定路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424×</w:t>
            </w:r>
            <w:r>
              <w:rPr>
                <w:rFonts w:ascii="宋体" w:hAnsi="宋体" w:cs="宋体"/>
                <w:b/>
                <w:bCs/>
                <w:color w:val="000000"/>
                <w:kern w:val="2"/>
                <w:szCs w:val="21"/>
              </w:rPr>
              <w:t>30</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12720</w:t>
            </w:r>
          </w:p>
        </w:tc>
        <w:tc>
          <w:tcPr>
            <w:tcW w:w="2433"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华龙一品至瑞枫大道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10</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民工路延伸段</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26×48+100×31</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4348</w:t>
            </w:r>
          </w:p>
        </w:tc>
        <w:tc>
          <w:tcPr>
            <w:tcW w:w="2433"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卓敬路至红星村</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11</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瑞祥幼儿园前</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100×12.5</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1250</w:t>
            </w:r>
          </w:p>
        </w:tc>
        <w:tc>
          <w:tcPr>
            <w:tcW w:w="2433"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民公路至罗阳大道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12</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万松山隧道</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800×14.5×2</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23200</w:t>
            </w:r>
          </w:p>
        </w:tc>
        <w:tc>
          <w:tcPr>
            <w:tcW w:w="2433"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绍箕路至周松北路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13</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城市学院东首道路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410×16</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6560</w:t>
            </w:r>
          </w:p>
        </w:tc>
        <w:tc>
          <w:tcPr>
            <w:tcW w:w="2433"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瑞枫线至文庄路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14</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瑞祥实验小学西侧道路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540×14</w:t>
            </w:r>
          </w:p>
        </w:tc>
        <w:tc>
          <w:tcPr>
            <w:tcW w:w="1642" w:type="dxa"/>
            <w:shd w:val="clear" w:color="auto" w:fill="auto"/>
            <w:noWrap/>
            <w:vAlign w:val="center"/>
          </w:tcPr>
          <w:p>
            <w:pPr>
              <w:jc w:val="center"/>
              <w:rPr>
                <w:rFonts w:hint="eastAsia" w:ascii="宋体" w:hAnsi="宋体"/>
                <w:color w:val="000000"/>
                <w:szCs w:val="21"/>
              </w:rPr>
            </w:pPr>
            <w:r>
              <w:rPr>
                <w:rFonts w:ascii="宋体" w:hAnsi="宋体"/>
                <w:color w:val="000000"/>
                <w:szCs w:val="21"/>
              </w:rPr>
              <w:t>7560</w:t>
            </w:r>
          </w:p>
        </w:tc>
        <w:tc>
          <w:tcPr>
            <w:tcW w:w="2433" w:type="dxa"/>
            <w:shd w:val="clear" w:color="auto" w:fill="auto"/>
            <w:noWrap/>
            <w:vAlign w:val="center"/>
          </w:tcPr>
          <w:p>
            <w:pPr>
              <w:jc w:val="center"/>
              <w:rPr>
                <w:rFonts w:ascii="宋体" w:hAnsi="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15</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第一幼儿园旁边道路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120×19</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2280</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16</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民公路至卓敬路桥头前面道路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46×49</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2254</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17</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瑞祥菜场院士路进口</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104.5×17</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1776.5</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18</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瑞祥菜场卓敬路进口</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82.5×12.5</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1031.25</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19</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瑞祥菜场前门</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85×16.3</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1385.5</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20</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安阳北路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1013x43</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43559</w:t>
            </w:r>
          </w:p>
        </w:tc>
        <w:tc>
          <w:tcPr>
            <w:tcW w:w="2433"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104国道-院士路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21</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民公路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470x15</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7050</w:t>
            </w:r>
          </w:p>
        </w:tc>
        <w:tc>
          <w:tcPr>
            <w:tcW w:w="2433"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瑞祥新区第一幼儿园-104国道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color w:val="000000"/>
                <w:szCs w:val="21"/>
              </w:rPr>
            </w:pPr>
          </w:p>
        </w:tc>
        <w:tc>
          <w:tcPr>
            <w:tcW w:w="2127"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瑞枫大道</w:t>
            </w:r>
          </w:p>
        </w:tc>
        <w:tc>
          <w:tcPr>
            <w:tcW w:w="1268" w:type="dxa"/>
            <w:shd w:val="clear" w:color="auto" w:fill="auto"/>
            <w:noWrap/>
            <w:vAlign w:val="center"/>
          </w:tcPr>
          <w:p>
            <w:pPr>
              <w:jc w:val="center"/>
              <w:rPr>
                <w:rFonts w:hint="eastAsia" w:ascii="宋体" w:hAnsi="宋体" w:cs="宋体"/>
                <w:b/>
                <w:bCs/>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ign w:val="center"/>
          </w:tcPr>
          <w:p>
            <w:pPr>
              <w:jc w:val="center"/>
              <w:rPr>
                <w:rFonts w:ascii="宋体" w:hAnsi="宋体"/>
                <w:szCs w:val="21"/>
              </w:rPr>
            </w:pPr>
          </w:p>
        </w:tc>
        <w:tc>
          <w:tcPr>
            <w:tcW w:w="2433" w:type="dxa"/>
            <w:shd w:val="clear" w:color="auto" w:fill="auto"/>
            <w:noWrap/>
            <w:vAlign w:val="center"/>
          </w:tcPr>
          <w:p>
            <w:pPr>
              <w:jc w:val="center"/>
              <w:rPr>
                <w:rFonts w:ascii="宋体" w:hAnsi="宋体"/>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22</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下山根至绍箕路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4400×50</w:t>
            </w:r>
          </w:p>
        </w:tc>
        <w:tc>
          <w:tcPr>
            <w:tcW w:w="1642" w:type="dxa"/>
            <w:vMerge w:val="restart"/>
            <w:shd w:val="clear" w:color="auto" w:fill="auto"/>
            <w:noWrap/>
            <w:vAlign w:val="center"/>
          </w:tcPr>
          <w:p>
            <w:pPr>
              <w:jc w:val="center"/>
              <w:rPr>
                <w:rFonts w:hint="eastAsia" w:ascii="宋体" w:hAnsi="宋体"/>
                <w:color w:val="000000"/>
                <w:szCs w:val="21"/>
              </w:rPr>
            </w:pPr>
            <w:r>
              <w:rPr>
                <w:rFonts w:ascii="宋体" w:hAnsi="宋体"/>
                <w:color w:val="000000"/>
                <w:szCs w:val="21"/>
              </w:rPr>
              <w:t>220000</w:t>
            </w:r>
          </w:p>
        </w:tc>
        <w:tc>
          <w:tcPr>
            <w:tcW w:w="2433" w:type="dxa"/>
            <w:vMerge w:val="restart"/>
            <w:shd w:val="clear" w:color="auto" w:fill="auto"/>
            <w:noWrap/>
            <w:vAlign w:val="center"/>
          </w:tcPr>
          <w:p>
            <w:pPr>
              <w:jc w:val="center"/>
              <w:rPr>
                <w:rFonts w:ascii="宋体" w:hAnsi="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vMerge w:val="restart"/>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23</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绍箕路至隧道口</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vMerge w:val="continue"/>
            <w:noWrap w:val="0"/>
            <w:vAlign w:val="center"/>
          </w:tcPr>
          <w:p>
            <w:pPr>
              <w:rPr>
                <w:rFonts w:ascii="宋体" w:hAnsi="宋体" w:cs="宋体"/>
                <w:color w:val="000000"/>
                <w:szCs w:val="21"/>
              </w:rPr>
            </w:pPr>
          </w:p>
        </w:tc>
        <w:tc>
          <w:tcPr>
            <w:tcW w:w="1642" w:type="dxa"/>
            <w:vMerge w:val="continue"/>
            <w:noWrap w:val="0"/>
            <w:vAlign w:val="center"/>
          </w:tcPr>
          <w:p>
            <w:pPr>
              <w:rPr>
                <w:rFonts w:ascii="宋体" w:hAnsi="宋体"/>
                <w:color w:val="000000"/>
                <w:szCs w:val="21"/>
              </w:rPr>
            </w:pPr>
          </w:p>
        </w:tc>
        <w:tc>
          <w:tcPr>
            <w:tcW w:w="2433" w:type="dxa"/>
            <w:vMerge w:val="continue"/>
            <w:noWrap w:val="0"/>
            <w:vAlign w:val="center"/>
          </w:tcPr>
          <w:p>
            <w:pPr>
              <w:rPr>
                <w:rFonts w:ascii="宋体" w:hAnsi="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vMerge w:val="continue"/>
            <w:shd w:val="clear" w:color="auto" w:fill="auto"/>
            <w:noWrap w:val="0"/>
            <w:vAlign w:val="center"/>
          </w:tcPr>
          <w:p>
            <w:pPr>
              <w:rPr>
                <w:rFonts w:ascii="宋体" w:hAnsi="宋体" w:cs="宋体"/>
                <w:b/>
                <w:bCs/>
                <w:color w:val="000000"/>
                <w:szCs w:val="21"/>
              </w:rPr>
            </w:pP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（高速出口接口接瑞枫大道）</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vMerge w:val="continue"/>
            <w:noWrap w:val="0"/>
            <w:vAlign w:val="center"/>
          </w:tcPr>
          <w:p>
            <w:pPr>
              <w:rPr>
                <w:rFonts w:ascii="宋体" w:hAnsi="宋体" w:cs="宋体"/>
                <w:color w:val="000000"/>
                <w:szCs w:val="21"/>
              </w:rPr>
            </w:pPr>
          </w:p>
        </w:tc>
        <w:tc>
          <w:tcPr>
            <w:tcW w:w="1642" w:type="dxa"/>
            <w:vMerge w:val="continue"/>
            <w:noWrap w:val="0"/>
            <w:vAlign w:val="center"/>
          </w:tcPr>
          <w:p>
            <w:pPr>
              <w:rPr>
                <w:rFonts w:ascii="宋体" w:hAnsi="宋体"/>
                <w:color w:val="000000"/>
                <w:szCs w:val="21"/>
              </w:rPr>
            </w:pPr>
          </w:p>
        </w:tc>
        <w:tc>
          <w:tcPr>
            <w:tcW w:w="2433" w:type="dxa"/>
            <w:vMerge w:val="continue"/>
            <w:noWrap w:val="0"/>
            <w:vAlign w:val="center"/>
          </w:tcPr>
          <w:p>
            <w:pPr>
              <w:rPr>
                <w:rFonts w:ascii="宋体" w:hAnsi="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24</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无名路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115x23.5</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2702.5</w:t>
            </w:r>
          </w:p>
        </w:tc>
        <w:tc>
          <w:tcPr>
            <w:tcW w:w="2433"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环卫管理中心-仁和嘉园</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25</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绿城璟园西边路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680x12</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8160</w:t>
            </w:r>
          </w:p>
        </w:tc>
        <w:tc>
          <w:tcPr>
            <w:tcW w:w="2433"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院士路-瑞祥山庄</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hint="eastAsia" w:ascii="宋体" w:hAnsi="宋体" w:cs="宋体"/>
                <w:b/>
                <w:bCs/>
                <w:color w:val="000000"/>
                <w:szCs w:val="21"/>
              </w:rPr>
            </w:pPr>
            <w:r>
              <w:rPr>
                <w:rFonts w:hint="eastAsia" w:ascii="宋体" w:hAnsi="宋体" w:cs="宋体"/>
                <w:b/>
                <w:bCs/>
                <w:color w:val="000000"/>
                <w:szCs w:val="21"/>
              </w:rPr>
              <w:t>26</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新纪元学校东首</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244*32</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7808</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27</w:t>
            </w:r>
          </w:p>
        </w:tc>
        <w:tc>
          <w:tcPr>
            <w:tcW w:w="2127"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文庄路</w:t>
            </w:r>
          </w:p>
        </w:tc>
        <w:tc>
          <w:tcPr>
            <w:tcW w:w="1268"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1141"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694*30</w:t>
            </w:r>
          </w:p>
        </w:tc>
        <w:tc>
          <w:tcPr>
            <w:tcW w:w="1642" w:type="dxa"/>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20820</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szCs w:val="21"/>
              </w:rPr>
            </w:pPr>
          </w:p>
        </w:tc>
        <w:tc>
          <w:tcPr>
            <w:tcW w:w="1268" w:type="dxa"/>
            <w:shd w:val="clear" w:color="auto" w:fill="auto"/>
            <w:noWrap/>
            <w:vAlign w:val="center"/>
          </w:tcPr>
          <w:p>
            <w:pPr>
              <w:jc w:val="center"/>
              <w:rPr>
                <w:rFonts w:ascii="宋体" w:hAnsi="宋体"/>
                <w:szCs w:val="21"/>
              </w:rPr>
            </w:pPr>
          </w:p>
        </w:tc>
        <w:tc>
          <w:tcPr>
            <w:tcW w:w="1141" w:type="dxa"/>
            <w:shd w:val="clear" w:color="auto" w:fill="auto"/>
            <w:noWrap/>
            <w:vAlign w:val="center"/>
          </w:tcPr>
          <w:p>
            <w:pPr>
              <w:jc w:val="center"/>
              <w:rPr>
                <w:rFonts w:ascii="宋体" w:hAnsi="宋体"/>
                <w:szCs w:val="21"/>
              </w:rPr>
            </w:pPr>
          </w:p>
        </w:tc>
        <w:tc>
          <w:tcPr>
            <w:tcW w:w="1642"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577245.75</w:t>
            </w:r>
          </w:p>
        </w:tc>
        <w:tc>
          <w:tcPr>
            <w:tcW w:w="2433" w:type="dxa"/>
            <w:shd w:val="clear" w:color="auto" w:fill="auto"/>
            <w:noWrap/>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9286" w:type="dxa"/>
            <w:gridSpan w:val="6"/>
            <w:shd w:val="clear" w:color="auto" w:fill="auto"/>
            <w:noWrap/>
            <w:vAlign w:val="center"/>
          </w:tcPr>
          <w:p>
            <w:pPr>
              <w:jc w:val="center"/>
              <w:rPr>
                <w:rFonts w:ascii="宋体" w:hAnsi="宋体" w:cs="宋体"/>
                <w:b/>
                <w:bCs/>
                <w:color w:val="000000"/>
                <w:szCs w:val="21"/>
              </w:rPr>
            </w:pPr>
            <w:r>
              <w:rPr>
                <w:rFonts w:hint="eastAsia" w:ascii="宋体" w:hAnsi="宋体" w:cs="宋体"/>
                <w:b/>
                <w:bCs/>
                <w:color w:val="000000"/>
                <w:szCs w:val="21"/>
              </w:rPr>
              <w:t>瑞祥新区绿地面积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2127"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面积(㎡)</w:t>
            </w:r>
          </w:p>
        </w:tc>
        <w:tc>
          <w:tcPr>
            <w:tcW w:w="2433"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备注</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hint="eastAsia" w:ascii="宋体" w:hAnsi="宋体" w:cs="宋体"/>
                <w:color w:val="000000"/>
                <w:szCs w:val="21"/>
              </w:rPr>
            </w:pPr>
          </w:p>
        </w:tc>
        <w:tc>
          <w:tcPr>
            <w:tcW w:w="2127"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莘阳大道一期沿河整治</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16860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瑞祥新区罗阳大道西侧沿河景观带一期（2,3,4）</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ign w:val="center"/>
          </w:tcPr>
          <w:p>
            <w:pPr>
              <w:jc w:val="center"/>
              <w:rPr>
                <w:rFonts w:ascii="宋体" w:hAnsi="宋体"/>
                <w:color w:val="000000"/>
                <w:szCs w:val="21"/>
              </w:rPr>
            </w:pPr>
            <w:r>
              <w:rPr>
                <w:rFonts w:ascii="宋体" w:hAnsi="宋体"/>
                <w:color w:val="000000"/>
                <w:szCs w:val="21"/>
              </w:rPr>
              <w:t>36237</w:t>
            </w:r>
          </w:p>
        </w:tc>
        <w:tc>
          <w:tcPr>
            <w:tcW w:w="2433" w:type="dxa"/>
            <w:shd w:val="clear" w:color="auto" w:fill="auto"/>
            <w:noWrap w:val="0"/>
            <w:vAlign w:val="center"/>
          </w:tcPr>
          <w:p>
            <w:pPr>
              <w:jc w:val="center"/>
              <w:rPr>
                <w:rFonts w:ascii="宋体" w:hAnsi="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瑞祥新区罗阳大道西侧沿河景观带二期（1,5,6）</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ign w:val="center"/>
          </w:tcPr>
          <w:p>
            <w:pPr>
              <w:jc w:val="center"/>
              <w:rPr>
                <w:rFonts w:ascii="宋体" w:hAnsi="宋体"/>
                <w:color w:val="000000"/>
                <w:szCs w:val="21"/>
              </w:rPr>
            </w:pPr>
            <w:r>
              <w:rPr>
                <w:rFonts w:ascii="宋体" w:hAnsi="宋体"/>
                <w:color w:val="000000"/>
                <w:szCs w:val="21"/>
              </w:rPr>
              <w:t>18670.69</w:t>
            </w:r>
          </w:p>
        </w:tc>
        <w:tc>
          <w:tcPr>
            <w:tcW w:w="2433" w:type="dxa"/>
            <w:shd w:val="clear" w:color="auto" w:fill="auto"/>
            <w:noWrap w:val="0"/>
            <w:vAlign w:val="center"/>
          </w:tcPr>
          <w:p>
            <w:pPr>
              <w:jc w:val="center"/>
              <w:rPr>
                <w:rFonts w:ascii="宋体" w:hAnsi="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瑞祥新区罗阳大道（万松东路至文节路）</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12100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万松东路莘阳大道至环镇路</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11282.17</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山水漫步道绿地一期、二期</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12038</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时代悦府前绿地</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5000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瑞祥实验学校北侧绿地</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5060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瑞祥新区仙桥河滨水绿地</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8471</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瑞祥新区上沙塘南侧滨河小绿地</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570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院士路与绍萁路交叉口绿地</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540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院士路一期</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3905.6</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院士路二期</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3600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675" w:type="dxa"/>
            <w:shd w:val="clear" w:color="auto" w:fill="auto"/>
            <w:noWrap w:val="0"/>
            <w:vAlign w:val="center"/>
          </w:tcPr>
          <w:p>
            <w:pPr>
              <w:jc w:val="center"/>
              <w:rPr>
                <w:rFonts w:ascii="宋体" w:hAnsi="宋体"/>
                <w:szCs w:val="21"/>
              </w:rPr>
            </w:pPr>
          </w:p>
        </w:tc>
        <w:tc>
          <w:tcPr>
            <w:tcW w:w="2127" w:type="dxa"/>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瑞祥新区变电河景观工程绿地</w:t>
            </w:r>
          </w:p>
        </w:tc>
        <w:tc>
          <w:tcPr>
            <w:tcW w:w="1268" w:type="dxa"/>
            <w:shd w:val="clear" w:color="auto" w:fill="auto"/>
            <w:noWrap w:val="0"/>
            <w:vAlign w:val="center"/>
          </w:tcPr>
          <w:p>
            <w:pPr>
              <w:jc w:val="center"/>
              <w:rPr>
                <w:rFonts w:hint="eastAsia" w:ascii="宋体" w:hAnsi="宋体" w:cs="宋体"/>
                <w:color w:val="000000"/>
                <w:szCs w:val="21"/>
              </w:rPr>
            </w:pPr>
          </w:p>
        </w:tc>
        <w:tc>
          <w:tcPr>
            <w:tcW w:w="1141" w:type="dxa"/>
            <w:shd w:val="clear" w:color="auto" w:fill="auto"/>
            <w:noWrap w:val="0"/>
            <w:vAlign w:val="center"/>
          </w:tcPr>
          <w:p>
            <w:pPr>
              <w:jc w:val="center"/>
              <w:rPr>
                <w:rFonts w:ascii="宋体" w:hAnsi="宋体"/>
                <w:szCs w:val="21"/>
              </w:rPr>
            </w:pPr>
          </w:p>
        </w:tc>
        <w:tc>
          <w:tcPr>
            <w:tcW w:w="1642" w:type="dxa"/>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12120</w:t>
            </w:r>
          </w:p>
        </w:tc>
        <w:tc>
          <w:tcPr>
            <w:tcW w:w="2433" w:type="dxa"/>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trHeight w:val="340" w:hRule="atLeast"/>
        </w:trPr>
        <w:tc>
          <w:tcPr>
            <w:tcW w:w="5211" w:type="dxa"/>
            <w:gridSpan w:val="4"/>
            <w:shd w:val="clear" w:color="auto" w:fill="auto"/>
            <w:noWrap w:val="0"/>
            <w:vAlign w:val="center"/>
          </w:tcPr>
          <w:p>
            <w:pPr>
              <w:jc w:val="center"/>
              <w:rPr>
                <w:rFonts w:ascii="宋体" w:hAnsi="宋体"/>
                <w:szCs w:val="21"/>
              </w:rPr>
            </w:pPr>
            <w:r>
              <w:rPr>
                <w:rFonts w:hint="eastAsia" w:ascii="宋体" w:hAnsi="宋体"/>
                <w:szCs w:val="21"/>
              </w:rPr>
              <w:t>绿化合计</w:t>
            </w:r>
          </w:p>
        </w:tc>
        <w:tc>
          <w:tcPr>
            <w:tcW w:w="1642" w:type="dxa"/>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146454.46</w:t>
            </w:r>
          </w:p>
        </w:tc>
        <w:tc>
          <w:tcPr>
            <w:tcW w:w="2433" w:type="dxa"/>
            <w:shd w:val="clear" w:color="auto" w:fill="auto"/>
            <w:noWrap w:val="0"/>
            <w:vAlign w:val="center"/>
          </w:tcPr>
          <w:p>
            <w:pPr>
              <w:jc w:val="center"/>
              <w:rPr>
                <w:rFonts w:hint="eastAsia" w:ascii="宋体" w:hAnsi="宋体" w:cs="宋体"/>
                <w:color w:val="000000"/>
                <w:szCs w:val="21"/>
              </w:rPr>
            </w:pPr>
          </w:p>
        </w:tc>
      </w:tr>
    </w:tbl>
    <w:p>
      <w:pPr>
        <w:pStyle w:val="2"/>
        <w:rPr>
          <w:rFonts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99"/>
        <w:gridCol w:w="2200"/>
        <w:gridCol w:w="1352"/>
        <w:gridCol w:w="1673"/>
        <w:gridCol w:w="1673"/>
        <w:gridCol w:w="156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 xml:space="preserve">  </w:t>
            </w:r>
            <w:r>
              <w:rPr>
                <w:rFonts w:ascii="宋体" w:hAnsi="宋体" w:cs="宋体"/>
                <w:b/>
                <w:bCs/>
                <w:color w:val="000000"/>
                <w:szCs w:val="21"/>
              </w:rPr>
              <w:t>7</w:t>
            </w:r>
            <w:r>
              <w:rPr>
                <w:rFonts w:hint="eastAsia" w:ascii="宋体" w:hAnsi="宋体" w:cs="宋体"/>
                <w:b/>
                <w:bCs/>
                <w:color w:val="000000"/>
                <w:szCs w:val="21"/>
              </w:rPr>
              <w:t>、安阳</w:t>
            </w:r>
            <w:r>
              <w:rPr>
                <w:rFonts w:ascii="宋体" w:hAnsi="宋体" w:cs="宋体"/>
                <w:b/>
                <w:bCs/>
                <w:color w:val="000000"/>
                <w:kern w:val="2"/>
                <w:szCs w:val="21"/>
              </w:rPr>
              <w:t>街道公园广场环卫作业工程量清单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1214"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公园广场名称</w:t>
            </w:r>
          </w:p>
        </w:tc>
        <w:tc>
          <w:tcPr>
            <w:tcW w:w="74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公厕(座)</w:t>
            </w:r>
          </w:p>
        </w:tc>
        <w:tc>
          <w:tcPr>
            <w:tcW w:w="92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道路面积（㎡）</w:t>
            </w:r>
          </w:p>
        </w:tc>
        <w:tc>
          <w:tcPr>
            <w:tcW w:w="92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绿化面积（㎡）</w:t>
            </w:r>
          </w:p>
        </w:tc>
        <w:tc>
          <w:tcPr>
            <w:tcW w:w="864" w:type="pct"/>
            <w:vMerge w:val="restar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vMerge w:val="continue"/>
            <w:noWrap w:val="0"/>
            <w:vAlign w:val="center"/>
          </w:tcPr>
          <w:p>
            <w:pPr>
              <w:rPr>
                <w:rFonts w:ascii="宋体" w:hAnsi="宋体" w:cs="宋体"/>
                <w:color w:val="000000"/>
                <w:szCs w:val="21"/>
              </w:rPr>
            </w:pPr>
          </w:p>
        </w:tc>
        <w:tc>
          <w:tcPr>
            <w:tcW w:w="1214" w:type="pct"/>
            <w:vMerge w:val="continue"/>
            <w:noWrap w:val="0"/>
            <w:vAlign w:val="center"/>
          </w:tcPr>
          <w:p>
            <w:pPr>
              <w:rPr>
                <w:rFonts w:ascii="宋体" w:hAnsi="宋体" w:cs="宋体"/>
                <w:color w:val="000000"/>
                <w:szCs w:val="21"/>
              </w:rPr>
            </w:pPr>
          </w:p>
        </w:tc>
        <w:tc>
          <w:tcPr>
            <w:tcW w:w="746" w:type="pct"/>
            <w:vMerge w:val="continue"/>
            <w:noWrap w:val="0"/>
            <w:vAlign w:val="center"/>
          </w:tcPr>
          <w:p>
            <w:pPr>
              <w:rPr>
                <w:rFonts w:ascii="宋体" w:hAnsi="宋体" w:cs="宋体"/>
                <w:color w:val="000000"/>
                <w:szCs w:val="21"/>
              </w:rPr>
            </w:pPr>
          </w:p>
        </w:tc>
        <w:tc>
          <w:tcPr>
            <w:tcW w:w="923" w:type="pct"/>
            <w:vMerge w:val="continue"/>
            <w:noWrap w:val="0"/>
            <w:vAlign w:val="center"/>
          </w:tcPr>
          <w:p>
            <w:pPr>
              <w:rPr>
                <w:rFonts w:ascii="宋体" w:hAnsi="宋体" w:cs="宋体"/>
                <w:color w:val="000000"/>
                <w:szCs w:val="21"/>
              </w:rPr>
            </w:pPr>
          </w:p>
        </w:tc>
        <w:tc>
          <w:tcPr>
            <w:tcW w:w="923" w:type="pct"/>
            <w:vMerge w:val="continue"/>
            <w:noWrap w:val="0"/>
            <w:vAlign w:val="center"/>
          </w:tcPr>
          <w:p>
            <w:pPr>
              <w:rPr>
                <w:rFonts w:ascii="宋体" w:hAnsi="宋体" w:cs="宋体"/>
                <w:color w:val="000000"/>
                <w:szCs w:val="21"/>
              </w:rPr>
            </w:pPr>
          </w:p>
        </w:tc>
        <w:tc>
          <w:tcPr>
            <w:tcW w:w="864"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瑞安广场</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50600</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23400</w:t>
            </w:r>
          </w:p>
        </w:tc>
        <w:tc>
          <w:tcPr>
            <w:tcW w:w="864" w:type="pct"/>
            <w:shd w:val="clear" w:color="auto" w:fill="auto"/>
            <w:noWrap/>
            <w:vAlign w:val="center"/>
          </w:tcPr>
          <w:p>
            <w:pPr>
              <w:jc w:val="center"/>
              <w:rPr>
                <w:rFonts w:hint="eastAsia" w:ascii="宋体" w:hAnsi="宋体" w:cs="宋体"/>
                <w:szCs w:val="21"/>
              </w:rPr>
            </w:pPr>
            <w:r>
              <w:rPr>
                <w:rFonts w:hint="eastAsia" w:ascii="宋体" w:hAnsi="宋体" w:cs="宋体"/>
                <w:szCs w:val="21"/>
              </w:rPr>
              <w:t>席地而坐标准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马鞍山公园</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9700</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35900</w:t>
            </w:r>
          </w:p>
        </w:tc>
        <w:tc>
          <w:tcPr>
            <w:tcW w:w="864" w:type="pct"/>
            <w:shd w:val="clear" w:color="auto" w:fill="auto"/>
            <w:noWrap/>
            <w:vAlign w:val="center"/>
          </w:tcPr>
          <w:p>
            <w:pPr>
              <w:jc w:val="center"/>
              <w:rPr>
                <w:rFonts w:hint="eastAsia"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万松广场及停车场</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5531</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15335</w:t>
            </w:r>
          </w:p>
        </w:tc>
        <w:tc>
          <w:tcPr>
            <w:tcW w:w="864" w:type="pct"/>
            <w:shd w:val="clear" w:color="auto" w:fill="auto"/>
            <w:noWrap/>
            <w:vAlign w:val="center"/>
          </w:tcPr>
          <w:p>
            <w:pPr>
              <w:jc w:val="center"/>
              <w:rPr>
                <w:rFonts w:ascii="宋体" w:hAnsi="宋体" w:cs="宋体"/>
                <w:szCs w:val="21"/>
              </w:rPr>
            </w:pPr>
            <w:r>
              <w:rPr>
                <w:rFonts w:hint="eastAsia" w:ascii="宋体" w:hAnsi="宋体" w:cs="宋体"/>
                <w:szCs w:val="21"/>
              </w:rPr>
              <w:t>万松广场需按</w:t>
            </w:r>
          </w:p>
          <w:p>
            <w:pPr>
              <w:jc w:val="center"/>
              <w:rPr>
                <w:rFonts w:hint="eastAsia" w:ascii="宋体" w:hAnsi="宋体" w:cs="宋体"/>
                <w:szCs w:val="21"/>
              </w:rPr>
            </w:pPr>
            <w:r>
              <w:rPr>
                <w:rFonts w:hint="eastAsia" w:ascii="宋体" w:hAnsi="宋体" w:cs="宋体"/>
                <w:szCs w:val="21"/>
              </w:rPr>
              <w:t>席地而坐标准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隆山天风</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3768</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3768</w:t>
            </w:r>
          </w:p>
        </w:tc>
        <w:tc>
          <w:tcPr>
            <w:tcW w:w="864" w:type="pct"/>
            <w:shd w:val="clear" w:color="auto" w:fill="auto"/>
            <w:noWrap/>
            <w:vAlign w:val="center"/>
          </w:tcPr>
          <w:p>
            <w:pPr>
              <w:jc w:val="center"/>
              <w:rPr>
                <w:rFonts w:hint="eastAsia"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隆山公园停车场</w:t>
            </w:r>
          </w:p>
        </w:tc>
        <w:tc>
          <w:tcPr>
            <w:tcW w:w="746" w:type="pct"/>
            <w:shd w:val="clear" w:color="auto" w:fill="auto"/>
            <w:noWrap w:val="0"/>
            <w:vAlign w:val="center"/>
          </w:tcPr>
          <w:p>
            <w:pPr>
              <w:jc w:val="center"/>
              <w:rPr>
                <w:rFonts w:hint="eastAsia" w:ascii="宋体" w:hAnsi="宋体" w:cs="宋体"/>
                <w:color w:val="000000"/>
                <w:szCs w:val="21"/>
              </w:rPr>
            </w:pPr>
          </w:p>
        </w:tc>
        <w:tc>
          <w:tcPr>
            <w:tcW w:w="923"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726</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2978</w:t>
            </w:r>
          </w:p>
        </w:tc>
        <w:tc>
          <w:tcPr>
            <w:tcW w:w="864" w:type="pct"/>
            <w:shd w:val="clear" w:color="auto" w:fill="auto"/>
            <w:noWrap/>
            <w:vAlign w:val="center"/>
          </w:tcPr>
          <w:p>
            <w:pPr>
              <w:jc w:val="center"/>
              <w:rPr>
                <w:rFonts w:hint="eastAsia"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万松山</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43670</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52418</w:t>
            </w:r>
          </w:p>
        </w:tc>
        <w:tc>
          <w:tcPr>
            <w:tcW w:w="864" w:type="pct"/>
            <w:shd w:val="clear" w:color="auto" w:fill="auto"/>
            <w:noWrap/>
            <w:vAlign w:val="center"/>
          </w:tcPr>
          <w:p>
            <w:pPr>
              <w:jc w:val="center"/>
              <w:rPr>
                <w:rFonts w:hint="eastAsia"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隆山公园</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26184.28</w:t>
            </w:r>
          </w:p>
        </w:tc>
        <w:tc>
          <w:tcPr>
            <w:tcW w:w="92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51831</w:t>
            </w:r>
          </w:p>
        </w:tc>
        <w:tc>
          <w:tcPr>
            <w:tcW w:w="864" w:type="pct"/>
            <w:shd w:val="clear" w:color="auto" w:fill="auto"/>
            <w:noWrap/>
            <w:vAlign w:val="center"/>
          </w:tcPr>
          <w:p>
            <w:pPr>
              <w:jc w:val="center"/>
              <w:rPr>
                <w:rFonts w:hint="eastAsia"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8</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瑞祥广场</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w:t>
            </w:r>
          </w:p>
        </w:tc>
        <w:tc>
          <w:tcPr>
            <w:tcW w:w="1846" w:type="pct"/>
            <w:gridSpan w:val="2"/>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w:t>
            </w:r>
            <w:r>
              <w:rPr>
                <w:rFonts w:ascii="宋体" w:hAnsi="宋体" w:cs="宋体"/>
                <w:color w:val="000000"/>
                <w:szCs w:val="21"/>
              </w:rPr>
              <w:t>9000</w:t>
            </w:r>
          </w:p>
        </w:tc>
        <w:tc>
          <w:tcPr>
            <w:tcW w:w="864" w:type="pct"/>
            <w:shd w:val="clear" w:color="auto" w:fill="auto"/>
            <w:noWrap/>
            <w:vAlign w:val="center"/>
          </w:tcPr>
          <w:p>
            <w:pPr>
              <w:jc w:val="center"/>
              <w:rPr>
                <w:rFonts w:hint="eastAsia"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9</w:t>
            </w:r>
          </w:p>
        </w:tc>
        <w:tc>
          <w:tcPr>
            <w:tcW w:w="1214"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瑞祥公园</w:t>
            </w:r>
          </w:p>
        </w:tc>
        <w:tc>
          <w:tcPr>
            <w:tcW w:w="7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w:t>
            </w:r>
          </w:p>
        </w:tc>
        <w:tc>
          <w:tcPr>
            <w:tcW w:w="1846" w:type="pct"/>
            <w:gridSpan w:val="2"/>
            <w:shd w:val="clear" w:color="auto" w:fill="auto"/>
            <w:noWrap w:val="0"/>
            <w:vAlign w:val="center"/>
          </w:tcPr>
          <w:p>
            <w:pPr>
              <w:jc w:val="center"/>
              <w:rPr>
                <w:rFonts w:ascii="宋体" w:hAnsi="宋体" w:cs="宋体"/>
                <w:color w:val="000000"/>
                <w:szCs w:val="21"/>
              </w:rPr>
            </w:pPr>
            <w:r>
              <w:rPr>
                <w:rFonts w:ascii="宋体" w:hAnsi="宋体" w:cs="宋体"/>
                <w:color w:val="000000"/>
                <w:szCs w:val="21"/>
              </w:rPr>
              <w:t>62200</w:t>
            </w:r>
          </w:p>
        </w:tc>
        <w:tc>
          <w:tcPr>
            <w:tcW w:w="864" w:type="pct"/>
            <w:shd w:val="clear" w:color="auto" w:fill="auto"/>
            <w:noWrap w:val="0"/>
            <w:vAlign w:val="center"/>
          </w:tcPr>
          <w:p>
            <w:pPr>
              <w:jc w:val="center"/>
              <w:rPr>
                <w:rFonts w:hint="eastAsia" w:ascii="宋体" w:hAnsi="宋体" w:cs="宋体"/>
                <w:szCs w:val="21"/>
              </w:rPr>
            </w:pPr>
            <w:r>
              <w:rPr>
                <w:rFonts w:hint="eastAsia" w:ascii="宋体" w:hAnsi="宋体" w:cs="宋体"/>
                <w:szCs w:val="21"/>
              </w:rPr>
              <w:t>席地而坐标准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w:t>
            </w:r>
          </w:p>
        </w:tc>
        <w:tc>
          <w:tcPr>
            <w:tcW w:w="1214" w:type="pct"/>
            <w:shd w:val="clear" w:color="auto" w:fill="FFFFFF"/>
            <w:noWrap/>
            <w:vAlign w:val="center"/>
          </w:tcPr>
          <w:p>
            <w:pPr>
              <w:jc w:val="center"/>
              <w:rPr>
                <w:rFonts w:hint="eastAsia" w:ascii="宋体" w:hAnsi="宋体" w:cs="宋体"/>
                <w:color w:val="000000"/>
                <w:szCs w:val="21"/>
              </w:rPr>
            </w:pPr>
            <w:r>
              <w:rPr>
                <w:rFonts w:hint="eastAsia" w:ascii="宋体" w:hAnsi="宋体" w:cs="宋体"/>
                <w:color w:val="000000"/>
                <w:szCs w:val="21"/>
              </w:rPr>
              <w:t>瑞祥广场停车场</w:t>
            </w:r>
          </w:p>
        </w:tc>
        <w:tc>
          <w:tcPr>
            <w:tcW w:w="746" w:type="pct"/>
            <w:shd w:val="clear" w:color="auto" w:fill="FFFFFF"/>
            <w:noWrap/>
            <w:vAlign w:val="center"/>
          </w:tcPr>
          <w:p>
            <w:pPr>
              <w:jc w:val="center"/>
              <w:rPr>
                <w:rFonts w:hint="eastAsia" w:ascii="宋体" w:hAnsi="宋体" w:cs="宋体"/>
                <w:color w:val="000000"/>
                <w:szCs w:val="21"/>
              </w:rPr>
            </w:pPr>
          </w:p>
        </w:tc>
        <w:tc>
          <w:tcPr>
            <w:tcW w:w="923" w:type="pct"/>
            <w:shd w:val="clear" w:color="auto" w:fill="FFFFFF"/>
            <w:noWrap/>
            <w:vAlign w:val="center"/>
          </w:tcPr>
          <w:p>
            <w:pPr>
              <w:jc w:val="center"/>
              <w:rPr>
                <w:rFonts w:ascii="宋体" w:hAnsi="宋体" w:cs="宋体"/>
                <w:color w:val="000000"/>
                <w:szCs w:val="21"/>
              </w:rPr>
            </w:pPr>
            <w:r>
              <w:rPr>
                <w:rFonts w:ascii="宋体" w:hAnsi="宋体" w:cs="宋体"/>
                <w:color w:val="000000"/>
                <w:szCs w:val="21"/>
              </w:rPr>
              <w:t>11000</w:t>
            </w:r>
          </w:p>
        </w:tc>
        <w:tc>
          <w:tcPr>
            <w:tcW w:w="923" w:type="pct"/>
            <w:shd w:val="clear" w:color="auto" w:fill="FFFFFF"/>
            <w:noWrap/>
            <w:vAlign w:val="center"/>
          </w:tcPr>
          <w:p>
            <w:pPr>
              <w:jc w:val="center"/>
              <w:rPr>
                <w:rFonts w:hint="eastAsia" w:ascii="宋体" w:hAnsi="宋体" w:cs="宋体"/>
                <w:color w:val="000000"/>
                <w:szCs w:val="21"/>
              </w:rPr>
            </w:pPr>
          </w:p>
        </w:tc>
        <w:tc>
          <w:tcPr>
            <w:tcW w:w="864"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w:t>
            </w:r>
          </w:p>
        </w:tc>
        <w:tc>
          <w:tcPr>
            <w:tcW w:w="1214" w:type="pct"/>
            <w:shd w:val="clear" w:color="auto" w:fill="FFFFFF"/>
            <w:noWrap/>
            <w:vAlign w:val="center"/>
          </w:tcPr>
          <w:p>
            <w:pPr>
              <w:jc w:val="center"/>
              <w:rPr>
                <w:rFonts w:hint="eastAsia" w:ascii="宋体" w:hAnsi="宋体" w:cs="宋体"/>
                <w:color w:val="000000"/>
                <w:szCs w:val="21"/>
              </w:rPr>
            </w:pPr>
            <w:r>
              <w:rPr>
                <w:rFonts w:hint="eastAsia" w:ascii="宋体" w:hAnsi="宋体" w:cs="宋体"/>
                <w:color w:val="000000"/>
                <w:szCs w:val="21"/>
              </w:rPr>
              <w:t>安阳路育才停车场</w:t>
            </w:r>
          </w:p>
        </w:tc>
        <w:tc>
          <w:tcPr>
            <w:tcW w:w="746" w:type="pct"/>
            <w:shd w:val="clear" w:color="auto" w:fill="FFFFFF"/>
            <w:noWrap/>
            <w:vAlign w:val="center"/>
          </w:tcPr>
          <w:p>
            <w:pPr>
              <w:jc w:val="center"/>
              <w:rPr>
                <w:rFonts w:hint="eastAsia" w:ascii="宋体" w:hAnsi="宋体" w:cs="宋体"/>
                <w:color w:val="000000"/>
                <w:szCs w:val="21"/>
              </w:rPr>
            </w:pPr>
          </w:p>
        </w:tc>
        <w:tc>
          <w:tcPr>
            <w:tcW w:w="923" w:type="pct"/>
            <w:shd w:val="clear" w:color="auto" w:fill="FFFFFF"/>
            <w:noWrap/>
            <w:vAlign w:val="center"/>
          </w:tcPr>
          <w:p>
            <w:pPr>
              <w:jc w:val="center"/>
              <w:rPr>
                <w:rFonts w:ascii="宋体" w:hAnsi="宋体" w:cs="宋体"/>
                <w:color w:val="000000"/>
                <w:szCs w:val="21"/>
              </w:rPr>
            </w:pPr>
            <w:r>
              <w:rPr>
                <w:rFonts w:hint="eastAsia" w:ascii="宋体" w:hAnsi="宋体" w:cs="宋体"/>
                <w:color w:val="000000"/>
                <w:szCs w:val="21"/>
              </w:rPr>
              <w:t>3300</w:t>
            </w:r>
          </w:p>
        </w:tc>
        <w:tc>
          <w:tcPr>
            <w:tcW w:w="923" w:type="pct"/>
            <w:shd w:val="clear" w:color="auto" w:fill="FFFFFF"/>
            <w:noWrap/>
            <w:vAlign w:val="center"/>
          </w:tcPr>
          <w:p>
            <w:pPr>
              <w:jc w:val="center"/>
              <w:rPr>
                <w:rFonts w:hint="eastAsia" w:ascii="宋体" w:hAnsi="宋体" w:cs="宋体"/>
                <w:color w:val="000000"/>
                <w:szCs w:val="21"/>
              </w:rPr>
            </w:pPr>
          </w:p>
        </w:tc>
        <w:tc>
          <w:tcPr>
            <w:tcW w:w="864" w:type="pct"/>
            <w:shd w:val="clear" w:color="auto" w:fill="auto"/>
            <w:noWrap w:val="0"/>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30"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w:t>
            </w:r>
          </w:p>
        </w:tc>
        <w:tc>
          <w:tcPr>
            <w:tcW w:w="1214" w:type="pct"/>
            <w:shd w:val="clear" w:color="auto" w:fill="FFFFFF"/>
            <w:noWrap/>
            <w:vAlign w:val="center"/>
          </w:tcPr>
          <w:p>
            <w:pPr>
              <w:jc w:val="center"/>
              <w:rPr>
                <w:rFonts w:hint="eastAsia" w:ascii="宋体" w:hAnsi="宋体" w:cs="宋体"/>
                <w:color w:val="000000"/>
                <w:szCs w:val="21"/>
              </w:rPr>
            </w:pPr>
            <w:r>
              <w:rPr>
                <w:rFonts w:hint="eastAsia" w:ascii="宋体" w:hAnsi="宋体" w:cs="宋体"/>
                <w:color w:val="000000"/>
                <w:szCs w:val="21"/>
              </w:rPr>
              <w:t>隆山公园樱花停车场</w:t>
            </w:r>
          </w:p>
        </w:tc>
        <w:tc>
          <w:tcPr>
            <w:tcW w:w="746" w:type="pct"/>
            <w:shd w:val="clear" w:color="auto" w:fill="FFFFFF"/>
            <w:noWrap/>
            <w:vAlign w:val="center"/>
          </w:tcPr>
          <w:p>
            <w:pPr>
              <w:jc w:val="center"/>
              <w:rPr>
                <w:rFonts w:hint="eastAsia" w:ascii="宋体" w:hAnsi="宋体" w:cs="宋体"/>
                <w:color w:val="000000"/>
                <w:szCs w:val="21"/>
              </w:rPr>
            </w:pPr>
          </w:p>
        </w:tc>
        <w:tc>
          <w:tcPr>
            <w:tcW w:w="923" w:type="pct"/>
            <w:shd w:val="clear" w:color="auto" w:fill="FFFFFF"/>
            <w:noWrap/>
            <w:vAlign w:val="center"/>
          </w:tcPr>
          <w:p>
            <w:pPr>
              <w:jc w:val="center"/>
              <w:rPr>
                <w:rFonts w:ascii="宋体" w:hAnsi="宋体" w:cs="宋体"/>
                <w:color w:val="000000"/>
                <w:szCs w:val="21"/>
              </w:rPr>
            </w:pPr>
            <w:r>
              <w:rPr>
                <w:rFonts w:hint="eastAsia" w:ascii="宋体" w:hAnsi="宋体" w:cs="宋体"/>
                <w:color w:val="000000"/>
                <w:szCs w:val="21"/>
              </w:rPr>
              <w:t>865.51</w:t>
            </w:r>
          </w:p>
        </w:tc>
        <w:tc>
          <w:tcPr>
            <w:tcW w:w="923" w:type="pct"/>
            <w:shd w:val="clear" w:color="auto" w:fill="FFFFFF"/>
            <w:noWrap/>
            <w:vAlign w:val="center"/>
          </w:tcPr>
          <w:p>
            <w:pPr>
              <w:jc w:val="center"/>
              <w:rPr>
                <w:rFonts w:hint="eastAsia" w:ascii="宋体" w:hAnsi="宋体" w:cs="宋体"/>
                <w:color w:val="000000"/>
                <w:szCs w:val="21"/>
              </w:rPr>
            </w:pPr>
            <w:r>
              <w:rPr>
                <w:rFonts w:hint="eastAsia" w:ascii="宋体" w:hAnsi="宋体" w:cs="宋体"/>
                <w:color w:val="000000"/>
                <w:szCs w:val="21"/>
              </w:rPr>
              <w:t>374.31</w:t>
            </w:r>
          </w:p>
        </w:tc>
        <w:tc>
          <w:tcPr>
            <w:tcW w:w="864"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ign w:val="center"/>
          </w:tcPr>
          <w:p>
            <w:pPr>
              <w:rPr>
                <w:rFonts w:ascii="宋体" w:hAnsi="宋体" w:cs="宋体"/>
                <w:color w:val="000000"/>
                <w:szCs w:val="21"/>
              </w:rPr>
            </w:pPr>
            <w:r>
              <w:rPr>
                <w:rFonts w:hint="eastAsia" w:ascii="宋体" w:hAnsi="宋体" w:cs="宋体"/>
                <w:color w:val="000000"/>
                <w:szCs w:val="21"/>
              </w:rPr>
              <w:t>公园广场公厕按照一类公厕标准</w:t>
            </w:r>
          </w:p>
        </w:tc>
      </w:tr>
    </w:tbl>
    <w:p>
      <w:pPr>
        <w:pStyle w:val="2"/>
        <w:rPr>
          <w:rFonts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174"/>
        <w:gridCol w:w="1570"/>
        <w:gridCol w:w="801"/>
        <w:gridCol w:w="1570"/>
        <w:gridCol w:w="1570"/>
        <w:gridCol w:w="195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7"/>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 xml:space="preserve">  </w:t>
            </w:r>
            <w:r>
              <w:rPr>
                <w:rFonts w:ascii="宋体" w:hAnsi="宋体" w:cs="宋体"/>
                <w:b/>
                <w:bCs/>
                <w:color w:val="000000"/>
                <w:szCs w:val="21"/>
              </w:rPr>
              <w:t>8</w:t>
            </w:r>
            <w:r>
              <w:rPr>
                <w:rFonts w:hint="eastAsia" w:ascii="宋体" w:hAnsi="宋体" w:cs="宋体"/>
                <w:b/>
                <w:bCs/>
                <w:color w:val="000000"/>
                <w:szCs w:val="21"/>
              </w:rPr>
              <w:t>、安阳</w:t>
            </w:r>
            <w:r>
              <w:rPr>
                <w:rFonts w:ascii="宋体" w:hAnsi="宋体" w:cs="宋体"/>
                <w:b/>
                <w:bCs/>
                <w:color w:val="000000"/>
                <w:kern w:val="2"/>
                <w:szCs w:val="21"/>
              </w:rPr>
              <w:t>街道一级河道环卫作业工程量清单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648"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社区、村名称</w:t>
            </w:r>
          </w:p>
        </w:tc>
        <w:tc>
          <w:tcPr>
            <w:tcW w:w="86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河道名称</w:t>
            </w:r>
          </w:p>
        </w:tc>
        <w:tc>
          <w:tcPr>
            <w:tcW w:w="442"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河道级别</w:t>
            </w:r>
          </w:p>
        </w:tc>
        <w:tc>
          <w:tcPr>
            <w:tcW w:w="86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86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1078"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vMerge w:val="continue"/>
            <w:noWrap w:val="0"/>
            <w:vAlign w:val="center"/>
          </w:tcPr>
          <w:p>
            <w:pPr>
              <w:rPr>
                <w:rFonts w:ascii="宋体" w:hAnsi="宋体" w:cs="宋体"/>
                <w:color w:val="000000"/>
                <w:szCs w:val="21"/>
              </w:rPr>
            </w:pPr>
          </w:p>
        </w:tc>
        <w:tc>
          <w:tcPr>
            <w:tcW w:w="648" w:type="pct"/>
            <w:vMerge w:val="continue"/>
            <w:noWrap w:val="0"/>
            <w:vAlign w:val="center"/>
          </w:tcPr>
          <w:p>
            <w:pPr>
              <w:rPr>
                <w:rFonts w:ascii="宋体" w:hAnsi="宋体" w:cs="宋体"/>
                <w:color w:val="000000"/>
                <w:szCs w:val="21"/>
              </w:rPr>
            </w:pPr>
          </w:p>
        </w:tc>
        <w:tc>
          <w:tcPr>
            <w:tcW w:w="866" w:type="pct"/>
            <w:vMerge w:val="continue"/>
            <w:noWrap w:val="0"/>
            <w:vAlign w:val="center"/>
          </w:tcPr>
          <w:p>
            <w:pPr>
              <w:rPr>
                <w:rFonts w:ascii="宋体" w:hAnsi="宋体" w:cs="宋体"/>
                <w:color w:val="000000"/>
                <w:szCs w:val="21"/>
              </w:rPr>
            </w:pPr>
          </w:p>
        </w:tc>
        <w:tc>
          <w:tcPr>
            <w:tcW w:w="442" w:type="pct"/>
            <w:vMerge w:val="continue"/>
            <w:noWrap w:val="0"/>
            <w:vAlign w:val="center"/>
          </w:tcPr>
          <w:p>
            <w:pPr>
              <w:rPr>
                <w:rFonts w:ascii="宋体" w:hAnsi="宋体" w:cs="宋体"/>
                <w:color w:val="000000"/>
                <w:szCs w:val="21"/>
              </w:rPr>
            </w:pPr>
          </w:p>
        </w:tc>
        <w:tc>
          <w:tcPr>
            <w:tcW w:w="866" w:type="pct"/>
            <w:vMerge w:val="continue"/>
            <w:noWrap w:val="0"/>
            <w:vAlign w:val="center"/>
          </w:tcPr>
          <w:p>
            <w:pPr>
              <w:rPr>
                <w:rFonts w:ascii="宋体" w:hAnsi="宋体" w:cs="宋体"/>
                <w:color w:val="000000"/>
                <w:szCs w:val="21"/>
              </w:rPr>
            </w:pPr>
          </w:p>
        </w:tc>
        <w:tc>
          <w:tcPr>
            <w:tcW w:w="866" w:type="pct"/>
            <w:vMerge w:val="continue"/>
            <w:noWrap w:val="0"/>
            <w:vAlign w:val="center"/>
          </w:tcPr>
          <w:p>
            <w:pPr>
              <w:rPr>
                <w:rFonts w:ascii="宋体" w:hAnsi="宋体" w:cs="宋体"/>
                <w:color w:val="000000"/>
                <w:szCs w:val="21"/>
              </w:rPr>
            </w:pPr>
          </w:p>
        </w:tc>
        <w:tc>
          <w:tcPr>
            <w:tcW w:w="1078"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648" w:type="pct"/>
            <w:shd w:val="clear" w:color="auto" w:fill="auto"/>
            <w:noWrap w:val="0"/>
            <w:vAlign w:val="center"/>
          </w:tcPr>
          <w:p>
            <w:pPr>
              <w:jc w:val="center"/>
              <w:rPr>
                <w:rFonts w:hint="eastAsia" w:ascii="宋体" w:hAnsi="宋体" w:cs="宋体"/>
                <w:color w:val="000000"/>
                <w:szCs w:val="21"/>
              </w:rPr>
            </w:pPr>
          </w:p>
        </w:tc>
        <w:tc>
          <w:tcPr>
            <w:tcW w:w="86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温瑞塘河</w:t>
            </w:r>
          </w:p>
        </w:tc>
        <w:tc>
          <w:tcPr>
            <w:tcW w:w="442" w:type="pct"/>
            <w:shd w:val="clear" w:color="auto" w:fill="auto"/>
            <w:noWrap w:val="0"/>
            <w:vAlign w:val="center"/>
          </w:tcPr>
          <w:p>
            <w:pPr>
              <w:jc w:val="center"/>
              <w:rPr>
                <w:rFonts w:hint="eastAsia" w:ascii="宋体" w:hAnsi="宋体" w:cs="宋体"/>
                <w:color w:val="000000"/>
                <w:szCs w:val="21"/>
              </w:rPr>
            </w:pPr>
          </w:p>
        </w:tc>
        <w:tc>
          <w:tcPr>
            <w:tcW w:w="86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2300×45</w:t>
            </w:r>
          </w:p>
        </w:tc>
        <w:tc>
          <w:tcPr>
            <w:tcW w:w="86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103500</w:t>
            </w:r>
          </w:p>
        </w:tc>
        <w:tc>
          <w:tcPr>
            <w:tcW w:w="1078" w:type="pct"/>
            <w:shd w:val="clear" w:color="auto" w:fill="auto"/>
            <w:noWrap w:val="0"/>
            <w:vAlign w:val="center"/>
          </w:tcPr>
          <w:p>
            <w:pPr>
              <w:jc w:val="center"/>
              <w:rPr>
                <w:rFonts w:hint="eastAsia" w:ascii="宋体" w:hAnsi="宋体" w:cs="宋体"/>
                <w:szCs w:val="21"/>
              </w:rPr>
            </w:pPr>
            <w:r>
              <w:rPr>
                <w:rFonts w:hint="eastAsia" w:ascii="宋体" w:hAnsi="宋体" w:cs="宋体"/>
                <w:szCs w:val="21"/>
              </w:rPr>
              <w:t>白岩桥至莘阳大道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057" w:type="pct"/>
            <w:gridSpan w:val="5"/>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合计</w:t>
            </w:r>
          </w:p>
        </w:tc>
        <w:tc>
          <w:tcPr>
            <w:tcW w:w="866"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103500</w:t>
            </w:r>
          </w:p>
        </w:tc>
        <w:tc>
          <w:tcPr>
            <w:tcW w:w="1078" w:type="pct"/>
            <w:shd w:val="clear" w:color="auto" w:fill="auto"/>
            <w:noWrap w:val="0"/>
            <w:vAlign w:val="center"/>
          </w:tcPr>
          <w:p>
            <w:pPr>
              <w:jc w:val="center"/>
              <w:rPr>
                <w:rFonts w:hint="eastAsia" w:ascii="宋体" w:hAnsi="宋体" w:cs="宋体"/>
                <w:b/>
                <w:bCs/>
                <w:color w:val="000000"/>
                <w:szCs w:val="21"/>
              </w:rPr>
            </w:pPr>
          </w:p>
        </w:tc>
      </w:tr>
    </w:tbl>
    <w:p>
      <w:pPr>
        <w:pStyle w:val="2"/>
        <w:rPr>
          <w:rFonts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49"/>
        <w:gridCol w:w="1686"/>
        <w:gridCol w:w="861"/>
        <w:gridCol w:w="1686"/>
        <w:gridCol w:w="1686"/>
        <w:gridCol w:w="269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u w:val="single"/>
              </w:rPr>
              <w:t>9</w:t>
            </w:r>
            <w:r>
              <w:rPr>
                <w:rFonts w:hint="eastAsia" w:ascii="宋体" w:hAnsi="宋体" w:cs="宋体"/>
                <w:b/>
                <w:bCs/>
                <w:color w:val="000000"/>
                <w:szCs w:val="21"/>
              </w:rPr>
              <w:t xml:space="preserve">、安阳 </w:t>
            </w:r>
            <w:r>
              <w:rPr>
                <w:rFonts w:ascii="宋体" w:hAnsi="宋体" w:cs="宋体"/>
                <w:b/>
                <w:bCs/>
                <w:color w:val="000000"/>
                <w:kern w:val="2"/>
                <w:szCs w:val="21"/>
              </w:rPr>
              <w:t>街道二级河道环卫作业工程量清单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93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河道名称</w:t>
            </w:r>
          </w:p>
        </w:tc>
        <w:tc>
          <w:tcPr>
            <w:tcW w:w="47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河道级别</w:t>
            </w:r>
          </w:p>
        </w:tc>
        <w:tc>
          <w:tcPr>
            <w:tcW w:w="93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93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1488"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vMerge w:val="continue"/>
            <w:noWrap w:val="0"/>
            <w:vAlign w:val="center"/>
          </w:tcPr>
          <w:p>
            <w:pPr>
              <w:rPr>
                <w:rFonts w:ascii="宋体" w:hAnsi="宋体" w:cs="宋体"/>
                <w:color w:val="000000"/>
                <w:szCs w:val="21"/>
              </w:rPr>
            </w:pPr>
          </w:p>
        </w:tc>
        <w:tc>
          <w:tcPr>
            <w:tcW w:w="930" w:type="pct"/>
            <w:vMerge w:val="continue"/>
            <w:noWrap w:val="0"/>
            <w:vAlign w:val="center"/>
          </w:tcPr>
          <w:p>
            <w:pPr>
              <w:rPr>
                <w:rFonts w:ascii="宋体" w:hAnsi="宋体" w:cs="宋体"/>
                <w:color w:val="000000"/>
                <w:szCs w:val="21"/>
              </w:rPr>
            </w:pPr>
          </w:p>
        </w:tc>
        <w:tc>
          <w:tcPr>
            <w:tcW w:w="475" w:type="pct"/>
            <w:vMerge w:val="continue"/>
            <w:noWrap w:val="0"/>
            <w:vAlign w:val="center"/>
          </w:tcPr>
          <w:p>
            <w:pPr>
              <w:rPr>
                <w:rFonts w:ascii="宋体" w:hAnsi="宋体" w:cs="宋体"/>
                <w:color w:val="000000"/>
                <w:szCs w:val="21"/>
              </w:rPr>
            </w:pPr>
          </w:p>
        </w:tc>
        <w:tc>
          <w:tcPr>
            <w:tcW w:w="930" w:type="pct"/>
            <w:vMerge w:val="continue"/>
            <w:noWrap w:val="0"/>
            <w:vAlign w:val="center"/>
          </w:tcPr>
          <w:p>
            <w:pPr>
              <w:rPr>
                <w:rFonts w:ascii="宋体" w:hAnsi="宋体" w:cs="宋体"/>
                <w:color w:val="000000"/>
                <w:szCs w:val="21"/>
              </w:rPr>
            </w:pPr>
          </w:p>
        </w:tc>
        <w:tc>
          <w:tcPr>
            <w:tcW w:w="930" w:type="pct"/>
            <w:vMerge w:val="continue"/>
            <w:noWrap w:val="0"/>
            <w:vAlign w:val="center"/>
          </w:tcPr>
          <w:p>
            <w:pPr>
              <w:rPr>
                <w:rFonts w:ascii="宋体" w:hAnsi="宋体" w:cs="宋体"/>
                <w:color w:val="000000"/>
                <w:szCs w:val="21"/>
              </w:rPr>
            </w:pPr>
          </w:p>
        </w:tc>
        <w:tc>
          <w:tcPr>
            <w:tcW w:w="1488"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上沙塘横河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860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14551</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双岙河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14985</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拱瑞山河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34157</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雅儒西河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1750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40250</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高岗河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1350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25650</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西岙河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638</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10968</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杨家河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44214</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8</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红家浃</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332</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6564</w:t>
            </w:r>
          </w:p>
        </w:tc>
        <w:tc>
          <w:tcPr>
            <w:tcW w:w="1488"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9</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周家桥红光段</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9100</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怡心河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413</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3345</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11</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下沙塘河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193</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3870</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12</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周湖浃河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525</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6610</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13</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山前河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1528</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21980</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周家桥双岙段</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975</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10237</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周家桥红星段</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2862×12</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34344</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16</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仙桥河西垟段</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820</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14480</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双岙横河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493</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6113</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18</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三叉河</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1360×16.5</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22440</w:t>
            </w:r>
          </w:p>
        </w:tc>
        <w:tc>
          <w:tcPr>
            <w:tcW w:w="148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瑞祥大道至文庄路、文节路、安阳路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双岙</w:t>
            </w:r>
          </w:p>
        </w:tc>
        <w:tc>
          <w:tcPr>
            <w:tcW w:w="47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480×7</w:t>
            </w:r>
          </w:p>
        </w:tc>
        <w:tc>
          <w:tcPr>
            <w:tcW w:w="93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3360</w:t>
            </w:r>
          </w:p>
        </w:tc>
        <w:tc>
          <w:tcPr>
            <w:tcW w:w="1488"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82" w:type="pct"/>
            <w:gridSpan w:val="4"/>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合计</w:t>
            </w:r>
          </w:p>
        </w:tc>
        <w:tc>
          <w:tcPr>
            <w:tcW w:w="930"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327218</w:t>
            </w:r>
          </w:p>
        </w:tc>
        <w:tc>
          <w:tcPr>
            <w:tcW w:w="1488" w:type="pct"/>
            <w:shd w:val="clear" w:color="auto" w:fill="auto"/>
            <w:noWrap w:val="0"/>
            <w:vAlign w:val="center"/>
          </w:tcPr>
          <w:p>
            <w:pPr>
              <w:jc w:val="center"/>
              <w:rPr>
                <w:rFonts w:hint="eastAsia" w:ascii="宋体" w:hAnsi="宋体" w:cs="宋体"/>
                <w:b/>
                <w:bCs/>
                <w:color w:val="000000"/>
                <w:szCs w:val="21"/>
              </w:rPr>
            </w:pPr>
          </w:p>
        </w:tc>
      </w:tr>
    </w:tbl>
    <w:p>
      <w:pPr>
        <w:pStyle w:val="2"/>
        <w:rPr>
          <w:rFonts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1649"/>
        <w:gridCol w:w="828"/>
        <w:gridCol w:w="1581"/>
        <w:gridCol w:w="1247"/>
        <w:gridCol w:w="1247"/>
        <w:gridCol w:w="208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7"/>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 xml:space="preserve">   </w:t>
            </w:r>
            <w:r>
              <w:rPr>
                <w:rFonts w:ascii="宋体" w:hAnsi="宋体" w:cs="宋体"/>
                <w:b/>
                <w:bCs/>
                <w:color w:val="000000"/>
                <w:szCs w:val="21"/>
              </w:rPr>
              <w:t>10</w:t>
            </w:r>
            <w:r>
              <w:rPr>
                <w:rFonts w:hint="eastAsia" w:ascii="宋体" w:hAnsi="宋体" w:cs="宋体"/>
                <w:b/>
                <w:bCs/>
                <w:color w:val="000000"/>
                <w:szCs w:val="21"/>
              </w:rPr>
              <w:t>、安阳</w:t>
            </w:r>
            <w:r>
              <w:rPr>
                <w:rFonts w:ascii="宋体" w:hAnsi="宋体" w:cs="宋体"/>
                <w:b/>
                <w:bCs/>
                <w:color w:val="000000"/>
                <w:kern w:val="2"/>
                <w:szCs w:val="21"/>
              </w:rPr>
              <w:t>街道公路环卫作业工程量清单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91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45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公路级别</w:t>
            </w:r>
          </w:p>
        </w:tc>
        <w:tc>
          <w:tcPr>
            <w:tcW w:w="872"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长×宽（m）</w:t>
            </w:r>
          </w:p>
        </w:tc>
        <w:tc>
          <w:tcPr>
            <w:tcW w:w="688"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c>
          <w:tcPr>
            <w:tcW w:w="688"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绿化面积（㎡）</w:t>
            </w:r>
          </w:p>
        </w:tc>
        <w:tc>
          <w:tcPr>
            <w:tcW w:w="1151" w:type="pct"/>
            <w:vMerge w:val="restar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起止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vMerge w:val="continue"/>
            <w:noWrap w:val="0"/>
            <w:vAlign w:val="center"/>
          </w:tcPr>
          <w:p>
            <w:pPr>
              <w:rPr>
                <w:rFonts w:ascii="宋体" w:hAnsi="宋体" w:cs="宋体"/>
                <w:color w:val="000000"/>
                <w:szCs w:val="21"/>
              </w:rPr>
            </w:pPr>
          </w:p>
        </w:tc>
        <w:tc>
          <w:tcPr>
            <w:tcW w:w="910" w:type="pct"/>
            <w:vMerge w:val="continue"/>
            <w:noWrap w:val="0"/>
            <w:vAlign w:val="center"/>
          </w:tcPr>
          <w:p>
            <w:pPr>
              <w:rPr>
                <w:rFonts w:ascii="宋体" w:hAnsi="宋体" w:cs="宋体"/>
                <w:color w:val="000000"/>
                <w:szCs w:val="21"/>
              </w:rPr>
            </w:pPr>
          </w:p>
        </w:tc>
        <w:tc>
          <w:tcPr>
            <w:tcW w:w="457" w:type="pct"/>
            <w:vMerge w:val="continue"/>
            <w:noWrap w:val="0"/>
            <w:vAlign w:val="center"/>
          </w:tcPr>
          <w:p>
            <w:pPr>
              <w:rPr>
                <w:rFonts w:ascii="宋体" w:hAnsi="宋体" w:cs="宋体"/>
                <w:color w:val="000000"/>
                <w:szCs w:val="21"/>
              </w:rPr>
            </w:pPr>
          </w:p>
        </w:tc>
        <w:tc>
          <w:tcPr>
            <w:tcW w:w="872" w:type="pct"/>
            <w:vMerge w:val="continue"/>
            <w:noWrap w:val="0"/>
            <w:vAlign w:val="center"/>
          </w:tcPr>
          <w:p>
            <w:pPr>
              <w:rPr>
                <w:rFonts w:ascii="宋体" w:hAnsi="宋体" w:cs="宋体"/>
                <w:color w:val="000000"/>
                <w:szCs w:val="21"/>
              </w:rPr>
            </w:pPr>
          </w:p>
        </w:tc>
        <w:tc>
          <w:tcPr>
            <w:tcW w:w="688" w:type="pct"/>
            <w:vMerge w:val="continue"/>
            <w:noWrap w:val="0"/>
            <w:vAlign w:val="center"/>
          </w:tcPr>
          <w:p>
            <w:pPr>
              <w:rPr>
                <w:rFonts w:ascii="宋体" w:hAnsi="宋体" w:cs="宋体"/>
                <w:color w:val="000000"/>
                <w:szCs w:val="21"/>
              </w:rPr>
            </w:pPr>
          </w:p>
        </w:tc>
        <w:tc>
          <w:tcPr>
            <w:tcW w:w="688" w:type="pct"/>
            <w:vMerge w:val="continue"/>
            <w:noWrap w:val="0"/>
            <w:vAlign w:val="center"/>
          </w:tcPr>
          <w:p>
            <w:pPr>
              <w:rPr>
                <w:rFonts w:ascii="宋体" w:hAnsi="宋体" w:cs="宋体"/>
                <w:color w:val="000000"/>
                <w:szCs w:val="21"/>
              </w:rPr>
            </w:pPr>
          </w:p>
        </w:tc>
        <w:tc>
          <w:tcPr>
            <w:tcW w:w="1151"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9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飞云江姐妹桥</w:t>
            </w:r>
          </w:p>
        </w:tc>
        <w:tc>
          <w:tcPr>
            <w:tcW w:w="4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872"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1842×（12.6+13.2）</w:t>
            </w:r>
          </w:p>
        </w:tc>
        <w:tc>
          <w:tcPr>
            <w:tcW w:w="68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47851</w:t>
            </w:r>
          </w:p>
        </w:tc>
        <w:tc>
          <w:tcPr>
            <w:tcW w:w="688" w:type="pct"/>
            <w:shd w:val="clear" w:color="auto" w:fill="auto"/>
            <w:noWrap w:val="0"/>
            <w:vAlign w:val="center"/>
          </w:tcPr>
          <w:p>
            <w:pPr>
              <w:jc w:val="center"/>
              <w:rPr>
                <w:rFonts w:hint="eastAsia" w:ascii="宋体" w:hAnsi="宋体" w:cs="宋体"/>
                <w:color w:val="000000"/>
                <w:szCs w:val="21"/>
              </w:rPr>
            </w:pPr>
          </w:p>
        </w:tc>
        <w:tc>
          <w:tcPr>
            <w:tcW w:w="1151"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南至飞云街道界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szCs w:val="21"/>
              </w:rPr>
            </w:pPr>
            <w:r>
              <w:rPr>
                <w:rFonts w:hint="eastAsia" w:ascii="宋体" w:hAnsi="宋体" w:cs="宋体"/>
                <w:szCs w:val="21"/>
              </w:rPr>
              <w:t>2</w:t>
            </w:r>
          </w:p>
        </w:tc>
        <w:tc>
          <w:tcPr>
            <w:tcW w:w="9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瑞祥大道高架桥</w:t>
            </w:r>
          </w:p>
        </w:tc>
        <w:tc>
          <w:tcPr>
            <w:tcW w:w="4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872"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2300×10</w:t>
            </w:r>
          </w:p>
        </w:tc>
        <w:tc>
          <w:tcPr>
            <w:tcW w:w="68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23000</w:t>
            </w:r>
          </w:p>
        </w:tc>
        <w:tc>
          <w:tcPr>
            <w:tcW w:w="688" w:type="pct"/>
            <w:shd w:val="clear" w:color="auto" w:fill="auto"/>
            <w:noWrap w:val="0"/>
            <w:vAlign w:val="center"/>
          </w:tcPr>
          <w:p>
            <w:pPr>
              <w:jc w:val="center"/>
              <w:rPr>
                <w:rFonts w:hint="eastAsia" w:ascii="宋体" w:hAnsi="宋体" w:cs="宋体"/>
                <w:color w:val="000000"/>
                <w:szCs w:val="21"/>
              </w:rPr>
            </w:pPr>
          </w:p>
        </w:tc>
        <w:tc>
          <w:tcPr>
            <w:tcW w:w="1151" w:type="pct"/>
            <w:shd w:val="clear" w:color="auto" w:fill="auto"/>
            <w:noWrap w:val="0"/>
            <w:vAlign w:val="center"/>
          </w:tcPr>
          <w:p>
            <w:pPr>
              <w:jc w:val="center"/>
              <w:rPr>
                <w:rFonts w:eastAsia="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474" w:type="pct"/>
            <w:gridSpan w:val="4"/>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合计</w:t>
            </w:r>
          </w:p>
        </w:tc>
        <w:tc>
          <w:tcPr>
            <w:tcW w:w="68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70851</w:t>
            </w:r>
          </w:p>
        </w:tc>
        <w:tc>
          <w:tcPr>
            <w:tcW w:w="688" w:type="pct"/>
            <w:shd w:val="clear" w:color="auto" w:fill="auto"/>
            <w:noWrap w:val="0"/>
            <w:vAlign w:val="center"/>
          </w:tcPr>
          <w:p>
            <w:pPr>
              <w:jc w:val="center"/>
              <w:rPr>
                <w:rFonts w:hint="eastAsia" w:ascii="宋体" w:hAnsi="宋体" w:cs="宋体"/>
                <w:color w:val="000000"/>
                <w:szCs w:val="21"/>
              </w:rPr>
            </w:pPr>
          </w:p>
        </w:tc>
        <w:tc>
          <w:tcPr>
            <w:tcW w:w="1151" w:type="pct"/>
            <w:shd w:val="clear" w:color="auto" w:fill="auto"/>
            <w:noWrap w:val="0"/>
            <w:vAlign w:val="center"/>
          </w:tcPr>
          <w:p>
            <w:pPr>
              <w:jc w:val="center"/>
              <w:rPr>
                <w:rFonts w:eastAsia="Times New Roman"/>
                <w:szCs w:val="21"/>
              </w:rPr>
            </w:pPr>
          </w:p>
        </w:tc>
      </w:tr>
    </w:tbl>
    <w:p>
      <w:pPr>
        <w:pStyle w:val="2"/>
        <w:rPr>
          <w:rFonts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59"/>
        <w:gridCol w:w="1698"/>
        <w:gridCol w:w="868"/>
        <w:gridCol w:w="2547"/>
        <w:gridCol w:w="1372"/>
        <w:gridCol w:w="211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 xml:space="preserve">  </w:t>
            </w:r>
            <w:r>
              <w:rPr>
                <w:rFonts w:ascii="宋体" w:hAnsi="宋体" w:cs="宋体"/>
                <w:b/>
                <w:bCs/>
                <w:color w:val="000000"/>
                <w:szCs w:val="21"/>
              </w:rPr>
              <w:t>11</w:t>
            </w:r>
            <w:r>
              <w:rPr>
                <w:rFonts w:hint="eastAsia" w:ascii="宋体" w:hAnsi="宋体" w:cs="宋体"/>
                <w:b/>
                <w:bCs/>
                <w:color w:val="000000"/>
                <w:szCs w:val="21"/>
              </w:rPr>
              <w:t>、安阳</w:t>
            </w:r>
            <w:r>
              <w:rPr>
                <w:rFonts w:ascii="宋体" w:hAnsi="宋体" w:cs="宋体"/>
                <w:b/>
                <w:bCs/>
                <w:color w:val="000000"/>
                <w:kern w:val="2"/>
                <w:szCs w:val="21"/>
              </w:rPr>
              <w:t>街道一类公厕环卫作业工程量清单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3" w:type="pct"/>
            <w:vMerge w:val="restar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序号</w:t>
            </w:r>
          </w:p>
        </w:tc>
        <w:tc>
          <w:tcPr>
            <w:tcW w:w="937" w:type="pct"/>
            <w:vMerge w:val="restar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公厕名称</w:t>
            </w:r>
          </w:p>
        </w:tc>
        <w:tc>
          <w:tcPr>
            <w:tcW w:w="479" w:type="pct"/>
            <w:vMerge w:val="restar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公厕类别</w:t>
            </w:r>
          </w:p>
        </w:tc>
        <w:tc>
          <w:tcPr>
            <w:tcW w:w="1405" w:type="pct"/>
            <w:vMerge w:val="restar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具体位置</w:t>
            </w:r>
          </w:p>
        </w:tc>
        <w:tc>
          <w:tcPr>
            <w:tcW w:w="757" w:type="pct"/>
            <w:vMerge w:val="restar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坑位（个）</w:t>
            </w:r>
          </w:p>
        </w:tc>
        <w:tc>
          <w:tcPr>
            <w:tcW w:w="1169" w:type="pct"/>
            <w:vMerge w:val="restar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面积（㎡）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3" w:type="pct"/>
            <w:vMerge w:val="continue"/>
            <w:noWrap w:val="0"/>
            <w:vAlign w:val="center"/>
          </w:tcPr>
          <w:p>
            <w:pPr>
              <w:rPr>
                <w:rFonts w:ascii="宋体" w:hAnsi="宋体" w:cs="宋体"/>
                <w:b/>
                <w:bCs/>
                <w:color w:val="000000"/>
                <w:szCs w:val="21"/>
              </w:rPr>
            </w:pPr>
          </w:p>
        </w:tc>
        <w:tc>
          <w:tcPr>
            <w:tcW w:w="937" w:type="pct"/>
            <w:vMerge w:val="continue"/>
            <w:noWrap w:val="0"/>
            <w:vAlign w:val="center"/>
          </w:tcPr>
          <w:p>
            <w:pPr>
              <w:rPr>
                <w:rFonts w:ascii="宋体" w:hAnsi="宋体" w:cs="宋体"/>
                <w:b/>
                <w:bCs/>
                <w:color w:val="000000"/>
                <w:szCs w:val="21"/>
              </w:rPr>
            </w:pPr>
          </w:p>
        </w:tc>
        <w:tc>
          <w:tcPr>
            <w:tcW w:w="479" w:type="pct"/>
            <w:vMerge w:val="continue"/>
            <w:noWrap w:val="0"/>
            <w:vAlign w:val="center"/>
          </w:tcPr>
          <w:p>
            <w:pPr>
              <w:rPr>
                <w:rFonts w:ascii="宋体" w:hAnsi="宋体" w:cs="宋体"/>
                <w:b/>
                <w:bCs/>
                <w:color w:val="000000"/>
                <w:szCs w:val="21"/>
              </w:rPr>
            </w:pPr>
          </w:p>
        </w:tc>
        <w:tc>
          <w:tcPr>
            <w:tcW w:w="1405" w:type="pct"/>
            <w:vMerge w:val="continue"/>
            <w:noWrap w:val="0"/>
            <w:vAlign w:val="center"/>
          </w:tcPr>
          <w:p>
            <w:pPr>
              <w:rPr>
                <w:rFonts w:ascii="宋体" w:hAnsi="宋体" w:cs="宋体"/>
                <w:b/>
                <w:bCs/>
                <w:color w:val="000000"/>
                <w:szCs w:val="21"/>
              </w:rPr>
            </w:pPr>
          </w:p>
        </w:tc>
        <w:tc>
          <w:tcPr>
            <w:tcW w:w="757" w:type="pct"/>
            <w:vMerge w:val="continue"/>
            <w:noWrap w:val="0"/>
            <w:vAlign w:val="center"/>
          </w:tcPr>
          <w:p>
            <w:pPr>
              <w:rPr>
                <w:rFonts w:ascii="宋体" w:hAnsi="宋体" w:cs="宋体"/>
                <w:b/>
                <w:bCs/>
                <w:color w:val="000000"/>
                <w:szCs w:val="21"/>
              </w:rPr>
            </w:pPr>
          </w:p>
        </w:tc>
        <w:tc>
          <w:tcPr>
            <w:tcW w:w="1169" w:type="pct"/>
            <w:vMerge w:val="continue"/>
            <w:noWrap w:val="0"/>
            <w:vAlign w:val="center"/>
          </w:tcPr>
          <w:p>
            <w:pP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1</w:t>
            </w:r>
          </w:p>
        </w:tc>
        <w:tc>
          <w:tcPr>
            <w:tcW w:w="93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机场路公厕</w:t>
            </w:r>
          </w:p>
        </w:tc>
        <w:tc>
          <w:tcPr>
            <w:tcW w:w="4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一类</w:t>
            </w:r>
          </w:p>
        </w:tc>
        <w:tc>
          <w:tcPr>
            <w:tcW w:w="14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机场路北侧山边</w:t>
            </w:r>
          </w:p>
        </w:tc>
        <w:tc>
          <w:tcPr>
            <w:tcW w:w="7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w:t>
            </w:r>
          </w:p>
        </w:tc>
        <w:tc>
          <w:tcPr>
            <w:tcW w:w="116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3"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2</w:t>
            </w:r>
          </w:p>
        </w:tc>
        <w:tc>
          <w:tcPr>
            <w:tcW w:w="93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拱瑞山路公厕</w:t>
            </w:r>
          </w:p>
        </w:tc>
        <w:tc>
          <w:tcPr>
            <w:tcW w:w="4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一类</w:t>
            </w:r>
          </w:p>
        </w:tc>
        <w:tc>
          <w:tcPr>
            <w:tcW w:w="14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拱瑞山路</w:t>
            </w:r>
          </w:p>
        </w:tc>
        <w:tc>
          <w:tcPr>
            <w:tcW w:w="7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116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3</w:t>
            </w:r>
          </w:p>
        </w:tc>
        <w:tc>
          <w:tcPr>
            <w:tcW w:w="93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湖滨小区公厕</w:t>
            </w:r>
          </w:p>
        </w:tc>
        <w:tc>
          <w:tcPr>
            <w:tcW w:w="4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一类</w:t>
            </w:r>
          </w:p>
        </w:tc>
        <w:tc>
          <w:tcPr>
            <w:tcW w:w="14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塘河北路湖滨小区西侧</w:t>
            </w:r>
          </w:p>
        </w:tc>
        <w:tc>
          <w:tcPr>
            <w:tcW w:w="7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116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3" w:type="pct"/>
            <w:shd w:val="clear" w:color="auto" w:fill="auto"/>
            <w:noWrap w:val="0"/>
            <w:vAlign w:val="center"/>
          </w:tcPr>
          <w:p>
            <w:pPr>
              <w:jc w:val="center"/>
              <w:rPr>
                <w:rFonts w:ascii="宋体" w:hAnsi="宋体" w:cs="宋体"/>
                <w:b/>
                <w:bCs/>
                <w:color w:val="000000"/>
                <w:szCs w:val="21"/>
              </w:rPr>
            </w:pPr>
            <w:r>
              <w:rPr>
                <w:rFonts w:hint="eastAsia" w:ascii="宋体" w:hAnsi="宋体" w:cs="宋体"/>
                <w:b/>
                <w:bCs/>
                <w:color w:val="000000"/>
                <w:szCs w:val="21"/>
              </w:rPr>
              <w:t>4</w:t>
            </w:r>
          </w:p>
        </w:tc>
        <w:tc>
          <w:tcPr>
            <w:tcW w:w="93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罗阳大道公厕</w:t>
            </w:r>
          </w:p>
        </w:tc>
        <w:tc>
          <w:tcPr>
            <w:tcW w:w="4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一类</w:t>
            </w:r>
          </w:p>
        </w:tc>
        <w:tc>
          <w:tcPr>
            <w:tcW w:w="1405"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罗阳大道景观带附近</w:t>
            </w:r>
          </w:p>
        </w:tc>
        <w:tc>
          <w:tcPr>
            <w:tcW w:w="75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1169"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60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53"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5</w:t>
            </w:r>
          </w:p>
        </w:tc>
        <w:tc>
          <w:tcPr>
            <w:tcW w:w="93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文节路公厕</w:t>
            </w:r>
          </w:p>
        </w:tc>
        <w:tc>
          <w:tcPr>
            <w:tcW w:w="4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一类</w:t>
            </w:r>
          </w:p>
        </w:tc>
        <w:tc>
          <w:tcPr>
            <w:tcW w:w="140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罗阳大道与文节路交叉口景观带附近</w:t>
            </w:r>
          </w:p>
        </w:tc>
        <w:tc>
          <w:tcPr>
            <w:tcW w:w="757"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1169"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3074" w:type="pct"/>
            <w:gridSpan w:val="4"/>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合计</w:t>
            </w:r>
          </w:p>
        </w:tc>
        <w:tc>
          <w:tcPr>
            <w:tcW w:w="757"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45</w:t>
            </w:r>
          </w:p>
        </w:tc>
        <w:tc>
          <w:tcPr>
            <w:tcW w:w="1169" w:type="pct"/>
            <w:shd w:val="clear" w:color="auto" w:fill="auto"/>
            <w:noWrap w:val="0"/>
            <w:vAlign w:val="center"/>
          </w:tcPr>
          <w:p>
            <w:pPr>
              <w:jc w:val="center"/>
              <w:rPr>
                <w:rFonts w:hint="eastAsia" w:ascii="宋体" w:hAnsi="宋体" w:cs="宋体"/>
                <w:b/>
                <w:bCs/>
                <w:color w:val="000000"/>
                <w:szCs w:val="21"/>
              </w:rPr>
            </w:pPr>
            <w:r>
              <w:rPr>
                <w:rFonts w:hint="eastAsia" w:ascii="宋体" w:hAnsi="宋体" w:cs="宋体"/>
                <w:b/>
                <w:bCs/>
                <w:color w:val="000000"/>
                <w:szCs w:val="21"/>
              </w:rPr>
              <w:t>153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6"/>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说明：一类公厕为有设置无障碍设施。</w:t>
            </w:r>
          </w:p>
        </w:tc>
      </w:tr>
    </w:tbl>
    <w:p>
      <w:pPr>
        <w:pStyle w:val="2"/>
        <w:rPr>
          <w:rFonts w:ascii="宋体" w:hAnsi="宋体" w:eastAsia="宋体"/>
          <w:color w:val="000000"/>
          <w:sz w:val="21"/>
          <w:szCs w:val="21"/>
        </w:rPr>
      </w:pPr>
    </w:p>
    <w:p>
      <w:pPr>
        <w:pStyle w:val="2"/>
        <w:rPr>
          <w:rFonts w:hint="eastAsia" w:ascii="宋体" w:hAnsi="宋体" w:eastAsia="宋体"/>
          <w:color w:val="000000"/>
          <w:sz w:val="21"/>
          <w:szCs w:val="21"/>
        </w:rPr>
      </w:pPr>
    </w:p>
    <w:tbl>
      <w:tblPr>
        <w:tblStyle w:val="35"/>
        <w:tblW w:w="488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742"/>
        <w:gridCol w:w="1896"/>
        <w:gridCol w:w="636"/>
        <w:gridCol w:w="2317"/>
        <w:gridCol w:w="1271"/>
        <w:gridCol w:w="177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5000" w:type="pct"/>
            <w:gridSpan w:val="7"/>
            <w:shd w:val="clear" w:color="auto" w:fill="auto"/>
            <w:noWrap/>
            <w:vAlign w:val="center"/>
          </w:tcPr>
          <w:p>
            <w:pPr>
              <w:jc w:val="center"/>
              <w:rPr>
                <w:rFonts w:ascii="宋体" w:hAnsi="宋体" w:cs="宋体"/>
                <w:b/>
                <w:bCs/>
                <w:color w:val="000000"/>
                <w:szCs w:val="21"/>
                <w:u w:val="single"/>
              </w:rPr>
            </w:pPr>
            <w:r>
              <w:rPr>
                <w:rFonts w:ascii="宋体" w:hAnsi="宋体" w:cs="宋体"/>
                <w:b/>
                <w:bCs/>
                <w:color w:val="000000"/>
                <w:szCs w:val="21"/>
              </w:rPr>
              <w:t>12</w:t>
            </w:r>
            <w:r>
              <w:rPr>
                <w:rFonts w:hint="eastAsia" w:ascii="宋体" w:hAnsi="宋体" w:cs="宋体"/>
                <w:b/>
                <w:bCs/>
                <w:color w:val="000000"/>
                <w:szCs w:val="21"/>
              </w:rPr>
              <w:t>、安阳</w:t>
            </w:r>
            <w:r>
              <w:rPr>
                <w:rFonts w:ascii="宋体" w:hAnsi="宋体" w:cs="宋体"/>
                <w:b/>
                <w:bCs/>
                <w:color w:val="000000"/>
                <w:kern w:val="2"/>
                <w:szCs w:val="21"/>
              </w:rPr>
              <w:t>街道二类公厕环卫作业工程量清单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410"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社区、村名称</w:t>
            </w:r>
          </w:p>
        </w:tc>
        <w:tc>
          <w:tcPr>
            <w:tcW w:w="104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公厕名称</w:t>
            </w:r>
          </w:p>
        </w:tc>
        <w:tc>
          <w:tcPr>
            <w:tcW w:w="351"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公厕类别</w:t>
            </w:r>
          </w:p>
        </w:tc>
        <w:tc>
          <w:tcPr>
            <w:tcW w:w="1278"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具体位置</w:t>
            </w:r>
          </w:p>
        </w:tc>
        <w:tc>
          <w:tcPr>
            <w:tcW w:w="701"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坑位（个）</w:t>
            </w:r>
          </w:p>
        </w:tc>
        <w:tc>
          <w:tcPr>
            <w:tcW w:w="979"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面积（㎡）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vMerge w:val="continue"/>
            <w:noWrap w:val="0"/>
            <w:vAlign w:val="center"/>
          </w:tcPr>
          <w:p>
            <w:pPr>
              <w:rPr>
                <w:rFonts w:ascii="宋体" w:hAnsi="宋体" w:cs="宋体"/>
                <w:color w:val="000000"/>
                <w:szCs w:val="21"/>
              </w:rPr>
            </w:pPr>
          </w:p>
        </w:tc>
        <w:tc>
          <w:tcPr>
            <w:tcW w:w="410" w:type="pct"/>
            <w:vMerge w:val="continue"/>
            <w:noWrap w:val="0"/>
            <w:vAlign w:val="center"/>
          </w:tcPr>
          <w:p>
            <w:pPr>
              <w:rPr>
                <w:rFonts w:ascii="宋体" w:hAnsi="宋体" w:cs="宋体"/>
                <w:color w:val="000000"/>
                <w:szCs w:val="21"/>
              </w:rPr>
            </w:pPr>
          </w:p>
        </w:tc>
        <w:tc>
          <w:tcPr>
            <w:tcW w:w="1046" w:type="pct"/>
            <w:vMerge w:val="continue"/>
            <w:noWrap w:val="0"/>
            <w:vAlign w:val="center"/>
          </w:tcPr>
          <w:p>
            <w:pPr>
              <w:rPr>
                <w:rFonts w:ascii="宋体" w:hAnsi="宋体" w:cs="宋体"/>
                <w:color w:val="000000"/>
                <w:szCs w:val="21"/>
              </w:rPr>
            </w:pPr>
          </w:p>
        </w:tc>
        <w:tc>
          <w:tcPr>
            <w:tcW w:w="351" w:type="pct"/>
            <w:vMerge w:val="continue"/>
            <w:noWrap w:val="0"/>
            <w:vAlign w:val="center"/>
          </w:tcPr>
          <w:p>
            <w:pPr>
              <w:rPr>
                <w:rFonts w:ascii="宋体" w:hAnsi="宋体" w:cs="宋体"/>
                <w:color w:val="000000"/>
                <w:szCs w:val="21"/>
              </w:rPr>
            </w:pPr>
          </w:p>
        </w:tc>
        <w:tc>
          <w:tcPr>
            <w:tcW w:w="1278" w:type="pct"/>
            <w:vMerge w:val="continue"/>
            <w:noWrap w:val="0"/>
            <w:vAlign w:val="center"/>
          </w:tcPr>
          <w:p>
            <w:pPr>
              <w:rPr>
                <w:rFonts w:ascii="宋体" w:hAnsi="宋体" w:cs="宋体"/>
                <w:color w:val="000000"/>
                <w:szCs w:val="21"/>
              </w:rPr>
            </w:pPr>
          </w:p>
        </w:tc>
        <w:tc>
          <w:tcPr>
            <w:tcW w:w="701" w:type="pct"/>
            <w:vMerge w:val="continue"/>
            <w:noWrap w:val="0"/>
            <w:vAlign w:val="center"/>
          </w:tcPr>
          <w:p>
            <w:pPr>
              <w:rPr>
                <w:rFonts w:ascii="宋体" w:hAnsi="宋体" w:cs="宋体"/>
                <w:color w:val="000000"/>
                <w:szCs w:val="21"/>
              </w:rPr>
            </w:pPr>
          </w:p>
        </w:tc>
        <w:tc>
          <w:tcPr>
            <w:tcW w:w="979" w:type="pct"/>
            <w:vMerge w:val="continue"/>
            <w:noWrap w:val="0"/>
            <w:vAlign w:val="center"/>
          </w:tcPr>
          <w:p>
            <w:pP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商城公厕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华都酒店多功能楼边</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9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清泰公厕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市府对面清泰小区旁</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9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w:t>
            </w:r>
          </w:p>
        </w:tc>
        <w:tc>
          <w:tcPr>
            <w:tcW w:w="4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杨家桥村</w:t>
            </w:r>
          </w:p>
        </w:tc>
        <w:tc>
          <w:tcPr>
            <w:tcW w:w="10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安阳停车场公厕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杨家桥停车场夏城路</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979"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w:t>
            </w:r>
          </w:p>
        </w:tc>
        <w:tc>
          <w:tcPr>
            <w:tcW w:w="4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三圣门村</w:t>
            </w:r>
          </w:p>
        </w:tc>
        <w:tc>
          <w:tcPr>
            <w:tcW w:w="10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滨江菜市场公厕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滨江菜市场</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w:t>
            </w:r>
          </w:p>
        </w:tc>
        <w:tc>
          <w:tcPr>
            <w:tcW w:w="97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5</w:t>
            </w:r>
          </w:p>
        </w:tc>
        <w:tc>
          <w:tcPr>
            <w:tcW w:w="4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三圣门村</w:t>
            </w:r>
          </w:p>
        </w:tc>
        <w:tc>
          <w:tcPr>
            <w:tcW w:w="10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老人公寓</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兴隆南路</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w:t>
            </w:r>
          </w:p>
        </w:tc>
        <w:tc>
          <w:tcPr>
            <w:tcW w:w="97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w:t>
            </w:r>
          </w:p>
        </w:tc>
        <w:tc>
          <w:tcPr>
            <w:tcW w:w="4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三圣门村</w:t>
            </w:r>
          </w:p>
        </w:tc>
        <w:tc>
          <w:tcPr>
            <w:tcW w:w="104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瑞光大道140号对面</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w:t>
            </w:r>
          </w:p>
        </w:tc>
        <w:tc>
          <w:tcPr>
            <w:tcW w:w="97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7</w:t>
            </w:r>
          </w:p>
        </w:tc>
        <w:tc>
          <w:tcPr>
            <w:tcW w:w="4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三圣门村</w:t>
            </w:r>
          </w:p>
        </w:tc>
        <w:tc>
          <w:tcPr>
            <w:tcW w:w="104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望江菜市场公厕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望江菜市场</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26</w:t>
            </w:r>
          </w:p>
        </w:tc>
        <w:tc>
          <w:tcPr>
            <w:tcW w:w="979"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8</w:t>
            </w:r>
          </w:p>
        </w:tc>
        <w:tc>
          <w:tcPr>
            <w:tcW w:w="410"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西洋村</w:t>
            </w:r>
          </w:p>
        </w:tc>
        <w:tc>
          <w:tcPr>
            <w:tcW w:w="104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西洋村公厕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老中青活动中心旁</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19</w:t>
            </w:r>
          </w:p>
        </w:tc>
        <w:tc>
          <w:tcPr>
            <w:tcW w:w="979"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32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9</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岭下公厕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万松路新王朝大酒店边</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w:t>
            </w:r>
          </w:p>
        </w:tc>
        <w:tc>
          <w:tcPr>
            <w:tcW w:w="9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安康路公厕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w:t>
            </w:r>
          </w:p>
        </w:tc>
        <w:tc>
          <w:tcPr>
            <w:tcW w:w="9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安阳路公厕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安阳路安庆小区内</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9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12</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隆山路公厕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隆山东路中医院旁</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w:t>
            </w:r>
          </w:p>
        </w:tc>
        <w:tc>
          <w:tcPr>
            <w:tcW w:w="97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安吉路公厕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安吉路农商银行总行后面</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97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14</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望湖小区公厕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塘河北路望湖小区边</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13</w:t>
            </w:r>
          </w:p>
        </w:tc>
        <w:tc>
          <w:tcPr>
            <w:tcW w:w="97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白岩桥公厕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隆山路隆山公园入口东首</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w:t>
            </w:r>
          </w:p>
        </w:tc>
        <w:tc>
          <w:tcPr>
            <w:tcW w:w="97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16</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之江花园公厕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之江花园内</w:t>
            </w:r>
          </w:p>
        </w:tc>
        <w:tc>
          <w:tcPr>
            <w:tcW w:w="70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979" w:type="pct"/>
            <w:shd w:val="clear" w:color="auto" w:fill="auto"/>
            <w:noWrap w:val="0"/>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17</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塘河南路公厕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国贸酒店后首</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21</w:t>
            </w:r>
          </w:p>
        </w:tc>
        <w:tc>
          <w:tcPr>
            <w:tcW w:w="979"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18</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瑞祥新区公厕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瑞祥实验中学对面</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15</w:t>
            </w:r>
          </w:p>
        </w:tc>
        <w:tc>
          <w:tcPr>
            <w:tcW w:w="979"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19</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岭下菜市场公厕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岭下菜市场南边</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979"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十八家公厕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十八家公厕</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7</w:t>
            </w:r>
          </w:p>
        </w:tc>
        <w:tc>
          <w:tcPr>
            <w:tcW w:w="979"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80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红星村公厕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红星村菜市场边</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5</w:t>
            </w:r>
          </w:p>
        </w:tc>
        <w:tc>
          <w:tcPr>
            <w:tcW w:w="979" w:type="pct"/>
            <w:shd w:val="clear" w:color="auto" w:fill="auto"/>
            <w:noWrap/>
            <w:vAlign w:val="center"/>
          </w:tcPr>
          <w:p>
            <w:pPr>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22</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上沙塘公厕1</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上沙塘村办公楼边</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11</w:t>
            </w:r>
          </w:p>
        </w:tc>
        <w:tc>
          <w:tcPr>
            <w:tcW w:w="979"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340" w:hRule="atLeast"/>
        </w:trPr>
        <w:tc>
          <w:tcPr>
            <w:tcW w:w="235"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w:t>
            </w:r>
          </w:p>
        </w:tc>
        <w:tc>
          <w:tcPr>
            <w:tcW w:w="410" w:type="pct"/>
            <w:shd w:val="clear" w:color="auto" w:fill="auto"/>
            <w:noWrap w:val="0"/>
            <w:vAlign w:val="center"/>
          </w:tcPr>
          <w:p>
            <w:pPr>
              <w:jc w:val="center"/>
              <w:rPr>
                <w:rFonts w:hint="eastAsia" w:ascii="宋体" w:hAnsi="宋体" w:cs="宋体"/>
                <w:color w:val="000000"/>
                <w:szCs w:val="21"/>
              </w:rPr>
            </w:pPr>
          </w:p>
        </w:tc>
        <w:tc>
          <w:tcPr>
            <w:tcW w:w="1046" w:type="pct"/>
            <w:shd w:val="clear" w:color="auto" w:fill="auto"/>
            <w:noWrap/>
            <w:vAlign w:val="center"/>
          </w:tcPr>
          <w:p>
            <w:pPr>
              <w:jc w:val="center"/>
              <w:rPr>
                <w:rFonts w:ascii="宋体" w:hAnsi="宋体" w:cs="宋体"/>
                <w:color w:val="000000"/>
                <w:szCs w:val="21"/>
              </w:rPr>
            </w:pPr>
            <w:r>
              <w:rPr>
                <w:rFonts w:hint="eastAsia" w:ascii="宋体" w:hAnsi="宋体" w:cs="宋体"/>
                <w:color w:val="000000"/>
                <w:szCs w:val="21"/>
              </w:rPr>
              <w:t>新纪元学校前公厕</w:t>
            </w:r>
          </w:p>
        </w:tc>
        <w:tc>
          <w:tcPr>
            <w:tcW w:w="351"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二类</w:t>
            </w:r>
          </w:p>
        </w:tc>
        <w:tc>
          <w:tcPr>
            <w:tcW w:w="1278"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瑞祥新区新纪元学校前</w:t>
            </w:r>
          </w:p>
        </w:tc>
        <w:tc>
          <w:tcPr>
            <w:tcW w:w="701"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6</w:t>
            </w:r>
          </w:p>
        </w:tc>
        <w:tc>
          <w:tcPr>
            <w:tcW w:w="979" w:type="pct"/>
            <w:shd w:val="clear" w:color="auto" w:fill="auto"/>
            <w:noWrap/>
            <w:vAlign w:val="center"/>
          </w:tcPr>
          <w:p>
            <w:pPr>
              <w:jc w:val="center"/>
              <w:rPr>
                <w:rFonts w:hint="eastAsia" w:ascii="宋体" w:hAnsi="宋体" w:cs="宋体"/>
                <w:color w:val="000000"/>
                <w:szCs w:val="21"/>
              </w:rPr>
            </w:pPr>
          </w:p>
        </w:tc>
      </w:tr>
    </w:tbl>
    <w:p>
      <w:pPr>
        <w:pStyle w:val="2"/>
        <w:rPr>
          <w:rFonts w:ascii="宋体" w:hAnsi="宋体" w:eastAsia="宋体"/>
          <w:color w:val="000000"/>
          <w:sz w:val="21"/>
          <w:szCs w:val="21"/>
        </w:rPr>
      </w:pPr>
    </w:p>
    <w:tbl>
      <w:tblPr>
        <w:tblStyle w:val="35"/>
        <w:tblW w:w="4880"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517"/>
        <w:gridCol w:w="2097"/>
        <w:gridCol w:w="984"/>
        <w:gridCol w:w="1805"/>
        <w:gridCol w:w="3660"/>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5000" w:type="pct"/>
            <w:gridSpan w:val="5"/>
            <w:shd w:val="clear" w:color="auto" w:fill="auto"/>
            <w:noWrap/>
            <w:vAlign w:val="center"/>
          </w:tcPr>
          <w:p>
            <w:pPr>
              <w:jc w:val="center"/>
              <w:rPr>
                <w:rFonts w:ascii="宋体" w:hAnsi="宋体" w:cs="宋体"/>
                <w:b/>
                <w:bCs/>
                <w:color w:val="000000"/>
                <w:szCs w:val="21"/>
                <w:u w:val="single"/>
              </w:rPr>
            </w:pPr>
            <w:r>
              <w:rPr>
                <w:rFonts w:hint="eastAsia" w:ascii="宋体" w:hAnsi="宋体" w:cs="宋体"/>
                <w:b/>
                <w:bCs/>
                <w:color w:val="000000"/>
                <w:szCs w:val="21"/>
              </w:rPr>
              <w:t>1</w:t>
            </w:r>
            <w:r>
              <w:rPr>
                <w:rFonts w:ascii="宋体" w:hAnsi="宋体" w:cs="宋体"/>
                <w:b/>
                <w:bCs/>
                <w:color w:val="000000"/>
                <w:szCs w:val="21"/>
              </w:rPr>
              <w:t>3</w:t>
            </w:r>
            <w:r>
              <w:rPr>
                <w:rFonts w:hint="eastAsia" w:ascii="宋体" w:hAnsi="宋体" w:cs="宋体"/>
                <w:b/>
                <w:bCs/>
                <w:color w:val="000000"/>
                <w:szCs w:val="21"/>
              </w:rPr>
              <w:t>、安阳</w:t>
            </w:r>
            <w:r>
              <w:rPr>
                <w:rFonts w:ascii="宋体" w:hAnsi="宋体" w:cs="宋体"/>
                <w:b/>
                <w:bCs/>
                <w:color w:val="000000"/>
                <w:kern w:val="2"/>
                <w:szCs w:val="21"/>
              </w:rPr>
              <w:t>街道绿化部分环卫作业工程量清单</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序号</w:t>
            </w:r>
          </w:p>
        </w:tc>
        <w:tc>
          <w:tcPr>
            <w:tcW w:w="115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道路名称</w:t>
            </w:r>
          </w:p>
        </w:tc>
        <w:tc>
          <w:tcPr>
            <w:tcW w:w="54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道路级别</w:t>
            </w:r>
          </w:p>
        </w:tc>
        <w:tc>
          <w:tcPr>
            <w:tcW w:w="99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绿化面积（㎡）</w:t>
            </w:r>
          </w:p>
        </w:tc>
        <w:tc>
          <w:tcPr>
            <w:tcW w:w="2019" w:type="pct"/>
            <w:vMerge w:val="restar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备注</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vMerge w:val="continue"/>
            <w:noWrap w:val="0"/>
            <w:vAlign w:val="center"/>
          </w:tcPr>
          <w:p>
            <w:pPr>
              <w:rPr>
                <w:rFonts w:ascii="宋体" w:hAnsi="宋体" w:cs="宋体"/>
                <w:color w:val="000000"/>
                <w:szCs w:val="21"/>
              </w:rPr>
            </w:pPr>
          </w:p>
        </w:tc>
        <w:tc>
          <w:tcPr>
            <w:tcW w:w="1157" w:type="pct"/>
            <w:vMerge w:val="continue"/>
            <w:noWrap w:val="0"/>
            <w:vAlign w:val="center"/>
          </w:tcPr>
          <w:p>
            <w:pPr>
              <w:rPr>
                <w:rFonts w:ascii="宋体" w:hAnsi="宋体" w:cs="宋体"/>
                <w:color w:val="000000"/>
                <w:szCs w:val="21"/>
              </w:rPr>
            </w:pPr>
          </w:p>
        </w:tc>
        <w:tc>
          <w:tcPr>
            <w:tcW w:w="543" w:type="pct"/>
            <w:vMerge w:val="continue"/>
            <w:noWrap w:val="0"/>
            <w:vAlign w:val="center"/>
          </w:tcPr>
          <w:p>
            <w:pPr>
              <w:rPr>
                <w:rFonts w:ascii="宋体" w:hAnsi="宋体" w:cs="宋体"/>
                <w:color w:val="000000"/>
                <w:szCs w:val="21"/>
              </w:rPr>
            </w:pPr>
          </w:p>
        </w:tc>
        <w:tc>
          <w:tcPr>
            <w:tcW w:w="996" w:type="pct"/>
            <w:vMerge w:val="continue"/>
            <w:noWrap w:val="0"/>
            <w:vAlign w:val="center"/>
          </w:tcPr>
          <w:p>
            <w:pPr>
              <w:rPr>
                <w:rFonts w:ascii="宋体" w:hAnsi="宋体" w:cs="宋体"/>
                <w:color w:val="000000"/>
                <w:szCs w:val="21"/>
              </w:rPr>
            </w:pPr>
          </w:p>
        </w:tc>
        <w:tc>
          <w:tcPr>
            <w:tcW w:w="2019" w:type="pct"/>
            <w:vMerge w:val="continue"/>
            <w:noWrap w:val="0"/>
            <w:vAlign w:val="center"/>
          </w:tcPr>
          <w:p>
            <w:pPr>
              <w:rPr>
                <w:rFonts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vMerge w:val="restart"/>
            <w:shd w:val="clear" w:color="auto" w:fill="auto"/>
            <w:noWrap w:val="0"/>
            <w:vAlign w:val="center"/>
          </w:tcPr>
          <w:p>
            <w:pPr>
              <w:numPr>
                <w:ilvl w:val="0"/>
                <w:numId w:val="34"/>
              </w:numPr>
              <w:jc w:val="center"/>
              <w:rPr>
                <w:rFonts w:ascii="宋体" w:hAnsi="宋体" w:cs="宋体"/>
                <w:color w:val="000000"/>
                <w:szCs w:val="21"/>
              </w:rPr>
            </w:pPr>
          </w:p>
        </w:tc>
        <w:tc>
          <w:tcPr>
            <w:tcW w:w="115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万松东路</w:t>
            </w:r>
          </w:p>
        </w:tc>
        <w:tc>
          <w:tcPr>
            <w:tcW w:w="543"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99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14573.6</w:t>
            </w:r>
          </w:p>
        </w:tc>
        <w:tc>
          <w:tcPr>
            <w:tcW w:w="2019" w:type="pct"/>
            <w:vMerge w:val="restar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vMerge w:val="continue"/>
            <w:noWrap w:val="0"/>
            <w:vAlign w:val="center"/>
          </w:tcPr>
          <w:p>
            <w:pPr>
              <w:numPr>
                <w:ilvl w:val="0"/>
                <w:numId w:val="34"/>
              </w:numPr>
              <w:rPr>
                <w:rFonts w:ascii="宋体" w:hAnsi="宋体" w:cs="宋体"/>
                <w:color w:val="000000"/>
                <w:szCs w:val="21"/>
              </w:rPr>
            </w:pPr>
          </w:p>
        </w:tc>
        <w:tc>
          <w:tcPr>
            <w:tcW w:w="1157" w:type="pct"/>
            <w:vMerge w:val="continue"/>
            <w:noWrap w:val="0"/>
            <w:vAlign w:val="center"/>
          </w:tcPr>
          <w:p>
            <w:pPr>
              <w:rPr>
                <w:rFonts w:ascii="宋体" w:hAnsi="宋体" w:cs="宋体"/>
                <w:color w:val="000000"/>
                <w:szCs w:val="21"/>
              </w:rPr>
            </w:pPr>
          </w:p>
        </w:tc>
        <w:tc>
          <w:tcPr>
            <w:tcW w:w="543" w:type="pct"/>
            <w:vMerge w:val="continue"/>
            <w:noWrap w:val="0"/>
            <w:vAlign w:val="center"/>
          </w:tcPr>
          <w:p>
            <w:pPr>
              <w:rPr>
                <w:rFonts w:ascii="宋体" w:hAnsi="宋体" w:cs="宋体"/>
                <w:color w:val="000000"/>
                <w:szCs w:val="21"/>
              </w:rPr>
            </w:pPr>
          </w:p>
        </w:tc>
        <w:tc>
          <w:tcPr>
            <w:tcW w:w="996" w:type="pct"/>
            <w:vMerge w:val="continue"/>
            <w:noWrap w:val="0"/>
            <w:vAlign w:val="center"/>
          </w:tcPr>
          <w:p>
            <w:pPr>
              <w:rPr>
                <w:rFonts w:ascii="宋体" w:hAnsi="宋体" w:cs="宋体"/>
                <w:color w:val="000000"/>
                <w:szCs w:val="21"/>
              </w:rPr>
            </w:pPr>
          </w:p>
        </w:tc>
        <w:tc>
          <w:tcPr>
            <w:tcW w:w="2019" w:type="pct"/>
            <w:vMerge w:val="continue"/>
            <w:noWrap w:val="0"/>
            <w:vAlign w:val="center"/>
          </w:tcPr>
          <w:p>
            <w:pPr>
              <w:rPr>
                <w:rFonts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14499.37</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瑞祥大道至陈虬路、集云小学围墙、迪拜周边、大润发周边、农行总行大富豪等接头绿地</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商城大道</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630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万松路至商城桥</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瑞祥大道一段</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46648.7</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滨江大道至周湖转盘</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瑞祥大道二段</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22685.2</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周湖转盘至华峰山边红绿灯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莘阳大道一期沿河   景观带</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16860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仲容路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1610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兴隆南路至莘阳大道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1681.85</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瑞祥大道至莘阳大道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247</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阳光北路至万松路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阳光北路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二级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2443.44</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瑞祥大道至万松公园处转盘</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国际东首街心公园</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1035</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vMerge w:val="restart"/>
            <w:shd w:val="clear" w:color="auto" w:fill="auto"/>
            <w:noWrap w:val="0"/>
            <w:vAlign w:val="center"/>
          </w:tcPr>
          <w:p>
            <w:pPr>
              <w:numPr>
                <w:ilvl w:val="0"/>
                <w:numId w:val="34"/>
              </w:numPr>
              <w:jc w:val="center"/>
              <w:rPr>
                <w:rFonts w:ascii="宋体" w:hAnsi="宋体" w:cs="宋体"/>
                <w:color w:val="000000"/>
                <w:szCs w:val="21"/>
              </w:rPr>
            </w:pPr>
          </w:p>
        </w:tc>
        <w:tc>
          <w:tcPr>
            <w:tcW w:w="1157"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安福路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vMerge w:val="restar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2537</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万松路至马鞍山路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vMerge w:val="continue"/>
            <w:shd w:val="clear" w:color="auto" w:fill="auto"/>
            <w:noWrap w:val="0"/>
            <w:vAlign w:val="center"/>
          </w:tcPr>
          <w:p>
            <w:pPr>
              <w:numPr>
                <w:ilvl w:val="0"/>
                <w:numId w:val="34"/>
              </w:numPr>
              <w:rPr>
                <w:rFonts w:ascii="宋体" w:hAnsi="宋体" w:cs="宋体"/>
                <w:color w:val="000000"/>
                <w:szCs w:val="21"/>
              </w:rPr>
            </w:pPr>
          </w:p>
        </w:tc>
        <w:tc>
          <w:tcPr>
            <w:tcW w:w="1157" w:type="pct"/>
            <w:vMerge w:val="continue"/>
            <w:shd w:val="clear" w:color="auto" w:fill="auto"/>
            <w:noWrap w:val="0"/>
            <w:vAlign w:val="center"/>
          </w:tcPr>
          <w:p>
            <w:pPr>
              <w:rPr>
                <w:rFonts w:ascii="宋体" w:hAnsi="宋体" w:cs="宋体"/>
                <w:color w:val="000000"/>
                <w:szCs w:val="21"/>
              </w:rPr>
            </w:pP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vMerge w:val="continue"/>
            <w:shd w:val="clear" w:color="auto" w:fill="auto"/>
            <w:noWrap w:val="0"/>
            <w:vAlign w:val="center"/>
          </w:tcPr>
          <w:p>
            <w:pPr>
              <w:rPr>
                <w:rFonts w:ascii="宋体" w:hAnsi="宋体" w:cs="宋体"/>
                <w:color w:val="000000"/>
                <w:szCs w:val="21"/>
              </w:rPr>
            </w:pP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市府草坪地停车场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231</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瑞祥大道至莘阳大道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塘河南路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5190.19</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瑞祥大道至莘阳大道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广场环路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2883</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广场边</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嘉宁路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215</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隆山东路至塘河南路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瑞安市图书馆后隔离带</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215</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瑞安市图书馆后公园</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1550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风荷三期与紫荆花苑之间道路绿地</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3800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安阳路（陈虬路至瑞祥大道）</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一级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马鞍山路（马鞍山小学周边）</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80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星海公寓旁边</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348</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永安大厦后面</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420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南方大厦旁边</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960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怡心河两岸</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235</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隆欣路周边）</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3490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恒盛大厦-华峰专家楼前</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350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瑞阳路</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250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银座BC-恒盛大厦路</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150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则诚路万好大厦--开泰大厦</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6800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山前河两岸</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860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szCs w:val="21"/>
              </w:rPr>
            </w:pPr>
          </w:p>
        </w:tc>
        <w:tc>
          <w:tcPr>
            <w:tcW w:w="1157"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时代银座后</w:t>
            </w:r>
          </w:p>
        </w:tc>
        <w:tc>
          <w:tcPr>
            <w:tcW w:w="543" w:type="pct"/>
            <w:shd w:val="clear" w:color="auto" w:fill="auto"/>
            <w:noWrap w:val="0"/>
            <w:vAlign w:val="center"/>
          </w:tcPr>
          <w:p>
            <w:pPr>
              <w:jc w:val="center"/>
              <w:rPr>
                <w:rFonts w:hint="eastAsia" w:ascii="宋体" w:hAnsi="宋体" w:cs="宋体"/>
                <w:color w:val="000000"/>
                <w:szCs w:val="21"/>
              </w:rPr>
            </w:pPr>
          </w:p>
        </w:tc>
        <w:tc>
          <w:tcPr>
            <w:tcW w:w="996" w:type="pct"/>
            <w:shd w:val="clear" w:color="auto" w:fill="auto"/>
            <w:noWrap w:val="0"/>
            <w:vAlign w:val="center"/>
          </w:tcPr>
          <w:p>
            <w:pPr>
              <w:jc w:val="center"/>
              <w:rPr>
                <w:rFonts w:ascii="宋体" w:hAnsi="宋体" w:cs="宋体"/>
                <w:color w:val="000000"/>
                <w:szCs w:val="21"/>
              </w:rPr>
            </w:pPr>
            <w:r>
              <w:rPr>
                <w:rFonts w:hint="eastAsia" w:ascii="宋体" w:hAnsi="宋体" w:cs="宋体"/>
                <w:color w:val="000000"/>
                <w:szCs w:val="21"/>
              </w:rPr>
              <w:t>60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兴隆南路延伸段</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3702</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塘河北路河边景观带</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10026.5</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飞云花园边街心公园</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三级</w:t>
            </w:r>
          </w:p>
        </w:tc>
        <w:tc>
          <w:tcPr>
            <w:tcW w:w="996" w:type="pct"/>
            <w:shd w:val="clear" w:color="auto" w:fill="auto"/>
            <w:noWrap/>
            <w:vAlign w:val="center"/>
          </w:tcPr>
          <w:p>
            <w:pPr>
              <w:jc w:val="center"/>
              <w:rPr>
                <w:rFonts w:hint="eastAsia" w:ascii="宋体" w:hAnsi="宋体" w:cs="宋体"/>
                <w:color w:val="000000"/>
                <w:szCs w:val="21"/>
              </w:rPr>
            </w:pPr>
            <w:r>
              <w:rPr>
                <w:rFonts w:hint="eastAsia" w:ascii="宋体" w:hAnsi="宋体" w:cs="宋体"/>
                <w:color w:val="000000"/>
                <w:szCs w:val="21"/>
              </w:rPr>
              <w:t>7640.65</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A幢至5幢东首</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150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17，18，19幢南</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893</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4，5幢南首（4幢-万家）</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4，5幢北首</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480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10幢南--8幢北（罗阳--华泰）</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300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24幢南26幢北</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26幢北28幢南</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65</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隆山东路297弄</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800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隆山东路381弄</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380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安泰路35弄（含绿化0.25）</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1100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安康330弄（同上）</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440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安康333弄（含绿化0.25）</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625</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安康377弄（含绿化0.25）</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625</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安盛路63弄（含绿化0.25）</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450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安盛路133弄（含绿化0.25）</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安康路293弄（含绿化0.25）</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佳幼路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335</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南起石桥北至安阳路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风荷服务中心环路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312</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东起铁门西至佳幼路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风荷社区科普长廊前</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3400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南起科普长廊北至幼儿园</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银座大厦南（罗阳-专家楼）</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36</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罗阳大道集云实验门口道路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236</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东至罗阳大道西至集云实验门口</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则诚路（罗阳-开泰-安康）</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200</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大润发西北边路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845.18</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东至罗阳大道，西至安康路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嘉宝锦园与瑞都大厦之间（绿地）</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1453</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嘉宁路至河边</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嘉宝锦园与瑞都大厦之间（小桥绿化）</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桥上中间</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汇锦大厦后面小路（绿地）</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420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汇锦大厦后面至河边</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街心公园西首道路</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10500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南至隆山东路，北至塘河南路</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隆山东路233弄</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1000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隆山东路295弄</w:t>
            </w:r>
          </w:p>
        </w:tc>
        <w:tc>
          <w:tcPr>
            <w:tcW w:w="543"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400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十八家公厕绿化带</w:t>
            </w:r>
          </w:p>
        </w:tc>
        <w:tc>
          <w:tcPr>
            <w:tcW w:w="543"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371.2</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北起隆山东路南至大榕树</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变压器边花坛</w:t>
            </w:r>
          </w:p>
        </w:tc>
        <w:tc>
          <w:tcPr>
            <w:tcW w:w="543"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550.8</w:t>
            </w:r>
          </w:p>
        </w:tc>
        <w:tc>
          <w:tcPr>
            <w:tcW w:w="2019" w:type="pct"/>
            <w:shd w:val="clear" w:color="auto" w:fill="auto"/>
            <w:noWrap w:val="0"/>
            <w:vAlign w:val="center"/>
          </w:tcPr>
          <w:p>
            <w:pPr>
              <w:jc w:val="center"/>
              <w:rPr>
                <w:rFonts w:hint="eastAsia" w:ascii="宋体" w:hAnsi="宋体" w:cs="宋体"/>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河边三角公园</w:t>
            </w:r>
          </w:p>
        </w:tc>
        <w:tc>
          <w:tcPr>
            <w:tcW w:w="543"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666</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小区内三角绿化地</w:t>
            </w:r>
          </w:p>
        </w:tc>
        <w:tc>
          <w:tcPr>
            <w:tcW w:w="543"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216</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小区内三角花坛</w:t>
            </w:r>
          </w:p>
        </w:tc>
        <w:tc>
          <w:tcPr>
            <w:tcW w:w="543"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260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285" w:type="pct"/>
            <w:shd w:val="clear" w:color="auto" w:fill="auto"/>
            <w:noWrap w:val="0"/>
            <w:vAlign w:val="center"/>
          </w:tcPr>
          <w:p>
            <w:pPr>
              <w:numPr>
                <w:ilvl w:val="0"/>
                <w:numId w:val="34"/>
              </w:numPr>
              <w:jc w:val="center"/>
              <w:rPr>
                <w:rFonts w:hint="eastAsia" w:ascii="宋体" w:hAnsi="宋体" w:cs="宋体"/>
                <w:color w:val="000000"/>
                <w:szCs w:val="21"/>
              </w:rPr>
            </w:pPr>
          </w:p>
        </w:tc>
        <w:tc>
          <w:tcPr>
            <w:tcW w:w="1157"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小区内三角花坛菜地</w:t>
            </w:r>
          </w:p>
        </w:tc>
        <w:tc>
          <w:tcPr>
            <w:tcW w:w="543" w:type="pct"/>
            <w:shd w:val="clear" w:color="auto" w:fill="auto"/>
            <w:noWrap w:val="0"/>
            <w:vAlign w:val="center"/>
          </w:tcPr>
          <w:p>
            <w:pPr>
              <w:rPr>
                <w:rFonts w:hint="eastAsia" w:ascii="宋体" w:hAnsi="宋体" w:cs="宋体"/>
                <w:color w:val="000000"/>
                <w:szCs w:val="21"/>
              </w:rPr>
            </w:pPr>
            <w:r>
              <w:rPr>
                <w:rFonts w:hint="eastAsia" w:ascii="宋体" w:hAnsi="宋体" w:cs="宋体"/>
                <w:color w:val="000000"/>
                <w:szCs w:val="21"/>
              </w:rPr>
              <w:t>四级</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240</w:t>
            </w:r>
          </w:p>
        </w:tc>
        <w:tc>
          <w:tcPr>
            <w:tcW w:w="2019"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小区内</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wBefore w:w="0" w:type="dxa"/>
          <w:wAfter w:w="0" w:type="dxa"/>
          <w:trHeight w:val="340" w:hRule="atLeast"/>
        </w:trPr>
        <w:tc>
          <w:tcPr>
            <w:tcW w:w="1985" w:type="pct"/>
            <w:gridSpan w:val="3"/>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合计</w:t>
            </w:r>
          </w:p>
        </w:tc>
        <w:tc>
          <w:tcPr>
            <w:tcW w:w="996" w:type="pct"/>
            <w:shd w:val="clear" w:color="auto" w:fill="auto"/>
            <w:noWrap w:val="0"/>
            <w:vAlign w:val="center"/>
          </w:tcPr>
          <w:p>
            <w:pPr>
              <w:jc w:val="center"/>
              <w:rPr>
                <w:rFonts w:hint="eastAsia" w:ascii="宋体" w:hAnsi="宋体" w:cs="宋体"/>
                <w:color w:val="000000"/>
                <w:szCs w:val="21"/>
              </w:rPr>
            </w:pPr>
            <w:r>
              <w:rPr>
                <w:rFonts w:hint="eastAsia" w:ascii="宋体" w:hAnsi="宋体" w:cs="宋体"/>
                <w:color w:val="000000"/>
                <w:szCs w:val="21"/>
              </w:rPr>
              <w:t>208221.68</w:t>
            </w:r>
          </w:p>
        </w:tc>
        <w:tc>
          <w:tcPr>
            <w:tcW w:w="2019" w:type="pct"/>
            <w:shd w:val="clear" w:color="auto" w:fill="auto"/>
            <w:noWrap w:val="0"/>
            <w:vAlign w:val="center"/>
          </w:tcPr>
          <w:p>
            <w:pPr>
              <w:jc w:val="center"/>
              <w:rPr>
                <w:rFonts w:hint="eastAsia" w:ascii="宋体" w:hAnsi="宋体" w:cs="宋体"/>
                <w:color w:val="000000"/>
                <w:szCs w:val="21"/>
              </w:rPr>
            </w:pPr>
          </w:p>
        </w:tc>
      </w:tr>
    </w:tbl>
    <w:p>
      <w:pPr>
        <w:pStyle w:val="2"/>
        <w:rPr>
          <w:rFonts w:hint="eastAsia" w:ascii="宋体" w:hAnsi="宋体" w:eastAsia="宋体"/>
          <w:color w:val="000000"/>
          <w:sz w:val="21"/>
          <w:szCs w:val="21"/>
        </w:rPr>
      </w:pPr>
    </w:p>
    <w:sectPr>
      <w:headerReference r:id="rId18" w:type="default"/>
      <w:headerReference r:id="rId19" w:type="even"/>
      <w:footerReference r:id="rId20" w:type="even"/>
      <w:pgSz w:w="11906" w:h="16838"/>
      <w:pgMar w:top="1418" w:right="1418" w:bottom="1418" w:left="1418" w:header="851" w:footer="851" w:gutter="0"/>
      <w:cols w:space="720" w:num="1"/>
      <w:docGrid w:linePitch="28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楷体_GB2312">
    <w:altName w:val="楷体"/>
    <w:panose1 w:val="02010609030101010101"/>
    <w:charset w:val="86"/>
    <w:family w:val="auto"/>
    <w:pitch w:val="default"/>
    <w:sig w:usb0="00000000" w:usb1="080E0000" w:usb2="00000000" w:usb3="00000000" w:csb0="00040000" w:csb1="00000000"/>
  </w:font>
  <w:font w:name="Arial Unicode MS">
    <w:altName w:val="Arial"/>
    <w:panose1 w:val="020B0604020202020204"/>
    <w:charset w:val="00"/>
    <w:family w:val="roman"/>
    <w:pitch w:val="default"/>
    <w:sig w:usb0="00000003" w:usb1="00000000" w:usb2="00000000" w:usb3="00000000" w:csb0="00000001" w:csb1="00000000"/>
  </w:font>
  <w:font w:name="新宋体">
    <w:panose1 w:val="02010609030101010101"/>
    <w:charset w:val="86"/>
    <w:family w:val="modern"/>
    <w:pitch w:val="default"/>
    <w:sig w:usb0="00000203" w:usb1="288F0000" w:usb2="00000006" w:usb3="00000000" w:csb0="00040001" w:csb1="00000000"/>
  </w:font>
  <w:font w:name="等线">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modern"/>
    <w:pitch w:val="default"/>
    <w:sig w:usb0="800002BF" w:usb1="38CF7CFA" w:usb2="00000016" w:usb3="00000000" w:csb0="00040001" w:csb1="00000000"/>
  </w:font>
  <w:font w:name="微软雅黑 Light">
    <w:panose1 w:val="020B0502040204020203"/>
    <w:charset w:val="86"/>
    <w:family w:val="swiss"/>
    <w:pitch w:val="default"/>
    <w:sig w:usb0="80000287" w:usb1="2ACF0010" w:usb2="00000016" w:usb3="00000000" w:csb0="0004001F" w:csb1="00000000"/>
  </w:font>
  <w:font w:name="汉鼎简中楷">
    <w:altName w:val="宋体"/>
    <w:panose1 w:val="02010609010101010101"/>
    <w:charset w:val="86"/>
    <w:family w:val="modern"/>
    <w:pitch w:val="default"/>
    <w:sig w:usb0="00000001" w:usb1="080E0000" w:usb2="00000010" w:usb3="00000000" w:csb0="00040000" w:csb1="00000000"/>
  </w:font>
  <w:font w:name="Segoe UI Emoji">
    <w:panose1 w:val="020B0502040204020203"/>
    <w:charset w:val="00"/>
    <w:family w:val="swiss"/>
    <w:pitch w:val="default"/>
    <w:sig w:usb0="00000001" w:usb1="02000000" w:usb2="00000000" w:usb3="00000000" w:csb0="00000001" w:csb1="00000000"/>
  </w:font>
  <w:font w:name="_x000B__x000C_">
    <w:altName w:val="Times New Roman"/>
    <w:panose1 w:val="00000000000000000000"/>
    <w:charset w:val="00"/>
    <w:family w:val="roman"/>
    <w:pitch w:val="default"/>
    <w:sig w:usb0="00000000" w:usb1="00000000" w:usb2="00000000" w:usb3="00000000" w:csb0="00040001" w:csb1="00000000"/>
  </w:font>
  <w:font w:name="楷体">
    <w:panose1 w:val="02010609060101010101"/>
    <w:charset w:val="86"/>
    <w:family w:val="modern"/>
    <w:pitch w:val="default"/>
    <w:sig w:usb0="800002BF" w:usb1="38CF7CFA" w:usb2="00000016" w:usb3="00000000" w:csb0="00040001" w:csb1="00000000"/>
  </w:font>
  <w:font w:name="方正小标宋简体">
    <w:altName w:val="微软雅黑"/>
    <w:panose1 w:val="03000509000000000000"/>
    <w:charset w:val="86"/>
    <w:family w:val="auto"/>
    <w:pitch w:val="default"/>
    <w:sig w:usb0="00000000" w:usb1="00000000" w:usb2="00000010" w:usb3="00000000" w:csb0="00040000" w:csb1="00000000"/>
  </w:font>
  <w:font w:name="MS Mincho">
    <w:altName w:val="Yu Gothic UI"/>
    <w:panose1 w:val="02020609040205080304"/>
    <w:charset w:val="80"/>
    <w:family w:val="modern"/>
    <w:pitch w:val="default"/>
    <w:sig w:usb0="E00002FF" w:usb1="6AC7FDFB" w:usb2="08000012" w:usb3="00000000" w:csb0="0002009F" w:csb1="00000000"/>
  </w:font>
  <w:font w:name="微软雅黑">
    <w:panose1 w:val="020B0503020204020204"/>
    <w:charset w:val="86"/>
    <w:family w:val="auto"/>
    <w:pitch w:val="default"/>
    <w:sig w:usb0="80000287" w:usb1="2ACF3C50" w:usb2="00000016" w:usb3="00000000" w:csb0="0004001F"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9"/>
      </w:rPr>
    </w:pPr>
    <w:r>
      <w:fldChar w:fldCharType="begin"/>
    </w:r>
    <w:r>
      <w:rPr>
        <w:rStyle w:val="39"/>
      </w:rPr>
      <w:instrText xml:space="preserve">PAGE  </w:instrText>
    </w:r>
    <w:r>
      <w:fldChar w:fldCharType="separate"/>
    </w:r>
    <w:r>
      <w:rPr>
        <w:rStyle w:val="39"/>
        <w:lang/>
      </w:rPr>
      <w:t>76</w:t>
    </w:r>
    <w:r>
      <w:fldChar w:fldCharType="end"/>
    </w:r>
  </w:p>
  <w:p>
    <w:pPr>
      <w:pStyle w:val="23"/>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9"/>
      </w:rPr>
    </w:pPr>
    <w:r>
      <w:fldChar w:fldCharType="begin"/>
    </w:r>
    <w:r>
      <w:rPr>
        <w:rStyle w:val="39"/>
      </w:rPr>
      <w:instrText xml:space="preserve">PAGE  </w:instrText>
    </w:r>
    <w:r>
      <w:fldChar w:fldCharType="separate"/>
    </w:r>
    <w:r>
      <w:rPr>
        <w:rStyle w:val="39"/>
        <w:lang/>
      </w:rPr>
      <w:t>22</w:t>
    </w:r>
    <w:r>
      <w:fldChar w:fldCharType="end"/>
    </w:r>
  </w:p>
  <w:p>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pPr>
    <w:r>
      <w:fldChar w:fldCharType="begin"/>
    </w:r>
    <w:r>
      <w:instrText xml:space="preserve"> PAGE   \* MERGEFORMAT </w:instrText>
    </w:r>
    <w:r>
      <w:fldChar w:fldCharType="separate"/>
    </w:r>
    <w:r>
      <w:rPr>
        <w:lang w:val="zh-CN"/>
      </w:rPr>
      <w:t>3</w:t>
    </w:r>
    <w:r>
      <w:fldChar w:fldCharType="end"/>
    </w:r>
  </w:p>
  <w:p>
    <w:pPr>
      <w:pStyle w:val="2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pPr>
    <w:r>
      <w:fldChar w:fldCharType="begin"/>
    </w:r>
    <w:r>
      <w:instrText xml:space="preserve"> PAGE   \* MERGEFORMAT </w:instrText>
    </w:r>
    <w:r>
      <w:fldChar w:fldCharType="separate"/>
    </w:r>
    <w:r>
      <w:rPr>
        <w:lang w:val="zh-CN"/>
      </w:rPr>
      <w:t>3</w:t>
    </w:r>
    <w:r>
      <w:fldChar w:fldCharType="end"/>
    </w:r>
  </w:p>
  <w:p>
    <w:pPr>
      <w:pStyle w:val="2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nThickSmallGap" w:color="auto" w:sz="12" w:space="0"/>
      </w:pBdr>
      <w:tabs>
        <w:tab w:val="right" w:pos="9064"/>
      </w:tabs>
      <w:ind w:right="7"/>
      <w:jc w:val="both"/>
      <w:rPr>
        <w:rFonts w:hint="eastAsia"/>
        <w:sz w:val="18"/>
      </w:rPr>
    </w:pPr>
    <w:r>
      <w:rPr>
        <w:rFonts w:hint="eastAsia"/>
        <w:sz w:val="18"/>
      </w:rPr>
      <w:t xml:space="preserve">瑞安市政府采购文件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35"/>
      <w:tblW w:w="0" w:type="auto"/>
      <w:tblInd w:w="0" w:type="dxa"/>
      <w:tblBorders>
        <w:top w:val="none" w:color="auto" w:sz="0"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13" w:type="dxa"/>
        <w:bottom w:w="0" w:type="dxa"/>
        <w:right w:w="113" w:type="dxa"/>
      </w:tblCellMar>
    </w:tblPr>
    <w:tblGrid>
      <w:gridCol w:w="4442"/>
      <w:gridCol w:w="4628"/>
    </w:tblGrid>
    <w:tr>
      <w:tblPrEx>
        <w:tblBorders>
          <w:top w:val="none" w:color="auto" w:sz="0" w:space="0"/>
          <w:left w:val="none" w:color="auto" w:sz="0" w:space="0"/>
          <w:bottom w:val="single" w:color="000000" w:sz="4" w:space="0"/>
          <w:right w:val="none" w:color="auto" w:sz="0" w:space="0"/>
          <w:insideH w:val="single" w:color="000000" w:sz="4" w:space="0"/>
          <w:insideV w:val="none" w:color="auto" w:sz="0" w:space="0"/>
        </w:tblBorders>
        <w:tblCellMar>
          <w:top w:w="0" w:type="dxa"/>
          <w:left w:w="113" w:type="dxa"/>
          <w:bottom w:w="0" w:type="dxa"/>
          <w:right w:w="113" w:type="dxa"/>
        </w:tblCellMar>
      </w:tblPrEx>
      <w:trPr>
        <w:wBefore w:w="0" w:type="dxa"/>
        <w:trHeight w:val="427" w:hRule="atLeast"/>
      </w:trPr>
      <w:tc>
        <w:tcPr>
          <w:tcW w:w="4442" w:type="dxa"/>
          <w:noWrap w:val="0"/>
          <w:tcMar>
            <w:left w:w="0" w:type="dxa"/>
            <w:right w:w="0" w:type="dxa"/>
          </w:tcMar>
          <w:vAlign w:val="center"/>
        </w:tcPr>
        <w:p>
          <w:pPr>
            <w:jc w:val="both"/>
            <w:rPr>
              <w:rFonts w:ascii="宋体" w:hAnsi="宋体"/>
              <w:szCs w:val="21"/>
            </w:rPr>
          </w:pPr>
          <w:r>
            <w:rPr>
              <w:rFonts w:hint="eastAsia" w:ascii="宋体" w:hAnsi="宋体"/>
              <w:szCs w:val="21"/>
            </w:rPr>
            <w:t>第</w:t>
          </w:r>
          <w:r>
            <w:rPr>
              <w:rFonts w:ascii="宋体" w:hAnsi="宋体"/>
              <w:szCs w:val="21"/>
            </w:rPr>
            <w:fldChar w:fldCharType="begin"/>
          </w:r>
          <w:r>
            <w:rPr>
              <w:rFonts w:ascii="宋体" w:hAnsi="宋体"/>
              <w:szCs w:val="21"/>
            </w:rPr>
            <w:instrText xml:space="preserve"> PAGE   \* MERGEFORMAT </w:instrText>
          </w:r>
          <w:r>
            <w:rPr>
              <w:rFonts w:ascii="宋体" w:hAnsi="宋体"/>
              <w:szCs w:val="21"/>
            </w:rPr>
            <w:fldChar w:fldCharType="separate"/>
          </w:r>
          <w:r>
            <w:rPr>
              <w:rFonts w:ascii="宋体" w:hAnsi="宋体"/>
              <w:szCs w:val="21"/>
              <w:lang/>
            </w:rPr>
            <w:t>54</w:t>
          </w:r>
          <w:r>
            <w:rPr>
              <w:rFonts w:ascii="宋体" w:hAnsi="宋体"/>
              <w:szCs w:val="21"/>
            </w:rPr>
            <w:fldChar w:fldCharType="end"/>
          </w:r>
          <w:r>
            <w:rPr>
              <w:rFonts w:hint="eastAsia" w:ascii="宋体" w:hAnsi="宋体"/>
              <w:szCs w:val="21"/>
            </w:rPr>
            <w:t>页</w:t>
          </w:r>
        </w:p>
      </w:tc>
      <w:tc>
        <w:tcPr>
          <w:tcW w:w="4628" w:type="dxa"/>
          <w:noWrap w:val="0"/>
          <w:vAlign w:val="center"/>
        </w:tcPr>
        <w:p>
          <w:pPr>
            <w:ind w:right="-2"/>
            <w:jc w:val="right"/>
            <w:rPr>
              <w:rFonts w:ascii="楷体_GB2312" w:eastAsia="楷体_GB2312"/>
              <w:b/>
              <w:sz w:val="24"/>
              <w:szCs w:val="24"/>
            </w:rPr>
          </w:pPr>
          <w:r>
            <w:rPr>
              <w:rFonts w:hint="eastAsia" w:ascii="楷体_GB2312" w:eastAsia="楷体_GB2312"/>
              <w:b/>
              <w:sz w:val="24"/>
              <w:szCs w:val="24"/>
            </w:rPr>
            <w:t>瑞安市政府采购文件</w:t>
          </w:r>
        </w:p>
      </w:tc>
    </w:tr>
  </w:tbl>
  <w:p>
    <w:pPr>
      <w:rPr>
        <w:sz w:val="2"/>
        <w:szCs w:val="2"/>
      </w:rPr>
    </w:pPr>
  </w:p>
  <w:p>
    <w:pPr>
      <w:rPr>
        <w:rFonts w:ascii="宋体" w:hAnsi="宋体"/>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right" w:pos="9064"/>
      </w:tabs>
      <w:ind w:right="7"/>
      <w:jc w:val="both"/>
      <w:rPr>
        <w:sz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nThickSmallGap" w:color="auto" w:sz="12" w:space="0"/>
      </w:pBdr>
      <w:tabs>
        <w:tab w:val="right" w:pos="9064"/>
      </w:tabs>
      <w:ind w:right="7"/>
      <w:jc w:val="both"/>
      <w:rPr>
        <w:rFonts w:hint="eastAsia"/>
        <w:sz w:val="18"/>
      </w:rPr>
    </w:pPr>
    <w:r>
      <w:rPr>
        <w:rFonts w:hint="eastAsia"/>
        <w:sz w:val="18"/>
      </w:rPr>
      <w:t xml:space="preserve">瑞安市政府采购文件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sz w:val="18"/>
        <w:szCs w:val="18"/>
      </w:rPr>
    </w:pPr>
    <w:r>
      <w:rPr>
        <w:rFonts w:hint="eastAsia"/>
        <w:sz w:val="18"/>
      </w:rPr>
      <w:t xml:space="preserve">瑞安市政府采购文件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nThickSmallGap" w:color="auto" w:sz="12" w:space="0"/>
      </w:pBdr>
      <w:tabs>
        <w:tab w:val="right" w:pos="9064"/>
      </w:tabs>
      <w:ind w:right="7"/>
      <w:jc w:val="both"/>
      <w:rPr>
        <w:rFonts w:hint="eastAsia"/>
        <w:sz w:val="18"/>
      </w:rPr>
    </w:pPr>
    <w:r>
      <w:rPr>
        <w:rFonts w:hint="eastAsia"/>
        <w:sz w:val="18"/>
      </w:rPr>
      <w:t xml:space="preserve">-瑞安市政府采购文件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sz w:val="18"/>
        <w:szCs w:val="18"/>
      </w:rPr>
    </w:pPr>
    <w:r>
      <w:rPr>
        <w:rFonts w:hint="eastAsia"/>
        <w:sz w:val="18"/>
      </w:rPr>
      <w:t xml:space="preserve">瑞安市政府采购文件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nThickSmallGap" w:color="auto" w:sz="12" w:space="0"/>
      </w:pBdr>
      <w:tabs>
        <w:tab w:val="right" w:pos="9064"/>
      </w:tabs>
      <w:ind w:right="7"/>
      <w:jc w:val="both"/>
      <w:rPr>
        <w:rFonts w:hint="eastAsia"/>
        <w:sz w:val="18"/>
      </w:rPr>
    </w:pPr>
    <w:r>
      <w:rPr>
        <w:rFonts w:hint="eastAsia"/>
        <w:sz w:val="18"/>
      </w:rPr>
      <w:t xml:space="preserve">-瑞安市政府采购文件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nThickSmallGap" w:color="auto" w:sz="12" w:space="0"/>
      </w:pBdr>
      <w:tabs>
        <w:tab w:val="right" w:pos="9064"/>
      </w:tabs>
      <w:ind w:right="7"/>
      <w:jc w:val="both"/>
      <w:rPr>
        <w:rFonts w:hint="eastAsia"/>
        <w:sz w:val="18"/>
      </w:rPr>
    </w:pPr>
    <w:r>
      <w:rPr>
        <w:rFonts w:hint="eastAsia"/>
        <w:sz w:val="18"/>
      </w:rPr>
      <w:t xml:space="preserve">瑞安市政府采购文件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35"/>
      <w:tblW w:w="0" w:type="auto"/>
      <w:tblInd w:w="0" w:type="dxa"/>
      <w:tblBorders>
        <w:top w:val="none" w:color="auto" w:sz="0"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13" w:type="dxa"/>
        <w:bottom w:w="0" w:type="dxa"/>
        <w:right w:w="113" w:type="dxa"/>
      </w:tblCellMar>
    </w:tblPr>
    <w:tblGrid>
      <w:gridCol w:w="4442"/>
      <w:gridCol w:w="4628"/>
    </w:tblGrid>
    <w:tr>
      <w:tblPrEx>
        <w:tblBorders>
          <w:top w:val="none" w:color="auto" w:sz="0" w:space="0"/>
          <w:left w:val="none" w:color="auto" w:sz="0" w:space="0"/>
          <w:bottom w:val="single" w:color="000000" w:sz="4" w:space="0"/>
          <w:right w:val="none" w:color="auto" w:sz="0" w:space="0"/>
          <w:insideH w:val="single" w:color="000000" w:sz="4" w:space="0"/>
          <w:insideV w:val="none" w:color="auto" w:sz="0" w:space="0"/>
        </w:tblBorders>
        <w:tblCellMar>
          <w:top w:w="0" w:type="dxa"/>
          <w:left w:w="113" w:type="dxa"/>
          <w:bottom w:w="0" w:type="dxa"/>
          <w:right w:w="113" w:type="dxa"/>
        </w:tblCellMar>
      </w:tblPrEx>
      <w:trPr>
        <w:wBefore w:w="0" w:type="dxa"/>
        <w:trHeight w:val="427" w:hRule="atLeast"/>
      </w:trPr>
      <w:tc>
        <w:tcPr>
          <w:tcW w:w="4442" w:type="dxa"/>
          <w:noWrap w:val="0"/>
          <w:tcMar>
            <w:left w:w="0" w:type="dxa"/>
            <w:right w:w="0" w:type="dxa"/>
          </w:tcMar>
          <w:vAlign w:val="center"/>
        </w:tcPr>
        <w:p>
          <w:pPr>
            <w:jc w:val="both"/>
            <w:rPr>
              <w:rFonts w:ascii="宋体" w:hAnsi="宋体"/>
              <w:szCs w:val="21"/>
            </w:rPr>
          </w:pPr>
          <w:r>
            <w:rPr>
              <w:rFonts w:hint="eastAsia" w:ascii="宋体" w:hAnsi="宋体"/>
              <w:szCs w:val="21"/>
            </w:rPr>
            <w:t>第</w:t>
          </w:r>
          <w:r>
            <w:rPr>
              <w:rFonts w:ascii="宋体" w:hAnsi="宋体"/>
              <w:szCs w:val="21"/>
            </w:rPr>
            <w:fldChar w:fldCharType="begin"/>
          </w:r>
          <w:r>
            <w:rPr>
              <w:rFonts w:ascii="宋体" w:hAnsi="宋体"/>
              <w:szCs w:val="21"/>
            </w:rPr>
            <w:instrText xml:space="preserve"> PAGE   \* MERGEFORMAT </w:instrText>
          </w:r>
          <w:r>
            <w:rPr>
              <w:rFonts w:ascii="宋体" w:hAnsi="宋体"/>
              <w:szCs w:val="21"/>
            </w:rPr>
            <w:fldChar w:fldCharType="separate"/>
          </w:r>
          <w:r>
            <w:rPr>
              <w:rFonts w:ascii="宋体" w:hAnsi="宋体"/>
              <w:szCs w:val="21"/>
              <w:lang/>
            </w:rPr>
            <w:t>54</w:t>
          </w:r>
          <w:r>
            <w:rPr>
              <w:rFonts w:ascii="宋体" w:hAnsi="宋体"/>
              <w:szCs w:val="21"/>
            </w:rPr>
            <w:fldChar w:fldCharType="end"/>
          </w:r>
          <w:r>
            <w:rPr>
              <w:rFonts w:hint="eastAsia" w:ascii="宋体" w:hAnsi="宋体"/>
              <w:szCs w:val="21"/>
            </w:rPr>
            <w:t>页</w:t>
          </w:r>
        </w:p>
      </w:tc>
      <w:tc>
        <w:tcPr>
          <w:tcW w:w="4628" w:type="dxa"/>
          <w:noWrap w:val="0"/>
          <w:vAlign w:val="center"/>
        </w:tcPr>
        <w:p>
          <w:pPr>
            <w:ind w:right="-2"/>
            <w:jc w:val="right"/>
            <w:rPr>
              <w:rFonts w:ascii="楷体_GB2312" w:eastAsia="楷体_GB2312"/>
              <w:b/>
              <w:sz w:val="24"/>
              <w:szCs w:val="24"/>
            </w:rPr>
          </w:pPr>
          <w:r>
            <w:rPr>
              <w:rFonts w:hint="eastAsia" w:ascii="楷体_GB2312" w:eastAsia="楷体_GB2312"/>
              <w:b/>
              <w:sz w:val="24"/>
              <w:szCs w:val="24"/>
            </w:rPr>
            <w:t>瑞安市政府采购文件</w:t>
          </w:r>
        </w:p>
      </w:tc>
    </w:tr>
  </w:tbl>
  <w:p>
    <w:pPr>
      <w:rPr>
        <w:sz w:val="2"/>
        <w:szCs w:val="2"/>
      </w:rPr>
    </w:pPr>
  </w:p>
  <w:p>
    <w:pPr>
      <w:rPr>
        <w:rFonts w:ascii="宋体" w:hAnsi="宋体"/>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BB0673"/>
    <w:multiLevelType w:val="singleLevel"/>
    <w:tmpl w:val="D9BB0673"/>
    <w:lvl w:ilvl="0" w:tentative="0">
      <w:start w:val="1"/>
      <w:numFmt w:val="bullet"/>
      <w:lvlText w:val=""/>
      <w:lvlJc w:val="left"/>
      <w:pPr>
        <w:ind w:left="420" w:hanging="420"/>
      </w:pPr>
      <w:rPr>
        <w:rFonts w:hint="default" w:ascii="Wingdings" w:hAnsi="Wingdings"/>
      </w:rPr>
    </w:lvl>
  </w:abstractNum>
  <w:abstractNum w:abstractNumId="1">
    <w:nsid w:val="DBAAC199"/>
    <w:multiLevelType w:val="singleLevel"/>
    <w:tmpl w:val="DBAAC199"/>
    <w:lvl w:ilvl="0" w:tentative="0">
      <w:start w:val="1"/>
      <w:numFmt w:val="lowerLetter"/>
      <w:lvlText w:val="%1."/>
      <w:lvlJc w:val="left"/>
      <w:pPr>
        <w:ind w:left="425" w:hanging="425"/>
      </w:pPr>
      <w:rPr>
        <w:rFonts w:hint="default"/>
      </w:rPr>
    </w:lvl>
  </w:abstractNum>
  <w:abstractNum w:abstractNumId="2">
    <w:nsid w:val="E4D456AF"/>
    <w:multiLevelType w:val="singleLevel"/>
    <w:tmpl w:val="E4D456AF"/>
    <w:lvl w:ilvl="0" w:tentative="0">
      <w:start w:val="1"/>
      <w:numFmt w:val="decimal"/>
      <w:lvlText w:val="%1、"/>
      <w:lvlJc w:val="left"/>
      <w:pPr>
        <w:ind w:left="420" w:hanging="420"/>
      </w:pPr>
      <w:rPr>
        <w:rFonts w:hint="eastAsia"/>
      </w:rPr>
    </w:lvl>
  </w:abstractNum>
  <w:abstractNum w:abstractNumId="3">
    <w:nsid w:val="EB45A310"/>
    <w:multiLevelType w:val="singleLevel"/>
    <w:tmpl w:val="EB45A310"/>
    <w:lvl w:ilvl="0" w:tentative="0">
      <w:start w:val="1"/>
      <w:numFmt w:val="lowerLetter"/>
      <w:lvlText w:val="%1."/>
      <w:lvlJc w:val="left"/>
      <w:pPr>
        <w:ind w:left="425" w:hanging="425"/>
      </w:pPr>
      <w:rPr>
        <w:rFonts w:hint="default"/>
      </w:rPr>
    </w:lvl>
  </w:abstractNum>
  <w:abstractNum w:abstractNumId="4">
    <w:nsid w:val="00000000"/>
    <w:multiLevelType w:val="multilevel"/>
    <w:tmpl w:val="00000000"/>
    <w:lvl w:ilvl="0" w:tentative="0">
      <w:start w:val="1"/>
      <w:numFmt w:val="decimal"/>
      <w:lvlText w:val="%1."/>
      <w:lvlJc w:val="left"/>
      <w:pPr>
        <w:tabs>
          <w:tab w:val="left" w:pos="851"/>
        </w:tabs>
        <w:ind w:left="851" w:hanging="851"/>
      </w:pPr>
      <w:rPr>
        <w:rFonts w:hint="default" w:ascii="Arial" w:hAnsi="Arial" w:eastAsia="宋体"/>
        <w:b/>
        <w:i w:val="0"/>
        <w:sz w:val="24"/>
      </w:rPr>
    </w:lvl>
    <w:lvl w:ilvl="1" w:tentative="0">
      <w:start w:val="1"/>
      <w:numFmt w:val="decimal"/>
      <w:lvlText w:val="%1.%2"/>
      <w:lvlJc w:val="left"/>
      <w:pPr>
        <w:tabs>
          <w:tab w:val="left" w:pos="851"/>
        </w:tabs>
        <w:ind w:left="851" w:hanging="851"/>
      </w:pPr>
      <w:rPr>
        <w:rFonts w:hint="default" w:ascii="Arial" w:hAnsi="Arial" w:eastAsia="宋体"/>
        <w:b w:val="0"/>
        <w:i w:val="0"/>
        <w:sz w:val="21"/>
      </w:rPr>
    </w:lvl>
    <w:lvl w:ilvl="2" w:tentative="0">
      <w:start w:val="1"/>
      <w:numFmt w:val="decimal"/>
      <w:lvlText w:val="%1.%2.%3"/>
      <w:lvlJc w:val="left"/>
      <w:pPr>
        <w:tabs>
          <w:tab w:val="left" w:pos="720"/>
        </w:tabs>
        <w:ind w:left="420" w:hanging="420"/>
      </w:pPr>
      <w:rPr>
        <w:rFonts w:hint="eastAsia"/>
      </w:rPr>
    </w:lvl>
    <w:lvl w:ilvl="3" w:tentative="0">
      <w:start w:val="1"/>
      <w:numFmt w:val="decimal"/>
      <w:lvlText w:val="%1.%2.%3.%4"/>
      <w:lvlJc w:val="left"/>
      <w:pPr>
        <w:tabs>
          <w:tab w:val="left" w:pos="1080"/>
        </w:tabs>
        <w:ind w:left="420" w:hanging="420"/>
      </w:pPr>
      <w:rPr>
        <w:rFonts w:hint="eastAsia"/>
      </w:rPr>
    </w:lvl>
    <w:lvl w:ilvl="4" w:tentative="0">
      <w:start w:val="1"/>
      <w:numFmt w:val="decimal"/>
      <w:lvlText w:val="%1.%2.%3.%4.%5"/>
      <w:lvlJc w:val="left"/>
      <w:pPr>
        <w:tabs>
          <w:tab w:val="left" w:pos="420"/>
        </w:tabs>
        <w:ind w:left="420" w:hanging="420"/>
      </w:pPr>
      <w:rPr>
        <w:rFonts w:hint="eastAsia"/>
      </w:rPr>
    </w:lvl>
    <w:lvl w:ilvl="5" w:tentative="0">
      <w:start w:val="1"/>
      <w:numFmt w:val="decimal"/>
      <w:lvlText w:val="%1.%2.%3.%4.%5.%6"/>
      <w:lvlJc w:val="left"/>
      <w:pPr>
        <w:tabs>
          <w:tab w:val="left" w:pos="420"/>
        </w:tabs>
        <w:ind w:left="420" w:hanging="420"/>
      </w:pPr>
      <w:rPr>
        <w:rFonts w:hint="eastAsia"/>
      </w:rPr>
    </w:lvl>
    <w:lvl w:ilvl="6" w:tentative="0">
      <w:start w:val="1"/>
      <w:numFmt w:val="decimal"/>
      <w:lvlText w:val="%1.%2.%3.%4.%5.%6.%7"/>
      <w:lvlJc w:val="left"/>
      <w:pPr>
        <w:tabs>
          <w:tab w:val="left" w:pos="420"/>
        </w:tabs>
        <w:ind w:left="420" w:hanging="420"/>
      </w:pPr>
      <w:rPr>
        <w:rFonts w:hint="eastAsia"/>
      </w:rPr>
    </w:lvl>
    <w:lvl w:ilvl="7" w:tentative="0">
      <w:start w:val="1"/>
      <w:numFmt w:val="decimal"/>
      <w:lvlText w:val="%1.%2.%3.%4.%5.%6.%7.%8"/>
      <w:lvlJc w:val="left"/>
      <w:pPr>
        <w:tabs>
          <w:tab w:val="left" w:pos="420"/>
        </w:tabs>
        <w:ind w:left="420" w:hanging="420"/>
      </w:pPr>
      <w:rPr>
        <w:rFonts w:hint="eastAsia"/>
      </w:rPr>
    </w:lvl>
    <w:lvl w:ilvl="8" w:tentative="0">
      <w:start w:val="1"/>
      <w:numFmt w:val="decimal"/>
      <w:lvlText w:val="%1.%2.%3.%4.%5.%6.%7.%8.%9"/>
      <w:lvlJc w:val="left"/>
      <w:pPr>
        <w:tabs>
          <w:tab w:val="left" w:pos="420"/>
        </w:tabs>
        <w:ind w:left="420" w:hanging="420"/>
      </w:pPr>
      <w:rPr>
        <w:rFonts w:hint="eastAsia"/>
      </w:rPr>
    </w:lvl>
  </w:abstractNum>
  <w:abstractNum w:abstractNumId="5">
    <w:nsid w:val="00000003"/>
    <w:multiLevelType w:val="multilevel"/>
    <w:tmpl w:val="00000003"/>
    <w:lvl w:ilvl="0" w:tentative="0">
      <w:start w:val="1"/>
      <w:numFmt w:val="bullet"/>
      <w:pStyle w:val="91"/>
      <w:lvlText w:val=""/>
      <w:lvlJc w:val="left"/>
      <w:pPr>
        <w:tabs>
          <w:tab w:val="left" w:pos="1200"/>
        </w:tabs>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pStyle w:val="162"/>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6">
    <w:nsid w:val="00000006"/>
    <w:multiLevelType w:val="multilevel"/>
    <w:tmpl w:val="00000006"/>
    <w:lvl w:ilvl="0" w:tentative="0">
      <w:start w:val="1"/>
      <w:numFmt w:val="decimal"/>
      <w:lvlText w:val="%1)"/>
      <w:lvlJc w:val="left"/>
      <w:pPr>
        <w:tabs>
          <w:tab w:val="left" w:pos="2071"/>
        </w:tabs>
        <w:ind w:left="2071" w:hanging="425"/>
      </w:pPr>
    </w:lvl>
    <w:lvl w:ilvl="1" w:tentative="0">
      <w:start w:val="1"/>
      <w:numFmt w:val="decimal"/>
      <w:lvlText w:val="%2)"/>
      <w:lvlJc w:val="left"/>
      <w:pPr>
        <w:tabs>
          <w:tab w:val="left" w:pos="2166"/>
        </w:tabs>
        <w:ind w:left="2166" w:hanging="425"/>
      </w:pPr>
    </w:lvl>
    <w:lvl w:ilvl="2" w:tentative="0">
      <w:start w:val="1"/>
      <w:numFmt w:val="lowerRoman"/>
      <w:lvlText w:val="%3."/>
      <w:lvlJc w:val="right"/>
      <w:pPr>
        <w:tabs>
          <w:tab w:val="left" w:pos="2581"/>
        </w:tabs>
        <w:ind w:left="2581" w:hanging="420"/>
      </w:pPr>
    </w:lvl>
    <w:lvl w:ilvl="3" w:tentative="0">
      <w:start w:val="1"/>
      <w:numFmt w:val="decimal"/>
      <w:lvlText w:val="%4."/>
      <w:lvlJc w:val="left"/>
      <w:pPr>
        <w:tabs>
          <w:tab w:val="left" w:pos="3001"/>
        </w:tabs>
        <w:ind w:left="3001" w:hanging="420"/>
      </w:pPr>
    </w:lvl>
    <w:lvl w:ilvl="4" w:tentative="0">
      <w:start w:val="1"/>
      <w:numFmt w:val="lowerLetter"/>
      <w:lvlText w:val="%5)"/>
      <w:lvlJc w:val="left"/>
      <w:pPr>
        <w:tabs>
          <w:tab w:val="left" w:pos="3421"/>
        </w:tabs>
        <w:ind w:left="3421" w:hanging="420"/>
      </w:pPr>
    </w:lvl>
    <w:lvl w:ilvl="5" w:tentative="0">
      <w:start w:val="1"/>
      <w:numFmt w:val="lowerRoman"/>
      <w:lvlText w:val="%6."/>
      <w:lvlJc w:val="right"/>
      <w:pPr>
        <w:tabs>
          <w:tab w:val="left" w:pos="3841"/>
        </w:tabs>
        <w:ind w:left="3841" w:hanging="420"/>
      </w:pPr>
    </w:lvl>
    <w:lvl w:ilvl="6" w:tentative="0">
      <w:start w:val="1"/>
      <w:numFmt w:val="decimal"/>
      <w:lvlText w:val="%7."/>
      <w:lvlJc w:val="left"/>
      <w:pPr>
        <w:tabs>
          <w:tab w:val="left" w:pos="4261"/>
        </w:tabs>
        <w:ind w:left="4261" w:hanging="420"/>
      </w:pPr>
    </w:lvl>
    <w:lvl w:ilvl="7" w:tentative="0">
      <w:start w:val="1"/>
      <w:numFmt w:val="lowerLetter"/>
      <w:lvlText w:val="%8)"/>
      <w:lvlJc w:val="left"/>
      <w:pPr>
        <w:tabs>
          <w:tab w:val="left" w:pos="4681"/>
        </w:tabs>
        <w:ind w:left="4681" w:hanging="420"/>
      </w:pPr>
    </w:lvl>
    <w:lvl w:ilvl="8" w:tentative="0">
      <w:start w:val="1"/>
      <w:numFmt w:val="lowerRoman"/>
      <w:lvlText w:val="%9."/>
      <w:lvlJc w:val="right"/>
      <w:pPr>
        <w:tabs>
          <w:tab w:val="left" w:pos="5101"/>
        </w:tabs>
        <w:ind w:left="5101" w:hanging="420"/>
      </w:pPr>
    </w:lvl>
  </w:abstractNum>
  <w:abstractNum w:abstractNumId="7">
    <w:nsid w:val="00000007"/>
    <w:multiLevelType w:val="multilevel"/>
    <w:tmpl w:val="00000007"/>
    <w:lvl w:ilvl="0" w:tentative="0">
      <w:start w:val="1"/>
      <w:numFmt w:val="decimal"/>
      <w:lvlText w:val="%1）"/>
      <w:lvlJc w:val="left"/>
      <w:pPr>
        <w:tabs>
          <w:tab w:val="left" w:pos="435"/>
        </w:tabs>
        <w:ind w:left="435" w:hanging="435"/>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0D"/>
    <w:multiLevelType w:val="multilevel"/>
    <w:tmpl w:val="0000000D"/>
    <w:lvl w:ilvl="0" w:tentative="0">
      <w:start w:val="1"/>
      <w:numFmt w:val="decimal"/>
      <w:lvlText w:val="%1)"/>
      <w:lvlJc w:val="left"/>
      <w:pPr>
        <w:ind w:left="1365" w:hanging="420"/>
      </w:pPr>
    </w:lvl>
    <w:lvl w:ilvl="1" w:tentative="0">
      <w:start w:val="1"/>
      <w:numFmt w:val="lowerLetter"/>
      <w:lvlText w:val="%2)"/>
      <w:lvlJc w:val="left"/>
      <w:pPr>
        <w:ind w:left="1785" w:hanging="420"/>
      </w:pPr>
    </w:lvl>
    <w:lvl w:ilvl="2" w:tentative="0">
      <w:start w:val="1"/>
      <w:numFmt w:val="lowerRoman"/>
      <w:lvlText w:val="%3."/>
      <w:lvlJc w:val="right"/>
      <w:pPr>
        <w:ind w:left="2205" w:hanging="420"/>
      </w:pPr>
    </w:lvl>
    <w:lvl w:ilvl="3" w:tentative="0">
      <w:start w:val="1"/>
      <w:numFmt w:val="decimal"/>
      <w:lvlText w:val="%4."/>
      <w:lvlJc w:val="left"/>
      <w:pPr>
        <w:ind w:left="2625" w:hanging="420"/>
      </w:pPr>
    </w:lvl>
    <w:lvl w:ilvl="4" w:tentative="0">
      <w:start w:val="1"/>
      <w:numFmt w:val="lowerLetter"/>
      <w:lvlText w:val="%5)"/>
      <w:lvlJc w:val="left"/>
      <w:pPr>
        <w:ind w:left="3045" w:hanging="420"/>
      </w:pPr>
    </w:lvl>
    <w:lvl w:ilvl="5" w:tentative="0">
      <w:start w:val="1"/>
      <w:numFmt w:val="lowerRoman"/>
      <w:lvlText w:val="%6."/>
      <w:lvlJc w:val="right"/>
      <w:pPr>
        <w:ind w:left="3465" w:hanging="420"/>
      </w:pPr>
    </w:lvl>
    <w:lvl w:ilvl="6" w:tentative="0">
      <w:start w:val="1"/>
      <w:numFmt w:val="decimal"/>
      <w:lvlText w:val="%7."/>
      <w:lvlJc w:val="left"/>
      <w:pPr>
        <w:ind w:left="3885" w:hanging="420"/>
      </w:pPr>
    </w:lvl>
    <w:lvl w:ilvl="7" w:tentative="0">
      <w:start w:val="1"/>
      <w:numFmt w:val="lowerLetter"/>
      <w:lvlText w:val="%8)"/>
      <w:lvlJc w:val="left"/>
      <w:pPr>
        <w:ind w:left="4305" w:hanging="420"/>
      </w:pPr>
    </w:lvl>
    <w:lvl w:ilvl="8" w:tentative="0">
      <w:start w:val="1"/>
      <w:numFmt w:val="lowerRoman"/>
      <w:lvlText w:val="%9."/>
      <w:lvlJc w:val="right"/>
      <w:pPr>
        <w:ind w:left="4725" w:hanging="420"/>
      </w:pPr>
    </w:lvl>
  </w:abstractNum>
  <w:abstractNum w:abstractNumId="9">
    <w:nsid w:val="0000000E"/>
    <w:multiLevelType w:val="multilevel"/>
    <w:tmpl w:val="0000000E"/>
    <w:lvl w:ilvl="0" w:tentative="0">
      <w:start w:val="1"/>
      <w:numFmt w:val="decimal"/>
      <w:lvlText w:val="（%1）"/>
      <w:lvlJc w:val="left"/>
      <w:pPr>
        <w:ind w:left="420" w:hanging="420"/>
      </w:pPr>
      <w:rPr>
        <w:rFonts w:hint="default"/>
      </w:rPr>
    </w:lvl>
    <w:lvl w:ilvl="1" w:tentative="0">
      <w:start w:val="21"/>
      <w:numFmt w:val="decimal"/>
      <w:lvlText w:val="%2、"/>
      <w:lvlJc w:val="left"/>
      <w:pPr>
        <w:tabs>
          <w:tab w:val="left" w:pos="1140"/>
        </w:tabs>
        <w:ind w:left="1140" w:hanging="720"/>
      </w:pPr>
      <w:rPr>
        <w:rFonts w:hint="default"/>
        <w:sz w:val="21"/>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0000013"/>
    <w:multiLevelType w:val="multilevel"/>
    <w:tmpl w:val="00000013"/>
    <w:lvl w:ilvl="0" w:tentative="0">
      <w:start w:val="1"/>
      <w:numFmt w:val="bullet"/>
      <w:lvlText w:val=""/>
      <w:lvlJc w:val="left"/>
      <w:pPr>
        <w:tabs>
          <w:tab w:val="left" w:pos="420"/>
        </w:tabs>
        <w:ind w:left="420" w:hanging="420"/>
      </w:pPr>
      <w:rPr>
        <w:rFonts w:hint="default" w:ascii="Wingdings" w:hAnsi="Wingdings"/>
      </w:rPr>
    </w:lvl>
    <w:lvl w:ilvl="1" w:tentative="0">
      <w:start w:val="2"/>
      <w:numFmt w:val="decimal"/>
      <w:lvlText w:val="%1.%2"/>
      <w:lvlJc w:val="left"/>
      <w:pPr>
        <w:tabs>
          <w:tab w:val="left" w:pos="851"/>
        </w:tabs>
        <w:ind w:left="851" w:hanging="851"/>
      </w:pPr>
      <w:rPr>
        <w:rFonts w:hint="default" w:ascii="Arial" w:hAnsi="Arial" w:eastAsia="宋体"/>
        <w:b w:val="0"/>
        <w:i w:val="0"/>
        <w:sz w:val="21"/>
      </w:rPr>
    </w:lvl>
    <w:lvl w:ilvl="2" w:tentative="0">
      <w:start w:val="1"/>
      <w:numFmt w:val="decimal"/>
      <w:lvlText w:val="%1.%2.%3"/>
      <w:lvlJc w:val="left"/>
      <w:pPr>
        <w:tabs>
          <w:tab w:val="left" w:pos="720"/>
        </w:tabs>
        <w:ind w:left="420" w:hanging="420"/>
      </w:pPr>
      <w:rPr>
        <w:rFonts w:hint="eastAsia"/>
      </w:rPr>
    </w:lvl>
    <w:lvl w:ilvl="3" w:tentative="0">
      <w:start w:val="1"/>
      <w:numFmt w:val="decimal"/>
      <w:lvlText w:val="%1.%2.%3.%4"/>
      <w:lvlJc w:val="left"/>
      <w:pPr>
        <w:tabs>
          <w:tab w:val="left" w:pos="420"/>
        </w:tabs>
        <w:ind w:left="420" w:hanging="420"/>
      </w:pPr>
      <w:rPr>
        <w:rFonts w:hint="eastAsia"/>
      </w:rPr>
    </w:lvl>
    <w:lvl w:ilvl="4" w:tentative="0">
      <w:start w:val="1"/>
      <w:numFmt w:val="decimal"/>
      <w:lvlText w:val="%1.%2.%3.%4.%5"/>
      <w:lvlJc w:val="left"/>
      <w:pPr>
        <w:tabs>
          <w:tab w:val="left" w:pos="420"/>
        </w:tabs>
        <w:ind w:left="420" w:hanging="420"/>
      </w:pPr>
      <w:rPr>
        <w:rFonts w:hint="eastAsia"/>
      </w:rPr>
    </w:lvl>
    <w:lvl w:ilvl="5" w:tentative="0">
      <w:start w:val="1"/>
      <w:numFmt w:val="decimal"/>
      <w:lvlText w:val="%1.%2.%3.%4.%5.%6"/>
      <w:lvlJc w:val="left"/>
      <w:pPr>
        <w:tabs>
          <w:tab w:val="left" w:pos="420"/>
        </w:tabs>
        <w:ind w:left="420" w:hanging="420"/>
      </w:pPr>
      <w:rPr>
        <w:rFonts w:hint="eastAsia"/>
      </w:rPr>
    </w:lvl>
    <w:lvl w:ilvl="6" w:tentative="0">
      <w:start w:val="1"/>
      <w:numFmt w:val="decimal"/>
      <w:lvlText w:val="%1.%2.%3.%4.%5.%6.%7"/>
      <w:lvlJc w:val="left"/>
      <w:pPr>
        <w:tabs>
          <w:tab w:val="left" w:pos="420"/>
        </w:tabs>
        <w:ind w:left="420" w:hanging="420"/>
      </w:pPr>
      <w:rPr>
        <w:rFonts w:hint="eastAsia"/>
      </w:rPr>
    </w:lvl>
    <w:lvl w:ilvl="7" w:tentative="0">
      <w:start w:val="1"/>
      <w:numFmt w:val="decimal"/>
      <w:lvlText w:val="%1.%2.%3.%4.%5.%6.%7.%8"/>
      <w:lvlJc w:val="left"/>
      <w:pPr>
        <w:tabs>
          <w:tab w:val="left" w:pos="420"/>
        </w:tabs>
        <w:ind w:left="420" w:hanging="420"/>
      </w:pPr>
      <w:rPr>
        <w:rFonts w:hint="eastAsia"/>
      </w:rPr>
    </w:lvl>
    <w:lvl w:ilvl="8" w:tentative="0">
      <w:start w:val="1"/>
      <w:numFmt w:val="decimal"/>
      <w:lvlText w:val="%1.%2.%3.%4.%5.%6.%7.%8.%9"/>
      <w:lvlJc w:val="left"/>
      <w:pPr>
        <w:tabs>
          <w:tab w:val="left" w:pos="420"/>
        </w:tabs>
        <w:ind w:left="420" w:hanging="420"/>
      </w:pPr>
      <w:rPr>
        <w:rFonts w:hint="eastAsia"/>
      </w:rPr>
    </w:lvl>
  </w:abstractNum>
  <w:abstractNum w:abstractNumId="11">
    <w:nsid w:val="00000016"/>
    <w:multiLevelType w:val="multilevel"/>
    <w:tmpl w:val="00000016"/>
    <w:lvl w:ilvl="0" w:tentative="0">
      <w:start w:val="1"/>
      <w:numFmt w:val="bullet"/>
      <w:pStyle w:val="17"/>
      <w:lvlText w:val=""/>
      <w:lvlJc w:val="left"/>
      <w:pPr>
        <w:tabs>
          <w:tab w:val="left" w:pos="1140"/>
        </w:tabs>
        <w:ind w:left="1140" w:hanging="420"/>
      </w:pPr>
      <w:rPr>
        <w:rFonts w:hint="default" w:ascii="Wingdings" w:hAnsi="Wingdings"/>
      </w:rPr>
    </w:lvl>
    <w:lvl w:ilvl="1" w:tentative="0">
      <w:start w:val="1"/>
      <w:numFmt w:val="decimal"/>
      <w:lvlText w:val="%2）"/>
      <w:lvlJc w:val="left"/>
      <w:pPr>
        <w:tabs>
          <w:tab w:val="left" w:pos="360"/>
        </w:tabs>
        <w:ind w:left="360" w:hanging="360"/>
      </w:pPr>
      <w:rPr>
        <w:rFonts w:hint="eastAsia"/>
      </w:rPr>
    </w:lvl>
    <w:lvl w:ilvl="2" w:tentative="0">
      <w:start w:val="1"/>
      <w:numFmt w:val="decimalEnclosedCircle"/>
      <w:lvlText w:val="%3"/>
      <w:lvlJc w:val="left"/>
      <w:pPr>
        <w:tabs>
          <w:tab w:val="left" w:pos="780"/>
        </w:tabs>
        <w:ind w:left="780" w:hanging="360"/>
      </w:pPr>
      <w:rPr>
        <w:rFonts w:hint="eastAsia"/>
      </w:rPr>
    </w:lvl>
    <w:lvl w:ilvl="3" w:tentative="0">
      <w:start w:val="1"/>
      <w:numFmt w:val="bullet"/>
      <w:lvlText w:val=""/>
      <w:lvlJc w:val="left"/>
      <w:pPr>
        <w:tabs>
          <w:tab w:val="left" w:pos="1260"/>
        </w:tabs>
        <w:ind w:left="1260" w:hanging="420"/>
      </w:pPr>
      <w:rPr>
        <w:rFonts w:hint="default" w:ascii="Wingdings" w:hAnsi="Wingdings"/>
      </w:rPr>
    </w:lvl>
    <w:lvl w:ilvl="4" w:tentative="0">
      <w:start w:val="1"/>
      <w:numFmt w:val="decimal"/>
      <w:lvlText w:val="%5)"/>
      <w:lvlJc w:val="left"/>
      <w:pPr>
        <w:tabs>
          <w:tab w:val="left" w:pos="1680"/>
        </w:tabs>
        <w:ind w:left="1680" w:hanging="420"/>
      </w:pPr>
    </w:lvl>
    <w:lvl w:ilvl="5" w:tentative="0">
      <w:start w:val="2"/>
      <w:numFmt w:val="decimal"/>
      <w:lvlText w:val="%6、"/>
      <w:lvlJc w:val="left"/>
      <w:pPr>
        <w:tabs>
          <w:tab w:val="left" w:pos="2040"/>
        </w:tabs>
        <w:ind w:left="2040" w:hanging="360"/>
      </w:pPr>
      <w:rPr>
        <w:rFonts w:hint="eastAsia"/>
      </w:rPr>
    </w:lvl>
    <w:lvl w:ilvl="6" w:tentative="0">
      <w:start w:val="1"/>
      <w:numFmt w:val="decimal"/>
      <w:lvlText w:val="%7."/>
      <w:lvlJc w:val="left"/>
      <w:pPr>
        <w:tabs>
          <w:tab w:val="left" w:pos="2520"/>
        </w:tabs>
        <w:ind w:left="2520" w:hanging="420"/>
      </w:pPr>
    </w:lvl>
    <w:lvl w:ilvl="7" w:tentative="0">
      <w:start w:val="1"/>
      <w:numFmt w:val="lowerLetter"/>
      <w:lvlText w:val="%8)"/>
      <w:lvlJc w:val="left"/>
      <w:pPr>
        <w:tabs>
          <w:tab w:val="left" w:pos="2940"/>
        </w:tabs>
        <w:ind w:left="2940" w:hanging="420"/>
      </w:pPr>
    </w:lvl>
    <w:lvl w:ilvl="8" w:tentative="0">
      <w:start w:val="1"/>
      <w:numFmt w:val="lowerRoman"/>
      <w:lvlText w:val="%9."/>
      <w:lvlJc w:val="right"/>
      <w:pPr>
        <w:tabs>
          <w:tab w:val="left" w:pos="3360"/>
        </w:tabs>
        <w:ind w:left="3360" w:hanging="420"/>
      </w:pPr>
    </w:lvl>
  </w:abstractNum>
  <w:abstractNum w:abstractNumId="12">
    <w:nsid w:val="0000001B"/>
    <w:multiLevelType w:val="multilevel"/>
    <w:tmpl w:val="0000001B"/>
    <w:lvl w:ilvl="0" w:tentative="0">
      <w:start w:val="1"/>
      <w:numFmt w:val="decimal"/>
      <w:lvlText w:val="%1."/>
      <w:lvlJc w:val="left"/>
      <w:pPr>
        <w:tabs>
          <w:tab w:val="left" w:pos="420"/>
        </w:tabs>
        <w:ind w:left="420" w:hanging="420"/>
      </w:pPr>
    </w:lvl>
    <w:lvl w:ilvl="1" w:tentative="0">
      <w:start w:val="1"/>
      <w:numFmt w:val="decimal"/>
      <w:lvlText w:val="%2)"/>
      <w:lvlJc w:val="left"/>
      <w:pPr>
        <w:tabs>
          <w:tab w:val="left" w:pos="840"/>
        </w:tabs>
        <w:ind w:left="840" w:hanging="420"/>
      </w:pPr>
      <w:rPr>
        <w:rFonts w:hint="eastAsia"/>
        <w:color w:val="000000"/>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000001D"/>
    <w:multiLevelType w:val="multilevel"/>
    <w:tmpl w:val="0000001D"/>
    <w:lvl w:ilvl="0" w:tentative="0">
      <w:start w:val="1"/>
      <w:numFmt w:val="decimal"/>
      <w:lvlText w:val="%1"/>
      <w:lvlJc w:val="left"/>
      <w:pPr>
        <w:tabs>
          <w:tab w:val="left" w:pos="846"/>
        </w:tabs>
        <w:ind w:left="846"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0000026"/>
    <w:multiLevelType w:val="multilevel"/>
    <w:tmpl w:val="00000026"/>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
    <w:nsid w:val="078351A8"/>
    <w:multiLevelType w:val="multilevel"/>
    <w:tmpl w:val="078351A8"/>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088A5617"/>
    <w:multiLevelType w:val="multilevel"/>
    <w:tmpl w:val="088A561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7">
    <w:nsid w:val="08AC62CF"/>
    <w:multiLevelType w:val="multilevel"/>
    <w:tmpl w:val="08AC62C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8">
    <w:nsid w:val="09594415"/>
    <w:multiLevelType w:val="multilevel"/>
    <w:tmpl w:val="09594415"/>
    <w:lvl w:ilvl="0" w:tentative="0">
      <w:start w:val="1"/>
      <w:numFmt w:val="bullet"/>
      <w:lvlText w:val=""/>
      <w:lvlJc w:val="left"/>
      <w:pPr>
        <w:ind w:left="2121" w:hanging="420"/>
      </w:pPr>
      <w:rPr>
        <w:rFonts w:hint="default" w:ascii="Wingdings" w:hAnsi="Wingdings"/>
      </w:rPr>
    </w:lvl>
    <w:lvl w:ilvl="1" w:tentative="0">
      <w:start w:val="1"/>
      <w:numFmt w:val="bullet"/>
      <w:lvlText w:val=""/>
      <w:lvlJc w:val="left"/>
      <w:pPr>
        <w:ind w:left="2541" w:hanging="420"/>
      </w:pPr>
      <w:rPr>
        <w:rFonts w:hint="default" w:ascii="Wingdings" w:hAnsi="Wingdings"/>
      </w:rPr>
    </w:lvl>
    <w:lvl w:ilvl="2" w:tentative="0">
      <w:start w:val="1"/>
      <w:numFmt w:val="bullet"/>
      <w:lvlText w:val=""/>
      <w:lvlJc w:val="left"/>
      <w:pPr>
        <w:ind w:left="2961" w:hanging="420"/>
      </w:pPr>
      <w:rPr>
        <w:rFonts w:hint="default" w:ascii="Wingdings" w:hAnsi="Wingdings"/>
      </w:rPr>
    </w:lvl>
    <w:lvl w:ilvl="3" w:tentative="0">
      <w:start w:val="1"/>
      <w:numFmt w:val="bullet"/>
      <w:lvlText w:val=""/>
      <w:lvlJc w:val="left"/>
      <w:pPr>
        <w:ind w:left="3381" w:hanging="420"/>
      </w:pPr>
      <w:rPr>
        <w:rFonts w:hint="default" w:ascii="Wingdings" w:hAnsi="Wingdings"/>
      </w:rPr>
    </w:lvl>
    <w:lvl w:ilvl="4" w:tentative="0">
      <w:start w:val="1"/>
      <w:numFmt w:val="bullet"/>
      <w:lvlText w:val=""/>
      <w:lvlJc w:val="left"/>
      <w:pPr>
        <w:ind w:left="3801" w:hanging="420"/>
      </w:pPr>
      <w:rPr>
        <w:rFonts w:hint="default" w:ascii="Wingdings" w:hAnsi="Wingdings"/>
      </w:rPr>
    </w:lvl>
    <w:lvl w:ilvl="5" w:tentative="0">
      <w:start w:val="1"/>
      <w:numFmt w:val="bullet"/>
      <w:lvlText w:val=""/>
      <w:lvlJc w:val="left"/>
      <w:pPr>
        <w:ind w:left="4221" w:hanging="420"/>
      </w:pPr>
      <w:rPr>
        <w:rFonts w:hint="default" w:ascii="Wingdings" w:hAnsi="Wingdings"/>
      </w:rPr>
    </w:lvl>
    <w:lvl w:ilvl="6" w:tentative="0">
      <w:start w:val="1"/>
      <w:numFmt w:val="bullet"/>
      <w:lvlText w:val=""/>
      <w:lvlJc w:val="left"/>
      <w:pPr>
        <w:ind w:left="4641" w:hanging="420"/>
      </w:pPr>
      <w:rPr>
        <w:rFonts w:hint="default" w:ascii="Wingdings" w:hAnsi="Wingdings"/>
      </w:rPr>
    </w:lvl>
    <w:lvl w:ilvl="7" w:tentative="0">
      <w:start w:val="1"/>
      <w:numFmt w:val="bullet"/>
      <w:lvlText w:val=""/>
      <w:lvlJc w:val="left"/>
      <w:pPr>
        <w:ind w:left="5061" w:hanging="420"/>
      </w:pPr>
      <w:rPr>
        <w:rFonts w:hint="default" w:ascii="Wingdings" w:hAnsi="Wingdings"/>
      </w:rPr>
    </w:lvl>
    <w:lvl w:ilvl="8" w:tentative="0">
      <w:start w:val="1"/>
      <w:numFmt w:val="bullet"/>
      <w:lvlText w:val=""/>
      <w:lvlJc w:val="left"/>
      <w:pPr>
        <w:ind w:left="5481" w:hanging="420"/>
      </w:pPr>
      <w:rPr>
        <w:rFonts w:hint="default" w:ascii="Wingdings" w:hAnsi="Wingdings"/>
      </w:rPr>
    </w:lvl>
  </w:abstractNum>
  <w:abstractNum w:abstractNumId="19">
    <w:nsid w:val="0CEF6593"/>
    <w:multiLevelType w:val="multilevel"/>
    <w:tmpl w:val="0CEF6593"/>
    <w:lvl w:ilvl="0" w:tentative="0">
      <w:start w:val="1"/>
      <w:numFmt w:val="bullet"/>
      <w:lvlText w:val=""/>
      <w:lvlJc w:val="left"/>
      <w:pPr>
        <w:ind w:left="860" w:hanging="420"/>
      </w:pPr>
      <w:rPr>
        <w:rFonts w:hint="default" w:ascii="Wingdings" w:hAnsi="Wingdings"/>
      </w:rPr>
    </w:lvl>
    <w:lvl w:ilvl="1" w:tentative="0">
      <w:start w:val="1"/>
      <w:numFmt w:val="bullet"/>
      <w:lvlText w:val=""/>
      <w:lvlJc w:val="left"/>
      <w:pPr>
        <w:ind w:left="1280" w:hanging="420"/>
      </w:pPr>
      <w:rPr>
        <w:rFonts w:hint="default" w:ascii="Wingdings" w:hAnsi="Wingdings"/>
      </w:rPr>
    </w:lvl>
    <w:lvl w:ilvl="2" w:tentative="0">
      <w:start w:val="1"/>
      <w:numFmt w:val="bullet"/>
      <w:lvlText w:val=""/>
      <w:lvlJc w:val="left"/>
      <w:pPr>
        <w:ind w:left="1700" w:hanging="420"/>
      </w:pPr>
      <w:rPr>
        <w:rFonts w:hint="default" w:ascii="Wingdings" w:hAnsi="Wingdings"/>
      </w:rPr>
    </w:lvl>
    <w:lvl w:ilvl="3" w:tentative="0">
      <w:start w:val="1"/>
      <w:numFmt w:val="bullet"/>
      <w:lvlText w:val=""/>
      <w:lvlJc w:val="left"/>
      <w:pPr>
        <w:ind w:left="2120" w:hanging="420"/>
      </w:pPr>
      <w:rPr>
        <w:rFonts w:hint="default" w:ascii="Wingdings" w:hAnsi="Wingdings"/>
      </w:rPr>
    </w:lvl>
    <w:lvl w:ilvl="4" w:tentative="0">
      <w:start w:val="1"/>
      <w:numFmt w:val="bullet"/>
      <w:lvlText w:val=""/>
      <w:lvlJc w:val="left"/>
      <w:pPr>
        <w:ind w:left="2540" w:hanging="420"/>
      </w:pPr>
      <w:rPr>
        <w:rFonts w:hint="default" w:ascii="Wingdings" w:hAnsi="Wingdings"/>
      </w:rPr>
    </w:lvl>
    <w:lvl w:ilvl="5" w:tentative="0">
      <w:start w:val="1"/>
      <w:numFmt w:val="bullet"/>
      <w:lvlText w:val=""/>
      <w:lvlJc w:val="left"/>
      <w:pPr>
        <w:ind w:left="2960" w:hanging="420"/>
      </w:pPr>
      <w:rPr>
        <w:rFonts w:hint="default" w:ascii="Wingdings" w:hAnsi="Wingdings"/>
      </w:rPr>
    </w:lvl>
    <w:lvl w:ilvl="6" w:tentative="0">
      <w:start w:val="1"/>
      <w:numFmt w:val="bullet"/>
      <w:lvlText w:val=""/>
      <w:lvlJc w:val="left"/>
      <w:pPr>
        <w:ind w:left="3380" w:hanging="420"/>
      </w:pPr>
      <w:rPr>
        <w:rFonts w:hint="default" w:ascii="Wingdings" w:hAnsi="Wingdings"/>
      </w:rPr>
    </w:lvl>
    <w:lvl w:ilvl="7" w:tentative="0">
      <w:start w:val="1"/>
      <w:numFmt w:val="bullet"/>
      <w:lvlText w:val=""/>
      <w:lvlJc w:val="left"/>
      <w:pPr>
        <w:ind w:left="3800" w:hanging="420"/>
      </w:pPr>
      <w:rPr>
        <w:rFonts w:hint="default" w:ascii="Wingdings" w:hAnsi="Wingdings"/>
      </w:rPr>
    </w:lvl>
    <w:lvl w:ilvl="8" w:tentative="0">
      <w:start w:val="1"/>
      <w:numFmt w:val="bullet"/>
      <w:lvlText w:val=""/>
      <w:lvlJc w:val="left"/>
      <w:pPr>
        <w:ind w:left="4220" w:hanging="420"/>
      </w:pPr>
      <w:rPr>
        <w:rFonts w:hint="default" w:ascii="Wingdings" w:hAnsi="Wingdings"/>
      </w:rPr>
    </w:lvl>
  </w:abstractNum>
  <w:abstractNum w:abstractNumId="20">
    <w:nsid w:val="0D1F005B"/>
    <w:multiLevelType w:val="multilevel"/>
    <w:tmpl w:val="0D1F005B"/>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0F403C73"/>
    <w:multiLevelType w:val="multilevel"/>
    <w:tmpl w:val="0F403C73"/>
    <w:lvl w:ilvl="0" w:tentative="0">
      <w:start w:val="1"/>
      <w:numFmt w:val="decimal"/>
      <w:lvlText w:val="%1）"/>
      <w:lvlJc w:val="left"/>
      <w:pPr>
        <w:tabs>
          <w:tab w:val="left" w:pos="435"/>
        </w:tabs>
        <w:ind w:left="435" w:hanging="435"/>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2">
    <w:nsid w:val="1F3FB859"/>
    <w:multiLevelType w:val="singleLevel"/>
    <w:tmpl w:val="1F3FB859"/>
    <w:lvl w:ilvl="0" w:tentative="0">
      <w:start w:val="1"/>
      <w:numFmt w:val="decimal"/>
      <w:suff w:val="nothing"/>
      <w:lvlText w:val="（%1）"/>
      <w:lvlJc w:val="left"/>
    </w:lvl>
  </w:abstractNum>
  <w:abstractNum w:abstractNumId="23">
    <w:nsid w:val="23954EED"/>
    <w:multiLevelType w:val="multilevel"/>
    <w:tmpl w:val="23954EED"/>
    <w:lvl w:ilvl="0" w:tentative="0">
      <w:start w:val="1"/>
      <w:numFmt w:val="bullet"/>
      <w:lvlText w:val=""/>
      <w:lvlJc w:val="left"/>
      <w:pPr>
        <w:tabs>
          <w:tab w:val="left" w:pos="1080"/>
        </w:tabs>
        <w:ind w:left="1080" w:hanging="420"/>
      </w:pPr>
      <w:rPr>
        <w:rFonts w:hint="default" w:ascii="Wingdings" w:hAnsi="Wingdings"/>
      </w:rPr>
    </w:lvl>
    <w:lvl w:ilvl="1" w:tentative="0">
      <w:start w:val="1"/>
      <w:numFmt w:val="bullet"/>
      <w:lvlText w:val=""/>
      <w:lvlJc w:val="left"/>
      <w:pPr>
        <w:tabs>
          <w:tab w:val="left" w:pos="1500"/>
        </w:tabs>
        <w:ind w:left="1500" w:hanging="420"/>
      </w:pPr>
      <w:rPr>
        <w:rFonts w:hint="default" w:ascii="Wingdings" w:hAnsi="Wingdings"/>
      </w:rPr>
    </w:lvl>
    <w:lvl w:ilvl="2" w:tentative="0">
      <w:start w:val="1"/>
      <w:numFmt w:val="bullet"/>
      <w:lvlText w:val=""/>
      <w:lvlJc w:val="left"/>
      <w:pPr>
        <w:tabs>
          <w:tab w:val="left" w:pos="1920"/>
        </w:tabs>
        <w:ind w:left="1920" w:hanging="420"/>
      </w:pPr>
      <w:rPr>
        <w:rFonts w:hint="default" w:ascii="Wingdings" w:hAnsi="Wingdings"/>
      </w:rPr>
    </w:lvl>
    <w:lvl w:ilvl="3" w:tentative="0">
      <w:start w:val="1"/>
      <w:numFmt w:val="bullet"/>
      <w:lvlText w:val=""/>
      <w:lvlJc w:val="left"/>
      <w:pPr>
        <w:tabs>
          <w:tab w:val="left" w:pos="2340"/>
        </w:tabs>
        <w:ind w:left="2340" w:hanging="420"/>
      </w:pPr>
      <w:rPr>
        <w:rFonts w:hint="default" w:ascii="Wingdings" w:hAnsi="Wingdings"/>
      </w:rPr>
    </w:lvl>
    <w:lvl w:ilvl="4" w:tentative="0">
      <w:start w:val="1"/>
      <w:numFmt w:val="bullet"/>
      <w:lvlText w:val=""/>
      <w:lvlJc w:val="left"/>
      <w:pPr>
        <w:tabs>
          <w:tab w:val="left" w:pos="2760"/>
        </w:tabs>
        <w:ind w:left="2760" w:hanging="420"/>
      </w:pPr>
      <w:rPr>
        <w:rFonts w:hint="default" w:ascii="Wingdings" w:hAnsi="Wingdings"/>
      </w:rPr>
    </w:lvl>
    <w:lvl w:ilvl="5" w:tentative="0">
      <w:start w:val="1"/>
      <w:numFmt w:val="bullet"/>
      <w:lvlText w:val=""/>
      <w:lvlJc w:val="left"/>
      <w:pPr>
        <w:tabs>
          <w:tab w:val="left" w:pos="3180"/>
        </w:tabs>
        <w:ind w:left="3180" w:hanging="420"/>
      </w:pPr>
      <w:rPr>
        <w:rFonts w:hint="default" w:ascii="Wingdings" w:hAnsi="Wingdings"/>
      </w:rPr>
    </w:lvl>
    <w:lvl w:ilvl="6" w:tentative="0">
      <w:start w:val="1"/>
      <w:numFmt w:val="bullet"/>
      <w:lvlText w:val=""/>
      <w:lvlJc w:val="left"/>
      <w:pPr>
        <w:tabs>
          <w:tab w:val="left" w:pos="3600"/>
        </w:tabs>
        <w:ind w:left="3600" w:hanging="420"/>
      </w:pPr>
      <w:rPr>
        <w:rFonts w:hint="default" w:ascii="Wingdings" w:hAnsi="Wingdings"/>
      </w:rPr>
    </w:lvl>
    <w:lvl w:ilvl="7" w:tentative="0">
      <w:start w:val="1"/>
      <w:numFmt w:val="bullet"/>
      <w:lvlText w:val=""/>
      <w:lvlJc w:val="left"/>
      <w:pPr>
        <w:tabs>
          <w:tab w:val="left" w:pos="4020"/>
        </w:tabs>
        <w:ind w:left="4020" w:hanging="420"/>
      </w:pPr>
      <w:rPr>
        <w:rFonts w:hint="default" w:ascii="Wingdings" w:hAnsi="Wingdings"/>
      </w:rPr>
    </w:lvl>
    <w:lvl w:ilvl="8" w:tentative="0">
      <w:start w:val="1"/>
      <w:numFmt w:val="bullet"/>
      <w:lvlText w:val=""/>
      <w:lvlJc w:val="left"/>
      <w:pPr>
        <w:tabs>
          <w:tab w:val="left" w:pos="4440"/>
        </w:tabs>
        <w:ind w:left="4440" w:hanging="420"/>
      </w:pPr>
      <w:rPr>
        <w:rFonts w:hint="default" w:ascii="Wingdings" w:hAnsi="Wingdings"/>
      </w:rPr>
    </w:lvl>
  </w:abstractNum>
  <w:abstractNum w:abstractNumId="24">
    <w:nsid w:val="263E49D0"/>
    <w:multiLevelType w:val="multilevel"/>
    <w:tmpl w:val="263E49D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5">
    <w:nsid w:val="27813B27"/>
    <w:multiLevelType w:val="multilevel"/>
    <w:tmpl w:val="27813B27"/>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2A344D01"/>
    <w:multiLevelType w:val="multilevel"/>
    <w:tmpl w:val="2A344D01"/>
    <w:lvl w:ilvl="0" w:tentative="0">
      <w:start w:val="1"/>
      <w:numFmt w:val="bullet"/>
      <w:lvlText w:val=""/>
      <w:lvlJc w:val="left"/>
      <w:pPr>
        <w:ind w:left="950" w:hanging="420"/>
      </w:pPr>
      <w:rPr>
        <w:rFonts w:hint="default" w:ascii="Wingdings" w:hAnsi="Wingdings"/>
      </w:rPr>
    </w:lvl>
    <w:lvl w:ilvl="1" w:tentative="0">
      <w:start w:val="1"/>
      <w:numFmt w:val="bullet"/>
      <w:lvlText w:val=""/>
      <w:lvlJc w:val="left"/>
      <w:pPr>
        <w:ind w:left="1370" w:hanging="420"/>
      </w:pPr>
      <w:rPr>
        <w:rFonts w:hint="default" w:ascii="Wingdings" w:hAnsi="Wingdings"/>
      </w:rPr>
    </w:lvl>
    <w:lvl w:ilvl="2" w:tentative="0">
      <w:start w:val="1"/>
      <w:numFmt w:val="bullet"/>
      <w:lvlText w:val=""/>
      <w:lvlJc w:val="left"/>
      <w:pPr>
        <w:ind w:left="1790" w:hanging="420"/>
      </w:pPr>
      <w:rPr>
        <w:rFonts w:hint="default" w:ascii="Wingdings" w:hAnsi="Wingdings"/>
      </w:rPr>
    </w:lvl>
    <w:lvl w:ilvl="3" w:tentative="0">
      <w:start w:val="1"/>
      <w:numFmt w:val="bullet"/>
      <w:lvlText w:val=""/>
      <w:lvlJc w:val="left"/>
      <w:pPr>
        <w:ind w:left="2210" w:hanging="420"/>
      </w:pPr>
      <w:rPr>
        <w:rFonts w:hint="default" w:ascii="Wingdings" w:hAnsi="Wingdings"/>
      </w:rPr>
    </w:lvl>
    <w:lvl w:ilvl="4" w:tentative="0">
      <w:start w:val="1"/>
      <w:numFmt w:val="bullet"/>
      <w:lvlText w:val=""/>
      <w:lvlJc w:val="left"/>
      <w:pPr>
        <w:ind w:left="2630" w:hanging="420"/>
      </w:pPr>
      <w:rPr>
        <w:rFonts w:hint="default" w:ascii="Wingdings" w:hAnsi="Wingdings"/>
      </w:rPr>
    </w:lvl>
    <w:lvl w:ilvl="5" w:tentative="0">
      <w:start w:val="1"/>
      <w:numFmt w:val="bullet"/>
      <w:lvlText w:val=""/>
      <w:lvlJc w:val="left"/>
      <w:pPr>
        <w:ind w:left="3050" w:hanging="420"/>
      </w:pPr>
      <w:rPr>
        <w:rFonts w:hint="default" w:ascii="Wingdings" w:hAnsi="Wingdings"/>
      </w:rPr>
    </w:lvl>
    <w:lvl w:ilvl="6" w:tentative="0">
      <w:start w:val="1"/>
      <w:numFmt w:val="bullet"/>
      <w:lvlText w:val=""/>
      <w:lvlJc w:val="left"/>
      <w:pPr>
        <w:ind w:left="3470" w:hanging="420"/>
      </w:pPr>
      <w:rPr>
        <w:rFonts w:hint="default" w:ascii="Wingdings" w:hAnsi="Wingdings"/>
      </w:rPr>
    </w:lvl>
    <w:lvl w:ilvl="7" w:tentative="0">
      <w:start w:val="1"/>
      <w:numFmt w:val="bullet"/>
      <w:lvlText w:val=""/>
      <w:lvlJc w:val="left"/>
      <w:pPr>
        <w:ind w:left="3890" w:hanging="420"/>
      </w:pPr>
      <w:rPr>
        <w:rFonts w:hint="default" w:ascii="Wingdings" w:hAnsi="Wingdings"/>
      </w:rPr>
    </w:lvl>
    <w:lvl w:ilvl="8" w:tentative="0">
      <w:start w:val="1"/>
      <w:numFmt w:val="bullet"/>
      <w:lvlText w:val=""/>
      <w:lvlJc w:val="left"/>
      <w:pPr>
        <w:ind w:left="4310" w:hanging="420"/>
      </w:pPr>
      <w:rPr>
        <w:rFonts w:hint="default" w:ascii="Wingdings" w:hAnsi="Wingdings"/>
      </w:rPr>
    </w:lvl>
  </w:abstractNum>
  <w:abstractNum w:abstractNumId="27">
    <w:nsid w:val="30403C3F"/>
    <w:multiLevelType w:val="multilevel"/>
    <w:tmpl w:val="30403C3F"/>
    <w:lvl w:ilvl="0" w:tentative="0">
      <w:start w:val="1"/>
      <w:numFmt w:val="bullet"/>
      <w:lvlText w:val=""/>
      <w:lvlJc w:val="left"/>
      <w:pPr>
        <w:ind w:left="1271" w:hanging="420"/>
      </w:pPr>
      <w:rPr>
        <w:rFonts w:hint="default" w:ascii="Wingdings" w:hAnsi="Wingdings"/>
      </w:rPr>
    </w:lvl>
    <w:lvl w:ilvl="1" w:tentative="0">
      <w:start w:val="1"/>
      <w:numFmt w:val="bullet"/>
      <w:lvlText w:val=""/>
      <w:lvlJc w:val="left"/>
      <w:pPr>
        <w:ind w:left="1691" w:hanging="420"/>
      </w:pPr>
      <w:rPr>
        <w:rFonts w:hint="default" w:ascii="Wingdings" w:hAnsi="Wingdings"/>
      </w:rPr>
    </w:lvl>
    <w:lvl w:ilvl="2" w:tentative="0">
      <w:start w:val="1"/>
      <w:numFmt w:val="bullet"/>
      <w:lvlText w:val=""/>
      <w:lvlJc w:val="left"/>
      <w:pPr>
        <w:ind w:left="2111" w:hanging="420"/>
      </w:pPr>
      <w:rPr>
        <w:rFonts w:hint="default" w:ascii="Wingdings" w:hAnsi="Wingdings"/>
      </w:rPr>
    </w:lvl>
    <w:lvl w:ilvl="3" w:tentative="0">
      <w:start w:val="1"/>
      <w:numFmt w:val="bullet"/>
      <w:lvlText w:val=""/>
      <w:lvlJc w:val="left"/>
      <w:pPr>
        <w:ind w:left="2531" w:hanging="420"/>
      </w:pPr>
      <w:rPr>
        <w:rFonts w:hint="default" w:ascii="Wingdings" w:hAnsi="Wingdings"/>
      </w:rPr>
    </w:lvl>
    <w:lvl w:ilvl="4" w:tentative="0">
      <w:start w:val="1"/>
      <w:numFmt w:val="bullet"/>
      <w:lvlText w:val=""/>
      <w:lvlJc w:val="left"/>
      <w:pPr>
        <w:ind w:left="2951" w:hanging="420"/>
      </w:pPr>
      <w:rPr>
        <w:rFonts w:hint="default" w:ascii="Wingdings" w:hAnsi="Wingdings"/>
      </w:rPr>
    </w:lvl>
    <w:lvl w:ilvl="5" w:tentative="0">
      <w:start w:val="1"/>
      <w:numFmt w:val="bullet"/>
      <w:lvlText w:val=""/>
      <w:lvlJc w:val="left"/>
      <w:pPr>
        <w:ind w:left="3371" w:hanging="420"/>
      </w:pPr>
      <w:rPr>
        <w:rFonts w:hint="default" w:ascii="Wingdings" w:hAnsi="Wingdings"/>
      </w:rPr>
    </w:lvl>
    <w:lvl w:ilvl="6" w:tentative="0">
      <w:start w:val="1"/>
      <w:numFmt w:val="bullet"/>
      <w:lvlText w:val=""/>
      <w:lvlJc w:val="left"/>
      <w:pPr>
        <w:ind w:left="3791" w:hanging="420"/>
      </w:pPr>
      <w:rPr>
        <w:rFonts w:hint="default" w:ascii="Wingdings" w:hAnsi="Wingdings"/>
      </w:rPr>
    </w:lvl>
    <w:lvl w:ilvl="7" w:tentative="0">
      <w:start w:val="1"/>
      <w:numFmt w:val="bullet"/>
      <w:lvlText w:val=""/>
      <w:lvlJc w:val="left"/>
      <w:pPr>
        <w:ind w:left="4211" w:hanging="420"/>
      </w:pPr>
      <w:rPr>
        <w:rFonts w:hint="default" w:ascii="Wingdings" w:hAnsi="Wingdings"/>
      </w:rPr>
    </w:lvl>
    <w:lvl w:ilvl="8" w:tentative="0">
      <w:start w:val="1"/>
      <w:numFmt w:val="bullet"/>
      <w:lvlText w:val=""/>
      <w:lvlJc w:val="left"/>
      <w:pPr>
        <w:ind w:left="4631" w:hanging="420"/>
      </w:pPr>
      <w:rPr>
        <w:rFonts w:hint="default" w:ascii="Wingdings" w:hAnsi="Wingdings"/>
      </w:rPr>
    </w:lvl>
  </w:abstractNum>
  <w:abstractNum w:abstractNumId="28">
    <w:nsid w:val="3150083C"/>
    <w:multiLevelType w:val="multilevel"/>
    <w:tmpl w:val="3150083C"/>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5AD14288"/>
    <w:multiLevelType w:val="multilevel"/>
    <w:tmpl w:val="5AD14288"/>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5E570786"/>
    <w:multiLevelType w:val="multilevel"/>
    <w:tmpl w:val="5E570786"/>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6BA44C00"/>
    <w:multiLevelType w:val="multilevel"/>
    <w:tmpl w:val="6BA44C00"/>
    <w:lvl w:ilvl="0" w:tentative="0">
      <w:start w:val="1"/>
      <w:numFmt w:val="decimal"/>
      <w:lvlText w:val="%1"/>
      <w:lvlJc w:val="left"/>
      <w:pPr>
        <w:ind w:left="1095"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2">
    <w:nsid w:val="6CBB1D4A"/>
    <w:multiLevelType w:val="multilevel"/>
    <w:tmpl w:val="6CBB1D4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3">
    <w:nsid w:val="7C977F5F"/>
    <w:multiLevelType w:val="multilevel"/>
    <w:tmpl w:val="7C977F5F"/>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1"/>
  </w:num>
  <w:num w:numId="2">
    <w:abstractNumId w:val="5"/>
  </w:num>
  <w:num w:numId="3">
    <w:abstractNumId w:val="12"/>
  </w:num>
  <w:num w:numId="4">
    <w:abstractNumId w:val="4"/>
  </w:num>
  <w:num w:numId="5">
    <w:abstractNumId w:val="33"/>
  </w:num>
  <w:num w:numId="6">
    <w:abstractNumId w:val="24"/>
  </w:num>
  <w:num w:numId="7">
    <w:abstractNumId w:val="16"/>
  </w:num>
  <w:num w:numId="8">
    <w:abstractNumId w:val="29"/>
  </w:num>
  <w:num w:numId="9">
    <w:abstractNumId w:val="32"/>
  </w:num>
  <w:num w:numId="10">
    <w:abstractNumId w:val="3"/>
  </w:num>
  <w:num w:numId="11">
    <w:abstractNumId w:val="1"/>
  </w:num>
  <w:num w:numId="12">
    <w:abstractNumId w:val="17"/>
  </w:num>
  <w:num w:numId="13">
    <w:abstractNumId w:val="9"/>
  </w:num>
  <w:num w:numId="14">
    <w:abstractNumId w:val="27"/>
  </w:num>
  <w:num w:numId="15">
    <w:abstractNumId w:val="6"/>
  </w:num>
  <w:num w:numId="16">
    <w:abstractNumId w:val="18"/>
  </w:num>
  <w:num w:numId="17">
    <w:abstractNumId w:val="8"/>
  </w:num>
  <w:num w:numId="18">
    <w:abstractNumId w:val="22"/>
  </w:num>
  <w:num w:numId="19">
    <w:abstractNumId w:val="30"/>
  </w:num>
  <w:num w:numId="20">
    <w:abstractNumId w:val="0"/>
  </w:num>
  <w:num w:numId="21">
    <w:abstractNumId w:val="28"/>
  </w:num>
  <w:num w:numId="22">
    <w:abstractNumId w:val="2"/>
  </w:num>
  <w:num w:numId="23">
    <w:abstractNumId w:val="20"/>
  </w:num>
  <w:num w:numId="24">
    <w:abstractNumId w:val="19"/>
  </w:num>
  <w:num w:numId="25">
    <w:abstractNumId w:val="26"/>
  </w:num>
  <w:num w:numId="26">
    <w:abstractNumId w:val="31"/>
  </w:num>
  <w:num w:numId="27">
    <w:abstractNumId w:val="23"/>
  </w:num>
  <w:num w:numId="28">
    <w:abstractNumId w:val="15"/>
  </w:num>
  <w:num w:numId="29">
    <w:abstractNumId w:val="13"/>
  </w:num>
  <w:num w:numId="30">
    <w:abstractNumId w:val="14"/>
  </w:num>
  <w:num w:numId="31">
    <w:abstractNumId w:val="7"/>
  </w:num>
  <w:num w:numId="32">
    <w:abstractNumId w:val="21"/>
  </w:num>
  <w:num w:numId="33">
    <w:abstractNumId w:val="10"/>
  </w:num>
  <w:num w:numId="3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mirrorMargins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664"/>
    <w:rsid w:val="00002D6F"/>
    <w:rsid w:val="00004BAB"/>
    <w:rsid w:val="00005443"/>
    <w:rsid w:val="00005789"/>
    <w:rsid w:val="00005BA7"/>
    <w:rsid w:val="00006E38"/>
    <w:rsid w:val="00006F6A"/>
    <w:rsid w:val="00007757"/>
    <w:rsid w:val="00007CEB"/>
    <w:rsid w:val="000134DD"/>
    <w:rsid w:val="00013963"/>
    <w:rsid w:val="00015593"/>
    <w:rsid w:val="0001660C"/>
    <w:rsid w:val="00020328"/>
    <w:rsid w:val="00020C32"/>
    <w:rsid w:val="00021565"/>
    <w:rsid w:val="00021EA8"/>
    <w:rsid w:val="0002294D"/>
    <w:rsid w:val="00023CDF"/>
    <w:rsid w:val="0002776E"/>
    <w:rsid w:val="00030D4F"/>
    <w:rsid w:val="00031163"/>
    <w:rsid w:val="000312D3"/>
    <w:rsid w:val="00035802"/>
    <w:rsid w:val="00047652"/>
    <w:rsid w:val="00051032"/>
    <w:rsid w:val="00052758"/>
    <w:rsid w:val="00053AE9"/>
    <w:rsid w:val="000546C0"/>
    <w:rsid w:val="00056D2D"/>
    <w:rsid w:val="0006190F"/>
    <w:rsid w:val="0006201F"/>
    <w:rsid w:val="00065C83"/>
    <w:rsid w:val="00066A75"/>
    <w:rsid w:val="00066E6E"/>
    <w:rsid w:val="00067E48"/>
    <w:rsid w:val="00067F92"/>
    <w:rsid w:val="00070D11"/>
    <w:rsid w:val="000713EE"/>
    <w:rsid w:val="00071735"/>
    <w:rsid w:val="00072733"/>
    <w:rsid w:val="00072D43"/>
    <w:rsid w:val="00073216"/>
    <w:rsid w:val="0007336E"/>
    <w:rsid w:val="0007419F"/>
    <w:rsid w:val="000756E2"/>
    <w:rsid w:val="0007710C"/>
    <w:rsid w:val="00080CCA"/>
    <w:rsid w:val="00080FC5"/>
    <w:rsid w:val="00084245"/>
    <w:rsid w:val="00086D7B"/>
    <w:rsid w:val="00092B5B"/>
    <w:rsid w:val="00093410"/>
    <w:rsid w:val="00093B5D"/>
    <w:rsid w:val="000951F4"/>
    <w:rsid w:val="0009592E"/>
    <w:rsid w:val="000A03A7"/>
    <w:rsid w:val="000A15F6"/>
    <w:rsid w:val="000A4878"/>
    <w:rsid w:val="000A5763"/>
    <w:rsid w:val="000B070F"/>
    <w:rsid w:val="000B490E"/>
    <w:rsid w:val="000B535D"/>
    <w:rsid w:val="000B5E04"/>
    <w:rsid w:val="000B74F0"/>
    <w:rsid w:val="000C109A"/>
    <w:rsid w:val="000C1AF2"/>
    <w:rsid w:val="000C5F77"/>
    <w:rsid w:val="000C75EE"/>
    <w:rsid w:val="000C79BA"/>
    <w:rsid w:val="000D0B9C"/>
    <w:rsid w:val="000D1689"/>
    <w:rsid w:val="000D23E9"/>
    <w:rsid w:val="000D2ACA"/>
    <w:rsid w:val="000D4574"/>
    <w:rsid w:val="000D496D"/>
    <w:rsid w:val="000E1E8B"/>
    <w:rsid w:val="000E51F2"/>
    <w:rsid w:val="000E6915"/>
    <w:rsid w:val="000E6A0D"/>
    <w:rsid w:val="000E7BFA"/>
    <w:rsid w:val="000F31A4"/>
    <w:rsid w:val="000F4607"/>
    <w:rsid w:val="000F4BF8"/>
    <w:rsid w:val="000F4D27"/>
    <w:rsid w:val="000F5EF4"/>
    <w:rsid w:val="000F6F9F"/>
    <w:rsid w:val="00100449"/>
    <w:rsid w:val="00101AF6"/>
    <w:rsid w:val="00102505"/>
    <w:rsid w:val="001037B1"/>
    <w:rsid w:val="001055D1"/>
    <w:rsid w:val="001062E5"/>
    <w:rsid w:val="00106EC3"/>
    <w:rsid w:val="00107CD8"/>
    <w:rsid w:val="001129ED"/>
    <w:rsid w:val="00113B93"/>
    <w:rsid w:val="00114762"/>
    <w:rsid w:val="00114969"/>
    <w:rsid w:val="001169AB"/>
    <w:rsid w:val="00116E1F"/>
    <w:rsid w:val="001173BF"/>
    <w:rsid w:val="00120D5E"/>
    <w:rsid w:val="0012539F"/>
    <w:rsid w:val="001306A5"/>
    <w:rsid w:val="00130871"/>
    <w:rsid w:val="00130F29"/>
    <w:rsid w:val="001330BB"/>
    <w:rsid w:val="001338E7"/>
    <w:rsid w:val="00140CF7"/>
    <w:rsid w:val="001448C3"/>
    <w:rsid w:val="00145200"/>
    <w:rsid w:val="00146DA3"/>
    <w:rsid w:val="0015043D"/>
    <w:rsid w:val="00150B2F"/>
    <w:rsid w:val="00151B5D"/>
    <w:rsid w:val="00153321"/>
    <w:rsid w:val="001546EA"/>
    <w:rsid w:val="001579BA"/>
    <w:rsid w:val="00161EFF"/>
    <w:rsid w:val="00162B6E"/>
    <w:rsid w:val="0016596F"/>
    <w:rsid w:val="001659B1"/>
    <w:rsid w:val="00166618"/>
    <w:rsid w:val="00167746"/>
    <w:rsid w:val="00167EF4"/>
    <w:rsid w:val="0017102F"/>
    <w:rsid w:val="0017226B"/>
    <w:rsid w:val="00172EF0"/>
    <w:rsid w:val="00173849"/>
    <w:rsid w:val="00176E0B"/>
    <w:rsid w:val="001801AD"/>
    <w:rsid w:val="001820BF"/>
    <w:rsid w:val="00182CB7"/>
    <w:rsid w:val="001838D0"/>
    <w:rsid w:val="00185DAB"/>
    <w:rsid w:val="00186EDF"/>
    <w:rsid w:val="00190E9E"/>
    <w:rsid w:val="00192076"/>
    <w:rsid w:val="001922B6"/>
    <w:rsid w:val="001A0578"/>
    <w:rsid w:val="001A0B13"/>
    <w:rsid w:val="001A0CAD"/>
    <w:rsid w:val="001A151E"/>
    <w:rsid w:val="001A29AE"/>
    <w:rsid w:val="001A5272"/>
    <w:rsid w:val="001A5598"/>
    <w:rsid w:val="001A570B"/>
    <w:rsid w:val="001A5953"/>
    <w:rsid w:val="001A5D46"/>
    <w:rsid w:val="001A6233"/>
    <w:rsid w:val="001A7B7F"/>
    <w:rsid w:val="001B1EC1"/>
    <w:rsid w:val="001B2C9A"/>
    <w:rsid w:val="001B3016"/>
    <w:rsid w:val="001C0860"/>
    <w:rsid w:val="001C1E5F"/>
    <w:rsid w:val="001C2218"/>
    <w:rsid w:val="001C281F"/>
    <w:rsid w:val="001C4119"/>
    <w:rsid w:val="001C4974"/>
    <w:rsid w:val="001C4B40"/>
    <w:rsid w:val="001C510C"/>
    <w:rsid w:val="001C6107"/>
    <w:rsid w:val="001D7660"/>
    <w:rsid w:val="001E1009"/>
    <w:rsid w:val="001E1CF9"/>
    <w:rsid w:val="001E4D5C"/>
    <w:rsid w:val="001E50CD"/>
    <w:rsid w:val="001E5542"/>
    <w:rsid w:val="001E5D9E"/>
    <w:rsid w:val="001E5E30"/>
    <w:rsid w:val="001F0EF1"/>
    <w:rsid w:val="001F1E4D"/>
    <w:rsid w:val="001F5EDC"/>
    <w:rsid w:val="00200441"/>
    <w:rsid w:val="00205B6E"/>
    <w:rsid w:val="00210B74"/>
    <w:rsid w:val="00216993"/>
    <w:rsid w:val="002215A5"/>
    <w:rsid w:val="002222CC"/>
    <w:rsid w:val="0022348A"/>
    <w:rsid w:val="00226AE0"/>
    <w:rsid w:val="00226D3D"/>
    <w:rsid w:val="00227298"/>
    <w:rsid w:val="002303AE"/>
    <w:rsid w:val="00232512"/>
    <w:rsid w:val="00232CC3"/>
    <w:rsid w:val="00233441"/>
    <w:rsid w:val="0023686B"/>
    <w:rsid w:val="00237611"/>
    <w:rsid w:val="002376D8"/>
    <w:rsid w:val="0024188A"/>
    <w:rsid w:val="0024291D"/>
    <w:rsid w:val="00245F23"/>
    <w:rsid w:val="00247866"/>
    <w:rsid w:val="0025461F"/>
    <w:rsid w:val="002550C0"/>
    <w:rsid w:val="00255E9A"/>
    <w:rsid w:val="00255F08"/>
    <w:rsid w:val="002567B1"/>
    <w:rsid w:val="00256B22"/>
    <w:rsid w:val="00257797"/>
    <w:rsid w:val="00257BE8"/>
    <w:rsid w:val="00260B59"/>
    <w:rsid w:val="002620DE"/>
    <w:rsid w:val="00262A40"/>
    <w:rsid w:val="002644C0"/>
    <w:rsid w:val="00264644"/>
    <w:rsid w:val="00264926"/>
    <w:rsid w:val="00264C7B"/>
    <w:rsid w:val="002657FD"/>
    <w:rsid w:val="00266008"/>
    <w:rsid w:val="0027008F"/>
    <w:rsid w:val="00280D0A"/>
    <w:rsid w:val="002820E8"/>
    <w:rsid w:val="00283247"/>
    <w:rsid w:val="00284AE3"/>
    <w:rsid w:val="002873FA"/>
    <w:rsid w:val="002877BA"/>
    <w:rsid w:val="0028787C"/>
    <w:rsid w:val="002907E5"/>
    <w:rsid w:val="0029232D"/>
    <w:rsid w:val="00292D9B"/>
    <w:rsid w:val="002932BC"/>
    <w:rsid w:val="00294476"/>
    <w:rsid w:val="002970FA"/>
    <w:rsid w:val="002A11B2"/>
    <w:rsid w:val="002A2E05"/>
    <w:rsid w:val="002A32A4"/>
    <w:rsid w:val="002A4834"/>
    <w:rsid w:val="002A4DB2"/>
    <w:rsid w:val="002A6F3B"/>
    <w:rsid w:val="002B18AC"/>
    <w:rsid w:val="002B28A3"/>
    <w:rsid w:val="002B2FCE"/>
    <w:rsid w:val="002B3746"/>
    <w:rsid w:val="002B5D55"/>
    <w:rsid w:val="002B5FCD"/>
    <w:rsid w:val="002B7078"/>
    <w:rsid w:val="002B7A79"/>
    <w:rsid w:val="002B7EB8"/>
    <w:rsid w:val="002C1728"/>
    <w:rsid w:val="002C40E8"/>
    <w:rsid w:val="002D2112"/>
    <w:rsid w:val="002D2656"/>
    <w:rsid w:val="002D28DA"/>
    <w:rsid w:val="002D4427"/>
    <w:rsid w:val="002D4634"/>
    <w:rsid w:val="002D62E4"/>
    <w:rsid w:val="002D7997"/>
    <w:rsid w:val="002D7DA5"/>
    <w:rsid w:val="002E7198"/>
    <w:rsid w:val="002E783D"/>
    <w:rsid w:val="002F0497"/>
    <w:rsid w:val="002F2AB6"/>
    <w:rsid w:val="002F4905"/>
    <w:rsid w:val="002F76F9"/>
    <w:rsid w:val="002F7A46"/>
    <w:rsid w:val="00301742"/>
    <w:rsid w:val="00303090"/>
    <w:rsid w:val="00303AEA"/>
    <w:rsid w:val="00304000"/>
    <w:rsid w:val="00304AE0"/>
    <w:rsid w:val="0030500E"/>
    <w:rsid w:val="00305607"/>
    <w:rsid w:val="00305637"/>
    <w:rsid w:val="00305752"/>
    <w:rsid w:val="003057DE"/>
    <w:rsid w:val="00306413"/>
    <w:rsid w:val="00307CBB"/>
    <w:rsid w:val="00311ECB"/>
    <w:rsid w:val="003159D1"/>
    <w:rsid w:val="00317C84"/>
    <w:rsid w:val="003226D9"/>
    <w:rsid w:val="003235C8"/>
    <w:rsid w:val="00323A8F"/>
    <w:rsid w:val="00326270"/>
    <w:rsid w:val="003305BA"/>
    <w:rsid w:val="00331DDE"/>
    <w:rsid w:val="00335545"/>
    <w:rsid w:val="00337907"/>
    <w:rsid w:val="003418F1"/>
    <w:rsid w:val="00343961"/>
    <w:rsid w:val="003441B0"/>
    <w:rsid w:val="003441BB"/>
    <w:rsid w:val="00344EF9"/>
    <w:rsid w:val="00345A40"/>
    <w:rsid w:val="00346E64"/>
    <w:rsid w:val="00351764"/>
    <w:rsid w:val="0035397D"/>
    <w:rsid w:val="00353FD1"/>
    <w:rsid w:val="003563C8"/>
    <w:rsid w:val="00356459"/>
    <w:rsid w:val="00362E5F"/>
    <w:rsid w:val="0036434D"/>
    <w:rsid w:val="00365D65"/>
    <w:rsid w:val="0036647D"/>
    <w:rsid w:val="00372A0E"/>
    <w:rsid w:val="003738C9"/>
    <w:rsid w:val="00373B1E"/>
    <w:rsid w:val="0037536B"/>
    <w:rsid w:val="0038175C"/>
    <w:rsid w:val="00381C0E"/>
    <w:rsid w:val="003853BC"/>
    <w:rsid w:val="003873F1"/>
    <w:rsid w:val="00387855"/>
    <w:rsid w:val="00390BE1"/>
    <w:rsid w:val="00391911"/>
    <w:rsid w:val="00396B8A"/>
    <w:rsid w:val="003A3368"/>
    <w:rsid w:val="003A5B98"/>
    <w:rsid w:val="003A73CF"/>
    <w:rsid w:val="003A7FCF"/>
    <w:rsid w:val="003B1D1C"/>
    <w:rsid w:val="003B2916"/>
    <w:rsid w:val="003B3E7F"/>
    <w:rsid w:val="003B4EB2"/>
    <w:rsid w:val="003B5308"/>
    <w:rsid w:val="003B7360"/>
    <w:rsid w:val="003C64F9"/>
    <w:rsid w:val="003C690D"/>
    <w:rsid w:val="003D1550"/>
    <w:rsid w:val="003D2518"/>
    <w:rsid w:val="003D28CE"/>
    <w:rsid w:val="003D3DD9"/>
    <w:rsid w:val="003D5C33"/>
    <w:rsid w:val="003E07AC"/>
    <w:rsid w:val="003E3CDC"/>
    <w:rsid w:val="003E5AE1"/>
    <w:rsid w:val="003E695D"/>
    <w:rsid w:val="003F162A"/>
    <w:rsid w:val="003F1AD6"/>
    <w:rsid w:val="003F3F5D"/>
    <w:rsid w:val="003F66A9"/>
    <w:rsid w:val="003F694B"/>
    <w:rsid w:val="003F7AB9"/>
    <w:rsid w:val="004004BB"/>
    <w:rsid w:val="00402E90"/>
    <w:rsid w:val="00404477"/>
    <w:rsid w:val="00406385"/>
    <w:rsid w:val="00406D26"/>
    <w:rsid w:val="0041081E"/>
    <w:rsid w:val="00410F16"/>
    <w:rsid w:val="00417F03"/>
    <w:rsid w:val="004214CC"/>
    <w:rsid w:val="00421A25"/>
    <w:rsid w:val="00421E29"/>
    <w:rsid w:val="004230C7"/>
    <w:rsid w:val="0042352E"/>
    <w:rsid w:val="004239AE"/>
    <w:rsid w:val="0043015D"/>
    <w:rsid w:val="00431A61"/>
    <w:rsid w:val="00435A5D"/>
    <w:rsid w:val="0043602D"/>
    <w:rsid w:val="00436F55"/>
    <w:rsid w:val="00437053"/>
    <w:rsid w:val="00437814"/>
    <w:rsid w:val="00442E22"/>
    <w:rsid w:val="00444787"/>
    <w:rsid w:val="00444931"/>
    <w:rsid w:val="00446B62"/>
    <w:rsid w:val="004471CF"/>
    <w:rsid w:val="004526E6"/>
    <w:rsid w:val="00454718"/>
    <w:rsid w:val="00461982"/>
    <w:rsid w:val="00461E0F"/>
    <w:rsid w:val="00462C37"/>
    <w:rsid w:val="00462DC1"/>
    <w:rsid w:val="00463088"/>
    <w:rsid w:val="00463BB4"/>
    <w:rsid w:val="00467853"/>
    <w:rsid w:val="00467A71"/>
    <w:rsid w:val="004706FD"/>
    <w:rsid w:val="00471963"/>
    <w:rsid w:val="00471A96"/>
    <w:rsid w:val="004736A7"/>
    <w:rsid w:val="004739F1"/>
    <w:rsid w:val="00474F0D"/>
    <w:rsid w:val="004752C6"/>
    <w:rsid w:val="00475D05"/>
    <w:rsid w:val="004772D2"/>
    <w:rsid w:val="0048066F"/>
    <w:rsid w:val="00481C51"/>
    <w:rsid w:val="0048389A"/>
    <w:rsid w:val="00483BC0"/>
    <w:rsid w:val="004842ED"/>
    <w:rsid w:val="0048669D"/>
    <w:rsid w:val="004869B4"/>
    <w:rsid w:val="004875E0"/>
    <w:rsid w:val="00491623"/>
    <w:rsid w:val="004917AE"/>
    <w:rsid w:val="0049626C"/>
    <w:rsid w:val="004968DF"/>
    <w:rsid w:val="004A20B2"/>
    <w:rsid w:val="004A3219"/>
    <w:rsid w:val="004A3928"/>
    <w:rsid w:val="004A4C4E"/>
    <w:rsid w:val="004A5DBA"/>
    <w:rsid w:val="004A5FD2"/>
    <w:rsid w:val="004A6978"/>
    <w:rsid w:val="004A749A"/>
    <w:rsid w:val="004B0005"/>
    <w:rsid w:val="004B242F"/>
    <w:rsid w:val="004B2D3E"/>
    <w:rsid w:val="004B573E"/>
    <w:rsid w:val="004B7233"/>
    <w:rsid w:val="004B76DC"/>
    <w:rsid w:val="004C129C"/>
    <w:rsid w:val="004C3C58"/>
    <w:rsid w:val="004C5ACB"/>
    <w:rsid w:val="004C6771"/>
    <w:rsid w:val="004C7D7C"/>
    <w:rsid w:val="004D2482"/>
    <w:rsid w:val="004D4032"/>
    <w:rsid w:val="004D4532"/>
    <w:rsid w:val="004D5265"/>
    <w:rsid w:val="004D5831"/>
    <w:rsid w:val="004E2039"/>
    <w:rsid w:val="004E39FE"/>
    <w:rsid w:val="004E5CC0"/>
    <w:rsid w:val="004F75C7"/>
    <w:rsid w:val="00500C2F"/>
    <w:rsid w:val="00500CBF"/>
    <w:rsid w:val="00501704"/>
    <w:rsid w:val="005017D2"/>
    <w:rsid w:val="00501DB8"/>
    <w:rsid w:val="005022BB"/>
    <w:rsid w:val="005074ED"/>
    <w:rsid w:val="005077AE"/>
    <w:rsid w:val="0050797F"/>
    <w:rsid w:val="0051452C"/>
    <w:rsid w:val="00516F5C"/>
    <w:rsid w:val="0052092B"/>
    <w:rsid w:val="00522BA1"/>
    <w:rsid w:val="00524A5D"/>
    <w:rsid w:val="00530E31"/>
    <w:rsid w:val="005318EB"/>
    <w:rsid w:val="005323C7"/>
    <w:rsid w:val="00544E1C"/>
    <w:rsid w:val="005451BD"/>
    <w:rsid w:val="0054580E"/>
    <w:rsid w:val="00545821"/>
    <w:rsid w:val="00546420"/>
    <w:rsid w:val="00547CFB"/>
    <w:rsid w:val="00547E75"/>
    <w:rsid w:val="005502BF"/>
    <w:rsid w:val="00550846"/>
    <w:rsid w:val="00550ED2"/>
    <w:rsid w:val="0055291F"/>
    <w:rsid w:val="005532DD"/>
    <w:rsid w:val="005543FA"/>
    <w:rsid w:val="00555025"/>
    <w:rsid w:val="00555EAE"/>
    <w:rsid w:val="0055703B"/>
    <w:rsid w:val="005573DB"/>
    <w:rsid w:val="00557418"/>
    <w:rsid w:val="0056060F"/>
    <w:rsid w:val="0056175F"/>
    <w:rsid w:val="00561E4A"/>
    <w:rsid w:val="00562CCD"/>
    <w:rsid w:val="00566D12"/>
    <w:rsid w:val="005676EC"/>
    <w:rsid w:val="00570AEE"/>
    <w:rsid w:val="0057374A"/>
    <w:rsid w:val="00574267"/>
    <w:rsid w:val="005766BF"/>
    <w:rsid w:val="0057679D"/>
    <w:rsid w:val="00576EF5"/>
    <w:rsid w:val="005770EF"/>
    <w:rsid w:val="0058132C"/>
    <w:rsid w:val="00586E3F"/>
    <w:rsid w:val="00591B07"/>
    <w:rsid w:val="00592CD0"/>
    <w:rsid w:val="00593CC7"/>
    <w:rsid w:val="005941DF"/>
    <w:rsid w:val="005952EE"/>
    <w:rsid w:val="00595CFB"/>
    <w:rsid w:val="0059774F"/>
    <w:rsid w:val="00597C35"/>
    <w:rsid w:val="00597EA6"/>
    <w:rsid w:val="005A1E63"/>
    <w:rsid w:val="005A39EC"/>
    <w:rsid w:val="005A5671"/>
    <w:rsid w:val="005B0E3E"/>
    <w:rsid w:val="005B34F8"/>
    <w:rsid w:val="005B3DFA"/>
    <w:rsid w:val="005B4A28"/>
    <w:rsid w:val="005B7960"/>
    <w:rsid w:val="005C23E5"/>
    <w:rsid w:val="005C2548"/>
    <w:rsid w:val="005D05B0"/>
    <w:rsid w:val="005D0731"/>
    <w:rsid w:val="005D0844"/>
    <w:rsid w:val="005D0C9A"/>
    <w:rsid w:val="005D149B"/>
    <w:rsid w:val="005D296F"/>
    <w:rsid w:val="005D305F"/>
    <w:rsid w:val="005D35A7"/>
    <w:rsid w:val="005D382F"/>
    <w:rsid w:val="005E0CFB"/>
    <w:rsid w:val="005E0DBF"/>
    <w:rsid w:val="005E1ED7"/>
    <w:rsid w:val="005E2B79"/>
    <w:rsid w:val="005E2F69"/>
    <w:rsid w:val="005E33CE"/>
    <w:rsid w:val="005E40D9"/>
    <w:rsid w:val="005E673B"/>
    <w:rsid w:val="005E7153"/>
    <w:rsid w:val="005E7D4F"/>
    <w:rsid w:val="005F0391"/>
    <w:rsid w:val="005F3B21"/>
    <w:rsid w:val="005F3B46"/>
    <w:rsid w:val="006001DF"/>
    <w:rsid w:val="0060075A"/>
    <w:rsid w:val="00601C19"/>
    <w:rsid w:val="006029D1"/>
    <w:rsid w:val="00602D07"/>
    <w:rsid w:val="00606FCF"/>
    <w:rsid w:val="00607B5A"/>
    <w:rsid w:val="006117A9"/>
    <w:rsid w:val="00611D35"/>
    <w:rsid w:val="00614137"/>
    <w:rsid w:val="006159DE"/>
    <w:rsid w:val="006251B2"/>
    <w:rsid w:val="006256E5"/>
    <w:rsid w:val="00627B71"/>
    <w:rsid w:val="00627D27"/>
    <w:rsid w:val="00630390"/>
    <w:rsid w:val="00631008"/>
    <w:rsid w:val="00631265"/>
    <w:rsid w:val="00631C6E"/>
    <w:rsid w:val="0063772D"/>
    <w:rsid w:val="00642CA8"/>
    <w:rsid w:val="006430B5"/>
    <w:rsid w:val="00646968"/>
    <w:rsid w:val="00646EAA"/>
    <w:rsid w:val="00651233"/>
    <w:rsid w:val="006530D4"/>
    <w:rsid w:val="006556AF"/>
    <w:rsid w:val="00655F6F"/>
    <w:rsid w:val="006568F7"/>
    <w:rsid w:val="0065764F"/>
    <w:rsid w:val="00664BC0"/>
    <w:rsid w:val="0066566D"/>
    <w:rsid w:val="006676B6"/>
    <w:rsid w:val="006710F5"/>
    <w:rsid w:val="0067159B"/>
    <w:rsid w:val="00672517"/>
    <w:rsid w:val="00673550"/>
    <w:rsid w:val="00674F11"/>
    <w:rsid w:val="006839ED"/>
    <w:rsid w:val="00683BF3"/>
    <w:rsid w:val="00687817"/>
    <w:rsid w:val="006906FC"/>
    <w:rsid w:val="006919F6"/>
    <w:rsid w:val="006A18D4"/>
    <w:rsid w:val="006A236F"/>
    <w:rsid w:val="006A2B67"/>
    <w:rsid w:val="006A4436"/>
    <w:rsid w:val="006A57EC"/>
    <w:rsid w:val="006A6C14"/>
    <w:rsid w:val="006B007C"/>
    <w:rsid w:val="006B0D1A"/>
    <w:rsid w:val="006B5AEF"/>
    <w:rsid w:val="006B6792"/>
    <w:rsid w:val="006B6D59"/>
    <w:rsid w:val="006C48F0"/>
    <w:rsid w:val="006C4E73"/>
    <w:rsid w:val="006C518A"/>
    <w:rsid w:val="006C6A31"/>
    <w:rsid w:val="006D249C"/>
    <w:rsid w:val="006D2FF6"/>
    <w:rsid w:val="006D59BC"/>
    <w:rsid w:val="006D629E"/>
    <w:rsid w:val="006D7CAD"/>
    <w:rsid w:val="006D7E11"/>
    <w:rsid w:val="006E0642"/>
    <w:rsid w:val="006E09F1"/>
    <w:rsid w:val="006E1711"/>
    <w:rsid w:val="006E2DBE"/>
    <w:rsid w:val="006E4437"/>
    <w:rsid w:val="006E4D12"/>
    <w:rsid w:val="006E5038"/>
    <w:rsid w:val="006E5A38"/>
    <w:rsid w:val="006E63B2"/>
    <w:rsid w:val="006E7CD5"/>
    <w:rsid w:val="006F1E0E"/>
    <w:rsid w:val="006F1F2F"/>
    <w:rsid w:val="006F3445"/>
    <w:rsid w:val="006F63E6"/>
    <w:rsid w:val="00700B0D"/>
    <w:rsid w:val="00702808"/>
    <w:rsid w:val="00705F33"/>
    <w:rsid w:val="00707E53"/>
    <w:rsid w:val="00710D15"/>
    <w:rsid w:val="00710F10"/>
    <w:rsid w:val="00711853"/>
    <w:rsid w:val="00711996"/>
    <w:rsid w:val="00712E8C"/>
    <w:rsid w:val="007135BE"/>
    <w:rsid w:val="00713EC9"/>
    <w:rsid w:val="00714B21"/>
    <w:rsid w:val="00717847"/>
    <w:rsid w:val="00722290"/>
    <w:rsid w:val="00722ED7"/>
    <w:rsid w:val="0072302B"/>
    <w:rsid w:val="007254B8"/>
    <w:rsid w:val="00725B7E"/>
    <w:rsid w:val="00731A39"/>
    <w:rsid w:val="0073248B"/>
    <w:rsid w:val="0073316A"/>
    <w:rsid w:val="00733F1C"/>
    <w:rsid w:val="0073441B"/>
    <w:rsid w:val="00734DD9"/>
    <w:rsid w:val="00736DBE"/>
    <w:rsid w:val="00737166"/>
    <w:rsid w:val="007377CC"/>
    <w:rsid w:val="0074158D"/>
    <w:rsid w:val="00743907"/>
    <w:rsid w:val="00744494"/>
    <w:rsid w:val="00745853"/>
    <w:rsid w:val="00745D9C"/>
    <w:rsid w:val="007504F9"/>
    <w:rsid w:val="0075315E"/>
    <w:rsid w:val="00755F88"/>
    <w:rsid w:val="00756758"/>
    <w:rsid w:val="007614F9"/>
    <w:rsid w:val="00761D83"/>
    <w:rsid w:val="00764AA8"/>
    <w:rsid w:val="00764BEA"/>
    <w:rsid w:val="00764CDE"/>
    <w:rsid w:val="007662D1"/>
    <w:rsid w:val="0076639C"/>
    <w:rsid w:val="00770F18"/>
    <w:rsid w:val="007710AF"/>
    <w:rsid w:val="00771315"/>
    <w:rsid w:val="0077134C"/>
    <w:rsid w:val="0077239C"/>
    <w:rsid w:val="0077276D"/>
    <w:rsid w:val="0077490D"/>
    <w:rsid w:val="00775AE2"/>
    <w:rsid w:val="0077678D"/>
    <w:rsid w:val="00776DC1"/>
    <w:rsid w:val="007902DB"/>
    <w:rsid w:val="00793210"/>
    <w:rsid w:val="00794D61"/>
    <w:rsid w:val="007952B5"/>
    <w:rsid w:val="00796FC2"/>
    <w:rsid w:val="007978E3"/>
    <w:rsid w:val="00797CBB"/>
    <w:rsid w:val="00797F83"/>
    <w:rsid w:val="007A2E52"/>
    <w:rsid w:val="007A4D9D"/>
    <w:rsid w:val="007A4DE1"/>
    <w:rsid w:val="007A5A3C"/>
    <w:rsid w:val="007A662B"/>
    <w:rsid w:val="007A75A0"/>
    <w:rsid w:val="007A7888"/>
    <w:rsid w:val="007B0547"/>
    <w:rsid w:val="007B20B4"/>
    <w:rsid w:val="007B42FE"/>
    <w:rsid w:val="007B4C48"/>
    <w:rsid w:val="007C0814"/>
    <w:rsid w:val="007C34FA"/>
    <w:rsid w:val="007D0652"/>
    <w:rsid w:val="007D2F92"/>
    <w:rsid w:val="007D3877"/>
    <w:rsid w:val="007D3E5B"/>
    <w:rsid w:val="007D4063"/>
    <w:rsid w:val="007D4A39"/>
    <w:rsid w:val="007D5849"/>
    <w:rsid w:val="007D5E92"/>
    <w:rsid w:val="007D6D20"/>
    <w:rsid w:val="007D6FFB"/>
    <w:rsid w:val="007D76ED"/>
    <w:rsid w:val="007E03DB"/>
    <w:rsid w:val="007E04E3"/>
    <w:rsid w:val="007E1A17"/>
    <w:rsid w:val="007E1FD3"/>
    <w:rsid w:val="007E313C"/>
    <w:rsid w:val="007E3970"/>
    <w:rsid w:val="007E74C5"/>
    <w:rsid w:val="007F0A98"/>
    <w:rsid w:val="007F0CD8"/>
    <w:rsid w:val="007F1DC0"/>
    <w:rsid w:val="007F2189"/>
    <w:rsid w:val="007F26D4"/>
    <w:rsid w:val="007F3E90"/>
    <w:rsid w:val="007F3F3D"/>
    <w:rsid w:val="007F4339"/>
    <w:rsid w:val="007F5FF1"/>
    <w:rsid w:val="007F7159"/>
    <w:rsid w:val="007F7870"/>
    <w:rsid w:val="007F78A4"/>
    <w:rsid w:val="00801044"/>
    <w:rsid w:val="00804799"/>
    <w:rsid w:val="008051C3"/>
    <w:rsid w:val="00807008"/>
    <w:rsid w:val="00807524"/>
    <w:rsid w:val="008128DD"/>
    <w:rsid w:val="00814285"/>
    <w:rsid w:val="00817ABD"/>
    <w:rsid w:val="00821FA9"/>
    <w:rsid w:val="008242A1"/>
    <w:rsid w:val="0082533B"/>
    <w:rsid w:val="00827FCE"/>
    <w:rsid w:val="008303CA"/>
    <w:rsid w:val="008304BF"/>
    <w:rsid w:val="00830D14"/>
    <w:rsid w:val="008323D7"/>
    <w:rsid w:val="008348B3"/>
    <w:rsid w:val="00834B9D"/>
    <w:rsid w:val="0083543A"/>
    <w:rsid w:val="008369EE"/>
    <w:rsid w:val="00840152"/>
    <w:rsid w:val="00842402"/>
    <w:rsid w:val="00842451"/>
    <w:rsid w:val="00845843"/>
    <w:rsid w:val="008473A4"/>
    <w:rsid w:val="00852387"/>
    <w:rsid w:val="00854101"/>
    <w:rsid w:val="00854FD5"/>
    <w:rsid w:val="00855375"/>
    <w:rsid w:val="008554CC"/>
    <w:rsid w:val="00856D87"/>
    <w:rsid w:val="00857225"/>
    <w:rsid w:val="00857BAB"/>
    <w:rsid w:val="00860C24"/>
    <w:rsid w:val="00860FD8"/>
    <w:rsid w:val="00861EC9"/>
    <w:rsid w:val="00863175"/>
    <w:rsid w:val="0086380B"/>
    <w:rsid w:val="00863E86"/>
    <w:rsid w:val="00863EB8"/>
    <w:rsid w:val="008648DB"/>
    <w:rsid w:val="00864E08"/>
    <w:rsid w:val="00864E10"/>
    <w:rsid w:val="00866F0C"/>
    <w:rsid w:val="0087129C"/>
    <w:rsid w:val="00872BE0"/>
    <w:rsid w:val="0087319B"/>
    <w:rsid w:val="00877111"/>
    <w:rsid w:val="00877925"/>
    <w:rsid w:val="008808B1"/>
    <w:rsid w:val="008835C6"/>
    <w:rsid w:val="0088684D"/>
    <w:rsid w:val="00886933"/>
    <w:rsid w:val="008875E8"/>
    <w:rsid w:val="00887815"/>
    <w:rsid w:val="00887F2C"/>
    <w:rsid w:val="00890DB3"/>
    <w:rsid w:val="00891CD9"/>
    <w:rsid w:val="0089206B"/>
    <w:rsid w:val="00893FBF"/>
    <w:rsid w:val="00894D3C"/>
    <w:rsid w:val="00895059"/>
    <w:rsid w:val="008950C6"/>
    <w:rsid w:val="00896700"/>
    <w:rsid w:val="008A0C3F"/>
    <w:rsid w:val="008A1BF5"/>
    <w:rsid w:val="008A47E4"/>
    <w:rsid w:val="008A53BE"/>
    <w:rsid w:val="008A6178"/>
    <w:rsid w:val="008B094D"/>
    <w:rsid w:val="008B14B7"/>
    <w:rsid w:val="008B1EFE"/>
    <w:rsid w:val="008B2CEC"/>
    <w:rsid w:val="008B30BC"/>
    <w:rsid w:val="008B3185"/>
    <w:rsid w:val="008B3510"/>
    <w:rsid w:val="008B3614"/>
    <w:rsid w:val="008B5A4E"/>
    <w:rsid w:val="008B7E21"/>
    <w:rsid w:val="008C0ACE"/>
    <w:rsid w:val="008C0BA0"/>
    <w:rsid w:val="008C1734"/>
    <w:rsid w:val="008C175E"/>
    <w:rsid w:val="008C3EC9"/>
    <w:rsid w:val="008C450C"/>
    <w:rsid w:val="008C4AD1"/>
    <w:rsid w:val="008C5BCA"/>
    <w:rsid w:val="008C79D6"/>
    <w:rsid w:val="008C7AE3"/>
    <w:rsid w:val="008C7B54"/>
    <w:rsid w:val="008D30D3"/>
    <w:rsid w:val="008D3DF5"/>
    <w:rsid w:val="008D3FC0"/>
    <w:rsid w:val="008D54C9"/>
    <w:rsid w:val="008D5E74"/>
    <w:rsid w:val="008D7040"/>
    <w:rsid w:val="008D79BE"/>
    <w:rsid w:val="008E1ACC"/>
    <w:rsid w:val="008E5F58"/>
    <w:rsid w:val="008E731A"/>
    <w:rsid w:val="00900BA2"/>
    <w:rsid w:val="00901CEA"/>
    <w:rsid w:val="009037FB"/>
    <w:rsid w:val="00905361"/>
    <w:rsid w:val="0090608C"/>
    <w:rsid w:val="009075E0"/>
    <w:rsid w:val="0091103B"/>
    <w:rsid w:val="00911D76"/>
    <w:rsid w:val="00912AB3"/>
    <w:rsid w:val="00913224"/>
    <w:rsid w:val="00913BA6"/>
    <w:rsid w:val="009159C1"/>
    <w:rsid w:val="00917542"/>
    <w:rsid w:val="009252A2"/>
    <w:rsid w:val="00925394"/>
    <w:rsid w:val="00926E7F"/>
    <w:rsid w:val="0092719A"/>
    <w:rsid w:val="009328EE"/>
    <w:rsid w:val="00934426"/>
    <w:rsid w:val="0093498F"/>
    <w:rsid w:val="00934B83"/>
    <w:rsid w:val="00934D9A"/>
    <w:rsid w:val="00936EBC"/>
    <w:rsid w:val="0093786D"/>
    <w:rsid w:val="00943398"/>
    <w:rsid w:val="00953D1A"/>
    <w:rsid w:val="00954FE2"/>
    <w:rsid w:val="00957D38"/>
    <w:rsid w:val="00962E94"/>
    <w:rsid w:val="00964829"/>
    <w:rsid w:val="00964E0B"/>
    <w:rsid w:val="00965F40"/>
    <w:rsid w:val="00970A12"/>
    <w:rsid w:val="009715DA"/>
    <w:rsid w:val="009723EB"/>
    <w:rsid w:val="009746B2"/>
    <w:rsid w:val="009755A2"/>
    <w:rsid w:val="00975629"/>
    <w:rsid w:val="009808C0"/>
    <w:rsid w:val="009828DE"/>
    <w:rsid w:val="00982F8F"/>
    <w:rsid w:val="009850A5"/>
    <w:rsid w:val="00987AFF"/>
    <w:rsid w:val="009921AB"/>
    <w:rsid w:val="009936AF"/>
    <w:rsid w:val="009945C4"/>
    <w:rsid w:val="009A0170"/>
    <w:rsid w:val="009A097C"/>
    <w:rsid w:val="009A1CF4"/>
    <w:rsid w:val="009A6254"/>
    <w:rsid w:val="009B0ED9"/>
    <w:rsid w:val="009B1131"/>
    <w:rsid w:val="009B40F7"/>
    <w:rsid w:val="009B43AC"/>
    <w:rsid w:val="009B5B59"/>
    <w:rsid w:val="009B743D"/>
    <w:rsid w:val="009B79A8"/>
    <w:rsid w:val="009C1774"/>
    <w:rsid w:val="009C2417"/>
    <w:rsid w:val="009C2B6E"/>
    <w:rsid w:val="009C2D7A"/>
    <w:rsid w:val="009C566D"/>
    <w:rsid w:val="009C7700"/>
    <w:rsid w:val="009C7AC4"/>
    <w:rsid w:val="009D20AF"/>
    <w:rsid w:val="009D2733"/>
    <w:rsid w:val="009D2C75"/>
    <w:rsid w:val="009D2D80"/>
    <w:rsid w:val="009D4B06"/>
    <w:rsid w:val="009D62CA"/>
    <w:rsid w:val="009E050A"/>
    <w:rsid w:val="009E0642"/>
    <w:rsid w:val="009E1A4C"/>
    <w:rsid w:val="009E2001"/>
    <w:rsid w:val="009E2974"/>
    <w:rsid w:val="009E3B15"/>
    <w:rsid w:val="009E454F"/>
    <w:rsid w:val="009E5A92"/>
    <w:rsid w:val="009F0CC0"/>
    <w:rsid w:val="009F3367"/>
    <w:rsid w:val="009F360B"/>
    <w:rsid w:val="009F3863"/>
    <w:rsid w:val="009F3B54"/>
    <w:rsid w:val="009F41BB"/>
    <w:rsid w:val="009F520C"/>
    <w:rsid w:val="009F52D4"/>
    <w:rsid w:val="009F5564"/>
    <w:rsid w:val="009F67FD"/>
    <w:rsid w:val="00A029A5"/>
    <w:rsid w:val="00A032A1"/>
    <w:rsid w:val="00A0343D"/>
    <w:rsid w:val="00A037A9"/>
    <w:rsid w:val="00A05C43"/>
    <w:rsid w:val="00A0696C"/>
    <w:rsid w:val="00A1279C"/>
    <w:rsid w:val="00A153CF"/>
    <w:rsid w:val="00A15D22"/>
    <w:rsid w:val="00A1627C"/>
    <w:rsid w:val="00A17423"/>
    <w:rsid w:val="00A17801"/>
    <w:rsid w:val="00A17A69"/>
    <w:rsid w:val="00A17EE1"/>
    <w:rsid w:val="00A207C2"/>
    <w:rsid w:val="00A2082E"/>
    <w:rsid w:val="00A2238A"/>
    <w:rsid w:val="00A24051"/>
    <w:rsid w:val="00A242E8"/>
    <w:rsid w:val="00A248B8"/>
    <w:rsid w:val="00A2585C"/>
    <w:rsid w:val="00A25C7A"/>
    <w:rsid w:val="00A264A4"/>
    <w:rsid w:val="00A30CE6"/>
    <w:rsid w:val="00A30D5D"/>
    <w:rsid w:val="00A362EB"/>
    <w:rsid w:val="00A36B71"/>
    <w:rsid w:val="00A4081A"/>
    <w:rsid w:val="00A41BAD"/>
    <w:rsid w:val="00A42382"/>
    <w:rsid w:val="00A43BE3"/>
    <w:rsid w:val="00A45754"/>
    <w:rsid w:val="00A467BF"/>
    <w:rsid w:val="00A5000F"/>
    <w:rsid w:val="00A52C92"/>
    <w:rsid w:val="00A5460D"/>
    <w:rsid w:val="00A550F8"/>
    <w:rsid w:val="00A55F7E"/>
    <w:rsid w:val="00A57492"/>
    <w:rsid w:val="00A5751B"/>
    <w:rsid w:val="00A577C2"/>
    <w:rsid w:val="00A61350"/>
    <w:rsid w:val="00A65004"/>
    <w:rsid w:val="00A67225"/>
    <w:rsid w:val="00A72926"/>
    <w:rsid w:val="00A73A33"/>
    <w:rsid w:val="00A76856"/>
    <w:rsid w:val="00A81A1A"/>
    <w:rsid w:val="00A82723"/>
    <w:rsid w:val="00A83845"/>
    <w:rsid w:val="00A85C1C"/>
    <w:rsid w:val="00A85F2A"/>
    <w:rsid w:val="00A87AD9"/>
    <w:rsid w:val="00A90918"/>
    <w:rsid w:val="00A90BC0"/>
    <w:rsid w:val="00A91BBF"/>
    <w:rsid w:val="00A9293A"/>
    <w:rsid w:val="00A92A3B"/>
    <w:rsid w:val="00A95E46"/>
    <w:rsid w:val="00AA0228"/>
    <w:rsid w:val="00AA0B42"/>
    <w:rsid w:val="00AA114F"/>
    <w:rsid w:val="00AA1303"/>
    <w:rsid w:val="00AA36B1"/>
    <w:rsid w:val="00AA3E41"/>
    <w:rsid w:val="00AA6332"/>
    <w:rsid w:val="00AA640E"/>
    <w:rsid w:val="00AA72F1"/>
    <w:rsid w:val="00AA76FC"/>
    <w:rsid w:val="00AB0D76"/>
    <w:rsid w:val="00AB1525"/>
    <w:rsid w:val="00AB16F8"/>
    <w:rsid w:val="00AB29B4"/>
    <w:rsid w:val="00AB31B8"/>
    <w:rsid w:val="00AB5FE4"/>
    <w:rsid w:val="00AB7561"/>
    <w:rsid w:val="00AC04C8"/>
    <w:rsid w:val="00AC1130"/>
    <w:rsid w:val="00AC3F99"/>
    <w:rsid w:val="00AC40C6"/>
    <w:rsid w:val="00AC4B22"/>
    <w:rsid w:val="00AC6DD7"/>
    <w:rsid w:val="00AD0601"/>
    <w:rsid w:val="00AD1DFB"/>
    <w:rsid w:val="00AD1FBF"/>
    <w:rsid w:val="00AD2A7A"/>
    <w:rsid w:val="00AD5CA3"/>
    <w:rsid w:val="00AD6508"/>
    <w:rsid w:val="00AD78D0"/>
    <w:rsid w:val="00AD7EF9"/>
    <w:rsid w:val="00AE3817"/>
    <w:rsid w:val="00AE795E"/>
    <w:rsid w:val="00AE79C6"/>
    <w:rsid w:val="00AF0F4B"/>
    <w:rsid w:val="00AF2098"/>
    <w:rsid w:val="00AF20F6"/>
    <w:rsid w:val="00AF23B8"/>
    <w:rsid w:val="00AF4028"/>
    <w:rsid w:val="00AF548E"/>
    <w:rsid w:val="00AF5686"/>
    <w:rsid w:val="00AF6904"/>
    <w:rsid w:val="00B00082"/>
    <w:rsid w:val="00B0070C"/>
    <w:rsid w:val="00B025B9"/>
    <w:rsid w:val="00B0364A"/>
    <w:rsid w:val="00B038A4"/>
    <w:rsid w:val="00B048BE"/>
    <w:rsid w:val="00B06A97"/>
    <w:rsid w:val="00B06FA6"/>
    <w:rsid w:val="00B1308E"/>
    <w:rsid w:val="00B14DEB"/>
    <w:rsid w:val="00B152A6"/>
    <w:rsid w:val="00B15F49"/>
    <w:rsid w:val="00B20E2E"/>
    <w:rsid w:val="00B2238E"/>
    <w:rsid w:val="00B229FE"/>
    <w:rsid w:val="00B22B5D"/>
    <w:rsid w:val="00B25D1F"/>
    <w:rsid w:val="00B31656"/>
    <w:rsid w:val="00B32318"/>
    <w:rsid w:val="00B3317E"/>
    <w:rsid w:val="00B33FE3"/>
    <w:rsid w:val="00B342F5"/>
    <w:rsid w:val="00B34BEC"/>
    <w:rsid w:val="00B34DD8"/>
    <w:rsid w:val="00B35DF6"/>
    <w:rsid w:val="00B36DA6"/>
    <w:rsid w:val="00B40A5E"/>
    <w:rsid w:val="00B40D33"/>
    <w:rsid w:val="00B4224A"/>
    <w:rsid w:val="00B43802"/>
    <w:rsid w:val="00B43A92"/>
    <w:rsid w:val="00B4537F"/>
    <w:rsid w:val="00B4764E"/>
    <w:rsid w:val="00B50486"/>
    <w:rsid w:val="00B50B26"/>
    <w:rsid w:val="00B521E4"/>
    <w:rsid w:val="00B52B17"/>
    <w:rsid w:val="00B54A5D"/>
    <w:rsid w:val="00B54A7B"/>
    <w:rsid w:val="00B559F6"/>
    <w:rsid w:val="00B57CAB"/>
    <w:rsid w:val="00B605B3"/>
    <w:rsid w:val="00B6263D"/>
    <w:rsid w:val="00B64B9B"/>
    <w:rsid w:val="00B7073B"/>
    <w:rsid w:val="00B70845"/>
    <w:rsid w:val="00B732E0"/>
    <w:rsid w:val="00B73F8F"/>
    <w:rsid w:val="00B7485C"/>
    <w:rsid w:val="00B76FE4"/>
    <w:rsid w:val="00B81520"/>
    <w:rsid w:val="00B817D7"/>
    <w:rsid w:val="00B81C95"/>
    <w:rsid w:val="00B82542"/>
    <w:rsid w:val="00B8358D"/>
    <w:rsid w:val="00B8471B"/>
    <w:rsid w:val="00B85AFF"/>
    <w:rsid w:val="00B87DE1"/>
    <w:rsid w:val="00B900E3"/>
    <w:rsid w:val="00B9062B"/>
    <w:rsid w:val="00B90E79"/>
    <w:rsid w:val="00B950C7"/>
    <w:rsid w:val="00B95667"/>
    <w:rsid w:val="00B9783C"/>
    <w:rsid w:val="00B978E4"/>
    <w:rsid w:val="00BA1933"/>
    <w:rsid w:val="00BA2655"/>
    <w:rsid w:val="00BA2EAD"/>
    <w:rsid w:val="00BA3B38"/>
    <w:rsid w:val="00BA43BE"/>
    <w:rsid w:val="00BA4490"/>
    <w:rsid w:val="00BA663F"/>
    <w:rsid w:val="00BA689D"/>
    <w:rsid w:val="00BB293C"/>
    <w:rsid w:val="00BB3BB2"/>
    <w:rsid w:val="00BB5C8A"/>
    <w:rsid w:val="00BC09E8"/>
    <w:rsid w:val="00BC18B5"/>
    <w:rsid w:val="00BC1B6B"/>
    <w:rsid w:val="00BC203B"/>
    <w:rsid w:val="00BC321F"/>
    <w:rsid w:val="00BC339F"/>
    <w:rsid w:val="00BC559A"/>
    <w:rsid w:val="00BC5B28"/>
    <w:rsid w:val="00BD0004"/>
    <w:rsid w:val="00BD1803"/>
    <w:rsid w:val="00BD2AC3"/>
    <w:rsid w:val="00BD43D8"/>
    <w:rsid w:val="00BD6129"/>
    <w:rsid w:val="00BD6C19"/>
    <w:rsid w:val="00BD7520"/>
    <w:rsid w:val="00BE12E3"/>
    <w:rsid w:val="00BE2A72"/>
    <w:rsid w:val="00BE4ACB"/>
    <w:rsid w:val="00BE55E0"/>
    <w:rsid w:val="00BE5A94"/>
    <w:rsid w:val="00C00A02"/>
    <w:rsid w:val="00C01A3E"/>
    <w:rsid w:val="00C01B42"/>
    <w:rsid w:val="00C0215E"/>
    <w:rsid w:val="00C0317D"/>
    <w:rsid w:val="00C06672"/>
    <w:rsid w:val="00C07BFA"/>
    <w:rsid w:val="00C151FD"/>
    <w:rsid w:val="00C15ABE"/>
    <w:rsid w:val="00C16D52"/>
    <w:rsid w:val="00C16D86"/>
    <w:rsid w:val="00C228A1"/>
    <w:rsid w:val="00C238D4"/>
    <w:rsid w:val="00C23CBF"/>
    <w:rsid w:val="00C251EE"/>
    <w:rsid w:val="00C2616E"/>
    <w:rsid w:val="00C27A5C"/>
    <w:rsid w:val="00C27D00"/>
    <w:rsid w:val="00C311A0"/>
    <w:rsid w:val="00C31551"/>
    <w:rsid w:val="00C345C3"/>
    <w:rsid w:val="00C350A6"/>
    <w:rsid w:val="00C405C2"/>
    <w:rsid w:val="00C40B8B"/>
    <w:rsid w:val="00C40F4B"/>
    <w:rsid w:val="00C41790"/>
    <w:rsid w:val="00C42DF9"/>
    <w:rsid w:val="00C44205"/>
    <w:rsid w:val="00C45754"/>
    <w:rsid w:val="00C4736E"/>
    <w:rsid w:val="00C47EF9"/>
    <w:rsid w:val="00C5005F"/>
    <w:rsid w:val="00C506BF"/>
    <w:rsid w:val="00C5260B"/>
    <w:rsid w:val="00C5284B"/>
    <w:rsid w:val="00C56046"/>
    <w:rsid w:val="00C56162"/>
    <w:rsid w:val="00C57191"/>
    <w:rsid w:val="00C57D02"/>
    <w:rsid w:val="00C57DFE"/>
    <w:rsid w:val="00C63E2A"/>
    <w:rsid w:val="00C64337"/>
    <w:rsid w:val="00C64785"/>
    <w:rsid w:val="00C7015A"/>
    <w:rsid w:val="00C7150D"/>
    <w:rsid w:val="00C724A2"/>
    <w:rsid w:val="00C737A5"/>
    <w:rsid w:val="00C75EF8"/>
    <w:rsid w:val="00C7745B"/>
    <w:rsid w:val="00C8060C"/>
    <w:rsid w:val="00C80920"/>
    <w:rsid w:val="00C81063"/>
    <w:rsid w:val="00C82460"/>
    <w:rsid w:val="00C83A37"/>
    <w:rsid w:val="00C840BA"/>
    <w:rsid w:val="00C85A0F"/>
    <w:rsid w:val="00C92756"/>
    <w:rsid w:val="00C93D12"/>
    <w:rsid w:val="00C97BC4"/>
    <w:rsid w:val="00CA0658"/>
    <w:rsid w:val="00CA1524"/>
    <w:rsid w:val="00CA266A"/>
    <w:rsid w:val="00CA27C0"/>
    <w:rsid w:val="00CA3468"/>
    <w:rsid w:val="00CA3C9F"/>
    <w:rsid w:val="00CA5524"/>
    <w:rsid w:val="00CA5C8F"/>
    <w:rsid w:val="00CA7BE3"/>
    <w:rsid w:val="00CB0060"/>
    <w:rsid w:val="00CB4247"/>
    <w:rsid w:val="00CB6737"/>
    <w:rsid w:val="00CB7081"/>
    <w:rsid w:val="00CB7825"/>
    <w:rsid w:val="00CC0280"/>
    <w:rsid w:val="00CC1D86"/>
    <w:rsid w:val="00CC2C06"/>
    <w:rsid w:val="00CC33F4"/>
    <w:rsid w:val="00CC3DFA"/>
    <w:rsid w:val="00CC4A26"/>
    <w:rsid w:val="00CC680B"/>
    <w:rsid w:val="00CD0536"/>
    <w:rsid w:val="00CD22D5"/>
    <w:rsid w:val="00CD2D0B"/>
    <w:rsid w:val="00CD512C"/>
    <w:rsid w:val="00CD5ABB"/>
    <w:rsid w:val="00CD5DCC"/>
    <w:rsid w:val="00CE03B2"/>
    <w:rsid w:val="00CE6032"/>
    <w:rsid w:val="00CE77FE"/>
    <w:rsid w:val="00CF4134"/>
    <w:rsid w:val="00CF5BCB"/>
    <w:rsid w:val="00CF6A67"/>
    <w:rsid w:val="00CF6F0A"/>
    <w:rsid w:val="00D0198B"/>
    <w:rsid w:val="00D027CF"/>
    <w:rsid w:val="00D03B71"/>
    <w:rsid w:val="00D041D6"/>
    <w:rsid w:val="00D0429B"/>
    <w:rsid w:val="00D06CC1"/>
    <w:rsid w:val="00D073DF"/>
    <w:rsid w:val="00D1300D"/>
    <w:rsid w:val="00D13A4A"/>
    <w:rsid w:val="00D15C06"/>
    <w:rsid w:val="00D16128"/>
    <w:rsid w:val="00D17920"/>
    <w:rsid w:val="00D215F7"/>
    <w:rsid w:val="00D2387B"/>
    <w:rsid w:val="00D26ECE"/>
    <w:rsid w:val="00D26ED9"/>
    <w:rsid w:val="00D30E7A"/>
    <w:rsid w:val="00D31C9C"/>
    <w:rsid w:val="00D32524"/>
    <w:rsid w:val="00D33DB6"/>
    <w:rsid w:val="00D37E94"/>
    <w:rsid w:val="00D40651"/>
    <w:rsid w:val="00D4175B"/>
    <w:rsid w:val="00D43D80"/>
    <w:rsid w:val="00D509CB"/>
    <w:rsid w:val="00D509F5"/>
    <w:rsid w:val="00D50B98"/>
    <w:rsid w:val="00D51D4B"/>
    <w:rsid w:val="00D529A5"/>
    <w:rsid w:val="00D55E3A"/>
    <w:rsid w:val="00D57C0B"/>
    <w:rsid w:val="00D64350"/>
    <w:rsid w:val="00D65A21"/>
    <w:rsid w:val="00D66513"/>
    <w:rsid w:val="00D70A3E"/>
    <w:rsid w:val="00D717DE"/>
    <w:rsid w:val="00D72717"/>
    <w:rsid w:val="00D75D52"/>
    <w:rsid w:val="00D77AF9"/>
    <w:rsid w:val="00D830CE"/>
    <w:rsid w:val="00D830F5"/>
    <w:rsid w:val="00D83147"/>
    <w:rsid w:val="00D85EF8"/>
    <w:rsid w:val="00D92E18"/>
    <w:rsid w:val="00D95093"/>
    <w:rsid w:val="00D95B4B"/>
    <w:rsid w:val="00D96717"/>
    <w:rsid w:val="00D96C25"/>
    <w:rsid w:val="00DA08AC"/>
    <w:rsid w:val="00DA0EDD"/>
    <w:rsid w:val="00DA79A0"/>
    <w:rsid w:val="00DB193A"/>
    <w:rsid w:val="00DB1ECA"/>
    <w:rsid w:val="00DB3DFA"/>
    <w:rsid w:val="00DB3F4D"/>
    <w:rsid w:val="00DB3FB3"/>
    <w:rsid w:val="00DB76A2"/>
    <w:rsid w:val="00DB7711"/>
    <w:rsid w:val="00DB797D"/>
    <w:rsid w:val="00DB7D6B"/>
    <w:rsid w:val="00DC07EC"/>
    <w:rsid w:val="00DC1CBD"/>
    <w:rsid w:val="00DC4F02"/>
    <w:rsid w:val="00DC5D51"/>
    <w:rsid w:val="00DC6624"/>
    <w:rsid w:val="00DD0C71"/>
    <w:rsid w:val="00DD131C"/>
    <w:rsid w:val="00DD17E0"/>
    <w:rsid w:val="00DD3EDC"/>
    <w:rsid w:val="00DD561C"/>
    <w:rsid w:val="00DD7747"/>
    <w:rsid w:val="00DE15EB"/>
    <w:rsid w:val="00DE1EBC"/>
    <w:rsid w:val="00DE45B4"/>
    <w:rsid w:val="00DE4CC5"/>
    <w:rsid w:val="00DE4E34"/>
    <w:rsid w:val="00DE696F"/>
    <w:rsid w:val="00DF0146"/>
    <w:rsid w:val="00DF04D6"/>
    <w:rsid w:val="00DF069F"/>
    <w:rsid w:val="00DF15E9"/>
    <w:rsid w:val="00DF168A"/>
    <w:rsid w:val="00DF2A2D"/>
    <w:rsid w:val="00DF719B"/>
    <w:rsid w:val="00DF7309"/>
    <w:rsid w:val="00E00D08"/>
    <w:rsid w:val="00E00DD6"/>
    <w:rsid w:val="00E01A89"/>
    <w:rsid w:val="00E0228A"/>
    <w:rsid w:val="00E02863"/>
    <w:rsid w:val="00E076A1"/>
    <w:rsid w:val="00E07F59"/>
    <w:rsid w:val="00E10BB4"/>
    <w:rsid w:val="00E11A8A"/>
    <w:rsid w:val="00E13656"/>
    <w:rsid w:val="00E15476"/>
    <w:rsid w:val="00E1606A"/>
    <w:rsid w:val="00E21E62"/>
    <w:rsid w:val="00E26C51"/>
    <w:rsid w:val="00E300EC"/>
    <w:rsid w:val="00E33DFE"/>
    <w:rsid w:val="00E346FF"/>
    <w:rsid w:val="00E44621"/>
    <w:rsid w:val="00E466D6"/>
    <w:rsid w:val="00E51EBF"/>
    <w:rsid w:val="00E54C98"/>
    <w:rsid w:val="00E55046"/>
    <w:rsid w:val="00E553B1"/>
    <w:rsid w:val="00E55E8E"/>
    <w:rsid w:val="00E56247"/>
    <w:rsid w:val="00E5639C"/>
    <w:rsid w:val="00E628AB"/>
    <w:rsid w:val="00E63A0B"/>
    <w:rsid w:val="00E63CB9"/>
    <w:rsid w:val="00E65A42"/>
    <w:rsid w:val="00E65B8C"/>
    <w:rsid w:val="00E7024C"/>
    <w:rsid w:val="00E72BFE"/>
    <w:rsid w:val="00E73084"/>
    <w:rsid w:val="00E74222"/>
    <w:rsid w:val="00E75F8B"/>
    <w:rsid w:val="00E8128E"/>
    <w:rsid w:val="00E81CEC"/>
    <w:rsid w:val="00E8246F"/>
    <w:rsid w:val="00E837ED"/>
    <w:rsid w:val="00E83B56"/>
    <w:rsid w:val="00E84296"/>
    <w:rsid w:val="00E8563C"/>
    <w:rsid w:val="00E86161"/>
    <w:rsid w:val="00E865B7"/>
    <w:rsid w:val="00E90429"/>
    <w:rsid w:val="00E90F58"/>
    <w:rsid w:val="00E92172"/>
    <w:rsid w:val="00E9478D"/>
    <w:rsid w:val="00E95539"/>
    <w:rsid w:val="00E95E91"/>
    <w:rsid w:val="00EA00AA"/>
    <w:rsid w:val="00EA0E99"/>
    <w:rsid w:val="00EA5CE6"/>
    <w:rsid w:val="00EA7498"/>
    <w:rsid w:val="00EA798B"/>
    <w:rsid w:val="00EA7B28"/>
    <w:rsid w:val="00EB1F12"/>
    <w:rsid w:val="00EB2AB8"/>
    <w:rsid w:val="00EB33B6"/>
    <w:rsid w:val="00EB3CE5"/>
    <w:rsid w:val="00EB54E4"/>
    <w:rsid w:val="00EB6E03"/>
    <w:rsid w:val="00EC139D"/>
    <w:rsid w:val="00EC3163"/>
    <w:rsid w:val="00EC3703"/>
    <w:rsid w:val="00EC3A60"/>
    <w:rsid w:val="00EC54C8"/>
    <w:rsid w:val="00EC65F8"/>
    <w:rsid w:val="00EC69D8"/>
    <w:rsid w:val="00EC6FBE"/>
    <w:rsid w:val="00ED16AF"/>
    <w:rsid w:val="00ED1761"/>
    <w:rsid w:val="00ED1995"/>
    <w:rsid w:val="00ED2CBF"/>
    <w:rsid w:val="00ED35D6"/>
    <w:rsid w:val="00ED3951"/>
    <w:rsid w:val="00EE0928"/>
    <w:rsid w:val="00EE1EAF"/>
    <w:rsid w:val="00EE2EC0"/>
    <w:rsid w:val="00EE426B"/>
    <w:rsid w:val="00EE42AD"/>
    <w:rsid w:val="00EE4BD8"/>
    <w:rsid w:val="00EE4CB9"/>
    <w:rsid w:val="00EE7A48"/>
    <w:rsid w:val="00EF3101"/>
    <w:rsid w:val="00EF6AA2"/>
    <w:rsid w:val="00F00395"/>
    <w:rsid w:val="00F01941"/>
    <w:rsid w:val="00F031DC"/>
    <w:rsid w:val="00F04329"/>
    <w:rsid w:val="00F051C2"/>
    <w:rsid w:val="00F06B09"/>
    <w:rsid w:val="00F11085"/>
    <w:rsid w:val="00F12411"/>
    <w:rsid w:val="00F13135"/>
    <w:rsid w:val="00F15CB2"/>
    <w:rsid w:val="00F163A8"/>
    <w:rsid w:val="00F17407"/>
    <w:rsid w:val="00F23B2E"/>
    <w:rsid w:val="00F25F2B"/>
    <w:rsid w:val="00F32D2D"/>
    <w:rsid w:val="00F330F4"/>
    <w:rsid w:val="00F3726E"/>
    <w:rsid w:val="00F405CB"/>
    <w:rsid w:val="00F4293E"/>
    <w:rsid w:val="00F42BE2"/>
    <w:rsid w:val="00F42DE9"/>
    <w:rsid w:val="00F43449"/>
    <w:rsid w:val="00F44F4A"/>
    <w:rsid w:val="00F45249"/>
    <w:rsid w:val="00F468C1"/>
    <w:rsid w:val="00F50821"/>
    <w:rsid w:val="00F518A0"/>
    <w:rsid w:val="00F518E3"/>
    <w:rsid w:val="00F51E45"/>
    <w:rsid w:val="00F54033"/>
    <w:rsid w:val="00F559FF"/>
    <w:rsid w:val="00F56A78"/>
    <w:rsid w:val="00F56FEE"/>
    <w:rsid w:val="00F57430"/>
    <w:rsid w:val="00F57A52"/>
    <w:rsid w:val="00F57D90"/>
    <w:rsid w:val="00F62659"/>
    <w:rsid w:val="00F62F55"/>
    <w:rsid w:val="00F638B9"/>
    <w:rsid w:val="00F64BEC"/>
    <w:rsid w:val="00F64D25"/>
    <w:rsid w:val="00F721CD"/>
    <w:rsid w:val="00F752BE"/>
    <w:rsid w:val="00F754F3"/>
    <w:rsid w:val="00F760B8"/>
    <w:rsid w:val="00F77399"/>
    <w:rsid w:val="00F7785C"/>
    <w:rsid w:val="00F8182D"/>
    <w:rsid w:val="00F81F1E"/>
    <w:rsid w:val="00F82F52"/>
    <w:rsid w:val="00F83621"/>
    <w:rsid w:val="00F83F7A"/>
    <w:rsid w:val="00F85EA6"/>
    <w:rsid w:val="00F87D7C"/>
    <w:rsid w:val="00F90596"/>
    <w:rsid w:val="00F92494"/>
    <w:rsid w:val="00F956CC"/>
    <w:rsid w:val="00F96A0F"/>
    <w:rsid w:val="00F97707"/>
    <w:rsid w:val="00F97968"/>
    <w:rsid w:val="00FA2645"/>
    <w:rsid w:val="00FA2846"/>
    <w:rsid w:val="00FA3002"/>
    <w:rsid w:val="00FA59A5"/>
    <w:rsid w:val="00FA6814"/>
    <w:rsid w:val="00FA7536"/>
    <w:rsid w:val="00FB0405"/>
    <w:rsid w:val="00FB15F3"/>
    <w:rsid w:val="00FB1BA2"/>
    <w:rsid w:val="00FB3B42"/>
    <w:rsid w:val="00FB3D24"/>
    <w:rsid w:val="00FB4DE4"/>
    <w:rsid w:val="00FB5BAE"/>
    <w:rsid w:val="00FB7025"/>
    <w:rsid w:val="00FB7150"/>
    <w:rsid w:val="00FC4107"/>
    <w:rsid w:val="00FC46C1"/>
    <w:rsid w:val="00FC6035"/>
    <w:rsid w:val="00FD04DA"/>
    <w:rsid w:val="00FD0A33"/>
    <w:rsid w:val="00FD0AB0"/>
    <w:rsid w:val="00FD2097"/>
    <w:rsid w:val="00FD29F3"/>
    <w:rsid w:val="00FD3519"/>
    <w:rsid w:val="00FD434F"/>
    <w:rsid w:val="00FD60C2"/>
    <w:rsid w:val="00FE3150"/>
    <w:rsid w:val="00FE398C"/>
    <w:rsid w:val="00FE5638"/>
    <w:rsid w:val="00FF23C4"/>
    <w:rsid w:val="00FF63C0"/>
    <w:rsid w:val="00FF6F98"/>
    <w:rsid w:val="06BF420C"/>
    <w:rsid w:val="0D244935"/>
    <w:rsid w:val="11FA6D4A"/>
    <w:rsid w:val="139A6DC0"/>
    <w:rsid w:val="147D4F91"/>
    <w:rsid w:val="30A56CCD"/>
    <w:rsid w:val="437C56F3"/>
    <w:rsid w:val="4CBE0206"/>
    <w:rsid w:val="55D11C29"/>
    <w:rsid w:val="5B0C5710"/>
    <w:rsid w:val="5FFA21A6"/>
    <w:rsid w:val="66217B6D"/>
    <w:rsid w:val="67952F65"/>
    <w:rsid w:val="69B335F2"/>
    <w:rsid w:val="69D17B95"/>
    <w:rsid w:val="6BD1050E"/>
    <w:rsid w:val="6F8C3164"/>
    <w:rsid w:val="789869D9"/>
    <w:rsid w:val="78ED10A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99"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semiHidden="0" w:name="Default Paragraph Font"/>
    <w:lsdException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99" w:semiHidden="0" w:name="FollowedHyperlink"/>
    <w:lsdException w:qFormat="1" w:unhideWhenUsed="0" w:uiPriority="0" w:semiHidden="0" w:name="Strong"/>
    <w:lsdException w:qFormat="1" w:unhideWhenUsed="0" w:uiPriority="20" w:semiHidden="0" w:name="Emphasis"/>
    <w:lsdException w:unhideWhenUsed="0" w:uiPriority="99"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99" w:semiHidden="0" w:name="Balloon Text"/>
    <w:lsdException w:qFormat="1" w:unhideWhenUsed="0" w:uiPriority="59" w:semiHidden="0" w:name="Table Grid"/>
    <w:lsdException w:unhideWhenUsed="0" w:uiPriority="0" w:semiHidden="0" w:name="Table Theme"/>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uiPriority="70" w:name="Dark List"/>
    <w:lsdException w:uiPriority="71" w:name="Colorful Shading"/>
    <w:lsdException w:uiPriority="72" w:name="Colorful List"/>
    <w:lsdException w:uiPriority="73" w:name="Colorful Grid"/>
    <w:lsdException w:uiPriority="60" w:name="Light Shading Accent 1"/>
    <w:lsdException w:uiPriority="61" w:name="Light List Accent 1"/>
    <w:lsdException w:uiPriority="62" w:name="Light Grid Accent 1"/>
    <w:lsdException w:uiPriority="63" w:name="Medium Shading 1 Accent 1"/>
    <w:lsdException w:uiPriority="64" w:name="Medium Shading 2 Accent 1"/>
    <w:lsdException w:uiPriority="65" w:name="Medium List 1 Accent 1"/>
    <w:lsdException w:qFormat="1" w:unhideWhenUsed="0" w:uiPriority="0" w:semiHidden="0" w:name="List Paragraph"/>
    <w:lsdException w:uiPriority="66" w:name="Medium List 2 Accent 1"/>
    <w:lsdException w:uiPriority="67" w:name="Medium Grid 1 Accent 1"/>
    <w:lsdException w:uiPriority="68" w:name="Medium Grid 2 Accent 1"/>
    <w:lsdException w:uiPriority="69" w:name="Medium Grid 3 Accent 1"/>
    <w:lsdException w:uiPriority="70" w:name="Dark List Accent 1"/>
    <w:lsdException w:uiPriority="71" w:name="Colorful Shading Accent 1"/>
    <w:lsdException w:uiPriority="72" w:name="Colorful List Accent 1"/>
    <w:lsdException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uiPriority="70" w:name="Dark List Accent 2"/>
    <w:lsdException w:uiPriority="71" w:name="Colorful Shading Accent 2"/>
    <w:lsdException w:uiPriority="72" w:name="Colorful List Accent 2"/>
    <w:lsdException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uiPriority="70" w:name="Dark List Accent 3"/>
    <w:lsdException w:uiPriority="71" w:name="Colorful Shading Accent 3"/>
    <w:lsdException w:uiPriority="72" w:name="Colorful List Accent 3"/>
    <w:lsdException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uiPriority="70" w:name="Dark List Accent 4"/>
    <w:lsdException w:uiPriority="71" w:name="Colorful Shading Accent 4"/>
    <w:lsdException w:uiPriority="72" w:name="Colorful List Accent 4"/>
    <w:lsdException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uiPriority="70" w:name="Dark List Accent 5"/>
    <w:lsdException w:uiPriority="71" w:name="Colorful Shading Accent 5"/>
    <w:lsdException w:uiPriority="72" w:name="Colorful List Accent 5"/>
    <w:lsdException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uiPriority="70" w:name="Dark List Accent 6"/>
    <w:lsdException w:uiPriority="71" w:name="Colorful Shading Accent 6"/>
    <w:lsdException w:uiPriority="72" w:name="Colorful List Accent 6"/>
    <w:lsdException w:uiPriority="73" w:name="Colorful Grid Accent 6"/>
  </w:latentStyles>
  <w:style w:type="paragraph" w:default="1" w:styleId="1">
    <w:name w:val="Normal"/>
    <w:next w:val="2"/>
    <w:qFormat/>
    <w:uiPriority w:val="0"/>
    <w:rPr>
      <w:sz w:val="21"/>
      <w:lang w:val="en-US" w:eastAsia="zh-CN" w:bidi="ar-SA"/>
    </w:rPr>
  </w:style>
  <w:style w:type="paragraph" w:styleId="3">
    <w:name w:val="heading 1"/>
    <w:basedOn w:val="1"/>
    <w:next w:val="4"/>
    <w:link w:val="65"/>
    <w:qFormat/>
    <w:uiPriority w:val="0"/>
    <w:pPr>
      <w:keepNext/>
      <w:keepLines/>
      <w:widowControl w:val="0"/>
      <w:tabs>
        <w:tab w:val="left" w:pos="840"/>
      </w:tabs>
      <w:adjustRightInd w:val="0"/>
      <w:snapToGrid w:val="0"/>
      <w:spacing w:line="360" w:lineRule="auto"/>
      <w:jc w:val="both"/>
      <w:outlineLvl w:val="0"/>
    </w:pPr>
    <w:rPr>
      <w:rFonts w:ascii="宋体" w:hAnsi="Times New Roman" w:eastAsia="宋体" w:cs="Times New Roman"/>
      <w:b/>
      <w:kern w:val="44"/>
      <w:sz w:val="24"/>
      <w:szCs w:val="20"/>
    </w:rPr>
  </w:style>
  <w:style w:type="paragraph" w:styleId="5">
    <w:name w:val="heading 2"/>
    <w:basedOn w:val="1"/>
    <w:next w:val="1"/>
    <w:link w:val="85"/>
    <w:qFormat/>
    <w:uiPriority w:val="9"/>
    <w:pPr>
      <w:keepNext/>
      <w:keepLines/>
      <w:spacing w:before="260" w:beforeLines="0" w:after="260" w:afterLines="0" w:line="415" w:lineRule="auto"/>
      <w:outlineLvl w:val="1"/>
    </w:pPr>
    <w:rPr>
      <w:rFonts w:ascii="Cambria" w:hAnsi="Cambria" w:eastAsia="宋体" w:cs="Times New Roman"/>
      <w:b/>
      <w:bCs/>
      <w:sz w:val="32"/>
      <w:szCs w:val="32"/>
    </w:rPr>
  </w:style>
  <w:style w:type="paragraph" w:styleId="6">
    <w:name w:val="heading 3"/>
    <w:basedOn w:val="1"/>
    <w:next w:val="4"/>
    <w:qFormat/>
    <w:uiPriority w:val="0"/>
    <w:pPr>
      <w:widowControl w:val="0"/>
      <w:tabs>
        <w:tab w:val="left" w:pos="851"/>
      </w:tabs>
      <w:autoSpaceDE w:val="0"/>
      <w:autoSpaceDN w:val="0"/>
      <w:adjustRightInd w:val="0"/>
      <w:snapToGrid w:val="0"/>
      <w:spacing w:line="360" w:lineRule="auto"/>
      <w:jc w:val="both"/>
      <w:outlineLvl w:val="2"/>
    </w:pPr>
    <w:rPr>
      <w:rFonts w:ascii="宋体"/>
      <w:snapToGrid w:val="0"/>
    </w:rPr>
  </w:style>
  <w:style w:type="paragraph" w:styleId="7">
    <w:name w:val="heading 4"/>
    <w:basedOn w:val="1"/>
    <w:next w:val="4"/>
    <w:qFormat/>
    <w:uiPriority w:val="0"/>
    <w:pPr>
      <w:widowControl w:val="0"/>
      <w:autoSpaceDE w:val="0"/>
      <w:autoSpaceDN w:val="0"/>
      <w:adjustRightInd w:val="0"/>
      <w:snapToGrid w:val="0"/>
      <w:spacing w:line="360" w:lineRule="auto"/>
      <w:jc w:val="both"/>
      <w:outlineLvl w:val="3"/>
    </w:pPr>
    <w:rPr>
      <w:rFonts w:ascii="宋体" w:hAnsi="Arial"/>
      <w:snapToGrid w:val="0"/>
      <w:color w:val="000000"/>
    </w:rPr>
  </w:style>
  <w:style w:type="paragraph" w:styleId="8">
    <w:name w:val="heading 5"/>
    <w:basedOn w:val="1"/>
    <w:next w:val="4"/>
    <w:qFormat/>
    <w:uiPriority w:val="0"/>
    <w:pPr>
      <w:keepNext/>
      <w:widowControl w:val="0"/>
      <w:autoSpaceDE w:val="0"/>
      <w:autoSpaceDN w:val="0"/>
      <w:adjustRightInd w:val="0"/>
      <w:snapToGrid w:val="0"/>
      <w:spacing w:before="280" w:beforeLines="0" w:after="290" w:afterLines="0" w:line="374" w:lineRule="auto"/>
      <w:jc w:val="both"/>
      <w:outlineLvl w:val="4"/>
    </w:pPr>
    <w:rPr>
      <w:rFonts w:ascii="宋体"/>
      <w:b/>
      <w:snapToGrid w:val="0"/>
      <w:color w:val="000000"/>
      <w:sz w:val="28"/>
    </w:rPr>
  </w:style>
  <w:style w:type="paragraph" w:styleId="9">
    <w:name w:val="heading 6"/>
    <w:basedOn w:val="1"/>
    <w:next w:val="4"/>
    <w:qFormat/>
    <w:uiPriority w:val="0"/>
    <w:pPr>
      <w:keepNext/>
      <w:widowControl w:val="0"/>
      <w:autoSpaceDE w:val="0"/>
      <w:autoSpaceDN w:val="0"/>
      <w:adjustRightInd w:val="0"/>
      <w:snapToGrid w:val="0"/>
      <w:spacing w:before="240" w:beforeLines="0" w:after="64" w:afterLines="0" w:line="319" w:lineRule="auto"/>
      <w:jc w:val="both"/>
      <w:outlineLvl w:val="5"/>
    </w:pPr>
    <w:rPr>
      <w:rFonts w:ascii="Arial" w:hAnsi="Arial" w:eastAsia="黑体"/>
      <w:b/>
      <w:snapToGrid w:val="0"/>
      <w:color w:val="000000"/>
      <w:sz w:val="24"/>
    </w:rPr>
  </w:style>
  <w:style w:type="paragraph" w:styleId="10">
    <w:name w:val="heading 7"/>
    <w:basedOn w:val="1"/>
    <w:next w:val="4"/>
    <w:qFormat/>
    <w:uiPriority w:val="0"/>
    <w:pPr>
      <w:keepNext/>
      <w:widowControl w:val="0"/>
      <w:autoSpaceDE w:val="0"/>
      <w:autoSpaceDN w:val="0"/>
      <w:adjustRightInd w:val="0"/>
      <w:snapToGrid w:val="0"/>
      <w:spacing w:before="240" w:beforeLines="0" w:after="64" w:afterLines="0" w:line="319" w:lineRule="auto"/>
      <w:jc w:val="both"/>
      <w:outlineLvl w:val="6"/>
    </w:pPr>
    <w:rPr>
      <w:rFonts w:ascii="宋体"/>
      <w:b/>
      <w:snapToGrid w:val="0"/>
      <w:color w:val="000000"/>
      <w:sz w:val="24"/>
    </w:rPr>
  </w:style>
  <w:style w:type="paragraph" w:styleId="11">
    <w:name w:val="heading 8"/>
    <w:basedOn w:val="1"/>
    <w:next w:val="4"/>
    <w:qFormat/>
    <w:uiPriority w:val="0"/>
    <w:pPr>
      <w:keepNext/>
      <w:widowControl w:val="0"/>
      <w:autoSpaceDE w:val="0"/>
      <w:autoSpaceDN w:val="0"/>
      <w:adjustRightInd w:val="0"/>
      <w:snapToGrid w:val="0"/>
      <w:spacing w:before="240" w:beforeLines="0" w:after="64" w:afterLines="0" w:line="319" w:lineRule="auto"/>
      <w:jc w:val="both"/>
      <w:outlineLvl w:val="7"/>
    </w:pPr>
    <w:rPr>
      <w:rFonts w:ascii="Arial" w:hAnsi="Arial" w:eastAsia="黑体"/>
      <w:snapToGrid w:val="0"/>
      <w:color w:val="000000"/>
      <w:sz w:val="24"/>
    </w:rPr>
  </w:style>
  <w:style w:type="paragraph" w:styleId="12">
    <w:name w:val="heading 9"/>
    <w:basedOn w:val="1"/>
    <w:next w:val="4"/>
    <w:qFormat/>
    <w:uiPriority w:val="0"/>
    <w:pPr>
      <w:keepNext/>
      <w:widowControl w:val="0"/>
      <w:autoSpaceDE w:val="0"/>
      <w:autoSpaceDN w:val="0"/>
      <w:adjustRightInd w:val="0"/>
      <w:snapToGrid w:val="0"/>
      <w:spacing w:before="240" w:beforeLines="0" w:after="64" w:afterLines="0" w:line="319" w:lineRule="auto"/>
      <w:jc w:val="both"/>
      <w:outlineLvl w:val="8"/>
    </w:pPr>
    <w:rPr>
      <w:rFonts w:ascii="Arial" w:hAnsi="Arial" w:eastAsia="黑体"/>
      <w:snapToGrid w:val="0"/>
      <w:color w:val="000000"/>
    </w:rPr>
  </w:style>
  <w:style w:type="character" w:default="1" w:styleId="37">
    <w:name w:val="Default Paragraph Font"/>
    <w:uiPriority w:val="0"/>
    <w:rPr>
      <w:rFonts w:ascii="宋体" w:hAnsi="宋体" w:eastAsia="宋体"/>
      <w:color w:val="000000"/>
      <w:kern w:val="2"/>
      <w:sz w:val="22"/>
      <w:szCs w:val="22"/>
      <w:lang w:val="en-US" w:eastAsia="zh-CN" w:bidi="ar-SA"/>
    </w:rPr>
  </w:style>
  <w:style w:type="table" w:default="1" w:styleId="35">
    <w:name w:val="Normal Table"/>
    <w:semiHidden/>
    <w:uiPriority w:val="0"/>
    <w:tblPr>
      <w:tblStyle w:val="35"/>
      <w:tblCellMar>
        <w:top w:w="0" w:type="dxa"/>
        <w:left w:w="108" w:type="dxa"/>
        <w:bottom w:w="0" w:type="dxa"/>
        <w:right w:w="108" w:type="dxa"/>
      </w:tblCellMar>
    </w:tblPr>
  </w:style>
  <w:style w:type="paragraph" w:styleId="2">
    <w:name w:val="Body Text"/>
    <w:basedOn w:val="1"/>
    <w:link w:val="74"/>
    <w:uiPriority w:val="99"/>
    <w:pPr>
      <w:widowControl w:val="0"/>
      <w:spacing w:line="360" w:lineRule="auto"/>
      <w:jc w:val="both"/>
    </w:pPr>
    <w:rPr>
      <w:rFonts w:ascii="楷体_GB2312" w:hAnsi="Times New Roman" w:eastAsia="楷体_GB2312"/>
      <w:kern w:val="2"/>
      <w:sz w:val="32"/>
    </w:rPr>
  </w:style>
  <w:style w:type="paragraph" w:styleId="4">
    <w:name w:val="Normal Indent"/>
    <w:basedOn w:val="1"/>
    <w:link w:val="62"/>
    <w:uiPriority w:val="0"/>
    <w:pPr>
      <w:ind w:firstLine="420"/>
    </w:pPr>
    <w:rPr>
      <w:rFonts w:ascii="Times New Roman" w:hAnsi="Times New Roman"/>
      <w:sz w:val="21"/>
    </w:rPr>
  </w:style>
  <w:style w:type="paragraph" w:styleId="13">
    <w:name w:val="Document Map"/>
    <w:basedOn w:val="1"/>
    <w:link w:val="166"/>
    <w:uiPriority w:val="99"/>
    <w:pPr>
      <w:shd w:val="clear" w:color="auto" w:fill="000080"/>
    </w:pPr>
  </w:style>
  <w:style w:type="paragraph" w:styleId="14">
    <w:name w:val="toa heading"/>
    <w:basedOn w:val="1"/>
    <w:next w:val="1"/>
    <w:qFormat/>
    <w:uiPriority w:val="0"/>
    <w:pPr>
      <w:widowControl w:val="0"/>
      <w:spacing w:before="120" w:beforeLines="0"/>
      <w:jc w:val="both"/>
    </w:pPr>
    <w:rPr>
      <w:rFonts w:ascii="Arial" w:hAnsi="Arial" w:cs="Arial"/>
      <w:kern w:val="2"/>
      <w:sz w:val="24"/>
      <w:szCs w:val="24"/>
    </w:rPr>
  </w:style>
  <w:style w:type="paragraph" w:styleId="15">
    <w:name w:val="annotation text"/>
    <w:basedOn w:val="1"/>
    <w:link w:val="163"/>
    <w:qFormat/>
    <w:uiPriority w:val="0"/>
  </w:style>
  <w:style w:type="paragraph" w:styleId="16">
    <w:name w:val="Body Text Indent"/>
    <w:basedOn w:val="1"/>
    <w:uiPriority w:val="0"/>
    <w:pPr>
      <w:spacing w:after="120" w:afterLines="0"/>
      <w:ind w:left="420" w:leftChars="200"/>
    </w:pPr>
  </w:style>
  <w:style w:type="paragraph" w:styleId="17">
    <w:name w:val="List Number 3"/>
    <w:basedOn w:val="1"/>
    <w:uiPriority w:val="0"/>
    <w:pPr>
      <w:numPr>
        <w:ilvl w:val="0"/>
        <w:numId w:val="1"/>
      </w:numPr>
      <w:tabs>
        <w:tab w:val="left" w:pos="482"/>
        <w:tab w:val="clear" w:pos="1140"/>
      </w:tabs>
      <w:spacing w:after="156" w:afterLines="50"/>
      <w:ind w:left="482" w:hanging="340"/>
    </w:pPr>
    <w:rPr>
      <w:sz w:val="24"/>
    </w:rPr>
  </w:style>
  <w:style w:type="paragraph" w:styleId="18">
    <w:name w:val="toc 3"/>
    <w:basedOn w:val="1"/>
    <w:next w:val="1"/>
    <w:uiPriority w:val="39"/>
    <w:pPr>
      <w:ind w:left="840" w:leftChars="400"/>
    </w:pPr>
  </w:style>
  <w:style w:type="paragraph" w:styleId="19">
    <w:name w:val="Plain Text"/>
    <w:basedOn w:val="1"/>
    <w:link w:val="66"/>
    <w:qFormat/>
    <w:uiPriority w:val="0"/>
    <w:pPr>
      <w:widowControl w:val="0"/>
      <w:jc w:val="both"/>
    </w:pPr>
    <w:rPr>
      <w:rFonts w:ascii="宋体" w:hAnsi="Courier New" w:eastAsia="宋体"/>
      <w:kern w:val="2"/>
      <w:sz w:val="21"/>
      <w:lang w:val="en-US" w:eastAsia="zh-CN" w:bidi="ar-SA"/>
    </w:rPr>
  </w:style>
  <w:style w:type="paragraph" w:styleId="20">
    <w:name w:val="Date"/>
    <w:basedOn w:val="1"/>
    <w:next w:val="1"/>
    <w:uiPriority w:val="0"/>
    <w:pPr>
      <w:widowControl w:val="0"/>
      <w:jc w:val="both"/>
    </w:pPr>
    <w:rPr>
      <w:rFonts w:ascii="宋体"/>
      <w:sz w:val="24"/>
    </w:rPr>
  </w:style>
  <w:style w:type="paragraph" w:styleId="21">
    <w:name w:val="Body Text Indent 2"/>
    <w:basedOn w:val="1"/>
    <w:uiPriority w:val="0"/>
    <w:pPr>
      <w:spacing w:line="360" w:lineRule="auto"/>
      <w:ind w:left="784"/>
    </w:pPr>
  </w:style>
  <w:style w:type="paragraph" w:styleId="22">
    <w:name w:val="Balloon Text"/>
    <w:basedOn w:val="1"/>
    <w:link w:val="80"/>
    <w:uiPriority w:val="99"/>
    <w:rPr>
      <w:rFonts w:ascii="Times New Roman" w:hAnsi="Times New Roman"/>
      <w:sz w:val="18"/>
      <w:szCs w:val="18"/>
    </w:rPr>
  </w:style>
  <w:style w:type="paragraph" w:styleId="23">
    <w:name w:val="footer"/>
    <w:basedOn w:val="1"/>
    <w:link w:val="76"/>
    <w:uiPriority w:val="0"/>
    <w:pPr>
      <w:tabs>
        <w:tab w:val="center" w:pos="4153"/>
        <w:tab w:val="right" w:pos="8306"/>
      </w:tabs>
      <w:snapToGrid w:val="0"/>
    </w:pPr>
    <w:rPr>
      <w:rFonts w:ascii="Times New Roman" w:hAnsi="Times New Roman" w:eastAsia="宋体" w:cs="Times New Roman"/>
      <w:kern w:val="0"/>
      <w:sz w:val="18"/>
      <w:szCs w:val="20"/>
    </w:rPr>
  </w:style>
  <w:style w:type="paragraph" w:styleId="24">
    <w:name w:val="header"/>
    <w:basedOn w:val="1"/>
    <w:link w:val="59"/>
    <w:uiPriority w:val="99"/>
    <w:pPr>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18"/>
    </w:rPr>
  </w:style>
  <w:style w:type="paragraph" w:styleId="25">
    <w:name w:val="toc 1"/>
    <w:basedOn w:val="1"/>
    <w:next w:val="1"/>
    <w:uiPriority w:val="39"/>
    <w:pPr>
      <w:tabs>
        <w:tab w:val="right" w:leader="middleDot" w:pos="8948"/>
      </w:tabs>
      <w:spacing w:before="120" w:beforeLines="0" w:after="120" w:afterLines="0"/>
    </w:pPr>
    <w:rPr>
      <w:b/>
      <w:bCs/>
      <w:caps/>
      <w:szCs w:val="21"/>
      <w:lang/>
    </w:rPr>
  </w:style>
  <w:style w:type="paragraph" w:styleId="26">
    <w:name w:val="Body Text Indent 3"/>
    <w:basedOn w:val="1"/>
    <w:uiPriority w:val="0"/>
    <w:pPr>
      <w:spacing w:after="120" w:afterLines="0"/>
      <w:ind w:left="420" w:leftChars="200"/>
    </w:pPr>
    <w:rPr>
      <w:sz w:val="16"/>
      <w:szCs w:val="16"/>
    </w:rPr>
  </w:style>
  <w:style w:type="paragraph" w:styleId="27">
    <w:name w:val="table of figures"/>
    <w:basedOn w:val="1"/>
    <w:next w:val="1"/>
    <w:uiPriority w:val="0"/>
    <w:pPr>
      <w:ind w:left="840" w:leftChars="200" w:hanging="420" w:hangingChars="200"/>
    </w:pPr>
  </w:style>
  <w:style w:type="paragraph" w:styleId="28">
    <w:name w:val="toc 2"/>
    <w:basedOn w:val="1"/>
    <w:next w:val="1"/>
    <w:uiPriority w:val="39"/>
    <w:pPr>
      <w:tabs>
        <w:tab w:val="right" w:leader="middleDot" w:pos="8948"/>
      </w:tabs>
      <w:spacing w:before="60" w:beforeLines="0" w:after="60" w:afterLines="0"/>
      <w:ind w:left="210"/>
    </w:pPr>
    <w:rPr>
      <w:smallCaps/>
    </w:rPr>
  </w:style>
  <w:style w:type="paragraph" w:styleId="29">
    <w:name w:val="Body Text 2"/>
    <w:basedOn w:val="1"/>
    <w:uiPriority w:val="0"/>
    <w:pPr>
      <w:widowControl w:val="0"/>
      <w:jc w:val="center"/>
    </w:pPr>
    <w:rPr>
      <w:rFonts w:ascii="宋体" w:hAnsi="宋体"/>
      <w:kern w:val="2"/>
      <w:sz w:val="44"/>
      <w:szCs w:val="24"/>
    </w:rPr>
  </w:style>
  <w:style w:type="paragraph" w:styleId="30">
    <w:name w:val="HTML Preformatted"/>
    <w:basedOn w:val="1"/>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宋体"/>
      <w:sz w:val="24"/>
      <w:szCs w:val="24"/>
    </w:rPr>
  </w:style>
  <w:style w:type="paragraph" w:styleId="31">
    <w:name w:val="Normal (Web)"/>
    <w:basedOn w:val="1"/>
    <w:qFormat/>
    <w:uiPriority w:val="0"/>
    <w:pPr>
      <w:spacing w:before="100" w:beforeLines="0" w:beforeAutospacing="1" w:after="100" w:afterLines="0" w:afterAutospacing="1"/>
    </w:pPr>
    <w:rPr>
      <w:rFonts w:ascii="Arial Unicode MS" w:hAnsi="Arial Unicode MS" w:eastAsia="Times New Roman"/>
      <w:color w:val="000000"/>
      <w:sz w:val="24"/>
      <w:szCs w:val="24"/>
    </w:rPr>
  </w:style>
  <w:style w:type="paragraph" w:styleId="32">
    <w:name w:val="annotation subject"/>
    <w:basedOn w:val="15"/>
    <w:next w:val="15"/>
    <w:uiPriority w:val="0"/>
    <w:rPr>
      <w:b/>
      <w:bCs/>
    </w:rPr>
  </w:style>
  <w:style w:type="paragraph" w:styleId="33">
    <w:name w:val="Body Text First Indent"/>
    <w:basedOn w:val="2"/>
    <w:link w:val="79"/>
    <w:uiPriority w:val="0"/>
    <w:pPr>
      <w:widowControl/>
      <w:spacing w:after="120" w:line="240" w:lineRule="auto"/>
      <w:ind w:firstLine="420" w:firstLineChars="100"/>
      <w:jc w:val="left"/>
    </w:pPr>
    <w:rPr>
      <w:rFonts w:ascii="Times New Roman" w:eastAsia="宋体"/>
      <w:kern w:val="0"/>
      <w:sz w:val="21"/>
    </w:rPr>
  </w:style>
  <w:style w:type="paragraph" w:styleId="34">
    <w:name w:val="Body Text First Indent 2"/>
    <w:basedOn w:val="16"/>
    <w:qFormat/>
    <w:uiPriority w:val="99"/>
    <w:pPr>
      <w:widowControl w:val="0"/>
      <w:ind w:firstLine="420" w:firstLineChars="200"/>
      <w:jc w:val="both"/>
    </w:pPr>
    <w:rPr>
      <w:rFonts w:ascii="仿宋_GB2312" w:hAnsi="宋体" w:eastAsia="仿宋_GB2312"/>
      <w:b/>
      <w:color w:val="000000"/>
    </w:rPr>
  </w:style>
  <w:style w:type="table" w:styleId="36">
    <w:name w:val="Table Grid"/>
    <w:basedOn w:val="35"/>
    <w:qFormat/>
    <w:uiPriority w:val="59"/>
    <w:pPr>
      <w:widowControl w:val="0"/>
      <w:jc w:val="both"/>
    </w:pPr>
    <w:tblPr>
      <w:tblStyle w:val="3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qFormat/>
    <w:uiPriority w:val="0"/>
    <w:rPr>
      <w:b/>
      <w:bCs/>
    </w:rPr>
  </w:style>
  <w:style w:type="character" w:styleId="39">
    <w:name w:val="page number"/>
    <w:basedOn w:val="37"/>
    <w:uiPriority w:val="0"/>
  </w:style>
  <w:style w:type="character" w:styleId="40">
    <w:name w:val="FollowedHyperlink"/>
    <w:uiPriority w:val="99"/>
    <w:rPr>
      <w:color w:val="800080"/>
      <w:u w:val="single"/>
    </w:rPr>
  </w:style>
  <w:style w:type="character" w:styleId="41">
    <w:name w:val="Emphasis"/>
    <w:qFormat/>
    <w:uiPriority w:val="20"/>
    <w:rPr>
      <w:rFonts w:ascii="宋体" w:hAnsi="宋体" w:eastAsia="宋体"/>
      <w:color w:val="000000"/>
      <w:kern w:val="2"/>
      <w:sz w:val="22"/>
      <w:szCs w:val="20"/>
      <w:lang w:val="en-US" w:eastAsia="zh-CN" w:bidi="ar-SA"/>
    </w:rPr>
  </w:style>
  <w:style w:type="character" w:styleId="42">
    <w:name w:val="line number"/>
    <w:basedOn w:val="37"/>
    <w:uiPriority w:val="0"/>
  </w:style>
  <w:style w:type="character" w:styleId="43">
    <w:name w:val="Hyperlink"/>
    <w:uiPriority w:val="99"/>
    <w:rPr>
      <w:color w:val="0000FF"/>
      <w:u w:val="single"/>
    </w:rPr>
  </w:style>
  <w:style w:type="character" w:styleId="44">
    <w:name w:val="annotation reference"/>
    <w:uiPriority w:val="0"/>
    <w:rPr>
      <w:sz w:val="21"/>
      <w:szCs w:val="21"/>
    </w:rPr>
  </w:style>
  <w:style w:type="character" w:customStyle="1" w:styleId="45">
    <w:name w:val="正文缩进 Char"/>
    <w:aliases w:val="表正文 Char1,正文非缩进 Char1,正文不缩进 Char1,特点 Char1,段1 Char1,标题4 Char1,特点标题 Char1,ALT+Z Char1,四号 Char1,缩进 Char1,正文（段落文字） Char1,正文编号 Char1,Justified Char1,plain paragraph Char1,pp Char1,Block text Char1,t Char1,BODY TEXT Char1,text Char1,sp Char1,P Char"/>
    <w:uiPriority w:val="0"/>
    <w:rPr>
      <w:rFonts w:ascii="Times New Roman" w:hAnsi="Times New Roman"/>
      <w:sz w:val="21"/>
    </w:rPr>
  </w:style>
  <w:style w:type="character" w:customStyle="1" w:styleId="46">
    <w:name w:val="纯文本 Char2"/>
    <w:aliases w:val="普通文字 Char Char4,纯文本 Char Char Char3,Texte Char3,普通文字 Char3,普通文字1 Char3,普通文字2 Char3,普通文字3 Char3,普通文字4 Char3,普通文字5 Char3,普通文字6 Char3,普通文字11 Char3,普通文字21 Char3,普通文字31 Char3,普通文字41 Char3,普通文字7 Char3,正 文 1 Char3,普通文字 Char Char Char4,小 Char"/>
    <w:uiPriority w:val="0"/>
    <w:rPr>
      <w:rFonts w:hint="eastAsia" w:ascii="宋体" w:hAnsi="Courier New" w:eastAsia="仿宋_GB2312" w:cs="宋体"/>
      <w:b/>
      <w:color w:val="000000"/>
      <w:kern w:val="0"/>
      <w:szCs w:val="21"/>
    </w:rPr>
  </w:style>
  <w:style w:type="character" w:customStyle="1" w:styleId="47">
    <w:name w:val="font01"/>
    <w:uiPriority w:val="0"/>
    <w:rPr>
      <w:rFonts w:hint="eastAsia" w:ascii="宋体" w:hAnsi="宋体" w:eastAsia="宋体"/>
      <w:color w:val="FF0000"/>
      <w:kern w:val="2"/>
      <w:sz w:val="18"/>
      <w:szCs w:val="18"/>
      <w:u w:val="none"/>
      <w:lang w:val="en-US" w:eastAsia="zh-CN" w:bidi="ar-SA"/>
    </w:rPr>
  </w:style>
  <w:style w:type="character" w:customStyle="1" w:styleId="48">
    <w:name w:val="正文（首行缩进两字） Char"/>
    <w:aliases w:val="正文缩进 Char1 Char,正文（首行缩进两字） Char1 Char,文2 Char Char,ALT+Z Char Char,表正文 Char Char,正文非缩进 Char Char,特点 Char1 Char,段1 Char Char,标题4 Char Char,特点 Char Char Char1 Char,特点 Char Char Char Char Char,标题4 Char Char Char Char Char,四号 Char Char"/>
    <w:uiPriority w:val="0"/>
    <w:rPr>
      <w:rFonts w:eastAsia="宋体"/>
      <w:sz w:val="21"/>
      <w:lang w:val="en-US" w:eastAsia="zh-CN" w:bidi="ar-SA"/>
    </w:rPr>
  </w:style>
  <w:style w:type="character" w:customStyle="1" w:styleId="49">
    <w:name w:val="zw1 Char Char"/>
    <w:link w:val="50"/>
    <w:uiPriority w:val="0"/>
    <w:rPr>
      <w:kern w:val="2"/>
      <w:sz w:val="24"/>
      <w:lang w:bidi="ar-SA"/>
    </w:rPr>
  </w:style>
  <w:style w:type="paragraph" w:customStyle="1" w:styleId="50">
    <w:name w:val="zw1"/>
    <w:basedOn w:val="1"/>
    <w:link w:val="49"/>
    <w:uiPriority w:val="0"/>
    <w:pPr>
      <w:widowControl w:val="0"/>
      <w:spacing w:line="360" w:lineRule="auto"/>
      <w:ind w:firstLine="200" w:firstLineChars="200"/>
      <w:jc w:val="both"/>
    </w:pPr>
    <w:rPr>
      <w:kern w:val="2"/>
      <w:sz w:val="24"/>
      <w:lang w:bidi="ar-SA"/>
    </w:rPr>
  </w:style>
  <w:style w:type="character" w:customStyle="1" w:styleId="51">
    <w:name w:val="纯文本 Char Char Char Char"/>
    <w:aliases w:val="纯文本 Char Char Char,普通文字 Char1,Texte Char,纯文本 Char Char Char1,纯文本 Char Char1,普通文字1 Char,普通文字2 Char,普通文字3 Char,普通文字4 Char,普通文字5 Char,普通文字6 Char,普通文字11 Char,普通文字21 Char,普通文字31 Char,普通文字41 Char,普通文字7 Char,正 文 1 Char,普通文字 Char Char1"/>
    <w:uiPriority w:val="0"/>
    <w:rPr>
      <w:rFonts w:ascii="宋体" w:hAnsi="Courier New" w:eastAsia="仿宋_GB2312" w:cs="宋体"/>
      <w:b/>
      <w:bCs/>
      <w:color w:val="000000"/>
      <w:sz w:val="21"/>
      <w:lang w:val="en-US" w:eastAsia="zh-CN" w:bidi="ar-SA"/>
    </w:rPr>
  </w:style>
  <w:style w:type="character" w:customStyle="1" w:styleId="52">
    <w:name w:val="样式1 Char Char"/>
    <w:link w:val="53"/>
    <w:uiPriority w:val="0"/>
    <w:rPr>
      <w:rFonts w:ascii="宋体" w:hAnsi="宋体" w:eastAsia="宋体"/>
      <w:b/>
      <w:kern w:val="2"/>
      <w:sz w:val="24"/>
      <w:lang w:val="en-US" w:eastAsia="zh-CN" w:bidi="ar-SA"/>
    </w:rPr>
  </w:style>
  <w:style w:type="paragraph" w:customStyle="1" w:styleId="53">
    <w:name w:val="样式1"/>
    <w:basedOn w:val="1"/>
    <w:link w:val="52"/>
    <w:uiPriority w:val="0"/>
    <w:pPr>
      <w:widowControl w:val="0"/>
      <w:spacing w:before="120" w:beforeLines="0" w:after="120" w:afterLines="0" w:line="300" w:lineRule="auto"/>
      <w:jc w:val="both"/>
    </w:pPr>
    <w:rPr>
      <w:rFonts w:ascii="宋体" w:hAnsi="宋体" w:eastAsia="宋体"/>
      <w:b/>
      <w:kern w:val="2"/>
      <w:sz w:val="24"/>
      <w:lang w:val="en-US" w:eastAsia="zh-CN" w:bidi="ar-SA"/>
    </w:rPr>
  </w:style>
  <w:style w:type="character" w:customStyle="1" w:styleId="54">
    <w:name w:val="列出段落 Char"/>
    <w:link w:val="55"/>
    <w:uiPriority w:val="0"/>
    <w:rPr>
      <w:rFonts w:eastAsia="宋体"/>
      <w:sz w:val="21"/>
      <w:lang w:val="en-US" w:eastAsia="zh-CN" w:bidi="ar-SA"/>
    </w:rPr>
  </w:style>
  <w:style w:type="paragraph" w:customStyle="1" w:styleId="55">
    <w:name w:val="列出段落"/>
    <w:basedOn w:val="1"/>
    <w:link w:val="54"/>
    <w:qFormat/>
    <w:uiPriority w:val="0"/>
    <w:pPr>
      <w:ind w:firstLine="420" w:firstLineChars="200"/>
    </w:pPr>
    <w:rPr>
      <w:rFonts w:eastAsia="宋体"/>
      <w:sz w:val="21"/>
      <w:lang w:val="en-US" w:eastAsia="zh-CN" w:bidi="ar-SA"/>
    </w:rPr>
  </w:style>
  <w:style w:type="character" w:customStyle="1" w:styleId="56">
    <w:name w:val="表正文 Char"/>
    <w:aliases w:val="正文非缩进 Char,正文不缩进 Char,特点 Char,段1 Char,标题4 Char,特点标题 Char,ALT+Z Char,四号 Char,缩进 Char,正文（段落文字） Char,正文编号 Char,Justified Char,plain paragraph Char,pp Char,Block text Char,t Char,BODY TEXT Char,text Char,sp Char,sbs Char,block text Char,bt4 Char"/>
    <w:uiPriority w:val="0"/>
    <w:rPr>
      <w:rFonts w:ascii="Times New Roman" w:hAnsi="Times New Roman"/>
      <w:sz w:val="21"/>
    </w:rPr>
  </w:style>
  <w:style w:type="character" w:customStyle="1" w:styleId="57">
    <w:name w:val="ask-title2"/>
    <w:basedOn w:val="37"/>
    <w:uiPriority w:val="0"/>
  </w:style>
  <w:style w:type="character" w:styleId="58">
    <w:name w:val=""/>
    <w:unhideWhenUsed/>
    <w:uiPriority w:val="99"/>
    <w:rPr>
      <w:rFonts w:ascii="宋体" w:hAnsi="宋体" w:eastAsia="宋体"/>
      <w:color w:val="605E5C"/>
      <w:kern w:val="2"/>
      <w:sz w:val="22"/>
      <w:szCs w:val="22"/>
      <w:shd w:val="clear" w:color="auto" w:fill="E1DFDD"/>
      <w:lang w:val="en-US" w:eastAsia="zh-CN" w:bidi="ar-SA"/>
    </w:rPr>
  </w:style>
  <w:style w:type="character" w:customStyle="1" w:styleId="59">
    <w:name w:val="页眉 字符"/>
    <w:link w:val="24"/>
    <w:uiPriority w:val="99"/>
    <w:rPr>
      <w:rFonts w:ascii="Times New Roman" w:hAnsi="Times New Roman" w:eastAsia="宋体" w:cs="Times New Roman"/>
      <w:kern w:val="0"/>
      <w:sz w:val="18"/>
      <w:szCs w:val="18"/>
    </w:rPr>
  </w:style>
  <w:style w:type="character" w:customStyle="1" w:styleId="60">
    <w:name w:val="保留正文 Char Char"/>
    <w:link w:val="61"/>
    <w:uiPriority w:val="0"/>
    <w:rPr>
      <w:rFonts w:ascii="楷体_GB2312" w:hAnsi="Times New Roman" w:eastAsia="宋体"/>
      <w:kern w:val="2"/>
      <w:sz w:val="21"/>
      <w:szCs w:val="24"/>
      <w:lang w:val="en-US" w:eastAsia="zh-CN" w:bidi="ar-SA"/>
    </w:rPr>
  </w:style>
  <w:style w:type="paragraph" w:customStyle="1" w:styleId="61">
    <w:name w:val="保留正文"/>
    <w:basedOn w:val="2"/>
    <w:link w:val="60"/>
    <w:uiPriority w:val="0"/>
    <w:pPr>
      <w:keepNext/>
      <w:spacing w:after="160" w:afterLines="0" w:line="240" w:lineRule="auto"/>
    </w:pPr>
    <w:rPr>
      <w:rFonts w:eastAsia="宋体"/>
      <w:sz w:val="21"/>
      <w:szCs w:val="24"/>
      <w:lang w:val="en-US" w:eastAsia="zh-CN" w:bidi="ar-SA"/>
    </w:rPr>
  </w:style>
  <w:style w:type="character" w:customStyle="1" w:styleId="62">
    <w:name w:val="正文缩进 字符"/>
    <w:link w:val="4"/>
    <w:uiPriority w:val="0"/>
    <w:rPr>
      <w:rFonts w:ascii="Times New Roman" w:hAnsi="Times New Roman"/>
      <w:sz w:val="21"/>
    </w:rPr>
  </w:style>
  <w:style w:type="character" w:customStyle="1" w:styleId="63">
    <w:name w:val="font31"/>
    <w:uiPriority w:val="0"/>
    <w:rPr>
      <w:rFonts w:hint="eastAsia" w:ascii="宋体" w:hAnsi="宋体" w:eastAsia="宋体"/>
      <w:b/>
      <w:bCs/>
      <w:color w:val="000000"/>
      <w:kern w:val="2"/>
      <w:sz w:val="18"/>
      <w:szCs w:val="18"/>
      <w:u w:val="none"/>
      <w:lang w:val="en-US" w:eastAsia="zh-CN" w:bidi="ar-SA"/>
    </w:rPr>
  </w:style>
  <w:style w:type="character" w:customStyle="1" w:styleId="64">
    <w:name w:val="Para head"/>
    <w:uiPriority w:val="0"/>
    <w:rPr>
      <w:rFonts w:ascii="Arial" w:hAnsi="Arial" w:eastAsia="Times New Roman"/>
      <w:sz w:val="20"/>
    </w:rPr>
  </w:style>
  <w:style w:type="character" w:customStyle="1" w:styleId="65">
    <w:name w:val="标题 1 字符"/>
    <w:link w:val="3"/>
    <w:uiPriority w:val="0"/>
    <w:rPr>
      <w:rFonts w:ascii="宋体" w:hAnsi="Times New Roman" w:eastAsia="宋体" w:cs="Times New Roman"/>
      <w:b/>
      <w:kern w:val="44"/>
      <w:sz w:val="24"/>
      <w:szCs w:val="20"/>
    </w:rPr>
  </w:style>
  <w:style w:type="character" w:customStyle="1" w:styleId="66">
    <w:name w:val="纯文本 字符"/>
    <w:link w:val="19"/>
    <w:qFormat/>
    <w:uiPriority w:val="0"/>
    <w:rPr>
      <w:rFonts w:ascii="宋体" w:hAnsi="Courier New" w:eastAsia="宋体"/>
      <w:kern w:val="2"/>
      <w:sz w:val="21"/>
      <w:lang w:val="en-US" w:eastAsia="zh-CN" w:bidi="ar-SA"/>
    </w:rPr>
  </w:style>
  <w:style w:type="character" w:customStyle="1" w:styleId="67">
    <w:name w:val=" Char Char6"/>
    <w:uiPriority w:val="0"/>
    <w:rPr>
      <w:rFonts w:ascii="宋体" w:hAnsi="Times New Roman" w:eastAsia="宋体" w:cs="Times New Roman"/>
      <w:b/>
      <w:color w:val="000000"/>
      <w:kern w:val="44"/>
      <w:sz w:val="24"/>
      <w:szCs w:val="20"/>
      <w:lang w:val="en-US" w:eastAsia="zh-CN" w:bidi="ar-SA"/>
    </w:rPr>
  </w:style>
  <w:style w:type="character" w:customStyle="1" w:styleId="68">
    <w:name w:val="页眉 Char"/>
    <w:uiPriority w:val="0"/>
    <w:rPr>
      <w:rFonts w:eastAsia="宋体"/>
      <w:kern w:val="2"/>
      <w:sz w:val="18"/>
      <w:szCs w:val="18"/>
      <w:lang w:val="en-US" w:eastAsia="zh-CN" w:bidi="ar-SA"/>
    </w:rPr>
  </w:style>
  <w:style w:type="character" w:customStyle="1" w:styleId="69">
    <w:name w:val="纯文本 Char"/>
    <w:uiPriority w:val="99"/>
    <w:rPr>
      <w:rFonts w:ascii="宋体" w:hAnsi="Courier New" w:eastAsia="宋体"/>
      <w:color w:val="000000"/>
      <w:kern w:val="2"/>
      <w:sz w:val="21"/>
      <w:szCs w:val="22"/>
      <w:lang w:val="en-US" w:eastAsia="zh-CN" w:bidi="ar-SA"/>
    </w:rPr>
  </w:style>
  <w:style w:type="character" w:customStyle="1" w:styleId="70">
    <w:name w:val="BZ_正文 Char"/>
    <w:link w:val="71"/>
    <w:qFormat/>
    <w:uiPriority w:val="0"/>
    <w:rPr>
      <w:rFonts w:eastAsia="宋体"/>
      <w:sz w:val="24"/>
      <w:szCs w:val="24"/>
      <w:lang w:bidi="ar-SA"/>
    </w:rPr>
  </w:style>
  <w:style w:type="paragraph" w:customStyle="1" w:styleId="71">
    <w:name w:val="BZ_正文"/>
    <w:basedOn w:val="1"/>
    <w:link w:val="70"/>
    <w:qFormat/>
    <w:uiPriority w:val="0"/>
    <w:pPr>
      <w:spacing w:line="360" w:lineRule="auto"/>
      <w:ind w:firstLine="200" w:firstLineChars="200"/>
      <w:jc w:val="both"/>
    </w:pPr>
    <w:rPr>
      <w:rFonts w:eastAsia="宋体"/>
      <w:sz w:val="24"/>
      <w:szCs w:val="24"/>
      <w:lang w:bidi="ar-SA"/>
    </w:rPr>
  </w:style>
  <w:style w:type="character" w:customStyle="1" w:styleId="72">
    <w:name w:val="Texte Char Char"/>
    <w:uiPriority w:val="0"/>
    <w:rPr>
      <w:rFonts w:ascii="宋体" w:hAnsi="Courier New" w:eastAsia="宋体"/>
      <w:color w:val="000000"/>
      <w:kern w:val="2"/>
      <w:sz w:val="21"/>
      <w:szCs w:val="22"/>
      <w:lang w:val="en-US" w:eastAsia="zh-CN" w:bidi="ar-SA"/>
    </w:rPr>
  </w:style>
  <w:style w:type="character" w:customStyle="1" w:styleId="73">
    <w:name w:val="Normal Indent Char Char"/>
    <w:aliases w:val="Normal Indent Char1 Char Char,Normal Indent Char Char Char Char,Normal Indent Char1 Char Char Char Char,Normal Indent Char Char Char Char Char Char,Normal Indent Char1 Char Char Char Char Char Char,特点 Char Char Char"/>
    <w:uiPriority w:val="0"/>
    <w:rPr>
      <w:rFonts w:eastAsia="宋体"/>
      <w:sz w:val="21"/>
      <w:lang w:val="en-US" w:eastAsia="zh-CN" w:bidi="ar-SA"/>
    </w:rPr>
  </w:style>
  <w:style w:type="character" w:customStyle="1" w:styleId="74">
    <w:name w:val="正文文本 字符"/>
    <w:link w:val="2"/>
    <w:uiPriority w:val="99"/>
    <w:rPr>
      <w:rFonts w:ascii="楷体_GB2312" w:hAnsi="Times New Roman" w:eastAsia="楷体_GB2312"/>
      <w:kern w:val="2"/>
      <w:sz w:val="32"/>
    </w:rPr>
  </w:style>
  <w:style w:type="character" w:customStyle="1" w:styleId="75">
    <w:name w:val=" Char Char9"/>
    <w:uiPriority w:val="0"/>
    <w:rPr>
      <w:rFonts w:ascii="宋体" w:hAnsi="Times New Roman" w:eastAsia="宋体" w:cs="Times New Roman"/>
      <w:b/>
      <w:kern w:val="44"/>
      <w:sz w:val="24"/>
      <w:szCs w:val="20"/>
    </w:rPr>
  </w:style>
  <w:style w:type="character" w:customStyle="1" w:styleId="76">
    <w:name w:val="页脚 字符"/>
    <w:link w:val="23"/>
    <w:uiPriority w:val="0"/>
    <w:rPr>
      <w:rFonts w:ascii="Times New Roman" w:hAnsi="Times New Roman" w:eastAsia="宋体" w:cs="Times New Roman"/>
      <w:kern w:val="0"/>
      <w:sz w:val="18"/>
      <w:szCs w:val="20"/>
    </w:rPr>
  </w:style>
  <w:style w:type="character" w:customStyle="1" w:styleId="77">
    <w:name w:val=" Char Char5"/>
    <w:uiPriority w:val="0"/>
    <w:rPr>
      <w:rFonts w:ascii="宋体" w:hAnsi="Times New Roman" w:eastAsia="宋体" w:cs="Times New Roman"/>
      <w:b/>
      <w:color w:val="000000"/>
      <w:kern w:val="44"/>
      <w:sz w:val="24"/>
      <w:szCs w:val="20"/>
      <w:lang w:val="en-US" w:eastAsia="zh-CN" w:bidi="ar-SA"/>
    </w:rPr>
  </w:style>
  <w:style w:type="character" w:customStyle="1" w:styleId="78">
    <w:name w:val="unnamed51"/>
    <w:uiPriority w:val="0"/>
    <w:rPr>
      <w:sz w:val="22"/>
      <w:szCs w:val="22"/>
    </w:rPr>
  </w:style>
  <w:style w:type="character" w:customStyle="1" w:styleId="79">
    <w:name w:val="正文文本首行缩进 字符"/>
    <w:link w:val="33"/>
    <w:uiPriority w:val="0"/>
    <w:rPr>
      <w:rFonts w:ascii="Times New Roman" w:hAnsi="Times New Roman" w:eastAsia="楷体_GB2312"/>
      <w:kern w:val="2"/>
      <w:sz w:val="21"/>
    </w:rPr>
  </w:style>
  <w:style w:type="character" w:customStyle="1" w:styleId="80">
    <w:name w:val="批注框文本 字符"/>
    <w:link w:val="22"/>
    <w:uiPriority w:val="99"/>
    <w:rPr>
      <w:rFonts w:ascii="Times New Roman" w:hAnsi="Times New Roman"/>
      <w:sz w:val="18"/>
      <w:szCs w:val="18"/>
    </w:rPr>
  </w:style>
  <w:style w:type="character" w:customStyle="1" w:styleId="81">
    <w:name w:val="ca-01"/>
    <w:uiPriority w:val="0"/>
    <w:rPr>
      <w:rFonts w:hint="eastAsia" w:ascii="宋体" w:hAnsi="宋体" w:eastAsia="宋体"/>
      <w:b/>
      <w:bCs/>
      <w:spacing w:val="-20"/>
      <w:sz w:val="21"/>
      <w:szCs w:val="21"/>
    </w:rPr>
  </w:style>
  <w:style w:type="character" w:customStyle="1" w:styleId="82">
    <w:name w:val=" Char Char12"/>
    <w:uiPriority w:val="0"/>
    <w:rPr>
      <w:rFonts w:ascii="仿宋_GB2312" w:hAnsi="Wingdings" w:eastAsia="仿宋_GB2312"/>
      <w:sz w:val="21"/>
      <w:szCs w:val="21"/>
      <w:lang w:val="en-US" w:eastAsia="zh-CN" w:bidi="ar-SA"/>
    </w:rPr>
  </w:style>
  <w:style w:type="character" w:customStyle="1" w:styleId="83">
    <w:name w:val="List Paragraph Char"/>
    <w:link w:val="84"/>
    <w:uiPriority w:val="0"/>
    <w:rPr>
      <w:rFonts w:ascii="Calibri" w:hAnsi="Calibri" w:eastAsia="宋体" w:cs="Calibri"/>
      <w:color w:val="000000"/>
      <w:kern w:val="2"/>
      <w:sz w:val="21"/>
      <w:szCs w:val="21"/>
      <w:lang w:val="en-US" w:eastAsia="zh-CN" w:bidi="ar-SA"/>
    </w:rPr>
  </w:style>
  <w:style w:type="paragraph" w:customStyle="1" w:styleId="84">
    <w:name w:val="List Paragraph"/>
    <w:basedOn w:val="1"/>
    <w:link w:val="83"/>
    <w:qFormat/>
    <w:uiPriority w:val="99"/>
    <w:pPr>
      <w:widowControl w:val="0"/>
      <w:ind w:firstLine="420" w:firstLineChars="200"/>
      <w:jc w:val="both"/>
    </w:pPr>
    <w:rPr>
      <w:rFonts w:ascii="Calibri" w:hAnsi="Calibri" w:cs="Calibri"/>
      <w:sz w:val="21"/>
      <w:szCs w:val="21"/>
    </w:rPr>
  </w:style>
  <w:style w:type="character" w:customStyle="1" w:styleId="85">
    <w:name w:val="标题 2 字符"/>
    <w:link w:val="5"/>
    <w:uiPriority w:val="9"/>
    <w:rPr>
      <w:rFonts w:ascii="Cambria" w:hAnsi="Cambria" w:eastAsia="宋体" w:cs="Times New Roman"/>
      <w:b/>
      <w:bCs/>
      <w:sz w:val="32"/>
      <w:szCs w:val="32"/>
    </w:rPr>
  </w:style>
  <w:style w:type="character" w:customStyle="1" w:styleId="86">
    <w:name w:val=" Char Char10"/>
    <w:uiPriority w:val="0"/>
    <w:rPr>
      <w:rFonts w:ascii="宋体" w:hAnsi="Times New Roman" w:eastAsia="宋体" w:cs="Times New Roman"/>
      <w:b/>
      <w:kern w:val="44"/>
      <w:sz w:val="24"/>
      <w:szCs w:val="20"/>
    </w:rPr>
  </w:style>
  <w:style w:type="paragraph" w:customStyle="1" w:styleId="87">
    <w:name w:val="Char Char Char Char Char Char"/>
    <w:basedOn w:val="1"/>
    <w:uiPriority w:val="0"/>
    <w:pPr>
      <w:widowControl w:val="0"/>
      <w:spacing w:line="360" w:lineRule="auto"/>
      <w:ind w:firstLine="200" w:firstLineChars="200"/>
      <w:jc w:val="both"/>
    </w:pPr>
    <w:rPr>
      <w:rFonts w:ascii="宋体" w:hAnsi="宋体" w:cs="宋体"/>
      <w:kern w:val="2"/>
      <w:sz w:val="24"/>
      <w:szCs w:val="24"/>
    </w:rPr>
  </w:style>
  <w:style w:type="paragraph" w:customStyle="1" w:styleId="88">
    <w:name w:val="_Style 1"/>
    <w:basedOn w:val="13"/>
    <w:qFormat/>
    <w:uiPriority w:val="0"/>
    <w:pPr>
      <w:widowControl w:val="0"/>
      <w:jc w:val="both"/>
    </w:pPr>
    <w:rPr>
      <w:rFonts w:ascii="Calibri" w:hAnsi="Calibri"/>
      <w:kern w:val="2"/>
      <w:szCs w:val="24"/>
    </w:rPr>
  </w:style>
  <w:style w:type="paragraph" w:customStyle="1" w:styleId="89">
    <w:name w:val="xl29"/>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textAlignment w:val="center"/>
    </w:pPr>
    <w:rPr>
      <w:rFonts w:eastAsia="Arial Unicode MS"/>
      <w:sz w:val="14"/>
      <w:szCs w:val="14"/>
      <w:lang w:eastAsia="en-US"/>
    </w:rPr>
  </w:style>
  <w:style w:type="paragraph" w:customStyle="1" w:styleId="90">
    <w:name w:val="xl31"/>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textAlignment w:val="center"/>
    </w:pPr>
    <w:rPr>
      <w:rFonts w:eastAsia="Arial Unicode MS"/>
      <w:szCs w:val="21"/>
      <w:lang w:eastAsia="en-US"/>
    </w:rPr>
  </w:style>
  <w:style w:type="paragraph" w:customStyle="1" w:styleId="91">
    <w:name w:val="菲页(卷)"/>
    <w:basedOn w:val="3"/>
    <w:next w:val="92"/>
    <w:uiPriority w:val="0"/>
    <w:pPr>
      <w:keepLines w:val="0"/>
      <w:widowControl/>
      <w:numPr>
        <w:ilvl w:val="0"/>
        <w:numId w:val="2"/>
      </w:numPr>
      <w:tabs>
        <w:tab w:val="clear" w:pos="840"/>
      </w:tabs>
      <w:adjustRightInd/>
      <w:snapToGrid/>
      <w:spacing w:line="240" w:lineRule="auto"/>
      <w:jc w:val="center"/>
      <w:outlineLvl w:val="1"/>
    </w:pPr>
    <w:rPr>
      <w:rFonts w:ascii="黑体" w:eastAsia="黑体"/>
      <w:b w:val="0"/>
      <w:kern w:val="0"/>
      <w:sz w:val="52"/>
    </w:rPr>
  </w:style>
  <w:style w:type="paragraph" w:customStyle="1" w:styleId="92">
    <w:name w:val="Normal"/>
    <w:qFormat/>
    <w:uiPriority w:val="0"/>
    <w:pPr>
      <w:widowControl w:val="0"/>
      <w:adjustRightInd w:val="0"/>
      <w:spacing w:line="312" w:lineRule="atLeast"/>
      <w:jc w:val="both"/>
      <w:textAlignment w:val="baseline"/>
    </w:pPr>
    <w:rPr>
      <w:rFonts w:ascii="宋体"/>
      <w:sz w:val="34"/>
      <w:lang w:val="en-US" w:eastAsia="zh-CN" w:bidi="ar-SA"/>
    </w:rPr>
  </w:style>
  <w:style w:type="paragraph" w:customStyle="1" w:styleId="93">
    <w:name w:val="xl39"/>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pPr>
    <w:rPr>
      <w:rFonts w:ascii="宋体" w:hAnsi="宋体" w:cs="宋体"/>
      <w:sz w:val="24"/>
      <w:szCs w:val="24"/>
    </w:rPr>
  </w:style>
  <w:style w:type="paragraph" w:customStyle="1" w:styleId="94">
    <w:name w:val="xl45"/>
    <w:basedOn w:val="1"/>
    <w:uiPriority w:val="0"/>
    <w:pPr>
      <w:pBdr>
        <w:left w:val="single" w:color="auto" w:sz="4" w:space="0"/>
        <w:bottom w:val="single" w:color="auto" w:sz="4" w:space="0"/>
        <w:right w:val="single" w:color="auto" w:sz="4" w:space="0"/>
      </w:pBdr>
      <w:spacing w:before="100" w:beforeLines="0" w:beforeAutospacing="1" w:after="100" w:afterLines="0" w:afterAutospacing="1"/>
      <w:jc w:val="center"/>
    </w:pPr>
    <w:rPr>
      <w:rFonts w:ascii="宋体" w:hAnsi="宋体" w:cs="宋体"/>
      <w:sz w:val="24"/>
      <w:szCs w:val="24"/>
    </w:rPr>
  </w:style>
  <w:style w:type="paragraph" w:customStyle="1" w:styleId="95">
    <w:name w:val="xl26"/>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textAlignment w:val="center"/>
    </w:pPr>
    <w:rPr>
      <w:rFonts w:ascii="Arial Unicode MS" w:hAnsi="Arial Unicode MS" w:eastAsia="Arial Unicode MS" w:cs="Courier New"/>
      <w:sz w:val="20"/>
      <w:lang w:eastAsia="en-US"/>
    </w:rPr>
  </w:style>
  <w:style w:type="paragraph" w:customStyle="1" w:styleId="96">
    <w:name w:val="xl55"/>
    <w:basedOn w:val="1"/>
    <w:uiPriority w:val="0"/>
    <w:pPr>
      <w:spacing w:before="100" w:beforeLines="0" w:beforeAutospacing="1" w:after="100" w:afterLines="0" w:afterAutospacing="1"/>
      <w:jc w:val="center"/>
      <w:textAlignment w:val="center"/>
    </w:pPr>
    <w:rPr>
      <w:rFonts w:ascii="Arial Unicode MS" w:hAnsi="Arial Unicode MS"/>
      <w:sz w:val="24"/>
      <w:szCs w:val="24"/>
    </w:rPr>
  </w:style>
  <w:style w:type="paragraph" w:customStyle="1" w:styleId="97">
    <w:name w:val="菲页1"/>
    <w:basedOn w:val="5"/>
    <w:uiPriority w:val="0"/>
    <w:pPr>
      <w:jc w:val="center"/>
    </w:pPr>
    <w:rPr>
      <w:rFonts w:ascii="黑体" w:hAnsi="宋体" w:eastAsia="黑体"/>
      <w:b w:val="0"/>
      <w:color w:val="000000"/>
      <w:sz w:val="52"/>
    </w:rPr>
  </w:style>
  <w:style w:type="paragraph" w:customStyle="1" w:styleId="98">
    <w:name w:val="xl36"/>
    <w:basedOn w:val="1"/>
    <w:uiPriority w:val="0"/>
    <w:pPr>
      <w:pBdr>
        <w:top w:val="single" w:color="auto" w:sz="4" w:space="0"/>
        <w:left w:val="single" w:color="auto" w:sz="4" w:space="0"/>
        <w:bottom w:val="single" w:color="auto" w:sz="4" w:space="0"/>
      </w:pBdr>
      <w:spacing w:before="100" w:beforeLines="0" w:beforeAutospacing="1" w:after="100" w:afterLines="0" w:afterAutospacing="1"/>
    </w:pPr>
    <w:rPr>
      <w:rFonts w:ascii="宋体" w:hAnsi="宋体" w:cs="宋体"/>
      <w:sz w:val="20"/>
    </w:rPr>
  </w:style>
  <w:style w:type="paragraph" w:customStyle="1" w:styleId="99">
    <w:name w:val="xl40"/>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pPr>
    <w:rPr>
      <w:sz w:val="24"/>
      <w:szCs w:val="24"/>
    </w:rPr>
  </w:style>
  <w:style w:type="paragraph" w:customStyle="1" w:styleId="100">
    <w:name w:val="font8"/>
    <w:basedOn w:val="1"/>
    <w:uiPriority w:val="0"/>
    <w:pPr>
      <w:spacing w:before="100" w:beforeLines="0" w:beforeAutospacing="1" w:after="100" w:afterLines="0" w:afterAutospacing="1"/>
    </w:pPr>
    <w:rPr>
      <w:rFonts w:eastAsia="Arial Unicode MS"/>
      <w:sz w:val="24"/>
      <w:szCs w:val="24"/>
      <w:lang w:eastAsia="en-US"/>
    </w:rPr>
  </w:style>
  <w:style w:type="paragraph" w:customStyle="1" w:styleId="101">
    <w:name w:val="xl30"/>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textAlignment w:val="center"/>
    </w:pPr>
    <w:rPr>
      <w:rFonts w:ascii="Arial Unicode MS" w:hAnsi="Arial Unicode MS" w:eastAsia="Arial Unicode MS" w:cs="Courier New"/>
      <w:sz w:val="14"/>
      <w:szCs w:val="14"/>
      <w:lang w:eastAsia="en-US"/>
    </w:rPr>
  </w:style>
  <w:style w:type="paragraph" w:customStyle="1" w:styleId="102">
    <w:name w:val="xl35"/>
    <w:basedOn w:val="1"/>
    <w:uiPriority w:val="0"/>
    <w:pPr>
      <w:pBdr>
        <w:left w:val="single" w:color="auto" w:sz="4" w:space="0"/>
        <w:bottom w:val="single" w:color="auto" w:sz="4" w:space="0"/>
        <w:right w:val="single" w:color="auto" w:sz="4" w:space="0"/>
      </w:pBdr>
      <w:spacing w:before="100" w:beforeLines="0" w:beforeAutospacing="1" w:after="100" w:afterLines="0" w:afterAutospacing="1"/>
      <w:jc w:val="both"/>
      <w:textAlignment w:val="center"/>
    </w:pPr>
    <w:rPr>
      <w:rFonts w:ascii="Arial Unicode MS" w:hAnsi="Arial Unicode MS" w:eastAsia="Arial Unicode MS"/>
      <w:sz w:val="24"/>
      <w:szCs w:val="24"/>
    </w:rPr>
  </w:style>
  <w:style w:type="paragraph" w:customStyle="1" w:styleId="103">
    <w:name w:val="Preformatted"/>
    <w:basedOn w:val="1"/>
    <w:uiPriority w:val="0"/>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sz w:val="20"/>
    </w:rPr>
  </w:style>
  <w:style w:type="paragraph" w:customStyle="1" w:styleId="104">
    <w:name w:val="目录"/>
    <w:basedOn w:val="1"/>
    <w:uiPriority w:val="0"/>
    <w:pPr>
      <w:jc w:val="center"/>
    </w:pPr>
    <w:rPr>
      <w:rFonts w:hint="eastAsia" w:ascii="宋体"/>
      <w:b/>
      <w:sz w:val="36"/>
    </w:rPr>
  </w:style>
  <w:style w:type="paragraph" w:customStyle="1" w:styleId="105">
    <w:name w:val="*正文"/>
    <w:basedOn w:val="1"/>
    <w:uiPriority w:val="0"/>
    <w:pPr>
      <w:widowControl w:val="0"/>
      <w:spacing w:line="360" w:lineRule="auto"/>
      <w:ind w:firstLine="480" w:firstLineChars="200"/>
      <w:jc w:val="both"/>
    </w:pPr>
    <w:rPr>
      <w:rFonts w:ascii="宋体" w:hAnsi="宋体" w:cs="新宋体"/>
      <w:kern w:val="2"/>
      <w:sz w:val="24"/>
      <w:szCs w:val="24"/>
    </w:rPr>
  </w:style>
  <w:style w:type="paragraph" w:customStyle="1" w:styleId="106">
    <w:name w:val="表1"/>
    <w:basedOn w:val="1"/>
    <w:uiPriority w:val="0"/>
    <w:pPr>
      <w:widowControl w:val="0"/>
      <w:spacing w:line="240" w:lineRule="atLeast"/>
      <w:jc w:val="center"/>
    </w:pPr>
    <w:rPr>
      <w:kern w:val="2"/>
      <w:szCs w:val="21"/>
    </w:rPr>
  </w:style>
  <w:style w:type="paragraph" w:customStyle="1" w:styleId="107">
    <w:name w:val="xl32"/>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eastAsia="Arial Unicode MS"/>
      <w:sz w:val="24"/>
      <w:szCs w:val="24"/>
      <w:lang w:eastAsia="en-US"/>
    </w:rPr>
  </w:style>
  <w:style w:type="paragraph" w:customStyle="1" w:styleId="108">
    <w:name w:val="xl23"/>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pPr>
    <w:rPr>
      <w:rFonts w:ascii="Arial Unicode MS" w:hAnsi="Arial Unicode MS"/>
      <w:sz w:val="22"/>
      <w:szCs w:val="22"/>
    </w:rPr>
  </w:style>
  <w:style w:type="paragraph" w:customStyle="1" w:styleId="109">
    <w:name w:val="Char"/>
    <w:basedOn w:val="1"/>
    <w:uiPriority w:val="0"/>
    <w:pPr>
      <w:widowControl w:val="0"/>
      <w:jc w:val="both"/>
    </w:pPr>
    <w:rPr>
      <w:rFonts w:ascii="仿宋_GB2312" w:eastAsia="仿宋_GB2312"/>
      <w:b/>
      <w:kern w:val="2"/>
      <w:sz w:val="32"/>
      <w:szCs w:val="32"/>
    </w:rPr>
  </w:style>
  <w:style w:type="paragraph" w:customStyle="1" w:styleId="110">
    <w:name w:val="Proposals body"/>
    <w:basedOn w:val="1"/>
    <w:next w:val="1"/>
    <w:uiPriority w:val="0"/>
    <w:pPr>
      <w:spacing w:line="360" w:lineRule="auto"/>
    </w:pPr>
    <w:rPr>
      <w:rFonts w:ascii="宋体"/>
      <w:snapToGrid w:val="0"/>
      <w:color w:val="000000"/>
      <w:sz w:val="24"/>
    </w:rPr>
  </w:style>
  <w:style w:type="paragraph" w:customStyle="1" w:styleId="111">
    <w:name w:val="xl22"/>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pPr>
    <w:rPr>
      <w:rFonts w:ascii="Arial Unicode MS" w:hAnsi="Arial Unicode MS"/>
      <w:sz w:val="18"/>
      <w:szCs w:val="18"/>
    </w:rPr>
  </w:style>
  <w:style w:type="paragraph" w:customStyle="1" w:styleId="112">
    <w:name w:val="xl27"/>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textAlignment w:val="center"/>
    </w:pPr>
    <w:rPr>
      <w:rFonts w:ascii="Arial Unicode MS" w:hAnsi="Arial Unicode MS" w:eastAsia="Arial Unicode MS" w:cs="Courier New"/>
      <w:sz w:val="24"/>
      <w:szCs w:val="24"/>
      <w:lang w:eastAsia="en-US"/>
    </w:rPr>
  </w:style>
  <w:style w:type="paragraph" w:customStyle="1" w:styleId="113">
    <w:name w:val="A正文"/>
    <w:basedOn w:val="71"/>
    <w:uiPriority w:val="0"/>
    <w:pPr>
      <w:ind w:firstLine="480"/>
      <w:jc w:val="left"/>
    </w:pPr>
    <w:rPr>
      <w:kern w:val="2"/>
      <w:lang w:val="en-US" w:eastAsia="zh-CN"/>
    </w:rPr>
  </w:style>
  <w:style w:type="paragraph" w:customStyle="1" w:styleId="114">
    <w:name w:val="xl46"/>
    <w:basedOn w:val="1"/>
    <w:uiPriority w:val="0"/>
    <w:pPr>
      <w:pBdr>
        <w:top w:val="single" w:color="auto" w:sz="4" w:space="0"/>
        <w:left w:val="single" w:color="auto" w:sz="4" w:space="0"/>
        <w:right w:val="single" w:color="auto" w:sz="4" w:space="0"/>
      </w:pBdr>
      <w:spacing w:before="100" w:beforeLines="0" w:beforeAutospacing="1" w:after="100" w:afterLines="0" w:afterAutospacing="1"/>
    </w:pPr>
    <w:rPr>
      <w:rFonts w:ascii="宋体" w:hAnsi="宋体" w:cs="宋体"/>
      <w:sz w:val="20"/>
    </w:rPr>
  </w:style>
  <w:style w:type="paragraph" w:customStyle="1" w:styleId="115">
    <w:name w:val="xl24"/>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textAlignment w:val="center"/>
    </w:pPr>
    <w:rPr>
      <w:rFonts w:eastAsia="Arial Unicode MS"/>
      <w:sz w:val="24"/>
      <w:szCs w:val="24"/>
      <w:lang w:eastAsia="en-US"/>
    </w:rPr>
  </w:style>
  <w:style w:type="paragraph" w:customStyle="1" w:styleId="116">
    <w:name w:val="新建样式1"/>
    <w:basedOn w:val="1"/>
    <w:uiPriority w:val="0"/>
    <w:pPr>
      <w:snapToGrid w:val="0"/>
      <w:spacing w:before="60" w:beforeLines="0" w:after="60" w:afterLines="0" w:line="500" w:lineRule="atLeast"/>
      <w:ind w:left="359" w:leftChars="171" w:right="60"/>
    </w:pPr>
    <w:rPr>
      <w:rFonts w:ascii="宋体" w:hAnsi="宋体"/>
      <w:color w:val="000000"/>
    </w:rPr>
  </w:style>
  <w:style w:type="paragraph" w:customStyle="1" w:styleId="117">
    <w:name w:val="p0"/>
    <w:basedOn w:val="1"/>
    <w:uiPriority w:val="0"/>
    <w:pPr>
      <w:jc w:val="both"/>
    </w:pPr>
    <w:rPr>
      <w:rFonts w:ascii="仿宋_GB2312" w:hAnsi="宋体" w:eastAsia="仿宋_GB2312" w:cs="宋体"/>
      <w:b/>
      <w:bCs/>
      <w:color w:val="000000"/>
      <w:szCs w:val="21"/>
    </w:rPr>
  </w:style>
  <w:style w:type="paragraph" w:customStyle="1" w:styleId="118">
    <w:name w:val="列出段落1"/>
    <w:basedOn w:val="1"/>
    <w:uiPriority w:val="0"/>
    <w:pPr>
      <w:widowControl w:val="0"/>
      <w:ind w:firstLine="420" w:firstLineChars="200"/>
      <w:jc w:val="both"/>
    </w:pPr>
    <w:rPr>
      <w:rFonts w:ascii="Calibri" w:hAnsi="Calibri"/>
      <w:kern w:val="2"/>
      <w:szCs w:val="21"/>
    </w:rPr>
  </w:style>
  <w:style w:type="paragraph" w:customStyle="1" w:styleId="119">
    <w:name w:val="font10"/>
    <w:basedOn w:val="1"/>
    <w:uiPriority w:val="0"/>
    <w:pPr>
      <w:spacing w:before="100" w:beforeLines="0" w:beforeAutospacing="1" w:after="100" w:afterLines="0" w:afterAutospacing="1"/>
    </w:pPr>
    <w:rPr>
      <w:sz w:val="16"/>
      <w:szCs w:val="16"/>
    </w:rPr>
  </w:style>
  <w:style w:type="paragraph" w:customStyle="1" w:styleId="120">
    <w:name w:val="font0"/>
    <w:basedOn w:val="1"/>
    <w:uiPriority w:val="0"/>
    <w:pPr>
      <w:spacing w:before="100" w:beforeLines="0" w:beforeAutospacing="1" w:after="100" w:afterLines="0" w:afterAutospacing="1"/>
    </w:pPr>
    <w:rPr>
      <w:rFonts w:hint="eastAsia" w:ascii="宋体" w:hAnsi="宋体" w:cs="Courier New"/>
      <w:sz w:val="24"/>
      <w:szCs w:val="24"/>
      <w:lang w:eastAsia="en-US"/>
    </w:rPr>
  </w:style>
  <w:style w:type="paragraph" w:customStyle="1" w:styleId="121">
    <w:name w:val="table_1stline"/>
    <w:basedOn w:val="1"/>
    <w:uiPriority w:val="0"/>
    <w:pPr>
      <w:spacing w:before="120" w:beforeLines="0"/>
    </w:pPr>
    <w:rPr>
      <w:bCs/>
      <w:sz w:val="20"/>
      <w:lang w:val="de-DE" w:eastAsia="de-DE"/>
    </w:rPr>
  </w:style>
  <w:style w:type="paragraph" w:customStyle="1" w:styleId="122">
    <w:name w:val=" Char Char1 Char Char Char Char Char Char Char Char Char Char"/>
    <w:basedOn w:val="1"/>
    <w:uiPriority w:val="0"/>
    <w:pPr>
      <w:widowControl w:val="0"/>
      <w:tabs>
        <w:tab w:val="left" w:pos="360"/>
      </w:tabs>
      <w:ind w:firstLine="420" w:firstLineChars="150"/>
      <w:jc w:val="both"/>
    </w:pPr>
    <w:rPr>
      <w:rFonts w:ascii="Arial" w:hAnsi="Arial" w:cs="Arial"/>
      <w:kern w:val="2"/>
      <w:sz w:val="20"/>
    </w:rPr>
  </w:style>
  <w:style w:type="paragraph" w:customStyle="1" w:styleId="123">
    <w:name w:val=" Char Char Char Char Char Char Char Char Char Char Char Char Char Char"/>
    <w:basedOn w:val="1"/>
    <w:uiPriority w:val="0"/>
    <w:pPr>
      <w:spacing w:after="160" w:afterLines="0" w:line="240" w:lineRule="exact"/>
    </w:pPr>
    <w:rPr>
      <w:kern w:val="2"/>
      <w:szCs w:val="24"/>
    </w:rPr>
  </w:style>
  <w:style w:type="paragraph" w:customStyle="1" w:styleId="124">
    <w:name w:val="Indent a)"/>
    <w:basedOn w:val="1"/>
    <w:uiPriority w:val="0"/>
    <w:pPr>
      <w:tabs>
        <w:tab w:val="left" w:pos="1843"/>
        <w:tab w:val="right" w:pos="9072"/>
      </w:tabs>
      <w:suppressAutoHyphens/>
      <w:spacing w:line="360" w:lineRule="auto"/>
      <w:ind w:right="-21" w:rightChars="-10" w:firstLine="420" w:firstLineChars="200"/>
      <w:jc w:val="both"/>
    </w:pPr>
    <w:rPr>
      <w:rFonts w:ascii="宋体" w:hAnsi="宋体"/>
      <w:color w:val="000000"/>
      <w:kern w:val="2"/>
    </w:rPr>
  </w:style>
  <w:style w:type="paragraph" w:customStyle="1" w:styleId="125">
    <w:name w:val="font6"/>
    <w:basedOn w:val="1"/>
    <w:uiPriority w:val="0"/>
    <w:pPr>
      <w:spacing w:before="100" w:beforeLines="0" w:beforeAutospacing="1" w:after="100" w:afterLines="0" w:afterAutospacing="1"/>
    </w:pPr>
    <w:rPr>
      <w:rFonts w:eastAsia="Arial Unicode MS"/>
      <w:szCs w:val="21"/>
      <w:lang w:eastAsia="en-US"/>
    </w:rPr>
  </w:style>
  <w:style w:type="paragraph" w:customStyle="1" w:styleId="126">
    <w:name w:val=" Char Char Char Char Char Char Char Char Char Char Char Char Char"/>
    <w:basedOn w:val="1"/>
    <w:uiPriority w:val="0"/>
    <w:pPr>
      <w:widowControl w:val="0"/>
      <w:jc w:val="both"/>
    </w:pPr>
    <w:rPr>
      <w:rFonts w:ascii="仿宋_GB2312" w:hAnsi="宋体" w:eastAsia="仿宋_GB2312" w:cs="宋体"/>
      <w:b/>
      <w:bCs/>
      <w:color w:val="000000"/>
      <w:szCs w:val="21"/>
    </w:rPr>
  </w:style>
  <w:style w:type="paragraph" w:customStyle="1" w:styleId="127">
    <w:name w:val="表内文字"/>
    <w:basedOn w:val="1"/>
    <w:uiPriority w:val="0"/>
    <w:pPr>
      <w:widowControl w:val="0"/>
      <w:spacing w:line="240" w:lineRule="atLeast"/>
      <w:jc w:val="center"/>
    </w:pPr>
    <w:rPr>
      <w:rFonts w:ascii="Arial" w:hAnsi="Arial" w:cs="Arial"/>
      <w:b/>
      <w:bCs/>
      <w:kern w:val="2"/>
      <w:szCs w:val="24"/>
    </w:rPr>
  </w:style>
  <w:style w:type="paragraph" w:customStyle="1" w:styleId="128">
    <w:name w:val=" Char Char Char Char Char Char Char"/>
    <w:basedOn w:val="1"/>
    <w:uiPriority w:val="0"/>
    <w:pPr>
      <w:widowControl w:val="0"/>
      <w:jc w:val="both"/>
    </w:pPr>
    <w:rPr>
      <w:rFonts w:ascii="仿宋_GB2312" w:eastAsia="仿宋_GB2312"/>
      <w:b/>
      <w:kern w:val="2"/>
      <w:sz w:val="32"/>
      <w:szCs w:val="32"/>
    </w:rPr>
  </w:style>
  <w:style w:type="paragraph" w:customStyle="1" w:styleId="129">
    <w:name w:val="xl42"/>
    <w:basedOn w:val="1"/>
    <w:uiPriority w:val="0"/>
    <w:pPr>
      <w:pBdr>
        <w:top w:val="single" w:color="auto" w:sz="4" w:space="0"/>
        <w:left w:val="single" w:color="auto" w:sz="4" w:space="0"/>
        <w:right w:val="single" w:color="auto" w:sz="4" w:space="0"/>
      </w:pBdr>
      <w:spacing w:before="100" w:beforeLines="0" w:beforeAutospacing="1" w:after="100" w:afterLines="0" w:afterAutospacing="1"/>
      <w:jc w:val="center"/>
    </w:pPr>
    <w:rPr>
      <w:rFonts w:ascii="宋体" w:hAnsi="宋体" w:cs="宋体"/>
      <w:b/>
      <w:bCs/>
      <w:sz w:val="24"/>
      <w:szCs w:val="24"/>
    </w:rPr>
  </w:style>
  <w:style w:type="paragraph" w:customStyle="1" w:styleId="130">
    <w:name w:val="正文段"/>
    <w:basedOn w:val="1"/>
    <w:uiPriority w:val="0"/>
    <w:pPr>
      <w:snapToGrid w:val="0"/>
      <w:spacing w:after="156" w:afterLines="50"/>
      <w:ind w:firstLine="200" w:firstLineChars="200"/>
      <w:jc w:val="both"/>
    </w:pPr>
    <w:rPr>
      <w:sz w:val="24"/>
    </w:rPr>
  </w:style>
  <w:style w:type="paragraph" w:customStyle="1" w:styleId="131">
    <w:name w:val="font9"/>
    <w:basedOn w:val="1"/>
    <w:uiPriority w:val="0"/>
    <w:pPr>
      <w:spacing w:before="100" w:beforeLines="0" w:beforeAutospacing="1" w:after="100" w:afterLines="0" w:afterAutospacing="1"/>
    </w:pPr>
    <w:rPr>
      <w:rFonts w:ascii="宋体" w:hAnsi="宋体" w:cs="宋体"/>
      <w:szCs w:val="21"/>
    </w:rPr>
  </w:style>
  <w:style w:type="paragraph" w:customStyle="1" w:styleId="132">
    <w:name w:val="xl38"/>
    <w:basedOn w:val="1"/>
    <w:uiPriority w:val="0"/>
    <w:pPr>
      <w:pBdr>
        <w:top w:val="single" w:color="auto" w:sz="4" w:space="0"/>
        <w:left w:val="single" w:color="auto" w:sz="4" w:space="0"/>
        <w:bottom w:val="single" w:color="auto" w:sz="4" w:space="0"/>
      </w:pBdr>
      <w:spacing w:before="100" w:beforeLines="0" w:beforeAutospacing="1" w:after="100" w:afterLines="0" w:afterAutospacing="1"/>
      <w:jc w:val="center"/>
    </w:pPr>
    <w:rPr>
      <w:rFonts w:ascii="宋体" w:hAnsi="宋体" w:cs="宋体"/>
      <w:sz w:val="24"/>
      <w:szCs w:val="24"/>
    </w:rPr>
  </w:style>
  <w:style w:type="paragraph" w:customStyle="1" w:styleId="133">
    <w:name w:val="xl34"/>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eastAsia="Arial Unicode MS"/>
      <w:sz w:val="16"/>
      <w:szCs w:val="16"/>
      <w:lang w:eastAsia="en-US"/>
    </w:rPr>
  </w:style>
  <w:style w:type="paragraph" w:customStyle="1" w:styleId="134">
    <w:name w:val="附件"/>
    <w:basedOn w:val="3"/>
    <w:uiPriority w:val="0"/>
    <w:pPr>
      <w:keepNext w:val="0"/>
      <w:keepLines w:val="0"/>
      <w:pageBreakBefore/>
      <w:spacing w:before="312" w:beforeLines="100" w:after="312" w:afterLines="100" w:line="240" w:lineRule="auto"/>
      <w:jc w:val="center"/>
    </w:pPr>
    <w:rPr>
      <w:rFonts w:hAnsi="宋体"/>
      <w:sz w:val="28"/>
      <w:szCs w:val="36"/>
    </w:rPr>
  </w:style>
  <w:style w:type="paragraph" w:customStyle="1" w:styleId="135">
    <w:name w:val="xl44"/>
    <w:basedOn w:val="1"/>
    <w:uiPriority w:val="0"/>
    <w:pPr>
      <w:pBdr>
        <w:top w:val="single" w:color="auto" w:sz="4" w:space="0"/>
        <w:left w:val="single" w:color="auto" w:sz="4" w:space="0"/>
        <w:right w:val="single" w:color="auto" w:sz="4" w:space="0"/>
      </w:pBdr>
      <w:spacing w:before="100" w:beforeLines="0" w:beforeAutospacing="1" w:after="100" w:afterLines="0" w:afterAutospacing="1"/>
      <w:jc w:val="center"/>
    </w:pPr>
    <w:rPr>
      <w:rFonts w:ascii="宋体" w:hAnsi="宋体" w:cs="宋体"/>
      <w:sz w:val="24"/>
      <w:szCs w:val="24"/>
    </w:rPr>
  </w:style>
  <w:style w:type="paragraph" w:styleId="136">
    <w:name w:val="List Paragraph"/>
    <w:basedOn w:val="1"/>
    <w:qFormat/>
    <w:uiPriority w:val="0"/>
    <w:pPr>
      <w:widowControl w:val="0"/>
      <w:ind w:firstLine="420" w:firstLineChars="200"/>
      <w:jc w:val="both"/>
    </w:pPr>
    <w:rPr>
      <w:rFonts w:ascii="等线" w:hAnsi="等线" w:eastAsia="等线" w:cs="Times New Roman"/>
      <w:kern w:val="2"/>
      <w:szCs w:val="22"/>
    </w:rPr>
  </w:style>
  <w:style w:type="paragraph" w:customStyle="1" w:styleId="137">
    <w:name w:val="font11"/>
    <w:basedOn w:val="1"/>
    <w:uiPriority w:val="0"/>
    <w:pPr>
      <w:spacing w:before="100" w:beforeLines="0" w:beforeAutospacing="1" w:after="100" w:afterLines="0" w:afterAutospacing="1"/>
    </w:pPr>
    <w:rPr>
      <w:sz w:val="24"/>
      <w:szCs w:val="24"/>
    </w:rPr>
  </w:style>
  <w:style w:type="paragraph" w:customStyle="1" w:styleId="138">
    <w:name w:val="彩色列表 - 强调文字颜色 11"/>
    <w:basedOn w:val="1"/>
    <w:uiPriority w:val="0"/>
    <w:pPr>
      <w:ind w:firstLine="420" w:firstLineChars="200"/>
    </w:pPr>
  </w:style>
  <w:style w:type="paragraph" w:customStyle="1" w:styleId="139">
    <w:name w:val="xl25"/>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cs="Courier New"/>
      <w:sz w:val="24"/>
      <w:szCs w:val="24"/>
      <w:lang w:eastAsia="en-US"/>
    </w:rPr>
  </w:style>
  <w:style w:type="paragraph" w:customStyle="1" w:styleId="140">
    <w:name w:val="xl37"/>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pPr>
    <w:rPr>
      <w:rFonts w:ascii="宋体" w:hAnsi="宋体" w:cs="宋体"/>
      <w:sz w:val="24"/>
      <w:szCs w:val="24"/>
    </w:rPr>
  </w:style>
  <w:style w:type="paragraph" w:customStyle="1" w:styleId="141">
    <w:name w:val=" Char Char7 Char"/>
    <w:basedOn w:val="1"/>
    <w:uiPriority w:val="0"/>
    <w:pPr>
      <w:widowControl w:val="0"/>
      <w:tabs>
        <w:tab w:val="left" w:pos="425"/>
      </w:tabs>
      <w:ind w:left="420" w:leftChars="200" w:firstLine="270" w:firstLineChars="150"/>
      <w:jc w:val="both"/>
    </w:pPr>
    <w:rPr>
      <w:kern w:val="2"/>
      <w:szCs w:val="24"/>
    </w:rPr>
  </w:style>
  <w:style w:type="paragraph" w:customStyle="1" w:styleId="142">
    <w:name w:val="正文－恩普"/>
    <w:basedOn w:val="4"/>
    <w:uiPriority w:val="0"/>
    <w:pPr>
      <w:widowControl w:val="0"/>
      <w:spacing w:line="360" w:lineRule="auto"/>
      <w:ind w:firstLine="200" w:firstLineChars="200"/>
      <w:jc w:val="both"/>
    </w:pPr>
    <w:rPr>
      <w:kern w:val="2"/>
      <w:sz w:val="24"/>
      <w:szCs w:val="24"/>
    </w:rPr>
  </w:style>
  <w:style w:type="paragraph" w:customStyle="1" w:styleId="143">
    <w:name w:val="xl43"/>
    <w:basedOn w:val="1"/>
    <w:uiPriority w:val="0"/>
    <w:pPr>
      <w:pBdr>
        <w:top w:val="single" w:color="auto" w:sz="4" w:space="0"/>
        <w:left w:val="single" w:color="auto" w:sz="4" w:space="0"/>
        <w:right w:val="single" w:color="auto" w:sz="4" w:space="0"/>
      </w:pBdr>
      <w:spacing w:before="100" w:beforeLines="0" w:beforeAutospacing="1" w:after="100" w:afterLines="0" w:afterAutospacing="1"/>
    </w:pPr>
    <w:rPr>
      <w:rFonts w:ascii="宋体" w:hAnsi="宋体" w:cs="宋体"/>
      <w:b/>
      <w:bCs/>
      <w:sz w:val="20"/>
    </w:rPr>
  </w:style>
  <w:style w:type="paragraph" w:customStyle="1" w:styleId="144">
    <w:name w:val="font5"/>
    <w:basedOn w:val="1"/>
    <w:uiPriority w:val="0"/>
    <w:pPr>
      <w:spacing w:before="100" w:beforeLines="0" w:beforeAutospacing="1" w:after="100" w:afterLines="0" w:afterAutospacing="1"/>
    </w:pPr>
    <w:rPr>
      <w:rFonts w:hint="eastAsia" w:ascii="宋体" w:hAnsi="宋体" w:cs="Courier New"/>
      <w:sz w:val="18"/>
      <w:szCs w:val="18"/>
      <w:lang w:eastAsia="en-US"/>
    </w:rPr>
  </w:style>
  <w:style w:type="paragraph" w:customStyle="1" w:styleId="145">
    <w:name w:val=" Char Char1 Char Char Char Char Char Char"/>
    <w:basedOn w:val="1"/>
    <w:uiPriority w:val="0"/>
    <w:pPr>
      <w:spacing w:after="160" w:afterLines="0" w:line="240" w:lineRule="exact"/>
    </w:pPr>
    <w:rPr>
      <w:rFonts w:ascii="Verdana" w:hAnsi="Verdana" w:eastAsia="仿宋_GB2312"/>
      <w:sz w:val="24"/>
      <w:lang w:eastAsia="en-US"/>
    </w:rPr>
  </w:style>
  <w:style w:type="paragraph" w:customStyle="1" w:styleId="146">
    <w:name w:val="默认段落字体 Para Char Char Char Char Char Char Char"/>
    <w:basedOn w:val="13"/>
    <w:uiPriority w:val="0"/>
    <w:pPr>
      <w:widowControl w:val="0"/>
      <w:shd w:val="clear" w:color="auto" w:fill="auto"/>
      <w:adjustRightInd w:val="0"/>
      <w:spacing w:line="436" w:lineRule="exact"/>
      <w:ind w:left="357"/>
      <w:outlineLvl w:val="3"/>
    </w:pPr>
    <w:rPr>
      <w:rFonts w:ascii="宋体"/>
      <w:b/>
      <w:bCs/>
      <w:kern w:val="2"/>
      <w:sz w:val="18"/>
      <w:szCs w:val="18"/>
    </w:rPr>
  </w:style>
  <w:style w:type="paragraph" w:customStyle="1" w:styleId="147">
    <w:name w:val="xl33"/>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cs="Courier New"/>
      <w:szCs w:val="21"/>
      <w:lang w:eastAsia="en-US"/>
    </w:rPr>
  </w:style>
  <w:style w:type="paragraph" w:customStyle="1" w:styleId="148">
    <w:name w:val="xl41"/>
    <w:basedOn w:val="1"/>
    <w:uiPriority w:val="0"/>
    <w:pPr>
      <w:pBdr>
        <w:top w:val="single" w:color="auto" w:sz="4" w:space="0"/>
        <w:left w:val="single" w:color="auto" w:sz="4" w:space="0"/>
        <w:bottom w:val="single" w:color="auto" w:sz="4" w:space="0"/>
      </w:pBdr>
      <w:spacing w:before="100" w:beforeLines="0" w:beforeAutospacing="1" w:after="100" w:afterLines="0" w:afterAutospacing="1"/>
      <w:jc w:val="center"/>
    </w:pPr>
    <w:rPr>
      <w:rFonts w:ascii="宋体" w:hAnsi="宋体" w:cs="宋体"/>
      <w:b/>
      <w:bCs/>
      <w:sz w:val="24"/>
      <w:szCs w:val="24"/>
    </w:rPr>
  </w:style>
  <w:style w:type="paragraph" w:customStyle="1" w:styleId="149">
    <w:name w:val=" Char Char Char Char Char Char Char Char Char Char Char Char Char Char Char Char Char Char Char"/>
    <w:basedOn w:val="1"/>
    <w:uiPriority w:val="0"/>
    <w:pPr>
      <w:widowControl w:val="0"/>
      <w:jc w:val="both"/>
    </w:pPr>
  </w:style>
  <w:style w:type="paragraph" w:customStyle="1" w:styleId="150">
    <w:name w:val="目录文字"/>
    <w:basedOn w:val="1"/>
    <w:uiPriority w:val="0"/>
    <w:pPr>
      <w:spacing w:line="480" w:lineRule="auto"/>
    </w:pPr>
    <w:rPr>
      <w:rFonts w:ascii="宋体" w:hAnsi="宋体"/>
      <w:sz w:val="24"/>
    </w:rPr>
  </w:style>
  <w:style w:type="paragraph" w:customStyle="1" w:styleId="151">
    <w:name w:val="Char Char Char Char Char Char Char"/>
    <w:basedOn w:val="1"/>
    <w:uiPriority w:val="0"/>
    <w:pPr>
      <w:widowControl w:val="0"/>
      <w:jc w:val="both"/>
    </w:pPr>
    <w:rPr>
      <w:rFonts w:ascii="仿宋_GB2312" w:eastAsia="仿宋_GB2312"/>
      <w:b/>
      <w:kern w:val="2"/>
      <w:sz w:val="32"/>
      <w:szCs w:val="32"/>
    </w:rPr>
  </w:style>
  <w:style w:type="paragraph" w:customStyle="1" w:styleId="152">
    <w:name w:val="Char Char Char"/>
    <w:basedOn w:val="1"/>
    <w:uiPriority w:val="0"/>
    <w:pPr>
      <w:widowControl w:val="0"/>
      <w:jc w:val="both"/>
    </w:pPr>
    <w:rPr>
      <w:kern w:val="2"/>
    </w:rPr>
  </w:style>
  <w:style w:type="paragraph" w:customStyle="1" w:styleId="153">
    <w:name w:val="xl47"/>
    <w:basedOn w:val="1"/>
    <w:uiPriority w:val="0"/>
    <w:pPr>
      <w:pBdr>
        <w:left w:val="single" w:color="auto" w:sz="4" w:space="0"/>
        <w:bottom w:val="single" w:color="auto" w:sz="4" w:space="0"/>
        <w:right w:val="single" w:color="auto" w:sz="4" w:space="0"/>
      </w:pBdr>
      <w:spacing w:before="100" w:beforeLines="0" w:beforeAutospacing="1" w:after="100" w:afterLines="0" w:afterAutospacing="1"/>
    </w:pPr>
    <w:rPr>
      <w:rFonts w:ascii="宋体" w:hAnsi="宋体" w:cs="宋体"/>
      <w:sz w:val="20"/>
    </w:rPr>
  </w:style>
  <w:style w:type="paragraph" w:customStyle="1" w:styleId="154">
    <w:name w:val="样式 纯文本 + (符号) 宋体 13 磅 首行缩进:  0.92 厘米 行距: 固定值 27 磅"/>
    <w:basedOn w:val="19"/>
    <w:uiPriority w:val="0"/>
    <w:pPr>
      <w:topLinePunct/>
      <w:spacing w:line="540" w:lineRule="exact"/>
      <w:ind w:firstLine="522"/>
    </w:pPr>
    <w:rPr>
      <w:rFonts w:hAnsi="宋体" w:cs="宋体"/>
      <w:sz w:val="26"/>
    </w:rPr>
  </w:style>
  <w:style w:type="paragraph" w:customStyle="1" w:styleId="155">
    <w:name w:val="font7"/>
    <w:basedOn w:val="1"/>
    <w:uiPriority w:val="0"/>
    <w:pPr>
      <w:spacing w:before="100" w:beforeLines="0" w:beforeAutospacing="1" w:after="100" w:afterLines="0" w:afterAutospacing="1"/>
    </w:pPr>
    <w:rPr>
      <w:rFonts w:hint="eastAsia" w:ascii="宋体" w:hAnsi="宋体" w:cs="Courier New"/>
      <w:szCs w:val="21"/>
      <w:lang w:eastAsia="en-US"/>
    </w:rPr>
  </w:style>
  <w:style w:type="paragraph" w:customStyle="1" w:styleId="156">
    <w:name w:val="xl28"/>
    <w:basedOn w:val="1"/>
    <w:uiPriority w:val="0"/>
    <w:pPr>
      <w:pBdr>
        <w:top w:val="single" w:color="auto" w:sz="4" w:space="0"/>
        <w:left w:val="single" w:color="auto" w:sz="4" w:space="0"/>
        <w:bottom w:val="single" w:color="auto" w:sz="4" w:space="0"/>
        <w:right w:val="single" w:color="auto" w:sz="4" w:space="0"/>
      </w:pBdr>
      <w:spacing w:before="100" w:beforeLines="0" w:beforeAutospacing="1" w:after="100" w:afterLines="0" w:afterAutospacing="1"/>
      <w:textAlignment w:val="center"/>
    </w:pPr>
    <w:rPr>
      <w:rFonts w:ascii="Arial Unicode MS" w:hAnsi="Arial Unicode MS" w:eastAsia="Arial Unicode MS" w:cs="Courier New"/>
      <w:szCs w:val="21"/>
      <w:lang w:eastAsia="en-US"/>
    </w:rPr>
  </w:style>
  <w:style w:type="paragraph" w:customStyle="1" w:styleId="157">
    <w:name w:val="列出段落3"/>
    <w:basedOn w:val="1"/>
    <w:uiPriority w:val="0"/>
    <w:pPr>
      <w:widowControl w:val="0"/>
      <w:spacing w:line="360" w:lineRule="auto"/>
      <w:ind w:firstLine="420" w:firstLineChars="200"/>
      <w:jc w:val="both"/>
    </w:pPr>
    <w:rPr>
      <w:rFonts w:ascii="Calibri" w:hAnsi="Calibri"/>
      <w:kern w:val="2"/>
      <w:sz w:val="24"/>
      <w:szCs w:val="24"/>
    </w:rPr>
  </w:style>
  <w:style w:type="paragraph" w:customStyle="1" w:styleId="158">
    <w:name w:val="默认段落字体 Para Char Char Char Char"/>
    <w:basedOn w:val="1"/>
    <w:uiPriority w:val="0"/>
    <w:rPr>
      <w:rFonts w:ascii="宋体" w:hAnsi="宋体" w:eastAsia="宋体"/>
      <w:color w:val="000000"/>
      <w:kern w:val="2"/>
      <w:sz w:val="22"/>
      <w:szCs w:val="22"/>
      <w:lang w:val="en-US" w:eastAsia="zh-CN" w:bidi="ar-SA"/>
    </w:rPr>
  </w:style>
  <w:style w:type="paragraph" w:customStyle="1" w:styleId="159">
    <w:name w:val="Default"/>
    <w:qFormat/>
    <w:uiPriority w:val="0"/>
    <w:pPr>
      <w:widowControl w:val="0"/>
      <w:autoSpaceDE w:val="0"/>
      <w:autoSpaceDN w:val="0"/>
      <w:adjustRightInd w:val="0"/>
    </w:pPr>
    <w:rPr>
      <w:rFonts w:ascii="宋体" w:hAnsi="宋体" w:cs="宋体"/>
      <w:color w:val="000000"/>
      <w:sz w:val="24"/>
      <w:szCs w:val="24"/>
      <w:lang w:val="en-US" w:eastAsia="zh-CN" w:bidi="ar-SA"/>
    </w:rPr>
  </w:style>
  <w:style w:type="paragraph" w:customStyle="1" w:styleId="160">
    <w:name w:val="默认段落字体 Para Char Char Char Char Char Char Char Char"/>
    <w:basedOn w:val="1"/>
    <w:uiPriority w:val="0"/>
    <w:pPr>
      <w:widowControl w:val="0"/>
      <w:jc w:val="both"/>
    </w:pPr>
    <w:rPr>
      <w:rFonts w:ascii="Calibri" w:hAnsi="Calibri" w:cs="Calibri"/>
      <w:kern w:val="2"/>
      <w:szCs w:val="21"/>
    </w:rPr>
  </w:style>
  <w:style w:type="paragraph" w:customStyle="1" w:styleId="161">
    <w:name w:val=" Char1"/>
    <w:basedOn w:val="1"/>
    <w:uiPriority w:val="0"/>
    <w:pPr>
      <w:widowControl w:val="0"/>
      <w:jc w:val="both"/>
    </w:pPr>
    <w:rPr>
      <w:rFonts w:ascii="仿宋_GB2312" w:eastAsia="仿宋_GB2312"/>
      <w:b/>
      <w:kern w:val="2"/>
      <w:sz w:val="32"/>
      <w:szCs w:val="32"/>
    </w:rPr>
  </w:style>
  <w:style w:type="paragraph" w:customStyle="1" w:styleId="162">
    <w:name w:val="菲页2"/>
    <w:basedOn w:val="6"/>
    <w:uiPriority w:val="0"/>
    <w:pPr>
      <w:keepNext/>
      <w:keepLines/>
      <w:widowControl/>
      <w:numPr>
        <w:ilvl w:val="2"/>
        <w:numId w:val="2"/>
      </w:numPr>
      <w:tabs>
        <w:tab w:val="clear" w:pos="851"/>
      </w:tabs>
      <w:autoSpaceDE/>
      <w:autoSpaceDN/>
      <w:adjustRightInd/>
      <w:snapToGrid/>
      <w:spacing w:before="120" w:after="120"/>
      <w:jc w:val="center"/>
    </w:pPr>
    <w:rPr>
      <w:rFonts w:ascii="黑体" w:hAnsi="宋体" w:eastAsia="黑体"/>
      <w:snapToGrid/>
      <w:sz w:val="44"/>
    </w:rPr>
  </w:style>
  <w:style w:type="character" w:customStyle="1" w:styleId="163">
    <w:name w:val="批注文字 Char"/>
    <w:link w:val="15"/>
    <w:qFormat/>
    <w:uiPriority w:val="99"/>
    <w:rPr>
      <w:sz w:val="21"/>
    </w:rPr>
  </w:style>
  <w:style w:type="paragraph" w:customStyle="1" w:styleId="164">
    <w:name w:val="正文 "/>
    <w:basedOn w:val="1"/>
    <w:qFormat/>
    <w:uiPriority w:val="0"/>
    <w:pPr>
      <w:widowControl w:val="0"/>
      <w:adjustRightInd w:val="0"/>
      <w:spacing w:line="318" w:lineRule="atLeast"/>
      <w:ind w:left="369" w:firstLine="369"/>
      <w:jc w:val="both"/>
      <w:textAlignment w:val="baseline"/>
    </w:pPr>
    <w:rPr>
      <w:rFonts w:ascii="宋体" w:hAnsi="Cambria"/>
    </w:rPr>
  </w:style>
  <w:style w:type="paragraph" w:customStyle="1" w:styleId="165">
    <w:name w:val="表格文字"/>
    <w:basedOn w:val="1"/>
    <w:next w:val="2"/>
    <w:qFormat/>
    <w:uiPriority w:val="0"/>
    <w:pPr>
      <w:adjustRightInd w:val="0"/>
      <w:spacing w:line="420" w:lineRule="atLeast"/>
      <w:textAlignment w:val="baseline"/>
    </w:pPr>
    <w:rPr>
      <w:rFonts w:ascii="Cambria" w:hAnsi="Cambria"/>
      <w:szCs w:val="24"/>
    </w:rPr>
  </w:style>
  <w:style w:type="character" w:customStyle="1" w:styleId="166">
    <w:name w:val="文档结构图 字符"/>
    <w:link w:val="13"/>
    <w:uiPriority w:val="99"/>
    <w:rPr>
      <w:sz w:val="21"/>
      <w:shd w:val="clear" w:color="auto" w:fill="000080"/>
    </w:rPr>
  </w:style>
  <w:style w:type="character" w:customStyle="1" w:styleId="167">
    <w:name w:val="段 Char"/>
    <w:link w:val="168"/>
    <w:uiPriority w:val="0"/>
    <w:rPr>
      <w:rFonts w:ascii="仿宋_GB2312" w:hAnsi="Cambria"/>
      <w:sz w:val="21"/>
    </w:rPr>
  </w:style>
  <w:style w:type="paragraph" w:customStyle="1" w:styleId="168">
    <w:name w:val="段"/>
    <w:link w:val="167"/>
    <w:uiPriority w:val="0"/>
    <w:pPr>
      <w:ind w:firstLine="200" w:firstLineChars="200"/>
      <w:jc w:val="both"/>
    </w:pPr>
    <w:rPr>
      <w:rFonts w:ascii="仿宋_GB2312" w:hAnsi="Cambria"/>
      <w:sz w:val="21"/>
      <w:lang w:val="en-US" w:eastAsia="zh-CN" w:bidi="ar-SA"/>
    </w:rPr>
  </w:style>
  <w:style w:type="character" w:customStyle="1" w:styleId="169">
    <w:name w:val="apple-style-span"/>
    <w:uiPriority w:val="0"/>
    <w:rPr>
      <w:rFonts w:ascii="宋体" w:hAnsi="宋体" w:eastAsia="宋体"/>
      <w:color w:val="000000"/>
      <w:kern w:val="2"/>
      <w:sz w:val="22"/>
      <w:szCs w:val="20"/>
      <w:lang w:val="en-US" w:eastAsia="zh-CN" w:bidi="ar-SA"/>
    </w:rPr>
  </w:style>
  <w:style w:type="paragraph" w:customStyle="1" w:styleId="170">
    <w:name w:val="中等深浅网格 1 - 强调文字颜色 21"/>
    <w:basedOn w:val="1"/>
    <w:qFormat/>
    <w:uiPriority w:val="34"/>
    <w:pPr>
      <w:ind w:firstLine="420" w:firstLineChars="200"/>
    </w:pPr>
    <w:rPr>
      <w:rFonts w:ascii="Cambria" w:hAnsi="Cambria"/>
    </w:rPr>
  </w:style>
  <w:style w:type="paragraph" w:customStyle="1" w:styleId="171">
    <w:name w:val=" Char Char Char Char Char Char Char Char Char Char Char Char Char Char Char Char"/>
    <w:basedOn w:val="1"/>
    <w:qFormat/>
    <w:uiPriority w:val="0"/>
    <w:pPr>
      <w:tabs>
        <w:tab w:val="left" w:pos="360"/>
      </w:tabs>
    </w:pPr>
    <w:rPr>
      <w:rFonts w:ascii="Cambria" w:hAnsi="Cambria"/>
    </w:rPr>
  </w:style>
  <w:style w:type="paragraph" w:customStyle="1" w:styleId="172">
    <w:name w:val="Table Paragraph"/>
    <w:basedOn w:val="1"/>
    <w:qFormat/>
    <w:uiPriority w:val="1"/>
    <w:pPr>
      <w:jc w:val="center"/>
    </w:pPr>
    <w:rPr>
      <w:rFonts w:ascii="仿宋" w:hAnsi="仿宋" w:eastAsia="仿宋" w:cs="仿宋"/>
      <w:lang w:val="zh-CN" w:bidi="zh-CN"/>
    </w:rPr>
  </w:style>
  <w:style w:type="paragraph" w:customStyle="1" w:styleId="173">
    <w:name w:val="正文文字表格居中"/>
    <w:basedOn w:val="1"/>
    <w:next w:val="29"/>
    <w:uiPriority w:val="0"/>
    <w:pPr>
      <w:widowControl w:val="0"/>
      <w:spacing w:line="400" w:lineRule="exact"/>
      <w:jc w:val="center"/>
    </w:pPr>
    <w:rPr>
      <w:rFonts w:ascii="Cambria" w:hAnsi="Cambria"/>
      <w:b/>
      <w:bCs/>
      <w:kern w:val="2"/>
      <w:sz w:val="24"/>
      <w:szCs w:val="24"/>
    </w:rPr>
  </w:style>
  <w:style w:type="paragraph" w:customStyle="1" w:styleId="174">
    <w:name w:val="正文格式"/>
    <w:basedOn w:val="1"/>
    <w:uiPriority w:val="0"/>
    <w:pPr>
      <w:widowControl w:val="0"/>
      <w:spacing w:before="120" w:after="120" w:line="360" w:lineRule="auto"/>
      <w:ind w:firstLine="482"/>
    </w:pPr>
    <w:rPr>
      <w:rFonts w:ascii="Cambria" w:hAnsi="Cambria"/>
      <w:kern w:val="2"/>
      <w:sz w:val="24"/>
    </w:rPr>
  </w:style>
  <w:style w:type="paragraph" w:customStyle="1" w:styleId="175">
    <w:name w:val="正文1"/>
    <w:basedOn w:val="1"/>
    <w:qFormat/>
    <w:uiPriority w:val="0"/>
    <w:pPr>
      <w:widowControl w:val="0"/>
      <w:adjustRightInd w:val="0"/>
      <w:spacing w:line="318" w:lineRule="atLeast"/>
      <w:ind w:left="369" w:firstLine="369"/>
      <w:jc w:val="both"/>
      <w:textAlignment w:val="baseline"/>
    </w:pPr>
    <w:rPr>
      <w:rFonts w:ascii="宋体" w:hAnsi="Cambria"/>
    </w:rPr>
  </w:style>
  <w:style w:type="paragraph" w:customStyle="1" w:styleId="176">
    <w:name w:val="正文_13"/>
    <w:qFormat/>
    <w:uiPriority w:val="0"/>
    <w:pPr>
      <w:widowControl w:val="0"/>
      <w:jc w:val="both"/>
    </w:pPr>
    <w:rPr>
      <w:kern w:val="2"/>
      <w:sz w:val="21"/>
      <w:szCs w:val="24"/>
      <w:lang w:val="en-US" w:eastAsia="zh-CN" w:bidi="ar-SA"/>
    </w:rPr>
  </w:style>
  <w:style w:type="paragraph" w:customStyle="1" w:styleId="177">
    <w:name w:val="正文2"/>
    <w:basedOn w:val="1"/>
    <w:uiPriority w:val="0"/>
    <w:pPr>
      <w:widowControl w:val="0"/>
      <w:spacing w:before="156" w:line="360" w:lineRule="auto"/>
      <w:ind w:firstLine="510" w:firstLineChars="200"/>
      <w:jc w:val="both"/>
    </w:pPr>
    <w:rPr>
      <w:rFonts w:ascii="Cambria" w:hAnsi="Cambria"/>
      <w:sz w:val="24"/>
    </w:rPr>
  </w:style>
  <w:style w:type="paragraph" w:customStyle="1" w:styleId="178">
    <w:name w:val="无间距1"/>
    <w:qFormat/>
    <w:uiPriority w:val="0"/>
    <w:pPr>
      <w:widowControl w:val="0"/>
      <w:jc w:val="both"/>
    </w:pPr>
    <w:rPr>
      <w:rFonts w:ascii="Calibri" w:hAnsi="Calibri" w:eastAsia="微软雅黑 Light"/>
      <w:kern w:val="2"/>
      <w:sz w:val="24"/>
      <w:szCs w:val="22"/>
      <w:lang w:val="en-US" w:eastAsia="zh-CN" w:bidi="ar-SA"/>
    </w:rPr>
  </w:style>
  <w:style w:type="paragraph" w:customStyle="1" w:styleId="179">
    <w:name w:val="样式 首行缩进:  2 字符"/>
    <w:basedOn w:val="1"/>
    <w:qFormat/>
    <w:uiPriority w:val="0"/>
    <w:pPr>
      <w:spacing w:line="360" w:lineRule="auto"/>
      <w:ind w:firstLine="480" w:firstLineChars="200"/>
    </w:pPr>
    <w:rPr>
      <w:rFonts w:ascii="宋体" w:hAnsi="宋体" w:cs="宋体"/>
      <w:color w:val="000000"/>
      <w:sz w:val="24"/>
    </w:rPr>
  </w:style>
  <w:style w:type="paragraph" w:customStyle="1" w:styleId="180">
    <w:name w:val="Plain Text"/>
    <w:basedOn w:val="92"/>
    <w:qFormat/>
    <w:uiPriority w:val="0"/>
    <w:pPr>
      <w:widowControl/>
      <w:adjustRightInd/>
      <w:spacing w:line="240" w:lineRule="auto"/>
      <w:jc w:val="left"/>
      <w:textAlignment w:val="auto"/>
    </w:pPr>
    <w:rPr>
      <w:rFonts w:hint="eastAsia" w:hAnsi="Courier New"/>
      <w:kern w:val="2"/>
      <w:sz w:val="21"/>
    </w:rPr>
  </w:style>
  <w:style w:type="table" w:customStyle="1" w:styleId="181">
    <w:name w:val="网格型1"/>
    <w:basedOn w:val="35"/>
    <w:uiPriority w:val="0"/>
    <w:pPr>
      <w:widowControl w:val="0"/>
      <w:jc w:val="both"/>
    </w:pPr>
    <w:rPr>
      <w:rFonts w:ascii="Cambria" w:hAnsi="Cambria"/>
    </w:rPr>
    <w:tblPr>
      <w:tblStyle w:val="3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82">
    <w:name w:val="reader-word-layer reader-word-s1-12"/>
    <w:basedOn w:val="1"/>
    <w:qFormat/>
    <w:uiPriority w:val="0"/>
    <w:pPr>
      <w:spacing w:before="100" w:beforeAutospacing="1" w:after="100" w:afterAutospacing="1"/>
    </w:pPr>
    <w:rPr>
      <w:rFonts w:ascii="宋体" w:hAnsi="宋体" w:cs="宋体"/>
      <w:sz w:val="24"/>
      <w:szCs w:val="24"/>
    </w:rPr>
  </w:style>
  <w:style w:type="character" w:customStyle="1" w:styleId="183">
    <w:name w:val="font51"/>
    <w:uiPriority w:val="0"/>
    <w:rPr>
      <w:rFonts w:hint="eastAsia" w:ascii="宋体" w:hAnsi="宋体" w:eastAsia="宋体"/>
      <w:b/>
      <w:bCs/>
      <w:color w:val="000000"/>
      <w:kern w:val="2"/>
      <w:sz w:val="36"/>
      <w:szCs w:val="36"/>
      <w:u w:val="none"/>
      <w:lang w:val="en-US" w:eastAsia="zh-CN" w:bidi="ar-SA"/>
    </w:rPr>
  </w:style>
  <w:style w:type="paragraph" w:customStyle="1" w:styleId="184">
    <w:name w:val="msonormal"/>
    <w:basedOn w:val="1"/>
    <w:uiPriority w:val="0"/>
    <w:pPr>
      <w:spacing w:before="100" w:beforeAutospacing="1" w:after="100" w:afterAutospacing="1"/>
    </w:pPr>
    <w:rPr>
      <w:rFonts w:ascii="宋体" w:hAnsi="宋体" w:cs="宋体"/>
      <w:sz w:val="24"/>
      <w:szCs w:val="24"/>
    </w:rPr>
  </w:style>
  <w:style w:type="paragraph" w:customStyle="1" w:styleId="185">
    <w:name w:val="font1"/>
    <w:basedOn w:val="1"/>
    <w:uiPriority w:val="0"/>
    <w:pPr>
      <w:spacing w:before="100" w:beforeAutospacing="1" w:after="100" w:afterAutospacing="1"/>
    </w:pPr>
    <w:rPr>
      <w:rFonts w:ascii="宋体" w:hAnsi="宋体" w:cs="宋体"/>
      <w:color w:val="000000"/>
      <w:sz w:val="24"/>
      <w:szCs w:val="24"/>
    </w:rPr>
  </w:style>
  <w:style w:type="paragraph" w:customStyle="1" w:styleId="186">
    <w:name w:val="font2"/>
    <w:basedOn w:val="1"/>
    <w:uiPriority w:val="0"/>
    <w:pPr>
      <w:spacing w:before="100" w:beforeAutospacing="1" w:after="100" w:afterAutospacing="1"/>
    </w:pPr>
    <w:rPr>
      <w:rFonts w:ascii="宋体" w:hAnsi="宋体" w:cs="宋体"/>
      <w:color w:val="000000"/>
      <w:szCs w:val="21"/>
    </w:rPr>
  </w:style>
  <w:style w:type="paragraph" w:customStyle="1" w:styleId="187">
    <w:name w:val="font3"/>
    <w:basedOn w:val="1"/>
    <w:uiPriority w:val="0"/>
    <w:pPr>
      <w:spacing w:before="100" w:beforeAutospacing="1" w:after="100" w:afterAutospacing="1"/>
    </w:pPr>
    <w:rPr>
      <w:rFonts w:ascii="宋体" w:hAnsi="宋体" w:cs="宋体"/>
      <w:b/>
      <w:bCs/>
      <w:color w:val="000000"/>
      <w:sz w:val="24"/>
      <w:szCs w:val="24"/>
    </w:rPr>
  </w:style>
  <w:style w:type="paragraph" w:customStyle="1" w:styleId="188">
    <w:name w:val="font4"/>
    <w:basedOn w:val="1"/>
    <w:uiPriority w:val="0"/>
    <w:pPr>
      <w:spacing w:before="100" w:beforeAutospacing="1" w:after="100" w:afterAutospacing="1"/>
    </w:pPr>
    <w:rPr>
      <w:rFonts w:ascii="宋体" w:hAnsi="宋体" w:cs="宋体"/>
      <w:color w:val="000000"/>
      <w:sz w:val="24"/>
      <w:szCs w:val="24"/>
    </w:rPr>
  </w:style>
  <w:style w:type="paragraph" w:customStyle="1" w:styleId="189">
    <w:name w:val="et2"/>
    <w:basedOn w:val="1"/>
    <w:uiPriority w:val="0"/>
    <w:pPr>
      <w:spacing w:before="100" w:beforeAutospacing="1" w:after="100" w:afterAutospacing="1"/>
      <w:jc w:val="center"/>
      <w:textAlignment w:val="center"/>
    </w:pPr>
    <w:rPr>
      <w:rFonts w:ascii="宋体" w:hAnsi="宋体" w:cs="宋体"/>
      <w:color w:val="000000"/>
      <w:sz w:val="24"/>
      <w:szCs w:val="24"/>
    </w:rPr>
  </w:style>
  <w:style w:type="paragraph" w:customStyle="1" w:styleId="190">
    <w:name w:val="et3"/>
    <w:basedOn w:val="1"/>
    <w:uiPriority w:val="0"/>
    <w:pPr>
      <w:spacing w:before="100" w:beforeAutospacing="1" w:after="100" w:afterAutospacing="1"/>
      <w:jc w:val="center"/>
      <w:textAlignment w:val="center"/>
    </w:pPr>
    <w:rPr>
      <w:rFonts w:ascii="宋体" w:hAnsi="宋体" w:cs="宋体"/>
      <w:b/>
      <w:bCs/>
      <w:color w:val="000000"/>
      <w:sz w:val="24"/>
      <w:szCs w:val="24"/>
    </w:rPr>
  </w:style>
  <w:style w:type="paragraph" w:customStyle="1" w:styleId="191">
    <w:name w:val="et4"/>
    <w:basedOn w:val="1"/>
    <w:uiPriority w:val="0"/>
    <w:pPr>
      <w:spacing w:before="100" w:beforeAutospacing="1" w:after="100" w:afterAutospacing="1"/>
      <w:jc w:val="center"/>
      <w:textAlignment w:val="center"/>
    </w:pPr>
    <w:rPr>
      <w:rFonts w:ascii="宋体" w:hAnsi="宋体" w:cs="宋体"/>
      <w:color w:val="000000"/>
      <w:sz w:val="24"/>
      <w:szCs w:val="24"/>
    </w:rPr>
  </w:style>
  <w:style w:type="paragraph" w:customStyle="1" w:styleId="192">
    <w:name w:val="et5"/>
    <w:basedOn w:val="1"/>
    <w:uiPriority w:val="0"/>
    <w:pPr>
      <w:pBdr>
        <w:bottom w:val="single" w:color="000000" w:sz="4" w:space="0"/>
      </w:pBdr>
      <w:spacing w:before="100" w:beforeAutospacing="1" w:after="100" w:afterAutospacing="1"/>
      <w:jc w:val="center"/>
      <w:textAlignment w:val="center"/>
    </w:pPr>
    <w:rPr>
      <w:rFonts w:ascii="宋体" w:hAnsi="宋体" w:cs="宋体"/>
      <w:b/>
      <w:bCs/>
      <w:color w:val="000000"/>
      <w:sz w:val="36"/>
      <w:szCs w:val="36"/>
      <w:u w:val="single"/>
    </w:rPr>
  </w:style>
  <w:style w:type="paragraph" w:customStyle="1" w:styleId="193">
    <w:name w:val="et6"/>
    <w:basedOn w:val="1"/>
    <w:uiPriority w:val="0"/>
    <w:pPr>
      <w:pBdr>
        <w:bottom w:val="single" w:color="000000" w:sz="4" w:space="0"/>
      </w:pBdr>
      <w:spacing w:before="100" w:beforeAutospacing="1" w:after="100" w:afterAutospacing="1"/>
      <w:jc w:val="center"/>
      <w:textAlignment w:val="center"/>
    </w:pPr>
    <w:rPr>
      <w:rFonts w:ascii="宋体" w:hAnsi="宋体" w:cs="宋体"/>
      <w:b/>
      <w:bCs/>
      <w:color w:val="000000"/>
      <w:sz w:val="24"/>
      <w:szCs w:val="24"/>
    </w:rPr>
  </w:style>
  <w:style w:type="paragraph" w:customStyle="1" w:styleId="194">
    <w:name w:val="et7"/>
    <w:basedOn w:val="1"/>
    <w:uiPriority w:val="0"/>
    <w:pPr>
      <w:pBdr>
        <w:top w:val="single" w:color="000000" w:sz="4" w:space="0"/>
        <w:left w:val="single" w:color="000000" w:sz="4" w:space="0"/>
        <w:right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195">
    <w:name w:val="et8"/>
    <w:basedOn w:val="1"/>
    <w:uiPriority w:val="0"/>
    <w:pPr>
      <w:pBdr>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196">
    <w:name w:val="et9"/>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b/>
      <w:bCs/>
      <w:sz w:val="24"/>
      <w:szCs w:val="24"/>
    </w:rPr>
  </w:style>
  <w:style w:type="paragraph" w:customStyle="1" w:styleId="197">
    <w:name w:val="et10"/>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b/>
      <w:bCs/>
      <w:sz w:val="24"/>
      <w:szCs w:val="24"/>
    </w:rPr>
  </w:style>
  <w:style w:type="paragraph" w:customStyle="1" w:styleId="198">
    <w:name w:val="et11"/>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szCs w:val="21"/>
    </w:rPr>
  </w:style>
  <w:style w:type="paragraph" w:customStyle="1" w:styleId="199">
    <w:name w:val="et12"/>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sz w:val="24"/>
      <w:szCs w:val="24"/>
    </w:rPr>
  </w:style>
  <w:style w:type="paragraph" w:customStyle="1" w:styleId="200">
    <w:name w:val="et13"/>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sz w:val="24"/>
      <w:szCs w:val="24"/>
    </w:rPr>
  </w:style>
  <w:style w:type="paragraph" w:customStyle="1" w:styleId="201">
    <w:name w:val="et14"/>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sz w:val="24"/>
      <w:szCs w:val="24"/>
    </w:rPr>
  </w:style>
  <w:style w:type="paragraph" w:customStyle="1" w:styleId="202">
    <w:name w:val="et15"/>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b/>
      <w:bCs/>
      <w:sz w:val="24"/>
      <w:szCs w:val="24"/>
    </w:rPr>
  </w:style>
  <w:style w:type="paragraph" w:customStyle="1" w:styleId="203">
    <w:name w:val="et17"/>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204">
    <w:name w:val="et19"/>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textAlignment w:val="center"/>
    </w:pPr>
    <w:rPr>
      <w:rFonts w:ascii="宋体" w:hAnsi="宋体" w:cs="宋体"/>
      <w:sz w:val="24"/>
      <w:szCs w:val="24"/>
    </w:rPr>
  </w:style>
  <w:style w:type="paragraph" w:customStyle="1" w:styleId="205">
    <w:name w:val="et23"/>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206">
    <w:name w:val="et24"/>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333333"/>
      <w:sz w:val="24"/>
      <w:szCs w:val="24"/>
    </w:rPr>
  </w:style>
  <w:style w:type="paragraph" w:customStyle="1" w:styleId="207">
    <w:name w:val="et25"/>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208">
    <w:name w:val="et30"/>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textAlignment w:val="center"/>
    </w:pPr>
    <w:rPr>
      <w:rFonts w:ascii="宋体" w:hAnsi="宋体" w:cs="宋体"/>
      <w:color w:val="002060"/>
      <w:sz w:val="24"/>
      <w:szCs w:val="24"/>
    </w:rPr>
  </w:style>
  <w:style w:type="paragraph" w:customStyle="1" w:styleId="209">
    <w:name w:val="et31"/>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2060"/>
      <w:sz w:val="24"/>
      <w:szCs w:val="24"/>
    </w:rPr>
  </w:style>
  <w:style w:type="paragraph" w:customStyle="1" w:styleId="210">
    <w:name w:val="et32"/>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textAlignment w:val="center"/>
    </w:pPr>
    <w:rPr>
      <w:rFonts w:ascii="宋体" w:hAnsi="宋体" w:cs="宋体"/>
      <w:sz w:val="24"/>
      <w:szCs w:val="24"/>
    </w:rPr>
  </w:style>
  <w:style w:type="paragraph" w:customStyle="1" w:styleId="211">
    <w:name w:val="et33"/>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textAlignment w:val="center"/>
    </w:pPr>
    <w:rPr>
      <w:rFonts w:ascii="宋体" w:hAnsi="宋体" w:cs="宋体"/>
      <w:sz w:val="24"/>
      <w:szCs w:val="24"/>
    </w:rPr>
  </w:style>
  <w:style w:type="paragraph" w:customStyle="1" w:styleId="212">
    <w:name w:val="et35"/>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sz w:val="24"/>
      <w:szCs w:val="24"/>
    </w:rPr>
  </w:style>
  <w:style w:type="paragraph" w:customStyle="1" w:styleId="213">
    <w:name w:val="et36"/>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textAlignment w:val="center"/>
    </w:pPr>
    <w:rPr>
      <w:rFonts w:ascii="宋体" w:hAnsi="宋体" w:cs="宋体"/>
      <w:color w:val="002060"/>
      <w:sz w:val="24"/>
      <w:szCs w:val="24"/>
    </w:rPr>
  </w:style>
  <w:style w:type="paragraph" w:customStyle="1" w:styleId="214">
    <w:name w:val="et38"/>
    <w:basedOn w:val="1"/>
    <w:uiPriority w:val="0"/>
    <w:pPr>
      <w:pBdr>
        <w:top w:val="single" w:color="000000" w:sz="4" w:space="0"/>
        <w:left w:val="single" w:color="000000" w:sz="4" w:space="0"/>
        <w:right w:val="single" w:color="000000" w:sz="4" w:space="0"/>
      </w:pBdr>
      <w:spacing w:before="100" w:beforeAutospacing="1" w:after="100" w:afterAutospacing="1"/>
      <w:jc w:val="center"/>
      <w:textAlignment w:val="center"/>
    </w:pPr>
    <w:rPr>
      <w:rFonts w:ascii="宋体" w:hAnsi="宋体" w:cs="宋体"/>
      <w:color w:val="002060"/>
      <w:sz w:val="24"/>
      <w:szCs w:val="24"/>
    </w:rPr>
  </w:style>
  <w:style w:type="paragraph" w:customStyle="1" w:styleId="215">
    <w:name w:val="et39"/>
    <w:basedOn w:val="1"/>
    <w:uiPriority w:val="0"/>
    <w:pPr>
      <w:pBdr>
        <w:left w:val="single" w:color="000000" w:sz="4" w:space="0"/>
        <w:right w:val="single" w:color="000000" w:sz="4" w:space="0"/>
      </w:pBdr>
      <w:spacing w:before="100" w:beforeAutospacing="1" w:after="100" w:afterAutospacing="1"/>
      <w:jc w:val="center"/>
      <w:textAlignment w:val="center"/>
    </w:pPr>
    <w:rPr>
      <w:rFonts w:ascii="宋体" w:hAnsi="宋体" w:cs="宋体"/>
      <w:color w:val="002060"/>
      <w:sz w:val="24"/>
      <w:szCs w:val="24"/>
    </w:rPr>
  </w:style>
  <w:style w:type="paragraph" w:customStyle="1" w:styleId="216">
    <w:name w:val="et40"/>
    <w:basedOn w:val="1"/>
    <w:uiPriority w:val="0"/>
    <w:pPr>
      <w:pBdr>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2060"/>
      <w:sz w:val="24"/>
      <w:szCs w:val="24"/>
    </w:rPr>
  </w:style>
  <w:style w:type="paragraph" w:customStyle="1" w:styleId="217">
    <w:name w:val="et41"/>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2060"/>
      <w:sz w:val="24"/>
      <w:szCs w:val="24"/>
    </w:rPr>
  </w:style>
  <w:style w:type="paragraph" w:customStyle="1" w:styleId="218">
    <w:name w:val="et42"/>
    <w:basedOn w:val="1"/>
    <w:uiPriority w:val="0"/>
    <w:pPr>
      <w:pBdr>
        <w:top w:val="single" w:color="000000" w:sz="4" w:space="0"/>
        <w:left w:val="single" w:color="000000" w:sz="4" w:space="0"/>
        <w:bottom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219">
    <w:name w:val="et43"/>
    <w:basedOn w:val="1"/>
    <w:uiPriority w:val="0"/>
    <w:pPr>
      <w:pBdr>
        <w:top w:val="single" w:color="000000" w:sz="4" w:space="0"/>
        <w:bottom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220">
    <w:name w:val="et44"/>
    <w:basedOn w:val="1"/>
    <w:uiPriority w:val="0"/>
    <w:pPr>
      <w:pBdr>
        <w:top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sz w:val="24"/>
      <w:szCs w:val="24"/>
    </w:rPr>
  </w:style>
  <w:style w:type="paragraph" w:customStyle="1" w:styleId="221">
    <w:name w:val="et45"/>
    <w:basedOn w:val="1"/>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b/>
      <w:bCs/>
      <w:color w:val="000000"/>
      <w:sz w:val="24"/>
      <w:szCs w:val="24"/>
    </w:rPr>
  </w:style>
  <w:style w:type="character" w:customStyle="1" w:styleId="222">
    <w:name w:val="font91"/>
    <w:uiPriority w:val="0"/>
    <w:rPr>
      <w:rFonts w:hint="eastAsia" w:ascii="宋体" w:hAnsi="宋体" w:eastAsia="宋体"/>
      <w:b/>
      <w:bCs/>
      <w:color w:val="000000"/>
      <w:kern w:val="2"/>
      <w:sz w:val="36"/>
      <w:szCs w:val="36"/>
      <w:u w:val="none"/>
      <w:lang w:val="en-US" w:eastAsia="zh-CN" w:bidi="ar-SA"/>
    </w:rPr>
  </w:style>
  <w:style w:type="character" w:customStyle="1" w:styleId="223">
    <w:name w:val="font71"/>
    <w:uiPriority w:val="0"/>
    <w:rPr>
      <w:rFonts w:hint="eastAsia" w:ascii="宋体" w:hAnsi="宋体" w:eastAsia="宋体"/>
      <w:b/>
      <w:bCs/>
      <w:color w:val="000000"/>
      <w:kern w:val="2"/>
      <w:sz w:val="24"/>
      <w:szCs w:val="24"/>
      <w:u w:val="none"/>
      <w:lang w:val="en-US" w:eastAsia="zh-CN" w:bidi="ar-SA"/>
    </w:rPr>
  </w:style>
  <w:style w:type="character" w:customStyle="1" w:styleId="224">
    <w:name w:val="font21"/>
    <w:uiPriority w:val="0"/>
    <w:rPr>
      <w:rFonts w:ascii="宋体" w:hAnsi="宋体" w:eastAsia="宋体"/>
      <w:color w:val="000000"/>
      <w:kern w:val="2"/>
      <w:sz w:val="24"/>
      <w:szCs w:val="24"/>
      <w:u w:val="none"/>
      <w:vertAlign w:val="superscript"/>
      <w:lang w:val="en-US" w:eastAsia="zh-CN" w:bidi="ar-SA"/>
    </w:rPr>
  </w:style>
  <w:style w:type="character" w:customStyle="1" w:styleId="225">
    <w:name w:val="font41"/>
    <w:uiPriority w:val="0"/>
    <w:rPr>
      <w:rFonts w:hint="eastAsia" w:ascii="宋体" w:hAnsi="宋体" w:eastAsia="宋体"/>
      <w:b/>
      <w:bCs/>
      <w:color w:val="000000"/>
      <w:kern w:val="2"/>
      <w:sz w:val="36"/>
      <w:szCs w:val="36"/>
      <w:u w:val="none"/>
      <w:lang w:val="en-US" w:eastAsia="zh-CN" w:bidi="ar-SA"/>
    </w:rPr>
  </w:style>
  <w:style w:type="character" w:customStyle="1" w:styleId="226">
    <w:name w:val="font61"/>
    <w:uiPriority w:val="0"/>
    <w:rPr>
      <w:rFonts w:hint="eastAsia" w:ascii="宋体" w:hAnsi="宋体" w:eastAsia="宋体"/>
      <w:b/>
      <w:bCs/>
      <w:color w:val="000000"/>
      <w:kern w:val="2"/>
      <w:sz w:val="36"/>
      <w:szCs w:val="36"/>
      <w:u w:val="none"/>
      <w:lang w:val="en-US" w:eastAsia="zh-CN" w:bidi="ar-SA"/>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header5.xml" Type="http://schemas.openxmlformats.org/officeDocument/2006/relationships/header"/><Relationship Id="rId11" Target="footer4.xml" Type="http://schemas.openxmlformats.org/officeDocument/2006/relationships/footer"/><Relationship Id="rId12" Target="header6.xml" Type="http://schemas.openxmlformats.org/officeDocument/2006/relationships/header"/><Relationship Id="rId13" Target="header7.xml" Type="http://schemas.openxmlformats.org/officeDocument/2006/relationships/header"/><Relationship Id="rId14" Target="footer5.xml" Type="http://schemas.openxmlformats.org/officeDocument/2006/relationships/footer"/><Relationship Id="rId15" Target="header8.xml" Type="http://schemas.openxmlformats.org/officeDocument/2006/relationships/header"/><Relationship Id="rId16" Target="header9.xml" Type="http://schemas.openxmlformats.org/officeDocument/2006/relationships/header"/><Relationship Id="rId17" Target="footer6.xml" Type="http://schemas.openxmlformats.org/officeDocument/2006/relationships/footer"/><Relationship Id="rId18" Target="header10.xml" Type="http://schemas.openxmlformats.org/officeDocument/2006/relationships/header"/><Relationship Id="rId19" Target="header11.xml" Type="http://schemas.openxmlformats.org/officeDocument/2006/relationships/header"/><Relationship Id="rId2" Target="settings.xml" Type="http://schemas.openxmlformats.org/officeDocument/2006/relationships/settings"/><Relationship Id="rId20" Target="footer7.xml" Type="http://schemas.openxmlformats.org/officeDocument/2006/relationships/footer"/><Relationship Id="rId21" Target="theme/theme1.xml" Type="http://schemas.openxmlformats.org/officeDocument/2006/relationships/theme"/><Relationship Id="rId22" Target="media/image1.jpeg" Type="http://schemas.openxmlformats.org/officeDocument/2006/relationships/image"/><Relationship Id="rId23" Target="media/image2.png" Type="http://schemas.openxmlformats.org/officeDocument/2006/relationships/image"/><Relationship Id="rId24" Target="media/image3.png" Type="http://schemas.openxmlformats.org/officeDocument/2006/relationships/image"/><Relationship Id="rId25" Target="media/image4.png" Type="http://schemas.openxmlformats.org/officeDocument/2006/relationships/image"/><Relationship Id="rId26" Target="media/image5.jpeg" Type="http://schemas.openxmlformats.org/officeDocument/2006/relationships/image"/><Relationship Id="rId27" Target="media/image6.png" Type="http://schemas.openxmlformats.org/officeDocument/2006/relationships/image"/><Relationship Id="rId28" Target="media/image7.png" Type="http://schemas.openxmlformats.org/officeDocument/2006/relationships/image"/><Relationship Id="rId29" Target="media/image8.jpeg" Type="http://schemas.openxmlformats.org/officeDocument/2006/relationships/image"/><Relationship Id="rId3" Target="header1.xml" Type="http://schemas.openxmlformats.org/officeDocument/2006/relationships/header"/><Relationship Id="rId30" Target="media/image9.png" Type="http://schemas.openxmlformats.org/officeDocument/2006/relationships/image"/><Relationship Id="rId31" Target="media/image10.jpeg" Type="http://schemas.openxmlformats.org/officeDocument/2006/relationships/image"/><Relationship Id="rId32" Target="media/image11.png" Type="http://schemas.openxmlformats.org/officeDocument/2006/relationships/image"/><Relationship Id="rId33" Target="media/image12.png" Type="http://schemas.openxmlformats.org/officeDocument/2006/relationships/image"/><Relationship Id="rId34" Target="media/image13.png" Type="http://schemas.openxmlformats.org/officeDocument/2006/relationships/image"/><Relationship Id="rId35" Target="media/image14.jpeg" Type="http://schemas.openxmlformats.org/officeDocument/2006/relationships/image"/><Relationship Id="rId36" Target="media/image15.png" Type="http://schemas.openxmlformats.org/officeDocument/2006/relationships/image"/><Relationship Id="rId37" Target="media/image16.jpeg" Type="http://schemas.openxmlformats.org/officeDocument/2006/relationships/image"/><Relationship Id="rId38" Target="media/image17.png" Type="http://schemas.openxmlformats.org/officeDocument/2006/relationships/image"/><Relationship Id="rId39" Target="media/image18.png" Type="http://schemas.openxmlformats.org/officeDocument/2006/relationships/image"/><Relationship Id="rId4" Target="header2.xml" Type="http://schemas.openxmlformats.org/officeDocument/2006/relationships/header"/><Relationship Id="rId40" Target="media/image19.png" Type="http://schemas.openxmlformats.org/officeDocument/2006/relationships/image"/><Relationship Id="rId41" Target="numbering.xml" Type="http://schemas.openxmlformats.org/officeDocument/2006/relationships/numbering"/><Relationship Id="rId42" Target="fontTable.xml" Type="http://schemas.openxmlformats.org/officeDocument/2006/relationships/fontTable"/><Relationship Id="rId5" Target="footer1.xml" Type="http://schemas.openxmlformats.org/officeDocument/2006/relationships/footer"/><Relationship Id="rId6" Target="footer2.xml" Type="http://schemas.openxmlformats.org/officeDocument/2006/relationships/footer"/><Relationship Id="rId7" Target="header3.xml" Type="http://schemas.openxmlformats.org/officeDocument/2006/relationships/header"/><Relationship Id="rId8" Target="footer3.xml" Type="http://schemas.openxmlformats.org/officeDocument/2006/relationships/footer"/><Relationship Id="rId9" Target="header4.xml" Type="http://schemas.openxmlformats.org/officeDocument/2006/relationships/header"/></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raztb</Company>
  <Pages>139</Pages>
  <Words>17807</Words>
  <Characters>101501</Characters>
  <Lines>845</Lines>
  <Paragraphs>238</Paragraphs>
  <TotalTime>0</TotalTime>
  <ScaleCrop>false</ScaleCrop>
  <LinksUpToDate>false</LinksUpToDate>
  <CharactersWithSpaces>119070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2018-01-04T00:33:00Z</dcterms:created>
  <dc:creator>ccl</dc:creator>
  <cp:lastModifiedBy>WPS_1701756769</cp:lastModifiedBy>
  <cp:lastPrinted>2021-03-09T05:55:00Z</cp:lastPrinted>
  <dcterms:modified xsi:type="dcterms:W3CDTF">2024-02-23T02:59:36Z</dcterms:modified>
  <cp:revision>312</cp:revision>
  <dc:title>瑞安市公共资源交易中心</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项目编号">
    <vt:lpwstr>AAAAA</vt:lpwstr>
  </property>
  <property fmtid="{D5CDD505-2E9C-101B-9397-08002B2CF9AE}" pid="3" name="KSOProductBuildVer">
    <vt:lpwstr>2052-12.1.0.16388</vt:lpwstr>
  </property>
  <property fmtid="{D5CDD505-2E9C-101B-9397-08002B2CF9AE}" pid="4" name="ICV">
    <vt:lpwstr>DD5144C7AEA14650B04917599A3CE81E_13</vt:lpwstr>
  </property>
</Properties>
</file>