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color w:val="auto"/>
          <w:spacing w:val="100"/>
          <w:sz w:val="72"/>
          <w:szCs w:val="72"/>
        </w:rPr>
      </w:pPr>
      <w:bookmarkStart w:id="176" w:name="_GoBack"/>
      <w:bookmarkEnd w:id="176"/>
      <w:r>
        <w:rPr>
          <w:rFonts w:hint="eastAsia" w:ascii="宋体" w:hAnsi="宋体"/>
          <w:b/>
          <w:bCs/>
          <w:color w:val="auto"/>
          <w:spacing w:val="100"/>
          <w:sz w:val="72"/>
          <w:szCs w:val="72"/>
        </w:rPr>
        <w:t>泰顺县政府采购</w:t>
      </w:r>
    </w:p>
    <w:p>
      <w:pPr>
        <w:jc w:val="center"/>
        <w:rPr>
          <w:rFonts w:ascii="新宋体" w:hAnsi="新宋体" w:eastAsia="新宋体"/>
          <w:b/>
          <w:bCs/>
          <w:color w:val="auto"/>
          <w:spacing w:val="140"/>
          <w:sz w:val="72"/>
          <w:szCs w:val="72"/>
        </w:rPr>
      </w:pPr>
      <w:r>
        <w:rPr>
          <w:rFonts w:ascii="新宋体" w:hAnsi="新宋体" w:eastAsia="新宋体"/>
          <w:b/>
          <w:bCs/>
          <w:color w:val="auto"/>
          <w:spacing w:val="140"/>
          <w:sz w:val="72"/>
          <w:szCs w:val="72"/>
        </w:rPr>
        <w:t xml:space="preserve"> </w:t>
      </w:r>
    </w:p>
    <w:p>
      <w:pPr>
        <w:jc w:val="center"/>
        <w:rPr>
          <w:rFonts w:ascii="新宋体" w:hAnsi="新宋体" w:eastAsia="新宋体"/>
          <w:b/>
          <w:bCs/>
          <w:color w:val="auto"/>
          <w:spacing w:val="140"/>
          <w:sz w:val="72"/>
          <w:szCs w:val="72"/>
        </w:rPr>
      </w:pPr>
      <w:r>
        <w:rPr>
          <w:rFonts w:ascii="新宋体" w:hAnsi="新宋体" w:eastAsia="新宋体"/>
          <w:b/>
          <w:bCs/>
          <w:color w:val="auto"/>
          <w:spacing w:val="140"/>
          <w:sz w:val="72"/>
          <w:szCs w:val="72"/>
        </w:rPr>
        <w:t xml:space="preserve"> </w:t>
      </w:r>
    </w:p>
    <w:p>
      <w:pPr>
        <w:jc w:val="center"/>
        <w:rPr>
          <w:rFonts w:ascii="新宋体" w:hAnsi="新宋体" w:eastAsia="新宋体"/>
          <w:b/>
          <w:bCs/>
          <w:color w:val="auto"/>
          <w:spacing w:val="140"/>
          <w:sz w:val="72"/>
          <w:szCs w:val="72"/>
        </w:rPr>
      </w:pPr>
    </w:p>
    <w:p>
      <w:pPr>
        <w:jc w:val="center"/>
        <w:rPr>
          <w:rFonts w:ascii="新宋体" w:hAnsi="新宋体" w:eastAsia="新宋体"/>
          <w:b/>
          <w:bCs/>
          <w:color w:val="auto"/>
          <w:spacing w:val="140"/>
          <w:sz w:val="72"/>
          <w:szCs w:val="72"/>
        </w:rPr>
      </w:pPr>
    </w:p>
    <w:p>
      <w:pPr>
        <w:spacing w:line="900" w:lineRule="exact"/>
        <w:jc w:val="center"/>
        <w:rPr>
          <w:rFonts w:ascii="楷体" w:hAnsi="楷体" w:eastAsia="楷体"/>
          <w:b/>
          <w:bCs/>
          <w:color w:val="auto"/>
          <w:spacing w:val="140"/>
          <w:sz w:val="72"/>
          <w:szCs w:val="72"/>
        </w:rPr>
      </w:pPr>
      <w:r>
        <w:rPr>
          <w:rFonts w:ascii="黑体" w:hAnsi="新宋体" w:eastAsia="黑体"/>
          <w:b/>
          <w:bCs/>
          <w:color w:val="auto"/>
          <w:spacing w:val="140"/>
          <w:sz w:val="84"/>
          <w:szCs w:val="84"/>
        </w:rPr>
        <w:t xml:space="preserve"> </w:t>
      </w:r>
      <w:r>
        <w:rPr>
          <w:rFonts w:hint="eastAsia" w:ascii="楷体" w:hAnsi="楷体" w:eastAsia="楷体"/>
          <w:b/>
          <w:bCs/>
          <w:color w:val="auto"/>
          <w:spacing w:val="140"/>
          <w:sz w:val="72"/>
          <w:szCs w:val="72"/>
        </w:rPr>
        <w:t>招</w:t>
      </w:r>
      <w:r>
        <w:rPr>
          <w:rFonts w:ascii="楷体" w:hAnsi="楷体" w:eastAsia="楷体"/>
          <w:b/>
          <w:bCs/>
          <w:color w:val="auto"/>
          <w:spacing w:val="140"/>
          <w:sz w:val="72"/>
          <w:szCs w:val="72"/>
        </w:rPr>
        <w:t xml:space="preserve"> </w:t>
      </w:r>
      <w:r>
        <w:rPr>
          <w:rFonts w:hint="eastAsia" w:ascii="楷体" w:hAnsi="楷体" w:eastAsia="楷体"/>
          <w:b/>
          <w:bCs/>
          <w:color w:val="auto"/>
          <w:spacing w:val="140"/>
          <w:sz w:val="72"/>
          <w:szCs w:val="72"/>
        </w:rPr>
        <w:t>标</w:t>
      </w:r>
      <w:r>
        <w:rPr>
          <w:rFonts w:ascii="楷体" w:hAnsi="楷体" w:eastAsia="楷体"/>
          <w:b/>
          <w:bCs/>
          <w:color w:val="auto"/>
          <w:spacing w:val="140"/>
          <w:sz w:val="72"/>
          <w:szCs w:val="72"/>
        </w:rPr>
        <w:t xml:space="preserve"> </w:t>
      </w:r>
      <w:r>
        <w:rPr>
          <w:rFonts w:hint="eastAsia" w:ascii="楷体" w:hAnsi="楷体" w:eastAsia="楷体"/>
          <w:b/>
          <w:bCs/>
          <w:color w:val="auto"/>
          <w:spacing w:val="140"/>
          <w:sz w:val="72"/>
          <w:szCs w:val="72"/>
        </w:rPr>
        <w:t>文</w:t>
      </w:r>
      <w:r>
        <w:rPr>
          <w:rFonts w:ascii="楷体" w:hAnsi="楷体" w:eastAsia="楷体"/>
          <w:b/>
          <w:bCs/>
          <w:color w:val="auto"/>
          <w:spacing w:val="140"/>
          <w:sz w:val="72"/>
          <w:szCs w:val="72"/>
        </w:rPr>
        <w:t xml:space="preserve"> </w:t>
      </w:r>
      <w:r>
        <w:rPr>
          <w:rFonts w:hint="eastAsia" w:ascii="楷体" w:hAnsi="楷体" w:eastAsia="楷体"/>
          <w:b/>
          <w:bCs/>
          <w:color w:val="auto"/>
          <w:spacing w:val="140"/>
          <w:sz w:val="72"/>
          <w:szCs w:val="72"/>
        </w:rPr>
        <w:t>件</w:t>
      </w:r>
    </w:p>
    <w:p>
      <w:pPr>
        <w:jc w:val="center"/>
        <w:rPr>
          <w:rFonts w:ascii="宋体"/>
          <w:b/>
          <w:color w:val="auto"/>
          <w:sz w:val="72"/>
          <w:szCs w:val="72"/>
        </w:rPr>
      </w:pPr>
    </w:p>
    <w:tbl>
      <w:tblPr>
        <w:tblStyle w:val="21"/>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pPr>
              <w:rPr>
                <w:rFonts w:ascii="宋体"/>
                <w:b/>
                <w:color w:val="auto"/>
                <w:sz w:val="30"/>
                <w:szCs w:val="30"/>
              </w:rPr>
            </w:pPr>
            <w:r>
              <w:rPr>
                <w:rFonts w:hint="eastAsia" w:ascii="宋体" w:hAnsi="宋体"/>
                <w:b/>
                <w:color w:val="auto"/>
                <w:sz w:val="30"/>
                <w:szCs w:val="30"/>
              </w:rPr>
              <w:t>招标编号</w:t>
            </w:r>
          </w:p>
        </w:tc>
        <w:tc>
          <w:tcPr>
            <w:tcW w:w="5863" w:type="dxa"/>
            <w:vAlign w:val="center"/>
          </w:tcPr>
          <w:p>
            <w:pPr>
              <w:rPr>
                <w:rFonts w:hint="eastAsia" w:ascii="宋体" w:eastAsia="宋体"/>
                <w:b/>
                <w:color w:val="auto"/>
                <w:sz w:val="30"/>
                <w:szCs w:val="30"/>
                <w:lang w:eastAsia="zh-CN"/>
              </w:rPr>
            </w:pPr>
            <w:r>
              <w:rPr>
                <w:rFonts w:hint="eastAsia" w:ascii="宋体" w:hAnsi="宋体"/>
                <w:b/>
                <w:color w:val="auto"/>
                <w:sz w:val="30"/>
                <w:szCs w:val="30"/>
                <w:lang w:eastAsia="zh-CN"/>
              </w:rPr>
              <w:t>TSCG202004003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pPr>
              <w:rPr>
                <w:rFonts w:ascii="宋体"/>
                <w:b/>
                <w:color w:val="auto"/>
                <w:sz w:val="30"/>
                <w:szCs w:val="30"/>
              </w:rPr>
            </w:pPr>
            <w:r>
              <w:rPr>
                <w:rFonts w:hint="eastAsia" w:ascii="宋体" w:hAnsi="宋体"/>
                <w:b/>
                <w:color w:val="auto"/>
                <w:sz w:val="30"/>
                <w:szCs w:val="30"/>
              </w:rPr>
              <w:t>项目名称</w:t>
            </w:r>
          </w:p>
        </w:tc>
        <w:tc>
          <w:tcPr>
            <w:tcW w:w="5863" w:type="dxa"/>
            <w:vAlign w:val="center"/>
          </w:tcPr>
          <w:p>
            <w:pPr>
              <w:rPr>
                <w:rFonts w:hint="eastAsia" w:ascii="宋体" w:eastAsia="宋体"/>
                <w:b/>
                <w:color w:val="auto"/>
                <w:sz w:val="30"/>
                <w:szCs w:val="30"/>
                <w:lang w:eastAsia="zh-CN"/>
              </w:rPr>
            </w:pPr>
            <w:r>
              <w:rPr>
                <w:rFonts w:hint="eastAsia" w:ascii="宋体" w:hAnsi="宋体"/>
                <w:b/>
                <w:color w:val="auto"/>
                <w:sz w:val="30"/>
                <w:szCs w:val="30"/>
                <w:lang w:eastAsia="zh-CN"/>
              </w:rPr>
              <w:t>泰顺县水利工程可视化项目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pPr>
              <w:rPr>
                <w:rFonts w:ascii="宋体"/>
                <w:b/>
                <w:color w:val="auto"/>
                <w:sz w:val="30"/>
                <w:szCs w:val="30"/>
              </w:rPr>
            </w:pPr>
            <w:r>
              <w:rPr>
                <w:rFonts w:hint="eastAsia" w:ascii="宋体" w:hAnsi="宋体"/>
                <w:b/>
                <w:color w:val="auto"/>
                <w:sz w:val="30"/>
                <w:szCs w:val="30"/>
              </w:rPr>
              <w:t>招标方式</w:t>
            </w:r>
          </w:p>
        </w:tc>
        <w:tc>
          <w:tcPr>
            <w:tcW w:w="5863" w:type="dxa"/>
            <w:vAlign w:val="center"/>
          </w:tcPr>
          <w:p>
            <w:pPr>
              <w:rPr>
                <w:rFonts w:ascii="宋体"/>
                <w:b/>
                <w:color w:val="auto"/>
                <w:sz w:val="30"/>
                <w:szCs w:val="30"/>
              </w:rPr>
            </w:pPr>
            <w:r>
              <w:rPr>
                <w:rFonts w:hint="eastAsia" w:ascii="宋体" w:hAnsi="宋体"/>
                <w:b/>
                <w:color w:val="auto"/>
                <w:sz w:val="30"/>
                <w:szCs w:val="3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pPr>
              <w:rPr>
                <w:rFonts w:ascii="宋体"/>
                <w:b/>
                <w:color w:val="auto"/>
                <w:sz w:val="30"/>
                <w:szCs w:val="30"/>
              </w:rPr>
            </w:pPr>
            <w:r>
              <w:rPr>
                <w:rFonts w:hint="eastAsia" w:ascii="宋体" w:hAnsi="宋体"/>
                <w:b/>
                <w:color w:val="auto"/>
                <w:sz w:val="30"/>
                <w:szCs w:val="30"/>
              </w:rPr>
              <w:t>采购单位</w:t>
            </w:r>
          </w:p>
        </w:tc>
        <w:tc>
          <w:tcPr>
            <w:tcW w:w="5863" w:type="dxa"/>
            <w:vAlign w:val="center"/>
          </w:tcPr>
          <w:p>
            <w:pPr>
              <w:snapToGrid w:val="0"/>
              <w:spacing w:line="500" w:lineRule="atLeast"/>
              <w:rPr>
                <w:rFonts w:hint="eastAsia" w:ascii="宋体" w:eastAsia="宋体"/>
                <w:b/>
                <w:color w:val="auto"/>
                <w:sz w:val="30"/>
                <w:szCs w:val="30"/>
                <w:lang w:eastAsia="zh-CN"/>
              </w:rPr>
            </w:pPr>
            <w:r>
              <w:rPr>
                <w:rFonts w:hint="eastAsia" w:ascii="宋体" w:hAnsi="宋体"/>
                <w:b/>
                <w:color w:val="auto"/>
                <w:sz w:val="30"/>
                <w:szCs w:val="30"/>
                <w:lang w:eastAsia="zh-CN"/>
              </w:rPr>
              <w:t>泰顺县水利局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pPr>
              <w:rPr>
                <w:rFonts w:ascii="宋体"/>
                <w:b/>
                <w:color w:val="auto"/>
                <w:sz w:val="30"/>
                <w:szCs w:val="30"/>
              </w:rPr>
            </w:pPr>
            <w:r>
              <w:rPr>
                <w:rFonts w:hint="eastAsia" w:ascii="宋体" w:hAnsi="宋体"/>
                <w:b/>
                <w:color w:val="auto"/>
                <w:sz w:val="30"/>
                <w:szCs w:val="30"/>
              </w:rPr>
              <w:t>招标代理机构</w:t>
            </w:r>
          </w:p>
        </w:tc>
        <w:tc>
          <w:tcPr>
            <w:tcW w:w="5863" w:type="dxa"/>
            <w:vAlign w:val="center"/>
          </w:tcPr>
          <w:p>
            <w:pPr>
              <w:rPr>
                <w:rFonts w:ascii="宋体"/>
                <w:b/>
                <w:color w:val="auto"/>
                <w:sz w:val="30"/>
                <w:szCs w:val="30"/>
              </w:rPr>
            </w:pPr>
            <w:r>
              <w:rPr>
                <w:rFonts w:hint="eastAsia" w:ascii="宋体" w:hAnsi="宋体"/>
                <w:b/>
                <w:color w:val="auto"/>
                <w:sz w:val="30"/>
                <w:szCs w:val="30"/>
              </w:rPr>
              <w:t>杭州华旗招标代理有限公司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pPr>
              <w:rPr>
                <w:rFonts w:ascii="宋体" w:cs="Arial"/>
                <w:b/>
                <w:bCs/>
                <w:color w:val="auto"/>
                <w:sz w:val="28"/>
                <w:szCs w:val="28"/>
              </w:rPr>
            </w:pPr>
            <w:r>
              <w:rPr>
                <w:rFonts w:hint="eastAsia" w:ascii="宋体" w:hAnsi="宋体"/>
                <w:b/>
                <w:color w:val="auto"/>
                <w:sz w:val="30"/>
                <w:szCs w:val="30"/>
              </w:rPr>
              <w:t>监督及备案机构</w:t>
            </w:r>
          </w:p>
        </w:tc>
        <w:tc>
          <w:tcPr>
            <w:tcW w:w="5863" w:type="dxa"/>
            <w:vAlign w:val="center"/>
          </w:tcPr>
          <w:p>
            <w:pPr>
              <w:rPr>
                <w:rFonts w:ascii="宋体" w:cs="Arial"/>
                <w:b/>
                <w:bCs/>
                <w:color w:val="auto"/>
                <w:sz w:val="28"/>
                <w:szCs w:val="28"/>
              </w:rPr>
            </w:pPr>
            <w:bookmarkStart w:id="0" w:name="B20_同级政府采购监督管理部门"/>
            <w:r>
              <w:rPr>
                <w:rFonts w:hint="eastAsia" w:ascii="宋体" w:hAnsi="宋体"/>
                <w:b/>
                <w:color w:val="auto"/>
                <w:sz w:val="30"/>
                <w:szCs w:val="30"/>
              </w:rPr>
              <w:t>泰顺县</w:t>
            </w:r>
            <w:bookmarkEnd w:id="0"/>
            <w:r>
              <w:rPr>
                <w:rFonts w:hint="eastAsia" w:ascii="宋体" w:hAnsi="宋体"/>
                <w:b/>
                <w:color w:val="auto"/>
                <w:sz w:val="30"/>
                <w:szCs w:val="30"/>
              </w:rPr>
              <w:t>财政局</w:t>
            </w:r>
          </w:p>
        </w:tc>
      </w:tr>
    </w:tbl>
    <w:p>
      <w:pPr>
        <w:snapToGrid w:val="0"/>
        <w:spacing w:line="500" w:lineRule="atLeast"/>
        <w:ind w:left="1220" w:leftChars="581" w:firstLine="741" w:firstLineChars="247"/>
        <w:rPr>
          <w:rFonts w:ascii="宋体"/>
          <w:b/>
          <w:color w:val="auto"/>
          <w:sz w:val="30"/>
          <w:szCs w:val="30"/>
        </w:rPr>
      </w:pPr>
    </w:p>
    <w:p>
      <w:pPr>
        <w:jc w:val="center"/>
        <w:rPr>
          <w:rFonts w:ascii="宋体"/>
          <w:b/>
          <w:color w:val="auto"/>
          <w:sz w:val="30"/>
          <w:szCs w:val="30"/>
        </w:rPr>
      </w:pPr>
    </w:p>
    <w:p>
      <w:pPr>
        <w:jc w:val="center"/>
        <w:rPr>
          <w:rFonts w:ascii="宋体"/>
          <w:color w:val="auto"/>
        </w:rPr>
      </w:pPr>
      <w:r>
        <w:rPr>
          <w:rFonts w:hint="eastAsia" w:ascii="宋体" w:hAnsi="宋体"/>
          <w:b/>
          <w:color w:val="auto"/>
          <w:sz w:val="30"/>
          <w:szCs w:val="30"/>
        </w:rPr>
        <w:t>二○二○年</w:t>
      </w:r>
      <w:r>
        <w:rPr>
          <w:rFonts w:hint="eastAsia" w:ascii="宋体" w:hAnsi="宋体"/>
          <w:b/>
          <w:color w:val="auto"/>
          <w:sz w:val="30"/>
          <w:szCs w:val="30"/>
          <w:lang w:val="en-US" w:eastAsia="zh-CN"/>
        </w:rPr>
        <w:t>四</w:t>
      </w:r>
      <w:r>
        <w:rPr>
          <w:rFonts w:hint="eastAsia" w:ascii="宋体" w:hAnsi="宋体"/>
          <w:b/>
          <w:color w:val="auto"/>
          <w:sz w:val="30"/>
          <w:szCs w:val="30"/>
        </w:rPr>
        <w:t>月</w:t>
      </w:r>
    </w:p>
    <w:p>
      <w:pPr>
        <w:autoSpaceDE w:val="0"/>
        <w:autoSpaceDN w:val="0"/>
        <w:spacing w:line="480" w:lineRule="exact"/>
        <w:jc w:val="center"/>
        <w:textAlignment w:val="bottom"/>
        <w:rPr>
          <w:rFonts w:ascii="宋体"/>
          <w:color w:val="auto"/>
          <w:sz w:val="36"/>
          <w:szCs w:val="36"/>
        </w:rPr>
      </w:pPr>
    </w:p>
    <w:p>
      <w:pPr>
        <w:autoSpaceDE w:val="0"/>
        <w:autoSpaceDN w:val="0"/>
        <w:spacing w:line="480" w:lineRule="exact"/>
        <w:jc w:val="center"/>
        <w:textAlignment w:val="bottom"/>
        <w:rPr>
          <w:color w:val="auto"/>
        </w:rPr>
        <w:sectPr>
          <w:headerReference r:id="rId4" w:type="first"/>
          <w:footerReference r:id="rId6" w:type="first"/>
          <w:headerReference r:id="rId3" w:type="default"/>
          <w:footerReference r:id="rId5" w:type="default"/>
          <w:pgSz w:w="11906" w:h="16838"/>
          <w:pgMar w:top="1440" w:right="1419"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p>
    <w:p>
      <w:pPr>
        <w:pStyle w:val="9"/>
        <w:rPr>
          <w:color w:val="auto"/>
        </w:rPr>
      </w:pPr>
    </w:p>
    <w:p>
      <w:pPr>
        <w:autoSpaceDE w:val="0"/>
        <w:autoSpaceDN w:val="0"/>
        <w:spacing w:line="480" w:lineRule="exact"/>
        <w:jc w:val="center"/>
        <w:textAlignment w:val="bottom"/>
        <w:rPr>
          <w:rFonts w:ascii="楷体" w:hAnsi="楷体" w:eastAsia="楷体"/>
          <w:b/>
          <w:color w:val="auto"/>
          <w:sz w:val="44"/>
          <w:szCs w:val="44"/>
        </w:rPr>
      </w:pPr>
    </w:p>
    <w:p>
      <w:pPr>
        <w:autoSpaceDE w:val="0"/>
        <w:autoSpaceDN w:val="0"/>
        <w:spacing w:line="480" w:lineRule="exact"/>
        <w:jc w:val="center"/>
        <w:textAlignment w:val="bottom"/>
        <w:rPr>
          <w:rFonts w:ascii="楷体" w:hAnsi="楷体" w:eastAsia="楷体"/>
          <w:b/>
          <w:color w:val="auto"/>
          <w:sz w:val="44"/>
          <w:szCs w:val="44"/>
        </w:rPr>
      </w:pPr>
    </w:p>
    <w:p>
      <w:pPr>
        <w:autoSpaceDE w:val="0"/>
        <w:autoSpaceDN w:val="0"/>
        <w:spacing w:line="480" w:lineRule="exact"/>
        <w:jc w:val="center"/>
        <w:textAlignment w:val="bottom"/>
        <w:rPr>
          <w:rFonts w:ascii="楷体" w:hAnsi="楷体" w:eastAsia="楷体"/>
          <w:b/>
          <w:color w:val="auto"/>
          <w:sz w:val="44"/>
          <w:szCs w:val="44"/>
        </w:rPr>
      </w:pPr>
    </w:p>
    <w:p>
      <w:pPr>
        <w:autoSpaceDE w:val="0"/>
        <w:autoSpaceDN w:val="0"/>
        <w:spacing w:line="480" w:lineRule="exact"/>
        <w:jc w:val="center"/>
        <w:textAlignment w:val="bottom"/>
        <w:rPr>
          <w:rFonts w:ascii="楷体" w:hAnsi="楷体" w:eastAsia="楷体"/>
          <w:b/>
          <w:color w:val="auto"/>
          <w:sz w:val="44"/>
          <w:szCs w:val="44"/>
        </w:rPr>
      </w:pPr>
      <w:r>
        <w:rPr>
          <w:rFonts w:hint="eastAsia" w:ascii="楷体" w:hAnsi="楷体" w:eastAsia="楷体"/>
          <w:b/>
          <w:color w:val="auto"/>
          <w:sz w:val="44"/>
          <w:szCs w:val="44"/>
        </w:rPr>
        <w:t>招标文件目录</w:t>
      </w:r>
    </w:p>
    <w:p>
      <w:pPr>
        <w:autoSpaceDE w:val="0"/>
        <w:autoSpaceDN w:val="0"/>
        <w:adjustRightInd w:val="0"/>
        <w:spacing w:line="580" w:lineRule="atLeast"/>
        <w:ind w:left="1065" w:leftChars="500" w:firstLine="424" w:firstLineChars="150"/>
        <w:textAlignment w:val="baseline"/>
        <w:rPr>
          <w:rFonts w:ascii="宋体"/>
          <w:color w:val="auto"/>
          <w:sz w:val="28"/>
          <w:szCs w:val="28"/>
        </w:rPr>
      </w:pPr>
      <w:r>
        <w:rPr>
          <w:rFonts w:hint="eastAsia" w:ascii="宋体"/>
          <w:color w:val="auto"/>
          <w:sz w:val="28"/>
          <w:szCs w:val="28"/>
        </w:rPr>
        <w:t>采购公告</w:t>
      </w:r>
    </w:p>
    <w:p>
      <w:pPr>
        <w:autoSpaceDE w:val="0"/>
        <w:autoSpaceDN w:val="0"/>
        <w:adjustRightInd w:val="0"/>
        <w:spacing w:line="580" w:lineRule="atLeast"/>
        <w:ind w:left="1065" w:leftChars="500" w:firstLine="424" w:firstLineChars="150"/>
        <w:textAlignment w:val="baseline"/>
        <w:rPr>
          <w:rFonts w:ascii="宋体"/>
          <w:color w:val="auto"/>
          <w:sz w:val="28"/>
          <w:szCs w:val="28"/>
          <w:lang w:val="zh-CN"/>
        </w:rPr>
      </w:pPr>
      <w:r>
        <w:rPr>
          <w:rFonts w:hint="eastAsia" w:ascii="宋体"/>
          <w:color w:val="auto"/>
          <w:sz w:val="28"/>
          <w:szCs w:val="28"/>
          <w:lang w:val="zh-CN"/>
        </w:rPr>
        <w:t>第一部分、投标邀请函（投标须知前附表）</w:t>
      </w:r>
    </w:p>
    <w:p>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第二部分、招标内容及技术要求</w:t>
      </w:r>
    </w:p>
    <w:p>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第三部分、供应商须知</w:t>
      </w:r>
    </w:p>
    <w:p>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一、说明</w:t>
      </w:r>
    </w:p>
    <w:p>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二、招标文件</w:t>
      </w:r>
    </w:p>
    <w:p>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三、投标文件</w:t>
      </w:r>
    </w:p>
    <w:p>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四、投标文件的密封与递交</w:t>
      </w:r>
    </w:p>
    <w:p>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五、开标和评标</w:t>
      </w:r>
    </w:p>
    <w:p>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六、授予合同</w:t>
      </w:r>
    </w:p>
    <w:p>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第四部分、政府采购政策功能相关说明</w:t>
      </w:r>
    </w:p>
    <w:p>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第五部分、合同格式</w:t>
      </w:r>
    </w:p>
    <w:p>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第六部分、附件：投标文件格式</w:t>
      </w:r>
      <w:r>
        <w:rPr>
          <w:rFonts w:ascii="宋体"/>
          <w:color w:val="auto"/>
          <w:sz w:val="28"/>
          <w:szCs w:val="28"/>
          <w:lang w:val="zh-CN"/>
        </w:rPr>
        <w:t xml:space="preserve">        </w:t>
      </w:r>
    </w:p>
    <w:p>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第七部分、评标办法</w:t>
      </w:r>
    </w:p>
    <w:p>
      <w:pPr>
        <w:pStyle w:val="9"/>
        <w:rPr>
          <w:rFonts w:ascii="宋体"/>
          <w:color w:val="auto"/>
          <w:sz w:val="28"/>
          <w:szCs w:val="28"/>
          <w:lang w:val="zh-CN"/>
        </w:rPr>
      </w:pPr>
    </w:p>
    <w:p>
      <w:pPr>
        <w:snapToGrid w:val="0"/>
        <w:spacing w:line="440" w:lineRule="exact"/>
        <w:ind w:firstLine="446" w:firstLineChars="200"/>
        <w:rPr>
          <w:rFonts w:ascii="楷体" w:hAnsi="楷体" w:eastAsia="楷体"/>
          <w:b/>
          <w:bCs/>
          <w:color w:val="auto"/>
          <w:sz w:val="22"/>
          <w:szCs w:val="22"/>
        </w:rPr>
      </w:pPr>
      <w:r>
        <w:rPr>
          <w:rFonts w:hint="eastAsia" w:ascii="宋体" w:hAnsi="宋体" w:cs="新宋体"/>
          <w:b/>
          <w:bCs/>
          <w:color w:val="auto"/>
          <w:sz w:val="22"/>
          <w:szCs w:val="22"/>
          <w:u w:val="single"/>
        </w:rPr>
        <w:t>注：招标文件中标</w:t>
      </w:r>
      <w:r>
        <w:rPr>
          <w:rFonts w:hint="eastAsia" w:ascii="宋体" w:hAnsi="宋体" w:cs="新宋体"/>
          <w:b/>
          <w:bCs/>
          <w:color w:val="auto"/>
          <w:sz w:val="22"/>
          <w:szCs w:val="22"/>
          <w:u w:val="single"/>
          <w:lang w:eastAsia="zh-CN"/>
        </w:rPr>
        <w:t>“</w:t>
      </w:r>
      <w:r>
        <w:rPr>
          <w:rFonts w:hint="eastAsia" w:ascii="宋体" w:hAnsi="宋体" w:cs="新宋体"/>
          <w:b/>
          <w:bCs/>
          <w:color w:val="auto"/>
          <w:sz w:val="22"/>
          <w:szCs w:val="22"/>
          <w:u w:val="single"/>
          <w:lang w:val="en-US" w:eastAsia="zh-CN"/>
        </w:rPr>
        <w:t>★</w:t>
      </w:r>
      <w:r>
        <w:rPr>
          <w:rFonts w:hint="eastAsia" w:ascii="宋体" w:hAnsi="宋体" w:cs="新宋体"/>
          <w:b/>
          <w:bCs/>
          <w:color w:val="auto"/>
          <w:sz w:val="22"/>
          <w:szCs w:val="22"/>
          <w:u w:val="single"/>
          <w:lang w:eastAsia="zh-CN"/>
        </w:rPr>
        <w:t>”、</w:t>
      </w:r>
      <w:r>
        <w:rPr>
          <w:rFonts w:hint="eastAsia" w:ascii="宋体" w:hAnsi="宋体" w:cs="新宋体"/>
          <w:b/>
          <w:bCs/>
          <w:color w:val="auto"/>
          <w:sz w:val="22"/>
          <w:szCs w:val="22"/>
          <w:u w:val="single"/>
        </w:rPr>
        <w:t>“▲”号的为招标的实质性要求和条件，不允许偏离，否则作无效标处理。着重提醒各供应商必须响应。各供应商必须认真阅读和理解招标文件中的每一个条款及要求，因误读招标文件而造成的后果，采购人概不负责。</w:t>
      </w:r>
    </w:p>
    <w:p>
      <w:pPr>
        <w:pStyle w:val="9"/>
        <w:rPr>
          <w:rFonts w:ascii="宋体"/>
          <w:color w:val="auto"/>
          <w:sz w:val="28"/>
          <w:szCs w:val="28"/>
          <w:lang w:val="zh-CN"/>
        </w:rPr>
      </w:pPr>
    </w:p>
    <w:p>
      <w:pPr>
        <w:spacing w:line="400" w:lineRule="exact"/>
        <w:ind w:firstLine="606" w:firstLineChars="200"/>
        <w:jc w:val="center"/>
        <w:rPr>
          <w:rFonts w:ascii="宋体" w:hAnsi="宋体"/>
          <w:b/>
          <w:bCs/>
          <w:color w:val="auto"/>
          <w:sz w:val="30"/>
          <w:szCs w:val="30"/>
        </w:rPr>
      </w:pPr>
    </w:p>
    <w:p>
      <w:pPr>
        <w:spacing w:line="400" w:lineRule="exact"/>
        <w:ind w:firstLine="606" w:firstLineChars="200"/>
        <w:jc w:val="center"/>
        <w:rPr>
          <w:rFonts w:ascii="宋体"/>
          <w:b/>
          <w:bCs/>
          <w:color w:val="auto"/>
          <w:sz w:val="30"/>
          <w:szCs w:val="30"/>
        </w:rPr>
      </w:pPr>
      <w:r>
        <w:rPr>
          <w:rFonts w:hint="eastAsia" w:ascii="宋体" w:hAnsi="宋体"/>
          <w:b/>
          <w:bCs/>
          <w:color w:val="auto"/>
          <w:sz w:val="30"/>
          <w:szCs w:val="30"/>
        </w:rPr>
        <w:t>关于</w:t>
      </w:r>
      <w:r>
        <w:rPr>
          <w:rFonts w:hint="eastAsia" w:ascii="宋体" w:hAnsi="宋体"/>
          <w:b/>
          <w:bCs/>
          <w:color w:val="auto"/>
          <w:sz w:val="30"/>
          <w:szCs w:val="30"/>
          <w:lang w:eastAsia="zh-CN"/>
        </w:rPr>
        <w:t>泰顺县水利工程可视化</w:t>
      </w:r>
      <w:r>
        <w:rPr>
          <w:rFonts w:hint="eastAsia" w:ascii="宋体" w:hAnsi="宋体"/>
          <w:b/>
          <w:bCs/>
          <w:color w:val="auto"/>
          <w:sz w:val="30"/>
          <w:szCs w:val="30"/>
        </w:rPr>
        <w:t>项目公开招标公告</w:t>
      </w:r>
    </w:p>
    <w:p>
      <w:pPr>
        <w:snapToGrid w:val="0"/>
        <w:spacing w:line="400" w:lineRule="exact"/>
        <w:ind w:firstLine="446" w:firstLineChars="200"/>
        <w:rPr>
          <w:rFonts w:ascii="宋体"/>
          <w:color w:val="auto"/>
          <w:sz w:val="22"/>
          <w:szCs w:val="22"/>
        </w:rPr>
      </w:pPr>
      <w:r>
        <w:rPr>
          <w:rFonts w:hint="eastAsia" w:ascii="宋体" w:hAnsi="宋体"/>
          <w:color w:val="auto"/>
          <w:sz w:val="22"/>
          <w:szCs w:val="22"/>
        </w:rPr>
        <w:t>根据《中华人民共和国政府采购法》等有关规定，杭州华旗招标代理有限公司受</w:t>
      </w:r>
      <w:r>
        <w:rPr>
          <w:rFonts w:hint="eastAsia" w:ascii="宋体" w:hAnsi="宋体"/>
          <w:color w:val="auto"/>
          <w:sz w:val="22"/>
          <w:szCs w:val="22"/>
          <w:lang w:eastAsia="zh-CN"/>
        </w:rPr>
        <w:t>泰顺县水利局</w:t>
      </w:r>
      <w:r>
        <w:rPr>
          <w:rFonts w:hint="eastAsia" w:ascii="宋体" w:hAnsi="宋体"/>
          <w:color w:val="auto"/>
          <w:sz w:val="22"/>
          <w:szCs w:val="22"/>
        </w:rPr>
        <w:t>委托，就</w:t>
      </w:r>
      <w:r>
        <w:rPr>
          <w:rFonts w:hint="eastAsia" w:ascii="宋体" w:hAnsi="宋体"/>
          <w:color w:val="auto"/>
          <w:sz w:val="22"/>
          <w:szCs w:val="22"/>
          <w:lang w:eastAsia="zh-CN"/>
        </w:rPr>
        <w:t>泰顺县水利工程可视化项目</w:t>
      </w:r>
      <w:r>
        <w:rPr>
          <w:rFonts w:hint="eastAsia" w:ascii="宋体" w:hAnsi="宋体"/>
          <w:color w:val="auto"/>
          <w:sz w:val="22"/>
          <w:szCs w:val="22"/>
        </w:rPr>
        <w:t>进行公开招标，</w:t>
      </w:r>
      <w:r>
        <w:rPr>
          <w:rFonts w:hint="eastAsia" w:ascii="宋体" w:hAnsi="宋体" w:cs="宋体"/>
          <w:bCs/>
          <w:color w:val="auto"/>
          <w:sz w:val="22"/>
        </w:rPr>
        <w:t>欢迎国内合格的供应商前来投标</w:t>
      </w:r>
      <w:r>
        <w:rPr>
          <w:rFonts w:hint="eastAsia" w:ascii="宋体" w:hAnsi="宋体"/>
          <w:color w:val="auto"/>
          <w:sz w:val="22"/>
          <w:szCs w:val="22"/>
        </w:rPr>
        <w:t>。</w:t>
      </w:r>
    </w:p>
    <w:p>
      <w:pPr>
        <w:pStyle w:val="29"/>
        <w:adjustRightInd w:val="0"/>
        <w:snapToGrid w:val="0"/>
        <w:spacing w:line="400" w:lineRule="exact"/>
        <w:ind w:firstLine="448"/>
        <w:rPr>
          <w:rFonts w:hint="eastAsia" w:hAnsi="宋体" w:eastAsia="宋体"/>
          <w:color w:val="auto"/>
          <w:sz w:val="22"/>
          <w:szCs w:val="22"/>
          <w:lang w:eastAsia="zh-CN"/>
        </w:rPr>
      </w:pPr>
      <w:r>
        <w:rPr>
          <w:rFonts w:hint="eastAsia"/>
          <w:b/>
          <w:color w:val="auto"/>
          <w:sz w:val="22"/>
          <w:szCs w:val="22"/>
        </w:rPr>
        <w:t>一、招标项目编号</w:t>
      </w:r>
      <w:r>
        <w:rPr>
          <w:b/>
          <w:color w:val="auto"/>
          <w:sz w:val="22"/>
          <w:szCs w:val="22"/>
        </w:rPr>
        <w:t>:</w:t>
      </w:r>
      <w:r>
        <w:rPr>
          <w:rFonts w:hint="eastAsia" w:hAnsi="宋体"/>
          <w:color w:val="auto"/>
          <w:sz w:val="22"/>
          <w:szCs w:val="22"/>
          <w:lang w:eastAsia="zh-CN"/>
        </w:rPr>
        <w:t>TSCG202004003</w:t>
      </w:r>
    </w:p>
    <w:p>
      <w:pPr>
        <w:pStyle w:val="29"/>
        <w:adjustRightInd w:val="0"/>
        <w:snapToGrid w:val="0"/>
        <w:spacing w:line="400" w:lineRule="exact"/>
        <w:rPr>
          <w:rFonts w:hAnsi="宋体"/>
          <w:color w:val="auto"/>
          <w:kern w:val="2"/>
          <w:sz w:val="22"/>
          <w:szCs w:val="22"/>
        </w:rPr>
      </w:pPr>
      <w:r>
        <w:rPr>
          <w:rFonts w:hint="eastAsia" w:hAnsi="宋体"/>
          <w:b/>
          <w:bCs/>
          <w:color w:val="auto"/>
          <w:sz w:val="22"/>
          <w:szCs w:val="22"/>
        </w:rPr>
        <w:t>二、采购组织类型</w:t>
      </w:r>
      <w:r>
        <w:rPr>
          <w:rFonts w:hint="eastAsia" w:hAnsi="宋体"/>
          <w:color w:val="auto"/>
          <w:sz w:val="22"/>
          <w:szCs w:val="22"/>
        </w:rPr>
        <w:t>：分散采购</w:t>
      </w:r>
      <w:r>
        <w:rPr>
          <w:rFonts w:hAnsi="宋体"/>
          <w:color w:val="auto"/>
          <w:kern w:val="2"/>
          <w:sz w:val="22"/>
          <w:szCs w:val="22"/>
        </w:rPr>
        <w:t>-</w:t>
      </w:r>
      <w:r>
        <w:rPr>
          <w:rFonts w:hint="eastAsia" w:hAnsi="宋体"/>
          <w:color w:val="auto"/>
          <w:kern w:val="2"/>
          <w:sz w:val="22"/>
          <w:szCs w:val="22"/>
        </w:rPr>
        <w:t>分散委托中介</w:t>
      </w:r>
    </w:p>
    <w:p>
      <w:pPr>
        <w:pStyle w:val="29"/>
        <w:adjustRightInd w:val="0"/>
        <w:snapToGrid w:val="0"/>
        <w:spacing w:line="400" w:lineRule="exact"/>
        <w:ind w:firstLine="446" w:firstLineChars="200"/>
        <w:rPr>
          <w:rFonts w:hint="default" w:eastAsia="宋体"/>
          <w:b/>
          <w:color w:val="auto"/>
          <w:sz w:val="22"/>
          <w:szCs w:val="22"/>
          <w:lang w:val="en-US" w:eastAsia="zh-CN"/>
        </w:rPr>
      </w:pPr>
      <w:r>
        <w:rPr>
          <w:rFonts w:hint="eastAsia"/>
          <w:b/>
          <w:color w:val="auto"/>
          <w:sz w:val="22"/>
          <w:szCs w:val="22"/>
        </w:rPr>
        <w:t>三、招标项目概况（内容、用途、数量、简要技术要求等）</w:t>
      </w:r>
      <w:r>
        <w:rPr>
          <w:b/>
          <w:color w:val="auto"/>
          <w:sz w:val="22"/>
          <w:szCs w:val="22"/>
        </w:rPr>
        <w:t>:</w:t>
      </w:r>
    </w:p>
    <w:p>
      <w:pPr>
        <w:pStyle w:val="29"/>
        <w:adjustRightInd w:val="0"/>
        <w:snapToGrid w:val="0"/>
        <w:spacing w:line="400" w:lineRule="exact"/>
        <w:ind w:firstLine="446" w:firstLineChars="200"/>
        <w:rPr>
          <w:b/>
          <w:color w:val="auto"/>
          <w:sz w:val="22"/>
          <w:szCs w:val="22"/>
        </w:rPr>
      </w:pPr>
      <w:r>
        <w:rPr>
          <w:rFonts w:hint="eastAsia"/>
          <w:b/>
          <w:color w:val="auto"/>
          <w:sz w:val="22"/>
          <w:szCs w:val="22"/>
        </w:rPr>
        <w:t>本项目设一个标项。</w:t>
      </w:r>
    </w:p>
    <w:tbl>
      <w:tblPr>
        <w:tblStyle w:val="21"/>
        <w:tblW w:w="9240"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80"/>
        <w:gridCol w:w="900"/>
        <w:gridCol w:w="710"/>
        <w:gridCol w:w="1243"/>
        <w:gridCol w:w="196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830" w:type="dxa"/>
            <w:vAlign w:val="center"/>
          </w:tcPr>
          <w:p>
            <w:pPr>
              <w:snapToGrid w:val="0"/>
              <w:spacing w:line="400" w:lineRule="exact"/>
              <w:jc w:val="center"/>
              <w:rPr>
                <w:rFonts w:ascii="宋体" w:cs="宋体"/>
                <w:bCs/>
                <w:color w:val="auto"/>
                <w:sz w:val="22"/>
              </w:rPr>
            </w:pPr>
            <w:r>
              <w:rPr>
                <w:rFonts w:hint="eastAsia" w:ascii="宋体" w:cs="宋体"/>
                <w:bCs/>
                <w:color w:val="auto"/>
                <w:sz w:val="22"/>
              </w:rPr>
              <w:t>标项</w:t>
            </w:r>
          </w:p>
        </w:tc>
        <w:tc>
          <w:tcPr>
            <w:tcW w:w="2580" w:type="dxa"/>
            <w:vAlign w:val="center"/>
          </w:tcPr>
          <w:p>
            <w:pPr>
              <w:snapToGrid w:val="0"/>
              <w:spacing w:line="400" w:lineRule="exact"/>
              <w:ind w:firstLine="669" w:firstLineChars="300"/>
              <w:jc w:val="center"/>
              <w:rPr>
                <w:rFonts w:ascii="宋体" w:cs="宋体"/>
                <w:bCs/>
                <w:color w:val="auto"/>
                <w:sz w:val="22"/>
              </w:rPr>
            </w:pPr>
            <w:r>
              <w:rPr>
                <w:rFonts w:hint="eastAsia" w:ascii="宋体" w:hAnsi="宋体" w:cs="宋体"/>
                <w:bCs/>
                <w:color w:val="auto"/>
                <w:sz w:val="22"/>
              </w:rPr>
              <w:t>名称</w:t>
            </w:r>
          </w:p>
        </w:tc>
        <w:tc>
          <w:tcPr>
            <w:tcW w:w="900" w:type="dxa"/>
            <w:vAlign w:val="center"/>
          </w:tcPr>
          <w:p>
            <w:pPr>
              <w:snapToGrid w:val="0"/>
              <w:spacing w:line="400" w:lineRule="exact"/>
              <w:jc w:val="center"/>
              <w:rPr>
                <w:rFonts w:ascii="宋体" w:hAnsi="宋体" w:cs="宋体"/>
                <w:bCs/>
                <w:color w:val="auto"/>
                <w:sz w:val="22"/>
              </w:rPr>
            </w:pPr>
            <w:r>
              <w:rPr>
                <w:rFonts w:hint="eastAsia" w:ascii="宋体" w:hAnsi="宋体" w:cs="宋体"/>
                <w:bCs/>
                <w:color w:val="auto"/>
                <w:sz w:val="22"/>
              </w:rPr>
              <w:t>数量</w:t>
            </w:r>
          </w:p>
        </w:tc>
        <w:tc>
          <w:tcPr>
            <w:tcW w:w="710" w:type="dxa"/>
            <w:vAlign w:val="center"/>
          </w:tcPr>
          <w:p>
            <w:pPr>
              <w:snapToGrid w:val="0"/>
              <w:spacing w:line="400" w:lineRule="exact"/>
              <w:jc w:val="center"/>
              <w:rPr>
                <w:rFonts w:ascii="宋体" w:hAnsi="宋体" w:cs="宋体"/>
                <w:bCs/>
                <w:color w:val="auto"/>
                <w:sz w:val="22"/>
              </w:rPr>
            </w:pPr>
            <w:r>
              <w:rPr>
                <w:rFonts w:hint="eastAsia" w:ascii="宋体" w:hAnsi="宋体" w:cs="宋体"/>
                <w:bCs/>
                <w:color w:val="auto"/>
                <w:sz w:val="22"/>
              </w:rPr>
              <w:t>单位</w:t>
            </w:r>
          </w:p>
        </w:tc>
        <w:tc>
          <w:tcPr>
            <w:tcW w:w="1243" w:type="dxa"/>
            <w:vAlign w:val="center"/>
          </w:tcPr>
          <w:p>
            <w:pPr>
              <w:snapToGrid w:val="0"/>
              <w:spacing w:line="400" w:lineRule="exact"/>
              <w:jc w:val="center"/>
              <w:rPr>
                <w:rFonts w:ascii="宋体" w:hAnsi="宋体" w:cs="宋体"/>
                <w:bCs/>
                <w:color w:val="auto"/>
                <w:sz w:val="22"/>
              </w:rPr>
            </w:pPr>
            <w:r>
              <w:rPr>
                <w:rFonts w:hint="eastAsia" w:ascii="宋体" w:hAnsi="宋体" w:cs="宋体"/>
                <w:bCs/>
                <w:color w:val="auto"/>
                <w:sz w:val="22"/>
              </w:rPr>
              <w:t>采购预算</w:t>
            </w:r>
          </w:p>
          <w:p>
            <w:pPr>
              <w:snapToGrid w:val="0"/>
              <w:spacing w:line="400" w:lineRule="exact"/>
              <w:jc w:val="center"/>
              <w:rPr>
                <w:rFonts w:ascii="宋体" w:cs="宋体"/>
                <w:bCs/>
                <w:color w:val="auto"/>
                <w:sz w:val="22"/>
              </w:rPr>
            </w:pPr>
            <w:r>
              <w:rPr>
                <w:rFonts w:hint="eastAsia" w:ascii="宋体" w:hAnsi="宋体" w:cs="宋体"/>
                <w:bCs/>
                <w:color w:val="auto"/>
                <w:sz w:val="22"/>
              </w:rPr>
              <w:t>（万元）</w:t>
            </w:r>
          </w:p>
        </w:tc>
        <w:tc>
          <w:tcPr>
            <w:tcW w:w="1960" w:type="dxa"/>
            <w:vAlign w:val="center"/>
          </w:tcPr>
          <w:p>
            <w:pPr>
              <w:snapToGrid w:val="0"/>
              <w:spacing w:line="400" w:lineRule="exact"/>
              <w:jc w:val="center"/>
              <w:rPr>
                <w:rFonts w:ascii="宋体" w:hAnsi="宋体" w:cs="宋体"/>
                <w:bCs/>
                <w:color w:val="auto"/>
                <w:sz w:val="22"/>
              </w:rPr>
            </w:pPr>
            <w:r>
              <w:rPr>
                <w:rFonts w:hint="eastAsia" w:ascii="宋体" w:hAnsi="宋体" w:cs="宋体"/>
                <w:bCs/>
                <w:color w:val="auto"/>
                <w:sz w:val="22"/>
              </w:rPr>
              <w:t>简要规格及参数</w:t>
            </w:r>
          </w:p>
        </w:tc>
        <w:tc>
          <w:tcPr>
            <w:tcW w:w="1017" w:type="dxa"/>
          </w:tcPr>
          <w:p>
            <w:pPr>
              <w:snapToGrid w:val="0"/>
              <w:spacing w:line="400" w:lineRule="exact"/>
              <w:jc w:val="center"/>
              <w:rPr>
                <w:rFonts w:ascii="宋体" w:hAnsi="宋体" w:cs="宋体"/>
                <w:bCs/>
                <w:color w:val="auto"/>
                <w:sz w:val="22"/>
              </w:rPr>
            </w:pPr>
            <w:r>
              <w:rPr>
                <w:rFonts w:hint="eastAsia" w:ascii="宋体" w:hAnsi="宋体" w:cs="宋体"/>
                <w:bCs/>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trPr>
        <w:tc>
          <w:tcPr>
            <w:tcW w:w="830" w:type="dxa"/>
            <w:vAlign w:val="center"/>
          </w:tcPr>
          <w:p>
            <w:pPr>
              <w:snapToGrid w:val="0"/>
              <w:spacing w:line="400" w:lineRule="exact"/>
              <w:ind w:firstLine="223" w:firstLineChars="100"/>
              <w:jc w:val="center"/>
              <w:rPr>
                <w:rFonts w:ascii="宋体" w:cs="宋体"/>
                <w:bCs/>
                <w:color w:val="auto"/>
                <w:sz w:val="22"/>
              </w:rPr>
            </w:pPr>
            <w:r>
              <w:rPr>
                <w:rFonts w:hint="eastAsia" w:ascii="宋体" w:cs="宋体"/>
                <w:bCs/>
                <w:color w:val="auto"/>
                <w:sz w:val="22"/>
              </w:rPr>
              <w:t>1</w:t>
            </w:r>
          </w:p>
        </w:tc>
        <w:tc>
          <w:tcPr>
            <w:tcW w:w="2580" w:type="dxa"/>
            <w:vAlign w:val="center"/>
          </w:tcPr>
          <w:p>
            <w:pPr>
              <w:snapToGrid w:val="0"/>
              <w:spacing w:line="400" w:lineRule="exact"/>
              <w:ind w:firstLine="223" w:firstLineChars="100"/>
              <w:jc w:val="center"/>
              <w:rPr>
                <w:rFonts w:hint="eastAsia" w:ascii="宋体" w:cs="宋体" w:eastAsiaTheme="minorEastAsia"/>
                <w:bCs/>
                <w:color w:val="auto"/>
                <w:sz w:val="22"/>
                <w:lang w:eastAsia="zh-CN"/>
              </w:rPr>
            </w:pPr>
            <w:r>
              <w:rPr>
                <w:rFonts w:hint="eastAsia" w:hAnsi="宋体" w:eastAsiaTheme="minorEastAsia"/>
                <w:color w:val="auto"/>
                <w:sz w:val="22"/>
                <w:szCs w:val="22"/>
                <w:lang w:eastAsia="zh-CN"/>
              </w:rPr>
              <w:t>泰顺县水利工程可视化项目</w:t>
            </w:r>
          </w:p>
        </w:tc>
        <w:tc>
          <w:tcPr>
            <w:tcW w:w="900" w:type="dxa"/>
            <w:vAlign w:val="center"/>
          </w:tcPr>
          <w:p>
            <w:pPr>
              <w:snapToGrid w:val="0"/>
              <w:spacing w:line="400" w:lineRule="exact"/>
              <w:ind w:firstLine="223" w:firstLineChars="100"/>
              <w:jc w:val="center"/>
              <w:rPr>
                <w:rFonts w:ascii="宋体" w:cs="宋体"/>
                <w:bCs/>
                <w:color w:val="auto"/>
                <w:sz w:val="22"/>
              </w:rPr>
            </w:pPr>
            <w:r>
              <w:rPr>
                <w:rFonts w:hint="eastAsia" w:ascii="宋体" w:cs="宋体"/>
                <w:bCs/>
                <w:color w:val="auto"/>
                <w:sz w:val="22"/>
              </w:rPr>
              <w:t>1</w:t>
            </w:r>
          </w:p>
        </w:tc>
        <w:tc>
          <w:tcPr>
            <w:tcW w:w="710" w:type="dxa"/>
            <w:vAlign w:val="center"/>
          </w:tcPr>
          <w:p>
            <w:pPr>
              <w:snapToGrid w:val="0"/>
              <w:spacing w:line="400" w:lineRule="exact"/>
              <w:ind w:firstLine="223" w:firstLineChars="100"/>
              <w:jc w:val="center"/>
              <w:rPr>
                <w:rFonts w:hint="eastAsia" w:ascii="宋体" w:eastAsia="宋体" w:cs="宋体"/>
                <w:bCs/>
                <w:color w:val="auto"/>
                <w:sz w:val="22"/>
                <w:lang w:eastAsia="zh-CN"/>
              </w:rPr>
            </w:pPr>
            <w:r>
              <w:rPr>
                <w:rFonts w:hint="eastAsia" w:ascii="宋体" w:cs="宋体"/>
                <w:bCs/>
                <w:color w:val="auto"/>
                <w:sz w:val="22"/>
                <w:lang w:val="en-US" w:eastAsia="zh-CN"/>
              </w:rPr>
              <w:t>项</w:t>
            </w:r>
          </w:p>
        </w:tc>
        <w:tc>
          <w:tcPr>
            <w:tcW w:w="1243" w:type="dxa"/>
            <w:vAlign w:val="center"/>
          </w:tcPr>
          <w:p>
            <w:pPr>
              <w:snapToGrid w:val="0"/>
              <w:spacing w:line="400" w:lineRule="exact"/>
              <w:ind w:firstLine="223" w:firstLineChars="100"/>
              <w:jc w:val="center"/>
              <w:rPr>
                <w:rFonts w:hint="eastAsia" w:ascii="宋体" w:eastAsia="宋体" w:cs="宋体"/>
                <w:bCs/>
                <w:color w:val="auto"/>
                <w:sz w:val="22"/>
                <w:lang w:eastAsia="zh-CN"/>
              </w:rPr>
            </w:pPr>
            <w:r>
              <w:rPr>
                <w:rFonts w:hint="eastAsia" w:ascii="宋体" w:cs="宋体"/>
                <w:bCs/>
                <w:color w:val="auto"/>
                <w:sz w:val="22"/>
                <w:lang w:val="en-US" w:eastAsia="zh-CN"/>
              </w:rPr>
              <w:t xml:space="preserve">648 </w:t>
            </w:r>
          </w:p>
        </w:tc>
        <w:tc>
          <w:tcPr>
            <w:tcW w:w="1960" w:type="dxa"/>
            <w:vAlign w:val="center"/>
          </w:tcPr>
          <w:p>
            <w:pPr>
              <w:snapToGrid w:val="0"/>
              <w:spacing w:line="400" w:lineRule="exact"/>
              <w:jc w:val="center"/>
              <w:rPr>
                <w:color w:val="auto"/>
              </w:rPr>
            </w:pPr>
            <w:r>
              <w:rPr>
                <w:rFonts w:hint="eastAsia" w:ascii="宋体" w:hAnsi="宋体" w:cs="宋体"/>
                <w:bCs/>
                <w:color w:val="auto"/>
                <w:sz w:val="22"/>
              </w:rPr>
              <w:t>具体要求见招标文件</w:t>
            </w:r>
          </w:p>
          <w:p>
            <w:pPr>
              <w:snapToGrid w:val="0"/>
              <w:spacing w:line="400" w:lineRule="exact"/>
              <w:ind w:firstLine="223" w:firstLineChars="100"/>
              <w:jc w:val="center"/>
              <w:rPr>
                <w:rFonts w:ascii="宋体" w:cs="宋体"/>
                <w:bCs/>
                <w:color w:val="auto"/>
                <w:sz w:val="22"/>
              </w:rPr>
            </w:pPr>
          </w:p>
        </w:tc>
        <w:tc>
          <w:tcPr>
            <w:tcW w:w="1017" w:type="dxa"/>
            <w:vAlign w:val="center"/>
          </w:tcPr>
          <w:p>
            <w:pPr>
              <w:snapToGrid w:val="0"/>
              <w:spacing w:line="400" w:lineRule="exact"/>
              <w:ind w:firstLine="223" w:firstLineChars="100"/>
              <w:jc w:val="center"/>
              <w:rPr>
                <w:rFonts w:ascii="宋体" w:cs="宋体"/>
                <w:bCs/>
                <w:color w:val="auto"/>
                <w:sz w:val="22"/>
              </w:rPr>
            </w:pPr>
          </w:p>
        </w:tc>
      </w:tr>
    </w:tbl>
    <w:p>
      <w:pPr>
        <w:pStyle w:val="29"/>
        <w:adjustRightInd w:val="0"/>
        <w:snapToGrid w:val="0"/>
        <w:spacing w:line="400" w:lineRule="exact"/>
        <w:ind w:firstLine="448"/>
        <w:rPr>
          <w:b/>
          <w:color w:val="auto"/>
          <w:sz w:val="22"/>
          <w:szCs w:val="22"/>
        </w:rPr>
      </w:pPr>
      <w:r>
        <w:rPr>
          <w:rFonts w:hint="eastAsia" w:hAnsi="宋体"/>
          <w:b/>
          <w:bCs/>
          <w:color w:val="auto"/>
          <w:sz w:val="22"/>
          <w:szCs w:val="22"/>
        </w:rPr>
        <w:t>四</w:t>
      </w:r>
      <w:r>
        <w:rPr>
          <w:rFonts w:hint="eastAsia"/>
          <w:b/>
          <w:bCs/>
          <w:color w:val="auto"/>
          <w:sz w:val="22"/>
          <w:szCs w:val="22"/>
        </w:rPr>
        <w:t>、供</w:t>
      </w:r>
      <w:r>
        <w:rPr>
          <w:rFonts w:hint="eastAsia"/>
          <w:b/>
          <w:color w:val="auto"/>
          <w:sz w:val="22"/>
          <w:szCs w:val="22"/>
        </w:rPr>
        <w:t>应商资格要求</w:t>
      </w:r>
      <w:r>
        <w:rPr>
          <w:b/>
          <w:color w:val="auto"/>
          <w:sz w:val="22"/>
          <w:szCs w:val="22"/>
        </w:rPr>
        <w:t>:</w:t>
      </w:r>
    </w:p>
    <w:p>
      <w:pPr>
        <w:snapToGrid w:val="0"/>
        <w:spacing w:line="380" w:lineRule="exact"/>
        <w:ind w:firstLine="223" w:firstLineChars="100"/>
        <w:rPr>
          <w:rFonts w:ascii="宋体" w:hAnsi="宋体" w:cs="宋体"/>
          <w:bCs/>
          <w:color w:val="auto"/>
          <w:sz w:val="22"/>
        </w:rPr>
      </w:pPr>
      <w:r>
        <w:rPr>
          <w:rFonts w:hint="eastAsia" w:ascii="宋体" w:hAnsi="宋体" w:cs="宋体"/>
          <w:bCs/>
          <w:color w:val="auto"/>
          <w:sz w:val="22"/>
        </w:rPr>
        <w:t>（一）符合政府采购法第二十二条之供应商资格规定：</w:t>
      </w:r>
    </w:p>
    <w:p>
      <w:pPr>
        <w:snapToGrid w:val="0"/>
        <w:spacing w:line="380" w:lineRule="exact"/>
        <w:rPr>
          <w:rFonts w:ascii="宋体" w:hAnsi="宋体" w:cs="宋体"/>
          <w:bCs/>
          <w:color w:val="auto"/>
          <w:sz w:val="22"/>
        </w:rPr>
      </w:pPr>
      <w:r>
        <w:rPr>
          <w:rFonts w:hint="eastAsia" w:ascii="宋体" w:hAnsi="宋体" w:cs="宋体"/>
          <w:bCs/>
          <w:color w:val="auto"/>
          <w:sz w:val="22"/>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snapToGrid w:val="0"/>
        <w:spacing w:line="380" w:lineRule="exact"/>
        <w:rPr>
          <w:rFonts w:ascii="宋体" w:hAnsi="宋体" w:cs="宋体"/>
          <w:bCs/>
          <w:color w:val="auto"/>
          <w:sz w:val="22"/>
        </w:rPr>
      </w:pPr>
      <w:r>
        <w:rPr>
          <w:rFonts w:hint="eastAsia" w:ascii="宋体" w:hAnsi="宋体" w:cs="宋体"/>
          <w:bCs/>
          <w:color w:val="auto"/>
          <w:sz w:val="22"/>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napToGrid w:val="0"/>
        <w:spacing w:line="380" w:lineRule="exact"/>
        <w:rPr>
          <w:rFonts w:ascii="宋体" w:cs="宋体"/>
          <w:bCs/>
          <w:color w:val="auto"/>
          <w:sz w:val="22"/>
        </w:rPr>
      </w:pPr>
      <w:r>
        <w:rPr>
          <w:rFonts w:hint="eastAsia" w:ascii="宋体" w:hAnsi="宋体" w:cs="宋体"/>
          <w:bCs/>
          <w:color w:val="auto"/>
          <w:sz w:val="22"/>
        </w:rPr>
        <w:t>（三）本项目不允许联合体投标。</w:t>
      </w:r>
    </w:p>
    <w:p>
      <w:pPr>
        <w:pStyle w:val="29"/>
        <w:adjustRightInd w:val="0"/>
        <w:snapToGrid w:val="0"/>
        <w:spacing w:line="400" w:lineRule="exact"/>
        <w:ind w:firstLine="438" w:firstLineChars="197"/>
        <w:rPr>
          <w:rFonts w:hAnsi="宋体"/>
          <w:color w:val="auto"/>
          <w:sz w:val="22"/>
          <w:szCs w:val="22"/>
        </w:rPr>
      </w:pPr>
      <w:r>
        <w:rPr>
          <w:rFonts w:hint="eastAsia" w:hAnsi="宋体"/>
          <w:b/>
          <w:color w:val="auto"/>
          <w:sz w:val="22"/>
          <w:szCs w:val="22"/>
        </w:rPr>
        <w:t>五、</w:t>
      </w:r>
      <w:r>
        <w:rPr>
          <w:rFonts w:hint="eastAsia" w:hAnsi="宋体"/>
          <w:color w:val="auto"/>
          <w:sz w:val="22"/>
          <w:szCs w:val="22"/>
        </w:rPr>
        <w:t>招标文件领取方式</w:t>
      </w:r>
    </w:p>
    <w:p>
      <w:pPr>
        <w:snapToGrid w:val="0"/>
        <w:spacing w:line="380" w:lineRule="exact"/>
        <w:ind w:firstLine="446" w:firstLineChars="200"/>
        <w:rPr>
          <w:rFonts w:ascii="宋体" w:hAnsi="宋体" w:cs="宋体"/>
          <w:bCs/>
          <w:color w:val="auto"/>
          <w:sz w:val="22"/>
          <w:highlight w:val="none"/>
        </w:rPr>
      </w:pPr>
      <w:r>
        <w:rPr>
          <w:rFonts w:hint="eastAsia" w:ascii="宋体" w:hAnsi="宋体" w:cs="宋体"/>
          <w:b/>
          <w:color w:val="auto"/>
          <w:sz w:val="22"/>
          <w:highlight w:val="none"/>
        </w:rPr>
        <w:t>自本公告公布日起至投标文件递交截止时间前，均可获取招标文件</w:t>
      </w:r>
      <w:r>
        <w:rPr>
          <w:rFonts w:hint="eastAsia" w:ascii="宋体" w:hAnsi="宋体" w:cs="宋体"/>
          <w:bCs/>
          <w:color w:val="auto"/>
          <w:sz w:val="22"/>
          <w:highlight w:val="none"/>
        </w:rPr>
        <w:t>，公告附件中的招标文件仅供阅读，招标文件合法获取方式如下：</w:t>
      </w:r>
    </w:p>
    <w:p>
      <w:pPr>
        <w:snapToGrid w:val="0"/>
        <w:spacing w:line="38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①供应商登陆政采云账户（网址：http://www.zjzfcg.gov.cn/）找到本项目后点击获取采购文件；</w:t>
      </w:r>
    </w:p>
    <w:p>
      <w:pPr>
        <w:pStyle w:val="13"/>
        <w:adjustRightInd w:val="0"/>
        <w:snapToGrid w:val="0"/>
        <w:spacing w:line="400" w:lineRule="exact"/>
        <w:rPr>
          <w:rFonts w:hAnsi="宋体"/>
          <w:b w:val="0"/>
          <w:bCs w:val="0"/>
          <w:color w:val="auto"/>
          <w:sz w:val="22"/>
        </w:rPr>
      </w:pPr>
      <w:r>
        <w:rPr>
          <w:rFonts w:hint="eastAsia" w:ascii="宋体" w:hAnsi="宋体" w:cs="宋体"/>
          <w:bCs/>
          <w:color w:val="auto"/>
          <w:sz w:val="22"/>
          <w:highlight w:val="none"/>
        </w:rPr>
        <w:t>②</w:t>
      </w:r>
      <w:r>
        <w:rPr>
          <w:rFonts w:hint="eastAsia" w:hAnsi="宋体"/>
          <w:b w:val="0"/>
          <w:bCs w:val="0"/>
          <w:color w:val="auto"/>
          <w:sz w:val="22"/>
          <w:highlight w:val="none"/>
        </w:rPr>
        <w:t>另本项目采购文件同时发布在泰顺县人民政府网-县公共资源交易平台（网址：</w:t>
      </w:r>
      <w:r>
        <w:rPr>
          <w:b w:val="0"/>
          <w:bCs w:val="0"/>
          <w:color w:val="auto"/>
          <w:highlight w:val="none"/>
        </w:rPr>
        <w:fldChar w:fldCharType="begin"/>
      </w:r>
      <w:r>
        <w:rPr>
          <w:b w:val="0"/>
          <w:bCs w:val="0"/>
          <w:color w:val="auto"/>
          <w:highlight w:val="none"/>
        </w:rPr>
        <w:instrText xml:space="preserve"> HYPERLINK "http://www.ts.gov.cn/col/col1383420/index.html）。" </w:instrText>
      </w:r>
      <w:r>
        <w:rPr>
          <w:b w:val="0"/>
          <w:bCs w:val="0"/>
          <w:color w:val="auto"/>
          <w:highlight w:val="none"/>
        </w:rPr>
        <w:fldChar w:fldCharType="separate"/>
      </w:r>
      <w:r>
        <w:rPr>
          <w:rFonts w:hint="eastAsia" w:hAnsi="宋体"/>
          <w:b w:val="0"/>
          <w:bCs w:val="0"/>
          <w:color w:val="auto"/>
          <w:sz w:val="22"/>
          <w:highlight w:val="none"/>
          <w:u w:val="single"/>
        </w:rPr>
        <w:t>http://www.ts.gov.cn/col/col1383420/index.html</w:t>
      </w:r>
      <w:r>
        <w:rPr>
          <w:rFonts w:hint="eastAsia" w:hAnsi="宋体"/>
          <w:b w:val="0"/>
          <w:bCs w:val="0"/>
          <w:color w:val="auto"/>
          <w:sz w:val="22"/>
          <w:highlight w:val="none"/>
        </w:rPr>
        <w:t>）。</w:t>
      </w:r>
      <w:r>
        <w:rPr>
          <w:rFonts w:hint="eastAsia" w:hAnsi="宋体"/>
          <w:b w:val="0"/>
          <w:bCs w:val="0"/>
          <w:color w:val="auto"/>
          <w:sz w:val="22"/>
          <w:highlight w:val="none"/>
        </w:rPr>
        <w:fldChar w:fldCharType="end"/>
      </w:r>
    </w:p>
    <w:p>
      <w:pPr>
        <w:pStyle w:val="29"/>
        <w:adjustRightInd w:val="0"/>
        <w:snapToGrid w:val="0"/>
        <w:spacing w:line="400" w:lineRule="exact"/>
        <w:ind w:firstLine="438" w:firstLineChars="197"/>
        <w:rPr>
          <w:rFonts w:hint="eastAsia" w:hAnsi="宋体" w:eastAsia="宋体"/>
          <w:b/>
          <w:bCs w:val="0"/>
          <w:color w:val="auto"/>
          <w:sz w:val="22"/>
          <w:szCs w:val="22"/>
          <w:lang w:eastAsia="zh-CN"/>
        </w:rPr>
      </w:pPr>
      <w:r>
        <w:rPr>
          <w:rFonts w:hint="eastAsia" w:hAnsi="宋体"/>
          <w:b/>
          <w:bCs w:val="0"/>
          <w:color w:val="auto"/>
          <w:sz w:val="22"/>
          <w:szCs w:val="22"/>
        </w:rPr>
        <w:t>六、</w:t>
      </w:r>
      <w:r>
        <w:rPr>
          <w:rFonts w:hint="eastAsia" w:hAnsi="宋体"/>
          <w:b w:val="0"/>
          <w:bCs/>
          <w:color w:val="auto"/>
          <w:sz w:val="22"/>
          <w:szCs w:val="22"/>
        </w:rPr>
        <w:t>投标截止时间</w:t>
      </w:r>
      <w:r>
        <w:rPr>
          <w:rFonts w:hint="eastAsia" w:hAnsi="宋体"/>
          <w:b/>
          <w:bCs w:val="0"/>
          <w:color w:val="auto"/>
          <w:sz w:val="22"/>
          <w:szCs w:val="22"/>
        </w:rPr>
        <w:t>：</w:t>
      </w:r>
      <w:r>
        <w:rPr>
          <w:rFonts w:hint="eastAsia" w:hAnsi="宋体"/>
          <w:b/>
          <w:bCs w:val="0"/>
          <w:color w:val="auto"/>
          <w:sz w:val="22"/>
          <w:szCs w:val="22"/>
          <w:lang w:eastAsia="zh-CN"/>
        </w:rPr>
        <w:t>2020年5月20日下午15:00 时</w:t>
      </w:r>
    </w:p>
    <w:p>
      <w:pPr>
        <w:pStyle w:val="29"/>
        <w:adjustRightInd w:val="0"/>
        <w:snapToGrid w:val="0"/>
        <w:spacing w:line="400" w:lineRule="exact"/>
        <w:ind w:left="438" w:leftChars="206" w:firstLine="0"/>
        <w:rPr>
          <w:rFonts w:hAnsi="宋体"/>
          <w:color w:val="auto"/>
          <w:sz w:val="22"/>
          <w:szCs w:val="22"/>
        </w:rPr>
      </w:pPr>
      <w:r>
        <w:rPr>
          <w:rFonts w:hint="eastAsia" w:hAnsi="宋体"/>
          <w:b/>
          <w:color w:val="auto"/>
          <w:sz w:val="22"/>
          <w:szCs w:val="22"/>
        </w:rPr>
        <w:t>七、</w:t>
      </w:r>
      <w:r>
        <w:rPr>
          <w:rFonts w:hint="eastAsia" w:hAnsi="宋体"/>
          <w:color w:val="auto"/>
          <w:sz w:val="22"/>
          <w:szCs w:val="22"/>
        </w:rPr>
        <w:t>投标地点：通过“政府采购云平台（www.zcygov.cn）”实行在线投标响应。</w:t>
      </w:r>
    </w:p>
    <w:p>
      <w:pPr>
        <w:pStyle w:val="29"/>
        <w:adjustRightInd w:val="0"/>
        <w:snapToGrid w:val="0"/>
        <w:spacing w:line="400" w:lineRule="exact"/>
        <w:ind w:firstLine="438" w:firstLineChars="197"/>
        <w:rPr>
          <w:rFonts w:hint="eastAsia" w:hAnsi="宋体" w:eastAsia="宋体"/>
          <w:color w:val="auto"/>
          <w:sz w:val="22"/>
          <w:szCs w:val="22"/>
          <w:lang w:eastAsia="zh-CN"/>
        </w:rPr>
      </w:pPr>
      <w:r>
        <w:rPr>
          <w:rFonts w:hint="eastAsia" w:hAnsi="宋体"/>
          <w:b/>
          <w:color w:val="auto"/>
          <w:sz w:val="22"/>
          <w:szCs w:val="22"/>
        </w:rPr>
        <w:t>八</w:t>
      </w:r>
      <w:r>
        <w:rPr>
          <w:rFonts w:hint="eastAsia" w:hAnsi="宋体"/>
          <w:color w:val="auto"/>
          <w:sz w:val="22"/>
          <w:szCs w:val="22"/>
        </w:rPr>
        <w:t>、开标时间：</w:t>
      </w:r>
      <w:r>
        <w:rPr>
          <w:rFonts w:hint="eastAsia" w:hAnsi="宋体"/>
          <w:b/>
          <w:color w:val="auto"/>
          <w:sz w:val="22"/>
          <w:szCs w:val="22"/>
          <w:lang w:eastAsia="zh-CN"/>
        </w:rPr>
        <w:t>2020年5月20日下午15:00 时</w:t>
      </w:r>
    </w:p>
    <w:p>
      <w:pPr>
        <w:pStyle w:val="29"/>
        <w:adjustRightInd w:val="0"/>
        <w:snapToGrid w:val="0"/>
        <w:spacing w:line="400" w:lineRule="exact"/>
        <w:ind w:firstLine="438" w:firstLineChars="197"/>
        <w:rPr>
          <w:rFonts w:hint="eastAsia" w:hAnsi="宋体" w:eastAsia="宋体"/>
          <w:color w:val="auto"/>
          <w:sz w:val="22"/>
          <w:szCs w:val="22"/>
          <w:lang w:eastAsia="zh-CN"/>
        </w:rPr>
      </w:pPr>
      <w:r>
        <w:rPr>
          <w:rFonts w:hint="eastAsia" w:hAnsi="宋体"/>
          <w:b/>
          <w:color w:val="auto"/>
          <w:sz w:val="22"/>
          <w:szCs w:val="22"/>
        </w:rPr>
        <w:t>九</w:t>
      </w:r>
      <w:r>
        <w:rPr>
          <w:rFonts w:hint="eastAsia" w:hAnsi="宋体"/>
          <w:color w:val="auto"/>
          <w:sz w:val="22"/>
          <w:szCs w:val="22"/>
        </w:rPr>
        <w:t>、开标地点：泰顺县行政审批服务中心一楼</w:t>
      </w:r>
      <w:r>
        <w:rPr>
          <w:rFonts w:hint="eastAsia" w:hAnsi="宋体"/>
          <w:bCs/>
          <w:color w:val="auto"/>
          <w:sz w:val="22"/>
          <w:szCs w:val="22"/>
        </w:rPr>
        <w:t>开标室</w:t>
      </w:r>
      <w:r>
        <w:rPr>
          <w:rFonts w:hint="eastAsia" w:hAnsi="宋体"/>
          <w:bCs/>
          <w:color w:val="auto"/>
          <w:sz w:val="22"/>
          <w:szCs w:val="22"/>
          <w:lang w:eastAsia="zh-CN"/>
        </w:rPr>
        <w:t>（</w:t>
      </w:r>
      <w:r>
        <w:rPr>
          <w:rFonts w:hint="eastAsia" w:hAnsi="宋体"/>
          <w:bCs/>
          <w:color w:val="auto"/>
          <w:sz w:val="22"/>
          <w:szCs w:val="22"/>
          <w:lang w:val="en-US" w:eastAsia="zh-CN"/>
        </w:rPr>
        <w:t>温州市泰顺县罗阳镇新城大道117号</w:t>
      </w:r>
      <w:r>
        <w:rPr>
          <w:rFonts w:hint="eastAsia" w:hAnsi="宋体"/>
          <w:bCs/>
          <w:color w:val="auto"/>
          <w:sz w:val="22"/>
          <w:szCs w:val="22"/>
          <w:lang w:eastAsia="zh-CN"/>
        </w:rPr>
        <w:t>）</w:t>
      </w:r>
    </w:p>
    <w:p>
      <w:pPr>
        <w:pStyle w:val="29"/>
        <w:adjustRightInd w:val="0"/>
        <w:snapToGrid w:val="0"/>
        <w:spacing w:line="400" w:lineRule="exact"/>
        <w:ind w:firstLine="438" w:firstLineChars="197"/>
        <w:rPr>
          <w:rFonts w:hAnsi="宋体"/>
          <w:color w:val="auto"/>
          <w:sz w:val="22"/>
          <w:szCs w:val="22"/>
        </w:rPr>
      </w:pPr>
      <w:r>
        <w:rPr>
          <w:rFonts w:hint="eastAsia" w:hAnsi="宋体"/>
          <w:b/>
          <w:color w:val="auto"/>
          <w:sz w:val="22"/>
          <w:szCs w:val="22"/>
        </w:rPr>
        <w:t>十</w:t>
      </w:r>
      <w:r>
        <w:rPr>
          <w:rFonts w:hint="eastAsia" w:hAnsi="宋体"/>
          <w:color w:val="auto"/>
          <w:sz w:val="22"/>
          <w:szCs w:val="22"/>
        </w:rPr>
        <w:t>、投标保证金：</w:t>
      </w:r>
      <w:r>
        <w:rPr>
          <w:rFonts w:hAnsi="宋体"/>
          <w:b/>
          <w:bCs/>
          <w:color w:val="auto"/>
          <w:sz w:val="22"/>
          <w:szCs w:val="22"/>
          <w:u w:val="single"/>
        </w:rPr>
        <w:t xml:space="preserve"> </w:t>
      </w:r>
      <w:r>
        <w:rPr>
          <w:rFonts w:hint="eastAsia" w:hAnsi="宋体"/>
          <w:b/>
          <w:bCs/>
          <w:color w:val="auto"/>
          <w:sz w:val="22"/>
          <w:szCs w:val="22"/>
          <w:u w:val="single"/>
        </w:rPr>
        <w:t>无。</w:t>
      </w:r>
    </w:p>
    <w:p>
      <w:pPr>
        <w:pStyle w:val="18"/>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Style w:val="24"/>
          <w:rFonts w:hint="eastAsia" w:ascii="宋体" w:hAnsi="宋体" w:eastAsia="宋体" w:cs="宋体"/>
          <w:b/>
          <w:bCs/>
          <w:color w:val="auto"/>
          <w:sz w:val="22"/>
          <w:szCs w:val="22"/>
        </w:rPr>
      </w:pPr>
      <w:r>
        <w:rPr>
          <w:rFonts w:hint="eastAsia" w:hAnsi="宋体"/>
          <w:b/>
          <w:bCs/>
          <w:color w:val="auto"/>
          <w:sz w:val="22"/>
          <w:szCs w:val="22"/>
        </w:rPr>
        <w:t>十一、</w:t>
      </w:r>
      <w:bookmarkStart w:id="1" w:name="B37_购买标书时须提交的文件资料"/>
      <w:bookmarkEnd w:id="1"/>
      <w:bookmarkStart w:id="2" w:name="_Toc15328_WPSOffice_Level2"/>
      <w:r>
        <w:rPr>
          <w:rStyle w:val="24"/>
          <w:rFonts w:hint="eastAsia" w:ascii="宋体" w:hAnsi="宋体" w:eastAsia="宋体" w:cs="宋体"/>
          <w:b/>
          <w:bCs/>
          <w:color w:val="auto"/>
          <w:sz w:val="22"/>
          <w:szCs w:val="22"/>
        </w:rPr>
        <w:t>在线投标响应（电子投标）说明</w:t>
      </w:r>
    </w:p>
    <w:p>
      <w:pPr>
        <w:pStyle w:val="18"/>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Style w:val="24"/>
          <w:rFonts w:hint="eastAsia" w:ascii="宋体" w:hAnsi="宋体" w:eastAsia="宋体" w:cs="宋体"/>
          <w:b w:val="0"/>
          <w:bCs/>
          <w:color w:val="auto"/>
          <w:sz w:val="22"/>
          <w:szCs w:val="22"/>
        </w:rPr>
      </w:pPr>
      <w:r>
        <w:rPr>
          <w:rFonts w:hint="eastAsia" w:ascii="宋体" w:hAnsi="宋体" w:cs="宋体"/>
          <w:b/>
          <w:color w:val="auto"/>
          <w:sz w:val="22"/>
          <w:szCs w:val="22"/>
        </w:rPr>
        <w:t>本项目采用资格后审，请拟投标供应商自行核对供应商资格条件，如不符合资格条件者，在资格审查时导致投标被拒绝的，责任自负。</w:t>
      </w:r>
      <w:bookmarkEnd w:id="2"/>
    </w:p>
    <w:p>
      <w:pPr>
        <w:pStyle w:val="18"/>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Style w:val="24"/>
          <w:rFonts w:hint="eastAsia" w:ascii="宋体" w:hAnsi="宋体" w:eastAsia="宋体" w:cs="宋体"/>
          <w:b w:val="0"/>
          <w:bCs/>
          <w:color w:val="auto"/>
          <w:sz w:val="22"/>
          <w:szCs w:val="22"/>
        </w:rPr>
      </w:pPr>
      <w:r>
        <w:rPr>
          <w:rStyle w:val="24"/>
          <w:rFonts w:hint="eastAsia" w:ascii="宋体" w:hAnsi="宋体" w:eastAsia="宋体" w:cs="宋体"/>
          <w:b w:val="0"/>
          <w:bCs/>
          <w:color w:val="auto"/>
          <w:sz w:val="22"/>
          <w:szCs w:val="22"/>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18"/>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Style w:val="24"/>
          <w:rFonts w:hint="eastAsia" w:ascii="宋体" w:hAnsi="宋体" w:eastAsia="宋体" w:cs="宋体"/>
          <w:b w:val="0"/>
          <w:bCs/>
          <w:color w:val="auto"/>
          <w:sz w:val="22"/>
          <w:szCs w:val="22"/>
        </w:rPr>
      </w:pPr>
      <w:r>
        <w:rPr>
          <w:rStyle w:val="24"/>
          <w:rFonts w:hint="eastAsia" w:ascii="宋体" w:hAnsi="宋体" w:eastAsia="宋体" w:cs="宋体"/>
          <w:b w:val="0"/>
          <w:bCs/>
          <w:color w:val="auto"/>
          <w:sz w:val="22"/>
          <w:szCs w:val="22"/>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18"/>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Style w:val="24"/>
          <w:rFonts w:hint="eastAsia" w:ascii="宋体" w:hAnsi="宋体" w:eastAsia="宋体" w:cs="宋体"/>
          <w:b w:val="0"/>
          <w:bCs/>
          <w:color w:val="auto"/>
          <w:sz w:val="22"/>
          <w:szCs w:val="22"/>
        </w:rPr>
      </w:pPr>
      <w:r>
        <w:rPr>
          <w:rStyle w:val="24"/>
          <w:rFonts w:hint="eastAsia" w:ascii="宋体" w:hAnsi="宋体" w:eastAsia="宋体" w:cs="宋体"/>
          <w:b w:val="0"/>
          <w:bCs/>
          <w:color w:val="auto"/>
          <w:sz w:val="22"/>
          <w:szCs w:val="22"/>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Style w:val="24"/>
          <w:rFonts w:hint="eastAsia" w:ascii="宋体" w:hAnsi="宋体" w:eastAsia="宋体" w:cs="宋体"/>
          <w:b w:val="0"/>
          <w:bCs/>
          <w:color w:val="auto"/>
          <w:sz w:val="22"/>
          <w:szCs w:val="22"/>
        </w:rPr>
        <w:fldChar w:fldCharType="begin"/>
      </w:r>
      <w:r>
        <w:rPr>
          <w:rStyle w:val="24"/>
          <w:rFonts w:hint="eastAsia" w:ascii="宋体" w:hAnsi="宋体" w:eastAsia="宋体" w:cs="宋体"/>
          <w:b w:val="0"/>
          <w:bCs/>
          <w:color w:val="auto"/>
          <w:sz w:val="22"/>
          <w:szCs w:val="22"/>
        </w:rPr>
        <w:instrText xml:space="preserve"> HYPERLINK "http://zfcg.czt.zj.gov.cn/bidClientTemplate/2019-05-27/12945.html" \o "CA驱动和申领流程" \t "http://zfcg.czt.zj.gov.cn/innerUsed_noticeDetails/_blank" </w:instrText>
      </w:r>
      <w:r>
        <w:rPr>
          <w:rStyle w:val="24"/>
          <w:rFonts w:hint="eastAsia" w:ascii="宋体" w:hAnsi="宋体" w:eastAsia="宋体" w:cs="宋体"/>
          <w:b w:val="0"/>
          <w:bCs/>
          <w:color w:val="auto"/>
          <w:sz w:val="22"/>
          <w:szCs w:val="22"/>
        </w:rPr>
        <w:fldChar w:fldCharType="separate"/>
      </w:r>
      <w:r>
        <w:rPr>
          <w:rStyle w:val="24"/>
          <w:rFonts w:hint="eastAsia" w:ascii="宋体" w:hAnsi="宋体" w:eastAsia="宋体" w:cs="宋体"/>
          <w:b w:val="0"/>
          <w:bCs/>
          <w:color w:val="auto"/>
          <w:sz w:val="22"/>
          <w:szCs w:val="22"/>
        </w:rPr>
        <w:t>CA驱动和申领流程</w:t>
      </w:r>
      <w:r>
        <w:rPr>
          <w:rStyle w:val="24"/>
          <w:rFonts w:hint="eastAsia" w:ascii="宋体" w:hAnsi="宋体" w:eastAsia="宋体" w:cs="宋体"/>
          <w:b w:val="0"/>
          <w:bCs/>
          <w:color w:val="auto"/>
          <w:sz w:val="22"/>
          <w:szCs w:val="22"/>
        </w:rPr>
        <w:fldChar w:fldCharType="end"/>
      </w:r>
      <w:r>
        <w:rPr>
          <w:rStyle w:val="24"/>
          <w:rFonts w:hint="eastAsia" w:ascii="宋体" w:hAnsi="宋体" w:eastAsia="宋体" w:cs="宋体"/>
          <w:b w:val="0"/>
          <w:bCs/>
          <w:color w:val="auto"/>
          <w:sz w:val="22"/>
          <w:szCs w:val="22"/>
        </w:rPr>
        <w:t>”进行查阅；</w:t>
      </w:r>
    </w:p>
    <w:p>
      <w:pPr>
        <w:pStyle w:val="18"/>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Style w:val="24"/>
          <w:rFonts w:hint="eastAsia" w:ascii="宋体" w:hAnsi="宋体" w:eastAsia="宋体" w:cs="宋体"/>
          <w:b w:val="0"/>
          <w:bCs/>
          <w:color w:val="auto"/>
          <w:sz w:val="22"/>
          <w:szCs w:val="22"/>
        </w:rPr>
      </w:pPr>
      <w:r>
        <w:rPr>
          <w:rStyle w:val="24"/>
          <w:rFonts w:hint="eastAsia" w:ascii="宋体" w:hAnsi="宋体" w:eastAsia="宋体" w:cs="宋体"/>
          <w:b w:val="0"/>
          <w:bCs/>
          <w:color w:val="auto"/>
          <w:sz w:val="22"/>
          <w:szCs w:val="22"/>
        </w:rPr>
        <w:t>3、投标供应商应当在投标截止时间前，将生成的“电子加密投标文件”上传递交至“政府采购云平台”。投标截止时间以后上传递交的投标文件将被“政府采购云平台”拒收。</w:t>
      </w:r>
    </w:p>
    <w:p>
      <w:pPr>
        <w:pStyle w:val="18"/>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Fonts w:hint="eastAsia" w:ascii="宋体" w:hAnsi="宋体" w:eastAsia="宋体" w:cs="宋体"/>
          <w:color w:val="auto"/>
          <w:sz w:val="22"/>
          <w:lang w:val="en-US" w:eastAsia="zh-CN"/>
        </w:rPr>
      </w:pPr>
      <w:r>
        <w:rPr>
          <w:rStyle w:val="24"/>
          <w:rFonts w:hint="eastAsia" w:ascii="宋体" w:hAnsi="宋体" w:eastAsia="宋体" w:cs="宋体"/>
          <w:b w:val="0"/>
          <w:bCs/>
          <w:color w:val="auto"/>
          <w:sz w:val="22"/>
          <w:szCs w:val="22"/>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snapToGrid w:val="0"/>
        <w:spacing w:line="400" w:lineRule="exact"/>
        <w:ind w:right="62" w:firstLine="223" w:firstLineChars="100"/>
        <w:jc w:val="left"/>
        <w:outlineLvl w:val="0"/>
        <w:rPr>
          <w:rFonts w:ascii="宋体"/>
          <w:color w:val="auto"/>
          <w:sz w:val="22"/>
          <w:szCs w:val="22"/>
        </w:rPr>
      </w:pPr>
      <w:r>
        <w:rPr>
          <w:rFonts w:hint="eastAsia"/>
          <w:b/>
          <w:color w:val="auto"/>
          <w:sz w:val="22"/>
          <w:szCs w:val="22"/>
        </w:rPr>
        <w:t>十二、对</w:t>
      </w:r>
      <w:r>
        <w:rPr>
          <w:rFonts w:hint="eastAsia" w:ascii="宋体" w:hAnsi="宋体"/>
          <w:b/>
          <w:color w:val="auto"/>
          <w:sz w:val="22"/>
          <w:szCs w:val="22"/>
        </w:rPr>
        <w:t>本项目相关质疑约定如下</w:t>
      </w:r>
      <w:r>
        <w:rPr>
          <w:rFonts w:hint="eastAsia" w:ascii="宋体" w:hAnsi="宋体"/>
          <w:color w:val="auto"/>
          <w:sz w:val="22"/>
          <w:szCs w:val="22"/>
        </w:rPr>
        <w:t>：</w:t>
      </w:r>
    </w:p>
    <w:p>
      <w:pPr>
        <w:pStyle w:val="18"/>
        <w:widowControl/>
        <w:spacing w:beforeAutospacing="0" w:afterAutospacing="0" w:line="380" w:lineRule="atLeast"/>
        <w:ind w:firstLine="480"/>
        <w:jc w:val="both"/>
        <w:rPr>
          <w:rFonts w:cs="Calibri"/>
          <w:color w:val="auto"/>
          <w:sz w:val="21"/>
          <w:szCs w:val="21"/>
        </w:rPr>
      </w:pPr>
      <w:r>
        <w:rPr>
          <w:rFonts w:hint="eastAsia" w:ascii="宋体" w:hAnsi="宋体" w:cs="宋体"/>
          <w:color w:val="auto"/>
          <w:sz w:val="22"/>
          <w:szCs w:val="22"/>
        </w:rPr>
        <w:t>1.供应商应当自知道或者应当知道其合法权益受到损害之日起七个工作日内提出质疑。</w:t>
      </w:r>
    </w:p>
    <w:p>
      <w:pPr>
        <w:pStyle w:val="18"/>
        <w:widowControl/>
        <w:spacing w:beforeAutospacing="0" w:afterAutospacing="0" w:line="380" w:lineRule="atLeast"/>
        <w:ind w:firstLine="480"/>
        <w:jc w:val="both"/>
        <w:rPr>
          <w:rFonts w:cs="Calibri"/>
          <w:color w:val="auto"/>
          <w:sz w:val="21"/>
          <w:szCs w:val="21"/>
        </w:rPr>
      </w:pPr>
      <w:r>
        <w:rPr>
          <w:rFonts w:hint="eastAsia" w:ascii="宋体" w:hAnsi="宋体" w:cs="宋体"/>
          <w:color w:val="auto"/>
          <w:sz w:val="22"/>
          <w:szCs w:val="22"/>
        </w:rPr>
        <w:t>2.对采购公告信息（含供应商资格条件）、竞争性磋商文件提出质疑的，为采购公告、竞争性磋商文件公告期限届（公示期）满之日起七个工作日内。</w:t>
      </w:r>
    </w:p>
    <w:p>
      <w:pPr>
        <w:pStyle w:val="18"/>
        <w:widowControl/>
        <w:spacing w:beforeAutospacing="0" w:afterAutospacing="0" w:line="380" w:lineRule="atLeast"/>
        <w:ind w:firstLine="480"/>
        <w:jc w:val="both"/>
        <w:rPr>
          <w:rFonts w:cs="Calibri"/>
          <w:color w:val="auto"/>
          <w:sz w:val="21"/>
          <w:szCs w:val="21"/>
        </w:rPr>
      </w:pPr>
      <w:r>
        <w:rPr>
          <w:rFonts w:hint="eastAsia" w:ascii="宋体" w:hAnsi="宋体" w:cs="宋体"/>
          <w:color w:val="auto"/>
          <w:sz w:val="22"/>
          <w:szCs w:val="22"/>
        </w:rPr>
        <w:t>3.逾期的质疑，采购人及招标代理机构可不予接受。</w:t>
      </w:r>
    </w:p>
    <w:p>
      <w:pPr>
        <w:pStyle w:val="18"/>
        <w:widowControl/>
        <w:spacing w:beforeAutospacing="0" w:afterAutospacing="0" w:line="400" w:lineRule="atLeast"/>
        <w:ind w:left="61" w:right="62" w:firstLine="433"/>
        <w:rPr>
          <w:rFonts w:cs="Calibri"/>
          <w:color w:val="auto"/>
          <w:sz w:val="21"/>
          <w:szCs w:val="21"/>
        </w:rPr>
      </w:pPr>
      <w:r>
        <w:rPr>
          <w:rFonts w:hint="eastAsia" w:ascii="宋体" w:hAnsi="宋体" w:cs="宋体"/>
          <w:color w:val="auto"/>
          <w:sz w:val="22"/>
          <w:szCs w:val="22"/>
        </w:rPr>
        <w:t>4.供应商质疑应当有明确的请求和必要的证明材料；采购人及招标代理机构按《政府采购质疑和投诉办法》（中华人民共和国财政部令第94号）进行处理供应商质疑事项。</w:t>
      </w:r>
    </w:p>
    <w:p>
      <w:pPr>
        <w:pStyle w:val="18"/>
        <w:widowControl/>
        <w:spacing w:beforeAutospacing="0" w:afterAutospacing="0" w:line="400" w:lineRule="atLeast"/>
        <w:ind w:left="61" w:right="62" w:firstLine="433"/>
        <w:rPr>
          <w:rFonts w:cs="Calibri"/>
          <w:color w:val="auto"/>
          <w:sz w:val="21"/>
          <w:szCs w:val="21"/>
        </w:rPr>
      </w:pPr>
      <w:r>
        <w:rPr>
          <w:rFonts w:hint="eastAsia" w:ascii="宋体" w:hAnsi="宋体" w:cs="宋体"/>
          <w:color w:val="auto"/>
          <w:sz w:val="22"/>
          <w:szCs w:val="22"/>
        </w:rPr>
        <w:t>5.潜在供应商应当按照规定方式获取采购文件，未按照规定方式获取采购文件的，不得对采购文件提起质疑投诉。</w:t>
      </w:r>
    </w:p>
    <w:p>
      <w:pPr>
        <w:pStyle w:val="18"/>
        <w:widowControl/>
        <w:spacing w:beforeAutospacing="0" w:afterAutospacing="0" w:line="400" w:lineRule="atLeast"/>
        <w:ind w:left="61" w:right="62" w:firstLine="433"/>
        <w:rPr>
          <w:rFonts w:cs="Calibri"/>
          <w:color w:val="auto"/>
          <w:sz w:val="21"/>
          <w:szCs w:val="21"/>
        </w:rPr>
      </w:pPr>
      <w:r>
        <w:rPr>
          <w:rFonts w:hint="eastAsia" w:ascii="宋体" w:hAnsi="宋体" w:cs="宋体"/>
          <w:color w:val="auto"/>
          <w:sz w:val="22"/>
          <w:szCs w:val="22"/>
        </w:rPr>
        <w:t>6.逾期的质疑，采购人及招标代理机构可不予接受。</w:t>
      </w:r>
    </w:p>
    <w:p>
      <w:pPr>
        <w:pStyle w:val="29"/>
        <w:adjustRightInd w:val="0"/>
        <w:snapToGrid w:val="0"/>
        <w:spacing w:line="400" w:lineRule="exact"/>
        <w:ind w:firstLine="438" w:firstLineChars="197"/>
        <w:rPr>
          <w:rFonts w:hAnsi="宋体" w:cs="宋体"/>
          <w:color w:val="auto"/>
          <w:sz w:val="22"/>
          <w:szCs w:val="22"/>
        </w:rPr>
      </w:pPr>
      <w:r>
        <w:rPr>
          <w:rFonts w:hint="eastAsia" w:hAnsi="宋体" w:cs="宋体"/>
          <w:color w:val="auto"/>
          <w:sz w:val="22"/>
          <w:szCs w:val="22"/>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pStyle w:val="29"/>
        <w:adjustRightInd w:val="0"/>
        <w:snapToGrid w:val="0"/>
        <w:spacing w:line="400" w:lineRule="exact"/>
        <w:ind w:firstLine="223" w:firstLineChars="100"/>
        <w:rPr>
          <w:rFonts w:hAnsi="宋体"/>
          <w:color w:val="auto"/>
          <w:sz w:val="22"/>
          <w:szCs w:val="22"/>
        </w:rPr>
      </w:pPr>
      <w:r>
        <w:rPr>
          <w:rFonts w:hint="eastAsia"/>
          <w:b/>
          <w:color w:val="auto"/>
          <w:sz w:val="22"/>
          <w:szCs w:val="22"/>
        </w:rPr>
        <w:t>十三、联系方式</w:t>
      </w:r>
    </w:p>
    <w:p>
      <w:pPr>
        <w:snapToGrid w:val="0"/>
        <w:spacing w:line="380" w:lineRule="exact"/>
        <w:ind w:firstLine="480"/>
        <w:rPr>
          <w:rFonts w:ascii="宋体" w:hAnsi="宋体" w:cs="宋体"/>
          <w:color w:val="auto"/>
          <w:sz w:val="22"/>
        </w:rPr>
      </w:pPr>
      <w:r>
        <w:rPr>
          <w:rFonts w:hint="eastAsia" w:ascii="宋体" w:hAnsi="宋体" w:cs="宋体"/>
          <w:color w:val="auto"/>
          <w:sz w:val="22"/>
        </w:rPr>
        <w:t>1、招标代理机构：杭州华旗招标代理有限公司</w:t>
      </w:r>
    </w:p>
    <w:p>
      <w:pPr>
        <w:snapToGrid w:val="0"/>
        <w:spacing w:line="380" w:lineRule="exact"/>
        <w:ind w:firstLine="480"/>
        <w:rPr>
          <w:rFonts w:hint="eastAsia" w:ascii="宋体" w:hAnsi="宋体" w:cs="宋体"/>
          <w:color w:val="auto"/>
          <w:sz w:val="22"/>
        </w:rPr>
      </w:pPr>
      <w:r>
        <w:rPr>
          <w:rFonts w:hint="eastAsia" w:ascii="宋体" w:hAnsi="宋体" w:cs="宋体"/>
          <w:color w:val="auto"/>
          <w:sz w:val="22"/>
        </w:rPr>
        <w:t>项目经办人：翁女士</w:t>
      </w:r>
    </w:p>
    <w:p>
      <w:pPr>
        <w:snapToGrid w:val="0"/>
        <w:spacing w:line="380" w:lineRule="exact"/>
        <w:ind w:firstLine="480"/>
        <w:rPr>
          <w:rFonts w:hint="eastAsia" w:ascii="宋体" w:hAnsi="宋体" w:cs="宋体"/>
          <w:color w:val="auto"/>
          <w:sz w:val="22"/>
        </w:rPr>
      </w:pPr>
      <w:r>
        <w:rPr>
          <w:rFonts w:hint="eastAsia" w:ascii="宋体" w:hAnsi="宋体" w:cs="宋体"/>
          <w:color w:val="auto"/>
          <w:sz w:val="22"/>
        </w:rPr>
        <w:t>联系电话：17858065131、行政网515131</w:t>
      </w:r>
    </w:p>
    <w:p>
      <w:pPr>
        <w:snapToGrid w:val="0"/>
        <w:spacing w:line="380" w:lineRule="exact"/>
        <w:ind w:firstLine="480"/>
        <w:rPr>
          <w:rFonts w:hint="eastAsia" w:ascii="宋体" w:hAnsi="宋体" w:cs="宋体"/>
          <w:color w:val="auto"/>
          <w:sz w:val="22"/>
        </w:rPr>
      </w:pPr>
      <w:r>
        <w:rPr>
          <w:rFonts w:hint="eastAsia" w:ascii="宋体" w:hAnsi="宋体" w:cs="宋体"/>
          <w:color w:val="auto"/>
          <w:sz w:val="22"/>
        </w:rPr>
        <w:t>质疑咨询联系人：缪先生</w:t>
      </w:r>
    </w:p>
    <w:p>
      <w:pPr>
        <w:widowControl/>
        <w:snapToGrid w:val="0"/>
        <w:spacing w:line="400" w:lineRule="exact"/>
        <w:ind w:left="443" w:leftChars="208" w:right="62" w:firstLine="0" w:firstLineChars="0"/>
        <w:jc w:val="left"/>
        <w:outlineLvl w:val="0"/>
        <w:rPr>
          <w:rFonts w:ascii="宋体"/>
          <w:color w:val="auto"/>
          <w:sz w:val="22"/>
          <w:szCs w:val="22"/>
        </w:rPr>
      </w:pPr>
      <w:r>
        <w:rPr>
          <w:rFonts w:hint="eastAsia" w:ascii="宋体" w:hAnsi="宋体" w:cs="宋体"/>
          <w:color w:val="auto"/>
          <w:sz w:val="22"/>
        </w:rPr>
        <w:t>联系电话：15888799321、行政网529321</w:t>
      </w:r>
      <w:r>
        <w:rPr>
          <w:rFonts w:hint="eastAsia" w:ascii="宋体" w:hAnsi="宋体" w:cs="宋体"/>
          <w:color w:val="auto"/>
          <w:sz w:val="22"/>
        </w:rPr>
        <w:br w:type="textWrapping"/>
      </w:r>
      <w:r>
        <w:rPr>
          <w:rFonts w:hint="eastAsia" w:ascii="宋体" w:hAnsi="宋体" w:cs="宋体"/>
          <w:color w:val="auto"/>
          <w:sz w:val="22"/>
        </w:rPr>
        <w:t>联系邮箱：329514336@qq.com</w:t>
      </w:r>
      <w:r>
        <w:rPr>
          <w:rFonts w:hint="eastAsia" w:ascii="宋体" w:hAnsi="宋体" w:cs="宋体"/>
          <w:color w:val="auto"/>
          <w:sz w:val="22"/>
        </w:rPr>
        <w:br w:type="textWrapping"/>
      </w:r>
      <w:r>
        <w:rPr>
          <w:rFonts w:hint="eastAsia" w:ascii="宋体" w:hAnsi="宋体" w:cs="宋体"/>
          <w:color w:val="auto"/>
          <w:sz w:val="22"/>
        </w:rPr>
        <w:t>联系地址：温州市泰顺县罗阳镇湖滨花苑B8幢401室</w:t>
      </w:r>
    </w:p>
    <w:p>
      <w:pPr>
        <w:widowControl/>
        <w:snapToGrid w:val="0"/>
        <w:spacing w:line="400" w:lineRule="exact"/>
        <w:ind w:left="61" w:leftChars="29" w:right="62" w:firstLine="438" w:firstLineChars="197"/>
        <w:jc w:val="left"/>
        <w:outlineLvl w:val="0"/>
        <w:rPr>
          <w:rFonts w:hint="eastAsia" w:ascii="宋体" w:eastAsia="宋体"/>
          <w:color w:val="auto"/>
          <w:sz w:val="22"/>
          <w:szCs w:val="22"/>
          <w:lang w:eastAsia="zh-CN"/>
        </w:rPr>
      </w:pPr>
      <w:r>
        <w:rPr>
          <w:rFonts w:ascii="宋体" w:hAnsi="宋体"/>
          <w:color w:val="auto"/>
          <w:sz w:val="22"/>
          <w:szCs w:val="22"/>
        </w:rPr>
        <w:t>2</w:t>
      </w:r>
      <w:r>
        <w:rPr>
          <w:rFonts w:hint="eastAsia" w:ascii="宋体" w:hAnsi="宋体"/>
          <w:color w:val="auto"/>
          <w:sz w:val="22"/>
          <w:szCs w:val="22"/>
        </w:rPr>
        <w:t>、采购单位：</w:t>
      </w:r>
      <w:r>
        <w:rPr>
          <w:rFonts w:hint="eastAsia" w:ascii="宋体" w:hAnsi="宋体"/>
          <w:color w:val="auto"/>
          <w:sz w:val="22"/>
          <w:szCs w:val="22"/>
          <w:lang w:eastAsia="zh-CN"/>
        </w:rPr>
        <w:t>泰顺县水利局</w:t>
      </w:r>
    </w:p>
    <w:p>
      <w:pPr>
        <w:widowControl/>
        <w:snapToGrid w:val="0"/>
        <w:spacing w:line="400" w:lineRule="exact"/>
        <w:ind w:left="61" w:leftChars="29" w:right="62" w:firstLine="438" w:firstLineChars="197"/>
        <w:jc w:val="left"/>
        <w:outlineLvl w:val="0"/>
        <w:rPr>
          <w:rFonts w:hint="default" w:ascii="宋体" w:eastAsia="宋体"/>
          <w:color w:val="auto"/>
          <w:sz w:val="22"/>
          <w:szCs w:val="22"/>
          <w:lang w:val="en-US" w:eastAsia="zh-CN"/>
        </w:rPr>
      </w:pPr>
      <w:r>
        <w:rPr>
          <w:rFonts w:hint="eastAsia" w:ascii="宋体" w:hAnsi="宋体"/>
          <w:color w:val="auto"/>
          <w:sz w:val="22"/>
          <w:szCs w:val="22"/>
        </w:rPr>
        <w:t>联系人：</w:t>
      </w:r>
      <w:r>
        <w:rPr>
          <w:rFonts w:hint="eastAsia" w:ascii="宋体" w:hAnsi="宋体"/>
          <w:color w:val="auto"/>
          <w:sz w:val="22"/>
          <w:szCs w:val="22"/>
          <w:lang w:val="en-US" w:eastAsia="zh-CN"/>
        </w:rPr>
        <w:t>陶先生</w:t>
      </w:r>
    </w:p>
    <w:p>
      <w:pPr>
        <w:widowControl/>
        <w:snapToGrid w:val="0"/>
        <w:spacing w:line="400" w:lineRule="exact"/>
        <w:ind w:left="61" w:leftChars="29" w:right="62" w:firstLine="438" w:firstLineChars="197"/>
        <w:jc w:val="left"/>
        <w:outlineLvl w:val="0"/>
        <w:rPr>
          <w:rFonts w:hint="default" w:ascii="宋体" w:hAnsi="宋体" w:eastAsia="宋体"/>
          <w:color w:val="auto"/>
          <w:sz w:val="22"/>
          <w:szCs w:val="22"/>
          <w:lang w:val="en-US" w:eastAsia="zh-CN"/>
        </w:rPr>
      </w:pPr>
      <w:r>
        <w:rPr>
          <w:rFonts w:hint="eastAsia" w:ascii="宋体" w:hAnsi="宋体"/>
          <w:color w:val="auto"/>
          <w:sz w:val="22"/>
          <w:szCs w:val="22"/>
        </w:rPr>
        <w:t>联系电话：0577-</w:t>
      </w:r>
      <w:r>
        <w:rPr>
          <w:rFonts w:hint="eastAsia" w:ascii="宋体" w:hAnsi="宋体"/>
          <w:color w:val="auto"/>
          <w:sz w:val="22"/>
          <w:szCs w:val="22"/>
          <w:lang w:val="en-US" w:eastAsia="zh-CN"/>
        </w:rPr>
        <w:t>59282557</w:t>
      </w:r>
    </w:p>
    <w:p>
      <w:pPr>
        <w:snapToGrid w:val="0"/>
        <w:spacing w:line="380" w:lineRule="exact"/>
        <w:ind w:firstLine="480"/>
        <w:rPr>
          <w:rFonts w:hint="eastAsia" w:ascii="宋体" w:hAnsi="宋体" w:eastAsia="宋体" w:cs="宋体"/>
          <w:color w:val="auto"/>
          <w:sz w:val="22"/>
          <w:lang w:val="en-US" w:eastAsia="zh-CN"/>
        </w:rPr>
      </w:pPr>
      <w:r>
        <w:rPr>
          <w:rFonts w:hint="eastAsia" w:ascii="宋体" w:hAnsi="宋体" w:cs="宋体"/>
          <w:color w:val="auto"/>
          <w:sz w:val="22"/>
        </w:rPr>
        <w:t>质疑咨询联系人：</w:t>
      </w:r>
      <w:r>
        <w:rPr>
          <w:rFonts w:hint="eastAsia" w:ascii="宋体" w:hAnsi="宋体" w:cs="宋体"/>
          <w:color w:val="auto"/>
          <w:sz w:val="22"/>
          <w:lang w:eastAsia="zh-CN"/>
        </w:rPr>
        <w:t>夏先生</w:t>
      </w:r>
    </w:p>
    <w:p>
      <w:pPr>
        <w:widowControl/>
        <w:snapToGrid w:val="0"/>
        <w:spacing w:line="400" w:lineRule="exact"/>
        <w:ind w:left="61" w:leftChars="29" w:right="62" w:firstLine="438" w:firstLineChars="197"/>
        <w:jc w:val="left"/>
        <w:outlineLvl w:val="0"/>
        <w:rPr>
          <w:rFonts w:hint="default" w:ascii="宋体" w:hAnsi="宋体" w:eastAsia="宋体"/>
          <w:color w:val="auto"/>
          <w:sz w:val="22"/>
          <w:szCs w:val="22"/>
          <w:lang w:val="en-US" w:eastAsia="zh-CN"/>
        </w:rPr>
      </w:pPr>
      <w:r>
        <w:rPr>
          <w:rFonts w:hint="eastAsia" w:ascii="宋体" w:hAnsi="宋体"/>
          <w:color w:val="auto"/>
          <w:sz w:val="22"/>
          <w:szCs w:val="22"/>
        </w:rPr>
        <w:t>联系电话：0577-</w:t>
      </w:r>
      <w:r>
        <w:rPr>
          <w:rFonts w:hint="eastAsia" w:ascii="宋体" w:hAnsi="宋体"/>
          <w:color w:val="auto"/>
          <w:sz w:val="22"/>
          <w:szCs w:val="22"/>
          <w:lang w:val="en-US" w:eastAsia="zh-CN"/>
        </w:rPr>
        <w:t>59282557</w:t>
      </w:r>
    </w:p>
    <w:p>
      <w:pPr>
        <w:widowControl/>
        <w:snapToGrid w:val="0"/>
        <w:spacing w:line="400" w:lineRule="exact"/>
        <w:ind w:left="61" w:leftChars="29" w:right="62" w:firstLine="438" w:firstLineChars="197"/>
        <w:jc w:val="left"/>
        <w:outlineLvl w:val="0"/>
        <w:rPr>
          <w:rFonts w:hint="default" w:ascii="宋体" w:eastAsia="宋体"/>
          <w:color w:val="auto"/>
          <w:sz w:val="22"/>
          <w:szCs w:val="22"/>
          <w:lang w:val="en-US" w:eastAsia="zh-CN"/>
        </w:rPr>
      </w:pPr>
      <w:r>
        <w:rPr>
          <w:rFonts w:hint="eastAsia" w:ascii="宋体" w:hAnsi="宋体"/>
          <w:color w:val="auto"/>
          <w:sz w:val="22"/>
          <w:szCs w:val="22"/>
        </w:rPr>
        <w:t>联系地址：</w:t>
      </w:r>
      <w:r>
        <w:rPr>
          <w:rFonts w:hint="eastAsia" w:ascii="宋体" w:hAnsi="宋体"/>
          <w:color w:val="auto"/>
          <w:sz w:val="22"/>
        </w:rPr>
        <w:t>温州市泰顺县罗阳镇</w:t>
      </w:r>
      <w:r>
        <w:rPr>
          <w:rFonts w:hint="eastAsia" w:ascii="宋体" w:hAnsi="宋体"/>
          <w:color w:val="auto"/>
          <w:sz w:val="22"/>
          <w:lang w:val="en-US" w:eastAsia="zh-CN"/>
        </w:rPr>
        <w:t>公园路1号</w:t>
      </w:r>
    </w:p>
    <w:p>
      <w:pPr>
        <w:widowControl/>
        <w:snapToGrid w:val="0"/>
        <w:spacing w:line="400" w:lineRule="exact"/>
        <w:ind w:left="61" w:leftChars="29" w:right="62" w:firstLine="438" w:firstLineChars="197"/>
        <w:jc w:val="left"/>
        <w:outlineLvl w:val="0"/>
        <w:rPr>
          <w:rFonts w:ascii="宋体"/>
          <w:color w:val="auto"/>
          <w:sz w:val="22"/>
          <w:szCs w:val="22"/>
        </w:rPr>
      </w:pPr>
      <w:r>
        <w:rPr>
          <w:rFonts w:ascii="宋体" w:hAnsi="宋体"/>
          <w:color w:val="auto"/>
          <w:sz w:val="22"/>
          <w:szCs w:val="22"/>
        </w:rPr>
        <w:t>3</w:t>
      </w:r>
      <w:r>
        <w:rPr>
          <w:rFonts w:hint="eastAsia" w:ascii="宋体" w:hAnsi="宋体"/>
          <w:color w:val="auto"/>
          <w:sz w:val="22"/>
          <w:szCs w:val="22"/>
        </w:rPr>
        <w:t>、同级政府采购监督管理部门：泰顺县财政局</w:t>
      </w:r>
    </w:p>
    <w:p>
      <w:pPr>
        <w:widowControl/>
        <w:snapToGrid w:val="0"/>
        <w:spacing w:line="400" w:lineRule="exact"/>
        <w:ind w:left="61" w:leftChars="29" w:right="62" w:firstLine="438" w:firstLineChars="197"/>
        <w:jc w:val="left"/>
        <w:outlineLvl w:val="0"/>
        <w:rPr>
          <w:rFonts w:ascii="宋体"/>
          <w:color w:val="auto"/>
          <w:sz w:val="22"/>
          <w:szCs w:val="22"/>
        </w:rPr>
      </w:pPr>
      <w:r>
        <w:rPr>
          <w:rFonts w:hint="eastAsia" w:ascii="宋体" w:hAnsi="宋体"/>
          <w:color w:val="auto"/>
          <w:sz w:val="22"/>
          <w:szCs w:val="22"/>
        </w:rPr>
        <w:t>联</w:t>
      </w:r>
      <w:r>
        <w:rPr>
          <w:rFonts w:ascii="宋体" w:hAnsi="宋体"/>
          <w:color w:val="auto"/>
          <w:sz w:val="22"/>
          <w:szCs w:val="22"/>
        </w:rPr>
        <w:t xml:space="preserve"> </w:t>
      </w:r>
      <w:r>
        <w:rPr>
          <w:rFonts w:hint="eastAsia" w:ascii="宋体" w:hAnsi="宋体"/>
          <w:color w:val="auto"/>
          <w:sz w:val="22"/>
          <w:szCs w:val="22"/>
        </w:rPr>
        <w:t>系</w:t>
      </w:r>
      <w:r>
        <w:rPr>
          <w:rFonts w:ascii="宋体" w:hAnsi="宋体"/>
          <w:color w:val="auto"/>
          <w:sz w:val="22"/>
          <w:szCs w:val="22"/>
        </w:rPr>
        <w:t xml:space="preserve"> </w:t>
      </w:r>
      <w:r>
        <w:rPr>
          <w:rFonts w:hint="eastAsia" w:ascii="宋体" w:hAnsi="宋体"/>
          <w:color w:val="auto"/>
          <w:sz w:val="22"/>
          <w:szCs w:val="22"/>
        </w:rPr>
        <w:t>人：叶先生</w:t>
      </w:r>
    </w:p>
    <w:p>
      <w:pPr>
        <w:widowControl/>
        <w:snapToGrid w:val="0"/>
        <w:spacing w:line="400" w:lineRule="exact"/>
        <w:ind w:left="61" w:leftChars="29" w:right="62" w:firstLine="438" w:firstLineChars="197"/>
        <w:jc w:val="left"/>
        <w:outlineLvl w:val="0"/>
        <w:rPr>
          <w:rFonts w:hint="default" w:ascii="宋体" w:eastAsia="宋体"/>
          <w:color w:val="auto"/>
          <w:sz w:val="22"/>
          <w:szCs w:val="22"/>
          <w:lang w:val="en-US" w:eastAsia="zh-CN"/>
        </w:rPr>
      </w:pPr>
      <w:r>
        <w:rPr>
          <w:rFonts w:hint="eastAsia" w:ascii="宋体" w:hAnsi="宋体"/>
          <w:color w:val="auto"/>
          <w:sz w:val="22"/>
          <w:szCs w:val="22"/>
        </w:rPr>
        <w:t>联系电话：</w:t>
      </w:r>
      <w:r>
        <w:rPr>
          <w:rFonts w:ascii="宋体" w:hAnsi="宋体"/>
          <w:color w:val="auto"/>
          <w:sz w:val="22"/>
          <w:szCs w:val="22"/>
        </w:rPr>
        <w:t>0577-6758</w:t>
      </w:r>
      <w:r>
        <w:rPr>
          <w:rFonts w:hint="eastAsia" w:ascii="宋体" w:hAnsi="宋体"/>
          <w:color w:val="auto"/>
          <w:sz w:val="22"/>
          <w:szCs w:val="22"/>
          <w:lang w:val="en-US" w:eastAsia="zh-CN"/>
        </w:rPr>
        <w:t>8502</w:t>
      </w:r>
    </w:p>
    <w:p>
      <w:pPr>
        <w:widowControl/>
        <w:snapToGrid w:val="0"/>
        <w:spacing w:line="400" w:lineRule="exact"/>
        <w:ind w:left="61" w:leftChars="29" w:right="62" w:firstLine="438" w:firstLineChars="197"/>
        <w:jc w:val="left"/>
        <w:outlineLvl w:val="0"/>
        <w:rPr>
          <w:rFonts w:ascii="宋体"/>
          <w:color w:val="auto"/>
          <w:sz w:val="22"/>
          <w:szCs w:val="22"/>
        </w:rPr>
      </w:pPr>
      <w:r>
        <w:rPr>
          <w:rFonts w:hint="eastAsia" w:ascii="宋体" w:hAnsi="宋体"/>
          <w:color w:val="auto"/>
          <w:sz w:val="22"/>
          <w:szCs w:val="22"/>
        </w:rPr>
        <w:t>联系地址：温州市泰顺县罗阳镇公园路</w:t>
      </w:r>
      <w:r>
        <w:rPr>
          <w:rFonts w:ascii="宋体" w:hAnsi="宋体"/>
          <w:color w:val="auto"/>
          <w:sz w:val="22"/>
          <w:szCs w:val="22"/>
        </w:rPr>
        <w:t>48</w:t>
      </w:r>
      <w:r>
        <w:rPr>
          <w:rFonts w:hint="eastAsia" w:ascii="宋体" w:hAnsi="宋体"/>
          <w:color w:val="auto"/>
          <w:sz w:val="22"/>
          <w:szCs w:val="22"/>
        </w:rPr>
        <w:t>号</w:t>
      </w:r>
    </w:p>
    <w:p>
      <w:pPr>
        <w:pStyle w:val="9"/>
        <w:rPr>
          <w:color w:val="auto"/>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rPr>
      </w:pPr>
      <w:bookmarkStart w:id="3" w:name="_Toc483388386"/>
    </w:p>
    <w:p>
      <w:pPr>
        <w:tabs>
          <w:tab w:val="left" w:pos="1080"/>
        </w:tabs>
        <w:autoSpaceDE w:val="0"/>
        <w:autoSpaceDN w:val="0"/>
        <w:adjustRightInd w:val="0"/>
        <w:spacing w:line="500" w:lineRule="atLeast"/>
        <w:jc w:val="center"/>
        <w:textAlignment w:val="baseline"/>
        <w:rPr>
          <w:rFonts w:hint="eastAsia" w:ascii="宋体"/>
          <w:b/>
          <w:bCs/>
          <w:color w:val="auto"/>
          <w:sz w:val="32"/>
          <w:szCs w:val="32"/>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rPr>
      </w:pPr>
    </w:p>
    <w:p>
      <w:pPr>
        <w:tabs>
          <w:tab w:val="left" w:pos="1080"/>
        </w:tabs>
        <w:autoSpaceDE w:val="0"/>
        <w:autoSpaceDN w:val="0"/>
        <w:adjustRightInd w:val="0"/>
        <w:spacing w:line="500" w:lineRule="atLeast"/>
        <w:jc w:val="center"/>
        <w:textAlignment w:val="baseline"/>
        <w:rPr>
          <w:rFonts w:hint="eastAsia" w:ascii="宋体"/>
          <w:b/>
          <w:bCs/>
          <w:color w:val="auto"/>
          <w:sz w:val="32"/>
          <w:szCs w:val="32"/>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r>
        <w:rPr>
          <w:rFonts w:hint="eastAsia" w:ascii="宋体"/>
          <w:b/>
          <w:bCs/>
          <w:color w:val="auto"/>
          <w:sz w:val="32"/>
          <w:szCs w:val="32"/>
        </w:rPr>
        <w:t>第</w:t>
      </w:r>
      <w:r>
        <w:rPr>
          <w:rFonts w:hint="eastAsia" w:ascii="宋体"/>
          <w:b/>
          <w:bCs/>
          <w:color w:val="auto"/>
          <w:sz w:val="32"/>
          <w:szCs w:val="32"/>
          <w:lang w:val="zh-CN"/>
        </w:rPr>
        <w:t>一部分</w:t>
      </w:r>
      <w:r>
        <w:rPr>
          <w:rFonts w:ascii="宋体"/>
          <w:b/>
          <w:bCs/>
          <w:color w:val="auto"/>
          <w:sz w:val="32"/>
          <w:szCs w:val="32"/>
          <w:lang w:val="zh-CN"/>
        </w:rPr>
        <w:t xml:space="preserve">   </w:t>
      </w:r>
      <w:r>
        <w:rPr>
          <w:rFonts w:hint="eastAsia" w:ascii="宋体"/>
          <w:b/>
          <w:bCs/>
          <w:color w:val="auto"/>
          <w:sz w:val="32"/>
          <w:szCs w:val="32"/>
          <w:lang w:val="zh-CN"/>
        </w:rPr>
        <w:t>投标邀请函（投标须知前附表）</w:t>
      </w:r>
      <w:bookmarkEnd w:id="3"/>
    </w:p>
    <w:tbl>
      <w:tblPr>
        <w:tblStyle w:val="21"/>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12" w:space="0"/>
            </w:tcBorders>
            <w:vAlign w:val="center"/>
          </w:tcPr>
          <w:p>
            <w:pPr>
              <w:spacing w:line="400" w:lineRule="atLeast"/>
              <w:jc w:val="right"/>
              <w:rPr>
                <w:rFonts w:ascii="宋体" w:cs="Arial"/>
                <w:color w:val="auto"/>
                <w:sz w:val="22"/>
                <w:szCs w:val="22"/>
              </w:rPr>
            </w:pPr>
            <w:r>
              <w:rPr>
                <w:rFonts w:hint="eastAsia" w:ascii="宋体" w:cs="Arial"/>
                <w:color w:val="auto"/>
                <w:sz w:val="22"/>
                <w:szCs w:val="22"/>
              </w:rPr>
              <w:t>项号</w:t>
            </w:r>
          </w:p>
        </w:tc>
        <w:tc>
          <w:tcPr>
            <w:tcW w:w="1600" w:type="dxa"/>
            <w:tcBorders>
              <w:top w:val="single" w:color="auto" w:sz="12" w:space="0"/>
            </w:tcBorders>
            <w:vAlign w:val="center"/>
          </w:tcPr>
          <w:p>
            <w:pPr>
              <w:spacing w:line="400" w:lineRule="atLeast"/>
              <w:jc w:val="center"/>
              <w:rPr>
                <w:rFonts w:ascii="宋体" w:cs="Arial"/>
                <w:color w:val="auto"/>
                <w:sz w:val="22"/>
                <w:szCs w:val="22"/>
              </w:rPr>
            </w:pPr>
            <w:r>
              <w:rPr>
                <w:rFonts w:hint="eastAsia" w:ascii="宋体" w:cs="Arial"/>
                <w:color w:val="auto"/>
                <w:sz w:val="22"/>
                <w:szCs w:val="22"/>
              </w:rPr>
              <w:t>内容</w:t>
            </w:r>
          </w:p>
        </w:tc>
        <w:tc>
          <w:tcPr>
            <w:tcW w:w="7619" w:type="dxa"/>
            <w:tcBorders>
              <w:top w:val="single" w:color="auto" w:sz="12" w:space="0"/>
            </w:tcBorders>
            <w:vAlign w:val="center"/>
          </w:tcPr>
          <w:p>
            <w:pPr>
              <w:spacing w:line="400" w:lineRule="atLeast"/>
              <w:jc w:val="center"/>
              <w:rPr>
                <w:rFonts w:ascii="宋体" w:cs="Arial"/>
                <w:color w:val="auto"/>
                <w:sz w:val="22"/>
                <w:szCs w:val="22"/>
              </w:rPr>
            </w:pPr>
            <w:r>
              <w:rPr>
                <w:rFonts w:hint="eastAsia" w:ascii="宋体" w:cs="Arial"/>
                <w:color w:val="auto"/>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s="Arial"/>
                <w:color w:val="auto"/>
                <w:sz w:val="22"/>
                <w:szCs w:val="22"/>
              </w:rPr>
              <w:t>项目名称</w:t>
            </w:r>
          </w:p>
        </w:tc>
        <w:tc>
          <w:tcPr>
            <w:tcW w:w="7619" w:type="dxa"/>
            <w:vAlign w:val="center"/>
          </w:tcPr>
          <w:p>
            <w:pPr>
              <w:rPr>
                <w:rFonts w:hint="eastAsia" w:ascii="宋体" w:eastAsia="宋体"/>
                <w:color w:val="auto"/>
                <w:sz w:val="22"/>
                <w:szCs w:val="22"/>
                <w:lang w:eastAsia="zh-CN"/>
              </w:rPr>
            </w:pPr>
            <w:r>
              <w:rPr>
                <w:rFonts w:hint="eastAsia" w:ascii="宋体" w:cs="Arial"/>
                <w:color w:val="auto"/>
                <w:sz w:val="22"/>
                <w:szCs w:val="22"/>
                <w:lang w:eastAsia="zh-CN"/>
              </w:rPr>
              <w:t>泰顺县水利工程可视化项目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r>
              <w:rPr>
                <w:rFonts w:ascii="宋体" w:cs="Arial"/>
                <w:color w:val="auto"/>
                <w:sz w:val="22"/>
                <w:szCs w:val="22"/>
              </w:rPr>
              <w:t xml:space="preserve"> </w:t>
            </w:r>
          </w:p>
        </w:tc>
        <w:tc>
          <w:tcPr>
            <w:tcW w:w="1600" w:type="dxa"/>
            <w:vAlign w:val="center"/>
          </w:tcPr>
          <w:p>
            <w:pPr>
              <w:rPr>
                <w:rFonts w:ascii="宋体"/>
                <w:color w:val="auto"/>
                <w:sz w:val="22"/>
                <w:szCs w:val="22"/>
              </w:rPr>
            </w:pPr>
            <w:r>
              <w:rPr>
                <w:rFonts w:hint="eastAsia" w:ascii="宋体"/>
                <w:color w:val="auto"/>
                <w:sz w:val="22"/>
                <w:szCs w:val="22"/>
              </w:rPr>
              <w:t>项目编号</w:t>
            </w:r>
          </w:p>
        </w:tc>
        <w:tc>
          <w:tcPr>
            <w:tcW w:w="7619" w:type="dxa"/>
            <w:vAlign w:val="center"/>
          </w:tcPr>
          <w:p>
            <w:pPr>
              <w:rPr>
                <w:rFonts w:hint="eastAsia" w:ascii="宋体" w:eastAsia="宋体"/>
                <w:color w:val="auto"/>
                <w:sz w:val="22"/>
                <w:szCs w:val="22"/>
                <w:lang w:eastAsia="zh-CN"/>
              </w:rPr>
            </w:pPr>
            <w:r>
              <w:rPr>
                <w:rFonts w:hint="eastAsia" w:ascii="宋体"/>
                <w:color w:val="auto"/>
                <w:sz w:val="22"/>
                <w:szCs w:val="22"/>
                <w:lang w:eastAsia="zh-CN"/>
              </w:rPr>
              <w:t>TSCG202004003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olor w:val="auto"/>
                <w:sz w:val="22"/>
                <w:szCs w:val="22"/>
              </w:rPr>
              <w:t>资金来源</w:t>
            </w:r>
          </w:p>
        </w:tc>
        <w:tc>
          <w:tcPr>
            <w:tcW w:w="7619" w:type="dxa"/>
            <w:vAlign w:val="center"/>
          </w:tcPr>
          <w:p>
            <w:pPr>
              <w:rPr>
                <w:rFonts w:ascii="宋体" w:cs="Arial"/>
                <w:color w:val="auto"/>
                <w:sz w:val="22"/>
                <w:szCs w:val="22"/>
              </w:rPr>
            </w:pPr>
            <w:r>
              <w:rPr>
                <w:rFonts w:hint="eastAsia" w:ascii="宋体"/>
                <w:color w:val="auto"/>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olor w:val="auto"/>
                <w:sz w:val="22"/>
                <w:szCs w:val="22"/>
              </w:rPr>
            </w:pPr>
            <w:r>
              <w:rPr>
                <w:rFonts w:hint="eastAsia" w:ascii="宋体"/>
                <w:color w:val="auto"/>
                <w:sz w:val="22"/>
                <w:szCs w:val="22"/>
              </w:rPr>
              <w:t>采购方式</w:t>
            </w:r>
          </w:p>
        </w:tc>
        <w:tc>
          <w:tcPr>
            <w:tcW w:w="7619" w:type="dxa"/>
            <w:vAlign w:val="center"/>
          </w:tcPr>
          <w:p>
            <w:pPr>
              <w:rPr>
                <w:rFonts w:ascii="宋体"/>
                <w:color w:val="auto"/>
                <w:sz w:val="22"/>
                <w:szCs w:val="22"/>
              </w:rPr>
            </w:pPr>
            <w:r>
              <w:rPr>
                <w:rFonts w:hint="eastAsia" w:ascii="宋体"/>
                <w:color w:val="auto"/>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s="宋体"/>
                <w:color w:val="auto"/>
                <w:sz w:val="22"/>
                <w:szCs w:val="22"/>
              </w:rPr>
            </w:pPr>
            <w:r>
              <w:rPr>
                <w:rFonts w:hint="eastAsia" w:ascii="宋体" w:hAnsi="宋体" w:cs="宋体"/>
                <w:color w:val="auto"/>
                <w:sz w:val="22"/>
                <w:szCs w:val="22"/>
              </w:rPr>
              <w:t>采购预算</w:t>
            </w:r>
          </w:p>
        </w:tc>
        <w:tc>
          <w:tcPr>
            <w:tcW w:w="7619" w:type="dxa"/>
            <w:vAlign w:val="center"/>
          </w:tcPr>
          <w:p>
            <w:pPr>
              <w:rPr>
                <w:rFonts w:ascii="宋体" w:cs="宋体"/>
                <w:color w:val="auto"/>
                <w:sz w:val="22"/>
                <w:szCs w:val="22"/>
              </w:rPr>
            </w:pPr>
            <w:r>
              <w:rPr>
                <w:rFonts w:hint="eastAsia" w:ascii="宋体" w:cs="宋体"/>
                <w:color w:val="auto"/>
                <w:sz w:val="22"/>
                <w:szCs w:val="22"/>
                <w:lang w:val="en-US" w:eastAsia="zh-CN"/>
              </w:rPr>
              <w:t xml:space="preserve"> 648</w:t>
            </w:r>
            <w:r>
              <w:rPr>
                <w:rFonts w:hint="eastAsia" w:ascii="宋体" w:cs="宋体"/>
                <w:color w:val="auto"/>
                <w:sz w:val="22"/>
                <w:szCs w:val="22"/>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采购人</w:t>
            </w:r>
          </w:p>
        </w:tc>
        <w:tc>
          <w:tcPr>
            <w:tcW w:w="7619" w:type="dxa"/>
            <w:vAlign w:val="center"/>
          </w:tcPr>
          <w:p>
            <w:pPr>
              <w:adjustRightInd w:val="0"/>
              <w:rPr>
                <w:rFonts w:hint="eastAsia" w:ascii="宋体" w:eastAsia="宋体"/>
                <w:color w:val="auto"/>
                <w:sz w:val="22"/>
                <w:szCs w:val="22"/>
                <w:lang w:eastAsia="zh-CN"/>
              </w:rPr>
            </w:pPr>
            <w:r>
              <w:rPr>
                <w:rFonts w:hint="eastAsia" w:ascii="宋体" w:cs="Arial"/>
                <w:color w:val="auto"/>
                <w:sz w:val="22"/>
                <w:szCs w:val="22"/>
                <w:lang w:eastAsia="zh-CN"/>
              </w:rPr>
              <w:t>泰顺县水利局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right="105" w:hanging="420"/>
              <w:jc w:val="right"/>
              <w:rPr>
                <w:rFonts w:ascii="宋体" w:cs="Arial"/>
                <w:color w:val="auto"/>
                <w:sz w:val="22"/>
                <w:szCs w:val="22"/>
              </w:rPr>
            </w:pPr>
            <w:r>
              <w:rPr>
                <w:rFonts w:ascii="宋体" w:cs="Arial"/>
                <w:color w:val="auto"/>
                <w:sz w:val="22"/>
                <w:szCs w:val="22"/>
              </w:rPr>
              <w:t xml:space="preserve"> </w:t>
            </w:r>
          </w:p>
        </w:tc>
        <w:tc>
          <w:tcPr>
            <w:tcW w:w="1600" w:type="dxa"/>
            <w:vAlign w:val="center"/>
          </w:tcPr>
          <w:p>
            <w:pPr>
              <w:rPr>
                <w:rFonts w:ascii="宋体"/>
                <w:color w:val="auto"/>
                <w:sz w:val="22"/>
                <w:szCs w:val="22"/>
              </w:rPr>
            </w:pPr>
            <w:r>
              <w:rPr>
                <w:rFonts w:hint="eastAsia" w:ascii="宋体"/>
                <w:color w:val="auto"/>
                <w:sz w:val="22"/>
                <w:szCs w:val="22"/>
              </w:rPr>
              <w:t>招标代理机构</w:t>
            </w:r>
          </w:p>
        </w:tc>
        <w:tc>
          <w:tcPr>
            <w:tcW w:w="7619" w:type="dxa"/>
            <w:vAlign w:val="center"/>
          </w:tcPr>
          <w:p>
            <w:pPr>
              <w:adjustRightInd w:val="0"/>
              <w:rPr>
                <w:rFonts w:ascii="宋体"/>
                <w:color w:val="auto"/>
                <w:sz w:val="22"/>
                <w:szCs w:val="22"/>
              </w:rPr>
            </w:pPr>
            <w:r>
              <w:rPr>
                <w:rFonts w:hint="eastAsia" w:ascii="宋体" w:hAnsi="宋体"/>
                <w:color w:val="auto"/>
                <w:sz w:val="22"/>
                <w:szCs w:val="22"/>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20"/>
                <w:tab w:val="clear" w:pos="720"/>
              </w:tabs>
              <w:ind w:left="420" w:right="105"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s="Arial"/>
                <w:color w:val="auto"/>
                <w:sz w:val="22"/>
                <w:szCs w:val="22"/>
              </w:rPr>
              <w:t>评标办法</w:t>
            </w:r>
          </w:p>
        </w:tc>
        <w:tc>
          <w:tcPr>
            <w:tcW w:w="7619" w:type="dxa"/>
            <w:vAlign w:val="center"/>
          </w:tcPr>
          <w:p>
            <w:pPr>
              <w:adjustRightInd w:val="0"/>
              <w:rPr>
                <w:rFonts w:ascii="宋体"/>
                <w:color w:val="auto"/>
                <w:sz w:val="22"/>
                <w:szCs w:val="22"/>
              </w:rPr>
            </w:pPr>
            <w:r>
              <w:rPr>
                <w:rFonts w:hint="eastAsia" w:ascii="宋体"/>
                <w:color w:val="auto"/>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s="Arial"/>
                <w:color w:val="auto"/>
                <w:sz w:val="22"/>
                <w:szCs w:val="22"/>
              </w:rPr>
              <w:t>招标内容</w:t>
            </w:r>
          </w:p>
        </w:tc>
        <w:tc>
          <w:tcPr>
            <w:tcW w:w="7619" w:type="dxa"/>
            <w:vAlign w:val="center"/>
          </w:tcPr>
          <w:p>
            <w:pPr>
              <w:adjustRightInd w:val="0"/>
              <w:rPr>
                <w:rFonts w:ascii="宋体"/>
                <w:color w:val="auto"/>
                <w:sz w:val="22"/>
                <w:szCs w:val="22"/>
              </w:rPr>
            </w:pPr>
            <w:r>
              <w:rPr>
                <w:rFonts w:hint="eastAsia" w:ascii="宋体"/>
                <w:color w:val="auto"/>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jc w:val="left"/>
              <w:rPr>
                <w:rFonts w:ascii="宋体"/>
                <w:color w:val="auto"/>
                <w:sz w:val="22"/>
                <w:szCs w:val="22"/>
              </w:rPr>
            </w:pPr>
            <w:r>
              <w:rPr>
                <w:rFonts w:hint="eastAsia" w:ascii="宋体"/>
                <w:color w:val="auto"/>
                <w:sz w:val="22"/>
                <w:szCs w:val="22"/>
              </w:rPr>
              <w:t>投标供应商</w:t>
            </w:r>
          </w:p>
          <w:p>
            <w:pPr>
              <w:jc w:val="left"/>
              <w:rPr>
                <w:rFonts w:ascii="宋体"/>
                <w:color w:val="auto"/>
                <w:sz w:val="22"/>
                <w:szCs w:val="22"/>
              </w:rPr>
            </w:pPr>
            <w:r>
              <w:rPr>
                <w:rFonts w:hint="eastAsia" w:ascii="宋体"/>
                <w:color w:val="auto"/>
                <w:sz w:val="22"/>
                <w:szCs w:val="22"/>
              </w:rPr>
              <w:t>资格要求</w:t>
            </w:r>
          </w:p>
        </w:tc>
        <w:tc>
          <w:tcPr>
            <w:tcW w:w="7619" w:type="dxa"/>
            <w:vAlign w:val="center"/>
          </w:tcPr>
          <w:p>
            <w:pPr>
              <w:jc w:val="left"/>
              <w:rPr>
                <w:rFonts w:ascii="宋体"/>
                <w:color w:val="auto"/>
                <w:sz w:val="22"/>
                <w:szCs w:val="22"/>
              </w:rPr>
            </w:pPr>
            <w:r>
              <w:rPr>
                <w:rFonts w:hint="eastAsia" w:ascii="宋体"/>
                <w:color w:val="auto"/>
                <w:sz w:val="22"/>
                <w:szCs w:val="22"/>
              </w:rPr>
              <w:t>（一）符合政府采购法第二十二条之供应商资格规定：</w:t>
            </w:r>
          </w:p>
          <w:p>
            <w:pPr>
              <w:jc w:val="left"/>
              <w:rPr>
                <w:rFonts w:ascii="宋体"/>
                <w:color w:val="auto"/>
                <w:sz w:val="22"/>
                <w:szCs w:val="22"/>
              </w:rPr>
            </w:pPr>
            <w:r>
              <w:rPr>
                <w:rFonts w:hint="eastAsia" w:ascii="宋体"/>
                <w:color w:val="auto"/>
                <w:sz w:val="22"/>
                <w:szCs w:val="22"/>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jc w:val="left"/>
              <w:rPr>
                <w:rFonts w:hint="eastAsia" w:ascii="宋体"/>
                <w:color w:val="auto"/>
                <w:sz w:val="22"/>
                <w:szCs w:val="22"/>
              </w:rPr>
            </w:pPr>
            <w:r>
              <w:rPr>
                <w:rFonts w:hint="eastAsia" w:ascii="宋体"/>
                <w:color w:val="auto"/>
                <w:sz w:val="22"/>
                <w:szCs w:val="22"/>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jc w:val="left"/>
              <w:rPr>
                <w:rFonts w:ascii="宋体"/>
                <w:color w:val="auto"/>
                <w:sz w:val="22"/>
                <w:szCs w:val="22"/>
              </w:rPr>
            </w:pPr>
            <w:r>
              <w:rPr>
                <w:rFonts w:hint="eastAsia" w:ascii="宋体"/>
                <w:color w:val="auto"/>
                <w:sz w:val="22"/>
                <w:szCs w:val="22"/>
              </w:rPr>
              <w:t>（三）本项目不允许联合体投标。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是否接受联合体投标</w:t>
            </w:r>
          </w:p>
        </w:tc>
        <w:tc>
          <w:tcPr>
            <w:tcW w:w="7619" w:type="dxa"/>
            <w:vAlign w:val="center"/>
          </w:tcPr>
          <w:p>
            <w:pPr>
              <w:adjustRightInd w:val="0"/>
              <w:rPr>
                <w:rFonts w:ascii="宋体"/>
                <w:color w:val="auto"/>
                <w:sz w:val="22"/>
                <w:szCs w:val="22"/>
              </w:rPr>
            </w:pPr>
            <w:r>
              <w:rPr>
                <w:rFonts w:ascii="宋体"/>
                <w:color w:val="auto"/>
                <w:sz w:val="22"/>
                <w:szCs w:val="22"/>
              </w:rPr>
              <w:fldChar w:fldCharType="begin"/>
            </w:r>
            <w:r>
              <w:rPr>
                <w:rFonts w:ascii="宋体"/>
                <w:color w:val="auto"/>
                <w:sz w:val="22"/>
                <w:szCs w:val="22"/>
              </w:rPr>
              <w:instrText xml:space="preserve"> eq \o\ac(</w:instrText>
            </w:r>
            <w:r>
              <w:rPr>
                <w:rFonts w:hint="eastAsia" w:ascii="宋体"/>
                <w:color w:val="auto"/>
                <w:sz w:val="22"/>
                <w:szCs w:val="22"/>
              </w:rPr>
              <w:instrText xml:space="preserve">□,</w:instrText>
            </w:r>
            <w:r>
              <w:rPr>
                <w:rFonts w:hint="eastAsia" w:ascii="宋体"/>
                <w:color w:val="auto"/>
                <w:position w:val="2"/>
                <w:sz w:val="15"/>
                <w:szCs w:val="22"/>
              </w:rPr>
              <w:instrText xml:space="preserve">√</w:instrText>
            </w:r>
            <w:r>
              <w:rPr>
                <w:rFonts w:ascii="宋体"/>
                <w:color w:val="auto"/>
                <w:sz w:val="22"/>
                <w:szCs w:val="22"/>
              </w:rPr>
              <w:instrText xml:space="preserve">)</w:instrText>
            </w:r>
            <w:r>
              <w:rPr>
                <w:rFonts w:ascii="宋体"/>
                <w:color w:val="auto"/>
                <w:sz w:val="22"/>
                <w:szCs w:val="22"/>
              </w:rPr>
              <w:fldChar w:fldCharType="end"/>
            </w:r>
            <w:r>
              <w:rPr>
                <w:rFonts w:hint="eastAsia" w:ascii="宋体"/>
                <w:color w:val="auto"/>
                <w:sz w:val="22"/>
                <w:szCs w:val="22"/>
              </w:rPr>
              <w:t>不接受</w:t>
            </w:r>
          </w:p>
          <w:p>
            <w:pPr>
              <w:adjustRightInd w:val="0"/>
              <w:rPr>
                <w:rFonts w:ascii="宋体"/>
                <w:color w:val="auto"/>
                <w:sz w:val="22"/>
                <w:szCs w:val="22"/>
              </w:rPr>
            </w:pPr>
            <w:r>
              <w:rPr>
                <w:rFonts w:hint="eastAsia" w:ascii="MS Gothic" w:hAnsi="MS Gothic" w:cs="MS Gothic"/>
                <w:color w:val="auto"/>
                <w:sz w:val="22"/>
                <w:szCs w:val="22"/>
              </w:rPr>
              <w:t>□</w:t>
            </w:r>
            <w:r>
              <w:rPr>
                <w:rFonts w:hint="eastAsia" w:ascii="宋体"/>
                <w:color w:val="auto"/>
                <w:sz w:val="22"/>
                <w:szCs w:val="22"/>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踏勘现场</w:t>
            </w:r>
          </w:p>
        </w:tc>
        <w:tc>
          <w:tcPr>
            <w:tcW w:w="7619" w:type="dxa"/>
            <w:vAlign w:val="center"/>
          </w:tcPr>
          <w:p>
            <w:pPr>
              <w:adjustRightInd w:val="0"/>
              <w:rPr>
                <w:rFonts w:ascii="宋体"/>
                <w:color w:val="auto"/>
                <w:sz w:val="22"/>
                <w:szCs w:val="22"/>
              </w:rPr>
            </w:pPr>
            <w:r>
              <w:rPr>
                <w:rFonts w:ascii="宋体"/>
                <w:b/>
                <w:bCs/>
                <w:color w:val="auto"/>
                <w:sz w:val="22"/>
                <w:szCs w:val="22"/>
              </w:rPr>
              <w:fldChar w:fldCharType="begin"/>
            </w:r>
            <w:r>
              <w:rPr>
                <w:rFonts w:ascii="宋体"/>
                <w:b/>
                <w:bCs/>
                <w:color w:val="auto"/>
                <w:sz w:val="22"/>
                <w:szCs w:val="22"/>
              </w:rPr>
              <w:instrText xml:space="preserve"> eq \o\ac(</w:instrText>
            </w:r>
            <w:r>
              <w:rPr>
                <w:rFonts w:hint="eastAsia" w:ascii="宋体"/>
                <w:b/>
                <w:bCs/>
                <w:color w:val="auto"/>
                <w:sz w:val="22"/>
                <w:szCs w:val="22"/>
              </w:rPr>
              <w:instrText xml:space="preserve">□,</w:instrText>
            </w:r>
            <w:r>
              <w:rPr>
                <w:rFonts w:hint="eastAsia" w:ascii="宋体"/>
                <w:b/>
                <w:bCs/>
                <w:color w:val="auto"/>
                <w:position w:val="2"/>
                <w:sz w:val="15"/>
                <w:szCs w:val="22"/>
              </w:rPr>
              <w:instrText xml:space="preserve">√</w:instrText>
            </w:r>
            <w:r>
              <w:rPr>
                <w:rFonts w:ascii="宋体"/>
                <w:b/>
                <w:bCs/>
                <w:color w:val="auto"/>
                <w:sz w:val="22"/>
                <w:szCs w:val="22"/>
              </w:rPr>
              <w:instrText xml:space="preserve">)</w:instrText>
            </w:r>
            <w:r>
              <w:rPr>
                <w:rFonts w:ascii="宋体"/>
                <w:b/>
                <w:bCs/>
                <w:color w:val="auto"/>
                <w:sz w:val="22"/>
                <w:szCs w:val="22"/>
              </w:rPr>
              <w:fldChar w:fldCharType="end"/>
            </w:r>
            <w:r>
              <w:rPr>
                <w:rFonts w:hint="eastAsia" w:ascii="宋体"/>
                <w:color w:val="auto"/>
                <w:sz w:val="22"/>
                <w:szCs w:val="22"/>
              </w:rPr>
              <w:t>不组织</w:t>
            </w:r>
          </w:p>
          <w:p>
            <w:pPr>
              <w:adjustRightInd w:val="0"/>
              <w:rPr>
                <w:rFonts w:ascii="宋体"/>
                <w:color w:val="auto"/>
                <w:sz w:val="22"/>
                <w:szCs w:val="22"/>
              </w:rPr>
            </w:pPr>
            <w:r>
              <w:rPr>
                <w:rFonts w:hint="eastAsia" w:ascii="宋体"/>
                <w:color w:val="auto"/>
                <w:sz w:val="22"/>
                <w:szCs w:val="22"/>
              </w:rPr>
              <w:t>□组织</w:t>
            </w:r>
            <w:r>
              <w:rPr>
                <w:rFonts w:ascii="宋体"/>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是否允许递交备选投标方案</w:t>
            </w:r>
          </w:p>
        </w:tc>
        <w:tc>
          <w:tcPr>
            <w:tcW w:w="7619" w:type="dxa"/>
            <w:vAlign w:val="center"/>
          </w:tcPr>
          <w:p>
            <w:pPr>
              <w:adjustRightInd w:val="0"/>
              <w:rPr>
                <w:rFonts w:ascii="宋体"/>
                <w:color w:val="auto"/>
                <w:sz w:val="22"/>
                <w:szCs w:val="22"/>
              </w:rPr>
            </w:pPr>
            <w:r>
              <w:rPr>
                <w:rFonts w:ascii="宋体"/>
                <w:b/>
                <w:bCs/>
                <w:color w:val="auto"/>
                <w:sz w:val="22"/>
                <w:szCs w:val="22"/>
              </w:rPr>
              <w:fldChar w:fldCharType="begin"/>
            </w:r>
            <w:r>
              <w:rPr>
                <w:rFonts w:ascii="宋体"/>
                <w:b/>
                <w:bCs/>
                <w:color w:val="auto"/>
                <w:sz w:val="22"/>
                <w:szCs w:val="22"/>
              </w:rPr>
              <w:instrText xml:space="preserve"> eq \o\ac(</w:instrText>
            </w:r>
            <w:r>
              <w:rPr>
                <w:rFonts w:hint="eastAsia" w:ascii="宋体"/>
                <w:b/>
                <w:bCs/>
                <w:color w:val="auto"/>
                <w:sz w:val="22"/>
                <w:szCs w:val="22"/>
              </w:rPr>
              <w:instrText xml:space="preserve">□</w:instrText>
            </w:r>
            <w:r>
              <w:rPr>
                <w:rFonts w:ascii="宋体"/>
                <w:b/>
                <w:bCs/>
                <w:color w:val="auto"/>
                <w:sz w:val="22"/>
                <w:szCs w:val="22"/>
              </w:rPr>
              <w:instrText xml:space="preserve">,</w:instrText>
            </w:r>
            <w:r>
              <w:rPr>
                <w:rFonts w:hint="eastAsia" w:ascii="宋体"/>
                <w:b/>
                <w:bCs/>
                <w:color w:val="auto"/>
                <w:sz w:val="22"/>
                <w:szCs w:val="22"/>
              </w:rPr>
              <w:instrText xml:space="preserve">√</w:instrText>
            </w:r>
            <w:r>
              <w:rPr>
                <w:rFonts w:ascii="宋体"/>
                <w:b/>
                <w:bCs/>
                <w:color w:val="auto"/>
                <w:sz w:val="22"/>
                <w:szCs w:val="22"/>
              </w:rPr>
              <w:instrText xml:space="preserve">)</w:instrText>
            </w:r>
            <w:r>
              <w:rPr>
                <w:rFonts w:ascii="宋体"/>
                <w:b/>
                <w:bCs/>
                <w:color w:val="auto"/>
                <w:sz w:val="22"/>
                <w:szCs w:val="22"/>
              </w:rPr>
              <w:fldChar w:fldCharType="end"/>
            </w:r>
            <w:r>
              <w:rPr>
                <w:rFonts w:ascii="宋体"/>
                <w:color w:val="auto"/>
                <w:sz w:val="22"/>
                <w:szCs w:val="22"/>
              </w:rPr>
              <w:t xml:space="preserve"> </w:t>
            </w:r>
            <w:r>
              <w:rPr>
                <w:rFonts w:hint="eastAsia" w:ascii="宋体"/>
                <w:color w:val="auto"/>
                <w:sz w:val="22"/>
                <w:szCs w:val="22"/>
              </w:rPr>
              <w:t>不允许</w:t>
            </w:r>
          </w:p>
          <w:p>
            <w:pPr>
              <w:adjustRightInd w:val="0"/>
              <w:rPr>
                <w:rFonts w:ascii="宋体" w:cs="仿宋_GB2312"/>
                <w:color w:val="auto"/>
                <w:sz w:val="22"/>
                <w:szCs w:val="22"/>
              </w:rPr>
            </w:pPr>
            <w:r>
              <w:rPr>
                <w:rFonts w:hint="eastAsia" w:ascii="宋体"/>
                <w:color w:val="auto"/>
                <w:sz w:val="22"/>
                <w:szCs w:val="22"/>
              </w:rPr>
              <w:t>□</w:t>
            </w:r>
            <w:r>
              <w:rPr>
                <w:rFonts w:ascii="宋体"/>
                <w:color w:val="auto"/>
                <w:sz w:val="22"/>
                <w:szCs w:val="22"/>
              </w:rPr>
              <w:t xml:space="preserve"> </w:t>
            </w:r>
            <w:r>
              <w:rPr>
                <w:rFonts w:hint="eastAsia" w:ascii="宋体"/>
                <w:color w:val="auto"/>
                <w:sz w:val="22"/>
                <w:szCs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投标货币</w:t>
            </w:r>
          </w:p>
        </w:tc>
        <w:tc>
          <w:tcPr>
            <w:tcW w:w="7619" w:type="dxa"/>
            <w:vAlign w:val="center"/>
          </w:tcPr>
          <w:p>
            <w:pPr>
              <w:adjustRightInd w:val="0"/>
              <w:rPr>
                <w:rFonts w:ascii="宋体"/>
                <w:color w:val="auto"/>
                <w:sz w:val="22"/>
                <w:szCs w:val="22"/>
              </w:rPr>
            </w:pPr>
            <w:r>
              <w:rPr>
                <w:rFonts w:hint="eastAsia" w:ascii="宋体"/>
                <w:color w:val="auto"/>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投标语言</w:t>
            </w:r>
          </w:p>
        </w:tc>
        <w:tc>
          <w:tcPr>
            <w:tcW w:w="7619" w:type="dxa"/>
            <w:vAlign w:val="center"/>
          </w:tcPr>
          <w:p>
            <w:pPr>
              <w:adjustRightInd w:val="0"/>
              <w:rPr>
                <w:rFonts w:ascii="宋体"/>
                <w:color w:val="auto"/>
                <w:sz w:val="22"/>
                <w:szCs w:val="22"/>
              </w:rPr>
            </w:pPr>
            <w:r>
              <w:rPr>
                <w:rFonts w:hint="eastAsia" w:ascii="宋体"/>
                <w:color w:val="auto"/>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rPr>
                <w:rFonts w:hint="eastAsia" w:ascii="宋体" w:eastAsia="宋体" w:cs="Arial"/>
                <w:color w:val="auto"/>
                <w:sz w:val="22"/>
                <w:szCs w:val="22"/>
                <w:lang w:val="en-US" w:eastAsia="zh-CN"/>
              </w:rPr>
            </w:pPr>
            <w:r>
              <w:rPr>
                <w:rFonts w:hint="eastAsia"/>
                <w:b/>
                <w:bCs/>
                <w:color w:val="auto"/>
                <w:sz w:val="22"/>
                <w:szCs w:val="22"/>
                <w:highlight w:val="none"/>
                <w:lang w:val="zh-CN"/>
              </w:rPr>
              <w:t>投标文件</w:t>
            </w:r>
            <w:r>
              <w:rPr>
                <w:rFonts w:hint="eastAsia"/>
                <w:b/>
                <w:bCs/>
                <w:color w:val="auto"/>
                <w:sz w:val="22"/>
                <w:szCs w:val="22"/>
                <w:highlight w:val="none"/>
                <w:lang w:val="en-US" w:eastAsia="zh-CN"/>
              </w:rPr>
              <w:t>说明</w:t>
            </w:r>
          </w:p>
        </w:tc>
        <w:tc>
          <w:tcPr>
            <w:tcW w:w="7619" w:type="dxa"/>
            <w:vAlign w:val="center"/>
          </w:tcPr>
          <w:p>
            <w:pPr>
              <w:autoSpaceDE w:val="0"/>
              <w:autoSpaceDN w:val="0"/>
              <w:adjustRightInd w:val="0"/>
              <w:jc w:val="lef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☑电子投标文件（包括“</w:t>
            </w:r>
            <w:r>
              <w:rPr>
                <w:rFonts w:hint="eastAsia" w:asciiTheme="majorEastAsia" w:hAnsiTheme="majorEastAsia" w:eastAsiaTheme="majorEastAsia" w:cstheme="majorEastAsia"/>
                <w:color w:val="auto"/>
                <w:sz w:val="22"/>
                <w:szCs w:val="22"/>
                <w:highlight w:val="none"/>
                <w:lang w:bidi="ar"/>
              </w:rPr>
              <w:t>电子加密投标文件”和“备份投标文件”，在投标文件编制完成后同时生成）；</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（1）“电子加密投标文件”是指通过“政采云电子交易客户端”完成投标文件编制后生成并加密的数据电文形式的投标文件。</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（2）“备份投标文件”是指与“电子加密投标文件”同时生成的数据电文形式的电子文件（备份标书），其他方式编制的备份投标文件视为无效备份投标文件。</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b/>
                <w:bCs/>
                <w:color w:val="auto"/>
                <w:sz w:val="22"/>
                <w:szCs w:val="22"/>
                <w:highlight w:val="none"/>
                <w:lang w:bidi="ar"/>
              </w:rPr>
              <w:t>5、投标文件份数：</w:t>
            </w:r>
            <w:r>
              <w:rPr>
                <w:rFonts w:hint="eastAsia" w:asciiTheme="majorEastAsia" w:hAnsiTheme="majorEastAsia" w:eastAsiaTheme="majorEastAsia" w:cstheme="majorEastAsia"/>
                <w:color w:val="auto"/>
                <w:sz w:val="22"/>
                <w:szCs w:val="22"/>
                <w:highlight w:val="none"/>
                <w:lang w:bidi="ar"/>
              </w:rPr>
              <w:t>（1）“电子加密投标文件”：在线上传递交。（2）“备份投标文件”：密封包装后投标截止时间前递交、一份</w:t>
            </w:r>
          </w:p>
          <w:p>
            <w:pPr>
              <w:rPr>
                <w:rFonts w:asciiTheme="majorEastAsia" w:hAnsiTheme="majorEastAsia" w:eastAsiaTheme="majorEastAsia" w:cstheme="majorEastAsia"/>
                <w:b/>
                <w:bCs/>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6、</w:t>
            </w:r>
            <w:r>
              <w:rPr>
                <w:rFonts w:hint="eastAsia" w:asciiTheme="majorEastAsia" w:hAnsiTheme="majorEastAsia" w:eastAsiaTheme="majorEastAsia" w:cstheme="majorEastAsia"/>
                <w:b/>
                <w:bCs/>
                <w:color w:val="auto"/>
                <w:sz w:val="22"/>
                <w:szCs w:val="22"/>
                <w:highlight w:val="none"/>
                <w:lang w:bidi="ar"/>
              </w:rPr>
              <w:t>投标文件的上传和递交：</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（1）“电子加密投标文件”的上传、递交：</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a.供应商应在投标截止时间前将“电子加密投标文件”成功上传递交至“政府采购云平台”，否则投标无效。</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b.“电子加密投标文件”成功上传递交后，供应商可自行打印投标文件接收回执。</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（2）“备份投标文件”的密封包装、递交：</w:t>
            </w:r>
          </w:p>
          <w:p>
            <w:pPr>
              <w:autoSpaceDE w:val="0"/>
              <w:autoSpaceDN w:val="0"/>
              <w:adjustRightInd w:val="0"/>
              <w:jc w:val="left"/>
              <w:rPr>
                <w:rFonts w:hint="eastAsia" w:asciiTheme="majorEastAsia" w:hAnsiTheme="majorEastAsia" w:eastAsiaTheme="majorEastAsia" w:cstheme="majorEastAsia"/>
                <w:color w:val="auto"/>
                <w:sz w:val="22"/>
                <w:szCs w:val="22"/>
                <w:highlight w:val="none"/>
                <w:lang w:eastAsia="zh-CN" w:bidi="ar"/>
              </w:rPr>
            </w:pPr>
            <w:r>
              <w:rPr>
                <w:rFonts w:hint="eastAsia" w:asciiTheme="majorEastAsia" w:hAnsiTheme="majorEastAsia" w:eastAsiaTheme="majorEastAsia" w:cstheme="majorEastAsia"/>
                <w:color w:val="auto"/>
                <w:sz w:val="22"/>
                <w:szCs w:val="22"/>
                <w:highlight w:val="none"/>
                <w:lang w:bidi="ar"/>
              </w:rPr>
              <w:t>a.供应商在“政府采购云平台”完成“电子加密投标文件”的上传递交后， 投标供应商如需递交“备份投标文件”的，应在投标截止时间前递交一份以介质（U盘）存储的“备份投标文件”到</w:t>
            </w:r>
            <w:r>
              <w:rPr>
                <w:rFonts w:hint="eastAsia" w:asciiTheme="majorEastAsia" w:hAnsiTheme="majorEastAsia" w:eastAsiaTheme="majorEastAsia" w:cstheme="majorEastAsia"/>
                <w:color w:val="auto"/>
                <w:sz w:val="22"/>
                <w:szCs w:val="22"/>
                <w:highlight w:val="none"/>
                <w:lang w:val="en-US" w:eastAsia="zh-CN" w:bidi="ar"/>
              </w:rPr>
              <w:t>招标代理机构处</w:t>
            </w:r>
            <w:r>
              <w:rPr>
                <w:rFonts w:hint="eastAsia" w:asciiTheme="majorEastAsia" w:hAnsiTheme="majorEastAsia" w:eastAsiaTheme="majorEastAsia" w:cstheme="majorEastAsia"/>
                <w:color w:val="auto"/>
                <w:sz w:val="22"/>
                <w:szCs w:val="22"/>
                <w:highlight w:val="none"/>
                <w:lang w:bidi="ar"/>
              </w:rPr>
              <w:t>，并应遵守疫情防控期间开展公共资源交易活动有关事项的的相关规定</w:t>
            </w:r>
            <w:r>
              <w:rPr>
                <w:rFonts w:hint="eastAsia" w:asciiTheme="majorEastAsia" w:hAnsiTheme="majorEastAsia" w:eastAsiaTheme="majorEastAsia" w:cstheme="majorEastAsia"/>
                <w:color w:val="auto"/>
                <w:sz w:val="22"/>
                <w:szCs w:val="22"/>
                <w:highlight w:val="none"/>
                <w:lang w:eastAsia="zh-CN" w:bidi="ar"/>
              </w:rPr>
              <w:t>。</w:t>
            </w:r>
          </w:p>
          <w:p>
            <w:pPr>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rPr>
                <w:rFonts w:asciiTheme="majorEastAsia" w:hAnsiTheme="majorEastAsia" w:eastAsiaTheme="majorEastAsia" w:cstheme="majorEastAsia"/>
                <w:b/>
                <w:bCs/>
                <w:color w:val="auto"/>
                <w:sz w:val="22"/>
                <w:szCs w:val="22"/>
                <w:highlight w:val="none"/>
                <w:lang w:bidi="ar"/>
              </w:rPr>
            </w:pPr>
            <w:r>
              <w:rPr>
                <w:rFonts w:hint="eastAsia" w:asciiTheme="majorEastAsia" w:hAnsiTheme="majorEastAsia" w:eastAsiaTheme="majorEastAsia" w:cstheme="majorEastAsia"/>
                <w:b/>
                <w:bCs/>
                <w:color w:val="auto"/>
                <w:sz w:val="22"/>
                <w:szCs w:val="22"/>
                <w:highlight w:val="none"/>
                <w:lang w:bidi="ar"/>
              </w:rPr>
              <w:t>7、电子加密投标文件的解密和异常情况处理：</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（1）开标后，采购组织机构将向各供应商发出“电子加密投标文件”的解密通知，各供应商代表应当在接到解密通知后</w:t>
            </w:r>
            <w:r>
              <w:rPr>
                <w:rFonts w:hint="eastAsia" w:asciiTheme="majorEastAsia" w:hAnsiTheme="majorEastAsia" w:eastAsiaTheme="majorEastAsia" w:cstheme="majorEastAsia"/>
                <w:color w:val="auto"/>
                <w:sz w:val="22"/>
                <w:szCs w:val="22"/>
                <w:highlight w:val="none"/>
                <w:lang w:eastAsia="zh-CN" w:bidi="ar"/>
              </w:rPr>
              <w:t>30分钟</w:t>
            </w:r>
            <w:r>
              <w:rPr>
                <w:rFonts w:hint="eastAsia" w:asciiTheme="majorEastAsia" w:hAnsiTheme="majorEastAsia" w:eastAsiaTheme="majorEastAsia" w:cstheme="majorEastAsia"/>
                <w:color w:val="auto"/>
                <w:sz w:val="22"/>
                <w:szCs w:val="22"/>
                <w:highlight w:val="none"/>
                <w:lang w:bidi="ar"/>
              </w:rPr>
              <w:t>内自行完成“电子加密投标文件”的在线解密。</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adjustRightInd w:val="0"/>
              <w:jc w:val="left"/>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（3）投标截止时间前，供应商仅递交了“备份投标文件”而未将电子加密投标文件上传至“政府采购云平台”的，投标无效。</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（4）投标截止后，在投标有效期内，供应商不能撤销投标文件。</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8、投标截止后，在投标有效期内，供应商不能撤销投标文件</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9、中标后，供应商拒绝签订合同的，采购人可以按照评审报告推荐的中标候选人名单排序，确定下一候选人为中标供应商，也可以重新开展政府采购活动。</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10、存在下列行为的，招标代理机构将其失信行为上报政府采购主管部门，由主管部门按有关规定对其违法失信行为记录进行公开：</w:t>
            </w:r>
          </w:p>
          <w:p>
            <w:pPr>
              <w:snapToGrid w:val="0"/>
              <w:rPr>
                <w:rFonts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（1）中标或者成交后，拒绝签订政府采购合同的；</w:t>
            </w:r>
          </w:p>
          <w:p>
            <w:pPr>
              <w:rPr>
                <w:color w:val="auto"/>
                <w:sz w:val="22"/>
                <w:szCs w:val="22"/>
              </w:rPr>
            </w:pPr>
            <w:r>
              <w:rPr>
                <w:rFonts w:hint="eastAsia" w:asciiTheme="majorEastAsia" w:hAnsiTheme="majorEastAsia" w:eastAsiaTheme="majorEastAsia" w:cstheme="majorEastAsia"/>
                <w:color w:val="auto"/>
                <w:sz w:val="22"/>
                <w:szCs w:val="22"/>
                <w:highlight w:val="none"/>
                <w:lang w:bidi="ar"/>
              </w:rPr>
              <w:t>（2）投标有效期内撤销投标文件的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投标样品</w:t>
            </w:r>
          </w:p>
        </w:tc>
        <w:tc>
          <w:tcPr>
            <w:tcW w:w="7619" w:type="dxa"/>
            <w:vAlign w:val="center"/>
          </w:tcPr>
          <w:p>
            <w:pPr>
              <w:adjustRightInd w:val="0"/>
              <w:rPr>
                <w:rFonts w:ascii="宋体"/>
                <w:color w:val="auto"/>
                <w:sz w:val="22"/>
                <w:szCs w:val="22"/>
              </w:rPr>
            </w:pPr>
            <w:r>
              <w:rPr>
                <w:rFonts w:ascii="宋体"/>
                <w:color w:val="auto"/>
                <w:sz w:val="22"/>
                <w:szCs w:val="22"/>
              </w:rPr>
              <w:fldChar w:fldCharType="begin"/>
            </w:r>
            <w:r>
              <w:rPr>
                <w:rFonts w:ascii="宋体"/>
                <w:color w:val="auto"/>
                <w:sz w:val="22"/>
                <w:szCs w:val="22"/>
              </w:rPr>
              <w:instrText xml:space="preserve"> eq \o\ac(</w:instrText>
            </w:r>
            <w:r>
              <w:rPr>
                <w:rFonts w:hint="eastAsia" w:ascii="宋体"/>
                <w:color w:val="auto"/>
                <w:sz w:val="22"/>
                <w:szCs w:val="22"/>
              </w:rPr>
              <w:instrText xml:space="preserve">□</w:instrText>
            </w:r>
            <w:r>
              <w:rPr>
                <w:rFonts w:ascii="宋体"/>
                <w:color w:val="auto"/>
                <w:sz w:val="22"/>
                <w:szCs w:val="22"/>
              </w:rPr>
              <w:instrText xml:space="preserve">,</w:instrText>
            </w:r>
            <w:r>
              <w:rPr>
                <w:rFonts w:hint="eastAsia" w:ascii="宋体"/>
                <w:color w:val="auto"/>
                <w:position w:val="2"/>
                <w:sz w:val="15"/>
                <w:szCs w:val="22"/>
              </w:rPr>
              <w:instrText xml:space="preserve">√</w:instrText>
            </w:r>
            <w:r>
              <w:rPr>
                <w:rFonts w:ascii="宋体"/>
                <w:color w:val="auto"/>
                <w:sz w:val="22"/>
                <w:szCs w:val="22"/>
              </w:rPr>
              <w:instrText xml:space="preserve">)</w:instrText>
            </w:r>
            <w:r>
              <w:rPr>
                <w:rFonts w:ascii="宋体"/>
                <w:color w:val="auto"/>
                <w:sz w:val="22"/>
                <w:szCs w:val="22"/>
              </w:rPr>
              <w:fldChar w:fldCharType="end"/>
            </w:r>
            <w:r>
              <w:rPr>
                <w:rFonts w:hint="eastAsia" w:ascii="宋体"/>
                <w:color w:val="auto"/>
                <w:sz w:val="22"/>
                <w:szCs w:val="22"/>
              </w:rPr>
              <w:t>不需要</w:t>
            </w:r>
          </w:p>
          <w:p>
            <w:pPr>
              <w:adjustRightInd w:val="0"/>
              <w:rPr>
                <w:rFonts w:ascii="宋体"/>
                <w:color w:val="auto"/>
                <w:sz w:val="22"/>
                <w:szCs w:val="22"/>
              </w:rPr>
            </w:pPr>
            <w:r>
              <w:rPr>
                <w:rFonts w:hint="eastAsia" w:ascii="宋体"/>
                <w:color w:val="auto"/>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投标保证金</w:t>
            </w:r>
          </w:p>
        </w:tc>
        <w:tc>
          <w:tcPr>
            <w:tcW w:w="7619" w:type="dxa"/>
            <w:vAlign w:val="center"/>
          </w:tcPr>
          <w:p>
            <w:pPr>
              <w:widowControl/>
              <w:jc w:val="left"/>
              <w:rPr>
                <w:rFonts w:ascii="Arial" w:hAnsi="Arial" w:cs="Arial"/>
                <w:color w:val="auto"/>
                <w:sz w:val="22"/>
                <w:szCs w:val="22"/>
              </w:rPr>
            </w:pPr>
            <w:r>
              <w:rPr>
                <w:rFonts w:hint="eastAsia" w:ascii="Arial" w:hAnsi="Arial" w:cs="Arial"/>
                <w:color w:val="auto"/>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jc w:val="center"/>
              <w:rPr>
                <w:rFonts w:ascii="宋体"/>
                <w:color w:val="auto"/>
                <w:sz w:val="22"/>
                <w:szCs w:val="22"/>
              </w:rPr>
            </w:pPr>
            <w:r>
              <w:rPr>
                <w:rFonts w:hint="eastAsia" w:ascii="宋体"/>
                <w:color w:val="auto"/>
                <w:sz w:val="22"/>
                <w:szCs w:val="22"/>
              </w:rPr>
              <w:t>履约担保</w:t>
            </w:r>
          </w:p>
        </w:tc>
        <w:tc>
          <w:tcPr>
            <w:tcW w:w="7619" w:type="dxa"/>
            <w:vAlign w:val="center"/>
          </w:tcPr>
          <w:p>
            <w:pPr>
              <w:snapToGrid w:val="0"/>
              <w:rPr>
                <w:rFonts w:hint="eastAsia"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□不需要</w:t>
            </w:r>
          </w:p>
          <w:p>
            <w:pPr>
              <w:snapToGrid w:val="0"/>
              <w:rPr>
                <w:rFonts w:hint="eastAsia"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fldChar w:fldCharType="begin"/>
            </w:r>
            <w:r>
              <w:rPr>
                <w:rFonts w:hint="eastAsia" w:asciiTheme="majorEastAsia" w:hAnsiTheme="majorEastAsia" w:eastAsiaTheme="majorEastAsia" w:cstheme="majorEastAsia"/>
                <w:color w:val="auto"/>
                <w:sz w:val="22"/>
                <w:szCs w:val="22"/>
                <w:highlight w:val="none"/>
                <w:lang w:bidi="ar"/>
              </w:rPr>
              <w:instrText xml:space="preserve"> eq \o\ac(□,√)</w:instrText>
            </w:r>
            <w:r>
              <w:rPr>
                <w:rFonts w:hint="eastAsia" w:asciiTheme="majorEastAsia" w:hAnsiTheme="majorEastAsia" w:eastAsiaTheme="majorEastAsia" w:cstheme="majorEastAsia"/>
                <w:color w:val="auto"/>
                <w:sz w:val="22"/>
                <w:szCs w:val="22"/>
                <w:highlight w:val="none"/>
                <w:lang w:bidi="ar"/>
              </w:rPr>
              <w:fldChar w:fldCharType="end"/>
            </w:r>
            <w:r>
              <w:rPr>
                <w:rFonts w:hint="eastAsia" w:asciiTheme="majorEastAsia" w:hAnsiTheme="majorEastAsia" w:eastAsiaTheme="majorEastAsia" w:cstheme="majorEastAsia"/>
                <w:color w:val="auto"/>
                <w:sz w:val="22"/>
                <w:szCs w:val="22"/>
                <w:highlight w:val="none"/>
                <w:lang w:bidi="ar"/>
              </w:rPr>
              <w:t>需要 。合同签订前</w:t>
            </w:r>
            <w:r>
              <w:rPr>
                <w:rFonts w:hint="eastAsia" w:asciiTheme="majorEastAsia" w:hAnsiTheme="majorEastAsia" w:eastAsiaTheme="majorEastAsia" w:cstheme="majorEastAsia"/>
                <w:color w:val="auto"/>
                <w:sz w:val="22"/>
                <w:szCs w:val="22"/>
                <w:highlight w:val="none"/>
                <w:lang w:eastAsia="zh-CN" w:bidi="ar"/>
              </w:rPr>
              <w:t>，</w:t>
            </w:r>
            <w:r>
              <w:rPr>
                <w:rFonts w:hint="eastAsia" w:asciiTheme="majorEastAsia" w:hAnsiTheme="majorEastAsia" w:eastAsiaTheme="majorEastAsia" w:cstheme="majorEastAsia"/>
                <w:color w:val="auto"/>
                <w:sz w:val="22"/>
                <w:szCs w:val="22"/>
                <w:highlight w:val="none"/>
                <w:lang w:bidi="ar"/>
              </w:rPr>
              <w:t>中标方应提供合同总金额5%的履约保证金至采购人指定账户。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招标文件获取方式</w:t>
            </w:r>
          </w:p>
        </w:tc>
        <w:tc>
          <w:tcPr>
            <w:tcW w:w="7619" w:type="dxa"/>
            <w:vAlign w:val="center"/>
          </w:tcPr>
          <w:p>
            <w:pPr>
              <w:snapToGrid w:val="0"/>
              <w:rPr>
                <w:rFonts w:hint="eastAsia"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登录浙江省政府采购网（网址：</w:t>
            </w:r>
            <w:r>
              <w:rPr>
                <w:rFonts w:hint="eastAsia" w:asciiTheme="majorEastAsia" w:hAnsiTheme="majorEastAsia" w:eastAsiaTheme="majorEastAsia" w:cstheme="majorEastAsia"/>
                <w:color w:val="auto"/>
                <w:sz w:val="22"/>
                <w:szCs w:val="22"/>
                <w:highlight w:val="none"/>
                <w:lang w:bidi="ar"/>
              </w:rPr>
              <w:fldChar w:fldCharType="begin"/>
            </w:r>
            <w:r>
              <w:rPr>
                <w:rFonts w:hint="eastAsia" w:asciiTheme="majorEastAsia" w:hAnsiTheme="majorEastAsia" w:eastAsiaTheme="majorEastAsia" w:cstheme="majorEastAsia"/>
                <w:color w:val="auto"/>
                <w:sz w:val="22"/>
                <w:szCs w:val="22"/>
                <w:highlight w:val="none"/>
                <w:lang w:bidi="ar"/>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highlight w:val="none"/>
                <w:lang w:bidi="ar"/>
              </w:rPr>
              <w:fldChar w:fldCharType="separate"/>
            </w:r>
            <w:r>
              <w:rPr>
                <w:rFonts w:hint="eastAsia" w:asciiTheme="majorEastAsia" w:hAnsiTheme="majorEastAsia" w:eastAsiaTheme="majorEastAsia" w:cstheme="majorEastAsia"/>
                <w:color w:val="auto"/>
                <w:sz w:val="22"/>
                <w:szCs w:val="22"/>
                <w:highlight w:val="none"/>
                <w:lang w:bidi="ar"/>
              </w:rPr>
              <w:t>http://www.zjzfcg.gov.cn）查找本项目并获取采购文件</w:t>
            </w:r>
            <w:r>
              <w:rPr>
                <w:rFonts w:hint="eastAsia" w:asciiTheme="majorEastAsia" w:hAnsiTheme="majorEastAsia" w:eastAsiaTheme="majorEastAsia" w:cstheme="majorEastAsia"/>
                <w:color w:val="auto"/>
                <w:sz w:val="22"/>
                <w:szCs w:val="22"/>
                <w:highlight w:val="none"/>
                <w:lang w:val="en-US" w:eastAsia="zh-CN" w:bidi="ar"/>
              </w:rPr>
              <w:t>。</w:t>
            </w:r>
            <w:r>
              <w:rPr>
                <w:rFonts w:hint="eastAsia" w:asciiTheme="majorEastAsia" w:hAnsiTheme="majorEastAsia" w:eastAsiaTheme="majorEastAsia" w:cstheme="majorEastAsia"/>
                <w:color w:val="auto"/>
                <w:sz w:val="22"/>
                <w:szCs w:val="22"/>
                <w:highlight w:val="none"/>
                <w:lang w:val="en-US" w:eastAsia="zh-CN" w:bidi="ar"/>
              </w:rPr>
              <w:br w:type="textWrapping"/>
            </w:r>
            <w:r>
              <w:rPr>
                <w:rFonts w:hint="eastAsia" w:asciiTheme="majorEastAsia" w:hAnsiTheme="majorEastAsia" w:eastAsiaTheme="majorEastAsia" w:cstheme="majorEastAsia"/>
                <w:color w:val="auto"/>
                <w:sz w:val="22"/>
                <w:szCs w:val="22"/>
                <w:highlight w:val="none"/>
                <w:lang w:bidi="ar"/>
              </w:rPr>
              <w:fldChar w:fldCharType="end"/>
            </w:r>
            <w:r>
              <w:rPr>
                <w:rFonts w:hint="eastAsia" w:asciiTheme="majorEastAsia" w:hAnsiTheme="majorEastAsia" w:eastAsiaTheme="majorEastAsia" w:cstheme="majorEastAsia"/>
                <w:color w:val="auto"/>
                <w:sz w:val="22"/>
                <w:szCs w:val="22"/>
                <w:highlight w:val="none"/>
                <w:lang w:bidi="ar"/>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投标截止时间</w:t>
            </w:r>
          </w:p>
        </w:tc>
        <w:tc>
          <w:tcPr>
            <w:tcW w:w="7619" w:type="dxa"/>
            <w:vAlign w:val="center"/>
          </w:tcPr>
          <w:p>
            <w:pPr>
              <w:rPr>
                <w:rFonts w:ascii="宋体" w:cs="Arial"/>
                <w:color w:val="auto"/>
                <w:sz w:val="22"/>
                <w:szCs w:val="22"/>
              </w:rPr>
            </w:pPr>
            <w:r>
              <w:rPr>
                <w:rFonts w:hint="eastAsia" w:hAnsi="宋体" w:eastAsia="新宋体"/>
                <w:b/>
                <w:color w:val="auto"/>
                <w:sz w:val="22"/>
                <w:szCs w:val="22"/>
                <w:lang w:eastAsia="zh-CN"/>
              </w:rPr>
              <w:t>2020年5月20日下午15:00 时</w:t>
            </w:r>
            <w:r>
              <w:rPr>
                <w:rFonts w:hint="eastAsia" w:ascii="新宋体" w:hAnsi="新宋体" w:eastAsia="新宋体"/>
                <w:color w:val="auto"/>
                <w:sz w:val="22"/>
                <w:szCs w:val="22"/>
              </w:rPr>
              <w:t>截</w:t>
            </w:r>
            <w:r>
              <w:rPr>
                <w:rFonts w:hint="eastAsia" w:ascii="宋体" w:cs="Arial"/>
                <w:color w:val="auto"/>
                <w:sz w:val="22"/>
                <w:szCs w:val="22"/>
              </w:rPr>
              <w:t>止</w:t>
            </w:r>
            <w:r>
              <w:rPr>
                <w:rFonts w:ascii="宋体" w:cs="Arial"/>
                <w:color w:val="auto"/>
                <w:sz w:val="22"/>
                <w:szCs w:val="22"/>
              </w:rPr>
              <w:t>(</w:t>
            </w:r>
            <w:r>
              <w:rPr>
                <w:rFonts w:hint="eastAsia" w:ascii="宋体" w:cs="Arial"/>
                <w:color w:val="auto"/>
                <w:sz w:val="22"/>
                <w:szCs w:val="22"/>
              </w:rPr>
              <w:t>北京时间</w:t>
            </w:r>
            <w:r>
              <w:rPr>
                <w:rFonts w:ascii="宋体" w:cs="Arial"/>
                <w:color w:val="auto"/>
                <w:sz w:val="22"/>
                <w:szCs w:val="22"/>
              </w:rPr>
              <w:t>)</w:t>
            </w:r>
            <w:r>
              <w:rPr>
                <w:rFonts w:hint="eastAsia" w:ascii="宋体" w:cs="Arial"/>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olor w:val="auto"/>
                <w:sz w:val="22"/>
                <w:szCs w:val="22"/>
              </w:rPr>
              <w:t>投标文件递交地点</w:t>
            </w:r>
          </w:p>
        </w:tc>
        <w:tc>
          <w:tcPr>
            <w:tcW w:w="7619" w:type="dxa"/>
            <w:vAlign w:val="center"/>
          </w:tcPr>
          <w:p>
            <w:pPr>
              <w:rPr>
                <w:rFonts w:ascii="宋体" w:cs="Arial"/>
                <w:color w:val="auto"/>
                <w:sz w:val="22"/>
                <w:szCs w:val="22"/>
              </w:rPr>
            </w:pPr>
            <w:r>
              <w:rPr>
                <w:rFonts w:hint="eastAsia" w:hAnsi="宋体"/>
                <w:color w:val="auto"/>
                <w:sz w:val="22"/>
                <w:szCs w:val="22"/>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开标时间</w:t>
            </w:r>
          </w:p>
          <w:p>
            <w:pPr>
              <w:jc w:val="center"/>
              <w:rPr>
                <w:rFonts w:ascii="宋体" w:cs="Arial"/>
                <w:color w:val="auto"/>
                <w:sz w:val="22"/>
                <w:szCs w:val="22"/>
              </w:rPr>
            </w:pPr>
            <w:r>
              <w:rPr>
                <w:rFonts w:hint="eastAsia" w:ascii="宋体" w:cs="Arial"/>
                <w:color w:val="auto"/>
                <w:sz w:val="22"/>
                <w:szCs w:val="22"/>
              </w:rPr>
              <w:t>开标地点</w:t>
            </w:r>
          </w:p>
        </w:tc>
        <w:tc>
          <w:tcPr>
            <w:tcW w:w="7619" w:type="dxa"/>
            <w:vAlign w:val="center"/>
          </w:tcPr>
          <w:p>
            <w:pPr>
              <w:rPr>
                <w:rFonts w:ascii="宋体" w:cs="Arial"/>
                <w:color w:val="auto"/>
                <w:sz w:val="22"/>
                <w:szCs w:val="22"/>
              </w:rPr>
            </w:pPr>
            <w:r>
              <w:rPr>
                <w:rFonts w:hint="eastAsia" w:ascii="宋体" w:cs="Arial"/>
                <w:color w:val="auto"/>
                <w:sz w:val="22"/>
                <w:szCs w:val="22"/>
              </w:rPr>
              <w:t>开标时间：</w:t>
            </w:r>
            <w:r>
              <w:rPr>
                <w:rFonts w:hint="eastAsia" w:hAnsi="宋体"/>
                <w:b/>
                <w:color w:val="auto"/>
                <w:sz w:val="22"/>
                <w:szCs w:val="22"/>
                <w:lang w:eastAsia="zh-CN"/>
              </w:rPr>
              <w:t>2020年5月20日下午15:00 时</w:t>
            </w:r>
            <w:r>
              <w:rPr>
                <w:rFonts w:ascii="宋体" w:cs="Arial"/>
                <w:color w:val="auto"/>
                <w:sz w:val="22"/>
                <w:szCs w:val="22"/>
              </w:rPr>
              <w:t>(</w:t>
            </w:r>
            <w:r>
              <w:rPr>
                <w:rFonts w:hint="eastAsia" w:ascii="宋体" w:cs="Arial"/>
                <w:color w:val="auto"/>
                <w:sz w:val="22"/>
                <w:szCs w:val="22"/>
              </w:rPr>
              <w:t>北京时间</w:t>
            </w:r>
            <w:r>
              <w:rPr>
                <w:rFonts w:ascii="宋体" w:cs="Arial"/>
                <w:color w:val="auto"/>
                <w:sz w:val="22"/>
                <w:szCs w:val="22"/>
              </w:rPr>
              <w:t>)</w:t>
            </w:r>
          </w:p>
          <w:p>
            <w:pPr>
              <w:rPr>
                <w:rFonts w:ascii="宋体"/>
                <w:color w:val="auto"/>
                <w:sz w:val="22"/>
                <w:szCs w:val="22"/>
              </w:rPr>
            </w:pPr>
            <w:r>
              <w:rPr>
                <w:rFonts w:hint="eastAsia" w:ascii="宋体"/>
                <w:color w:val="auto"/>
                <w:sz w:val="22"/>
                <w:szCs w:val="22"/>
              </w:rPr>
              <w:t>开标地点：</w:t>
            </w:r>
            <w:r>
              <w:rPr>
                <w:rFonts w:hint="eastAsia" w:hAnsi="宋体"/>
                <w:color w:val="auto"/>
                <w:sz w:val="22"/>
                <w:szCs w:val="22"/>
              </w:rPr>
              <w:t>泰顺县行政审批服务中心一楼</w:t>
            </w:r>
            <w:r>
              <w:rPr>
                <w:rFonts w:hint="eastAsia" w:hAnsi="宋体"/>
                <w:bCs/>
                <w:color w:val="auto"/>
                <w:sz w:val="22"/>
                <w:szCs w:val="22"/>
              </w:rPr>
              <w:t>开标室</w:t>
            </w:r>
            <w:r>
              <w:rPr>
                <w:rFonts w:hint="eastAsia" w:hAnsi="宋体"/>
                <w:bCs/>
                <w:color w:val="auto"/>
                <w:sz w:val="22"/>
                <w:szCs w:val="22"/>
                <w:lang w:eastAsia="zh-CN"/>
              </w:rPr>
              <w:t>（</w:t>
            </w:r>
            <w:r>
              <w:rPr>
                <w:rFonts w:hint="eastAsia" w:hAnsi="宋体"/>
                <w:bCs/>
                <w:color w:val="auto"/>
                <w:sz w:val="22"/>
                <w:szCs w:val="22"/>
                <w:lang w:val="en-US" w:eastAsia="zh-CN"/>
              </w:rPr>
              <w:t>温州市泰顺县罗阳镇新城大道117号</w:t>
            </w:r>
            <w:r>
              <w:rPr>
                <w:rFonts w:hint="eastAsia" w:hAnsi="宋体"/>
                <w:bCs/>
                <w:color w:val="auto"/>
                <w:sz w:val="22"/>
                <w:szCs w:val="22"/>
                <w:lang w:eastAsia="zh-CN"/>
              </w:rPr>
              <w:t>）</w:t>
            </w:r>
            <w:r>
              <w:rPr>
                <w:rFonts w:hint="eastAsia" w:hAnsi="宋体"/>
                <w:color w:val="auto"/>
                <w:sz w:val="22"/>
                <w:szCs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评审委员会的</w:t>
            </w:r>
          </w:p>
          <w:p>
            <w:pPr>
              <w:jc w:val="center"/>
              <w:rPr>
                <w:rFonts w:ascii="宋体" w:cs="Arial"/>
                <w:color w:val="auto"/>
                <w:sz w:val="22"/>
                <w:szCs w:val="22"/>
              </w:rPr>
            </w:pPr>
            <w:r>
              <w:rPr>
                <w:rFonts w:hint="eastAsia" w:ascii="宋体" w:cs="Arial"/>
                <w:color w:val="auto"/>
                <w:sz w:val="22"/>
                <w:szCs w:val="22"/>
              </w:rPr>
              <w:t>组建</w:t>
            </w:r>
          </w:p>
        </w:tc>
        <w:tc>
          <w:tcPr>
            <w:tcW w:w="7619" w:type="dxa"/>
            <w:vAlign w:val="center"/>
          </w:tcPr>
          <w:p>
            <w:pPr>
              <w:rPr>
                <w:rFonts w:ascii="宋体" w:cs="Arial"/>
                <w:color w:val="auto"/>
                <w:sz w:val="22"/>
                <w:szCs w:val="22"/>
              </w:rPr>
            </w:pPr>
            <w:r>
              <w:rPr>
                <w:rFonts w:hint="eastAsia" w:ascii="宋体" w:cs="Arial"/>
                <w:color w:val="auto"/>
                <w:sz w:val="22"/>
                <w:szCs w:val="22"/>
              </w:rPr>
              <w:t>评审委员会构成：</w:t>
            </w:r>
            <w:r>
              <w:rPr>
                <w:rFonts w:ascii="宋体" w:cs="Arial"/>
                <w:color w:val="auto"/>
                <w:sz w:val="22"/>
                <w:szCs w:val="22"/>
              </w:rPr>
              <w:t xml:space="preserve"> </w:t>
            </w:r>
            <w:r>
              <w:rPr>
                <w:rFonts w:hint="eastAsia" w:ascii="宋体" w:cs="Arial"/>
                <w:color w:val="auto"/>
                <w:sz w:val="22"/>
                <w:szCs w:val="22"/>
              </w:rPr>
              <w:t>由采购人代表以及有关技术、经济等方面的专家组成，成员为5人及以上单数，其中技术、经济类专家不得少于总人数的</w:t>
            </w:r>
            <w:r>
              <w:rPr>
                <w:rFonts w:ascii="宋体" w:cs="Arial"/>
                <w:color w:val="auto"/>
                <w:sz w:val="22"/>
                <w:szCs w:val="22"/>
              </w:rPr>
              <w:t>2/3</w:t>
            </w:r>
            <w:r>
              <w:rPr>
                <w:rFonts w:hint="eastAsia" w:ascii="宋体" w:cs="Arial"/>
                <w:color w:val="auto"/>
                <w:sz w:val="22"/>
                <w:szCs w:val="22"/>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jc w:val="center"/>
              <w:rPr>
                <w:rFonts w:ascii="宋体"/>
                <w:color w:val="auto"/>
                <w:sz w:val="22"/>
                <w:szCs w:val="22"/>
              </w:rPr>
            </w:pPr>
            <w:r>
              <w:rPr>
                <w:rFonts w:hint="eastAsia" w:ascii="宋体"/>
                <w:color w:val="auto"/>
                <w:sz w:val="22"/>
                <w:szCs w:val="22"/>
              </w:rPr>
              <w:t>政府采购</w:t>
            </w:r>
          </w:p>
          <w:p>
            <w:pPr>
              <w:adjustRightInd w:val="0"/>
              <w:jc w:val="center"/>
              <w:rPr>
                <w:rFonts w:ascii="宋体"/>
                <w:color w:val="auto"/>
                <w:sz w:val="22"/>
                <w:szCs w:val="22"/>
              </w:rPr>
            </w:pPr>
            <w:r>
              <w:rPr>
                <w:rFonts w:hint="eastAsia" w:ascii="宋体"/>
                <w:color w:val="auto"/>
                <w:sz w:val="22"/>
                <w:szCs w:val="22"/>
              </w:rPr>
              <w:t>扶持政策</w:t>
            </w:r>
          </w:p>
        </w:tc>
        <w:tc>
          <w:tcPr>
            <w:tcW w:w="7619" w:type="dxa"/>
            <w:vAlign w:val="center"/>
          </w:tcPr>
          <w:p>
            <w:pPr>
              <w:rPr>
                <w:rFonts w:ascii="宋体" w:cs="Arial"/>
                <w:color w:val="auto"/>
                <w:sz w:val="22"/>
                <w:szCs w:val="22"/>
              </w:rPr>
            </w:pPr>
            <w:r>
              <w:rPr>
                <w:rFonts w:ascii="宋体"/>
                <w:color w:val="auto"/>
                <w:sz w:val="22"/>
                <w:szCs w:val="22"/>
              </w:rPr>
              <w:t>1</w:t>
            </w:r>
            <w:r>
              <w:rPr>
                <w:rFonts w:hint="eastAsia" w:ascii="宋体"/>
                <w:color w:val="auto"/>
                <w:sz w:val="22"/>
                <w:szCs w:val="22"/>
              </w:rPr>
              <w:t>、</w:t>
            </w:r>
            <w:r>
              <w:rPr>
                <w:rFonts w:hint="eastAsia" w:ascii="宋体" w:cs="Arial"/>
                <w:color w:val="auto"/>
                <w:sz w:val="22"/>
                <w:szCs w:val="22"/>
              </w:rPr>
              <w:t>对符合财政扶持政策的小微企业（或监狱企业、或残疾人福利性单位）给予评标价格折扣。供应商企业属于以上多种性质的，</w:t>
            </w:r>
            <w:r>
              <w:rPr>
                <w:rFonts w:hint="eastAsia" w:ascii="Arial" w:hAnsi="Arial" w:cs="Arial"/>
                <w:color w:val="auto"/>
                <w:sz w:val="22"/>
                <w:szCs w:val="22"/>
              </w:rPr>
              <w:t>不重复享受扶持政策</w:t>
            </w:r>
            <w:r>
              <w:rPr>
                <w:rFonts w:hint="eastAsia" w:ascii="宋体" w:cs="Arial"/>
                <w:color w:val="auto"/>
                <w:sz w:val="22"/>
                <w:szCs w:val="22"/>
              </w:rPr>
              <w:t>。</w:t>
            </w:r>
          </w:p>
          <w:p>
            <w:pPr>
              <w:rPr>
                <w:rFonts w:ascii="宋体"/>
                <w:color w:val="auto"/>
                <w:sz w:val="22"/>
                <w:szCs w:val="22"/>
              </w:rPr>
            </w:pPr>
            <w:r>
              <w:rPr>
                <w:rFonts w:ascii="宋体" w:cs="Arial"/>
                <w:color w:val="auto"/>
                <w:sz w:val="22"/>
                <w:szCs w:val="22"/>
              </w:rPr>
              <w:t>2</w:t>
            </w:r>
            <w:r>
              <w:rPr>
                <w:rFonts w:hint="eastAsia" w:ascii="宋体" w:cs="Arial"/>
                <w:color w:val="auto"/>
                <w:sz w:val="22"/>
                <w:szCs w:val="22"/>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s="Arial"/>
                <w:color w:val="auto"/>
                <w:sz w:val="22"/>
                <w:szCs w:val="22"/>
              </w:rPr>
              <w:t>供应商信用查询</w:t>
            </w:r>
          </w:p>
        </w:tc>
        <w:tc>
          <w:tcPr>
            <w:tcW w:w="7619" w:type="dxa"/>
            <w:vAlign w:val="center"/>
          </w:tcPr>
          <w:p>
            <w:pPr>
              <w:rPr>
                <w:rFonts w:ascii="宋体" w:cs="Arial"/>
                <w:color w:val="auto"/>
                <w:sz w:val="22"/>
                <w:szCs w:val="22"/>
              </w:rPr>
            </w:pPr>
            <w:r>
              <w:rPr>
                <w:rFonts w:ascii="宋体" w:cs="Arial"/>
                <w:color w:val="auto"/>
                <w:sz w:val="22"/>
                <w:szCs w:val="22"/>
              </w:rPr>
              <w:t>1</w:t>
            </w:r>
            <w:r>
              <w:rPr>
                <w:rFonts w:hint="eastAsia" w:ascii="宋体" w:cs="Arial"/>
                <w:color w:val="auto"/>
                <w:sz w:val="22"/>
                <w:szCs w:val="22"/>
              </w:rPr>
              <w:t>、投标供应商信用信息查询的查询渠道：“信用中国”</w:t>
            </w:r>
            <w:r>
              <w:rPr>
                <w:rFonts w:ascii="宋体" w:cs="Arial"/>
                <w:color w:val="auto"/>
                <w:sz w:val="22"/>
                <w:szCs w:val="22"/>
              </w:rPr>
              <w:t>(</w:t>
            </w:r>
            <w:r>
              <w:rPr>
                <w:color w:val="auto"/>
              </w:rPr>
              <w:fldChar w:fldCharType="begin"/>
            </w:r>
            <w:r>
              <w:rPr>
                <w:color w:val="auto"/>
              </w:rPr>
              <w:instrText xml:space="preserve"> HYPERLINK "http://www.creditchina.gov.cn/" </w:instrText>
            </w:r>
            <w:r>
              <w:rPr>
                <w:color w:val="auto"/>
              </w:rPr>
              <w:fldChar w:fldCharType="separate"/>
            </w:r>
            <w:r>
              <w:rPr>
                <w:rFonts w:ascii="宋体" w:cs="Arial"/>
                <w:color w:val="auto"/>
                <w:sz w:val="22"/>
                <w:szCs w:val="22"/>
              </w:rPr>
              <w:t>www.creditchina.gov.cn</w:t>
            </w:r>
            <w:r>
              <w:rPr>
                <w:rFonts w:ascii="宋体" w:cs="Arial"/>
                <w:color w:val="auto"/>
                <w:sz w:val="22"/>
                <w:szCs w:val="22"/>
              </w:rPr>
              <w:fldChar w:fldCharType="end"/>
            </w:r>
            <w:r>
              <w:rPr>
                <w:rFonts w:ascii="宋体" w:cs="Arial"/>
                <w:color w:val="auto"/>
                <w:sz w:val="22"/>
                <w:szCs w:val="22"/>
              </w:rPr>
              <w:t>)</w:t>
            </w:r>
            <w:r>
              <w:rPr>
                <w:rFonts w:hint="eastAsia" w:ascii="宋体" w:cs="Arial"/>
                <w:color w:val="auto"/>
                <w:sz w:val="22"/>
                <w:szCs w:val="22"/>
              </w:rPr>
              <w:t>；“中国政府采购网”（</w:t>
            </w:r>
            <w:r>
              <w:rPr>
                <w:rFonts w:ascii="宋体" w:cs="Arial"/>
                <w:color w:val="auto"/>
                <w:sz w:val="22"/>
                <w:szCs w:val="22"/>
              </w:rPr>
              <w:t>http://www.ccgp.gov.cn/</w:t>
            </w:r>
            <w:r>
              <w:rPr>
                <w:rFonts w:hint="eastAsia" w:ascii="宋体" w:cs="Arial"/>
                <w:color w:val="auto"/>
                <w:sz w:val="22"/>
                <w:szCs w:val="22"/>
              </w:rPr>
              <w:t>）；</w:t>
            </w:r>
          </w:p>
          <w:p>
            <w:pPr>
              <w:rPr>
                <w:rFonts w:ascii="宋体" w:cs="Arial"/>
                <w:color w:val="auto"/>
                <w:sz w:val="22"/>
                <w:szCs w:val="22"/>
              </w:rPr>
            </w:pPr>
            <w:r>
              <w:rPr>
                <w:rFonts w:ascii="宋体" w:cs="Arial"/>
                <w:color w:val="auto"/>
                <w:sz w:val="22"/>
                <w:szCs w:val="22"/>
              </w:rPr>
              <w:t>2</w:t>
            </w:r>
            <w:r>
              <w:rPr>
                <w:rFonts w:hint="eastAsia" w:ascii="宋体" w:cs="Arial"/>
                <w:color w:val="auto"/>
                <w:sz w:val="22"/>
                <w:szCs w:val="22"/>
              </w:rPr>
              <w:t>、投标供应商信用信息查询截止时点：本项目投标截止时间。</w:t>
            </w:r>
          </w:p>
          <w:p>
            <w:pPr>
              <w:rPr>
                <w:rFonts w:ascii="宋体" w:cs="Arial"/>
                <w:color w:val="auto"/>
                <w:sz w:val="22"/>
                <w:szCs w:val="22"/>
              </w:rPr>
            </w:pPr>
            <w:r>
              <w:rPr>
                <w:rFonts w:ascii="宋体" w:cs="Arial"/>
                <w:color w:val="auto"/>
                <w:sz w:val="22"/>
                <w:szCs w:val="22"/>
              </w:rPr>
              <w:t>3</w:t>
            </w:r>
            <w:r>
              <w:rPr>
                <w:rFonts w:hint="eastAsia" w:ascii="宋体" w:cs="Arial"/>
                <w:color w:val="auto"/>
                <w:sz w:val="22"/>
                <w:szCs w:val="22"/>
              </w:rPr>
              <w:t>、投标供应商信用信息查询记录和证据留存的具体方式：网页截图打印；</w:t>
            </w:r>
          </w:p>
          <w:p>
            <w:pPr>
              <w:rPr>
                <w:rFonts w:ascii="宋体" w:cs="Arial"/>
                <w:color w:val="auto"/>
                <w:sz w:val="22"/>
                <w:szCs w:val="22"/>
              </w:rPr>
            </w:pPr>
            <w:r>
              <w:rPr>
                <w:rFonts w:ascii="宋体" w:cs="Arial"/>
                <w:color w:val="auto"/>
                <w:sz w:val="22"/>
                <w:szCs w:val="22"/>
              </w:rPr>
              <w:t>4</w:t>
            </w:r>
            <w:r>
              <w:rPr>
                <w:rFonts w:hint="eastAsia" w:ascii="宋体" w:cs="Arial"/>
                <w:color w:val="auto"/>
                <w:sz w:val="22"/>
                <w:szCs w:val="22"/>
              </w:rPr>
              <w:t>、信用信息的使用规则：“信用中国”被列入失信被执行人名单、重大税收违法案件当事人名单的供应商，或“中国政府采购网”具有严重违法失信行为信息记录的供应商，其投标做无效投标处理。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合同备案</w:t>
            </w:r>
          </w:p>
        </w:tc>
        <w:tc>
          <w:tcPr>
            <w:tcW w:w="7619" w:type="dxa"/>
            <w:vAlign w:val="center"/>
          </w:tcPr>
          <w:p>
            <w:pPr>
              <w:rPr>
                <w:rFonts w:ascii="宋体" w:cs="Arial"/>
                <w:color w:val="auto"/>
                <w:sz w:val="22"/>
                <w:szCs w:val="22"/>
              </w:rPr>
            </w:pPr>
            <w:r>
              <w:rPr>
                <w:rFonts w:ascii="宋体" w:cs="Arial"/>
                <w:color w:val="auto"/>
                <w:sz w:val="22"/>
                <w:szCs w:val="22"/>
              </w:rPr>
              <w:t>1</w:t>
            </w:r>
            <w:r>
              <w:rPr>
                <w:rFonts w:hint="eastAsia" w:ascii="宋体" w:cs="Arial"/>
                <w:color w:val="auto"/>
                <w:sz w:val="22"/>
                <w:szCs w:val="22"/>
              </w:rPr>
              <w:t>、中标方须在发出中标通知书之日起</w:t>
            </w:r>
            <w:r>
              <w:rPr>
                <w:rFonts w:ascii="宋体" w:cs="Arial"/>
                <w:color w:val="auto"/>
                <w:sz w:val="22"/>
                <w:szCs w:val="22"/>
              </w:rPr>
              <w:t>30</w:t>
            </w:r>
            <w:r>
              <w:rPr>
                <w:rFonts w:hint="eastAsia" w:ascii="宋体" w:cs="Arial"/>
                <w:color w:val="auto"/>
                <w:sz w:val="22"/>
                <w:szCs w:val="22"/>
              </w:rPr>
              <w:t>日历天内与采购人签订合同。</w:t>
            </w:r>
          </w:p>
          <w:p>
            <w:pPr>
              <w:rPr>
                <w:rFonts w:ascii="宋体" w:cs="Arial"/>
                <w:color w:val="auto"/>
                <w:sz w:val="22"/>
                <w:szCs w:val="22"/>
              </w:rPr>
            </w:pPr>
            <w:r>
              <w:rPr>
                <w:rFonts w:ascii="宋体" w:cs="Arial"/>
                <w:color w:val="auto"/>
                <w:sz w:val="22"/>
                <w:szCs w:val="22"/>
              </w:rPr>
              <w:t>2</w:t>
            </w:r>
            <w:r>
              <w:rPr>
                <w:rFonts w:hint="eastAsia" w:ascii="宋体" w:cs="Arial"/>
                <w:color w:val="auto"/>
                <w:sz w:val="22"/>
                <w:szCs w:val="22"/>
              </w:rPr>
              <w:t>、中标方与采购人签订合同后，</w:t>
            </w:r>
            <w:r>
              <w:rPr>
                <w:rFonts w:ascii="宋体" w:cs="Arial"/>
                <w:color w:val="auto"/>
                <w:sz w:val="22"/>
                <w:szCs w:val="22"/>
              </w:rPr>
              <w:t>2</w:t>
            </w:r>
            <w:r>
              <w:rPr>
                <w:rFonts w:hint="eastAsia" w:ascii="宋体" w:cs="Arial"/>
                <w:color w:val="auto"/>
                <w:sz w:val="22"/>
                <w:szCs w:val="22"/>
              </w:rPr>
              <w:t>日历天内将合同原件交给招标代理机构备案。</w:t>
            </w:r>
          </w:p>
          <w:p>
            <w:pPr>
              <w:rPr>
                <w:rFonts w:ascii="宋体" w:cs="Arial"/>
                <w:color w:val="auto"/>
                <w:sz w:val="22"/>
                <w:szCs w:val="22"/>
              </w:rPr>
            </w:pPr>
            <w:r>
              <w:rPr>
                <w:rFonts w:ascii="宋体" w:cs="Arial"/>
                <w:color w:val="auto"/>
                <w:sz w:val="22"/>
                <w:szCs w:val="22"/>
              </w:rPr>
              <w:t>3</w:t>
            </w:r>
            <w:r>
              <w:rPr>
                <w:rFonts w:hint="eastAsia" w:ascii="宋体" w:cs="Arial"/>
                <w:color w:val="auto"/>
                <w:sz w:val="22"/>
                <w:szCs w:val="22"/>
              </w:rPr>
              <w:t>、本项目政府采购合同按规定在</w:t>
            </w:r>
            <w:r>
              <w:rPr>
                <w:rFonts w:hint="eastAsia"/>
                <w:color w:val="auto"/>
                <w:sz w:val="22"/>
                <w:szCs w:val="22"/>
              </w:rPr>
              <w:t>浙江政府采购网（</w:t>
            </w:r>
            <w:r>
              <w:rPr>
                <w:color w:val="auto"/>
                <w:sz w:val="22"/>
                <w:szCs w:val="22"/>
              </w:rPr>
              <w:t>http://www.zjzfcg.gov.cn/</w:t>
            </w:r>
            <w:r>
              <w:rPr>
                <w:rFonts w:hint="eastAsia"/>
                <w:color w:val="auto"/>
                <w:sz w:val="22"/>
                <w:szCs w:val="22"/>
              </w:rPr>
              <w:t>）</w:t>
            </w:r>
            <w:r>
              <w:rPr>
                <w:rFonts w:hint="eastAsia" w:ascii="宋体" w:cs="Arial"/>
                <w:color w:val="auto"/>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olor w:val="auto"/>
                <w:sz w:val="22"/>
                <w:szCs w:val="22"/>
              </w:rPr>
            </w:pPr>
            <w:r>
              <w:rPr>
                <w:rFonts w:hint="eastAsia" w:ascii="宋体"/>
                <w:color w:val="auto"/>
                <w:sz w:val="22"/>
                <w:szCs w:val="22"/>
              </w:rPr>
              <w:t>合同履约管理</w:t>
            </w:r>
          </w:p>
        </w:tc>
        <w:tc>
          <w:tcPr>
            <w:tcW w:w="7619" w:type="dxa"/>
            <w:vAlign w:val="center"/>
          </w:tcPr>
          <w:p>
            <w:pPr>
              <w:rPr>
                <w:rFonts w:ascii="宋体" w:cs="Arial"/>
                <w:color w:val="auto"/>
                <w:sz w:val="22"/>
                <w:szCs w:val="22"/>
              </w:rPr>
            </w:pPr>
            <w:r>
              <w:rPr>
                <w:rFonts w:hint="eastAsia" w:ascii="宋体" w:cs="Arial"/>
                <w:color w:val="auto"/>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olor w:val="auto"/>
                <w:sz w:val="22"/>
                <w:szCs w:val="22"/>
              </w:rPr>
            </w:pPr>
            <w:r>
              <w:rPr>
                <w:rFonts w:hint="eastAsia" w:ascii="宋体"/>
                <w:color w:val="auto"/>
                <w:sz w:val="22"/>
                <w:szCs w:val="22"/>
              </w:rPr>
              <w:t>免责声明</w:t>
            </w:r>
          </w:p>
        </w:tc>
        <w:tc>
          <w:tcPr>
            <w:tcW w:w="7619" w:type="dxa"/>
            <w:vAlign w:val="center"/>
          </w:tcPr>
          <w:p>
            <w:pPr>
              <w:rPr>
                <w:rFonts w:ascii="宋体" w:cs="Arial"/>
                <w:color w:val="auto"/>
                <w:sz w:val="22"/>
                <w:szCs w:val="22"/>
              </w:rPr>
            </w:pPr>
            <w:r>
              <w:rPr>
                <w:rFonts w:ascii="宋体" w:cs="Arial"/>
                <w:color w:val="auto"/>
                <w:sz w:val="22"/>
                <w:szCs w:val="22"/>
              </w:rPr>
              <w:t>1</w:t>
            </w:r>
            <w:r>
              <w:rPr>
                <w:rFonts w:hint="eastAsia" w:ascii="宋体" w:cs="Arial"/>
                <w:color w:val="auto"/>
                <w:sz w:val="22"/>
                <w:szCs w:val="22"/>
              </w:rPr>
              <w:t>、投标供应商自行承担投标过程中产生的费用。无论何种因素导致采购项目延期开标、废标（流标）、投标供应商未中标、项目终止采购的，采购人与代理机构均不承担供应商投标费用。</w:t>
            </w:r>
          </w:p>
          <w:p>
            <w:pPr>
              <w:rPr>
                <w:rFonts w:ascii="宋体" w:cs="Arial"/>
                <w:color w:val="auto"/>
                <w:sz w:val="22"/>
                <w:szCs w:val="22"/>
              </w:rPr>
            </w:pPr>
            <w:r>
              <w:rPr>
                <w:rFonts w:ascii="宋体" w:cs="Arial"/>
                <w:color w:val="auto"/>
                <w:sz w:val="22"/>
                <w:szCs w:val="22"/>
              </w:rPr>
              <w:t>2</w:t>
            </w:r>
            <w:r>
              <w:rPr>
                <w:rFonts w:hint="eastAsia" w:ascii="宋体" w:cs="Arial"/>
                <w:color w:val="auto"/>
                <w:sz w:val="22"/>
                <w:szCs w:val="22"/>
              </w:rPr>
              <w:t>、投标供应商在投标、合同履行过程中必须做好安全保障工作，不因项目实施而危及自身及第三方人员、财产安全。若发生任何安全事故，由中标方自行承担一切责任并赔偿损失。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解释权</w:t>
            </w:r>
          </w:p>
        </w:tc>
        <w:tc>
          <w:tcPr>
            <w:tcW w:w="7619" w:type="dxa"/>
            <w:vAlign w:val="center"/>
          </w:tcPr>
          <w:p>
            <w:pPr>
              <w:rPr>
                <w:rFonts w:hint="eastAsia" w:ascii="宋体" w:eastAsia="宋体" w:cs="Arial"/>
                <w:color w:val="auto"/>
                <w:sz w:val="22"/>
                <w:szCs w:val="22"/>
              </w:rPr>
            </w:pPr>
            <w:r>
              <w:rPr>
                <w:rFonts w:hint="eastAsia" w:ascii="宋体" w:eastAsia="宋体" w:cs="Arial"/>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pPr>
              <w:widowControl/>
              <w:numPr>
                <w:ilvl w:val="0"/>
                <w:numId w:val="6"/>
              </w:numPr>
              <w:tabs>
                <w:tab w:val="left" w:pos="420"/>
                <w:tab w:val="clear" w:pos="720"/>
              </w:tabs>
              <w:ind w:left="420" w:hanging="420"/>
              <w:jc w:val="right"/>
              <w:rPr>
                <w:rFonts w:ascii="宋体" w:cs="Arial"/>
                <w:color w:val="auto"/>
                <w:sz w:val="22"/>
                <w:szCs w:val="22"/>
              </w:rPr>
            </w:pPr>
          </w:p>
        </w:tc>
        <w:tc>
          <w:tcPr>
            <w:tcW w:w="1600" w:type="dxa"/>
            <w:tcBorders>
              <w:bottom w:val="single" w:color="auto" w:sz="12" w:space="0"/>
            </w:tcBorders>
            <w:vAlign w:val="center"/>
          </w:tcPr>
          <w:p>
            <w:pPr>
              <w:rPr>
                <w:rFonts w:hint="eastAsia" w:ascii="宋体" w:eastAsia="宋体" w:cs="Arial"/>
                <w:color w:val="auto"/>
                <w:sz w:val="22"/>
                <w:szCs w:val="22"/>
                <w:lang w:val="en-US" w:eastAsia="zh-CN"/>
              </w:rPr>
            </w:pPr>
            <w:r>
              <w:rPr>
                <w:rFonts w:hint="eastAsia" w:ascii="宋体" w:eastAsia="宋体" w:cs="Arial"/>
                <w:color w:val="auto"/>
                <w:sz w:val="22"/>
                <w:szCs w:val="22"/>
              </w:rPr>
              <w:t>注意事项</w:t>
            </w:r>
          </w:p>
        </w:tc>
        <w:tc>
          <w:tcPr>
            <w:tcW w:w="7619" w:type="dxa"/>
            <w:tcBorders>
              <w:bottom w:val="single" w:color="auto" w:sz="12" w:space="0"/>
            </w:tcBorders>
            <w:vAlign w:val="center"/>
          </w:tcPr>
          <w:p>
            <w:pPr>
              <w:rPr>
                <w:rFonts w:hint="eastAsia" w:ascii="宋体" w:eastAsia="宋体" w:cs="Arial"/>
                <w:color w:val="auto"/>
                <w:sz w:val="22"/>
                <w:szCs w:val="22"/>
              </w:rPr>
            </w:pPr>
            <w:r>
              <w:rPr>
                <w:rFonts w:hint="eastAsia" w:ascii="宋体" w:eastAsia="宋体" w:cs="Arial"/>
                <w:color w:val="auto"/>
                <w:sz w:val="22"/>
                <w:szCs w:val="22"/>
                <w:lang w:val="en-US" w:eastAsia="zh-CN"/>
              </w:rPr>
              <w:t>1.</w:t>
            </w:r>
            <w:r>
              <w:rPr>
                <w:rFonts w:hint="eastAsia" w:ascii="宋体" w:eastAsia="宋体" w:cs="Arial"/>
                <w:color w:val="auto"/>
                <w:sz w:val="22"/>
                <w:szCs w:val="22"/>
              </w:rPr>
              <w:t>请务必确保投标文件制作客户端为最新版本，旧版本可能导致投标文件解密失败。</w:t>
            </w:r>
          </w:p>
          <w:p>
            <w:pPr>
              <w:rPr>
                <w:rFonts w:hint="eastAsia" w:ascii="宋体" w:eastAsia="宋体" w:cs="Arial"/>
                <w:color w:val="auto"/>
                <w:sz w:val="22"/>
                <w:szCs w:val="22"/>
                <w:lang w:val="en-US" w:eastAsia="zh-CN"/>
              </w:rPr>
            </w:pPr>
            <w:r>
              <w:rPr>
                <w:rFonts w:hint="eastAsia" w:ascii="宋体" w:eastAsia="宋体" w:cs="Arial"/>
                <w:color w:val="auto"/>
                <w:sz w:val="22"/>
                <w:szCs w:val="22"/>
              </w:rPr>
              <w:t>2.请务必确保投标文件制作时所用的 CA 锁与投标文件解密时的 CA 锁为同一把，否则可能导致投标文件解密失败。</w:t>
            </w:r>
          </w:p>
        </w:tc>
      </w:tr>
    </w:tbl>
    <w:p>
      <w:pPr>
        <w:autoSpaceDE w:val="0"/>
        <w:autoSpaceDN w:val="0"/>
        <w:adjustRightInd w:val="0"/>
        <w:snapToGrid w:val="0"/>
        <w:spacing w:line="400" w:lineRule="atLeast"/>
        <w:jc w:val="center"/>
        <w:textAlignment w:val="bottom"/>
        <w:rPr>
          <w:rFonts w:ascii="宋体"/>
          <w:b/>
          <w:color w:val="auto"/>
          <w:sz w:val="32"/>
          <w:szCs w:val="32"/>
        </w:rPr>
      </w:pPr>
    </w:p>
    <w:p>
      <w:pPr>
        <w:autoSpaceDE w:val="0"/>
        <w:autoSpaceDN w:val="0"/>
        <w:adjustRightInd w:val="0"/>
        <w:snapToGrid w:val="0"/>
        <w:spacing w:line="400" w:lineRule="atLeast"/>
        <w:jc w:val="center"/>
        <w:textAlignment w:val="bottom"/>
        <w:rPr>
          <w:rFonts w:ascii="宋体"/>
          <w:b/>
          <w:color w:val="auto"/>
          <w:sz w:val="32"/>
          <w:szCs w:val="32"/>
        </w:rPr>
      </w:pPr>
    </w:p>
    <w:p>
      <w:pPr>
        <w:autoSpaceDE w:val="0"/>
        <w:autoSpaceDN w:val="0"/>
        <w:adjustRightInd w:val="0"/>
        <w:snapToGrid w:val="0"/>
        <w:spacing w:line="400" w:lineRule="atLeast"/>
        <w:jc w:val="center"/>
        <w:textAlignment w:val="bottom"/>
        <w:rPr>
          <w:rFonts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hint="eastAsia" w:ascii="宋体" w:hAnsi="宋体"/>
          <w:b/>
          <w:color w:val="auto"/>
          <w:sz w:val="32"/>
          <w:szCs w:val="32"/>
        </w:rPr>
      </w:pPr>
    </w:p>
    <w:p>
      <w:pPr>
        <w:autoSpaceDE w:val="0"/>
        <w:autoSpaceDN w:val="0"/>
        <w:adjustRightInd w:val="0"/>
        <w:snapToGrid w:val="0"/>
        <w:spacing w:line="400" w:lineRule="atLeast"/>
        <w:jc w:val="center"/>
        <w:textAlignment w:val="bottom"/>
        <w:rPr>
          <w:rFonts w:ascii="宋体" w:hAnsi="宋体"/>
          <w:b/>
          <w:color w:val="auto"/>
          <w:sz w:val="32"/>
          <w:szCs w:val="32"/>
        </w:rPr>
      </w:pPr>
      <w:r>
        <w:rPr>
          <w:rFonts w:hint="eastAsia" w:ascii="宋体" w:hAnsi="宋体"/>
          <w:b/>
          <w:color w:val="auto"/>
          <w:sz w:val="32"/>
          <w:szCs w:val="32"/>
        </w:rPr>
        <w:t>第二部分 招标内容及技术要求</w:t>
      </w:r>
      <w:bookmarkStart w:id="4" w:name="_Toc142902564"/>
      <w:bookmarkEnd w:id="4"/>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b/>
          <w:bCs/>
          <w:color w:val="auto"/>
          <w:sz w:val="22"/>
          <w:szCs w:val="22"/>
          <w:lang w:val="en-US" w:eastAsia="zh-CN"/>
        </w:rPr>
        <w:t>一、项目</w:t>
      </w:r>
      <w:r>
        <w:rPr>
          <w:rFonts w:hint="eastAsia"/>
          <w:b/>
          <w:bCs/>
          <w:color w:val="auto"/>
          <w:sz w:val="22"/>
          <w:szCs w:val="22"/>
          <w:lang w:val="en-US" w:eastAsia="zh-CN"/>
        </w:rPr>
        <w:t>说明</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color w:val="auto"/>
          <w:sz w:val="22"/>
          <w:szCs w:val="22"/>
          <w:lang w:val="en-US" w:eastAsia="zh-CN"/>
        </w:rPr>
      </w:pPr>
      <w:r>
        <w:rPr>
          <w:rFonts w:hint="eastAsia"/>
          <w:b/>
          <w:bCs/>
          <w:color w:val="auto"/>
          <w:sz w:val="22"/>
          <w:szCs w:val="22"/>
          <w:lang w:val="en-US" w:eastAsia="zh-CN"/>
        </w:rPr>
        <w:t>1.项目背景</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为进一步提升水利工程管理水平，实现水利工程运行管理可视化、实时化、制度化，根据《浙江省水利工程标准化管理验收办法》、《浙江省水利工程视频监视系统建设技术规程（试行）》、《浙江省大中型水库管理规程》、《浙江省小型水库管理规程》、《温州市水利工程视频监控建设实施方案》等规章制度要求，采用公开招标方式采购本项目。</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泰顺县水利工程视频监控分中心覆盖范围为已建设并投入运行的水库、屋顶山塘、水电站</w:t>
      </w:r>
      <w:r>
        <w:rPr>
          <w:rFonts w:hint="eastAsia"/>
          <w:color w:val="auto"/>
          <w:sz w:val="22"/>
          <w:szCs w:val="22"/>
          <w:lang w:val="en-US" w:eastAsia="zh-CN"/>
        </w:rPr>
        <w:t>、堤防</w:t>
      </w:r>
      <w:r>
        <w:rPr>
          <w:rFonts w:hint="eastAsia" w:eastAsia="宋体"/>
          <w:color w:val="auto"/>
          <w:sz w:val="22"/>
          <w:szCs w:val="22"/>
          <w:lang w:val="en-US" w:eastAsia="zh-CN"/>
        </w:rPr>
        <w:t>四种工程类别。在这样的背景下，本方案基于各水域等场景，构建一套“稳定、可靠、高效”的视频监控系统，满足日常的业务监管需求。</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eastAsia="宋体"/>
          <w:b/>
          <w:bCs/>
          <w:color w:val="auto"/>
          <w:sz w:val="22"/>
          <w:szCs w:val="22"/>
          <w:lang w:val="en-US" w:eastAsia="zh-CN"/>
        </w:rPr>
      </w:pPr>
      <w:r>
        <w:rPr>
          <w:rFonts w:hint="eastAsia"/>
          <w:b/>
          <w:bCs/>
          <w:color w:val="auto"/>
          <w:sz w:val="22"/>
          <w:szCs w:val="22"/>
          <w:lang w:val="en-US" w:eastAsia="zh-CN"/>
        </w:rPr>
        <w:t>2.</w:t>
      </w:r>
      <w:r>
        <w:rPr>
          <w:rFonts w:hint="eastAsia" w:eastAsia="宋体"/>
          <w:b/>
          <w:bCs/>
          <w:color w:val="auto"/>
          <w:sz w:val="22"/>
          <w:szCs w:val="22"/>
          <w:lang w:val="en-US" w:eastAsia="zh-CN"/>
        </w:rPr>
        <w:t>建设内容</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1）泰顺县水利局本次建设视频监控系统，</w:t>
      </w:r>
      <w:r>
        <w:rPr>
          <w:rFonts w:hint="eastAsia"/>
          <w:color w:val="auto"/>
          <w:sz w:val="22"/>
          <w:szCs w:val="22"/>
          <w:lang w:val="en-US" w:eastAsia="zh-CN"/>
        </w:rPr>
        <w:t>需</w:t>
      </w:r>
      <w:r>
        <w:rPr>
          <w:rFonts w:hint="eastAsia" w:eastAsia="宋体"/>
          <w:color w:val="auto"/>
          <w:sz w:val="22"/>
          <w:szCs w:val="22"/>
          <w:lang w:val="en-US" w:eastAsia="zh-CN"/>
        </w:rPr>
        <w:t>接入</w:t>
      </w:r>
      <w:r>
        <w:rPr>
          <w:rFonts w:hint="eastAsia"/>
          <w:color w:val="auto"/>
          <w:sz w:val="22"/>
          <w:szCs w:val="22"/>
          <w:lang w:val="en-US" w:eastAsia="zh-CN"/>
        </w:rPr>
        <w:t>泰顺县</w:t>
      </w:r>
      <w:r>
        <w:rPr>
          <w:rFonts w:hint="eastAsia" w:eastAsia="宋体"/>
          <w:color w:val="auto"/>
          <w:sz w:val="22"/>
          <w:szCs w:val="22"/>
          <w:lang w:val="en-US" w:eastAsia="zh-CN"/>
        </w:rPr>
        <w:t>已建</w:t>
      </w:r>
      <w:r>
        <w:rPr>
          <w:rFonts w:hint="eastAsia"/>
          <w:color w:val="auto"/>
          <w:sz w:val="22"/>
          <w:szCs w:val="22"/>
          <w:lang w:val="en-US" w:eastAsia="zh-CN"/>
        </w:rPr>
        <w:t>水利工程</w:t>
      </w:r>
      <w:r>
        <w:rPr>
          <w:rFonts w:hint="eastAsia" w:eastAsia="宋体"/>
          <w:color w:val="auto"/>
          <w:sz w:val="22"/>
          <w:szCs w:val="22"/>
          <w:lang w:val="en-US" w:eastAsia="zh-CN"/>
        </w:rPr>
        <w:t>视频点位和本次新建点位，实现集中管理和实时监控，并与温州市水利局视频监控全覆盖系统对接。</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2）小型水库的上下游坝面、溢洪道、水位尺和进水口是工程运行管理重要区域，库水位和下游防洪控制断面是防汛防台重点关注区域，视频监控要求覆盖两个区域。每座水库拟建设</w:t>
      </w:r>
      <w:r>
        <w:rPr>
          <w:rFonts w:hint="eastAsia"/>
          <w:color w:val="auto"/>
          <w:sz w:val="22"/>
          <w:szCs w:val="22"/>
          <w:lang w:val="en-US" w:eastAsia="zh-CN"/>
        </w:rPr>
        <w:t>2</w:t>
      </w:r>
      <w:r>
        <w:rPr>
          <w:rFonts w:hint="eastAsia" w:eastAsia="宋体"/>
          <w:color w:val="auto"/>
          <w:sz w:val="22"/>
          <w:szCs w:val="22"/>
          <w:lang w:val="en-US" w:eastAsia="zh-CN"/>
        </w:rPr>
        <w:t>处视频监控点，具体数量可根据实际调整。</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3）屋顶山塘的上下游坝面、溢洪道是工程运行管理重要区域，库水位和下游防洪控制断面是防汛防台重点关注区域，视频监控要求覆盖两个区域。每座山塘拟建设2处视频监视点，具体数量可根据实际调整。</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4）水电站</w:t>
      </w:r>
      <w:r>
        <w:rPr>
          <w:rFonts w:hint="eastAsia"/>
          <w:color w:val="auto"/>
          <w:sz w:val="22"/>
          <w:szCs w:val="22"/>
          <w:lang w:val="en-US" w:eastAsia="zh-CN"/>
        </w:rPr>
        <w:t>的生态流量</w:t>
      </w:r>
      <w:r>
        <w:rPr>
          <w:rFonts w:hint="eastAsia" w:eastAsia="宋体"/>
          <w:color w:val="auto"/>
          <w:sz w:val="22"/>
          <w:szCs w:val="22"/>
          <w:lang w:val="en-US" w:eastAsia="zh-CN"/>
        </w:rPr>
        <w:t>出水口是视频监控重点区域</w:t>
      </w:r>
      <w:r>
        <w:rPr>
          <w:rFonts w:hint="eastAsia"/>
          <w:color w:val="auto"/>
          <w:sz w:val="22"/>
          <w:szCs w:val="22"/>
          <w:lang w:val="en-US" w:eastAsia="zh-CN"/>
        </w:rPr>
        <w:t>，</w:t>
      </w:r>
      <w:r>
        <w:rPr>
          <w:rFonts w:hint="eastAsia" w:eastAsia="宋体"/>
          <w:color w:val="auto"/>
          <w:sz w:val="22"/>
          <w:szCs w:val="22"/>
          <w:lang w:val="en-US" w:eastAsia="zh-CN"/>
        </w:rPr>
        <w:t>每座</w:t>
      </w:r>
      <w:r>
        <w:rPr>
          <w:rFonts w:hint="eastAsia"/>
          <w:color w:val="auto"/>
          <w:sz w:val="22"/>
          <w:szCs w:val="22"/>
          <w:lang w:val="en-US" w:eastAsia="zh-CN"/>
        </w:rPr>
        <w:t>水电站出水口</w:t>
      </w:r>
      <w:r>
        <w:rPr>
          <w:rFonts w:hint="eastAsia" w:eastAsia="宋体"/>
          <w:color w:val="auto"/>
          <w:sz w:val="22"/>
          <w:szCs w:val="22"/>
          <w:lang w:val="en-US" w:eastAsia="zh-CN"/>
        </w:rPr>
        <w:t>拟建设1处视频监控点，为出水口</w:t>
      </w:r>
      <w:r>
        <w:rPr>
          <w:rFonts w:hint="eastAsia"/>
          <w:color w:val="auto"/>
          <w:sz w:val="22"/>
          <w:szCs w:val="22"/>
          <w:lang w:val="en-US" w:eastAsia="zh-CN"/>
        </w:rPr>
        <w:t>生态流量监测</w:t>
      </w:r>
      <w:r>
        <w:rPr>
          <w:rFonts w:hint="eastAsia" w:eastAsia="宋体"/>
          <w:color w:val="auto"/>
          <w:sz w:val="22"/>
          <w:szCs w:val="22"/>
          <w:lang w:val="en-US" w:eastAsia="zh-CN"/>
        </w:rPr>
        <w:t>区域。</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lang w:val="en-US" w:eastAsia="zh-CN"/>
        </w:rPr>
      </w:pPr>
      <w:r>
        <w:rPr>
          <w:rFonts w:hint="eastAsia"/>
          <w:color w:val="auto"/>
          <w:sz w:val="22"/>
          <w:szCs w:val="22"/>
          <w:lang w:val="en-US" w:eastAsia="zh-CN"/>
        </w:rPr>
        <w:t>5</w:t>
      </w:r>
      <w:r>
        <w:rPr>
          <w:rFonts w:hint="eastAsia" w:eastAsia="宋体"/>
          <w:color w:val="auto"/>
          <w:sz w:val="22"/>
          <w:szCs w:val="22"/>
          <w:lang w:val="en-US" w:eastAsia="zh-CN"/>
        </w:rPr>
        <w:t>）</w:t>
      </w:r>
      <w:r>
        <w:rPr>
          <w:rFonts w:hint="eastAsia"/>
          <w:color w:val="auto"/>
          <w:sz w:val="22"/>
          <w:szCs w:val="22"/>
          <w:lang w:val="en-US" w:eastAsia="zh-CN"/>
        </w:rPr>
        <w:t>需在现场安装监控的工程目录：</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i w:val="0"/>
          <w:color w:val="auto"/>
          <w:kern w:val="0"/>
          <w:sz w:val="22"/>
          <w:szCs w:val="22"/>
          <w:u w:val="none"/>
          <w:lang w:val="en-US" w:eastAsia="zh-CN" w:bidi="ar"/>
        </w:rPr>
      </w:pPr>
      <w:r>
        <w:rPr>
          <w:rFonts w:hint="eastAsia"/>
          <w:color w:val="auto"/>
          <w:sz w:val="22"/>
          <w:szCs w:val="22"/>
          <w:lang w:val="en-US" w:eastAsia="zh-CN"/>
        </w:rPr>
        <w:t>1、水库类：</w:t>
      </w:r>
      <w:r>
        <w:rPr>
          <w:rFonts w:hint="eastAsia" w:ascii="宋体" w:hAnsi="宋体" w:eastAsia="宋体" w:cs="宋体"/>
          <w:i w:val="0"/>
          <w:color w:val="auto"/>
          <w:kern w:val="0"/>
          <w:sz w:val="22"/>
          <w:szCs w:val="22"/>
          <w:u w:val="none"/>
          <w:lang w:val="en-US" w:eastAsia="zh-CN" w:bidi="ar"/>
        </w:rPr>
        <w:t>南山水库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洪溪一级水库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洪溪二级水库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三滩水库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山头仔水库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白鹤渡水库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三插溪二级水库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榅洋水库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杨寮水库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杨寮三级水库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双溪水库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严公垟水库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包垟水库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翁山水库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龙南一级水库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龙南二级水库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联云水库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官坑下水库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仕阳水库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仕林水库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朝阳水库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半岭坑水库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凤岙潭水库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三重漈水库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李垟水库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北溪水库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普上洋水库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秀涧水库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彭溪二级水库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伙爬岭水库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葛溪二级水库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牛头山水库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坑口水库</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岭尾水库</w:t>
      </w:r>
      <w:r>
        <w:rPr>
          <w:rFonts w:hint="eastAsia" w:ascii="宋体" w:hAnsi="宋体" w:cs="宋体"/>
          <w:i w:val="0"/>
          <w:color w:val="auto"/>
          <w:kern w:val="0"/>
          <w:sz w:val="22"/>
          <w:szCs w:val="22"/>
          <w:u w:val="none"/>
          <w:lang w:val="en-US" w:eastAsia="zh-CN" w:bidi="ar"/>
        </w:rPr>
        <w:t>、万排水库、桥下、江渡、金狮、南山下；</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2、在建工程：司前供水水源坝址、南浦溪供水水源坝址；</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3、水电站工程（生态流量出水口）：</w:t>
      </w:r>
      <w:r>
        <w:rPr>
          <w:rFonts w:hint="eastAsia" w:ascii="宋体" w:hAnsi="宋体" w:eastAsia="宋体" w:cs="宋体"/>
          <w:i w:val="0"/>
          <w:color w:val="auto"/>
          <w:kern w:val="0"/>
          <w:sz w:val="22"/>
          <w:szCs w:val="22"/>
          <w:u w:val="none"/>
          <w:lang w:val="en-US" w:eastAsia="zh-CN" w:bidi="ar"/>
        </w:rPr>
        <w:t>玉溪潭水电站</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包蕉湾水电站</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新浦水电站</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凤洋二级水电站</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坑斗岚水电站</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坑下水电站</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三井水电站</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砂岭水电站</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双港水电站</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雪溪水电站</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峰文二级水电站</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4、屋顶山塘工程：</w:t>
      </w:r>
      <w:r>
        <w:rPr>
          <w:rFonts w:hint="eastAsia" w:ascii="宋体" w:hAnsi="宋体" w:eastAsia="宋体" w:cs="宋体"/>
          <w:i w:val="0"/>
          <w:color w:val="auto"/>
          <w:kern w:val="0"/>
          <w:sz w:val="22"/>
          <w:szCs w:val="22"/>
          <w:u w:val="none"/>
          <w:lang w:val="en-US" w:eastAsia="zh-CN" w:bidi="ar"/>
        </w:rPr>
        <w:t>庵塘垅山塘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陈洋清山塘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小院底山塘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菖蒲垅山塘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青藏龙山塘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蒲洋山塘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石虎垅山塘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老鹰坵山塘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沙丘山塘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龟墩山塘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源底山塘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简洋山塘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黄家山山塘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葛洋山塘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王见洋山塘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北坑山塘</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昌基山塘</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b/>
          <w:bCs/>
          <w:color w:val="auto"/>
          <w:sz w:val="22"/>
          <w:szCs w:val="22"/>
          <w:lang w:val="en-US" w:eastAsia="zh-CN"/>
        </w:rPr>
      </w:pPr>
      <w:r>
        <w:rPr>
          <w:rFonts w:hint="eastAsia"/>
          <w:b/>
          <w:bCs/>
          <w:color w:val="auto"/>
          <w:sz w:val="22"/>
          <w:szCs w:val="22"/>
          <w:lang w:val="en-US" w:eastAsia="zh-CN"/>
        </w:rPr>
        <w:t>3.规范及标准</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《智慧水利总体方案》（水利部）</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《中华人民共和国防洪法》</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《加快灾后水利薄弱环节建设实施方案》（水规计[2017]182号）</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水利网信水平提升三年行动方案（2019—2021年）</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浙江省深化“最多跑一次”改革推进政府数字化转型工作总体方案（浙政发〔2018〕号48号）</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《公共安全视频监控联网系统信息传输、交换、控制技术要求》（GB/T 28181）</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《水利信息化资源整合共享顶层设计》（水信息〔2015〕169号）</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《水利信息化顶层设计》（水文〔2010〕100号）</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《实时雨水情数据库表结构与标识符》（SL 323）</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《水文监测数据通信规约》（SL 651）</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《山洪灾害监测预警系统设计导则》（SL 675）</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《国务院关于印发促进大数据发展行动纲要的通知》（国发〔2015〕50号）</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《浙江省人民政府关于印发浙江省促进大数据发展实施计划的通知》（浙政发〔2016〕6号）</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《浙江省人民政府办公厅关于全面推行水利工程标准化管理的意见》（浙政办发〔2016〕4号）</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《浙江省水利厅全面推进水利工程标准化管理实施方案（2016～2020年）》（浙水科〔2016〕1号)</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《浙江省水利厅办公室关于印发〈浙江省水利工程标准化管理信息化建设总体设计方案要点〉的通知》（浙水办信〔2016〕3号）</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《浙江省水利厅关于印发〈浙江省水利工程标准化运行管理平台建设导则和技术要求〉的通知》（浙水信〔2016〕1号）</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《水利部关于印发水利信息化发展“十三五”规划通知》（水规计〔2016〕205号）</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《浙江省水利信息化发展“十三五”规划》（浙水信〔2017〕1号）</w:t>
      </w:r>
      <w:r>
        <w:rPr>
          <w:rFonts w:hint="eastAsia" w:eastAsia="宋体"/>
          <w:color w:val="auto"/>
          <w:sz w:val="22"/>
          <w:szCs w:val="22"/>
          <w:lang w:val="en-US" w:eastAsia="zh-CN"/>
        </w:rPr>
        <w:br w:type="textWrapping"/>
      </w:r>
      <w:r>
        <w:rPr>
          <w:rFonts w:hint="eastAsia" w:eastAsia="宋体"/>
          <w:color w:val="auto"/>
          <w:sz w:val="22"/>
          <w:szCs w:val="22"/>
          <w:lang w:val="en-US" w:eastAsia="zh-CN"/>
        </w:rPr>
        <w:t>《温州市水利工程视频监控建设实施方案》的通知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eastAsia="宋体"/>
          <w:color w:val="auto"/>
          <w:sz w:val="22"/>
          <w:szCs w:val="22"/>
          <w:lang w:val="en-US" w:eastAsia="zh-CN"/>
        </w:rPr>
      </w:pPr>
      <w:r>
        <w:rPr>
          <w:rFonts w:hint="eastAsia" w:eastAsia="宋体"/>
          <w:color w:val="auto"/>
          <w:sz w:val="22"/>
          <w:szCs w:val="22"/>
          <w:lang w:val="en-US" w:eastAsia="zh-CN"/>
        </w:rPr>
        <w:t>水利部国家防汛抗旱指挥系统工程项目建设办公室流域、省级工程视频监控系统建设技术指导书</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b/>
          <w:bCs/>
          <w:color w:val="auto"/>
          <w:sz w:val="22"/>
          <w:szCs w:val="22"/>
          <w:lang w:val="en-US" w:eastAsia="zh-CN"/>
        </w:rPr>
      </w:pPr>
      <w:bookmarkStart w:id="5" w:name="_Toc33603004"/>
      <w:r>
        <w:rPr>
          <w:rFonts w:hint="eastAsia"/>
          <w:b/>
          <w:bCs/>
          <w:color w:val="auto"/>
          <w:sz w:val="22"/>
          <w:szCs w:val="22"/>
          <w:lang w:val="en-US" w:eastAsia="zh-CN"/>
        </w:rPr>
        <w:t>4.总体目标</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b/>
          <w:bCs/>
          <w:color w:val="auto"/>
          <w:sz w:val="22"/>
          <w:szCs w:val="22"/>
          <w:u w:val="single"/>
          <w:lang w:val="en-US" w:eastAsia="zh-CN"/>
        </w:rPr>
      </w:pPr>
      <w:r>
        <w:rPr>
          <w:rFonts w:hint="eastAsia" w:asciiTheme="majorEastAsia" w:hAnsiTheme="majorEastAsia" w:eastAsiaTheme="majorEastAsia" w:cstheme="majorEastAsia"/>
          <w:i w:val="0"/>
          <w:color w:val="auto"/>
          <w:kern w:val="0"/>
          <w:sz w:val="22"/>
          <w:szCs w:val="22"/>
          <w:u w:val="single"/>
          <w:lang w:val="en-US" w:eastAsia="zh-CN" w:bidi="ar"/>
        </w:rPr>
        <w:t>★</w:t>
      </w:r>
      <w:r>
        <w:rPr>
          <w:rFonts w:hint="eastAsia" w:eastAsia="宋体"/>
          <w:b/>
          <w:bCs/>
          <w:color w:val="auto"/>
          <w:sz w:val="22"/>
          <w:szCs w:val="22"/>
          <w:u w:val="single"/>
          <w:lang w:val="en-US" w:eastAsia="zh-CN"/>
        </w:rPr>
        <w:t>满足温州市水利局水利工程视频监控全覆盖的业务需求，针对设计泰顺县水利工程监控分中心联网系统，所有点位监控视频必须接入温州市水利工程可视化市级平台进行统一管理，本次</w:t>
      </w:r>
      <w:r>
        <w:rPr>
          <w:rFonts w:hint="eastAsia"/>
          <w:b/>
          <w:bCs/>
          <w:color w:val="auto"/>
          <w:sz w:val="22"/>
          <w:szCs w:val="22"/>
          <w:u w:val="single"/>
          <w:lang w:val="en-US" w:eastAsia="zh-CN"/>
        </w:rPr>
        <w:t>监控平台</w:t>
      </w:r>
      <w:r>
        <w:rPr>
          <w:rFonts w:hint="eastAsia" w:eastAsia="宋体"/>
          <w:b/>
          <w:bCs/>
          <w:color w:val="auto"/>
          <w:sz w:val="22"/>
          <w:szCs w:val="22"/>
          <w:u w:val="single"/>
          <w:lang w:val="en-US" w:eastAsia="zh-CN"/>
        </w:rPr>
        <w:t>与市级相关平台对接应通过浙江省水利专网，不得使用公网进行对接（除采购人另有要求外）本次采购所有点位监控视频必须接入泰顺县雪亮工程。</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本次系统工程包含三项建设内容，小型水库、屋顶山塘及水电站工程，工程拟建</w:t>
      </w:r>
      <w:bookmarkStart w:id="6" w:name="_Toc36038205"/>
      <w:r>
        <w:rPr>
          <w:rFonts w:hint="eastAsia" w:eastAsia="宋体"/>
          <w:color w:val="auto"/>
          <w:sz w:val="22"/>
          <w:szCs w:val="22"/>
          <w:lang w:val="en-US" w:eastAsia="zh-CN"/>
        </w:rPr>
        <w:t>42座水库(含已建监控的水库监控数量新增和整合)、2座在建工程、30座水电站（其中：19座配套水库的电站监控设备和水库合并设置，2020年单独新建11座）、17座屋顶山塘。</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b/>
          <w:bCs/>
          <w:color w:val="auto"/>
          <w:sz w:val="22"/>
          <w:szCs w:val="22"/>
          <w:lang w:val="en-US" w:eastAsia="zh-CN"/>
        </w:rPr>
        <w:t>5.</w:t>
      </w:r>
      <w:r>
        <w:rPr>
          <w:rFonts w:hint="eastAsia" w:eastAsia="宋体"/>
          <w:b/>
          <w:bCs/>
          <w:color w:val="auto"/>
          <w:sz w:val="22"/>
          <w:szCs w:val="22"/>
          <w:lang w:val="en-US" w:eastAsia="zh-CN"/>
        </w:rPr>
        <w:t>总体架构</w:t>
      </w:r>
      <w:bookmarkEnd w:id="6"/>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系统采用物联网三层架构，由前端感知系统、传输层和管理应用层（</w:t>
      </w:r>
      <w:r>
        <w:rPr>
          <w:rFonts w:hint="eastAsia"/>
          <w:color w:val="auto"/>
          <w:sz w:val="22"/>
          <w:szCs w:val="22"/>
          <w:lang w:val="en-US" w:eastAsia="zh-CN"/>
        </w:rPr>
        <w:t>监控平台</w:t>
      </w:r>
      <w:r>
        <w:rPr>
          <w:rFonts w:hint="eastAsia" w:eastAsia="宋体"/>
          <w:color w:val="auto"/>
          <w:sz w:val="22"/>
          <w:szCs w:val="22"/>
          <w:lang w:val="en-US" w:eastAsia="zh-CN"/>
        </w:rPr>
        <w:t>）组成，最终实现日常巡护、监测预警和辅助决策三大核心应用。</w:t>
      </w:r>
      <w:r>
        <w:rPr>
          <w:rFonts w:hint="eastAsia" w:eastAsia="宋体"/>
          <w:color w:val="auto"/>
          <w:sz w:val="22"/>
          <w:szCs w:val="22"/>
          <w:lang w:val="en-US" w:eastAsia="zh-CN"/>
        </w:rPr>
        <w:br w:type="textWrapping"/>
      </w:r>
      <w:r>
        <w:rPr>
          <w:rFonts w:hint="eastAsia" w:eastAsia="宋体"/>
          <w:color w:val="auto"/>
          <w:sz w:val="22"/>
          <w:szCs w:val="22"/>
          <w:lang w:val="en-US" w:eastAsia="zh-CN"/>
        </w:rPr>
        <w:t>1）前端感知系统</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前端感知系统作为整个水利工程视频监控系统的第一线，主要是由视频图像采集系统、水雨情监测系统、人脸抓拍比对系统等组成，实现对汛情、工险情的视音频、水文等信息进行采集、编码、存储及上传，并通过平台预置的的规则进行自动化联动。</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水利工程/设施监控主要用于监控和管理水利工程/设施的运行情况。</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2）传输层</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系统承载于视频专网和运营商链路，用于前端与平台、平台之间的通信。前端系统的视音频信息、水文数据可上传至中心并接受中心的控制信息。</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color w:val="auto"/>
          <w:sz w:val="22"/>
          <w:szCs w:val="22"/>
          <w:lang w:val="en-US" w:eastAsia="zh-CN"/>
        </w:rPr>
      </w:pPr>
      <w:r>
        <w:rPr>
          <w:rFonts w:hint="eastAsia" w:eastAsia="宋体"/>
          <w:color w:val="auto"/>
          <w:sz w:val="22"/>
          <w:szCs w:val="22"/>
          <w:lang w:val="en-US" w:eastAsia="zh-CN"/>
        </w:rPr>
        <w:t>3）管理应用层</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b/>
          <w:bCs/>
          <w:color w:val="auto"/>
          <w:sz w:val="22"/>
          <w:szCs w:val="22"/>
          <w:lang w:val="en-US" w:eastAsia="zh-CN"/>
        </w:rPr>
      </w:pPr>
      <w:r>
        <w:rPr>
          <w:rFonts w:hint="eastAsia" w:eastAsia="宋体"/>
          <w:color w:val="auto"/>
          <w:sz w:val="22"/>
          <w:szCs w:val="22"/>
          <w:lang w:val="en-US" w:eastAsia="zh-CN"/>
        </w:rPr>
        <w:t>泰顺县水利局视频监控平台可管理地区下属水域区域前端所有设备，满足</w:t>
      </w:r>
      <w:r>
        <w:rPr>
          <w:rFonts w:hint="eastAsia"/>
          <w:color w:val="auto"/>
          <w:sz w:val="22"/>
          <w:szCs w:val="22"/>
          <w:lang w:val="en-US" w:eastAsia="zh-CN"/>
        </w:rPr>
        <w:t>监控平台</w:t>
      </w:r>
      <w:r>
        <w:rPr>
          <w:rFonts w:hint="eastAsia" w:eastAsia="宋体"/>
          <w:color w:val="auto"/>
          <w:sz w:val="22"/>
          <w:szCs w:val="22"/>
          <w:lang w:val="en-US" w:eastAsia="zh-CN"/>
        </w:rPr>
        <w:t>用户视频、获取现场信息、设备控制、日常巡护、辅助应急决策等业务需求</w:t>
      </w:r>
      <w:bookmarkEnd w:id="5"/>
      <w:r>
        <w:rPr>
          <w:rFonts w:hint="eastAsia"/>
          <w:color w:val="auto"/>
          <w:sz w:val="22"/>
          <w:szCs w:val="22"/>
          <w:lang w:val="en-US" w:eastAsia="zh-CN"/>
        </w:rPr>
        <w:t>。</w:t>
      </w:r>
      <w:r>
        <w:rPr>
          <w:rFonts w:hint="eastAsia" w:eastAsia="宋体"/>
          <w:color w:val="auto"/>
          <w:sz w:val="22"/>
          <w:szCs w:val="22"/>
          <w:lang w:val="en-US" w:eastAsia="zh-CN"/>
        </w:rPr>
        <w:br w:type="textWrapping"/>
      </w:r>
      <w:r>
        <w:rPr>
          <w:rFonts w:hint="eastAsia"/>
          <w:color w:val="auto"/>
          <w:sz w:val="22"/>
          <w:szCs w:val="22"/>
          <w:lang w:val="en-US" w:eastAsia="zh-CN"/>
        </w:rPr>
        <w:t>二</w:t>
      </w:r>
      <w:r>
        <w:rPr>
          <w:rFonts w:hint="eastAsia"/>
          <w:b/>
          <w:bCs/>
          <w:color w:val="auto"/>
          <w:sz w:val="22"/>
          <w:szCs w:val="22"/>
          <w:lang w:val="en-US" w:eastAsia="zh-CN"/>
        </w:rPr>
        <w:t>、采购内容及技术要求</w:t>
      </w:r>
      <w:r>
        <w:rPr>
          <w:rFonts w:hint="eastAsia"/>
          <w:b/>
          <w:bCs/>
          <w:color w:val="auto"/>
          <w:sz w:val="22"/>
          <w:szCs w:val="22"/>
          <w:lang w:val="en-US" w:eastAsia="zh-CN"/>
        </w:rPr>
        <w:br w:type="textWrapping"/>
      </w:r>
      <w:r>
        <w:rPr>
          <w:rFonts w:hint="eastAsia"/>
          <w:b/>
          <w:bCs/>
          <w:color w:val="auto"/>
          <w:sz w:val="22"/>
          <w:szCs w:val="22"/>
          <w:lang w:val="en-US" w:eastAsia="zh-CN"/>
        </w:rPr>
        <w:t xml:space="preserve">   </w:t>
      </w:r>
      <w:r>
        <w:rPr>
          <w:rFonts w:hint="eastAsia" w:ascii="宋体" w:hAnsi="宋体"/>
          <w:b/>
          <w:bCs/>
          <w:color w:val="auto"/>
          <w:sz w:val="22"/>
          <w:szCs w:val="22"/>
          <w:lang w:val="en-US" w:eastAsia="zh-CN"/>
        </w:rPr>
        <w:t>本项目为以租代建方式，设备为租用形式，由中标方承担包含设备、软件、运行维护等在内的系统平台建设等全部内容，服务期为5年。</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b/>
          <w:bCs/>
          <w:color w:val="auto"/>
          <w:sz w:val="22"/>
          <w:szCs w:val="22"/>
          <w:lang w:val="en-US" w:eastAsia="zh-CN"/>
        </w:rPr>
      </w:pPr>
      <w:r>
        <w:rPr>
          <w:rFonts w:hint="eastAsia" w:ascii="宋体" w:hAnsi="宋体"/>
          <w:b/>
          <w:bCs/>
          <w:color w:val="auto"/>
          <w:sz w:val="22"/>
          <w:szCs w:val="22"/>
          <w:lang w:val="en-US" w:eastAsia="zh-CN"/>
        </w:rPr>
        <w:t>（一）</w:t>
      </w:r>
      <w:bookmarkStart w:id="7" w:name="_Toc36038210"/>
      <w:r>
        <w:rPr>
          <w:color w:val="auto"/>
          <w:sz w:val="22"/>
          <w:szCs w:val="22"/>
        </w:rPr>
        <w:t>前端感知系统</w:t>
      </w:r>
      <w:bookmarkEnd w:id="7"/>
    </w:p>
    <w:p>
      <w:pPr>
        <w:pStyle w:val="3"/>
        <w:pageBreakBefore w:val="0"/>
        <w:kinsoku/>
        <w:wordWrap/>
        <w:overflowPunct/>
        <w:topLinePunct w:val="0"/>
        <w:bidi w:val="0"/>
        <w:snapToGrid/>
        <w:spacing w:line="400" w:lineRule="exact"/>
        <w:textAlignment w:val="auto"/>
        <w:rPr>
          <w:color w:val="auto"/>
          <w:sz w:val="22"/>
          <w:szCs w:val="22"/>
        </w:rPr>
      </w:pPr>
      <w:bookmarkStart w:id="8" w:name="_Toc36038211"/>
      <w:r>
        <w:rPr>
          <w:rFonts w:hint="eastAsia"/>
          <w:color w:val="auto"/>
          <w:sz w:val="22"/>
          <w:szCs w:val="22"/>
          <w:lang w:val="en-US" w:eastAsia="zh-CN"/>
        </w:rPr>
        <w:t>1.</w:t>
      </w:r>
      <w:r>
        <w:rPr>
          <w:color w:val="auto"/>
          <w:sz w:val="22"/>
          <w:szCs w:val="22"/>
        </w:rPr>
        <w:t>音视频图像采集系统</w:t>
      </w:r>
      <w:bookmarkEnd w:id="8"/>
    </w:p>
    <w:p>
      <w:pPr>
        <w:pStyle w:val="4"/>
        <w:pageBreakBefore w:val="0"/>
        <w:kinsoku/>
        <w:wordWrap/>
        <w:overflowPunct/>
        <w:topLinePunct w:val="0"/>
        <w:bidi w:val="0"/>
        <w:snapToGrid/>
        <w:spacing w:line="400" w:lineRule="exact"/>
        <w:textAlignment w:val="auto"/>
        <w:rPr>
          <w:color w:val="auto"/>
          <w:sz w:val="22"/>
          <w:szCs w:val="22"/>
        </w:rPr>
      </w:pPr>
      <w:bookmarkStart w:id="9" w:name="_Toc36038212"/>
      <w:r>
        <w:rPr>
          <w:color w:val="auto"/>
          <w:sz w:val="22"/>
          <w:szCs w:val="22"/>
        </w:rPr>
        <w:t>系统概述</w:t>
      </w:r>
      <w:bookmarkEnd w:id="9"/>
    </w:p>
    <w:p>
      <w:pPr>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图像图像采集子系统包括常规视频监控、智能视频分析以及音频系统。主要负责重要区域的汛情、工险情的视频图像监视，同时能与其它子系统进行报警联动，满足防汛抗旱可视化指挥决策系统正常运行的要求。</w:t>
      </w:r>
    </w:p>
    <w:p>
      <w:pPr>
        <w:pStyle w:val="4"/>
        <w:pageBreakBefore w:val="0"/>
        <w:kinsoku/>
        <w:wordWrap/>
        <w:overflowPunct/>
        <w:topLinePunct w:val="0"/>
        <w:bidi w:val="0"/>
        <w:snapToGrid/>
        <w:spacing w:line="400" w:lineRule="exact"/>
        <w:textAlignment w:val="auto"/>
        <w:rPr>
          <w:color w:val="auto"/>
          <w:sz w:val="22"/>
          <w:szCs w:val="22"/>
        </w:rPr>
      </w:pPr>
      <w:bookmarkStart w:id="10" w:name="_Toc36038213"/>
      <w:r>
        <w:rPr>
          <w:color w:val="auto"/>
          <w:sz w:val="22"/>
          <w:szCs w:val="22"/>
        </w:rPr>
        <w:t>系统架构</w:t>
      </w:r>
      <w:bookmarkEnd w:id="10"/>
    </w:p>
    <w:p>
      <w:pPr>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分为几种模式：</w:t>
      </w:r>
    </w:p>
    <w:p>
      <w:pPr>
        <w:pStyle w:val="36"/>
        <w:pageBreakBefore w:val="0"/>
        <w:numPr>
          <w:ilvl w:val="0"/>
          <w:numId w:val="0"/>
        </w:numPr>
        <w:kinsoku/>
        <w:wordWrap/>
        <w:overflowPunct/>
        <w:topLinePunct w:val="0"/>
        <w:bidi w:val="0"/>
        <w:snapToGrid/>
        <w:spacing w:line="400" w:lineRule="exact"/>
        <w:ind w:left="480" w:leftChars="0"/>
        <w:textAlignment w:val="auto"/>
        <w:rPr>
          <w:color w:val="auto"/>
          <w:sz w:val="22"/>
          <w:szCs w:val="22"/>
        </w:rPr>
      </w:pPr>
      <w:r>
        <w:rPr>
          <w:rFonts w:hint="eastAsia"/>
          <w:color w:val="auto"/>
          <w:sz w:val="22"/>
          <w:szCs w:val="22"/>
          <w:lang w:eastAsia="zh-CN"/>
        </w:rPr>
        <w:t>（</w:t>
      </w:r>
      <w:r>
        <w:rPr>
          <w:rFonts w:hint="eastAsia"/>
          <w:color w:val="auto"/>
          <w:sz w:val="22"/>
          <w:szCs w:val="22"/>
          <w:lang w:val="en-US" w:eastAsia="zh-CN"/>
        </w:rPr>
        <w:t>1</w:t>
      </w:r>
      <w:r>
        <w:rPr>
          <w:rFonts w:hint="eastAsia"/>
          <w:color w:val="auto"/>
          <w:sz w:val="22"/>
          <w:szCs w:val="22"/>
          <w:lang w:eastAsia="zh-CN"/>
        </w:rPr>
        <w:t>）</w:t>
      </w:r>
      <w:r>
        <w:rPr>
          <w:rFonts w:hint="eastAsia"/>
          <w:color w:val="auto"/>
          <w:sz w:val="22"/>
          <w:szCs w:val="22"/>
        </w:rPr>
        <w:t>根据现场的环境选择合适倍率的球机、枪机或者中小型云台，实时对现场的水域环境的细节视频图像监测，通过运营商的专线链路回传到中心。</w:t>
      </w:r>
    </w:p>
    <w:p>
      <w:pPr>
        <w:pStyle w:val="36"/>
        <w:pageBreakBefore w:val="0"/>
        <w:numPr>
          <w:ilvl w:val="0"/>
          <w:numId w:val="0"/>
        </w:numPr>
        <w:kinsoku/>
        <w:wordWrap/>
        <w:overflowPunct/>
        <w:topLinePunct w:val="0"/>
        <w:bidi w:val="0"/>
        <w:snapToGrid/>
        <w:spacing w:line="400" w:lineRule="exact"/>
        <w:ind w:left="480" w:leftChars="0"/>
        <w:textAlignment w:val="auto"/>
        <w:rPr>
          <w:color w:val="auto"/>
          <w:sz w:val="22"/>
          <w:szCs w:val="22"/>
        </w:rPr>
      </w:pPr>
      <w:r>
        <w:rPr>
          <w:rFonts w:hint="eastAsia"/>
          <w:color w:val="auto"/>
          <w:sz w:val="22"/>
          <w:szCs w:val="22"/>
          <w:lang w:eastAsia="zh-CN"/>
        </w:rPr>
        <w:t>（</w:t>
      </w:r>
      <w:r>
        <w:rPr>
          <w:rFonts w:hint="eastAsia"/>
          <w:color w:val="auto"/>
          <w:sz w:val="22"/>
          <w:szCs w:val="22"/>
          <w:lang w:val="en-US" w:eastAsia="zh-CN"/>
        </w:rPr>
        <w:t>2</w:t>
      </w:r>
      <w:r>
        <w:rPr>
          <w:rFonts w:hint="eastAsia"/>
          <w:color w:val="auto"/>
          <w:sz w:val="22"/>
          <w:szCs w:val="22"/>
          <w:lang w:eastAsia="zh-CN"/>
        </w:rPr>
        <w:t>）</w:t>
      </w:r>
      <w:r>
        <w:rPr>
          <w:rFonts w:hint="eastAsia"/>
          <w:color w:val="auto"/>
          <w:sz w:val="22"/>
          <w:szCs w:val="22"/>
        </w:rPr>
        <w:t>根据现场的环境为设备供电选择合适的环境，市电或者风光互补供电。</w:t>
      </w:r>
    </w:p>
    <w:p>
      <w:pPr>
        <w:pageBreakBefore w:val="0"/>
        <w:kinsoku/>
        <w:wordWrap/>
        <w:overflowPunct/>
        <w:topLinePunct w:val="0"/>
        <w:bidi w:val="0"/>
        <w:snapToGrid/>
        <w:spacing w:line="400" w:lineRule="exact"/>
        <w:ind w:firstLine="0" w:firstLineChars="0"/>
        <w:jc w:val="center"/>
        <w:textAlignment w:val="auto"/>
        <w:rPr>
          <w:color w:val="auto"/>
          <w:sz w:val="22"/>
          <w:szCs w:val="22"/>
        </w:rPr>
      </w:pPr>
    </w:p>
    <w:p>
      <w:pPr>
        <w:pStyle w:val="4"/>
        <w:pageBreakBefore w:val="0"/>
        <w:kinsoku/>
        <w:wordWrap/>
        <w:overflowPunct/>
        <w:topLinePunct w:val="0"/>
        <w:bidi w:val="0"/>
        <w:snapToGrid/>
        <w:spacing w:line="400" w:lineRule="exact"/>
        <w:textAlignment w:val="auto"/>
        <w:rPr>
          <w:color w:val="auto"/>
          <w:sz w:val="22"/>
          <w:szCs w:val="22"/>
        </w:rPr>
      </w:pPr>
      <w:bookmarkStart w:id="11" w:name="_Toc36038214"/>
      <w:r>
        <w:rPr>
          <w:rFonts w:hint="eastAsia"/>
          <w:color w:val="auto"/>
          <w:sz w:val="22"/>
          <w:szCs w:val="22"/>
        </w:rPr>
        <w:t>系统配套</w:t>
      </w:r>
      <w:bookmarkEnd w:id="11"/>
    </w:p>
    <w:p>
      <w:pPr>
        <w:pStyle w:val="5"/>
        <w:pageBreakBefore w:val="0"/>
        <w:kinsoku/>
        <w:wordWrap/>
        <w:overflowPunct/>
        <w:topLinePunct w:val="0"/>
        <w:bidi w:val="0"/>
        <w:snapToGrid/>
        <w:spacing w:before="120" w:after="120" w:line="400" w:lineRule="exact"/>
        <w:ind w:left="864" w:firstLine="562"/>
        <w:jc w:val="left"/>
        <w:textAlignment w:val="auto"/>
        <w:rPr>
          <w:color w:val="auto"/>
          <w:sz w:val="22"/>
          <w:szCs w:val="22"/>
        </w:rPr>
      </w:pPr>
      <w:r>
        <w:rPr>
          <w:color w:val="auto"/>
          <w:sz w:val="22"/>
          <w:szCs w:val="22"/>
        </w:rPr>
        <w:t>支架</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摄像机应根据所需监控的范围、角度、场景以及现场条件来选择安装方法。出于安全因素及施工条件考虑，以支架安装为主。</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支架安装应按以下原则：</w:t>
      </w:r>
    </w:p>
    <w:p>
      <w:pPr>
        <w:pStyle w:val="46"/>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水利工程内运行有电气设备，安装时首先应考虑与高压设备的安全距离；</w:t>
      </w:r>
    </w:p>
    <w:p>
      <w:pPr>
        <w:pStyle w:val="46"/>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摄像机支架的选择必须满足荷重要求，同时具备防锈防腐功能。</w:t>
      </w:r>
    </w:p>
    <w:p>
      <w:pPr>
        <w:pStyle w:val="46"/>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安装应牢固，不得歪斜，制作要美观；</w:t>
      </w:r>
    </w:p>
    <w:p>
      <w:pPr>
        <w:pStyle w:val="46"/>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不具备条件可利用原有水泥杆上配</w:t>
      </w:r>
      <w:r>
        <w:rPr>
          <w:color w:val="auto"/>
          <w:sz w:val="22"/>
          <w:szCs w:val="22"/>
        </w:rPr>
        <w:t>U</w:t>
      </w:r>
      <w:r>
        <w:rPr>
          <w:rFonts w:hint="eastAsia"/>
          <w:color w:val="auto"/>
          <w:sz w:val="22"/>
          <w:szCs w:val="22"/>
        </w:rPr>
        <w:t>型抱箍安装摄像机。</w:t>
      </w:r>
    </w:p>
    <w:p>
      <w:pPr>
        <w:pStyle w:val="5"/>
        <w:pageBreakBefore w:val="0"/>
        <w:kinsoku/>
        <w:wordWrap/>
        <w:overflowPunct/>
        <w:topLinePunct w:val="0"/>
        <w:bidi w:val="0"/>
        <w:snapToGrid/>
        <w:spacing w:line="400" w:lineRule="exact"/>
        <w:textAlignment w:val="auto"/>
        <w:rPr>
          <w:color w:val="auto"/>
          <w:sz w:val="22"/>
          <w:szCs w:val="22"/>
        </w:rPr>
      </w:pPr>
      <w:bookmarkStart w:id="12" w:name="_Toc469421317"/>
      <w:r>
        <w:rPr>
          <w:color w:val="auto"/>
          <w:sz w:val="22"/>
          <w:szCs w:val="22"/>
        </w:rPr>
        <w:t>智能网络箱</w:t>
      </w:r>
    </w:p>
    <w:p>
      <w:pPr>
        <w:pStyle w:val="45"/>
        <w:pageBreakBefore w:val="0"/>
        <w:numPr>
          <w:ilvl w:val="0"/>
          <w:numId w:val="7"/>
        </w:numPr>
        <w:kinsoku/>
        <w:wordWrap/>
        <w:overflowPunct/>
        <w:topLinePunct w:val="0"/>
        <w:bidi w:val="0"/>
        <w:snapToGrid/>
        <w:spacing w:line="400" w:lineRule="exact"/>
        <w:ind w:left="420" w:leftChars="0" w:hanging="420" w:firstLineChars="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b/>
          <w:bCs/>
          <w:iCs w:val="0"/>
          <w:color w:val="auto"/>
          <w:kern w:val="2"/>
          <w:sz w:val="22"/>
          <w:szCs w:val="22"/>
        </w:rPr>
        <w:t>远程控制管理</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（1）远程控制：所有供电输出口可远程开关或重启设备供电；</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（2）远程升级:设备可进行远程系统维护与升级；</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w:t>
      </w:r>
      <w:r>
        <w:rPr>
          <w:rFonts w:asciiTheme="minorHAnsi" w:hAnsiTheme="minorHAnsi" w:eastAsiaTheme="minorEastAsia" w:cstheme="minorBidi"/>
          <w:iCs w:val="0"/>
          <w:color w:val="auto"/>
          <w:kern w:val="2"/>
          <w:sz w:val="22"/>
          <w:szCs w:val="22"/>
        </w:rPr>
        <w:t>3</w:t>
      </w:r>
      <w:r>
        <w:rPr>
          <w:rFonts w:hint="eastAsia" w:asciiTheme="minorHAnsi" w:hAnsiTheme="minorHAnsi" w:eastAsiaTheme="minorEastAsia" w:cstheme="minorBidi"/>
          <w:iCs w:val="0"/>
          <w:color w:val="auto"/>
          <w:kern w:val="2"/>
          <w:sz w:val="22"/>
          <w:szCs w:val="22"/>
        </w:rPr>
        <w:t>）补光灯管理:通过对补光灯的综合判断，分析补光灯工作状态，当出现工作异常时，平台端及时提示告警；可实现灵活的补光灯定时供电控制计划，脱机本地运行，不依赖于平台；</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（4）管理功能：设备具有直接接入网络功能，可单独设置IP，并可通过浏览器或客户端软件登录管理设备，远程修改配置各项参数；</w:t>
      </w:r>
    </w:p>
    <w:p>
      <w:pPr>
        <w:pStyle w:val="45"/>
        <w:pageBreakBefore w:val="0"/>
        <w:numPr>
          <w:ilvl w:val="0"/>
          <w:numId w:val="8"/>
        </w:numPr>
        <w:kinsoku/>
        <w:wordWrap/>
        <w:overflowPunct/>
        <w:topLinePunct w:val="0"/>
        <w:bidi w:val="0"/>
        <w:snapToGrid/>
        <w:spacing w:line="400" w:lineRule="exact"/>
        <w:ind w:left="420" w:leftChars="0" w:hanging="420" w:firstLineChars="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b/>
          <w:bCs/>
          <w:iCs w:val="0"/>
          <w:color w:val="auto"/>
          <w:kern w:val="2"/>
          <w:sz w:val="22"/>
          <w:szCs w:val="22"/>
        </w:rPr>
        <w:t>状态监测及异常告警</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（1）市电采集：支持市电电压采集，数据实时发送至平台；</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（2）电压数据告警：当设备内电压数据超出设定范围时，可将异常信息回传至后台服务器或客户端，并有报警提示；</w:t>
      </w:r>
      <w:r>
        <w:rPr>
          <w:rFonts w:asciiTheme="minorHAnsi" w:hAnsiTheme="minorHAnsi" w:eastAsiaTheme="minorEastAsia" w:cstheme="minorBidi"/>
          <w:iCs w:val="0"/>
          <w:color w:val="auto"/>
          <w:kern w:val="2"/>
          <w:sz w:val="22"/>
          <w:szCs w:val="22"/>
        </w:rPr>
        <w:t xml:space="preserve"> </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（3）设备门异常开启：当设备门开启时，将异常信息回传至后台服务器或客户端，并有报警提示；</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（4）负载监测：支持工作状态监测，设备主动向服务器或客户端发送自身当前运行状态，包括：电源电压值、输出电压值、输入电流值、温度值、机箱门开闭等状态至平台；</w:t>
      </w:r>
      <w:r>
        <w:rPr>
          <w:rFonts w:asciiTheme="minorHAnsi" w:hAnsiTheme="minorHAnsi" w:eastAsiaTheme="minorEastAsia" w:cstheme="minorBidi"/>
          <w:iCs w:val="0"/>
          <w:color w:val="auto"/>
          <w:kern w:val="2"/>
          <w:sz w:val="22"/>
          <w:szCs w:val="22"/>
        </w:rPr>
        <w:t xml:space="preserve"> </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w:t>
      </w:r>
      <w:r>
        <w:rPr>
          <w:rFonts w:asciiTheme="minorHAnsi" w:hAnsiTheme="minorHAnsi" w:eastAsiaTheme="minorEastAsia" w:cstheme="minorBidi"/>
          <w:iCs w:val="0"/>
          <w:color w:val="auto"/>
          <w:kern w:val="2"/>
          <w:sz w:val="22"/>
          <w:szCs w:val="22"/>
        </w:rPr>
        <w:t>5</w:t>
      </w:r>
      <w:r>
        <w:rPr>
          <w:rFonts w:hint="eastAsia" w:asciiTheme="minorHAnsi" w:hAnsiTheme="minorHAnsi" w:eastAsiaTheme="minorEastAsia" w:cstheme="minorBidi"/>
          <w:iCs w:val="0"/>
          <w:color w:val="auto"/>
          <w:kern w:val="2"/>
          <w:sz w:val="22"/>
          <w:szCs w:val="22"/>
        </w:rPr>
        <w:t>）断点续传:能够本地缓存告警信息，等待网络恢复后继续发送给平台；</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w:t>
      </w:r>
      <w:r>
        <w:rPr>
          <w:rFonts w:asciiTheme="minorHAnsi" w:hAnsiTheme="minorHAnsi" w:eastAsiaTheme="minorEastAsia" w:cstheme="minorBidi"/>
          <w:iCs w:val="0"/>
          <w:color w:val="auto"/>
          <w:kern w:val="2"/>
          <w:sz w:val="22"/>
          <w:szCs w:val="22"/>
        </w:rPr>
        <w:t>6</w:t>
      </w:r>
      <w:r>
        <w:rPr>
          <w:rFonts w:hint="eastAsia" w:asciiTheme="minorHAnsi" w:hAnsiTheme="minorHAnsi" w:eastAsiaTheme="minorEastAsia" w:cstheme="minorBidi"/>
          <w:iCs w:val="0"/>
          <w:color w:val="auto"/>
          <w:kern w:val="2"/>
          <w:sz w:val="22"/>
          <w:szCs w:val="22"/>
        </w:rPr>
        <w:t>）箱门检测：箱门状态检测，可设置运维过程中自动撤防布防，可设定临时撤防时间限制，超过临时撤防时间后自动布防；</w:t>
      </w:r>
    </w:p>
    <w:p>
      <w:pPr>
        <w:pStyle w:val="45"/>
        <w:pageBreakBefore w:val="0"/>
        <w:numPr>
          <w:ilvl w:val="0"/>
          <w:numId w:val="9"/>
        </w:numPr>
        <w:kinsoku/>
        <w:wordWrap/>
        <w:overflowPunct/>
        <w:topLinePunct w:val="0"/>
        <w:bidi w:val="0"/>
        <w:snapToGrid/>
        <w:spacing w:line="400" w:lineRule="exact"/>
        <w:ind w:left="420" w:leftChars="0" w:hanging="420" w:firstLineChars="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故障精准定位:通过故障预警、前端诊断、云端分析、自动运维等技术，精准定位故障点，快速排障；</w:t>
      </w:r>
    </w:p>
    <w:p>
      <w:pPr>
        <w:pStyle w:val="45"/>
        <w:pageBreakBefore w:val="0"/>
        <w:numPr>
          <w:ilvl w:val="0"/>
          <w:numId w:val="10"/>
        </w:numPr>
        <w:kinsoku/>
        <w:wordWrap/>
        <w:overflowPunct/>
        <w:topLinePunct w:val="0"/>
        <w:bidi w:val="0"/>
        <w:snapToGrid/>
        <w:spacing w:line="400" w:lineRule="exact"/>
        <w:ind w:left="420" w:leftChars="0" w:hanging="420" w:firstLineChars="0"/>
        <w:textAlignment w:val="auto"/>
        <w:rPr>
          <w:rFonts w:asciiTheme="minorHAnsi" w:hAnsiTheme="minorHAnsi" w:eastAsiaTheme="minorEastAsia" w:cstheme="minorBidi"/>
          <w:iCs w:val="0"/>
          <w:color w:val="auto"/>
          <w:kern w:val="2"/>
          <w:sz w:val="22"/>
          <w:szCs w:val="22"/>
        </w:rPr>
      </w:pPr>
      <w:r>
        <w:rPr>
          <w:rFonts w:asciiTheme="minorHAnsi" w:hAnsiTheme="minorHAnsi" w:eastAsiaTheme="minorEastAsia" w:cstheme="minorBidi"/>
          <w:iCs w:val="0"/>
          <w:color w:val="auto"/>
          <w:kern w:val="2"/>
          <w:sz w:val="22"/>
          <w:szCs w:val="22"/>
        </w:rPr>
        <w:t>校时功能</w:t>
      </w:r>
      <w:r>
        <w:rPr>
          <w:rFonts w:hint="eastAsia" w:asciiTheme="minorHAnsi" w:hAnsiTheme="minorHAnsi" w:eastAsiaTheme="minorEastAsia" w:cstheme="minorBidi"/>
          <w:iCs w:val="0"/>
          <w:color w:val="auto"/>
          <w:kern w:val="2"/>
          <w:sz w:val="22"/>
          <w:szCs w:val="22"/>
        </w:rPr>
        <w:t>：</w:t>
      </w:r>
      <w:r>
        <w:rPr>
          <w:rFonts w:asciiTheme="minorHAnsi" w:hAnsiTheme="minorHAnsi" w:eastAsiaTheme="minorEastAsia" w:cstheme="minorBidi"/>
          <w:iCs w:val="0"/>
          <w:color w:val="auto"/>
          <w:kern w:val="2"/>
          <w:sz w:val="22"/>
          <w:szCs w:val="22"/>
        </w:rPr>
        <w:t>通过校时</w:t>
      </w:r>
      <w:r>
        <w:rPr>
          <w:rFonts w:hint="eastAsia" w:asciiTheme="minorHAnsi" w:hAnsiTheme="minorHAnsi" w:eastAsiaTheme="minorEastAsia" w:cstheme="minorBidi"/>
          <w:iCs w:val="0"/>
          <w:color w:val="auto"/>
          <w:kern w:val="2"/>
          <w:sz w:val="22"/>
          <w:szCs w:val="22"/>
        </w:rPr>
        <w:t>，</w:t>
      </w:r>
      <w:r>
        <w:rPr>
          <w:rFonts w:asciiTheme="minorHAnsi" w:hAnsiTheme="minorHAnsi" w:eastAsiaTheme="minorEastAsia" w:cstheme="minorBidi"/>
          <w:iCs w:val="0"/>
          <w:color w:val="auto"/>
          <w:kern w:val="2"/>
          <w:sz w:val="22"/>
          <w:szCs w:val="22"/>
        </w:rPr>
        <w:t>可本设备与后台服务器或客户端时间保持一致；</w:t>
      </w:r>
    </w:p>
    <w:p>
      <w:pPr>
        <w:pStyle w:val="45"/>
        <w:pageBreakBefore w:val="0"/>
        <w:numPr>
          <w:ilvl w:val="0"/>
          <w:numId w:val="11"/>
        </w:numPr>
        <w:kinsoku/>
        <w:wordWrap/>
        <w:overflowPunct/>
        <w:topLinePunct w:val="0"/>
        <w:bidi w:val="0"/>
        <w:snapToGrid/>
        <w:spacing w:line="400" w:lineRule="exact"/>
        <w:ind w:left="420" w:leftChars="0" w:hanging="420" w:firstLineChars="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接口：</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一路AC220V输入，两路摄像机AC220V供电接口，具备延时重启功能，也可手动远程控制通断；两路补光灯AC220V供电接口，具备时控功能，同时可手动远程控制通断；</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两路PWM补光灯调光输出接口，具备远程调节补光灯亮度功能；</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DC12V供电功能：包含四路DC12V输出，其中两路带延时功能;具备远程开关控制功能；</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一路门禁报警输入、一个RS-232、一个RS-485接口、一路10M/100M自适应电口；</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温控风扇：一路DC12V温控风扇接口，温度高于50℃时自动开启风扇，温度低于45℃是自动关闭风扇；</w:t>
      </w:r>
    </w:p>
    <w:p>
      <w:pPr>
        <w:pStyle w:val="45"/>
        <w:pageBreakBefore w:val="0"/>
        <w:numPr>
          <w:ilvl w:val="0"/>
          <w:numId w:val="12"/>
        </w:numPr>
        <w:kinsoku/>
        <w:wordWrap/>
        <w:overflowPunct/>
        <w:topLinePunct w:val="0"/>
        <w:bidi w:val="0"/>
        <w:snapToGrid/>
        <w:spacing w:line="400" w:lineRule="exact"/>
        <w:ind w:left="420" w:leftChars="0" w:hanging="420" w:firstLineChars="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市电接入设备：含空开、熔断器、防浪涌保护器（40KA），电源插座等必要的市电接入安全设备，所用设备均采用知名品牌；</w:t>
      </w:r>
    </w:p>
    <w:p>
      <w:pPr>
        <w:pStyle w:val="45"/>
        <w:pageBreakBefore w:val="0"/>
        <w:numPr>
          <w:ilvl w:val="0"/>
          <w:numId w:val="13"/>
        </w:numPr>
        <w:kinsoku/>
        <w:wordWrap/>
        <w:overflowPunct/>
        <w:topLinePunct w:val="0"/>
        <w:bidi w:val="0"/>
        <w:snapToGrid/>
        <w:spacing w:line="400" w:lineRule="exact"/>
        <w:ind w:left="420" w:leftChars="0" w:hanging="420" w:firstLineChars="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专业定制网络机箱，采用304不锈钢材质，外壳防护等级不低于IP</w:t>
      </w:r>
      <w:r>
        <w:rPr>
          <w:rFonts w:asciiTheme="minorHAnsi" w:hAnsiTheme="minorHAnsi" w:eastAsiaTheme="minorEastAsia" w:cstheme="minorBidi"/>
          <w:iCs w:val="0"/>
          <w:color w:val="auto"/>
          <w:kern w:val="2"/>
          <w:sz w:val="22"/>
          <w:szCs w:val="22"/>
        </w:rPr>
        <w:t>54</w:t>
      </w:r>
      <w:r>
        <w:rPr>
          <w:rFonts w:hint="eastAsia" w:asciiTheme="minorHAnsi" w:hAnsiTheme="minorHAnsi" w:eastAsiaTheme="minorEastAsia" w:cstheme="minorBidi"/>
          <w:iCs w:val="0"/>
          <w:color w:val="auto"/>
          <w:kern w:val="2"/>
          <w:sz w:val="22"/>
          <w:szCs w:val="22"/>
        </w:rPr>
        <w:t>，机箱表面进行白色喷涂处理，机箱正面警徽、民安工程、网络箱编号的颜色鲜艳、清晰，保证5年内雨淋、日晒不脱落、不会明显褪色；结构按照上面所列设备的规格进行定制，提供定制的光纤盘位、电源模组安装位、空开和防雷设备安装位，隔热、散热、防护良好，布局合理、模块化清晰，强电部分进行区域绝缘隔离，让日常运维更安全，配备一个三眼插座，便于调试人员临时取电；配备三个或多个可定制网络设备搁板，确保设备不直接叠放；机箱门采用天地连杆锁，解决时间长门锁松动导致进水的问题；放置于机箱内的上述设备在工厂批量组装完成，统一布局，布线工整，方便后期维护工作。</w:t>
      </w:r>
    </w:p>
    <w:p>
      <w:pPr>
        <w:pStyle w:val="5"/>
        <w:pageBreakBefore w:val="0"/>
        <w:kinsoku/>
        <w:wordWrap/>
        <w:overflowPunct/>
        <w:topLinePunct w:val="0"/>
        <w:bidi w:val="0"/>
        <w:snapToGrid/>
        <w:spacing w:line="400" w:lineRule="exact"/>
        <w:textAlignment w:val="auto"/>
        <w:rPr>
          <w:color w:val="auto"/>
          <w:sz w:val="22"/>
          <w:szCs w:val="22"/>
        </w:rPr>
      </w:pPr>
      <w:r>
        <w:rPr>
          <w:rFonts w:hint="eastAsia"/>
          <w:color w:val="auto"/>
          <w:sz w:val="22"/>
          <w:szCs w:val="22"/>
        </w:rPr>
        <w:t>系统供电</w:t>
      </w:r>
      <w:bookmarkEnd w:id="12"/>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前端监控一般应配备市电供电的条件。如果无法提供一般采用风能和太阳能互补的发电系统，可根据负载情况进行灵活配置。</w:t>
      </w:r>
    </w:p>
    <w:p>
      <w:pPr>
        <w:pStyle w:val="47"/>
        <w:pageBreakBefore w:val="0"/>
        <w:numPr>
          <w:ilvl w:val="4"/>
          <w:numId w:val="0"/>
        </w:numPr>
        <w:kinsoku/>
        <w:wordWrap/>
        <w:overflowPunct/>
        <w:topLinePunct w:val="0"/>
        <w:bidi w:val="0"/>
        <w:snapToGrid/>
        <w:spacing w:line="400" w:lineRule="exact"/>
        <w:textAlignment w:val="auto"/>
        <w:rPr>
          <w:b w:val="0"/>
          <w:bCs/>
          <w:color w:val="auto"/>
          <w:sz w:val="22"/>
          <w:szCs w:val="22"/>
        </w:rPr>
      </w:pPr>
      <w:bookmarkStart w:id="13" w:name="_Toc418790030"/>
      <w:bookmarkStart w:id="14" w:name="_Toc386457300"/>
      <w:bookmarkStart w:id="15" w:name="_Toc446512407"/>
      <w:bookmarkStart w:id="16" w:name="_Toc461136090"/>
      <w:bookmarkStart w:id="17" w:name="_Toc386457298"/>
      <w:bookmarkStart w:id="18" w:name="_Toc446512405"/>
      <w:bookmarkStart w:id="19" w:name="_Toc461136088"/>
      <w:bookmarkStart w:id="20" w:name="_Toc418790028"/>
      <w:r>
        <w:rPr>
          <w:rFonts w:hint="eastAsia"/>
          <w:b w:val="0"/>
          <w:bCs/>
          <w:color w:val="auto"/>
          <w:sz w:val="22"/>
          <w:szCs w:val="22"/>
        </w:rPr>
        <w:t>市电配置说明</w:t>
      </w:r>
      <w:bookmarkEnd w:id="13"/>
      <w:bookmarkEnd w:id="14"/>
      <w:bookmarkEnd w:id="15"/>
      <w:bookmarkEnd w:id="16"/>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对于监测站点附近有市电时，可采用市电供电。市电通过开关电源转为12V或24V为系统供电。为保证市电断电状态下也能够让监测站保持一段时间工作，系统也应配备蓄电池和充放电控制器。</w:t>
      </w:r>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hint="eastAsia" w:asciiTheme="minorHAnsi" w:hAnsiTheme="minorHAnsi" w:eastAsiaTheme="minorEastAsia" w:cstheme="minorBidi"/>
          <w:iCs w:val="0"/>
          <w:color w:val="auto"/>
          <w:kern w:val="2"/>
          <w:sz w:val="22"/>
          <w:szCs w:val="22"/>
        </w:rPr>
        <w:t>采用市电应注意防雷。</w:t>
      </w:r>
    </w:p>
    <w:bookmarkEnd w:id="17"/>
    <w:bookmarkEnd w:id="18"/>
    <w:bookmarkEnd w:id="19"/>
    <w:bookmarkEnd w:id="20"/>
    <w:p>
      <w:pPr>
        <w:pStyle w:val="4"/>
        <w:pageBreakBefore w:val="0"/>
        <w:kinsoku/>
        <w:wordWrap/>
        <w:overflowPunct/>
        <w:topLinePunct w:val="0"/>
        <w:bidi w:val="0"/>
        <w:snapToGrid/>
        <w:spacing w:line="400" w:lineRule="exact"/>
        <w:textAlignment w:val="auto"/>
        <w:rPr>
          <w:color w:val="auto"/>
          <w:sz w:val="22"/>
          <w:szCs w:val="22"/>
        </w:rPr>
      </w:pPr>
      <w:bookmarkStart w:id="21" w:name="_Toc36038215"/>
      <w:r>
        <w:rPr>
          <w:color w:val="auto"/>
          <w:sz w:val="22"/>
          <w:szCs w:val="22"/>
        </w:rPr>
        <w:t>系统功能</w:t>
      </w:r>
      <w:bookmarkEnd w:id="21"/>
    </w:p>
    <w:p>
      <w:pPr>
        <w:pageBreakBefore w:val="0"/>
        <w:kinsoku/>
        <w:wordWrap/>
        <w:overflowPunct/>
        <w:topLinePunct w:val="0"/>
        <w:bidi w:val="0"/>
        <w:snapToGrid/>
        <w:spacing w:line="400" w:lineRule="exact"/>
        <w:ind w:firstLine="480"/>
        <w:textAlignment w:val="auto"/>
        <w:rPr>
          <w:color w:val="auto"/>
          <w:sz w:val="22"/>
          <w:szCs w:val="22"/>
        </w:rPr>
      </w:pPr>
      <w:bookmarkStart w:id="22" w:name="_Toc428692454"/>
      <w:r>
        <w:rPr>
          <w:rFonts w:hint="eastAsia" w:hAnsi="宋体"/>
          <w:color w:val="auto"/>
          <w:sz w:val="22"/>
          <w:szCs w:val="22"/>
        </w:rPr>
        <w:t>1）强光抑制</w:t>
      </w:r>
      <w:bookmarkEnd w:id="22"/>
    </w:p>
    <w:p>
      <w:pPr>
        <w:pageBreakBefore w:val="0"/>
        <w:kinsoku/>
        <w:wordWrap/>
        <w:overflowPunct/>
        <w:topLinePunct w:val="0"/>
        <w:bidi w:val="0"/>
        <w:snapToGrid/>
        <w:spacing w:line="400" w:lineRule="exact"/>
        <w:ind w:firstLine="480"/>
        <w:textAlignment w:val="auto"/>
        <w:rPr>
          <w:rFonts w:hAnsi="宋体"/>
          <w:color w:val="auto"/>
          <w:sz w:val="22"/>
          <w:szCs w:val="22"/>
        </w:rPr>
      </w:pPr>
      <w:r>
        <w:rPr>
          <w:rFonts w:hint="eastAsia" w:hAnsi="宋体"/>
          <w:color w:val="auto"/>
          <w:sz w:val="22"/>
          <w:szCs w:val="22"/>
        </w:rPr>
        <w:t>在夜间监控车辆道路、出入口等情况下，往往因为车光线太强严重影响视频图像质量。产品中广泛采用强光抑制技术来解决此种困扰，有效抑制强光点直接照射造成的视频图像模糊，能自动分辨强光点，并对强光点附近区域进行补偿以获得更清晰的图像。</w:t>
      </w:r>
    </w:p>
    <w:p>
      <w:pPr>
        <w:pageBreakBefore w:val="0"/>
        <w:kinsoku/>
        <w:wordWrap/>
        <w:overflowPunct/>
        <w:topLinePunct w:val="0"/>
        <w:bidi w:val="0"/>
        <w:snapToGrid/>
        <w:spacing w:line="400" w:lineRule="exact"/>
        <w:ind w:firstLine="0" w:firstLineChars="0"/>
        <w:jc w:val="center"/>
        <w:textAlignment w:val="auto"/>
        <w:rPr>
          <w:color w:val="auto"/>
          <w:sz w:val="22"/>
          <w:szCs w:val="22"/>
        </w:rPr>
      </w:pPr>
    </w:p>
    <w:p>
      <w:pPr>
        <w:pageBreakBefore w:val="0"/>
        <w:kinsoku/>
        <w:wordWrap/>
        <w:overflowPunct/>
        <w:topLinePunct w:val="0"/>
        <w:bidi w:val="0"/>
        <w:snapToGrid/>
        <w:spacing w:line="400" w:lineRule="exact"/>
        <w:ind w:firstLine="480"/>
        <w:textAlignment w:val="auto"/>
        <w:rPr>
          <w:color w:val="auto"/>
          <w:sz w:val="22"/>
          <w:szCs w:val="22"/>
        </w:rPr>
      </w:pPr>
      <w:r>
        <w:rPr>
          <w:color w:val="auto"/>
          <w:sz w:val="22"/>
          <w:szCs w:val="22"/>
        </w:rPr>
        <w:t>2）红外增强</w:t>
      </w:r>
    </w:p>
    <w:p>
      <w:pPr>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针对夜间或光线不好的场景下图像质量差的问题，推出红外摄像机和红外球机，、可以获得清晰的夜间图像。</w:t>
      </w:r>
    </w:p>
    <w:p>
      <w:pPr>
        <w:pageBreakBefore w:val="0"/>
        <w:kinsoku/>
        <w:wordWrap/>
        <w:overflowPunct/>
        <w:topLinePunct w:val="0"/>
        <w:bidi w:val="0"/>
        <w:snapToGrid/>
        <w:spacing w:line="400" w:lineRule="exact"/>
        <w:ind w:firstLine="0" w:firstLineChars="0"/>
        <w:jc w:val="center"/>
        <w:textAlignment w:val="auto"/>
        <w:rPr>
          <w:color w:val="auto"/>
          <w:sz w:val="22"/>
          <w:szCs w:val="22"/>
        </w:rPr>
      </w:pPr>
    </w:p>
    <w:p>
      <w:pPr>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3）激光远距离</w:t>
      </w:r>
    </w:p>
    <w:p>
      <w:pPr>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针对恶劣台风暴雨天气的场景下图像质量差的问题，</w:t>
      </w:r>
      <w:r>
        <w:rPr>
          <w:rFonts w:hint="eastAsia"/>
          <w:color w:val="auto"/>
          <w:sz w:val="22"/>
          <w:szCs w:val="22"/>
          <w:lang w:val="en-US" w:eastAsia="zh-CN"/>
        </w:rPr>
        <w:t>采用</w:t>
      </w:r>
      <w:r>
        <w:rPr>
          <w:rFonts w:hint="eastAsia"/>
          <w:color w:val="auto"/>
          <w:sz w:val="22"/>
          <w:szCs w:val="22"/>
        </w:rPr>
        <w:t>激光红外球机，图像清晰可见。</w:t>
      </w:r>
    </w:p>
    <w:p>
      <w:pPr>
        <w:pageBreakBefore w:val="0"/>
        <w:kinsoku/>
        <w:wordWrap/>
        <w:overflowPunct/>
        <w:topLinePunct w:val="0"/>
        <w:bidi w:val="0"/>
        <w:snapToGrid/>
        <w:spacing w:line="400" w:lineRule="exact"/>
        <w:ind w:firstLine="480"/>
        <w:textAlignment w:val="auto"/>
        <w:rPr>
          <w:color w:val="auto"/>
          <w:sz w:val="22"/>
          <w:szCs w:val="22"/>
        </w:rPr>
      </w:pPr>
      <w:r>
        <w:rPr>
          <w:color w:val="auto"/>
          <w:sz w:val="22"/>
          <w:szCs w:val="22"/>
        </w:rPr>
        <w:t>4</w:t>
      </w:r>
      <w:r>
        <w:rPr>
          <w:rFonts w:hint="eastAsia"/>
          <w:color w:val="auto"/>
          <w:sz w:val="22"/>
          <w:szCs w:val="22"/>
        </w:rPr>
        <w:t>）</w:t>
      </w:r>
      <w:bookmarkStart w:id="23" w:name="_Toc428692457"/>
      <w:r>
        <w:rPr>
          <w:color w:val="auto"/>
          <w:sz w:val="22"/>
          <w:szCs w:val="22"/>
        </w:rPr>
        <w:t>3D</w:t>
      </w:r>
      <w:r>
        <w:rPr>
          <w:rFonts w:hint="eastAsia"/>
          <w:color w:val="auto"/>
          <w:sz w:val="22"/>
          <w:szCs w:val="22"/>
        </w:rPr>
        <w:t>数字降噪</w:t>
      </w:r>
      <w:bookmarkEnd w:id="23"/>
    </w:p>
    <w:p>
      <w:pPr>
        <w:pageBreakBefore w:val="0"/>
        <w:kinsoku/>
        <w:wordWrap/>
        <w:overflowPunct/>
        <w:topLinePunct w:val="0"/>
        <w:bidi w:val="0"/>
        <w:snapToGrid/>
        <w:spacing w:line="400" w:lineRule="exact"/>
        <w:ind w:firstLine="480"/>
        <w:textAlignment w:val="auto"/>
        <w:rPr>
          <w:color w:val="auto"/>
          <w:sz w:val="22"/>
          <w:szCs w:val="22"/>
        </w:rPr>
      </w:pPr>
      <w:r>
        <w:rPr>
          <w:color w:val="auto"/>
          <w:sz w:val="22"/>
          <w:szCs w:val="22"/>
        </w:rPr>
        <w:t>3D</w:t>
      </w:r>
      <w:r>
        <w:rPr>
          <w:rFonts w:hint="eastAsia"/>
          <w:color w:val="auto"/>
          <w:sz w:val="22"/>
          <w:szCs w:val="22"/>
        </w:rPr>
        <w:t>数字降噪功能能够降低弱信号图像的噪波干扰。由于图像噪波的出现是随机的，因此每一帧图像出现的噪波是不相同的。</w:t>
      </w:r>
      <w:r>
        <w:rPr>
          <w:color w:val="auto"/>
          <w:sz w:val="22"/>
          <w:szCs w:val="22"/>
        </w:rPr>
        <w:t>3D</w:t>
      </w:r>
      <w:r>
        <w:rPr>
          <w:rFonts w:hint="eastAsia"/>
          <w:color w:val="auto"/>
          <w:sz w:val="22"/>
          <w:szCs w:val="22"/>
        </w:rPr>
        <w:t>数字降噪通过对比相邻的几帧图像，将不重叠的信息（即噪波）自动滤出，从而显示出比较纯净细腻的画面。产品中广泛采用</w:t>
      </w:r>
      <w:r>
        <w:rPr>
          <w:color w:val="auto"/>
          <w:sz w:val="22"/>
          <w:szCs w:val="22"/>
        </w:rPr>
        <w:t>3D</w:t>
      </w:r>
      <w:r>
        <w:rPr>
          <w:rFonts w:hint="eastAsia"/>
          <w:color w:val="auto"/>
          <w:sz w:val="22"/>
          <w:szCs w:val="22"/>
        </w:rPr>
        <w:t>时空域联合降噪处理，结合准确的噪声强度估计算法，在光照理想、噪声较低时图像清晰细节没有损伤，光照不足时噪声明显抑制，图像细节大量保留，有效提升视频监控图像质量。</w:t>
      </w:r>
    </w:p>
    <w:p>
      <w:pPr>
        <w:pageBreakBefore w:val="0"/>
        <w:kinsoku/>
        <w:wordWrap/>
        <w:overflowPunct/>
        <w:topLinePunct w:val="0"/>
        <w:bidi w:val="0"/>
        <w:snapToGrid/>
        <w:spacing w:line="400" w:lineRule="exact"/>
        <w:ind w:firstLine="480"/>
        <w:textAlignment w:val="auto"/>
        <w:rPr>
          <w:color w:val="auto"/>
          <w:sz w:val="22"/>
          <w:szCs w:val="22"/>
        </w:rPr>
      </w:pPr>
      <w:r>
        <w:rPr>
          <w:color w:val="auto"/>
          <w:sz w:val="22"/>
          <w:szCs w:val="22"/>
        </w:rPr>
        <w:t>5</w:t>
      </w:r>
      <w:r>
        <w:rPr>
          <w:rFonts w:hint="eastAsia"/>
          <w:color w:val="auto"/>
          <w:sz w:val="22"/>
          <w:szCs w:val="22"/>
        </w:rPr>
        <w:t>）宽动态</w:t>
      </w:r>
    </w:p>
    <w:p>
      <w:pPr>
        <w:pageBreakBefore w:val="0"/>
        <w:kinsoku/>
        <w:wordWrap/>
        <w:overflowPunct/>
        <w:topLinePunct w:val="0"/>
        <w:bidi w:val="0"/>
        <w:snapToGrid/>
        <w:spacing w:line="400" w:lineRule="exact"/>
        <w:ind w:firstLine="480"/>
        <w:textAlignment w:val="auto"/>
        <w:rPr>
          <w:color w:val="auto"/>
          <w:sz w:val="22"/>
          <w:szCs w:val="22"/>
        </w:rPr>
      </w:pPr>
      <w:r>
        <w:rPr>
          <w:rFonts w:hint="eastAsia" w:asciiTheme="minorEastAsia" w:hAnsiTheme="minorEastAsia"/>
          <w:color w:val="auto"/>
          <w:sz w:val="22"/>
          <w:szCs w:val="22"/>
        </w:rPr>
        <w:t>监控环境中常会遇到光线明暗反差过大的场景，利用宽动态技术，可将场景中特别亮的部位和特别暗的部位都能看得特别清楚。普通摄像机获取的是背景清晰但是前景较暗的图像，宽动态摄像机能获取前景和背景都清晰的图像</w:t>
      </w:r>
      <w:r>
        <w:rPr>
          <w:rFonts w:hint="eastAsia"/>
          <w:color w:val="auto"/>
          <w:sz w:val="22"/>
          <w:szCs w:val="22"/>
        </w:rPr>
        <w:t>。</w:t>
      </w:r>
    </w:p>
    <w:p>
      <w:pPr>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6）危险预警</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ascii="宋体" w:hAnsi="宋体"/>
          <w:color w:val="auto"/>
          <w:sz w:val="22"/>
          <w:szCs w:val="22"/>
        </w:rPr>
        <w:t>对于危险水域人员防范，可通过接入警戒摄像机，通过危险水域周界布防或者水域区域进出口布防，</w:t>
      </w:r>
      <w:r>
        <w:rPr>
          <w:rFonts w:hint="eastAsia" w:ascii="宋体" w:hAnsi="宋体"/>
          <w:color w:val="auto"/>
          <w:sz w:val="22"/>
          <w:szCs w:val="22"/>
        </w:rPr>
        <w:t>发出入侵报警等功能，</w:t>
      </w:r>
      <w:r>
        <w:rPr>
          <w:rFonts w:hint="eastAsia" w:ascii="宋体" w:hAnsi="宋体"/>
          <w:color w:val="auto"/>
          <w:sz w:val="22"/>
          <w:szCs w:val="22"/>
          <w:lang w:eastAsia="zh-CN"/>
        </w:rPr>
        <w:t>监控平台</w:t>
      </w:r>
      <w:r>
        <w:rPr>
          <w:rFonts w:hint="eastAsia" w:ascii="宋体" w:hAnsi="宋体"/>
          <w:color w:val="auto"/>
          <w:sz w:val="22"/>
          <w:szCs w:val="22"/>
        </w:rPr>
        <w:t>预警，现场语音及灯光</w:t>
      </w:r>
      <w:r>
        <w:rPr>
          <w:rFonts w:ascii="宋体" w:hAnsi="宋体"/>
          <w:color w:val="auto"/>
          <w:sz w:val="22"/>
          <w:szCs w:val="22"/>
        </w:rPr>
        <w:t>提醒相关人员危险区域，注意安全，防止生命安全事故产生。</w:t>
      </w:r>
    </w:p>
    <w:p>
      <w:pPr>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7）</w:t>
      </w:r>
      <w:r>
        <w:rPr>
          <w:color w:val="auto"/>
          <w:sz w:val="22"/>
          <w:szCs w:val="22"/>
        </w:rPr>
        <w:t>人脸识别系统</w:t>
      </w:r>
    </w:p>
    <w:p>
      <w:pPr>
        <w:pStyle w:val="46"/>
        <w:pageBreakBefore w:val="0"/>
        <w:kinsoku/>
        <w:wordWrap/>
        <w:overflowPunct/>
        <w:topLinePunct w:val="0"/>
        <w:bidi w:val="0"/>
        <w:snapToGrid/>
        <w:spacing w:line="400" w:lineRule="exact"/>
        <w:ind w:firstLine="480"/>
        <w:textAlignment w:val="auto"/>
        <w:rPr>
          <w:b/>
          <w:color w:val="auto"/>
          <w:sz w:val="22"/>
          <w:szCs w:val="22"/>
        </w:rPr>
      </w:pPr>
      <w:bookmarkStart w:id="24" w:name="_Toc524595327"/>
      <w:r>
        <w:rPr>
          <w:rFonts w:hint="eastAsia"/>
          <w:b/>
          <w:color w:val="auto"/>
          <w:sz w:val="22"/>
          <w:szCs w:val="22"/>
        </w:rPr>
        <w:t>实时识别</w:t>
      </w:r>
      <w:bookmarkEnd w:id="24"/>
    </w:p>
    <w:p>
      <w:pPr>
        <w:pStyle w:val="48"/>
        <w:pageBreakBefore w:val="0"/>
        <w:kinsoku/>
        <w:wordWrap/>
        <w:overflowPunct/>
        <w:topLinePunct w:val="0"/>
        <w:bidi w:val="0"/>
        <w:snapToGrid/>
        <w:spacing w:before="0" w:after="0" w:line="400" w:lineRule="exact"/>
        <w:ind w:firstLineChars="0"/>
        <w:jc w:val="left"/>
        <w:textAlignment w:val="auto"/>
        <w:rPr>
          <w:rFonts w:ascii="宋体" w:hAnsi="宋体" w:cs="Times New Roman"/>
          <w:color w:val="auto"/>
          <w:sz w:val="22"/>
          <w:szCs w:val="22"/>
        </w:rPr>
      </w:pPr>
      <w:r>
        <w:rPr>
          <w:rFonts w:hint="eastAsia" w:ascii="宋体" w:hAnsi="宋体" w:cs="Times New Roman"/>
          <w:color w:val="auto"/>
          <w:sz w:val="22"/>
          <w:szCs w:val="22"/>
        </w:rPr>
        <w:t>中心应用客户端支持人脸的实时识别功能。</w:t>
      </w:r>
    </w:p>
    <w:p>
      <w:pPr>
        <w:pStyle w:val="48"/>
        <w:pageBreakBefore w:val="0"/>
        <w:kinsoku/>
        <w:wordWrap/>
        <w:overflowPunct/>
        <w:topLinePunct w:val="0"/>
        <w:bidi w:val="0"/>
        <w:snapToGrid/>
        <w:spacing w:before="0" w:after="0" w:line="400" w:lineRule="exact"/>
        <w:ind w:firstLineChars="0"/>
        <w:jc w:val="left"/>
        <w:textAlignment w:val="auto"/>
        <w:rPr>
          <w:rFonts w:ascii="宋体" w:hAnsi="宋体" w:cs="Times New Roman"/>
          <w:color w:val="auto"/>
          <w:sz w:val="22"/>
          <w:szCs w:val="22"/>
        </w:rPr>
      </w:pPr>
      <w:r>
        <w:rPr>
          <w:rFonts w:hint="eastAsia" w:ascii="宋体" w:hAnsi="宋体" w:cs="Times New Roman"/>
          <w:color w:val="auto"/>
          <w:sz w:val="22"/>
          <w:szCs w:val="22"/>
        </w:rPr>
        <w:t>当有人脸事件上报时，实时展示抓拍图及识别详情，支持查看抓拍原图、抓拍图像中对应人员的轨迹、录像回放。</w:t>
      </w:r>
    </w:p>
    <w:p>
      <w:pPr>
        <w:pStyle w:val="48"/>
        <w:pageBreakBefore w:val="0"/>
        <w:kinsoku/>
        <w:wordWrap/>
        <w:overflowPunct/>
        <w:topLinePunct w:val="0"/>
        <w:bidi w:val="0"/>
        <w:snapToGrid/>
        <w:spacing w:before="0" w:after="0" w:line="400" w:lineRule="exact"/>
        <w:ind w:firstLineChars="0"/>
        <w:jc w:val="left"/>
        <w:textAlignment w:val="auto"/>
        <w:rPr>
          <w:rFonts w:ascii="宋体" w:hAnsi="宋体" w:cs="Times New Roman"/>
          <w:color w:val="auto"/>
          <w:sz w:val="22"/>
          <w:szCs w:val="22"/>
        </w:rPr>
      </w:pPr>
      <w:r>
        <w:rPr>
          <w:rFonts w:hint="eastAsia" w:ascii="宋体" w:hAnsi="宋体" w:cs="Times New Roman"/>
          <w:color w:val="auto"/>
          <w:sz w:val="22"/>
          <w:szCs w:val="22"/>
        </w:rPr>
        <w:t>支持按照事件类型：全部事件类型、重点人员事件、陌生人事件，过滤实时识别记录，支持按照人脸分组过滤实时识别记录。</w:t>
      </w:r>
    </w:p>
    <w:p>
      <w:pPr>
        <w:pStyle w:val="48"/>
        <w:pageBreakBefore w:val="0"/>
        <w:kinsoku/>
        <w:wordWrap/>
        <w:overflowPunct/>
        <w:topLinePunct w:val="0"/>
        <w:bidi w:val="0"/>
        <w:snapToGrid/>
        <w:spacing w:before="0" w:after="0" w:line="400" w:lineRule="exact"/>
        <w:ind w:firstLineChars="0"/>
        <w:jc w:val="left"/>
        <w:textAlignment w:val="auto"/>
        <w:rPr>
          <w:rFonts w:ascii="宋体" w:hAnsi="宋体" w:cs="Times New Roman"/>
          <w:color w:val="auto"/>
          <w:sz w:val="22"/>
          <w:szCs w:val="22"/>
        </w:rPr>
      </w:pPr>
      <w:r>
        <w:rPr>
          <w:rFonts w:hint="eastAsia" w:ascii="宋体" w:hAnsi="宋体" w:cs="Times New Roman"/>
          <w:color w:val="auto"/>
          <w:sz w:val="22"/>
          <w:szCs w:val="22"/>
        </w:rPr>
        <w:t>支持锁定识别详情，锁定后事件详情不会刷新直到解锁。</w:t>
      </w:r>
    </w:p>
    <w:p>
      <w:pPr>
        <w:pStyle w:val="46"/>
        <w:pageBreakBefore w:val="0"/>
        <w:kinsoku/>
        <w:wordWrap/>
        <w:overflowPunct/>
        <w:topLinePunct w:val="0"/>
        <w:bidi w:val="0"/>
        <w:snapToGrid/>
        <w:spacing w:line="400" w:lineRule="exact"/>
        <w:ind w:firstLine="480"/>
        <w:textAlignment w:val="auto"/>
        <w:rPr>
          <w:b/>
          <w:color w:val="auto"/>
          <w:sz w:val="22"/>
          <w:szCs w:val="22"/>
        </w:rPr>
      </w:pPr>
      <w:bookmarkStart w:id="25" w:name="_Toc524595329"/>
      <w:bookmarkStart w:id="26" w:name="_Toc519257291"/>
      <w:r>
        <w:rPr>
          <w:rFonts w:hint="eastAsia"/>
          <w:b/>
          <w:color w:val="auto"/>
          <w:sz w:val="22"/>
          <w:szCs w:val="22"/>
        </w:rPr>
        <w:t>陌生人识别</w:t>
      </w:r>
      <w:bookmarkEnd w:id="25"/>
      <w:bookmarkEnd w:id="26"/>
    </w:p>
    <w:p>
      <w:pPr>
        <w:keepNext w:val="0"/>
        <w:keepLines w:val="0"/>
        <w:pageBreakBefore w:val="0"/>
        <w:widowControl/>
        <w:numPr>
          <w:ilvl w:val="0"/>
          <w:numId w:val="0"/>
        </w:numPr>
        <w:suppressLineNumbers w:val="0"/>
        <w:kinsoku/>
        <w:wordWrap/>
        <w:overflowPunct/>
        <w:topLinePunct w:val="0"/>
        <w:bidi w:val="0"/>
        <w:spacing w:line="400" w:lineRule="exact"/>
        <w:jc w:val="left"/>
        <w:textAlignment w:val="center"/>
        <w:rPr>
          <w:rFonts w:hint="eastAsia" w:ascii="宋体" w:hAnsi="宋体" w:cs="Times New Roman"/>
          <w:color w:val="auto"/>
          <w:sz w:val="22"/>
          <w:szCs w:val="22"/>
          <w:highlight w:val="none"/>
          <w:lang w:val="en-US" w:eastAsia="zh-CN"/>
        </w:rPr>
      </w:pPr>
      <w:r>
        <w:rPr>
          <w:rFonts w:hint="eastAsia" w:ascii="宋体" w:hAnsi="宋体" w:cs="Times New Roman"/>
          <w:color w:val="auto"/>
          <w:sz w:val="22"/>
          <w:szCs w:val="22"/>
        </w:rPr>
        <w:t>当前端设备识别到陌生人，人脸抓拍机可以上传报警信息到</w:t>
      </w:r>
      <w:r>
        <w:rPr>
          <w:rFonts w:hint="eastAsia" w:ascii="宋体" w:hAnsi="宋体" w:cs="Times New Roman"/>
          <w:color w:val="auto"/>
          <w:sz w:val="22"/>
          <w:szCs w:val="22"/>
          <w:lang w:eastAsia="zh-CN"/>
        </w:rPr>
        <w:t>监控平台</w:t>
      </w:r>
      <w:r>
        <w:rPr>
          <w:rFonts w:hint="eastAsia" w:ascii="宋体" w:hAnsi="宋体" w:cs="Times New Roman"/>
          <w:color w:val="auto"/>
          <w:sz w:val="22"/>
          <w:szCs w:val="22"/>
        </w:rPr>
        <w:t>提醒安保人员有人员闯入，可及时通过音箱设备喊话功能驱离人员。</w:t>
      </w:r>
      <w:r>
        <w:rPr>
          <w:rFonts w:hint="eastAsia" w:ascii="宋体" w:hAnsi="宋体" w:cs="Times New Roman"/>
          <w:color w:val="auto"/>
          <w:sz w:val="22"/>
          <w:szCs w:val="22"/>
        </w:rPr>
        <w:br w:type="textWrapping"/>
      </w:r>
      <w:r>
        <w:rPr>
          <w:rFonts w:hint="eastAsia" w:ascii="宋体" w:hAnsi="宋体" w:cs="Times New Roman"/>
          <w:color w:val="auto"/>
          <w:sz w:val="22"/>
          <w:szCs w:val="22"/>
          <w:lang w:val="en-US" w:eastAsia="zh-CN"/>
        </w:rPr>
        <w:t xml:space="preserve">   </w:t>
      </w:r>
      <w:r>
        <w:rPr>
          <w:rFonts w:hint="eastAsia" w:ascii="宋体" w:hAnsi="宋体" w:cs="Times New Roman"/>
          <w:color w:val="auto"/>
          <w:sz w:val="22"/>
          <w:szCs w:val="22"/>
          <w:highlight w:val="none"/>
          <w:lang w:val="en-US" w:eastAsia="zh-CN"/>
        </w:rPr>
        <w:t xml:space="preserve"> 8）</w:t>
      </w:r>
      <w:r>
        <w:rPr>
          <w:rFonts w:hint="eastAsia" w:ascii="宋体" w:hAnsi="宋体" w:cs="Times New Roman"/>
          <w:color w:val="auto"/>
          <w:sz w:val="22"/>
          <w:szCs w:val="22"/>
          <w:highlight w:val="none"/>
        </w:rPr>
        <w:t>机动车、非机动车、行人检测及抓拍</w:t>
      </w:r>
      <w:r>
        <w:rPr>
          <w:rFonts w:hint="eastAsia" w:ascii="宋体" w:hAnsi="宋体" w:cs="Times New Roman"/>
          <w:color w:val="auto"/>
          <w:sz w:val="22"/>
          <w:szCs w:val="22"/>
          <w:highlight w:val="none"/>
          <w:lang w:val="en-US" w:eastAsia="zh-CN"/>
        </w:rPr>
        <w:t>系统</w:t>
      </w:r>
    </w:p>
    <w:p>
      <w:pPr>
        <w:keepNext w:val="0"/>
        <w:keepLines w:val="0"/>
        <w:pageBreakBefore w:val="0"/>
        <w:widowControl/>
        <w:numPr>
          <w:ilvl w:val="0"/>
          <w:numId w:val="0"/>
        </w:numPr>
        <w:suppressLineNumbers w:val="0"/>
        <w:kinsoku/>
        <w:wordWrap/>
        <w:overflowPunct/>
        <w:topLinePunct w:val="0"/>
        <w:bidi w:val="0"/>
        <w:spacing w:line="400" w:lineRule="exact"/>
        <w:jc w:val="left"/>
        <w:textAlignment w:val="center"/>
        <w:rPr>
          <w:rFonts w:hint="eastAsia" w:ascii="宋体" w:hAnsi="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 xml:space="preserve">    </w:t>
      </w:r>
      <w:r>
        <w:rPr>
          <w:rFonts w:hint="eastAsia" w:asciiTheme="majorEastAsia" w:hAnsiTheme="majorEastAsia" w:eastAsiaTheme="majorEastAsia" w:cstheme="majorEastAsia"/>
          <w:i w:val="0"/>
          <w:color w:val="auto"/>
          <w:kern w:val="0"/>
          <w:sz w:val="22"/>
          <w:szCs w:val="22"/>
          <w:highlight w:val="none"/>
          <w:u w:val="none"/>
          <w:lang w:val="en-US" w:eastAsia="zh-CN" w:bidi="ar"/>
        </w:rPr>
        <w:t>支</w:t>
      </w:r>
      <w:r>
        <w:rPr>
          <w:rFonts w:hint="eastAsia" w:ascii="宋体" w:hAnsi="宋体" w:cs="Times New Roman"/>
          <w:color w:val="auto"/>
          <w:sz w:val="22"/>
          <w:szCs w:val="22"/>
          <w:highlight w:val="none"/>
          <w:lang w:val="en-US" w:eastAsia="zh-CN"/>
        </w:rPr>
        <w:t>持机动车、非机动车、行人检测功能，可对监控画面中的机动车、非机动车、行人同时进行检测及抓图。能同时支持对照片中的不少于40个目标进行检测。</w:t>
      </w:r>
    </w:p>
    <w:p>
      <w:pPr>
        <w:keepNext w:val="0"/>
        <w:keepLines w:val="0"/>
        <w:pageBreakBefore w:val="0"/>
        <w:widowControl/>
        <w:numPr>
          <w:ilvl w:val="0"/>
          <w:numId w:val="0"/>
        </w:numPr>
        <w:suppressLineNumbers w:val="0"/>
        <w:kinsoku/>
        <w:wordWrap/>
        <w:overflowPunct/>
        <w:topLinePunct w:val="0"/>
        <w:bidi w:val="0"/>
        <w:spacing w:line="400" w:lineRule="exact"/>
        <w:ind w:firstLine="446" w:firstLineChars="200"/>
        <w:jc w:val="left"/>
        <w:textAlignment w:val="center"/>
        <w:rPr>
          <w:rFonts w:hint="eastAsia" w:ascii="宋体" w:hAnsi="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支持车辆捕获功能，白天和晚上捕获率不小于95%；行人图像捕获率：白天与夜间均不少于95%；非机动车捕获率：白天与夜间均不少于95%。</w:t>
      </w:r>
    </w:p>
    <w:p>
      <w:pPr>
        <w:pageBreakBefore w:val="0"/>
        <w:kinsoku/>
        <w:wordWrap/>
        <w:overflowPunct/>
        <w:topLinePunct w:val="0"/>
        <w:bidi w:val="0"/>
        <w:snapToGrid/>
        <w:spacing w:line="400" w:lineRule="exact"/>
        <w:textAlignment w:val="auto"/>
        <w:rPr>
          <w:color w:val="auto"/>
          <w:sz w:val="22"/>
          <w:szCs w:val="22"/>
          <w:highlight w:val="none"/>
        </w:rPr>
      </w:pPr>
      <w:bookmarkStart w:id="27" w:name="_Toc36038216"/>
      <w:r>
        <w:rPr>
          <w:rFonts w:hint="eastAsia"/>
          <w:color w:val="auto"/>
          <w:sz w:val="22"/>
          <w:szCs w:val="22"/>
          <w:highlight w:val="none"/>
          <w:lang w:val="en-US" w:eastAsia="zh-CN"/>
        </w:rPr>
        <w:t>2.</w:t>
      </w:r>
      <w:r>
        <w:rPr>
          <w:color w:val="auto"/>
          <w:sz w:val="22"/>
          <w:szCs w:val="22"/>
          <w:highlight w:val="none"/>
        </w:rPr>
        <w:t>广播系统</w:t>
      </w:r>
      <w:bookmarkEnd w:id="27"/>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highlight w:val="none"/>
        </w:rPr>
      </w:pPr>
      <w:bookmarkStart w:id="28" w:name="_Toc36038217"/>
      <w:r>
        <w:rPr>
          <w:rFonts w:hint="eastAsia"/>
          <w:color w:val="auto"/>
          <w:sz w:val="22"/>
          <w:szCs w:val="22"/>
          <w:highlight w:val="none"/>
          <w:lang w:val="en-US" w:eastAsia="zh-CN"/>
        </w:rPr>
        <w:t>2.1</w:t>
      </w:r>
      <w:r>
        <w:rPr>
          <w:rFonts w:hint="eastAsia"/>
          <w:color w:val="auto"/>
          <w:sz w:val="22"/>
          <w:szCs w:val="22"/>
          <w:highlight w:val="none"/>
        </w:rPr>
        <w:t>系统概述</w:t>
      </w:r>
      <w:bookmarkEnd w:id="28"/>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asciiTheme="minorHAnsi" w:hAnsiTheme="minorHAnsi" w:eastAsiaTheme="minorEastAsia" w:cstheme="minorBidi"/>
          <w:iCs w:val="0"/>
          <w:color w:val="auto"/>
          <w:kern w:val="2"/>
          <w:sz w:val="22"/>
          <w:szCs w:val="22"/>
        </w:rPr>
        <w:t>IP网络广播系统</w:t>
      </w:r>
      <w:r>
        <w:rPr>
          <w:rFonts w:hint="eastAsia" w:asciiTheme="minorHAnsi" w:hAnsiTheme="minorHAnsi" w:eastAsiaTheme="minorEastAsia" w:cstheme="minorBidi"/>
          <w:iCs w:val="0"/>
          <w:color w:val="auto"/>
          <w:kern w:val="2"/>
          <w:sz w:val="22"/>
          <w:szCs w:val="22"/>
        </w:rPr>
        <w:t>采</w:t>
      </w:r>
      <w:r>
        <w:rPr>
          <w:rFonts w:asciiTheme="minorHAnsi" w:hAnsiTheme="minorHAnsi" w:eastAsiaTheme="minorEastAsia" w:cstheme="minorBidi"/>
          <w:iCs w:val="0"/>
          <w:color w:val="auto"/>
          <w:kern w:val="2"/>
          <w:sz w:val="22"/>
          <w:szCs w:val="22"/>
        </w:rPr>
        <w:t>用领先的网络音频技术，将音频信号以数据包形式在局域网和广域网上进行传送，是一套纯数字的双向音频扩声系统。彻底解决传统对讲系统存在的传输距离有限、易受干扰等问题；解决传统广播存在的音质不佳、传输距离有限、缺乏互动等问题。该系统结构清晰，使用简便，每个接入点无需单独布线，</w:t>
      </w:r>
      <w:r>
        <w:rPr>
          <w:rFonts w:hint="eastAsia" w:asciiTheme="minorHAnsi" w:hAnsiTheme="minorHAnsi" w:eastAsiaTheme="minorEastAsia" w:cstheme="minorBidi"/>
          <w:iCs w:val="0"/>
          <w:color w:val="auto"/>
          <w:kern w:val="2"/>
          <w:sz w:val="22"/>
          <w:szCs w:val="22"/>
        </w:rPr>
        <w:t>系统兼容</w:t>
      </w:r>
      <w:r>
        <w:rPr>
          <w:rFonts w:asciiTheme="minorHAnsi" w:hAnsiTheme="minorHAnsi" w:eastAsiaTheme="minorEastAsia" w:cstheme="minorBidi"/>
          <w:iCs w:val="0"/>
          <w:color w:val="auto"/>
          <w:kern w:val="2"/>
          <w:sz w:val="22"/>
          <w:szCs w:val="22"/>
        </w:rPr>
        <w:t>性高，</w:t>
      </w:r>
      <w:r>
        <w:rPr>
          <w:rFonts w:hint="eastAsia" w:asciiTheme="minorHAnsi" w:hAnsiTheme="minorHAnsi" w:eastAsiaTheme="minorEastAsia" w:cstheme="minorBidi"/>
          <w:iCs w:val="0"/>
          <w:color w:val="auto"/>
          <w:kern w:val="2"/>
          <w:sz w:val="22"/>
          <w:szCs w:val="22"/>
        </w:rPr>
        <w:t>与</w:t>
      </w:r>
      <w:r>
        <w:rPr>
          <w:rFonts w:asciiTheme="minorHAnsi" w:hAnsiTheme="minorHAnsi" w:eastAsiaTheme="minorEastAsia" w:cstheme="minorBidi"/>
          <w:iCs w:val="0"/>
          <w:color w:val="auto"/>
          <w:kern w:val="2"/>
          <w:sz w:val="22"/>
          <w:szCs w:val="22"/>
        </w:rPr>
        <w:t>计算机网络、数字视频监控、内部通信、报警</w:t>
      </w:r>
      <w:r>
        <w:rPr>
          <w:rFonts w:hint="eastAsia" w:asciiTheme="minorHAnsi" w:hAnsiTheme="minorHAnsi" w:eastAsiaTheme="minorEastAsia" w:cstheme="minorBidi"/>
          <w:iCs w:val="0"/>
          <w:color w:val="auto"/>
          <w:kern w:val="2"/>
          <w:sz w:val="22"/>
          <w:szCs w:val="22"/>
        </w:rPr>
        <w:t>求助</w:t>
      </w:r>
      <w:r>
        <w:rPr>
          <w:rFonts w:asciiTheme="minorHAnsi" w:hAnsiTheme="minorHAnsi" w:eastAsiaTheme="minorEastAsia" w:cstheme="minorBidi"/>
          <w:iCs w:val="0"/>
          <w:color w:val="auto"/>
          <w:kern w:val="2"/>
          <w:sz w:val="22"/>
          <w:szCs w:val="22"/>
        </w:rPr>
        <w:t>的融合应用。</w:t>
      </w:r>
      <w:bookmarkStart w:id="29" w:name="_Toc36038218"/>
    </w:p>
    <w:p>
      <w:pPr>
        <w:pStyle w:val="45"/>
        <w:pageBreakBefore w:val="0"/>
        <w:kinsoku/>
        <w:wordWrap/>
        <w:overflowPunct/>
        <w:topLinePunct w:val="0"/>
        <w:bidi w:val="0"/>
        <w:snapToGrid/>
        <w:spacing w:line="400" w:lineRule="exact"/>
        <w:ind w:firstLine="360"/>
        <w:textAlignment w:val="auto"/>
        <w:rPr>
          <w:b/>
          <w:bCs/>
          <w:color w:val="auto"/>
          <w:sz w:val="22"/>
          <w:szCs w:val="22"/>
        </w:rPr>
      </w:pPr>
      <w:r>
        <w:rPr>
          <w:rFonts w:hint="eastAsia"/>
          <w:b/>
          <w:bCs/>
          <w:color w:val="auto"/>
          <w:sz w:val="22"/>
          <w:szCs w:val="22"/>
          <w:lang w:val="en-US" w:eastAsia="zh-CN"/>
        </w:rPr>
        <w:t xml:space="preserve">2.2 </w:t>
      </w:r>
      <w:r>
        <w:rPr>
          <w:b/>
          <w:bCs/>
          <w:color w:val="auto"/>
          <w:sz w:val="22"/>
          <w:szCs w:val="22"/>
        </w:rPr>
        <w:t>系统架构</w:t>
      </w:r>
      <w:bookmarkEnd w:id="29"/>
    </w:p>
    <w:p>
      <w:pPr>
        <w:pStyle w:val="45"/>
        <w:pageBreakBefore w:val="0"/>
        <w:kinsoku/>
        <w:wordWrap/>
        <w:overflowPunct/>
        <w:topLinePunct w:val="0"/>
        <w:bidi w:val="0"/>
        <w:snapToGrid/>
        <w:spacing w:line="400" w:lineRule="exact"/>
        <w:ind w:firstLine="360"/>
        <w:textAlignment w:val="auto"/>
        <w:rPr>
          <w:rFonts w:asciiTheme="minorHAnsi" w:hAnsiTheme="minorHAnsi" w:eastAsiaTheme="minorEastAsia" w:cstheme="minorBidi"/>
          <w:iCs w:val="0"/>
          <w:color w:val="auto"/>
          <w:kern w:val="2"/>
          <w:sz w:val="22"/>
          <w:szCs w:val="22"/>
        </w:rPr>
      </w:pPr>
      <w:r>
        <w:rPr>
          <w:rFonts w:asciiTheme="minorHAnsi" w:hAnsiTheme="minorHAnsi" w:eastAsiaTheme="minorEastAsia" w:cstheme="minorBidi"/>
          <w:iCs w:val="0"/>
          <w:color w:val="auto"/>
          <w:kern w:val="2"/>
          <w:sz w:val="22"/>
          <w:szCs w:val="22"/>
        </w:rPr>
        <w:t>系统</w:t>
      </w:r>
      <w:r>
        <w:rPr>
          <w:rFonts w:hint="eastAsia" w:asciiTheme="minorHAnsi" w:hAnsiTheme="minorHAnsi" w:eastAsiaTheme="minorEastAsia" w:cstheme="minorBidi"/>
          <w:iCs w:val="0"/>
          <w:color w:val="auto"/>
          <w:kern w:val="2"/>
          <w:sz w:val="22"/>
          <w:szCs w:val="22"/>
        </w:rPr>
        <w:t>支持</w:t>
      </w:r>
      <w:r>
        <w:rPr>
          <w:rFonts w:asciiTheme="minorHAnsi" w:hAnsiTheme="minorHAnsi" w:eastAsiaTheme="minorEastAsia" w:cstheme="minorBidi"/>
          <w:iCs w:val="0"/>
          <w:color w:val="auto"/>
          <w:kern w:val="2"/>
          <w:sz w:val="22"/>
          <w:szCs w:val="22"/>
        </w:rPr>
        <w:t>远距离传输</w:t>
      </w:r>
      <w:r>
        <w:rPr>
          <w:rFonts w:hint="eastAsia" w:asciiTheme="minorHAnsi" w:hAnsiTheme="minorHAnsi" w:eastAsiaTheme="minorEastAsia" w:cstheme="minorBidi"/>
          <w:iCs w:val="0"/>
          <w:color w:val="auto"/>
          <w:kern w:val="2"/>
          <w:sz w:val="22"/>
          <w:szCs w:val="22"/>
        </w:rPr>
        <w:t>，</w:t>
      </w:r>
      <w:r>
        <w:rPr>
          <w:rFonts w:asciiTheme="minorHAnsi" w:hAnsiTheme="minorHAnsi" w:eastAsiaTheme="minorEastAsia" w:cstheme="minorBidi"/>
          <w:iCs w:val="0"/>
          <w:color w:val="auto"/>
          <w:kern w:val="2"/>
          <w:sz w:val="22"/>
          <w:szCs w:val="22"/>
        </w:rPr>
        <w:t>广播控制室设在</w:t>
      </w:r>
      <w:r>
        <w:rPr>
          <w:rFonts w:hint="eastAsia" w:asciiTheme="minorHAnsi" w:hAnsiTheme="minorHAnsi" w:eastAsiaTheme="minorEastAsia" w:cstheme="minorBidi"/>
          <w:iCs w:val="0"/>
          <w:color w:val="auto"/>
          <w:kern w:val="2"/>
          <w:sz w:val="22"/>
          <w:szCs w:val="22"/>
          <w:lang w:eastAsia="zh-CN"/>
        </w:rPr>
        <w:t>监控平台</w:t>
      </w:r>
      <w:r>
        <w:rPr>
          <w:rFonts w:asciiTheme="minorHAnsi" w:hAnsiTheme="minorHAnsi" w:eastAsiaTheme="minorEastAsia" w:cstheme="minorBidi"/>
          <w:iCs w:val="0"/>
          <w:color w:val="auto"/>
          <w:kern w:val="2"/>
          <w:sz w:val="22"/>
          <w:szCs w:val="22"/>
        </w:rPr>
        <w:t>，而</w:t>
      </w:r>
      <w:r>
        <w:rPr>
          <w:rFonts w:hint="eastAsia" w:asciiTheme="minorHAnsi" w:hAnsiTheme="minorHAnsi" w:eastAsiaTheme="minorEastAsia" w:cstheme="minorBidi"/>
          <w:iCs w:val="0"/>
          <w:color w:val="auto"/>
          <w:kern w:val="2"/>
          <w:sz w:val="22"/>
          <w:szCs w:val="22"/>
        </w:rPr>
        <w:t>前端I</w:t>
      </w:r>
      <w:r>
        <w:rPr>
          <w:rFonts w:asciiTheme="minorHAnsi" w:hAnsiTheme="minorHAnsi" w:eastAsiaTheme="minorEastAsia" w:cstheme="minorBidi"/>
          <w:iCs w:val="0"/>
          <w:color w:val="auto"/>
          <w:kern w:val="2"/>
          <w:sz w:val="22"/>
          <w:szCs w:val="22"/>
        </w:rPr>
        <w:t>P音箱设置在水库或者山塘等水域监控设备附近，系统全部采用以太网的数字化传输，无干扰、无衰减，实现对各个</w:t>
      </w:r>
      <w:r>
        <w:rPr>
          <w:rFonts w:hint="eastAsia" w:asciiTheme="minorHAnsi" w:hAnsiTheme="minorHAnsi" w:eastAsiaTheme="minorEastAsia" w:cstheme="minorBidi"/>
          <w:iCs w:val="0"/>
          <w:color w:val="auto"/>
          <w:kern w:val="2"/>
          <w:sz w:val="22"/>
          <w:szCs w:val="22"/>
        </w:rPr>
        <w:t>系统</w:t>
      </w:r>
      <w:r>
        <w:rPr>
          <w:rFonts w:asciiTheme="minorHAnsi" w:hAnsiTheme="minorHAnsi" w:eastAsiaTheme="minorEastAsia" w:cstheme="minorBidi"/>
          <w:iCs w:val="0"/>
          <w:color w:val="auto"/>
          <w:kern w:val="2"/>
          <w:sz w:val="22"/>
          <w:szCs w:val="22"/>
        </w:rPr>
        <w:t>的广播</w:t>
      </w:r>
      <w:r>
        <w:rPr>
          <w:rFonts w:hint="eastAsia" w:asciiTheme="minorHAnsi" w:hAnsiTheme="minorHAnsi" w:eastAsiaTheme="minorEastAsia" w:cstheme="minorBidi"/>
          <w:iCs w:val="0"/>
          <w:color w:val="auto"/>
          <w:kern w:val="2"/>
          <w:sz w:val="22"/>
          <w:szCs w:val="22"/>
        </w:rPr>
        <w:t>、</w:t>
      </w:r>
      <w:r>
        <w:rPr>
          <w:rFonts w:asciiTheme="minorHAnsi" w:hAnsiTheme="minorHAnsi" w:eastAsiaTheme="minorEastAsia" w:cstheme="minorBidi"/>
          <w:iCs w:val="0"/>
          <w:color w:val="auto"/>
          <w:kern w:val="2"/>
          <w:sz w:val="22"/>
          <w:szCs w:val="22"/>
        </w:rPr>
        <w:t>对讲、</w:t>
      </w:r>
      <w:r>
        <w:rPr>
          <w:rFonts w:hint="eastAsia" w:asciiTheme="minorHAnsi" w:hAnsiTheme="minorHAnsi" w:eastAsiaTheme="minorEastAsia" w:cstheme="minorBidi"/>
          <w:iCs w:val="0"/>
          <w:color w:val="auto"/>
          <w:kern w:val="2"/>
          <w:sz w:val="22"/>
          <w:szCs w:val="22"/>
        </w:rPr>
        <w:t>监控</w:t>
      </w:r>
      <w:r>
        <w:rPr>
          <w:rFonts w:asciiTheme="minorHAnsi" w:hAnsiTheme="minorHAnsi" w:eastAsiaTheme="minorEastAsia" w:cstheme="minorBidi"/>
          <w:iCs w:val="0"/>
          <w:color w:val="auto"/>
          <w:kern w:val="2"/>
          <w:sz w:val="22"/>
          <w:szCs w:val="22"/>
        </w:rPr>
        <w:t>的主干传输。</w:t>
      </w:r>
    </w:p>
    <w:p>
      <w:pPr>
        <w:pageBreakBefore w:val="0"/>
        <w:kinsoku/>
        <w:wordWrap/>
        <w:overflowPunct/>
        <w:topLinePunct w:val="0"/>
        <w:bidi w:val="0"/>
        <w:snapToGrid/>
        <w:spacing w:line="240" w:lineRule="auto"/>
        <w:ind w:firstLine="0" w:firstLineChars="0"/>
        <w:jc w:val="center"/>
        <w:textAlignment w:val="auto"/>
        <w:rPr>
          <w:color w:val="auto"/>
          <w:sz w:val="22"/>
          <w:szCs w:val="22"/>
        </w:rPr>
      </w:pPr>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30" w:name="_Toc36038219"/>
      <w:r>
        <w:rPr>
          <w:rFonts w:hint="eastAsia"/>
          <w:color w:val="auto"/>
          <w:sz w:val="22"/>
          <w:szCs w:val="22"/>
          <w:lang w:val="en-US" w:eastAsia="zh-CN"/>
        </w:rPr>
        <w:t>2.3</w:t>
      </w:r>
      <w:r>
        <w:rPr>
          <w:color w:val="auto"/>
          <w:sz w:val="22"/>
          <w:szCs w:val="22"/>
        </w:rPr>
        <w:t>系统功能</w:t>
      </w:r>
      <w:bookmarkEnd w:id="30"/>
    </w:p>
    <w:p>
      <w:pPr>
        <w:pStyle w:val="49"/>
        <w:pageBreakBefore w:val="0"/>
        <w:kinsoku/>
        <w:wordWrap/>
        <w:overflowPunct/>
        <w:topLinePunct w:val="0"/>
        <w:bidi w:val="0"/>
        <w:snapToGrid/>
        <w:spacing w:before="0" w:beforeAutospacing="0" w:after="0" w:afterAutospacing="0" w:line="400" w:lineRule="exact"/>
        <w:ind w:left="2" w:firstLine="446" w:firstLineChars="20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通过数字IP智慧广播接收控制器，可以实现数字音频解码和控制，通过视播结合平台完全做到与监控系统无缝对接，系统支持IP标准，并具备良好的标准化程度和可扩展性。</w:t>
      </w:r>
    </w:p>
    <w:p>
      <w:pPr>
        <w:pStyle w:val="49"/>
        <w:pageBreakBefore w:val="0"/>
        <w:kinsoku/>
        <w:wordWrap/>
        <w:overflowPunct/>
        <w:topLinePunct w:val="0"/>
        <w:bidi w:val="0"/>
        <w:snapToGrid/>
        <w:spacing w:before="0" w:beforeAutospacing="0" w:after="0" w:afterAutospacing="0" w:line="400" w:lineRule="exact"/>
        <w:ind w:firstLine="42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IP广播系统主要功能包括：</w:t>
      </w:r>
    </w:p>
    <w:p>
      <w:pPr>
        <w:pStyle w:val="49"/>
        <w:pageBreakBefore w:val="0"/>
        <w:numPr>
          <w:ilvl w:val="0"/>
          <w:numId w:val="14"/>
        </w:numPr>
        <w:kinsoku/>
        <w:wordWrap/>
        <w:overflowPunct/>
        <w:topLinePunct w:val="0"/>
        <w:bidi w:val="0"/>
        <w:snapToGrid/>
        <w:spacing w:before="0" w:beforeAutospacing="0" w:after="0" w:afterAutospacing="0" w:line="400" w:lineRule="exact"/>
        <w:ind w:left="420" w:leftChars="0" w:hanging="42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与泰顺水利工程监控系统对接</w:t>
      </w:r>
    </w:p>
    <w:p>
      <w:pPr>
        <w:pStyle w:val="49"/>
        <w:pageBreakBefore w:val="0"/>
        <w:numPr>
          <w:ilvl w:val="0"/>
          <w:numId w:val="0"/>
        </w:numPr>
        <w:kinsoku/>
        <w:wordWrap/>
        <w:overflowPunct/>
        <w:topLinePunct w:val="0"/>
        <w:bidi w:val="0"/>
        <w:snapToGrid/>
        <w:spacing w:before="0" w:beforeAutospacing="0" w:after="0" w:afterAutospacing="0" w:line="400" w:lineRule="exact"/>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本系统可以集成泰顺水利的监控资源，是音频广播和视频监控系统在同一操作平台上实现管理和调度；</w:t>
      </w:r>
    </w:p>
    <w:p>
      <w:pPr>
        <w:pStyle w:val="49"/>
        <w:pageBreakBefore w:val="0"/>
        <w:numPr>
          <w:ilvl w:val="0"/>
          <w:numId w:val="15"/>
        </w:numPr>
        <w:kinsoku/>
        <w:wordWrap/>
        <w:overflowPunct/>
        <w:topLinePunct w:val="0"/>
        <w:bidi w:val="0"/>
        <w:snapToGrid/>
        <w:spacing w:before="0" w:beforeAutospacing="0" w:after="0" w:afterAutospacing="0" w:line="400" w:lineRule="exact"/>
        <w:ind w:left="420" w:leftChars="0" w:hanging="42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音频播放功能</w:t>
      </w:r>
    </w:p>
    <w:p>
      <w:pPr>
        <w:pStyle w:val="49"/>
        <w:pageBreakBefore w:val="0"/>
        <w:numPr>
          <w:ilvl w:val="0"/>
          <w:numId w:val="16"/>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系统支持多种音频来源的IP音频播放功能，音频来源支持落地FM、本地MP3及话筒接入的临时随机音频；</w:t>
      </w:r>
    </w:p>
    <w:p>
      <w:pPr>
        <w:pStyle w:val="49"/>
        <w:pageBreakBefore w:val="0"/>
        <w:numPr>
          <w:ilvl w:val="0"/>
          <w:numId w:val="16"/>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灵活地进行节目列表制作及音频插播；</w:t>
      </w:r>
    </w:p>
    <w:p>
      <w:pPr>
        <w:pStyle w:val="49"/>
        <w:pageBreakBefore w:val="0"/>
        <w:numPr>
          <w:ilvl w:val="0"/>
          <w:numId w:val="16"/>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方便地音频音量调节方式；</w:t>
      </w:r>
    </w:p>
    <w:p>
      <w:pPr>
        <w:pStyle w:val="49"/>
        <w:pageBreakBefore w:val="0"/>
        <w:numPr>
          <w:ilvl w:val="0"/>
          <w:numId w:val="16"/>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便捷地控制监听功能关闭及开启；</w:t>
      </w:r>
    </w:p>
    <w:p>
      <w:pPr>
        <w:pStyle w:val="49"/>
        <w:pageBreakBefore w:val="0"/>
        <w:numPr>
          <w:ilvl w:val="0"/>
          <w:numId w:val="17"/>
        </w:numPr>
        <w:kinsoku/>
        <w:wordWrap/>
        <w:overflowPunct/>
        <w:topLinePunct w:val="0"/>
        <w:bidi w:val="0"/>
        <w:snapToGrid/>
        <w:spacing w:before="0" w:beforeAutospacing="0" w:after="0" w:afterAutospacing="0" w:line="400" w:lineRule="exact"/>
        <w:ind w:left="420" w:leftChars="0" w:hanging="42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音频播放控制功能：</w:t>
      </w:r>
    </w:p>
    <w:p>
      <w:pPr>
        <w:pStyle w:val="49"/>
        <w:pageBreakBefore w:val="0"/>
        <w:numPr>
          <w:ilvl w:val="0"/>
          <w:numId w:val="18"/>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系统支持多种播放模式，并具备严格的播放权限认证控制机制；</w:t>
      </w:r>
    </w:p>
    <w:p>
      <w:pPr>
        <w:pStyle w:val="49"/>
        <w:pageBreakBefore w:val="0"/>
        <w:numPr>
          <w:ilvl w:val="0"/>
          <w:numId w:val="18"/>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支持手动或定时的全自动广播，点对点广播，点对组广播等多种播放模式；</w:t>
      </w:r>
    </w:p>
    <w:p>
      <w:pPr>
        <w:pStyle w:val="49"/>
        <w:pageBreakBefore w:val="0"/>
        <w:numPr>
          <w:ilvl w:val="0"/>
          <w:numId w:val="18"/>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支持不同终端组播放不同的音频内容，实现差异化、针对性广播；</w:t>
      </w:r>
    </w:p>
    <w:p>
      <w:pPr>
        <w:pStyle w:val="49"/>
        <w:pageBreakBefore w:val="0"/>
        <w:numPr>
          <w:ilvl w:val="0"/>
          <w:numId w:val="18"/>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支持全自动或手动控制广播终端的开关和音量；</w:t>
      </w:r>
    </w:p>
    <w:p>
      <w:pPr>
        <w:pStyle w:val="49"/>
        <w:pageBreakBefore w:val="0"/>
        <w:numPr>
          <w:ilvl w:val="0"/>
          <w:numId w:val="18"/>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支持紧急插播功能，在突发情况的应用场合，应急办或其他应急部门在获得广播授权后，立即可以进行广播网络远程实时播出；</w:t>
      </w:r>
    </w:p>
    <w:p>
      <w:pPr>
        <w:pStyle w:val="49"/>
        <w:pageBreakBefore w:val="0"/>
        <w:numPr>
          <w:ilvl w:val="0"/>
          <w:numId w:val="18"/>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通过数字通讯接入平台，可以实现电话应急播放、短信转语音应急播出功能；</w:t>
      </w:r>
    </w:p>
    <w:p>
      <w:pPr>
        <w:pStyle w:val="49"/>
        <w:pageBreakBefore w:val="0"/>
        <w:numPr>
          <w:ilvl w:val="0"/>
          <w:numId w:val="18"/>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支持设置多个等级的紧急广播播出权限，满足各级政府应急广播所需求；</w:t>
      </w:r>
    </w:p>
    <w:p>
      <w:pPr>
        <w:pStyle w:val="49"/>
        <w:pageBreakBefore w:val="0"/>
        <w:numPr>
          <w:ilvl w:val="0"/>
          <w:numId w:val="18"/>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支持远程播出功能，在获得授权后，领导可以在其办公室直接发布高质量广播（使用电脑或IP话筒）；</w:t>
      </w:r>
    </w:p>
    <w:p>
      <w:pPr>
        <w:pStyle w:val="49"/>
        <w:pageBreakBefore w:val="0"/>
        <w:numPr>
          <w:ilvl w:val="0"/>
          <w:numId w:val="18"/>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不同播放模式之间的切换需相关操作员用户具备相应的权限，并根据需要向上级进行认证、授权；</w:t>
      </w:r>
    </w:p>
    <w:p>
      <w:pPr>
        <w:pStyle w:val="49"/>
        <w:pageBreakBefore w:val="0"/>
        <w:numPr>
          <w:ilvl w:val="0"/>
          <w:numId w:val="19"/>
        </w:numPr>
        <w:kinsoku/>
        <w:wordWrap/>
        <w:overflowPunct/>
        <w:topLinePunct w:val="0"/>
        <w:bidi w:val="0"/>
        <w:snapToGrid/>
        <w:spacing w:before="0" w:beforeAutospacing="0" w:after="0" w:afterAutospacing="0" w:line="400" w:lineRule="exact"/>
        <w:ind w:left="420" w:leftChars="0" w:hanging="42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本地广播功能</w:t>
      </w:r>
    </w:p>
    <w:p>
      <w:pPr>
        <w:pStyle w:val="49"/>
        <w:pageBreakBefore w:val="0"/>
        <w:numPr>
          <w:ilvl w:val="0"/>
          <w:numId w:val="20"/>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下级音频系统在无上级广播的情况下,可播放本地U盘/SD卡内MP3音频、及通过话筒广播</w:t>
      </w:r>
    </w:p>
    <w:p>
      <w:pPr>
        <w:pStyle w:val="49"/>
        <w:pageBreakBefore w:val="0"/>
        <w:numPr>
          <w:ilvl w:val="0"/>
          <w:numId w:val="20"/>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本地广播播出设计有严格可靠的安全播出认证和管理措施。</w:t>
      </w:r>
    </w:p>
    <w:p>
      <w:pPr>
        <w:pStyle w:val="49"/>
        <w:pageBreakBefore w:val="0"/>
        <w:numPr>
          <w:ilvl w:val="0"/>
          <w:numId w:val="20"/>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水利相关部门可以随时点播服务器上的节目并在本地音箱上播放，极大提高了广播的利用率。</w:t>
      </w:r>
    </w:p>
    <w:p>
      <w:pPr>
        <w:pStyle w:val="49"/>
        <w:pageBreakBefore w:val="0"/>
        <w:numPr>
          <w:ilvl w:val="0"/>
          <w:numId w:val="19"/>
        </w:numPr>
        <w:kinsoku/>
        <w:wordWrap/>
        <w:overflowPunct/>
        <w:topLinePunct w:val="0"/>
        <w:bidi w:val="0"/>
        <w:snapToGrid/>
        <w:spacing w:before="0" w:beforeAutospacing="0" w:after="0" w:afterAutospacing="0" w:line="400" w:lineRule="exact"/>
        <w:ind w:left="420" w:leftChars="0" w:hanging="420" w:firstLineChars="0"/>
        <w:textAlignment w:val="auto"/>
        <w:rPr>
          <w:rFonts w:hint="eastAsia"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文字信息传送功能</w:t>
      </w:r>
    </w:p>
    <w:p>
      <w:pPr>
        <w:pStyle w:val="49"/>
        <w:pageBreakBefore w:val="0"/>
        <w:numPr>
          <w:ilvl w:val="0"/>
          <w:numId w:val="0"/>
        </w:numPr>
        <w:kinsoku/>
        <w:wordWrap/>
        <w:overflowPunct/>
        <w:topLinePunct w:val="0"/>
        <w:bidi w:val="0"/>
        <w:snapToGrid/>
        <w:spacing w:before="0" w:beforeAutospacing="0" w:after="0" w:afterAutospacing="0" w:line="400" w:lineRule="exact"/>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音频广播用于常规广播及紧急灾害事故预警广播，文字传输功能用于广播文字信息，如通知、节目单、天气预报、应急信息、科普、政策宣传等需驻留的信息，所有网络广播终端带有LCD屏显示文字信息，可在县城、街镇、人流密集区适当布置LED屏显示，实现音频广播文字化。</w:t>
      </w:r>
    </w:p>
    <w:p>
      <w:pPr>
        <w:pStyle w:val="49"/>
        <w:pageBreakBefore w:val="0"/>
        <w:numPr>
          <w:ilvl w:val="0"/>
          <w:numId w:val="19"/>
        </w:numPr>
        <w:kinsoku/>
        <w:wordWrap/>
        <w:overflowPunct/>
        <w:topLinePunct w:val="0"/>
        <w:bidi w:val="0"/>
        <w:snapToGrid/>
        <w:spacing w:before="0" w:beforeAutospacing="0" w:after="0" w:afterAutospacing="0" w:line="400" w:lineRule="exact"/>
        <w:ind w:left="420" w:leftChars="0" w:hanging="420" w:firstLineChars="0"/>
        <w:textAlignment w:val="auto"/>
        <w:rPr>
          <w:rFonts w:hint="eastAsia"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双向语音功能</w:t>
      </w:r>
    </w:p>
    <w:p>
      <w:pPr>
        <w:pStyle w:val="49"/>
        <w:pageBreakBefore w:val="0"/>
        <w:numPr>
          <w:ilvl w:val="0"/>
          <w:numId w:val="21"/>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支持完全双向交互式语音传输对讲功能，在某些应用场合，可以呼叫报警中心，可以立即控制现场，大大提高了工作效率；</w:t>
      </w:r>
    </w:p>
    <w:p>
      <w:pPr>
        <w:pStyle w:val="49"/>
        <w:pageBreakBefore w:val="0"/>
        <w:numPr>
          <w:ilvl w:val="0"/>
          <w:numId w:val="21"/>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支持全网设备运行状态实时监测，并可以实时监听播出内容；</w:t>
      </w:r>
    </w:p>
    <w:p>
      <w:pPr>
        <w:pStyle w:val="49"/>
        <w:pageBreakBefore w:val="0"/>
        <w:numPr>
          <w:ilvl w:val="0"/>
          <w:numId w:val="19"/>
        </w:numPr>
        <w:kinsoku/>
        <w:wordWrap/>
        <w:overflowPunct/>
        <w:topLinePunct w:val="0"/>
        <w:bidi w:val="0"/>
        <w:snapToGrid/>
        <w:spacing w:before="0" w:beforeAutospacing="0" w:after="0" w:afterAutospacing="0" w:line="400" w:lineRule="exact"/>
        <w:ind w:left="420" w:leftChars="0" w:hanging="420" w:firstLineChars="0"/>
        <w:textAlignment w:val="auto"/>
        <w:rPr>
          <w:rFonts w:hint="eastAsia"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系统管理功能</w:t>
      </w:r>
    </w:p>
    <w:p>
      <w:pPr>
        <w:pStyle w:val="49"/>
        <w:pageBreakBefore w:val="0"/>
        <w:numPr>
          <w:ilvl w:val="0"/>
          <w:numId w:val="22"/>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可以在本系统上对设备进行管理，远程维护、升级等；</w:t>
      </w:r>
    </w:p>
    <w:p>
      <w:pPr>
        <w:pStyle w:val="49"/>
        <w:pageBreakBefore w:val="0"/>
        <w:numPr>
          <w:ilvl w:val="0"/>
          <w:numId w:val="22"/>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支持设备资源划归显示，</w:t>
      </w:r>
      <w:r>
        <w:rPr>
          <w:rFonts w:asciiTheme="minorEastAsia" w:hAnsiTheme="minorEastAsia" w:eastAsiaTheme="minorEastAsia"/>
          <w:color w:val="auto"/>
          <w:sz w:val="22"/>
          <w:szCs w:val="22"/>
        </w:rPr>
        <w:t>各种设备都归属在一个域下</w:t>
      </w:r>
      <w:r>
        <w:rPr>
          <w:rFonts w:hint="eastAsia" w:asciiTheme="minorEastAsia" w:hAnsiTheme="minorEastAsia" w:eastAsiaTheme="minorEastAsia"/>
          <w:color w:val="auto"/>
          <w:sz w:val="22"/>
          <w:szCs w:val="22"/>
        </w:rPr>
        <w:t>，支持</w:t>
      </w:r>
      <w:r>
        <w:rPr>
          <w:rFonts w:asciiTheme="minorEastAsia" w:hAnsiTheme="minorEastAsia" w:eastAsiaTheme="minorEastAsia"/>
          <w:color w:val="auto"/>
          <w:sz w:val="22"/>
          <w:szCs w:val="22"/>
        </w:rPr>
        <w:t>7</w:t>
      </w:r>
      <w:r>
        <w:rPr>
          <w:rFonts w:hint="eastAsia" w:asciiTheme="minorEastAsia" w:hAnsiTheme="minorEastAsia" w:eastAsiaTheme="minorEastAsia"/>
          <w:color w:val="auto"/>
          <w:sz w:val="22"/>
          <w:szCs w:val="22"/>
        </w:rPr>
        <w:t>级</w:t>
      </w:r>
      <w:r>
        <w:rPr>
          <w:rFonts w:asciiTheme="minorEastAsia" w:hAnsiTheme="minorEastAsia" w:eastAsiaTheme="minorEastAsia"/>
          <w:color w:val="auto"/>
          <w:sz w:val="22"/>
          <w:szCs w:val="22"/>
        </w:rPr>
        <w:t>树型</w:t>
      </w:r>
      <w:r>
        <w:rPr>
          <w:rFonts w:hint="eastAsia" w:asciiTheme="minorEastAsia" w:hAnsiTheme="minorEastAsia" w:eastAsiaTheme="minorEastAsia"/>
          <w:color w:val="auto"/>
          <w:sz w:val="22"/>
          <w:szCs w:val="22"/>
        </w:rPr>
        <w:t>结构目录</w:t>
      </w:r>
      <w:r>
        <w:rPr>
          <w:rFonts w:asciiTheme="minorEastAsia" w:hAnsiTheme="minorEastAsia" w:eastAsiaTheme="minorEastAsia"/>
          <w:color w:val="auto"/>
          <w:sz w:val="22"/>
          <w:szCs w:val="22"/>
        </w:rPr>
        <w:t>，</w:t>
      </w:r>
      <w:r>
        <w:rPr>
          <w:rFonts w:hint="eastAsia" w:asciiTheme="minorEastAsia" w:hAnsiTheme="minorEastAsia" w:eastAsiaTheme="minorEastAsia"/>
          <w:color w:val="auto"/>
          <w:sz w:val="22"/>
          <w:szCs w:val="22"/>
        </w:rPr>
        <w:t>与各级</w:t>
      </w:r>
      <w:r>
        <w:rPr>
          <w:rFonts w:asciiTheme="minorEastAsia" w:hAnsiTheme="minorEastAsia" w:eastAsiaTheme="minorEastAsia"/>
          <w:color w:val="auto"/>
          <w:sz w:val="22"/>
          <w:szCs w:val="22"/>
        </w:rPr>
        <w:t>行政区划</w:t>
      </w:r>
      <w:r>
        <w:rPr>
          <w:rFonts w:hint="eastAsia" w:asciiTheme="minorEastAsia" w:hAnsiTheme="minorEastAsia" w:eastAsiaTheme="minorEastAsia"/>
          <w:color w:val="auto"/>
          <w:sz w:val="22"/>
          <w:szCs w:val="22"/>
        </w:rPr>
        <w:t>对应；</w:t>
      </w:r>
    </w:p>
    <w:p>
      <w:pPr>
        <w:pStyle w:val="49"/>
        <w:pageBreakBefore w:val="0"/>
        <w:numPr>
          <w:ilvl w:val="0"/>
          <w:numId w:val="22"/>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asciiTheme="minorEastAsia" w:hAnsiTheme="minorEastAsia" w:eastAsiaTheme="minorEastAsia"/>
          <w:color w:val="auto"/>
          <w:sz w:val="22"/>
          <w:szCs w:val="22"/>
        </w:rPr>
        <w:t>支持多级用户管理，</w:t>
      </w:r>
      <w:r>
        <w:rPr>
          <w:rFonts w:hint="eastAsia" w:asciiTheme="minorEastAsia" w:hAnsiTheme="minorEastAsia" w:eastAsiaTheme="minorEastAsia"/>
          <w:color w:val="auto"/>
          <w:sz w:val="22"/>
          <w:szCs w:val="22"/>
        </w:rPr>
        <w:t>，权限支持3级</w:t>
      </w:r>
      <w:r>
        <w:rPr>
          <w:rFonts w:asciiTheme="minorEastAsia" w:hAnsiTheme="minorEastAsia" w:eastAsiaTheme="minorEastAsia"/>
          <w:color w:val="auto"/>
          <w:sz w:val="22"/>
          <w:szCs w:val="22"/>
        </w:rPr>
        <w:t>每个用户有用户名和密码，通过加密的方式到服务器上进行验证，保证可靠性</w:t>
      </w:r>
      <w:r>
        <w:rPr>
          <w:rFonts w:hint="eastAsia" w:asciiTheme="minorEastAsia" w:hAnsiTheme="minorEastAsia" w:eastAsiaTheme="minorEastAsia"/>
          <w:color w:val="auto"/>
          <w:sz w:val="22"/>
          <w:szCs w:val="22"/>
        </w:rPr>
        <w:t>。</w:t>
      </w:r>
    </w:p>
    <w:p>
      <w:pPr>
        <w:pStyle w:val="49"/>
        <w:pageBreakBefore w:val="0"/>
        <w:numPr>
          <w:ilvl w:val="0"/>
          <w:numId w:val="22"/>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用户权限内容包括：设备管理、列表节目播放、插播等；</w:t>
      </w:r>
    </w:p>
    <w:p>
      <w:pPr>
        <w:pStyle w:val="49"/>
        <w:pageBreakBefore w:val="0"/>
        <w:numPr>
          <w:ilvl w:val="0"/>
          <w:numId w:val="22"/>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支持前端休眠功能：自动和手动，对功放电源完全断电；</w:t>
      </w:r>
    </w:p>
    <w:p>
      <w:pPr>
        <w:pStyle w:val="49"/>
        <w:pageBreakBefore w:val="0"/>
        <w:numPr>
          <w:ilvl w:val="0"/>
          <w:numId w:val="22"/>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支持B/S客户端，同时也支持操作便利的C/S客户端。</w:t>
      </w:r>
    </w:p>
    <w:p>
      <w:pPr>
        <w:pStyle w:val="49"/>
        <w:pageBreakBefore w:val="0"/>
        <w:numPr>
          <w:ilvl w:val="0"/>
          <w:numId w:val="22"/>
        </w:numPr>
        <w:kinsoku/>
        <w:wordWrap/>
        <w:overflowPunct/>
        <w:topLinePunct w:val="0"/>
        <w:bidi w:val="0"/>
        <w:snapToGrid/>
        <w:spacing w:before="0" w:beforeAutospacing="0" w:after="0" w:afterAutospacing="0" w:line="400" w:lineRule="exact"/>
        <w:ind w:left="0" w:leftChars="0" w:firstLine="400" w:firstLine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提供手机/安卓pad客户端，方便工作人员外出时，对本系统进行的远程监控和管理。</w:t>
      </w:r>
    </w:p>
    <w:p>
      <w:pPr>
        <w:pStyle w:val="49"/>
        <w:pageBreakBefore w:val="0"/>
        <w:numPr>
          <w:ilvl w:val="0"/>
          <w:numId w:val="19"/>
        </w:numPr>
        <w:kinsoku/>
        <w:wordWrap/>
        <w:overflowPunct/>
        <w:topLinePunct w:val="0"/>
        <w:bidi w:val="0"/>
        <w:snapToGrid/>
        <w:spacing w:before="0" w:beforeAutospacing="0" w:after="0" w:afterAutospacing="0" w:line="400" w:lineRule="exact"/>
        <w:ind w:left="420" w:leftChars="0" w:hanging="420" w:firstLineChars="0"/>
        <w:textAlignment w:val="auto"/>
        <w:rPr>
          <w:rFonts w:hint="eastAsia"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平台级联功能</w:t>
      </w:r>
    </w:p>
    <w:p>
      <w:pPr>
        <w:pStyle w:val="49"/>
        <w:pageBreakBefore w:val="0"/>
        <w:numPr>
          <w:ilvl w:val="0"/>
          <w:numId w:val="0"/>
        </w:numPr>
        <w:kinsoku/>
        <w:wordWrap/>
        <w:overflowPunct/>
        <w:topLinePunct w:val="0"/>
        <w:bidi w:val="0"/>
        <w:snapToGrid/>
        <w:spacing w:before="0" w:beforeAutospacing="0" w:after="0" w:afterAutospacing="0" w:line="400" w:lineRule="exact"/>
        <w:ind w:leftChars="0"/>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支持7级级联：国家/省/市/区县/镇/乡/村</w:t>
      </w:r>
    </w:p>
    <w:p>
      <w:pPr>
        <w:pStyle w:val="49"/>
        <w:pageBreakBefore w:val="0"/>
        <w:numPr>
          <w:ilvl w:val="0"/>
          <w:numId w:val="19"/>
        </w:numPr>
        <w:kinsoku/>
        <w:wordWrap/>
        <w:overflowPunct/>
        <w:topLinePunct w:val="0"/>
        <w:bidi w:val="0"/>
        <w:snapToGrid/>
        <w:spacing w:before="0" w:beforeAutospacing="0" w:after="0" w:afterAutospacing="0" w:line="400" w:lineRule="exact"/>
        <w:ind w:left="420" w:leftChars="0" w:hanging="420" w:firstLineChars="0"/>
        <w:textAlignment w:val="auto"/>
        <w:rPr>
          <w:rFonts w:hint="eastAsia"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系统扩展性：</w:t>
      </w:r>
    </w:p>
    <w:p>
      <w:pPr>
        <w:pStyle w:val="49"/>
        <w:pageBreakBefore w:val="0"/>
        <w:numPr>
          <w:ilvl w:val="0"/>
          <w:numId w:val="0"/>
        </w:numPr>
        <w:kinsoku/>
        <w:wordWrap/>
        <w:overflowPunct/>
        <w:topLinePunct w:val="0"/>
        <w:bidi w:val="0"/>
        <w:snapToGrid/>
        <w:spacing w:before="0" w:beforeAutospacing="0" w:after="0" w:afterAutospacing="0" w:line="400" w:lineRule="exact"/>
        <w:textAlignment w:val="auto"/>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系统具备支持IP标准，并具备良好的标准化程度和可扩展性，后续新建的水利工程点位可以无缝对接到本次搭建的平台。</w:t>
      </w:r>
    </w:p>
    <w:p>
      <w:pPr>
        <w:pageBreakBefore w:val="0"/>
        <w:kinsoku/>
        <w:wordWrap/>
        <w:overflowPunct/>
        <w:topLinePunct w:val="0"/>
        <w:bidi w:val="0"/>
        <w:snapToGrid/>
        <w:spacing w:line="400" w:lineRule="exact"/>
        <w:ind w:firstLine="480"/>
        <w:textAlignment w:val="auto"/>
        <w:rPr>
          <w:rFonts w:hint="eastAsia"/>
          <w:color w:val="auto"/>
          <w:sz w:val="22"/>
          <w:szCs w:val="22"/>
        </w:rPr>
      </w:pPr>
      <w:r>
        <w:rPr>
          <w:rFonts w:hint="eastAsia" w:asciiTheme="minorEastAsia" w:hAnsiTheme="minorEastAsia"/>
          <w:color w:val="auto"/>
          <w:sz w:val="22"/>
          <w:szCs w:val="22"/>
        </w:rPr>
        <w:t>通过数字IP智慧广播接收控制器，可以实现数字音频解码和控制，完全做到与原有“村村响”广播传输系统无缝对接，保证原有村村响广播系统可以继续使用。</w:t>
      </w:r>
      <w:bookmarkStart w:id="31" w:name="_Toc533712324"/>
      <w:bookmarkStart w:id="32" w:name="_Toc36038221"/>
    </w:p>
    <w:p>
      <w:pPr>
        <w:pStyle w:val="3"/>
        <w:pageBreakBefore w:val="0"/>
        <w:kinsoku/>
        <w:wordWrap/>
        <w:overflowPunct/>
        <w:topLinePunct w:val="0"/>
        <w:bidi w:val="0"/>
        <w:snapToGrid/>
        <w:spacing w:line="400" w:lineRule="exact"/>
        <w:textAlignment w:val="auto"/>
        <w:rPr>
          <w:color w:val="auto"/>
          <w:sz w:val="22"/>
          <w:szCs w:val="22"/>
        </w:rPr>
      </w:pPr>
      <w:r>
        <w:rPr>
          <w:rFonts w:hint="eastAsia"/>
          <w:color w:val="auto"/>
          <w:sz w:val="22"/>
          <w:szCs w:val="22"/>
          <w:lang w:val="en-US" w:eastAsia="zh-CN"/>
        </w:rPr>
        <w:t>3.</w:t>
      </w:r>
      <w:r>
        <w:rPr>
          <w:rFonts w:hint="eastAsia"/>
          <w:color w:val="auto"/>
          <w:sz w:val="22"/>
          <w:szCs w:val="22"/>
        </w:rPr>
        <w:t>前端部署及</w:t>
      </w:r>
      <w:bookmarkEnd w:id="31"/>
      <w:r>
        <w:rPr>
          <w:rFonts w:hint="eastAsia"/>
          <w:color w:val="auto"/>
          <w:sz w:val="22"/>
          <w:szCs w:val="22"/>
        </w:rPr>
        <w:t>点位勘测表</w:t>
      </w:r>
      <w:bookmarkEnd w:id="32"/>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33" w:name="_Toc36038222"/>
      <w:r>
        <w:rPr>
          <w:rFonts w:hint="eastAsia"/>
          <w:color w:val="auto"/>
          <w:sz w:val="22"/>
          <w:szCs w:val="22"/>
          <w:lang w:val="en-US" w:eastAsia="zh-CN"/>
        </w:rPr>
        <w:t>3.1</w:t>
      </w:r>
      <w:r>
        <w:rPr>
          <w:color w:val="auto"/>
          <w:sz w:val="22"/>
          <w:szCs w:val="22"/>
        </w:rPr>
        <w:t>固定点位部署</w:t>
      </w:r>
      <w:bookmarkEnd w:id="33"/>
    </w:p>
    <w:p>
      <w:pPr>
        <w:pageBreakBefore w:val="0"/>
        <w:kinsoku/>
        <w:wordWrap/>
        <w:overflowPunct/>
        <w:topLinePunct w:val="0"/>
        <w:bidi w:val="0"/>
        <w:snapToGrid/>
        <w:spacing w:line="400" w:lineRule="exact"/>
        <w:ind w:firstLine="480"/>
        <w:textAlignment w:val="auto"/>
        <w:rPr>
          <w:rFonts w:hAnsi="宋体"/>
          <w:color w:val="auto"/>
          <w:sz w:val="22"/>
          <w:szCs w:val="22"/>
        </w:rPr>
      </w:pPr>
      <w:r>
        <w:rPr>
          <w:rFonts w:hAnsi="宋体"/>
          <w:color w:val="auto"/>
          <w:sz w:val="22"/>
          <w:szCs w:val="22"/>
        </w:rPr>
        <w:t>基于防汛抗旱的需求</w:t>
      </w:r>
      <w:r>
        <w:rPr>
          <w:rFonts w:hint="eastAsia" w:hAnsi="宋体"/>
          <w:color w:val="auto"/>
          <w:sz w:val="22"/>
          <w:szCs w:val="22"/>
        </w:rPr>
        <w:t>，</w:t>
      </w:r>
      <w:r>
        <w:rPr>
          <w:rFonts w:hAnsi="宋体"/>
          <w:color w:val="auto"/>
          <w:sz w:val="22"/>
          <w:szCs w:val="22"/>
        </w:rPr>
        <w:t>需要对下列点位进行监控</w:t>
      </w:r>
      <w:r>
        <w:rPr>
          <w:rFonts w:hint="eastAsia" w:hAnsi="宋体"/>
          <w:color w:val="auto"/>
          <w:sz w:val="22"/>
          <w:szCs w:val="22"/>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613"/>
        <w:gridCol w:w="2173"/>
        <w:gridCol w:w="2242"/>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786" w:type="dxa"/>
            <w:gridSpan w:val="2"/>
          </w:tcPr>
          <w:p>
            <w:pPr>
              <w:pStyle w:val="50"/>
              <w:pageBreakBefore w:val="0"/>
              <w:kinsoku/>
              <w:wordWrap/>
              <w:overflowPunct/>
              <w:topLinePunct w:val="0"/>
              <w:bidi w:val="0"/>
              <w:snapToGrid/>
              <w:spacing w:line="400" w:lineRule="exact"/>
              <w:textAlignment w:val="auto"/>
              <w:rPr>
                <w:color w:val="auto"/>
                <w:sz w:val="22"/>
                <w:szCs w:val="22"/>
              </w:rPr>
            </w:pPr>
            <w:r>
              <w:rPr>
                <w:rFonts w:hint="eastAsia"/>
                <w:color w:val="auto"/>
                <w:sz w:val="22"/>
                <w:szCs w:val="22"/>
              </w:rPr>
              <w:t>安装地点</w:t>
            </w:r>
          </w:p>
        </w:tc>
        <w:tc>
          <w:tcPr>
            <w:tcW w:w="2242" w:type="dxa"/>
          </w:tcPr>
          <w:p>
            <w:pPr>
              <w:pStyle w:val="50"/>
              <w:pageBreakBefore w:val="0"/>
              <w:kinsoku/>
              <w:wordWrap/>
              <w:overflowPunct/>
              <w:topLinePunct w:val="0"/>
              <w:bidi w:val="0"/>
              <w:snapToGrid/>
              <w:spacing w:line="400" w:lineRule="exact"/>
              <w:textAlignment w:val="auto"/>
              <w:rPr>
                <w:color w:val="auto"/>
                <w:sz w:val="22"/>
                <w:szCs w:val="22"/>
              </w:rPr>
            </w:pPr>
            <w:r>
              <w:rPr>
                <w:rFonts w:hint="eastAsia"/>
                <w:color w:val="auto"/>
                <w:sz w:val="22"/>
                <w:szCs w:val="22"/>
              </w:rPr>
              <w:t>摄像机类型</w:t>
            </w:r>
          </w:p>
        </w:tc>
        <w:tc>
          <w:tcPr>
            <w:tcW w:w="3448" w:type="dxa"/>
          </w:tcPr>
          <w:p>
            <w:pPr>
              <w:pStyle w:val="50"/>
              <w:pageBreakBefore w:val="0"/>
              <w:kinsoku/>
              <w:wordWrap/>
              <w:overflowPunct/>
              <w:topLinePunct w:val="0"/>
              <w:bidi w:val="0"/>
              <w:snapToGrid/>
              <w:spacing w:line="400" w:lineRule="exact"/>
              <w:textAlignment w:val="auto"/>
              <w:rPr>
                <w:color w:val="auto"/>
                <w:sz w:val="22"/>
                <w:szCs w:val="22"/>
              </w:rPr>
            </w:pPr>
            <w:r>
              <w:rPr>
                <w:rFonts w:hint="eastAsia"/>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90" w:hRule="atLeast"/>
          <w:jc w:val="center"/>
        </w:trPr>
        <w:tc>
          <w:tcPr>
            <w:tcW w:w="1613" w:type="dxa"/>
            <w:vAlign w:val="center"/>
          </w:tcPr>
          <w:p>
            <w:pPr>
              <w:pStyle w:val="51"/>
              <w:pageBreakBefore w:val="0"/>
              <w:kinsoku/>
              <w:wordWrap/>
              <w:overflowPunct/>
              <w:topLinePunct w:val="0"/>
              <w:bidi w:val="0"/>
              <w:snapToGrid/>
              <w:spacing w:line="400" w:lineRule="exact"/>
              <w:jc w:val="both"/>
              <w:textAlignment w:val="auto"/>
              <w:rPr>
                <w:rFonts w:hint="eastAsia" w:eastAsia="宋体" w:cs="Times New Roman"/>
                <w:color w:val="auto"/>
                <w:sz w:val="22"/>
                <w:szCs w:val="22"/>
                <w:lang w:eastAsia="zh-CN"/>
              </w:rPr>
            </w:pPr>
            <w:r>
              <w:rPr>
                <w:rFonts w:cs="Times New Roman"/>
                <w:color w:val="auto"/>
                <w:sz w:val="22"/>
                <w:szCs w:val="22"/>
              </w:rPr>
              <w:t>水库</w:t>
            </w:r>
            <w:r>
              <w:rPr>
                <w:rFonts w:hint="eastAsia" w:cs="Times New Roman"/>
                <w:color w:val="auto"/>
                <w:sz w:val="22"/>
                <w:szCs w:val="22"/>
                <w:lang w:eastAsia="zh-CN"/>
              </w:rPr>
              <w:t>、山塘、水电站</w:t>
            </w:r>
          </w:p>
        </w:tc>
        <w:tc>
          <w:tcPr>
            <w:tcW w:w="2173" w:type="dxa"/>
            <w:vAlign w:val="center"/>
          </w:tcPr>
          <w:p>
            <w:pPr>
              <w:pStyle w:val="51"/>
              <w:pageBreakBefore w:val="0"/>
              <w:kinsoku/>
              <w:wordWrap/>
              <w:overflowPunct/>
              <w:topLinePunct w:val="0"/>
              <w:bidi w:val="0"/>
              <w:snapToGrid/>
              <w:spacing w:line="400" w:lineRule="exact"/>
              <w:jc w:val="both"/>
              <w:textAlignment w:val="auto"/>
              <w:rPr>
                <w:rFonts w:cs="Times New Roman"/>
                <w:color w:val="auto"/>
                <w:sz w:val="22"/>
                <w:szCs w:val="22"/>
              </w:rPr>
            </w:pPr>
            <w:r>
              <w:rPr>
                <w:rFonts w:cs="Times New Roman"/>
                <w:color w:val="auto"/>
                <w:sz w:val="22"/>
                <w:szCs w:val="22"/>
              </w:rPr>
              <w:t>大坝坝顶</w:t>
            </w:r>
            <w:r>
              <w:rPr>
                <w:rFonts w:hint="eastAsia" w:cs="Times New Roman"/>
                <w:color w:val="auto"/>
                <w:sz w:val="22"/>
                <w:szCs w:val="22"/>
                <w:lang w:eastAsia="zh-CN"/>
              </w:rPr>
              <w:t>或大坝附近、生态放水出水口附近</w:t>
            </w:r>
          </w:p>
        </w:tc>
        <w:tc>
          <w:tcPr>
            <w:tcW w:w="2242" w:type="dxa"/>
            <w:vAlign w:val="center"/>
          </w:tcPr>
          <w:p>
            <w:pPr>
              <w:pStyle w:val="51"/>
              <w:pageBreakBefore w:val="0"/>
              <w:kinsoku/>
              <w:wordWrap/>
              <w:overflowPunct/>
              <w:topLinePunct w:val="0"/>
              <w:bidi w:val="0"/>
              <w:snapToGrid/>
              <w:spacing w:line="400" w:lineRule="exact"/>
              <w:jc w:val="center"/>
              <w:textAlignment w:val="auto"/>
              <w:rPr>
                <w:rFonts w:cs="Times New Roman"/>
                <w:color w:val="auto"/>
                <w:sz w:val="22"/>
                <w:szCs w:val="22"/>
                <w:highlight w:val="none"/>
              </w:rPr>
            </w:pPr>
            <w:r>
              <w:rPr>
                <w:rFonts w:hint="eastAsia" w:cs="Times New Roman"/>
                <w:color w:val="auto"/>
                <w:sz w:val="22"/>
                <w:szCs w:val="22"/>
                <w:highlight w:val="none"/>
              </w:rPr>
              <w:t>球形摄像机</w:t>
            </w:r>
          </w:p>
        </w:tc>
        <w:tc>
          <w:tcPr>
            <w:tcW w:w="3448" w:type="dxa"/>
            <w:vAlign w:val="center"/>
          </w:tcPr>
          <w:p>
            <w:pPr>
              <w:pStyle w:val="51"/>
              <w:pageBreakBefore w:val="0"/>
              <w:kinsoku/>
              <w:wordWrap/>
              <w:overflowPunct/>
              <w:topLinePunct w:val="0"/>
              <w:bidi w:val="0"/>
              <w:snapToGrid/>
              <w:spacing w:line="400" w:lineRule="exact"/>
              <w:jc w:val="left"/>
              <w:textAlignment w:val="auto"/>
              <w:rPr>
                <w:rFonts w:hint="eastAsia" w:eastAsia="宋体" w:cs="Times New Roman"/>
                <w:color w:val="auto"/>
                <w:sz w:val="22"/>
                <w:szCs w:val="22"/>
                <w:lang w:eastAsia="zh-CN"/>
              </w:rPr>
            </w:pPr>
            <w:r>
              <w:rPr>
                <w:rFonts w:hint="eastAsia"/>
                <w:color w:val="auto"/>
                <w:sz w:val="22"/>
                <w:szCs w:val="22"/>
              </w:rPr>
              <w:t>监控水库库面、监控大坝安全状况、水库整体安全运行情况</w:t>
            </w:r>
            <w:r>
              <w:rPr>
                <w:rFonts w:hint="eastAsia"/>
                <w:color w:val="auto"/>
                <w:sz w:val="22"/>
                <w:szCs w:val="22"/>
                <w:lang w:eastAsia="zh-CN"/>
              </w:rPr>
              <w:t>、监控生态流量下泄</w:t>
            </w:r>
          </w:p>
        </w:tc>
      </w:tr>
    </w:tbl>
    <w:p>
      <w:pPr>
        <w:pageBreakBefore w:val="0"/>
        <w:kinsoku/>
        <w:wordWrap/>
        <w:overflowPunct/>
        <w:topLinePunct w:val="0"/>
        <w:bidi w:val="0"/>
        <w:snapToGrid/>
        <w:spacing w:line="400" w:lineRule="exact"/>
        <w:ind w:firstLine="0" w:firstLineChars="0"/>
        <w:textAlignment w:val="auto"/>
        <w:rPr>
          <w:color w:val="auto"/>
          <w:sz w:val="22"/>
          <w:szCs w:val="22"/>
        </w:rPr>
      </w:pPr>
    </w:p>
    <w:p>
      <w:pPr>
        <w:pStyle w:val="2"/>
        <w:pageBreakBefore w:val="0"/>
        <w:kinsoku/>
        <w:wordWrap/>
        <w:overflowPunct/>
        <w:topLinePunct w:val="0"/>
        <w:bidi w:val="0"/>
        <w:snapToGrid/>
        <w:spacing w:line="400" w:lineRule="exact"/>
        <w:textAlignment w:val="auto"/>
        <w:rPr>
          <w:color w:val="auto"/>
          <w:sz w:val="22"/>
          <w:szCs w:val="22"/>
        </w:rPr>
      </w:pPr>
      <w:bookmarkStart w:id="34" w:name="_Toc36038223"/>
      <w:r>
        <w:rPr>
          <w:rFonts w:hint="eastAsia"/>
          <w:color w:val="auto"/>
          <w:sz w:val="22"/>
          <w:szCs w:val="22"/>
          <w:lang w:eastAsia="zh-CN"/>
        </w:rPr>
        <w:t>（</w:t>
      </w:r>
      <w:r>
        <w:rPr>
          <w:rFonts w:hint="eastAsia"/>
          <w:color w:val="auto"/>
          <w:sz w:val="22"/>
          <w:szCs w:val="22"/>
          <w:lang w:val="en-US" w:eastAsia="zh-CN"/>
        </w:rPr>
        <w:t>二</w:t>
      </w:r>
      <w:r>
        <w:rPr>
          <w:rFonts w:hint="eastAsia"/>
          <w:color w:val="auto"/>
          <w:sz w:val="22"/>
          <w:szCs w:val="22"/>
          <w:lang w:eastAsia="zh-CN"/>
        </w:rPr>
        <w:t>）</w:t>
      </w:r>
      <w:r>
        <w:rPr>
          <w:color w:val="auto"/>
          <w:sz w:val="22"/>
          <w:szCs w:val="22"/>
        </w:rPr>
        <w:t>传输系统</w:t>
      </w:r>
      <w:bookmarkEnd w:id="34"/>
    </w:p>
    <w:p>
      <w:pPr>
        <w:pStyle w:val="3"/>
        <w:pageBreakBefore w:val="0"/>
        <w:kinsoku/>
        <w:wordWrap/>
        <w:overflowPunct/>
        <w:topLinePunct w:val="0"/>
        <w:bidi w:val="0"/>
        <w:snapToGrid/>
        <w:spacing w:before="240" w:after="120" w:line="400" w:lineRule="exact"/>
        <w:ind w:left="0"/>
        <w:jc w:val="left"/>
        <w:textAlignment w:val="auto"/>
        <w:rPr>
          <w:color w:val="auto"/>
          <w:sz w:val="22"/>
          <w:szCs w:val="22"/>
        </w:rPr>
      </w:pPr>
      <w:bookmarkStart w:id="35" w:name="_Toc36038224"/>
      <w:bookmarkStart w:id="36" w:name="_Toc452022445"/>
      <w:bookmarkStart w:id="37" w:name="_Toc471484794"/>
      <w:bookmarkStart w:id="38" w:name="_Toc452732609"/>
      <w:bookmarkStart w:id="39" w:name="_Toc5027615"/>
      <w:r>
        <w:rPr>
          <w:rFonts w:hint="eastAsia"/>
          <w:color w:val="auto"/>
          <w:sz w:val="22"/>
          <w:szCs w:val="22"/>
          <w:lang w:val="en-US" w:eastAsia="zh-CN"/>
        </w:rPr>
        <w:t>1.</w:t>
      </w:r>
      <w:r>
        <w:rPr>
          <w:rFonts w:hint="eastAsia"/>
          <w:color w:val="auto"/>
          <w:sz w:val="22"/>
          <w:szCs w:val="22"/>
        </w:rPr>
        <w:t>传输</w:t>
      </w:r>
      <w:r>
        <w:rPr>
          <w:color w:val="auto"/>
          <w:sz w:val="22"/>
          <w:szCs w:val="22"/>
        </w:rPr>
        <w:t>方式</w:t>
      </w:r>
      <w:bookmarkEnd w:id="35"/>
      <w:bookmarkEnd w:id="36"/>
      <w:bookmarkEnd w:id="37"/>
      <w:bookmarkEnd w:id="38"/>
      <w:bookmarkEnd w:id="39"/>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视频监控系统全部采用有线网络传输，以保证传输视频质量的稳定性和可靠性。</w:t>
      </w:r>
    </w:p>
    <w:p>
      <w:pPr>
        <w:pStyle w:val="4"/>
        <w:pageBreakBefore w:val="0"/>
        <w:numPr>
          <w:ilvl w:val="2"/>
          <w:numId w:val="0"/>
        </w:numPr>
        <w:kinsoku/>
        <w:wordWrap/>
        <w:overflowPunct/>
        <w:topLinePunct w:val="0"/>
        <w:bidi w:val="0"/>
        <w:snapToGrid/>
        <w:spacing w:before="312" w:beforeLines="100" w:after="156" w:afterLines="50" w:line="400" w:lineRule="exact"/>
        <w:jc w:val="left"/>
        <w:textAlignment w:val="auto"/>
        <w:rPr>
          <w:color w:val="auto"/>
          <w:sz w:val="22"/>
          <w:szCs w:val="22"/>
        </w:rPr>
      </w:pPr>
      <w:bookmarkStart w:id="40" w:name="_Toc452022446"/>
      <w:bookmarkStart w:id="41" w:name="_Toc5027616"/>
      <w:bookmarkStart w:id="42" w:name="_Toc452732610"/>
      <w:bookmarkStart w:id="43" w:name="_Toc471484795"/>
      <w:bookmarkStart w:id="44" w:name="_Toc36038225"/>
      <w:r>
        <w:rPr>
          <w:rFonts w:hint="eastAsia"/>
          <w:color w:val="auto"/>
          <w:sz w:val="22"/>
          <w:szCs w:val="22"/>
          <w:lang w:val="en-US" w:eastAsia="zh-CN"/>
        </w:rPr>
        <w:t>1.1</w:t>
      </w:r>
      <w:r>
        <w:rPr>
          <w:rFonts w:hint="eastAsia"/>
          <w:color w:val="auto"/>
          <w:sz w:val="22"/>
          <w:szCs w:val="22"/>
        </w:rPr>
        <w:t>有线</w:t>
      </w:r>
      <w:r>
        <w:rPr>
          <w:color w:val="auto"/>
          <w:sz w:val="22"/>
          <w:szCs w:val="22"/>
        </w:rPr>
        <w:t>传输</w:t>
      </w:r>
      <w:bookmarkEnd w:id="40"/>
      <w:bookmarkEnd w:id="41"/>
      <w:bookmarkEnd w:id="42"/>
      <w:bookmarkEnd w:id="43"/>
      <w:bookmarkEnd w:id="44"/>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系统可利用运营商已有的网络链路，根据实际需要租用2M、4M、10M、100M、1000M等不同网络带宽，形成水源地水域监控专用网络。租用费用根据租用带宽，从数千元/年到数十万元/年不等。这样只需将监控系统就近接入运营商已有网络，即可实现视频传输。</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网络租用方式施工量小，灵活性高，可根据实际数据传输需求选择合适的带宽进行租用，保证数据的稳定流畅传输。并且采用VPN的方式构建环保监控专网，既保证了网络的安全性也达到了高效经济的目的。</w:t>
      </w:r>
    </w:p>
    <w:p>
      <w:pPr>
        <w:pStyle w:val="3"/>
        <w:pageBreakBefore w:val="0"/>
        <w:kinsoku/>
        <w:wordWrap/>
        <w:overflowPunct/>
        <w:topLinePunct w:val="0"/>
        <w:bidi w:val="0"/>
        <w:snapToGrid/>
        <w:spacing w:before="240" w:after="120" w:line="400" w:lineRule="exact"/>
        <w:ind w:left="0"/>
        <w:jc w:val="left"/>
        <w:textAlignment w:val="auto"/>
        <w:rPr>
          <w:color w:val="auto"/>
          <w:sz w:val="22"/>
          <w:szCs w:val="22"/>
        </w:rPr>
      </w:pPr>
      <w:bookmarkStart w:id="45" w:name="_Toc471484798"/>
      <w:bookmarkStart w:id="46" w:name="_Toc452732613"/>
      <w:bookmarkStart w:id="47" w:name="_Toc5027618"/>
      <w:bookmarkStart w:id="48" w:name="_Toc36038226"/>
      <w:bookmarkStart w:id="49" w:name="_Toc452022449"/>
      <w:r>
        <w:rPr>
          <w:rFonts w:hint="eastAsia"/>
          <w:color w:val="auto"/>
          <w:sz w:val="22"/>
          <w:szCs w:val="22"/>
          <w:lang w:val="en-US" w:eastAsia="zh-CN"/>
        </w:rPr>
        <w:t>2.</w:t>
      </w:r>
      <w:r>
        <w:rPr>
          <w:rFonts w:hint="eastAsia"/>
          <w:color w:val="auto"/>
          <w:sz w:val="22"/>
          <w:szCs w:val="22"/>
        </w:rPr>
        <w:t>传输网络</w:t>
      </w:r>
      <w:r>
        <w:rPr>
          <w:color w:val="auto"/>
          <w:sz w:val="22"/>
          <w:szCs w:val="22"/>
        </w:rPr>
        <w:t>系统建设要求</w:t>
      </w:r>
      <w:bookmarkEnd w:id="45"/>
      <w:bookmarkEnd w:id="46"/>
      <w:bookmarkEnd w:id="47"/>
      <w:bookmarkEnd w:id="48"/>
      <w:bookmarkEnd w:id="49"/>
    </w:p>
    <w:p>
      <w:pPr>
        <w:pStyle w:val="4"/>
        <w:pageBreakBefore w:val="0"/>
        <w:numPr>
          <w:ilvl w:val="2"/>
          <w:numId w:val="0"/>
        </w:numPr>
        <w:kinsoku/>
        <w:wordWrap/>
        <w:overflowPunct/>
        <w:topLinePunct w:val="0"/>
        <w:bidi w:val="0"/>
        <w:snapToGrid/>
        <w:spacing w:before="312" w:beforeLines="100" w:after="156" w:afterLines="50" w:line="400" w:lineRule="exact"/>
        <w:ind w:left="-720" w:leftChars="0" w:firstLine="669" w:firstLineChars="300"/>
        <w:jc w:val="left"/>
        <w:textAlignment w:val="auto"/>
        <w:rPr>
          <w:color w:val="auto"/>
          <w:sz w:val="22"/>
          <w:szCs w:val="22"/>
        </w:rPr>
      </w:pPr>
      <w:bookmarkStart w:id="50" w:name="_Toc452022450"/>
      <w:bookmarkStart w:id="51" w:name="_Toc452732614"/>
      <w:bookmarkStart w:id="52" w:name="_Toc36038227"/>
      <w:bookmarkStart w:id="53" w:name="_Toc471484799"/>
      <w:bookmarkStart w:id="54" w:name="_Toc5027619"/>
      <w:r>
        <w:rPr>
          <w:rFonts w:hint="eastAsia"/>
          <w:color w:val="auto"/>
          <w:sz w:val="22"/>
          <w:szCs w:val="22"/>
          <w:lang w:val="en-US" w:eastAsia="zh-CN"/>
        </w:rPr>
        <w:t>2.1</w:t>
      </w:r>
      <w:r>
        <w:rPr>
          <w:rFonts w:hint="eastAsia"/>
          <w:color w:val="auto"/>
          <w:sz w:val="22"/>
          <w:szCs w:val="22"/>
        </w:rPr>
        <w:t>信息</w:t>
      </w:r>
      <w:r>
        <w:rPr>
          <w:color w:val="auto"/>
          <w:sz w:val="22"/>
          <w:szCs w:val="22"/>
        </w:rPr>
        <w:t>传输延迟时间</w:t>
      </w:r>
      <w:bookmarkEnd w:id="50"/>
      <w:bookmarkEnd w:id="51"/>
      <w:bookmarkEnd w:id="52"/>
      <w:bookmarkEnd w:id="53"/>
      <w:bookmarkEnd w:id="54"/>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当信息（包括视音频信息、控制信息及报警信息等）经由IP网络传输时，端到端的信息延迟时间（包括发送端信息采集、编码、网络传输、信息接收端解码、显示等过程所经历的时间）应满足下列要求：</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前端设备与信号直接接入的</w:t>
      </w:r>
      <w:r>
        <w:rPr>
          <w:rFonts w:hint="eastAsia" w:ascii="宋体" w:hAnsi="宋体"/>
          <w:color w:val="auto"/>
          <w:sz w:val="22"/>
          <w:szCs w:val="22"/>
          <w:lang w:eastAsia="zh-CN"/>
        </w:rPr>
        <w:t>监控平台</w:t>
      </w:r>
      <w:r>
        <w:rPr>
          <w:rFonts w:hint="eastAsia" w:ascii="宋体" w:hAnsi="宋体"/>
          <w:color w:val="auto"/>
          <w:sz w:val="22"/>
          <w:szCs w:val="22"/>
        </w:rPr>
        <w:t>相应设备间端到端的信息延迟时间应不大于</w:t>
      </w:r>
      <w:r>
        <w:rPr>
          <w:rFonts w:ascii="宋体" w:hAnsi="宋体"/>
          <w:color w:val="auto"/>
          <w:sz w:val="22"/>
          <w:szCs w:val="22"/>
        </w:rPr>
        <w:t>2s</w:t>
      </w:r>
      <w:r>
        <w:rPr>
          <w:rFonts w:hint="eastAsia" w:ascii="宋体" w:hAnsi="宋体"/>
          <w:color w:val="auto"/>
          <w:sz w:val="22"/>
          <w:szCs w:val="22"/>
        </w:rPr>
        <w:t>；</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前端设备与用户终端设备间端到端的信息延迟时间应不大于</w:t>
      </w:r>
      <w:r>
        <w:rPr>
          <w:rFonts w:ascii="宋体" w:hAnsi="宋体"/>
          <w:color w:val="auto"/>
          <w:sz w:val="22"/>
          <w:szCs w:val="22"/>
        </w:rPr>
        <w:t>4s</w:t>
      </w:r>
      <w:r>
        <w:rPr>
          <w:rFonts w:hint="eastAsia" w:ascii="宋体" w:hAnsi="宋体"/>
          <w:color w:val="auto"/>
          <w:sz w:val="22"/>
          <w:szCs w:val="22"/>
        </w:rPr>
        <w:t>。</w:t>
      </w:r>
    </w:p>
    <w:p>
      <w:pPr>
        <w:pStyle w:val="4"/>
        <w:pageBreakBefore w:val="0"/>
        <w:numPr>
          <w:ilvl w:val="2"/>
          <w:numId w:val="0"/>
        </w:numPr>
        <w:kinsoku/>
        <w:wordWrap/>
        <w:overflowPunct/>
        <w:topLinePunct w:val="0"/>
        <w:bidi w:val="0"/>
        <w:snapToGrid/>
        <w:spacing w:before="312" w:beforeLines="100" w:after="156" w:afterLines="50" w:line="400" w:lineRule="exact"/>
        <w:ind w:left="-720" w:leftChars="0" w:firstLine="669" w:firstLineChars="300"/>
        <w:jc w:val="left"/>
        <w:textAlignment w:val="auto"/>
        <w:rPr>
          <w:color w:val="auto"/>
          <w:sz w:val="22"/>
          <w:szCs w:val="22"/>
        </w:rPr>
      </w:pPr>
      <w:bookmarkStart w:id="55" w:name="_Toc452022451"/>
      <w:bookmarkStart w:id="56" w:name="_Toc36038228"/>
      <w:bookmarkStart w:id="57" w:name="_Toc452732615"/>
      <w:bookmarkStart w:id="58" w:name="_Toc5027620"/>
      <w:bookmarkStart w:id="59" w:name="_Toc471484800"/>
      <w:r>
        <w:rPr>
          <w:rFonts w:hint="eastAsia"/>
          <w:color w:val="auto"/>
          <w:sz w:val="22"/>
          <w:szCs w:val="22"/>
          <w:lang w:val="en-US" w:eastAsia="zh-CN"/>
        </w:rPr>
        <w:t>2.2</w:t>
      </w:r>
      <w:r>
        <w:rPr>
          <w:rFonts w:hint="eastAsia"/>
          <w:color w:val="auto"/>
          <w:sz w:val="22"/>
          <w:szCs w:val="22"/>
        </w:rPr>
        <w:t>网络</w:t>
      </w:r>
      <w:r>
        <w:rPr>
          <w:color w:val="auto"/>
          <w:sz w:val="22"/>
          <w:szCs w:val="22"/>
        </w:rPr>
        <w:t>传输质量</w:t>
      </w:r>
      <w:bookmarkEnd w:id="55"/>
      <w:bookmarkEnd w:id="56"/>
      <w:bookmarkEnd w:id="57"/>
      <w:bookmarkEnd w:id="58"/>
      <w:bookmarkEnd w:id="59"/>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联网系统IP网络的传输质量（如传输时延、包丢失率、包误差率、虚假包率等）应符合如下要求：</w:t>
      </w:r>
    </w:p>
    <w:p>
      <w:pPr>
        <w:pStyle w:val="36"/>
        <w:pageBreakBefore w:val="0"/>
        <w:numPr>
          <w:ilvl w:val="0"/>
          <w:numId w:val="23"/>
        </w:numPr>
        <w:kinsoku/>
        <w:wordWrap/>
        <w:overflowPunct/>
        <w:topLinePunct w:val="0"/>
        <w:autoSpaceDE w:val="0"/>
        <w:autoSpaceDN w:val="0"/>
        <w:bidi w:val="0"/>
        <w:adjustRightInd w:val="0"/>
        <w:snapToGrid/>
        <w:spacing w:line="400" w:lineRule="exact"/>
        <w:ind w:firstLine="480" w:firstLineChars="0"/>
        <w:textAlignment w:val="auto"/>
        <w:rPr>
          <w:rFonts w:ascii="宋体" w:hAnsi="宋体" w:eastAsia="宋体"/>
          <w:color w:val="auto"/>
          <w:sz w:val="22"/>
          <w:szCs w:val="22"/>
        </w:rPr>
      </w:pPr>
      <w:r>
        <w:rPr>
          <w:rFonts w:hint="eastAsia" w:ascii="宋体" w:hAnsi="宋体" w:eastAsia="宋体"/>
          <w:color w:val="auto"/>
          <w:sz w:val="22"/>
          <w:szCs w:val="22"/>
        </w:rPr>
        <w:t>网络时延上限值为</w:t>
      </w:r>
      <w:r>
        <w:rPr>
          <w:rFonts w:ascii="宋体" w:hAnsi="宋体" w:eastAsia="宋体"/>
          <w:color w:val="auto"/>
          <w:sz w:val="22"/>
          <w:szCs w:val="22"/>
        </w:rPr>
        <w:t>400ms</w:t>
      </w:r>
      <w:r>
        <w:rPr>
          <w:rFonts w:hint="eastAsia" w:ascii="宋体" w:hAnsi="宋体" w:eastAsia="宋体"/>
          <w:color w:val="auto"/>
          <w:sz w:val="22"/>
          <w:szCs w:val="22"/>
        </w:rPr>
        <w:t>；</w:t>
      </w:r>
    </w:p>
    <w:p>
      <w:pPr>
        <w:pStyle w:val="36"/>
        <w:pageBreakBefore w:val="0"/>
        <w:numPr>
          <w:ilvl w:val="0"/>
          <w:numId w:val="23"/>
        </w:numPr>
        <w:kinsoku/>
        <w:wordWrap/>
        <w:overflowPunct/>
        <w:topLinePunct w:val="0"/>
        <w:autoSpaceDE w:val="0"/>
        <w:autoSpaceDN w:val="0"/>
        <w:bidi w:val="0"/>
        <w:adjustRightInd w:val="0"/>
        <w:snapToGrid/>
        <w:spacing w:line="400" w:lineRule="exact"/>
        <w:ind w:firstLine="480" w:firstLineChars="0"/>
        <w:textAlignment w:val="auto"/>
        <w:rPr>
          <w:rFonts w:ascii="宋体" w:hAnsi="宋体" w:eastAsia="宋体"/>
          <w:color w:val="auto"/>
          <w:sz w:val="22"/>
          <w:szCs w:val="22"/>
        </w:rPr>
      </w:pPr>
      <w:r>
        <w:rPr>
          <w:rFonts w:hint="eastAsia" w:ascii="宋体" w:hAnsi="宋体" w:eastAsia="宋体"/>
          <w:color w:val="auto"/>
          <w:sz w:val="22"/>
          <w:szCs w:val="22"/>
        </w:rPr>
        <w:t>时延抖动上限值为</w:t>
      </w:r>
      <w:r>
        <w:rPr>
          <w:rFonts w:ascii="宋体" w:hAnsi="宋体" w:eastAsia="宋体"/>
          <w:color w:val="auto"/>
          <w:sz w:val="22"/>
          <w:szCs w:val="22"/>
        </w:rPr>
        <w:t>50ms</w:t>
      </w:r>
      <w:r>
        <w:rPr>
          <w:rFonts w:hint="eastAsia" w:ascii="宋体" w:hAnsi="宋体" w:eastAsia="宋体"/>
          <w:color w:val="auto"/>
          <w:sz w:val="22"/>
          <w:szCs w:val="22"/>
        </w:rPr>
        <w:t>；</w:t>
      </w:r>
    </w:p>
    <w:p>
      <w:pPr>
        <w:pStyle w:val="36"/>
        <w:pageBreakBefore w:val="0"/>
        <w:numPr>
          <w:ilvl w:val="0"/>
          <w:numId w:val="23"/>
        </w:numPr>
        <w:kinsoku/>
        <w:wordWrap/>
        <w:overflowPunct/>
        <w:topLinePunct w:val="0"/>
        <w:autoSpaceDE w:val="0"/>
        <w:autoSpaceDN w:val="0"/>
        <w:bidi w:val="0"/>
        <w:adjustRightInd w:val="0"/>
        <w:snapToGrid/>
        <w:spacing w:line="400" w:lineRule="exact"/>
        <w:ind w:firstLine="480" w:firstLineChars="0"/>
        <w:textAlignment w:val="auto"/>
        <w:rPr>
          <w:rFonts w:ascii="宋体" w:hAnsi="宋体" w:eastAsia="宋体"/>
          <w:color w:val="auto"/>
          <w:sz w:val="22"/>
          <w:szCs w:val="22"/>
        </w:rPr>
      </w:pPr>
      <w:r>
        <w:rPr>
          <w:rFonts w:hint="eastAsia" w:ascii="宋体" w:hAnsi="宋体" w:eastAsia="宋体"/>
          <w:color w:val="auto"/>
          <w:sz w:val="22"/>
          <w:szCs w:val="22"/>
        </w:rPr>
        <w:t>丢包率上限值为</w:t>
      </w:r>
      <w:r>
        <w:rPr>
          <w:rFonts w:ascii="宋体" w:hAnsi="宋体" w:eastAsia="宋体"/>
          <w:color w:val="auto"/>
          <w:sz w:val="22"/>
          <w:szCs w:val="22"/>
        </w:rPr>
        <w:t>1×</w:t>
      </w:r>
      <w:r>
        <w:rPr>
          <w:rFonts w:hint="eastAsia" w:ascii="宋体" w:hAnsi="宋体" w:eastAsia="宋体"/>
          <w:color w:val="auto"/>
          <w:sz w:val="22"/>
          <w:szCs w:val="22"/>
        </w:rPr>
        <w:t>10</w:t>
      </w:r>
      <w:r>
        <w:rPr>
          <w:rFonts w:hint="eastAsia" w:ascii="宋体" w:hAnsi="宋体" w:eastAsia="宋体"/>
          <w:color w:val="auto"/>
          <w:sz w:val="22"/>
          <w:szCs w:val="22"/>
          <w:vertAlign w:val="superscript"/>
        </w:rPr>
        <w:t>-3</w:t>
      </w:r>
      <w:r>
        <w:rPr>
          <w:rFonts w:hint="eastAsia" w:ascii="宋体" w:hAnsi="宋体" w:eastAsia="宋体"/>
          <w:color w:val="auto"/>
          <w:sz w:val="22"/>
          <w:szCs w:val="22"/>
        </w:rPr>
        <w:t>；</w:t>
      </w:r>
    </w:p>
    <w:p>
      <w:pPr>
        <w:pStyle w:val="36"/>
        <w:pageBreakBefore w:val="0"/>
        <w:numPr>
          <w:ilvl w:val="0"/>
          <w:numId w:val="23"/>
        </w:numPr>
        <w:kinsoku/>
        <w:wordWrap/>
        <w:overflowPunct/>
        <w:topLinePunct w:val="0"/>
        <w:autoSpaceDE w:val="0"/>
        <w:autoSpaceDN w:val="0"/>
        <w:bidi w:val="0"/>
        <w:adjustRightInd w:val="0"/>
        <w:snapToGrid/>
        <w:spacing w:line="400" w:lineRule="exact"/>
        <w:ind w:firstLine="480" w:firstLineChars="0"/>
        <w:textAlignment w:val="auto"/>
        <w:rPr>
          <w:rFonts w:ascii="宋体" w:hAnsi="宋体" w:eastAsia="宋体"/>
          <w:color w:val="auto"/>
          <w:sz w:val="22"/>
          <w:szCs w:val="22"/>
        </w:rPr>
      </w:pPr>
      <w:r>
        <w:rPr>
          <w:rFonts w:hint="eastAsia" w:ascii="宋体" w:hAnsi="宋体" w:eastAsia="宋体"/>
          <w:color w:val="auto"/>
          <w:sz w:val="22"/>
          <w:szCs w:val="22"/>
        </w:rPr>
        <w:t>包误差率上限值为</w:t>
      </w:r>
      <w:r>
        <w:rPr>
          <w:rFonts w:ascii="宋体" w:hAnsi="宋体" w:eastAsia="宋体"/>
          <w:color w:val="auto"/>
          <w:sz w:val="22"/>
          <w:szCs w:val="22"/>
        </w:rPr>
        <w:t>1×</w:t>
      </w:r>
      <w:r>
        <w:rPr>
          <w:rFonts w:hint="eastAsia" w:ascii="宋体" w:hAnsi="宋体" w:eastAsia="宋体"/>
          <w:color w:val="auto"/>
          <w:sz w:val="22"/>
          <w:szCs w:val="22"/>
        </w:rPr>
        <w:t>10</w:t>
      </w:r>
      <w:r>
        <w:rPr>
          <w:rFonts w:hint="eastAsia" w:ascii="宋体" w:hAnsi="宋体" w:eastAsia="宋体"/>
          <w:color w:val="auto"/>
          <w:sz w:val="22"/>
          <w:szCs w:val="22"/>
          <w:vertAlign w:val="superscript"/>
        </w:rPr>
        <w:t>-4</w:t>
      </w:r>
      <w:r>
        <w:rPr>
          <w:rFonts w:hint="eastAsia" w:ascii="宋体" w:hAnsi="宋体" w:eastAsia="宋体"/>
          <w:color w:val="auto"/>
          <w:sz w:val="22"/>
          <w:szCs w:val="22"/>
        </w:rPr>
        <w:t>。</w:t>
      </w:r>
    </w:p>
    <w:p>
      <w:pPr>
        <w:pStyle w:val="2"/>
        <w:pageBreakBefore w:val="0"/>
        <w:kinsoku/>
        <w:wordWrap/>
        <w:overflowPunct/>
        <w:topLinePunct w:val="0"/>
        <w:bidi w:val="0"/>
        <w:snapToGrid/>
        <w:spacing w:line="400" w:lineRule="exact"/>
        <w:textAlignment w:val="auto"/>
        <w:rPr>
          <w:rFonts w:hint="eastAsia" w:eastAsia="宋体"/>
          <w:color w:val="auto"/>
          <w:sz w:val="22"/>
          <w:szCs w:val="22"/>
          <w:lang w:eastAsia="zh-CN"/>
        </w:rPr>
      </w:pPr>
      <w:bookmarkStart w:id="60" w:name="_Toc36038229"/>
      <w:r>
        <w:rPr>
          <w:rFonts w:hint="eastAsia"/>
          <w:color w:val="auto"/>
          <w:sz w:val="22"/>
          <w:szCs w:val="22"/>
          <w:lang w:eastAsia="zh-CN"/>
        </w:rPr>
        <w:t>（</w:t>
      </w:r>
      <w:r>
        <w:rPr>
          <w:rFonts w:hint="eastAsia"/>
          <w:color w:val="auto"/>
          <w:sz w:val="22"/>
          <w:szCs w:val="22"/>
          <w:lang w:val="en-US" w:eastAsia="zh-CN"/>
        </w:rPr>
        <w:t>三</w:t>
      </w:r>
      <w:r>
        <w:rPr>
          <w:rFonts w:hint="eastAsia"/>
          <w:color w:val="auto"/>
          <w:sz w:val="22"/>
          <w:szCs w:val="22"/>
          <w:lang w:eastAsia="zh-CN"/>
        </w:rPr>
        <w:t>）</w:t>
      </w:r>
      <w:bookmarkEnd w:id="60"/>
      <w:r>
        <w:rPr>
          <w:rFonts w:hint="eastAsia"/>
          <w:color w:val="auto"/>
          <w:sz w:val="22"/>
          <w:szCs w:val="22"/>
          <w:lang w:eastAsia="zh-CN"/>
        </w:rPr>
        <w:t>监控平台</w:t>
      </w:r>
    </w:p>
    <w:p>
      <w:pPr>
        <w:pStyle w:val="3"/>
        <w:pageBreakBefore w:val="0"/>
        <w:kinsoku/>
        <w:wordWrap/>
        <w:overflowPunct/>
        <w:topLinePunct w:val="0"/>
        <w:bidi w:val="0"/>
        <w:snapToGrid/>
        <w:spacing w:line="400" w:lineRule="exact"/>
        <w:textAlignment w:val="auto"/>
        <w:rPr>
          <w:rFonts w:hint="eastAsia" w:eastAsia="宋体"/>
          <w:color w:val="auto"/>
          <w:sz w:val="22"/>
          <w:szCs w:val="22"/>
          <w:lang w:eastAsia="zh-CN"/>
        </w:rPr>
      </w:pPr>
      <w:bookmarkStart w:id="61" w:name="_Toc36038230"/>
      <w:r>
        <w:rPr>
          <w:rFonts w:hint="eastAsia"/>
          <w:color w:val="auto"/>
          <w:sz w:val="22"/>
          <w:szCs w:val="22"/>
          <w:lang w:val="en-US" w:eastAsia="zh-CN"/>
        </w:rPr>
        <w:t>1.</w:t>
      </w:r>
      <w:bookmarkEnd w:id="61"/>
      <w:r>
        <w:rPr>
          <w:rFonts w:hint="eastAsia"/>
          <w:color w:val="auto"/>
          <w:sz w:val="22"/>
          <w:szCs w:val="22"/>
          <w:lang w:eastAsia="zh-CN"/>
        </w:rPr>
        <w:t>监控平台</w:t>
      </w:r>
    </w:p>
    <w:p>
      <w:pPr>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lang w:eastAsia="zh-CN"/>
        </w:rPr>
        <w:t>监控平台</w:t>
      </w:r>
      <w:r>
        <w:rPr>
          <w:rFonts w:hint="eastAsia"/>
          <w:color w:val="auto"/>
          <w:sz w:val="22"/>
          <w:szCs w:val="22"/>
        </w:rPr>
        <w:t>建设内容具体包括视频存储部分、平台管理软件、服务器等。</w:t>
      </w:r>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62" w:name="_Toc36038231"/>
      <w:r>
        <w:rPr>
          <w:rFonts w:hint="eastAsia"/>
          <w:color w:val="auto"/>
          <w:sz w:val="22"/>
          <w:szCs w:val="22"/>
          <w:lang w:val="en-US" w:eastAsia="zh-CN"/>
        </w:rPr>
        <w:t>1.1</w:t>
      </w:r>
      <w:r>
        <w:rPr>
          <w:rFonts w:hint="eastAsia"/>
          <w:color w:val="auto"/>
          <w:sz w:val="22"/>
          <w:szCs w:val="22"/>
        </w:rPr>
        <w:t>系统结构设计</w:t>
      </w:r>
      <w:bookmarkEnd w:id="62"/>
    </w:p>
    <w:p>
      <w:pPr>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lang w:eastAsia="zh-CN"/>
        </w:rPr>
        <w:t>监控平台</w:t>
      </w:r>
      <w:r>
        <w:rPr>
          <w:rFonts w:hint="eastAsia"/>
          <w:color w:val="auto"/>
          <w:sz w:val="22"/>
          <w:szCs w:val="22"/>
        </w:rPr>
        <w:t>是整个视频监控系统的核心，实现视频图像资源的汇聚，并对视频图像资源进行统一管理和调度。其中，存储设备实现视频图像资源的存储及调用；视频综合平台完成视频解码上墙和图像的拼接控制；服务器支撑综合管理平台，并通过网络键盘进行视频切换和控制，通过高清大屏对高清视频进行精彩展现。</w:t>
      </w:r>
    </w:p>
    <w:p>
      <w:pPr>
        <w:pStyle w:val="3"/>
        <w:pageBreakBefore w:val="0"/>
        <w:kinsoku/>
        <w:wordWrap/>
        <w:overflowPunct/>
        <w:topLinePunct w:val="0"/>
        <w:bidi w:val="0"/>
        <w:snapToGrid/>
        <w:spacing w:line="400" w:lineRule="exact"/>
        <w:textAlignment w:val="auto"/>
        <w:rPr>
          <w:color w:val="auto"/>
          <w:sz w:val="22"/>
          <w:szCs w:val="22"/>
        </w:rPr>
      </w:pPr>
      <w:bookmarkStart w:id="63" w:name="_Toc29373779"/>
      <w:bookmarkStart w:id="64" w:name="_Toc36038232"/>
      <w:r>
        <w:rPr>
          <w:rFonts w:hint="eastAsia"/>
          <w:color w:val="auto"/>
          <w:sz w:val="22"/>
          <w:szCs w:val="22"/>
          <w:lang w:val="en-US" w:eastAsia="zh-CN"/>
        </w:rPr>
        <w:t>2.</w:t>
      </w:r>
      <w:r>
        <w:rPr>
          <w:rFonts w:hint="eastAsia"/>
          <w:color w:val="auto"/>
          <w:sz w:val="22"/>
          <w:szCs w:val="22"/>
        </w:rPr>
        <w:t>存储系统</w:t>
      </w:r>
      <w:bookmarkEnd w:id="63"/>
      <w:bookmarkEnd w:id="64"/>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65" w:name="_Toc36038233"/>
      <w:r>
        <w:rPr>
          <w:rFonts w:hint="eastAsia"/>
          <w:color w:val="auto"/>
          <w:sz w:val="22"/>
          <w:szCs w:val="22"/>
          <w:lang w:val="en-US" w:eastAsia="zh-CN"/>
        </w:rPr>
        <w:t>2.1</w:t>
      </w:r>
      <w:r>
        <w:rPr>
          <w:rFonts w:hint="eastAsia"/>
          <w:color w:val="auto"/>
          <w:sz w:val="22"/>
          <w:szCs w:val="22"/>
        </w:rPr>
        <w:t>存储独立于管理服务器</w:t>
      </w:r>
      <w:bookmarkEnd w:id="65"/>
    </w:p>
    <w:p>
      <w:pPr>
        <w:pStyle w:val="52"/>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录像数据的存储不经过流媒体转发服务器转发，减少了大量流媒体转发服务器的部署；即使在写入过程中管理服务器宕机，数据流仍然持续写入存储设备，可以保证数据的实时可靠存储，而且其间写入的数据是可用的。管理服务器无需参与数据的存储，大幅降低管理服务器的运行压力。</w:t>
      </w:r>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66" w:name="_Toc36038234"/>
      <w:r>
        <w:rPr>
          <w:rFonts w:hint="eastAsia"/>
          <w:color w:val="auto"/>
          <w:sz w:val="22"/>
          <w:szCs w:val="22"/>
          <w:lang w:val="en-US" w:eastAsia="zh-CN"/>
        </w:rPr>
        <w:t>2.2</w:t>
      </w:r>
      <w:r>
        <w:rPr>
          <w:rFonts w:hint="eastAsia"/>
          <w:color w:val="auto"/>
          <w:sz w:val="22"/>
          <w:szCs w:val="22"/>
        </w:rPr>
        <w:t>持续稳定可靠的存储</w:t>
      </w:r>
      <w:bookmarkEnd w:id="66"/>
    </w:p>
    <w:p>
      <w:pPr>
        <w:pStyle w:val="52"/>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采用直存方案脱离流媒体转发服务器，数据流更简单，故障概率更低；采用非文件打包方式的存储技术，脱离通用文件系统如NTFS的使用，避免通用文件系统长期运行会出现的磁盘碎片导致性能衰减的问题，确保了录像存储的长期稳定性。</w:t>
      </w:r>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67" w:name="_Toc36038235"/>
      <w:r>
        <w:rPr>
          <w:rFonts w:hint="eastAsia"/>
          <w:color w:val="auto"/>
          <w:sz w:val="22"/>
          <w:szCs w:val="22"/>
          <w:lang w:val="en-US" w:eastAsia="zh-CN"/>
        </w:rPr>
        <w:t>2.3</w:t>
      </w:r>
      <w:r>
        <w:rPr>
          <w:rFonts w:hint="eastAsia"/>
          <w:color w:val="auto"/>
          <w:sz w:val="22"/>
          <w:szCs w:val="22"/>
        </w:rPr>
        <w:t>动态在线磁盘扩展</w:t>
      </w:r>
      <w:bookmarkEnd w:id="67"/>
    </w:p>
    <w:p>
      <w:pPr>
        <w:pStyle w:val="52"/>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采用安防专用的磁盘阵列RAID技术，系统在线运行的情况下，用户可以直接动态增删磁盘，来实现系统存储容量扩展，从而实现系统扩容与存储同步运行，避免离线系统扩容导致部分录像丢失。</w:t>
      </w:r>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68" w:name="_Toc36038236"/>
      <w:r>
        <w:rPr>
          <w:rFonts w:hint="eastAsia"/>
          <w:color w:val="auto"/>
          <w:sz w:val="22"/>
          <w:szCs w:val="22"/>
          <w:lang w:val="en-US" w:eastAsia="zh-CN"/>
        </w:rPr>
        <w:t>2.4</w:t>
      </w:r>
      <w:r>
        <w:rPr>
          <w:rFonts w:hint="eastAsia"/>
          <w:color w:val="auto"/>
          <w:sz w:val="22"/>
          <w:szCs w:val="22"/>
        </w:rPr>
        <w:t>防止数据被非法使用</w:t>
      </w:r>
      <w:bookmarkEnd w:id="68"/>
    </w:p>
    <w:p>
      <w:pPr>
        <w:pStyle w:val="52"/>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采用标准的流媒体协议进行数据传输，不需要将磁盘暴露给前端设备访问，防止录像数据被非法访问；存储设备中的录像和图片采用非文件形式的块存储，必须使用自身客户端认证通过后才能访问，进一步确保数据保密性。</w:t>
      </w:r>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69" w:name="_Toc36038237"/>
      <w:r>
        <w:rPr>
          <w:rFonts w:hint="eastAsia"/>
          <w:color w:val="auto"/>
          <w:sz w:val="22"/>
          <w:szCs w:val="22"/>
          <w:lang w:val="en-US" w:eastAsia="zh-CN"/>
        </w:rPr>
        <w:t>2.5</w:t>
      </w:r>
      <w:r>
        <w:rPr>
          <w:rFonts w:hint="eastAsia"/>
          <w:color w:val="auto"/>
          <w:sz w:val="22"/>
          <w:szCs w:val="22"/>
        </w:rPr>
        <w:t>异常处理机制</w:t>
      </w:r>
      <w:bookmarkEnd w:id="69"/>
    </w:p>
    <w:p>
      <w:pPr>
        <w:pStyle w:val="52"/>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w:t>
      </w:r>
      <w:r>
        <w:rPr>
          <w:rFonts w:hint="eastAsia"/>
          <w:color w:val="auto"/>
          <w:sz w:val="22"/>
          <w:szCs w:val="22"/>
        </w:rPr>
        <w:tab/>
      </w:r>
      <w:r>
        <w:rPr>
          <w:rFonts w:hint="eastAsia"/>
          <w:color w:val="auto"/>
          <w:sz w:val="22"/>
          <w:szCs w:val="22"/>
        </w:rPr>
        <w:t>前端断电或者断网时支持秒级回放：录像存储能到达断电断网那一秒时刻，录像数据不会丢失。</w:t>
      </w:r>
    </w:p>
    <w:p>
      <w:pPr>
        <w:pStyle w:val="52"/>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w:t>
      </w:r>
      <w:r>
        <w:rPr>
          <w:rFonts w:hint="eastAsia"/>
          <w:color w:val="auto"/>
          <w:sz w:val="22"/>
          <w:szCs w:val="22"/>
        </w:rPr>
        <w:tab/>
      </w:r>
      <w:r>
        <w:rPr>
          <w:rFonts w:hint="eastAsia"/>
          <w:color w:val="auto"/>
          <w:sz w:val="22"/>
          <w:szCs w:val="22"/>
        </w:rPr>
        <w:t>存储设备宕机时，可用备机自动接管前端设备。</w:t>
      </w:r>
    </w:p>
    <w:p>
      <w:pPr>
        <w:pStyle w:val="52"/>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w:t>
      </w:r>
      <w:r>
        <w:rPr>
          <w:rFonts w:hint="eastAsia"/>
          <w:color w:val="auto"/>
          <w:sz w:val="22"/>
          <w:szCs w:val="22"/>
        </w:rPr>
        <w:tab/>
      </w:r>
      <w:r>
        <w:rPr>
          <w:rFonts w:hint="eastAsia"/>
          <w:color w:val="auto"/>
          <w:sz w:val="22"/>
          <w:szCs w:val="22"/>
        </w:rPr>
        <w:t>管理服务器宕机时，存储仍然实时可靠进行。</w:t>
      </w:r>
    </w:p>
    <w:p>
      <w:pPr>
        <w:pStyle w:val="3"/>
        <w:pageBreakBefore w:val="0"/>
        <w:kinsoku/>
        <w:wordWrap/>
        <w:overflowPunct/>
        <w:topLinePunct w:val="0"/>
        <w:bidi w:val="0"/>
        <w:snapToGrid/>
        <w:spacing w:line="400" w:lineRule="exact"/>
        <w:textAlignment w:val="auto"/>
        <w:rPr>
          <w:color w:val="auto"/>
          <w:sz w:val="22"/>
          <w:szCs w:val="22"/>
        </w:rPr>
      </w:pPr>
      <w:bookmarkStart w:id="70" w:name="_Toc34223289"/>
      <w:bookmarkStart w:id="71" w:name="_Toc36038238"/>
      <w:r>
        <w:rPr>
          <w:rFonts w:hint="eastAsia" w:asciiTheme="minorEastAsia" w:hAnsiTheme="minorEastAsia" w:eastAsiaTheme="minorEastAsia"/>
          <w:color w:val="auto"/>
          <w:sz w:val="22"/>
          <w:szCs w:val="22"/>
          <w:lang w:val="en-US" w:eastAsia="zh-CN"/>
        </w:rPr>
        <w:t>3.</w:t>
      </w:r>
      <w:bookmarkEnd w:id="70"/>
      <w:bookmarkEnd w:id="71"/>
      <w:bookmarkStart w:id="72" w:name="_Toc533712348"/>
      <w:bookmarkStart w:id="73" w:name="_Toc502169752"/>
      <w:bookmarkStart w:id="74" w:name="_Toc517295533"/>
      <w:bookmarkStart w:id="75" w:name="_Toc351043685"/>
      <w:bookmarkStart w:id="76" w:name="_Toc36038244"/>
      <w:r>
        <w:rPr>
          <w:rFonts w:hint="eastAsia"/>
          <w:color w:val="auto"/>
          <w:sz w:val="22"/>
          <w:szCs w:val="22"/>
        </w:rPr>
        <w:t>服务器管理系统</w:t>
      </w:r>
      <w:bookmarkEnd w:id="72"/>
      <w:bookmarkEnd w:id="73"/>
      <w:bookmarkEnd w:id="74"/>
      <w:bookmarkEnd w:id="75"/>
      <w:bookmarkEnd w:id="76"/>
    </w:p>
    <w:p>
      <w:pPr>
        <w:pStyle w:val="45"/>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平台服务器可以分布式部署、独立运行，各服务器都可以支持应用集群的方式冗余进行配置和在线扩充，具备彼此的应用服务器接管能力。</w:t>
      </w:r>
    </w:p>
    <w:p>
      <w:pPr>
        <w:pStyle w:val="45"/>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服务器统一采用PC服务器；服务器应具备多CPU系统、高带宽系统总线、I/O总线，具有高速运算和联机事务处理（OLTP）能力，具备集群技术和系统容错能力；服务器应支持双路独立电源输入，采用机架式安装。</w:t>
      </w:r>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77" w:name="_Toc36038245"/>
      <w:r>
        <w:rPr>
          <w:rFonts w:hint="eastAsia"/>
          <w:color w:val="auto"/>
          <w:sz w:val="22"/>
          <w:szCs w:val="22"/>
          <w:lang w:val="en-US" w:eastAsia="zh-CN"/>
        </w:rPr>
        <w:t>3.1</w:t>
      </w:r>
      <w:r>
        <w:rPr>
          <w:rFonts w:hint="eastAsia"/>
          <w:color w:val="auto"/>
          <w:sz w:val="22"/>
          <w:szCs w:val="22"/>
        </w:rPr>
        <w:t>管理服务器</w:t>
      </w:r>
      <w:bookmarkEnd w:id="77"/>
    </w:p>
    <w:p>
      <w:pPr>
        <w:pStyle w:val="45"/>
        <w:pageBreakBefore w:val="0"/>
        <w:kinsoku/>
        <w:wordWrap/>
        <w:overflowPunct/>
        <w:topLinePunct w:val="0"/>
        <w:bidi w:val="0"/>
        <w:snapToGrid/>
        <w:spacing w:line="400" w:lineRule="exact"/>
        <w:ind w:firstLine="480"/>
        <w:textAlignment w:val="auto"/>
        <w:rPr>
          <w:color w:val="auto"/>
          <w:sz w:val="22"/>
          <w:szCs w:val="22"/>
        </w:rPr>
      </w:pPr>
      <w:r>
        <w:rPr>
          <w:rFonts w:hint="eastAsia"/>
          <w:color w:val="auto"/>
          <w:sz w:val="22"/>
          <w:szCs w:val="22"/>
        </w:rPr>
        <w:t>管理服务器是综合辅助系统中心系统的核心单元，应实现前端设备、后端设备、各单元的信令转发控制处理，报警信息的接受和处理以及业务支撑信息管理，同时也需要提供用户的认证、授权业务以及提供网络设备管理的应用支持，包括配置管理、安全管理、计费管理、故障管理、性能管理等等。</w:t>
      </w:r>
    </w:p>
    <w:p>
      <w:pPr>
        <w:pStyle w:val="2"/>
        <w:pageBreakBefore w:val="0"/>
        <w:kinsoku/>
        <w:wordWrap/>
        <w:overflowPunct/>
        <w:topLinePunct w:val="0"/>
        <w:bidi w:val="0"/>
        <w:snapToGrid/>
        <w:spacing w:line="400" w:lineRule="exact"/>
        <w:textAlignment w:val="auto"/>
        <w:rPr>
          <w:color w:val="auto"/>
          <w:sz w:val="22"/>
          <w:szCs w:val="22"/>
        </w:rPr>
      </w:pPr>
      <w:bookmarkStart w:id="78" w:name="_Toc36038246"/>
      <w:r>
        <w:rPr>
          <w:rFonts w:hint="eastAsia"/>
          <w:color w:val="auto"/>
          <w:sz w:val="22"/>
          <w:szCs w:val="22"/>
          <w:lang w:eastAsia="zh-CN"/>
        </w:rPr>
        <w:t>（</w:t>
      </w:r>
      <w:r>
        <w:rPr>
          <w:rFonts w:hint="eastAsia"/>
          <w:color w:val="auto"/>
          <w:sz w:val="22"/>
          <w:szCs w:val="22"/>
          <w:lang w:val="en-US" w:eastAsia="zh-CN"/>
        </w:rPr>
        <w:t>四</w:t>
      </w:r>
      <w:r>
        <w:rPr>
          <w:rFonts w:hint="eastAsia"/>
          <w:color w:val="auto"/>
          <w:sz w:val="22"/>
          <w:szCs w:val="22"/>
          <w:lang w:eastAsia="zh-CN"/>
        </w:rPr>
        <w:t>）</w:t>
      </w:r>
      <w:r>
        <w:rPr>
          <w:color w:val="auto"/>
          <w:sz w:val="22"/>
          <w:szCs w:val="22"/>
        </w:rPr>
        <w:t>管理平台</w:t>
      </w:r>
      <w:bookmarkEnd w:id="78"/>
    </w:p>
    <w:p>
      <w:pPr>
        <w:pStyle w:val="3"/>
        <w:pageBreakBefore w:val="0"/>
        <w:kinsoku/>
        <w:wordWrap/>
        <w:overflowPunct/>
        <w:topLinePunct w:val="0"/>
        <w:bidi w:val="0"/>
        <w:snapToGrid/>
        <w:spacing w:line="400" w:lineRule="exact"/>
        <w:textAlignment w:val="auto"/>
        <w:rPr>
          <w:color w:val="auto"/>
          <w:sz w:val="22"/>
          <w:szCs w:val="22"/>
        </w:rPr>
      </w:pPr>
      <w:bookmarkStart w:id="79" w:name="_Toc36038247"/>
      <w:r>
        <w:rPr>
          <w:rFonts w:hint="eastAsia"/>
          <w:color w:val="auto"/>
          <w:sz w:val="22"/>
          <w:szCs w:val="22"/>
          <w:lang w:val="en-US" w:eastAsia="zh-CN"/>
        </w:rPr>
        <w:t>1.</w:t>
      </w:r>
      <w:r>
        <w:rPr>
          <w:color w:val="auto"/>
          <w:sz w:val="22"/>
          <w:szCs w:val="22"/>
        </w:rPr>
        <w:t>平台介绍</w:t>
      </w:r>
      <w:bookmarkEnd w:id="79"/>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平台</w:t>
      </w:r>
      <w:r>
        <w:rPr>
          <w:rFonts w:ascii="宋体" w:hAnsi="宋体"/>
          <w:color w:val="auto"/>
          <w:sz w:val="22"/>
          <w:szCs w:val="22"/>
        </w:rPr>
        <w:t>通过视频监控</w:t>
      </w:r>
      <w:r>
        <w:rPr>
          <w:rFonts w:hint="eastAsia" w:ascii="宋体" w:hAnsi="宋体"/>
          <w:color w:val="auto"/>
          <w:sz w:val="22"/>
          <w:szCs w:val="22"/>
        </w:rPr>
        <w:t>以及AI计算</w:t>
      </w:r>
      <w:r>
        <w:rPr>
          <w:rFonts w:ascii="宋体" w:hAnsi="宋体"/>
          <w:color w:val="auto"/>
          <w:sz w:val="22"/>
          <w:szCs w:val="22"/>
        </w:rPr>
        <w:t>能力、</w:t>
      </w:r>
      <w:r>
        <w:rPr>
          <w:rFonts w:hint="eastAsia" w:ascii="宋体" w:hAnsi="宋体"/>
          <w:color w:val="auto"/>
          <w:sz w:val="22"/>
          <w:szCs w:val="22"/>
        </w:rPr>
        <w:t>并</w:t>
      </w:r>
      <w:r>
        <w:rPr>
          <w:rFonts w:ascii="宋体" w:hAnsi="宋体"/>
          <w:color w:val="auto"/>
          <w:sz w:val="22"/>
          <w:szCs w:val="22"/>
        </w:rPr>
        <w:t>接入</w:t>
      </w:r>
      <w:r>
        <w:rPr>
          <w:rFonts w:hint="eastAsia" w:ascii="宋体" w:hAnsi="宋体"/>
          <w:color w:val="auto"/>
          <w:sz w:val="22"/>
          <w:szCs w:val="22"/>
        </w:rPr>
        <w:t>水利</w:t>
      </w:r>
      <w:r>
        <w:rPr>
          <w:rFonts w:ascii="宋体" w:hAnsi="宋体"/>
          <w:color w:val="auto"/>
          <w:sz w:val="22"/>
          <w:szCs w:val="22"/>
        </w:rPr>
        <w:t>行业设备</w:t>
      </w:r>
      <w:r>
        <w:rPr>
          <w:rFonts w:hint="eastAsia" w:ascii="宋体" w:hAnsi="宋体"/>
          <w:color w:val="auto"/>
          <w:sz w:val="22"/>
          <w:szCs w:val="22"/>
        </w:rPr>
        <w:t>等方式，进行水利</w:t>
      </w:r>
      <w:r>
        <w:rPr>
          <w:rFonts w:ascii="宋体" w:hAnsi="宋体"/>
          <w:color w:val="auto"/>
          <w:sz w:val="22"/>
          <w:szCs w:val="22"/>
        </w:rPr>
        <w:t>信息化</w:t>
      </w:r>
      <w:r>
        <w:rPr>
          <w:rFonts w:hint="eastAsia" w:ascii="宋体" w:hAnsi="宋体"/>
          <w:color w:val="auto"/>
          <w:sz w:val="22"/>
          <w:szCs w:val="22"/>
        </w:rPr>
        <w:t>的</w:t>
      </w:r>
      <w:r>
        <w:rPr>
          <w:rFonts w:ascii="宋体" w:hAnsi="宋体"/>
          <w:color w:val="auto"/>
          <w:sz w:val="22"/>
          <w:szCs w:val="22"/>
        </w:rPr>
        <w:t>集成与联动</w:t>
      </w:r>
      <w:r>
        <w:rPr>
          <w:rFonts w:hint="eastAsia" w:ascii="宋体" w:hAnsi="宋体"/>
          <w:color w:val="auto"/>
          <w:sz w:val="22"/>
          <w:szCs w:val="22"/>
        </w:rPr>
        <w:t>，协助</w:t>
      </w:r>
      <w:r>
        <w:rPr>
          <w:rFonts w:ascii="宋体" w:hAnsi="宋体"/>
          <w:color w:val="auto"/>
          <w:sz w:val="22"/>
          <w:szCs w:val="22"/>
        </w:rPr>
        <w:t>用户</w:t>
      </w:r>
      <w:r>
        <w:rPr>
          <w:rFonts w:hint="eastAsia" w:ascii="宋体" w:hAnsi="宋体"/>
          <w:color w:val="auto"/>
          <w:sz w:val="22"/>
          <w:szCs w:val="22"/>
        </w:rPr>
        <w:t>实现防灾</w:t>
      </w:r>
      <w:r>
        <w:rPr>
          <w:rFonts w:ascii="宋体" w:hAnsi="宋体"/>
          <w:color w:val="auto"/>
          <w:sz w:val="22"/>
          <w:szCs w:val="22"/>
        </w:rPr>
        <w:t>减</w:t>
      </w:r>
      <w:r>
        <w:rPr>
          <w:rFonts w:hint="eastAsia" w:ascii="宋体" w:hAnsi="宋体"/>
          <w:color w:val="auto"/>
          <w:sz w:val="22"/>
          <w:szCs w:val="22"/>
        </w:rPr>
        <w:t>灾、河湖</w:t>
      </w:r>
      <w:r>
        <w:rPr>
          <w:rFonts w:ascii="宋体" w:hAnsi="宋体"/>
          <w:color w:val="auto"/>
          <w:sz w:val="22"/>
          <w:szCs w:val="22"/>
        </w:rPr>
        <w:t>管理、</w:t>
      </w:r>
      <w:r>
        <w:rPr>
          <w:rFonts w:hint="eastAsia" w:ascii="宋体" w:hAnsi="宋体"/>
          <w:color w:val="auto"/>
          <w:sz w:val="22"/>
          <w:szCs w:val="22"/>
        </w:rPr>
        <w:t>水利工程管理</w:t>
      </w:r>
      <w:r>
        <w:rPr>
          <w:rFonts w:ascii="宋体" w:hAnsi="宋体"/>
          <w:color w:val="auto"/>
          <w:sz w:val="22"/>
          <w:szCs w:val="22"/>
        </w:rPr>
        <w:t>、流域监控等</w:t>
      </w:r>
      <w:r>
        <w:rPr>
          <w:rFonts w:hint="eastAsia" w:ascii="宋体" w:hAnsi="宋体"/>
          <w:color w:val="auto"/>
          <w:sz w:val="22"/>
          <w:szCs w:val="22"/>
        </w:rPr>
        <w:t>水利可视化</w:t>
      </w:r>
      <w:r>
        <w:rPr>
          <w:rFonts w:ascii="宋体" w:hAnsi="宋体"/>
          <w:color w:val="auto"/>
          <w:sz w:val="22"/>
          <w:szCs w:val="22"/>
        </w:rPr>
        <w:t>业务。</w:t>
      </w:r>
      <w:r>
        <w:rPr>
          <w:rFonts w:hint="eastAsia" w:ascii="宋体" w:hAnsi="宋体"/>
          <w:color w:val="auto"/>
          <w:sz w:val="22"/>
          <w:szCs w:val="22"/>
        </w:rPr>
        <w:t>水利</w:t>
      </w:r>
      <w:r>
        <w:rPr>
          <w:rFonts w:ascii="宋体" w:hAnsi="宋体"/>
          <w:color w:val="auto"/>
          <w:sz w:val="22"/>
          <w:szCs w:val="22"/>
        </w:rPr>
        <w:t>智能</w:t>
      </w:r>
      <w:r>
        <w:rPr>
          <w:rFonts w:hint="eastAsia" w:ascii="宋体" w:hAnsi="宋体"/>
          <w:color w:val="auto"/>
          <w:sz w:val="22"/>
          <w:szCs w:val="22"/>
        </w:rPr>
        <w:t>可视化</w:t>
      </w:r>
      <w:r>
        <w:rPr>
          <w:rFonts w:ascii="宋体" w:hAnsi="宋体"/>
          <w:color w:val="auto"/>
          <w:sz w:val="22"/>
          <w:szCs w:val="22"/>
        </w:rPr>
        <w:t>平台主要应用于</w:t>
      </w:r>
      <w:r>
        <w:rPr>
          <w:rFonts w:hint="eastAsia" w:ascii="宋体" w:hAnsi="宋体"/>
          <w:color w:val="auto"/>
          <w:sz w:val="22"/>
          <w:szCs w:val="22"/>
        </w:rPr>
        <w:t>水利</w:t>
      </w:r>
      <w:r>
        <w:rPr>
          <w:rFonts w:ascii="宋体" w:hAnsi="宋体"/>
          <w:color w:val="auto"/>
          <w:sz w:val="22"/>
          <w:szCs w:val="22"/>
        </w:rPr>
        <w:t>行业</w:t>
      </w:r>
      <w:r>
        <w:rPr>
          <w:rFonts w:hint="eastAsia" w:ascii="宋体" w:hAnsi="宋体"/>
          <w:color w:val="auto"/>
          <w:sz w:val="22"/>
          <w:szCs w:val="22"/>
        </w:rPr>
        <w:t>，是一套“集成</w:t>
      </w:r>
      <w:r>
        <w:rPr>
          <w:rFonts w:ascii="宋体" w:hAnsi="宋体"/>
          <w:color w:val="auto"/>
          <w:sz w:val="22"/>
          <w:szCs w:val="22"/>
        </w:rPr>
        <w:t>化</w:t>
      </w:r>
      <w:r>
        <w:rPr>
          <w:rFonts w:hint="eastAsia" w:ascii="宋体" w:hAnsi="宋体"/>
          <w:color w:val="auto"/>
          <w:sz w:val="22"/>
          <w:szCs w:val="22"/>
        </w:rPr>
        <w:t>”、“智能</w:t>
      </w:r>
      <w:r>
        <w:rPr>
          <w:rFonts w:ascii="宋体" w:hAnsi="宋体"/>
          <w:color w:val="auto"/>
          <w:sz w:val="22"/>
          <w:szCs w:val="22"/>
        </w:rPr>
        <w:t>化</w:t>
      </w:r>
      <w:r>
        <w:rPr>
          <w:rFonts w:hint="eastAsia" w:ascii="宋体" w:hAnsi="宋体"/>
          <w:color w:val="auto"/>
          <w:sz w:val="22"/>
          <w:szCs w:val="22"/>
        </w:rPr>
        <w:t>”的</w:t>
      </w:r>
      <w:r>
        <w:rPr>
          <w:rFonts w:ascii="宋体" w:hAnsi="宋体"/>
          <w:color w:val="auto"/>
          <w:sz w:val="22"/>
          <w:szCs w:val="22"/>
        </w:rPr>
        <w:t>平台</w:t>
      </w:r>
      <w:r>
        <w:rPr>
          <w:rFonts w:hint="eastAsia" w:ascii="宋体" w:hAnsi="宋体"/>
          <w:color w:val="auto"/>
          <w:sz w:val="22"/>
          <w:szCs w:val="22"/>
        </w:rPr>
        <w:t>。平台</w:t>
      </w:r>
      <w:r>
        <w:rPr>
          <w:rFonts w:ascii="宋体" w:hAnsi="宋体"/>
          <w:color w:val="auto"/>
          <w:sz w:val="22"/>
          <w:szCs w:val="22"/>
        </w:rPr>
        <w:t>通过视频监控</w:t>
      </w:r>
      <w:r>
        <w:rPr>
          <w:rFonts w:hint="eastAsia" w:ascii="宋体" w:hAnsi="宋体"/>
          <w:color w:val="auto"/>
          <w:sz w:val="22"/>
          <w:szCs w:val="22"/>
        </w:rPr>
        <w:t>以及AI计算</w:t>
      </w:r>
      <w:r>
        <w:rPr>
          <w:rFonts w:ascii="宋体" w:hAnsi="宋体"/>
          <w:color w:val="auto"/>
          <w:sz w:val="22"/>
          <w:szCs w:val="22"/>
        </w:rPr>
        <w:t>能力、</w:t>
      </w:r>
      <w:r>
        <w:rPr>
          <w:rFonts w:hint="eastAsia" w:ascii="宋体" w:hAnsi="宋体"/>
          <w:color w:val="auto"/>
          <w:sz w:val="22"/>
          <w:szCs w:val="22"/>
        </w:rPr>
        <w:t>并</w:t>
      </w:r>
      <w:r>
        <w:rPr>
          <w:rFonts w:ascii="宋体" w:hAnsi="宋体"/>
          <w:color w:val="auto"/>
          <w:sz w:val="22"/>
          <w:szCs w:val="22"/>
        </w:rPr>
        <w:t>接入</w:t>
      </w:r>
      <w:r>
        <w:rPr>
          <w:rFonts w:hint="eastAsia" w:ascii="宋体" w:hAnsi="宋体"/>
          <w:color w:val="auto"/>
          <w:sz w:val="22"/>
          <w:szCs w:val="22"/>
        </w:rPr>
        <w:t>水利</w:t>
      </w:r>
      <w:r>
        <w:rPr>
          <w:rFonts w:ascii="宋体" w:hAnsi="宋体"/>
          <w:color w:val="auto"/>
          <w:sz w:val="22"/>
          <w:szCs w:val="22"/>
        </w:rPr>
        <w:t>行业设备</w:t>
      </w:r>
      <w:r>
        <w:rPr>
          <w:rFonts w:hint="eastAsia" w:ascii="宋体" w:hAnsi="宋体"/>
          <w:color w:val="auto"/>
          <w:sz w:val="22"/>
          <w:szCs w:val="22"/>
        </w:rPr>
        <w:t>等方式，进行水利</w:t>
      </w:r>
      <w:r>
        <w:rPr>
          <w:rFonts w:ascii="宋体" w:hAnsi="宋体"/>
          <w:color w:val="auto"/>
          <w:sz w:val="22"/>
          <w:szCs w:val="22"/>
        </w:rPr>
        <w:t>信息化</w:t>
      </w:r>
      <w:r>
        <w:rPr>
          <w:rFonts w:hint="eastAsia" w:ascii="宋体" w:hAnsi="宋体"/>
          <w:color w:val="auto"/>
          <w:sz w:val="22"/>
          <w:szCs w:val="22"/>
        </w:rPr>
        <w:t>的</w:t>
      </w:r>
      <w:r>
        <w:rPr>
          <w:rFonts w:ascii="宋体" w:hAnsi="宋体"/>
          <w:color w:val="auto"/>
          <w:sz w:val="22"/>
          <w:szCs w:val="22"/>
        </w:rPr>
        <w:t>集成与联动</w:t>
      </w:r>
      <w:r>
        <w:rPr>
          <w:rFonts w:hint="eastAsia" w:ascii="宋体" w:hAnsi="宋体"/>
          <w:color w:val="auto"/>
          <w:sz w:val="22"/>
          <w:szCs w:val="22"/>
        </w:rPr>
        <w:t>，协助</w:t>
      </w:r>
      <w:r>
        <w:rPr>
          <w:rFonts w:ascii="宋体" w:hAnsi="宋体"/>
          <w:color w:val="auto"/>
          <w:sz w:val="22"/>
          <w:szCs w:val="22"/>
        </w:rPr>
        <w:t>用户</w:t>
      </w:r>
      <w:r>
        <w:rPr>
          <w:rFonts w:hint="eastAsia" w:ascii="宋体" w:hAnsi="宋体"/>
          <w:color w:val="auto"/>
          <w:sz w:val="22"/>
          <w:szCs w:val="22"/>
        </w:rPr>
        <w:t>实现防灾</w:t>
      </w:r>
      <w:r>
        <w:rPr>
          <w:rFonts w:ascii="宋体" w:hAnsi="宋体"/>
          <w:color w:val="auto"/>
          <w:sz w:val="22"/>
          <w:szCs w:val="22"/>
        </w:rPr>
        <w:t>减</w:t>
      </w:r>
      <w:r>
        <w:rPr>
          <w:rFonts w:hint="eastAsia" w:ascii="宋体" w:hAnsi="宋体"/>
          <w:color w:val="auto"/>
          <w:sz w:val="22"/>
          <w:szCs w:val="22"/>
        </w:rPr>
        <w:t>灾、河湖</w:t>
      </w:r>
      <w:r>
        <w:rPr>
          <w:rFonts w:ascii="宋体" w:hAnsi="宋体"/>
          <w:color w:val="auto"/>
          <w:sz w:val="22"/>
          <w:szCs w:val="22"/>
        </w:rPr>
        <w:t>管理、</w:t>
      </w:r>
      <w:r>
        <w:rPr>
          <w:rFonts w:hint="eastAsia" w:ascii="宋体" w:hAnsi="宋体"/>
          <w:color w:val="auto"/>
          <w:sz w:val="22"/>
          <w:szCs w:val="22"/>
        </w:rPr>
        <w:t>水利工程管理</w:t>
      </w:r>
      <w:r>
        <w:rPr>
          <w:rFonts w:ascii="宋体" w:hAnsi="宋体"/>
          <w:color w:val="auto"/>
          <w:sz w:val="22"/>
          <w:szCs w:val="22"/>
        </w:rPr>
        <w:t>、流域监控等</w:t>
      </w:r>
      <w:r>
        <w:rPr>
          <w:rFonts w:hint="eastAsia" w:ascii="宋体" w:hAnsi="宋体"/>
          <w:color w:val="auto"/>
          <w:sz w:val="22"/>
          <w:szCs w:val="22"/>
        </w:rPr>
        <w:t>水利可视化</w:t>
      </w:r>
      <w:r>
        <w:rPr>
          <w:rFonts w:ascii="宋体" w:hAnsi="宋体"/>
          <w:color w:val="auto"/>
          <w:sz w:val="22"/>
          <w:szCs w:val="22"/>
        </w:rPr>
        <w:t>业务。</w:t>
      </w:r>
    </w:p>
    <w:p>
      <w:pPr>
        <w:pStyle w:val="3"/>
        <w:pageBreakBefore w:val="0"/>
        <w:kinsoku/>
        <w:wordWrap/>
        <w:overflowPunct/>
        <w:topLinePunct w:val="0"/>
        <w:bidi w:val="0"/>
        <w:snapToGrid/>
        <w:spacing w:line="400" w:lineRule="exact"/>
        <w:textAlignment w:val="auto"/>
        <w:rPr>
          <w:color w:val="auto"/>
          <w:sz w:val="22"/>
          <w:szCs w:val="22"/>
        </w:rPr>
      </w:pPr>
      <w:bookmarkStart w:id="80" w:name="_Toc516529122"/>
      <w:bookmarkStart w:id="81" w:name="_Toc533712357"/>
      <w:bookmarkStart w:id="82" w:name="_Toc36038248"/>
      <w:r>
        <w:rPr>
          <w:rFonts w:hint="eastAsia"/>
          <w:color w:val="auto"/>
          <w:sz w:val="22"/>
          <w:szCs w:val="22"/>
          <w:lang w:val="en-US" w:eastAsia="zh-CN"/>
        </w:rPr>
        <w:t>2.</w:t>
      </w:r>
      <w:r>
        <w:rPr>
          <w:rFonts w:hint="eastAsia"/>
          <w:color w:val="auto"/>
          <w:sz w:val="22"/>
          <w:szCs w:val="22"/>
        </w:rPr>
        <w:t>平台功能</w:t>
      </w:r>
      <w:bookmarkEnd w:id="80"/>
      <w:bookmarkEnd w:id="81"/>
      <w:bookmarkEnd w:id="82"/>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83" w:name="_Toc533712358"/>
      <w:bookmarkStart w:id="84" w:name="_Toc516529123"/>
      <w:bookmarkStart w:id="85" w:name="_Toc36038249"/>
      <w:r>
        <w:rPr>
          <w:rFonts w:hint="eastAsia"/>
          <w:color w:val="auto"/>
          <w:sz w:val="22"/>
          <w:szCs w:val="22"/>
          <w:lang w:val="en-US" w:eastAsia="zh-CN"/>
        </w:rPr>
        <w:t>2.1</w:t>
      </w:r>
      <w:r>
        <w:rPr>
          <w:rFonts w:hint="eastAsia"/>
          <w:color w:val="auto"/>
          <w:sz w:val="22"/>
          <w:szCs w:val="22"/>
        </w:rPr>
        <w:t>基础视频</w:t>
      </w:r>
      <w:r>
        <w:rPr>
          <w:color w:val="auto"/>
          <w:sz w:val="22"/>
          <w:szCs w:val="22"/>
        </w:rPr>
        <w:t>应用</w:t>
      </w:r>
      <w:bookmarkEnd w:id="83"/>
      <w:bookmarkEnd w:id="84"/>
      <w:bookmarkEnd w:id="85"/>
    </w:p>
    <w:p>
      <w:pPr>
        <w:pStyle w:val="5"/>
        <w:pageBreakBefore w:val="0"/>
        <w:numPr>
          <w:ilvl w:val="3"/>
          <w:numId w:val="0"/>
        </w:numPr>
        <w:kinsoku/>
        <w:wordWrap/>
        <w:overflowPunct/>
        <w:topLinePunct w:val="0"/>
        <w:bidi w:val="0"/>
        <w:snapToGrid/>
        <w:spacing w:before="120" w:after="120" w:line="400" w:lineRule="exact"/>
        <w:ind w:left="1426" w:leftChars="0"/>
        <w:jc w:val="left"/>
        <w:textAlignment w:val="auto"/>
        <w:rPr>
          <w:color w:val="auto"/>
          <w:sz w:val="22"/>
          <w:szCs w:val="22"/>
        </w:rPr>
      </w:pPr>
      <w:r>
        <w:rPr>
          <w:rFonts w:hint="eastAsia"/>
          <w:color w:val="auto"/>
          <w:sz w:val="22"/>
          <w:szCs w:val="22"/>
          <w:lang w:val="en-US" w:eastAsia="zh-CN"/>
        </w:rPr>
        <w:t>2.1.1</w:t>
      </w:r>
      <w:r>
        <w:rPr>
          <w:rFonts w:hint="eastAsia"/>
          <w:color w:val="auto"/>
          <w:sz w:val="22"/>
          <w:szCs w:val="22"/>
        </w:rPr>
        <w:t>实时视频</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平台</w:t>
      </w:r>
      <w:r>
        <w:rPr>
          <w:rFonts w:ascii="宋体" w:hAnsi="宋体"/>
          <w:color w:val="auto"/>
          <w:sz w:val="22"/>
          <w:szCs w:val="22"/>
        </w:rPr>
        <w:t>提供</w:t>
      </w:r>
      <w:r>
        <w:rPr>
          <w:rFonts w:hint="eastAsia" w:ascii="宋体" w:hAnsi="宋体"/>
          <w:color w:val="auto"/>
          <w:sz w:val="22"/>
          <w:szCs w:val="22"/>
        </w:rPr>
        <w:t>3种客户端</w:t>
      </w:r>
      <w:r>
        <w:rPr>
          <w:rFonts w:ascii="宋体" w:hAnsi="宋体"/>
          <w:color w:val="auto"/>
          <w:sz w:val="22"/>
          <w:szCs w:val="22"/>
        </w:rPr>
        <w:t>：</w:t>
      </w:r>
      <w:r>
        <w:rPr>
          <w:rFonts w:hint="eastAsia" w:ascii="宋体" w:hAnsi="宋体"/>
          <w:color w:val="auto"/>
          <w:sz w:val="22"/>
          <w:szCs w:val="22"/>
        </w:rPr>
        <w:t>桌面客户端、WEB客户端、移动客户端。用户可通过实时监控模块，查看各个监控点的实时视频监控画面。支持树形方式展开选择所需监控的视频，实时监视各点位视频信息。</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视频监控平台支持分组显示，可以在一个分组中配置多个监控点。将需要的监控点添加到分组中，点击分组即可预览分组下所有通道。</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支持1/4/6/7/9/16/24画面分割显示及全屏显示。预览画面支持监控点信息、语音对讲、开关声音、音量控制、主/子码流切换、切换到第三码流、云台与镜头控制、抓图、多图抓拍、鱼眼、图像选取定位。</w:t>
      </w:r>
    </w:p>
    <w:p>
      <w:pPr>
        <w:pStyle w:val="5"/>
        <w:pageBreakBefore w:val="0"/>
        <w:numPr>
          <w:ilvl w:val="3"/>
          <w:numId w:val="0"/>
        </w:numPr>
        <w:kinsoku/>
        <w:wordWrap/>
        <w:overflowPunct/>
        <w:topLinePunct w:val="0"/>
        <w:bidi w:val="0"/>
        <w:snapToGrid/>
        <w:spacing w:before="120" w:after="120" w:line="400" w:lineRule="exact"/>
        <w:ind w:left="1426" w:leftChars="0"/>
        <w:jc w:val="left"/>
        <w:textAlignment w:val="auto"/>
        <w:rPr>
          <w:color w:val="auto"/>
          <w:sz w:val="22"/>
          <w:szCs w:val="22"/>
        </w:rPr>
      </w:pPr>
      <w:r>
        <w:rPr>
          <w:rFonts w:hint="eastAsia"/>
          <w:color w:val="auto"/>
          <w:sz w:val="22"/>
          <w:szCs w:val="22"/>
          <w:lang w:val="en-US" w:eastAsia="zh-CN"/>
        </w:rPr>
        <w:t>2.1.2</w:t>
      </w:r>
      <w:r>
        <w:rPr>
          <w:rFonts w:hint="eastAsia"/>
          <w:color w:val="auto"/>
          <w:sz w:val="22"/>
          <w:szCs w:val="22"/>
        </w:rPr>
        <w:t>录像回放</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录像回放需要支持常规回放、分段回放、事件回放三种模式，支持同时检索、回放所选各监控区域的多个摄像机视频。播放录制视频时，可对回放视频的进行抓拍，并将抓拍图片保存到本地。视频监控支持回放单路或多路视频，支持1、4、6、9、12画面等规格画面显示方式，画面支持4:3、16:9、自适应显示模式；回放时支持暂停、单帧进、单帧退、播放速度控制、同步回放、异步回放。回放支持分段回放，以分段缩略图展示录像片段，支持录像文件增加/删除标签。</w:t>
      </w:r>
    </w:p>
    <w:p>
      <w:pPr>
        <w:pStyle w:val="5"/>
        <w:pageBreakBefore w:val="0"/>
        <w:numPr>
          <w:ilvl w:val="3"/>
          <w:numId w:val="0"/>
        </w:numPr>
        <w:kinsoku/>
        <w:wordWrap/>
        <w:overflowPunct/>
        <w:topLinePunct w:val="0"/>
        <w:bidi w:val="0"/>
        <w:snapToGrid/>
        <w:spacing w:before="120" w:after="120" w:line="400" w:lineRule="exact"/>
        <w:ind w:left="1426" w:leftChars="0"/>
        <w:jc w:val="left"/>
        <w:textAlignment w:val="auto"/>
        <w:rPr>
          <w:color w:val="auto"/>
          <w:sz w:val="22"/>
          <w:szCs w:val="22"/>
        </w:rPr>
      </w:pPr>
      <w:r>
        <w:rPr>
          <w:rFonts w:hint="eastAsia"/>
          <w:color w:val="auto"/>
          <w:sz w:val="22"/>
          <w:szCs w:val="22"/>
          <w:lang w:val="en-US" w:eastAsia="zh-CN"/>
        </w:rPr>
        <w:t>2.1.3</w:t>
      </w:r>
      <w:r>
        <w:rPr>
          <w:rFonts w:hint="eastAsia"/>
          <w:color w:val="auto"/>
          <w:sz w:val="22"/>
          <w:szCs w:val="22"/>
        </w:rPr>
        <w:t>切片管理</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ascii="宋体" w:hAnsi="宋体"/>
          <w:color w:val="auto"/>
          <w:sz w:val="22"/>
          <w:szCs w:val="22"/>
        </w:rPr>
        <w:t>切片为</w:t>
      </w:r>
      <w:r>
        <w:rPr>
          <w:rFonts w:hint="eastAsia" w:ascii="宋体" w:hAnsi="宋体"/>
          <w:color w:val="auto"/>
          <w:sz w:val="22"/>
          <w:szCs w:val="22"/>
        </w:rPr>
        <w:t>以</w:t>
      </w:r>
      <w:r>
        <w:rPr>
          <w:rFonts w:ascii="宋体" w:hAnsi="宋体"/>
          <w:color w:val="auto"/>
          <w:sz w:val="22"/>
          <w:szCs w:val="22"/>
        </w:rPr>
        <w:t>获取的水利视频云平台监控视频资源为基础</w:t>
      </w:r>
      <w:r>
        <w:rPr>
          <w:rFonts w:hint="eastAsia" w:ascii="宋体" w:hAnsi="宋体"/>
          <w:color w:val="auto"/>
          <w:sz w:val="22"/>
          <w:szCs w:val="22"/>
        </w:rPr>
        <w:t>，以一定时间间隔抓拍后以图片形式进行存储、发布和应用。轮询抓拍切片通过程序设定，对所有监控点视频按一定的时间间隔、图片质量等参数进行切片抓拍，并在监控点窗口进行定时更新显示。轮询的图片将由系统进行统一处理，存储在云服务器上作为历史影像数据，供用户进行查询使用。可以按区域/流域/站类和站名进行过滤查询</w:t>
      </w:r>
      <w:r>
        <w:rPr>
          <w:rFonts w:ascii="宋体" w:hAnsi="宋体"/>
          <w:color w:val="auto"/>
          <w:sz w:val="22"/>
          <w:szCs w:val="22"/>
        </w:rPr>
        <w:t>抓拍的图片，</w:t>
      </w:r>
      <w:r>
        <w:rPr>
          <w:rFonts w:hint="eastAsia" w:ascii="宋体" w:hAnsi="宋体"/>
          <w:color w:val="auto"/>
          <w:sz w:val="22"/>
          <w:szCs w:val="22"/>
        </w:rPr>
        <w:t>图片可以放大、导出。</w:t>
      </w:r>
    </w:p>
    <w:p>
      <w:pPr>
        <w:pStyle w:val="5"/>
        <w:pageBreakBefore w:val="0"/>
        <w:numPr>
          <w:ilvl w:val="3"/>
          <w:numId w:val="0"/>
        </w:numPr>
        <w:kinsoku/>
        <w:wordWrap/>
        <w:overflowPunct/>
        <w:topLinePunct w:val="0"/>
        <w:bidi w:val="0"/>
        <w:snapToGrid/>
        <w:spacing w:before="120" w:after="120" w:line="400" w:lineRule="exact"/>
        <w:ind w:left="1426" w:leftChars="0"/>
        <w:jc w:val="left"/>
        <w:textAlignment w:val="auto"/>
        <w:rPr>
          <w:color w:val="auto"/>
          <w:sz w:val="22"/>
          <w:szCs w:val="22"/>
        </w:rPr>
      </w:pPr>
      <w:r>
        <w:rPr>
          <w:rFonts w:hint="eastAsia"/>
          <w:color w:val="auto"/>
          <w:sz w:val="22"/>
          <w:szCs w:val="22"/>
          <w:lang w:val="en-US" w:eastAsia="zh-CN"/>
        </w:rPr>
        <w:t>2.1.4</w:t>
      </w:r>
      <w:r>
        <w:rPr>
          <w:rFonts w:hint="eastAsia"/>
          <w:color w:val="auto"/>
          <w:sz w:val="22"/>
          <w:szCs w:val="22"/>
        </w:rPr>
        <w:t>视频轮询</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ascii="宋体" w:hAnsi="宋体"/>
          <w:color w:val="auto"/>
          <w:sz w:val="22"/>
          <w:szCs w:val="22"/>
        </w:rPr>
        <w:t>系统按照设定好的规则，在指定的操作终端上自动</w:t>
      </w:r>
      <w:r>
        <w:rPr>
          <w:rFonts w:hint="eastAsia" w:ascii="宋体" w:hAnsi="宋体"/>
          <w:color w:val="auto"/>
          <w:sz w:val="22"/>
          <w:szCs w:val="22"/>
        </w:rPr>
        <w:t>轮流显示</w:t>
      </w:r>
      <w:r>
        <w:rPr>
          <w:rFonts w:ascii="宋体" w:hAnsi="宋体"/>
          <w:color w:val="auto"/>
          <w:sz w:val="22"/>
          <w:szCs w:val="22"/>
        </w:rPr>
        <w:t>监控图像。根据业务需要，可以</w:t>
      </w:r>
      <w:r>
        <w:rPr>
          <w:rFonts w:hint="eastAsia" w:ascii="宋体" w:hAnsi="宋体"/>
          <w:color w:val="auto"/>
          <w:sz w:val="22"/>
          <w:szCs w:val="22"/>
        </w:rPr>
        <w:t>将</w:t>
      </w:r>
      <w:r>
        <w:rPr>
          <w:rFonts w:ascii="宋体" w:hAnsi="宋体"/>
          <w:color w:val="auto"/>
          <w:sz w:val="22"/>
          <w:szCs w:val="22"/>
        </w:rPr>
        <w:t>监控点分组</w:t>
      </w:r>
      <w:r>
        <w:rPr>
          <w:rFonts w:hint="eastAsia" w:ascii="宋体" w:hAnsi="宋体"/>
          <w:color w:val="auto"/>
          <w:sz w:val="22"/>
          <w:szCs w:val="22"/>
        </w:rPr>
        <w:t>，在指定的窗口布局上按指定的轮巡时间间隔轮流播放</w:t>
      </w:r>
      <w:r>
        <w:rPr>
          <w:rFonts w:ascii="宋体" w:hAnsi="宋体"/>
          <w:color w:val="auto"/>
          <w:sz w:val="22"/>
          <w:szCs w:val="22"/>
        </w:rPr>
        <w:t>。</w:t>
      </w:r>
      <w:r>
        <w:rPr>
          <w:rFonts w:hint="eastAsia" w:ascii="宋体" w:hAnsi="宋体"/>
          <w:color w:val="auto"/>
          <w:sz w:val="22"/>
          <w:szCs w:val="22"/>
        </w:rPr>
        <w:t>视频预案与轮巡支持以下功能：</w:t>
      </w:r>
    </w:p>
    <w:p>
      <w:pPr>
        <w:pStyle w:val="53"/>
        <w:pageBreakBefore w:val="0"/>
        <w:numPr>
          <w:ilvl w:val="0"/>
          <w:numId w:val="24"/>
        </w:numPr>
        <w:kinsoku/>
        <w:wordWrap/>
        <w:overflowPunct/>
        <w:topLinePunct w:val="0"/>
        <w:bidi w:val="0"/>
        <w:snapToGrid/>
        <w:spacing w:line="400" w:lineRule="exact"/>
        <w:textAlignment w:val="auto"/>
        <w:rPr>
          <w:rFonts w:ascii="宋体" w:hAnsi="宋体"/>
          <w:color w:val="auto"/>
          <w:sz w:val="22"/>
          <w:szCs w:val="22"/>
        </w:rPr>
      </w:pPr>
      <w:r>
        <w:rPr>
          <w:rFonts w:hint="eastAsia" w:asciiTheme="minorEastAsia" w:hAnsiTheme="minorEastAsia"/>
          <w:color w:val="auto"/>
          <w:sz w:val="22"/>
          <w:szCs w:val="22"/>
        </w:rPr>
        <w:t>设置窗口布局：以当前使用的窗口布局作为预案的窗口布局，且在轮巡中可指定监控点在窗口上轮巡的顺序。</w:t>
      </w:r>
    </w:p>
    <w:p>
      <w:pPr>
        <w:pStyle w:val="53"/>
        <w:pageBreakBefore w:val="0"/>
        <w:numPr>
          <w:ilvl w:val="0"/>
          <w:numId w:val="24"/>
        </w:numPr>
        <w:kinsoku/>
        <w:wordWrap/>
        <w:overflowPunct/>
        <w:topLinePunct w:val="0"/>
        <w:bidi w:val="0"/>
        <w:snapToGrid/>
        <w:spacing w:line="400" w:lineRule="exact"/>
        <w:textAlignment w:val="auto"/>
        <w:rPr>
          <w:rFonts w:ascii="宋体" w:hAnsi="宋体"/>
          <w:color w:val="auto"/>
          <w:sz w:val="22"/>
          <w:szCs w:val="22"/>
        </w:rPr>
      </w:pPr>
      <w:r>
        <w:rPr>
          <w:rFonts w:hint="eastAsia" w:asciiTheme="minorEastAsia" w:hAnsiTheme="minorEastAsia"/>
          <w:color w:val="auto"/>
          <w:sz w:val="22"/>
          <w:szCs w:val="22"/>
        </w:rPr>
        <w:t>设置轮巡监控点：可选择</w:t>
      </w:r>
      <w:r>
        <w:rPr>
          <w:rFonts w:asciiTheme="minorEastAsia" w:hAnsiTheme="minorEastAsia"/>
          <w:color w:val="auto"/>
          <w:sz w:val="22"/>
          <w:szCs w:val="22"/>
        </w:rPr>
        <w:t>某</w:t>
      </w:r>
      <w:r>
        <w:rPr>
          <w:rFonts w:hint="eastAsia" w:asciiTheme="minorEastAsia" w:hAnsiTheme="minorEastAsia"/>
          <w:color w:val="auto"/>
          <w:sz w:val="22"/>
          <w:szCs w:val="22"/>
        </w:rPr>
        <w:t>些</w:t>
      </w:r>
      <w:r>
        <w:rPr>
          <w:rFonts w:asciiTheme="minorEastAsia" w:hAnsiTheme="minorEastAsia"/>
          <w:color w:val="auto"/>
          <w:sz w:val="22"/>
          <w:szCs w:val="22"/>
        </w:rPr>
        <w:t>监控点</w:t>
      </w:r>
      <w:r>
        <w:rPr>
          <w:rFonts w:hint="eastAsia" w:asciiTheme="minorEastAsia" w:hAnsiTheme="minorEastAsia"/>
          <w:color w:val="auto"/>
          <w:sz w:val="22"/>
          <w:szCs w:val="22"/>
        </w:rPr>
        <w:t>成为</w:t>
      </w:r>
      <w:r>
        <w:rPr>
          <w:rFonts w:asciiTheme="minorEastAsia" w:hAnsiTheme="minorEastAsia"/>
          <w:color w:val="auto"/>
          <w:sz w:val="22"/>
          <w:szCs w:val="22"/>
        </w:rPr>
        <w:t>一个轮巡组</w:t>
      </w:r>
      <w:r>
        <w:rPr>
          <w:rFonts w:hint="eastAsia" w:asciiTheme="minorEastAsia" w:hAnsiTheme="minorEastAsia"/>
          <w:color w:val="auto"/>
          <w:sz w:val="22"/>
          <w:szCs w:val="22"/>
        </w:rPr>
        <w:t>，可指定监控点轮巡时的预置点与主子码流。支持</w:t>
      </w:r>
      <w:r>
        <w:rPr>
          <w:rFonts w:asciiTheme="minorEastAsia" w:hAnsiTheme="minorEastAsia"/>
          <w:color w:val="auto"/>
          <w:sz w:val="22"/>
          <w:szCs w:val="22"/>
        </w:rPr>
        <w:t>配置多个轮巡</w:t>
      </w:r>
      <w:r>
        <w:rPr>
          <w:rFonts w:hint="eastAsia" w:asciiTheme="minorEastAsia" w:hAnsiTheme="minorEastAsia"/>
          <w:color w:val="auto"/>
          <w:sz w:val="22"/>
          <w:szCs w:val="22"/>
        </w:rPr>
        <w:t>组</w:t>
      </w:r>
      <w:r>
        <w:rPr>
          <w:rFonts w:asciiTheme="minorEastAsia" w:hAnsiTheme="minorEastAsia"/>
          <w:color w:val="auto"/>
          <w:sz w:val="22"/>
          <w:szCs w:val="22"/>
        </w:rPr>
        <w:t>。</w:t>
      </w:r>
    </w:p>
    <w:p>
      <w:pPr>
        <w:pStyle w:val="53"/>
        <w:pageBreakBefore w:val="0"/>
        <w:numPr>
          <w:ilvl w:val="0"/>
          <w:numId w:val="24"/>
        </w:numPr>
        <w:kinsoku/>
        <w:wordWrap/>
        <w:overflowPunct/>
        <w:topLinePunct w:val="0"/>
        <w:bidi w:val="0"/>
        <w:snapToGrid/>
        <w:spacing w:line="400" w:lineRule="exact"/>
        <w:textAlignment w:val="auto"/>
        <w:rPr>
          <w:rFonts w:ascii="宋体" w:hAnsi="宋体"/>
          <w:color w:val="auto"/>
          <w:sz w:val="22"/>
          <w:szCs w:val="22"/>
        </w:rPr>
      </w:pPr>
      <w:r>
        <w:rPr>
          <w:rFonts w:hint="eastAsia" w:asciiTheme="minorEastAsia" w:hAnsiTheme="minorEastAsia" w:eastAsiaTheme="minorEastAsia"/>
          <w:color w:val="auto"/>
          <w:sz w:val="22"/>
          <w:szCs w:val="22"/>
        </w:rPr>
        <w:t>支持预案自动执行：支持</w:t>
      </w:r>
      <w:r>
        <w:rPr>
          <w:rFonts w:asciiTheme="minorEastAsia" w:hAnsiTheme="minorEastAsia" w:eastAsiaTheme="minorEastAsia"/>
          <w:color w:val="auto"/>
          <w:sz w:val="22"/>
          <w:szCs w:val="22"/>
        </w:rPr>
        <w:t>指定预案自动执行的起止时间</w:t>
      </w:r>
      <w:r>
        <w:rPr>
          <w:rFonts w:hint="eastAsia" w:asciiTheme="minorEastAsia" w:hAnsiTheme="minorEastAsia" w:eastAsiaTheme="minorEastAsia"/>
          <w:color w:val="auto"/>
          <w:sz w:val="22"/>
          <w:szCs w:val="22"/>
        </w:rPr>
        <w:t>，</w:t>
      </w:r>
      <w:r>
        <w:rPr>
          <w:rFonts w:asciiTheme="minorEastAsia" w:hAnsiTheme="minorEastAsia" w:eastAsiaTheme="minorEastAsia"/>
          <w:color w:val="auto"/>
          <w:sz w:val="22"/>
          <w:szCs w:val="22"/>
        </w:rPr>
        <w:t>自动切换预案。</w:t>
      </w:r>
    </w:p>
    <w:p>
      <w:pPr>
        <w:pStyle w:val="53"/>
        <w:pageBreakBefore w:val="0"/>
        <w:numPr>
          <w:ilvl w:val="0"/>
          <w:numId w:val="24"/>
        </w:numPr>
        <w:kinsoku/>
        <w:wordWrap/>
        <w:overflowPunct/>
        <w:topLinePunct w:val="0"/>
        <w:bidi w:val="0"/>
        <w:snapToGrid/>
        <w:spacing w:line="400" w:lineRule="exact"/>
        <w:textAlignment w:val="auto"/>
        <w:rPr>
          <w:rFonts w:ascii="宋体" w:hAnsi="宋体"/>
          <w:color w:val="auto"/>
          <w:sz w:val="22"/>
          <w:szCs w:val="22"/>
        </w:rPr>
      </w:pPr>
      <w:r>
        <w:rPr>
          <w:rFonts w:hint="eastAsia" w:asciiTheme="minorEastAsia" w:hAnsiTheme="minorEastAsia" w:eastAsiaTheme="minorEastAsia"/>
          <w:color w:val="auto"/>
          <w:sz w:val="22"/>
          <w:szCs w:val="22"/>
        </w:rPr>
        <w:t>支持共享预案：可指定共享的组织范围。</w:t>
      </w:r>
    </w:p>
    <w:p>
      <w:pPr>
        <w:pStyle w:val="53"/>
        <w:pageBreakBefore w:val="0"/>
        <w:numPr>
          <w:ilvl w:val="0"/>
          <w:numId w:val="24"/>
        </w:numPr>
        <w:kinsoku/>
        <w:wordWrap/>
        <w:overflowPunct/>
        <w:topLinePunct w:val="0"/>
        <w:bidi w:val="0"/>
        <w:snapToGrid/>
        <w:spacing w:line="400" w:lineRule="exact"/>
        <w:textAlignment w:val="auto"/>
        <w:rPr>
          <w:rFonts w:ascii="宋体" w:hAnsi="宋体"/>
          <w:color w:val="auto"/>
          <w:sz w:val="22"/>
          <w:szCs w:val="22"/>
        </w:rPr>
      </w:pPr>
      <w:r>
        <w:rPr>
          <w:rFonts w:hint="eastAsia" w:asciiTheme="minorEastAsia" w:hAnsiTheme="minorEastAsia" w:eastAsiaTheme="minorEastAsia"/>
          <w:color w:val="auto"/>
          <w:sz w:val="22"/>
          <w:szCs w:val="22"/>
        </w:rPr>
        <w:t>支持</w:t>
      </w:r>
      <w:r>
        <w:rPr>
          <w:rFonts w:asciiTheme="minorEastAsia" w:hAnsiTheme="minorEastAsia" w:eastAsiaTheme="minorEastAsia"/>
          <w:color w:val="auto"/>
          <w:sz w:val="22"/>
          <w:szCs w:val="22"/>
        </w:rPr>
        <w:t>临时轮巡：</w:t>
      </w:r>
      <w:r>
        <w:rPr>
          <w:rFonts w:hint="eastAsia" w:asciiTheme="minorEastAsia" w:hAnsiTheme="minorEastAsia" w:eastAsiaTheme="minorEastAsia"/>
          <w:color w:val="auto"/>
          <w:sz w:val="22"/>
          <w:szCs w:val="22"/>
        </w:rPr>
        <w:t>支持</w:t>
      </w:r>
      <w:r>
        <w:rPr>
          <w:rFonts w:asciiTheme="minorEastAsia" w:hAnsiTheme="minorEastAsia" w:eastAsiaTheme="minorEastAsia"/>
          <w:color w:val="auto"/>
          <w:sz w:val="22"/>
          <w:szCs w:val="22"/>
        </w:rPr>
        <w:t>临时</w:t>
      </w:r>
      <w:r>
        <w:rPr>
          <w:rFonts w:hint="eastAsia" w:asciiTheme="minorEastAsia" w:hAnsiTheme="minorEastAsia" w:eastAsiaTheme="minorEastAsia"/>
          <w:color w:val="auto"/>
          <w:sz w:val="22"/>
          <w:szCs w:val="22"/>
        </w:rPr>
        <w:t>从</w:t>
      </w:r>
      <w:r>
        <w:rPr>
          <w:rFonts w:asciiTheme="minorEastAsia" w:hAnsiTheme="minorEastAsia" w:eastAsiaTheme="minorEastAsia"/>
          <w:color w:val="auto"/>
          <w:sz w:val="22"/>
          <w:szCs w:val="22"/>
        </w:rPr>
        <w:t>资源导航中选择一组监控点进行临时轮巡，默认切换间隔为15秒。</w:t>
      </w:r>
    </w:p>
    <w:p>
      <w:pPr>
        <w:pStyle w:val="53"/>
        <w:pageBreakBefore w:val="0"/>
        <w:numPr>
          <w:ilvl w:val="0"/>
          <w:numId w:val="24"/>
        </w:numPr>
        <w:kinsoku/>
        <w:wordWrap/>
        <w:overflowPunct/>
        <w:topLinePunct w:val="0"/>
        <w:bidi w:val="0"/>
        <w:snapToGrid/>
        <w:spacing w:line="400" w:lineRule="exact"/>
        <w:textAlignment w:val="auto"/>
        <w:rPr>
          <w:rFonts w:ascii="宋体" w:hAnsi="宋体"/>
          <w:color w:val="auto"/>
          <w:sz w:val="22"/>
          <w:szCs w:val="22"/>
        </w:rPr>
      </w:pPr>
      <w:r>
        <w:rPr>
          <w:rFonts w:hint="eastAsia" w:asciiTheme="minorEastAsia" w:hAnsiTheme="minorEastAsia" w:eastAsiaTheme="minorEastAsia"/>
          <w:color w:val="auto"/>
          <w:sz w:val="22"/>
          <w:szCs w:val="22"/>
        </w:rPr>
        <w:t>支持保存当前操作快照为</w:t>
      </w:r>
      <w:r>
        <w:rPr>
          <w:rFonts w:asciiTheme="minorEastAsia" w:hAnsiTheme="minorEastAsia" w:eastAsiaTheme="minorEastAsia"/>
          <w:color w:val="auto"/>
          <w:sz w:val="22"/>
          <w:szCs w:val="22"/>
        </w:rPr>
        <w:t>预案：在</w:t>
      </w:r>
      <w:r>
        <w:rPr>
          <w:rFonts w:hint="eastAsia" w:asciiTheme="minorEastAsia" w:hAnsiTheme="minorEastAsia" w:eastAsiaTheme="minorEastAsia"/>
          <w:color w:val="auto"/>
          <w:sz w:val="22"/>
          <w:szCs w:val="22"/>
        </w:rPr>
        <w:t>视频</w:t>
      </w:r>
      <w:r>
        <w:rPr>
          <w:rFonts w:asciiTheme="minorEastAsia" w:hAnsiTheme="minorEastAsia" w:eastAsiaTheme="minorEastAsia"/>
          <w:color w:val="auto"/>
          <w:sz w:val="22"/>
          <w:szCs w:val="22"/>
        </w:rPr>
        <w:t>监控窗口</w:t>
      </w:r>
      <w:r>
        <w:rPr>
          <w:rFonts w:hint="eastAsia" w:asciiTheme="minorEastAsia" w:hAnsiTheme="minorEastAsia" w:eastAsiaTheme="minorEastAsia"/>
          <w:color w:val="auto"/>
          <w:sz w:val="22"/>
          <w:szCs w:val="22"/>
        </w:rPr>
        <w:t>选择</w:t>
      </w:r>
      <w:r>
        <w:rPr>
          <w:rFonts w:asciiTheme="minorEastAsia" w:hAnsiTheme="minorEastAsia" w:eastAsiaTheme="minorEastAsia"/>
          <w:color w:val="auto"/>
          <w:sz w:val="22"/>
          <w:szCs w:val="22"/>
        </w:rPr>
        <w:t>好</w:t>
      </w:r>
      <w:r>
        <w:rPr>
          <w:rFonts w:hint="eastAsia" w:asciiTheme="minorEastAsia" w:hAnsiTheme="minorEastAsia" w:eastAsiaTheme="minorEastAsia"/>
          <w:color w:val="auto"/>
          <w:sz w:val="22"/>
          <w:szCs w:val="22"/>
        </w:rPr>
        <w:t>窗口布局</w:t>
      </w:r>
      <w:r>
        <w:rPr>
          <w:rFonts w:asciiTheme="minorEastAsia" w:hAnsiTheme="minorEastAsia" w:eastAsiaTheme="minorEastAsia"/>
          <w:color w:val="auto"/>
          <w:sz w:val="22"/>
          <w:szCs w:val="22"/>
        </w:rPr>
        <w:t>，拖动需要的监控点或分组到</w:t>
      </w:r>
      <w:r>
        <w:rPr>
          <w:rFonts w:hint="eastAsia" w:asciiTheme="minorEastAsia" w:hAnsiTheme="minorEastAsia" w:eastAsiaTheme="minorEastAsia"/>
          <w:color w:val="auto"/>
          <w:sz w:val="22"/>
          <w:szCs w:val="22"/>
        </w:rPr>
        <w:t>窗口上</w:t>
      </w:r>
      <w:r>
        <w:rPr>
          <w:rFonts w:asciiTheme="minorEastAsia" w:hAnsiTheme="minorEastAsia" w:eastAsiaTheme="minorEastAsia"/>
          <w:color w:val="auto"/>
          <w:sz w:val="22"/>
          <w:szCs w:val="22"/>
        </w:rPr>
        <w:t>，即可把当</w:t>
      </w:r>
      <w:r>
        <w:rPr>
          <w:rFonts w:hint="eastAsia" w:asciiTheme="minorEastAsia" w:hAnsiTheme="minorEastAsia" w:eastAsiaTheme="minorEastAsia"/>
          <w:color w:val="auto"/>
          <w:sz w:val="22"/>
          <w:szCs w:val="22"/>
        </w:rPr>
        <w:t>前操作快照</w:t>
      </w:r>
      <w:r>
        <w:rPr>
          <w:rFonts w:asciiTheme="minorEastAsia" w:hAnsiTheme="minorEastAsia" w:eastAsiaTheme="minorEastAsia"/>
          <w:color w:val="auto"/>
          <w:sz w:val="22"/>
          <w:szCs w:val="22"/>
        </w:rPr>
        <w:t>保存为</w:t>
      </w:r>
      <w:r>
        <w:rPr>
          <w:rFonts w:hint="eastAsia" w:asciiTheme="minorEastAsia" w:hAnsiTheme="minorEastAsia" w:eastAsiaTheme="minorEastAsia"/>
          <w:color w:val="auto"/>
          <w:sz w:val="22"/>
          <w:szCs w:val="22"/>
        </w:rPr>
        <w:t>视频</w:t>
      </w:r>
      <w:r>
        <w:rPr>
          <w:rFonts w:asciiTheme="minorEastAsia" w:hAnsiTheme="minorEastAsia" w:eastAsiaTheme="minorEastAsia"/>
          <w:color w:val="auto"/>
          <w:sz w:val="22"/>
          <w:szCs w:val="22"/>
        </w:rPr>
        <w:t>预案。</w:t>
      </w:r>
    </w:p>
    <w:p>
      <w:pPr>
        <w:pStyle w:val="53"/>
        <w:pageBreakBefore w:val="0"/>
        <w:numPr>
          <w:ilvl w:val="0"/>
          <w:numId w:val="24"/>
        </w:numPr>
        <w:kinsoku/>
        <w:wordWrap/>
        <w:overflowPunct/>
        <w:topLinePunct w:val="0"/>
        <w:bidi w:val="0"/>
        <w:snapToGrid/>
        <w:spacing w:line="400" w:lineRule="exact"/>
        <w:textAlignment w:val="auto"/>
        <w:rPr>
          <w:rFonts w:ascii="宋体" w:hAnsi="宋体"/>
          <w:color w:val="auto"/>
          <w:sz w:val="22"/>
          <w:szCs w:val="22"/>
        </w:rPr>
      </w:pPr>
      <w:r>
        <w:rPr>
          <w:rFonts w:hint="eastAsia" w:asciiTheme="minorEastAsia" w:hAnsiTheme="minorEastAsia" w:eastAsiaTheme="minorEastAsia"/>
          <w:color w:val="auto"/>
          <w:sz w:val="22"/>
          <w:szCs w:val="22"/>
        </w:rPr>
        <w:t>支持多个预</w:t>
      </w:r>
      <w:r>
        <w:rPr>
          <w:rFonts w:asciiTheme="minorEastAsia" w:hAnsiTheme="minorEastAsia" w:eastAsiaTheme="minorEastAsia"/>
          <w:color w:val="auto"/>
          <w:sz w:val="22"/>
          <w:szCs w:val="22"/>
        </w:rPr>
        <w:t>案并行：</w:t>
      </w:r>
      <w:r>
        <w:rPr>
          <w:rFonts w:hint="eastAsia" w:asciiTheme="minorEastAsia" w:hAnsiTheme="minorEastAsia" w:eastAsiaTheme="minorEastAsia"/>
          <w:color w:val="auto"/>
          <w:sz w:val="22"/>
          <w:szCs w:val="22"/>
        </w:rPr>
        <w:t>支持</w:t>
      </w:r>
      <w:r>
        <w:rPr>
          <w:rFonts w:asciiTheme="minorEastAsia" w:hAnsiTheme="minorEastAsia" w:eastAsiaTheme="minorEastAsia"/>
          <w:color w:val="auto"/>
          <w:sz w:val="22"/>
          <w:szCs w:val="22"/>
        </w:rPr>
        <w:t>同时最多</w:t>
      </w:r>
      <w:r>
        <w:rPr>
          <w:rFonts w:hint="eastAsia" w:asciiTheme="minorEastAsia" w:hAnsiTheme="minorEastAsia" w:eastAsiaTheme="minorEastAsia"/>
          <w:color w:val="auto"/>
          <w:sz w:val="22"/>
          <w:szCs w:val="22"/>
        </w:rPr>
        <w:t>同时并行</w:t>
      </w:r>
      <w:r>
        <w:rPr>
          <w:rFonts w:asciiTheme="minorEastAsia" w:hAnsiTheme="minorEastAsia" w:eastAsiaTheme="minorEastAsia"/>
          <w:color w:val="auto"/>
          <w:sz w:val="22"/>
          <w:szCs w:val="22"/>
        </w:rPr>
        <w:t>执行四个预案</w:t>
      </w:r>
      <w:r>
        <w:rPr>
          <w:rFonts w:hint="eastAsia" w:asciiTheme="minorEastAsia" w:hAnsiTheme="minorEastAsia" w:eastAsiaTheme="minorEastAsia"/>
          <w:color w:val="auto"/>
          <w:sz w:val="22"/>
          <w:szCs w:val="22"/>
        </w:rPr>
        <w:t>。</w:t>
      </w:r>
    </w:p>
    <w:p>
      <w:pPr>
        <w:pStyle w:val="5"/>
        <w:pageBreakBefore w:val="0"/>
        <w:numPr>
          <w:ilvl w:val="3"/>
          <w:numId w:val="0"/>
        </w:numPr>
        <w:kinsoku/>
        <w:wordWrap/>
        <w:overflowPunct/>
        <w:topLinePunct w:val="0"/>
        <w:bidi w:val="0"/>
        <w:snapToGrid/>
        <w:spacing w:before="120" w:after="120" w:line="400" w:lineRule="exact"/>
        <w:ind w:left="1426" w:leftChars="0"/>
        <w:jc w:val="left"/>
        <w:textAlignment w:val="auto"/>
        <w:rPr>
          <w:color w:val="auto"/>
          <w:sz w:val="22"/>
          <w:szCs w:val="22"/>
        </w:rPr>
      </w:pPr>
      <w:r>
        <w:rPr>
          <w:rFonts w:hint="eastAsia"/>
          <w:color w:val="auto"/>
          <w:sz w:val="22"/>
          <w:szCs w:val="22"/>
          <w:lang w:val="en-US" w:eastAsia="zh-CN"/>
        </w:rPr>
        <w:t>2.1.5</w:t>
      </w:r>
      <w:r>
        <w:rPr>
          <w:rFonts w:hint="eastAsia"/>
          <w:color w:val="auto"/>
          <w:sz w:val="22"/>
          <w:szCs w:val="22"/>
        </w:rPr>
        <w:t>摄像机控制</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实现对监控摄像头的方向和焦距进行控制。在播放监控视频时，3D按钮，打开3D放大，然后在播放页面点击鼠标，球机的云台就会自动定位到所拉的画面区域，方便用户查看监控页面的各细节。</w:t>
      </w:r>
    </w:p>
    <w:p>
      <w:pPr>
        <w:pStyle w:val="5"/>
        <w:pageBreakBefore w:val="0"/>
        <w:numPr>
          <w:ilvl w:val="3"/>
          <w:numId w:val="0"/>
        </w:numPr>
        <w:kinsoku/>
        <w:wordWrap/>
        <w:overflowPunct/>
        <w:topLinePunct w:val="0"/>
        <w:bidi w:val="0"/>
        <w:snapToGrid/>
        <w:spacing w:before="120" w:after="120" w:line="400" w:lineRule="exact"/>
        <w:ind w:left="1426" w:leftChars="0"/>
        <w:jc w:val="left"/>
        <w:textAlignment w:val="auto"/>
        <w:rPr>
          <w:color w:val="auto"/>
          <w:sz w:val="22"/>
          <w:szCs w:val="22"/>
        </w:rPr>
      </w:pPr>
      <w:r>
        <w:rPr>
          <w:rFonts w:hint="eastAsia"/>
          <w:color w:val="auto"/>
          <w:sz w:val="22"/>
          <w:szCs w:val="22"/>
          <w:lang w:val="en-US" w:eastAsia="zh-CN"/>
        </w:rPr>
        <w:t>2.1.6</w:t>
      </w:r>
      <w:r>
        <w:rPr>
          <w:rFonts w:hint="eastAsia"/>
          <w:color w:val="auto"/>
          <w:sz w:val="22"/>
          <w:szCs w:val="22"/>
        </w:rPr>
        <w:t>电视墙</w:t>
      </w:r>
      <w:r>
        <w:rPr>
          <w:color w:val="auto"/>
          <w:sz w:val="22"/>
          <w:szCs w:val="22"/>
        </w:rPr>
        <w:t>控制</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管理多种解码设备，包括各种型号的嵌入式解码器、视频综合平台和解码服务器，支持解码设备和显控设备的管理以及控制，</w:t>
      </w:r>
      <w:r>
        <w:rPr>
          <w:rFonts w:ascii="宋体" w:hAnsi="宋体"/>
          <w:color w:val="auto"/>
          <w:sz w:val="22"/>
          <w:szCs w:val="22"/>
        </w:rPr>
        <w:t>支持</w:t>
      </w:r>
      <w:r>
        <w:rPr>
          <w:rFonts w:hint="eastAsia" w:ascii="宋体" w:hAnsi="宋体"/>
          <w:color w:val="auto"/>
          <w:sz w:val="22"/>
          <w:szCs w:val="22"/>
        </w:rPr>
        <w:t>网络</w:t>
      </w:r>
      <w:r>
        <w:rPr>
          <w:rFonts w:ascii="宋体" w:hAnsi="宋体"/>
          <w:color w:val="auto"/>
          <w:sz w:val="22"/>
          <w:szCs w:val="22"/>
        </w:rPr>
        <w:t>键盘</w:t>
      </w:r>
      <w:r>
        <w:rPr>
          <w:rFonts w:hint="eastAsia" w:ascii="宋体" w:hAnsi="宋体"/>
          <w:color w:val="auto"/>
          <w:sz w:val="22"/>
          <w:szCs w:val="22"/>
        </w:rPr>
        <w:t>。支持可视化配置大屏布局。支持大屏拼接、开窗与漫游。支持预览上墙、回放上墙、告警上墙、本地桌面上墙，并支持回显窗口同步软解；支持预览上墙云镜控制；支持回放上墙定位、速度控制等。支持配置电视墙预案，一个预案支持对多个轮巡进行管理。支持配置分组监控点轮巡，配置轮巡时间间隔，配置轮巡窗口布局，配置监控点的轮巡顺序、配置监控点主子码流等，并支持用户对轮巡执行暂停和手动翻页操作。支持</w:t>
      </w:r>
      <w:r>
        <w:rPr>
          <w:rFonts w:ascii="宋体" w:hAnsi="宋体"/>
          <w:color w:val="auto"/>
          <w:sz w:val="22"/>
          <w:szCs w:val="22"/>
        </w:rPr>
        <w:t>指定预案自动执行的起止时间</w:t>
      </w:r>
      <w:r>
        <w:rPr>
          <w:rFonts w:hint="eastAsia" w:ascii="宋体" w:hAnsi="宋体"/>
          <w:color w:val="auto"/>
          <w:sz w:val="22"/>
          <w:szCs w:val="22"/>
        </w:rPr>
        <w:t>，</w:t>
      </w:r>
      <w:r>
        <w:rPr>
          <w:rFonts w:ascii="宋体" w:hAnsi="宋体"/>
          <w:color w:val="auto"/>
          <w:sz w:val="22"/>
          <w:szCs w:val="22"/>
        </w:rPr>
        <w:t>自动切换预案。</w:t>
      </w:r>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86" w:name="_Toc36038250"/>
      <w:bookmarkStart w:id="87" w:name="_Toc533712359"/>
      <w:r>
        <w:rPr>
          <w:rFonts w:hint="eastAsia"/>
          <w:color w:val="auto"/>
          <w:sz w:val="22"/>
          <w:szCs w:val="22"/>
          <w:lang w:val="en-US" w:eastAsia="zh-CN"/>
        </w:rPr>
        <w:t>2.2</w:t>
      </w:r>
      <w:r>
        <w:rPr>
          <w:rFonts w:hint="eastAsia"/>
          <w:color w:val="auto"/>
          <w:sz w:val="22"/>
          <w:szCs w:val="22"/>
        </w:rPr>
        <w:t>防汛抗旱应用</w:t>
      </w:r>
      <w:bookmarkEnd w:id="86"/>
      <w:bookmarkEnd w:id="87"/>
    </w:p>
    <w:p>
      <w:pPr>
        <w:pStyle w:val="5"/>
        <w:pageBreakBefore w:val="0"/>
        <w:numPr>
          <w:ilvl w:val="3"/>
          <w:numId w:val="0"/>
        </w:numPr>
        <w:kinsoku/>
        <w:wordWrap/>
        <w:overflowPunct/>
        <w:topLinePunct w:val="0"/>
        <w:bidi w:val="0"/>
        <w:snapToGrid/>
        <w:spacing w:before="120" w:after="120" w:line="400" w:lineRule="exact"/>
        <w:ind w:left="1426" w:leftChars="0"/>
        <w:jc w:val="left"/>
        <w:textAlignment w:val="auto"/>
        <w:rPr>
          <w:color w:val="auto"/>
          <w:sz w:val="22"/>
          <w:szCs w:val="22"/>
        </w:rPr>
      </w:pPr>
      <w:bookmarkStart w:id="88" w:name="_Toc516529124"/>
      <w:r>
        <w:rPr>
          <w:rFonts w:hint="eastAsia"/>
          <w:color w:val="auto"/>
          <w:sz w:val="22"/>
          <w:szCs w:val="22"/>
          <w:lang w:val="en-US" w:eastAsia="zh-CN"/>
        </w:rPr>
        <w:t>2.2.1</w:t>
      </w:r>
      <w:r>
        <w:rPr>
          <w:rFonts w:hint="eastAsia"/>
          <w:color w:val="auto"/>
          <w:sz w:val="22"/>
          <w:szCs w:val="22"/>
        </w:rPr>
        <w:t>电子地图</w:t>
      </w:r>
      <w:r>
        <w:rPr>
          <w:color w:val="auto"/>
          <w:sz w:val="22"/>
          <w:szCs w:val="22"/>
        </w:rPr>
        <w:t>应用</w:t>
      </w:r>
      <w:bookmarkEnd w:id="88"/>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结合</w:t>
      </w:r>
      <w:r>
        <w:rPr>
          <w:rFonts w:ascii="宋体" w:hAnsi="宋体"/>
          <w:color w:val="auto"/>
          <w:sz w:val="22"/>
          <w:szCs w:val="22"/>
        </w:rPr>
        <w:t>GIS信息技术，</w:t>
      </w:r>
      <w:r>
        <w:rPr>
          <w:rFonts w:hint="eastAsia" w:ascii="宋体" w:hAnsi="宋体"/>
          <w:color w:val="auto"/>
          <w:sz w:val="22"/>
          <w:szCs w:val="22"/>
        </w:rPr>
        <w:t>在</w:t>
      </w:r>
      <w:r>
        <w:rPr>
          <w:rFonts w:ascii="宋体" w:hAnsi="宋体"/>
          <w:color w:val="auto"/>
          <w:sz w:val="22"/>
          <w:szCs w:val="22"/>
        </w:rPr>
        <w:t>一张图上</w:t>
      </w:r>
      <w:r>
        <w:rPr>
          <w:rFonts w:hint="eastAsia" w:ascii="宋体" w:hAnsi="宋体"/>
          <w:color w:val="auto"/>
          <w:sz w:val="22"/>
          <w:szCs w:val="22"/>
        </w:rPr>
        <w:t>展示河道、水库及易涝点的水位和雨量数值及监控图像。不同颜色表示正常/警戒水位。实时数据包括：实时水位/1小时雨量/24小时雨量。</w:t>
      </w:r>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当接收到水位和雨量预警时图标闪烁，点击预警的站点图标弹出预警详情页面，可以查看录像和图片。用户对</w:t>
      </w:r>
      <w:r>
        <w:rPr>
          <w:rFonts w:ascii="宋体" w:hAnsi="宋体"/>
          <w:color w:val="auto"/>
          <w:sz w:val="22"/>
          <w:szCs w:val="22"/>
        </w:rPr>
        <w:t>告警进行确认，</w:t>
      </w:r>
      <w:r>
        <w:rPr>
          <w:rFonts w:hint="eastAsia" w:ascii="宋体" w:hAnsi="宋体"/>
          <w:color w:val="auto"/>
          <w:sz w:val="22"/>
          <w:szCs w:val="22"/>
        </w:rPr>
        <w:t>确认告警后可通过短信通知关联人员。</w:t>
      </w:r>
    </w:p>
    <w:p>
      <w:pPr>
        <w:pStyle w:val="5"/>
        <w:pageBreakBefore w:val="0"/>
        <w:numPr>
          <w:ilvl w:val="3"/>
          <w:numId w:val="0"/>
        </w:numPr>
        <w:kinsoku/>
        <w:wordWrap/>
        <w:overflowPunct/>
        <w:topLinePunct w:val="0"/>
        <w:bidi w:val="0"/>
        <w:snapToGrid/>
        <w:spacing w:before="120" w:after="120" w:line="400" w:lineRule="exact"/>
        <w:ind w:left="1426" w:leftChars="0"/>
        <w:jc w:val="left"/>
        <w:textAlignment w:val="auto"/>
        <w:rPr>
          <w:color w:val="auto"/>
          <w:sz w:val="22"/>
          <w:szCs w:val="22"/>
        </w:rPr>
      </w:pPr>
      <w:r>
        <w:rPr>
          <w:rFonts w:hint="eastAsia"/>
          <w:color w:val="auto"/>
          <w:sz w:val="22"/>
          <w:szCs w:val="22"/>
          <w:lang w:val="en-US" w:eastAsia="zh-CN"/>
        </w:rPr>
        <w:t>2.2.2</w:t>
      </w:r>
      <w:r>
        <w:rPr>
          <w:rFonts w:hint="eastAsia"/>
          <w:color w:val="auto"/>
          <w:sz w:val="22"/>
          <w:szCs w:val="22"/>
        </w:rPr>
        <w:t>水雨情监测</w:t>
      </w:r>
    </w:p>
    <w:p>
      <w:pPr>
        <w:pStyle w:val="45"/>
        <w:pageBreakBefore w:val="0"/>
        <w:kinsoku/>
        <w:wordWrap/>
        <w:overflowPunct/>
        <w:topLinePunct w:val="0"/>
        <w:bidi w:val="0"/>
        <w:snapToGrid/>
        <w:spacing w:line="400" w:lineRule="exact"/>
        <w:ind w:firstLine="361"/>
        <w:textAlignment w:val="auto"/>
        <w:rPr>
          <w:color w:val="auto"/>
          <w:sz w:val="22"/>
          <w:szCs w:val="22"/>
        </w:rPr>
      </w:pPr>
      <w:r>
        <w:rPr>
          <w:rFonts w:hint="eastAsia"/>
          <w:b/>
          <w:color w:val="auto"/>
          <w:sz w:val="22"/>
          <w:szCs w:val="22"/>
        </w:rPr>
        <w:t>基于流域和区域的双重管理：</w:t>
      </w:r>
      <w:r>
        <w:rPr>
          <w:rFonts w:hint="eastAsia" w:ascii="宋体" w:hAnsi="宋体" w:eastAsiaTheme="minorEastAsia" w:cstheme="minorBidi"/>
          <w:iCs w:val="0"/>
          <w:color w:val="auto"/>
          <w:kern w:val="2"/>
          <w:sz w:val="22"/>
          <w:szCs w:val="22"/>
        </w:rPr>
        <w:t>水利行业除了按区域进行管理外，还同时需要按流域进行管理，例如河长制的管理，以及各流域的管理单位的管理等。在摄像机属性中，增加流域选项。在资源树、以及筛选和用户权限设定中，可以基于区域，也可以基于流域、工程类型、状态、运营商进行管理。</w:t>
      </w:r>
    </w:p>
    <w:p>
      <w:pPr>
        <w:pStyle w:val="45"/>
        <w:pageBreakBefore w:val="0"/>
        <w:kinsoku/>
        <w:wordWrap/>
        <w:overflowPunct/>
        <w:topLinePunct w:val="0"/>
        <w:bidi w:val="0"/>
        <w:snapToGrid/>
        <w:spacing w:line="400" w:lineRule="exact"/>
        <w:ind w:firstLine="361"/>
        <w:textAlignment w:val="auto"/>
        <w:rPr>
          <w:color w:val="auto"/>
          <w:sz w:val="22"/>
          <w:szCs w:val="22"/>
        </w:rPr>
      </w:pPr>
      <w:r>
        <w:rPr>
          <w:rFonts w:hint="eastAsia"/>
          <w:b/>
          <w:color w:val="auto"/>
          <w:sz w:val="22"/>
          <w:szCs w:val="22"/>
        </w:rPr>
        <w:t>实时水雨情监控</w:t>
      </w:r>
      <w:r>
        <w:rPr>
          <w:rFonts w:hint="eastAsia"/>
          <w:color w:val="auto"/>
          <w:sz w:val="22"/>
          <w:szCs w:val="22"/>
        </w:rPr>
        <w:t>：</w:t>
      </w:r>
      <w:r>
        <w:rPr>
          <w:rFonts w:hint="eastAsia" w:ascii="宋体" w:hAnsi="宋体" w:eastAsiaTheme="minorEastAsia" w:cstheme="minorBidi"/>
          <w:iCs w:val="0"/>
          <w:color w:val="auto"/>
          <w:kern w:val="2"/>
          <w:sz w:val="22"/>
          <w:szCs w:val="22"/>
        </w:rPr>
        <w:t>以列表的方式显示水雨情的实时数据。如果电子水尺的数据和摄像机的水位数据误差超过一定数值时，用户可以对数据进行确认，并对数据进行修正。</w:t>
      </w:r>
    </w:p>
    <w:p>
      <w:pPr>
        <w:pStyle w:val="45"/>
        <w:pageBreakBefore w:val="0"/>
        <w:kinsoku/>
        <w:wordWrap/>
        <w:overflowPunct/>
        <w:topLinePunct w:val="0"/>
        <w:bidi w:val="0"/>
        <w:snapToGrid/>
        <w:spacing w:line="400" w:lineRule="exact"/>
        <w:ind w:firstLine="361"/>
        <w:textAlignment w:val="auto"/>
        <w:rPr>
          <w:color w:val="auto"/>
          <w:sz w:val="22"/>
          <w:szCs w:val="22"/>
        </w:rPr>
      </w:pPr>
      <w:r>
        <w:rPr>
          <w:rFonts w:hint="eastAsia"/>
          <w:b/>
          <w:color w:val="auto"/>
          <w:sz w:val="22"/>
          <w:szCs w:val="22"/>
        </w:rPr>
        <w:t>视频OSD</w:t>
      </w:r>
      <w:r>
        <w:rPr>
          <w:b/>
          <w:color w:val="auto"/>
          <w:sz w:val="22"/>
          <w:szCs w:val="22"/>
        </w:rPr>
        <w:t>叠加：</w:t>
      </w:r>
      <w:r>
        <w:rPr>
          <w:rFonts w:hint="eastAsia"/>
          <w:color w:val="auto"/>
          <w:sz w:val="22"/>
          <w:szCs w:val="22"/>
        </w:rPr>
        <w:t>在各视频监控和切片中，将相关的水位雨量数据进行叠加到</w:t>
      </w:r>
      <w:r>
        <w:rPr>
          <w:color w:val="auto"/>
          <w:sz w:val="22"/>
          <w:szCs w:val="22"/>
        </w:rPr>
        <w:t>视频画面上</w:t>
      </w:r>
      <w:r>
        <w:rPr>
          <w:rFonts w:hint="eastAsia"/>
          <w:color w:val="auto"/>
          <w:sz w:val="22"/>
          <w:szCs w:val="22"/>
        </w:rPr>
        <w:t>，既有数据的精确，同时可远程查看工程、汛情的现状。</w:t>
      </w:r>
    </w:p>
    <w:p>
      <w:pPr>
        <w:pStyle w:val="45"/>
        <w:pageBreakBefore w:val="0"/>
        <w:kinsoku/>
        <w:wordWrap/>
        <w:overflowPunct/>
        <w:topLinePunct w:val="0"/>
        <w:bidi w:val="0"/>
        <w:snapToGrid/>
        <w:spacing w:line="400" w:lineRule="exact"/>
        <w:ind w:firstLine="361"/>
        <w:textAlignment w:val="auto"/>
        <w:rPr>
          <w:color w:val="auto"/>
          <w:sz w:val="22"/>
          <w:szCs w:val="22"/>
        </w:rPr>
      </w:pPr>
      <w:r>
        <w:rPr>
          <w:rFonts w:hint="eastAsia"/>
          <w:b/>
          <w:color w:val="auto"/>
          <w:sz w:val="22"/>
          <w:szCs w:val="22"/>
        </w:rPr>
        <w:t>报表统计</w:t>
      </w:r>
      <w:r>
        <w:rPr>
          <w:b/>
          <w:color w:val="auto"/>
          <w:sz w:val="22"/>
          <w:szCs w:val="22"/>
        </w:rPr>
        <w:t>：</w:t>
      </w:r>
      <w:r>
        <w:rPr>
          <w:rFonts w:hint="eastAsia"/>
          <w:color w:val="auto"/>
          <w:sz w:val="22"/>
          <w:szCs w:val="22"/>
        </w:rPr>
        <w:t>支持按日、周、月、季、年统计水位和雨量数据。统计结果支持按列表和图表两种方式进行展示。统计结果还支持导出到excel。</w:t>
      </w:r>
    </w:p>
    <w:p>
      <w:pPr>
        <w:pStyle w:val="45"/>
        <w:pageBreakBefore w:val="0"/>
        <w:kinsoku/>
        <w:wordWrap/>
        <w:overflowPunct/>
        <w:topLinePunct w:val="0"/>
        <w:bidi w:val="0"/>
        <w:snapToGrid/>
        <w:spacing w:line="400" w:lineRule="exact"/>
        <w:ind w:firstLine="361"/>
        <w:textAlignment w:val="auto"/>
        <w:rPr>
          <w:color w:val="auto"/>
          <w:sz w:val="22"/>
          <w:szCs w:val="22"/>
        </w:rPr>
      </w:pPr>
      <w:r>
        <w:rPr>
          <w:rFonts w:hint="eastAsia"/>
          <w:b/>
          <w:color w:val="auto"/>
          <w:sz w:val="22"/>
          <w:szCs w:val="22"/>
        </w:rPr>
        <w:t>水位雨量预警：</w:t>
      </w:r>
      <w:r>
        <w:rPr>
          <w:rFonts w:hint="eastAsia"/>
          <w:color w:val="auto"/>
          <w:sz w:val="22"/>
          <w:szCs w:val="22"/>
        </w:rPr>
        <w:t>当水位雨量超过设定阈值时，及时预警，通过电子地图闪烁，视频弹框、短信的方式通知关联人员。</w:t>
      </w:r>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89" w:name="_Toc516529129"/>
      <w:bookmarkStart w:id="90" w:name="_Toc36038251"/>
      <w:bookmarkStart w:id="91" w:name="_Toc533712360"/>
      <w:r>
        <w:rPr>
          <w:rFonts w:hint="eastAsia"/>
          <w:color w:val="auto"/>
          <w:sz w:val="22"/>
          <w:szCs w:val="22"/>
          <w:lang w:val="en-US" w:eastAsia="zh-CN"/>
        </w:rPr>
        <w:t>2.3</w:t>
      </w:r>
      <w:r>
        <w:rPr>
          <w:rFonts w:hint="eastAsia"/>
          <w:color w:val="auto"/>
          <w:sz w:val="22"/>
          <w:szCs w:val="22"/>
        </w:rPr>
        <w:t>管理配置功能</w:t>
      </w:r>
      <w:bookmarkEnd w:id="89"/>
      <w:bookmarkEnd w:id="90"/>
      <w:bookmarkEnd w:id="91"/>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在使用本系统时，需要对视频的录像、警报、资源、服务等进行管理配置。视频配置主要提供用户组织管理、视频资源管理、视频报警管理、视频录像管理、视频服务管理。</w:t>
      </w:r>
    </w:p>
    <w:p>
      <w:pPr>
        <w:pStyle w:val="4"/>
        <w:pageBreakBefore w:val="0"/>
        <w:numPr>
          <w:ilvl w:val="2"/>
          <w:numId w:val="0"/>
        </w:numPr>
        <w:kinsoku/>
        <w:wordWrap/>
        <w:overflowPunct/>
        <w:topLinePunct w:val="0"/>
        <w:bidi w:val="0"/>
        <w:snapToGrid/>
        <w:spacing w:line="400" w:lineRule="exact"/>
        <w:ind w:leftChars="0"/>
        <w:textAlignment w:val="auto"/>
        <w:rPr>
          <w:color w:val="auto"/>
          <w:sz w:val="22"/>
          <w:szCs w:val="22"/>
        </w:rPr>
      </w:pPr>
      <w:bookmarkStart w:id="92" w:name="_Toc36038252"/>
      <w:r>
        <w:rPr>
          <w:rFonts w:hint="eastAsia"/>
          <w:color w:val="auto"/>
          <w:sz w:val="22"/>
          <w:szCs w:val="22"/>
          <w:lang w:val="en-US" w:eastAsia="zh-CN"/>
        </w:rPr>
        <w:t>2.4</w:t>
      </w:r>
      <w:r>
        <w:rPr>
          <w:color w:val="auto"/>
          <w:sz w:val="22"/>
          <w:szCs w:val="22"/>
        </w:rPr>
        <w:t>事件联动</w:t>
      </w:r>
      <w:bookmarkEnd w:id="92"/>
    </w:p>
    <w:p>
      <w:pPr>
        <w:pStyle w:val="54"/>
        <w:pageBreakBefore w:val="0"/>
        <w:kinsoku/>
        <w:wordWrap/>
        <w:overflowPunct/>
        <w:topLinePunct w:val="0"/>
        <w:bidi w:val="0"/>
        <w:snapToGrid/>
        <w:spacing w:line="400" w:lineRule="exact"/>
        <w:ind w:firstLine="480"/>
        <w:textAlignment w:val="auto"/>
        <w:rPr>
          <w:rFonts w:ascii="宋体" w:hAnsi="宋体" w:cs="Times New Roman"/>
          <w:color w:val="auto"/>
          <w:sz w:val="22"/>
          <w:szCs w:val="22"/>
        </w:rPr>
      </w:pPr>
      <w:r>
        <w:rPr>
          <w:rFonts w:hint="eastAsia" w:ascii="宋体" w:hAnsi="宋体" w:cs="Times New Roman"/>
          <w:color w:val="auto"/>
          <w:sz w:val="22"/>
          <w:szCs w:val="22"/>
        </w:rPr>
        <w:t>事件联动是以通用安防场景为基础，为解决“物物联动”开发的业务功能，以事件为驱动，支持通过开放的规则定义实现场景化的事件应用，实现在</w:t>
      </w:r>
      <w:r>
        <w:rPr>
          <w:rFonts w:ascii="宋体" w:hAnsi="宋体" w:cs="Times New Roman"/>
          <w:color w:val="auto"/>
          <w:sz w:val="22"/>
          <w:szCs w:val="22"/>
        </w:rPr>
        <w:t>“ 特定条件”下需要</w:t>
      </w:r>
      <w:r>
        <w:rPr>
          <w:rFonts w:hint="eastAsia" w:ascii="宋体" w:hAnsi="宋体" w:cs="Times New Roman"/>
          <w:color w:val="auto"/>
          <w:sz w:val="22"/>
          <w:szCs w:val="22"/>
        </w:rPr>
        <w:t>执行</w:t>
      </w:r>
      <w:r>
        <w:rPr>
          <w:rFonts w:ascii="宋体" w:hAnsi="宋体" w:cs="Times New Roman"/>
          <w:color w:val="auto"/>
          <w:sz w:val="22"/>
          <w:szCs w:val="22"/>
        </w:rPr>
        <w:t>“</w:t>
      </w:r>
      <w:r>
        <w:rPr>
          <w:rFonts w:hint="eastAsia" w:ascii="宋体" w:hAnsi="宋体" w:cs="Times New Roman"/>
          <w:color w:val="auto"/>
          <w:sz w:val="22"/>
          <w:szCs w:val="22"/>
        </w:rPr>
        <w:t>特定</w:t>
      </w:r>
      <w:r>
        <w:rPr>
          <w:rFonts w:ascii="宋体" w:hAnsi="宋体" w:cs="Times New Roman"/>
          <w:color w:val="auto"/>
          <w:sz w:val="22"/>
          <w:szCs w:val="22"/>
        </w:rPr>
        <w:t>动作”</w:t>
      </w:r>
      <w:r>
        <w:rPr>
          <w:rFonts w:hint="eastAsia" w:ascii="宋体" w:hAnsi="宋体" w:cs="Times New Roman"/>
          <w:color w:val="auto"/>
          <w:sz w:val="22"/>
          <w:szCs w:val="22"/>
        </w:rPr>
        <w:t>。提供事件配置、分发、上报、联动等功能。</w:t>
      </w:r>
    </w:p>
    <w:p>
      <w:pPr>
        <w:pStyle w:val="54"/>
        <w:pageBreakBefore w:val="0"/>
        <w:kinsoku/>
        <w:wordWrap/>
        <w:overflowPunct/>
        <w:topLinePunct w:val="0"/>
        <w:bidi w:val="0"/>
        <w:snapToGrid/>
        <w:spacing w:line="400" w:lineRule="exact"/>
        <w:ind w:firstLine="480"/>
        <w:textAlignment w:val="auto"/>
        <w:rPr>
          <w:rFonts w:ascii="宋体" w:hAnsi="宋体" w:cs="Times New Roman"/>
          <w:color w:val="auto"/>
          <w:sz w:val="22"/>
          <w:szCs w:val="22"/>
        </w:rPr>
      </w:pPr>
      <w:r>
        <w:rPr>
          <w:rFonts w:hint="eastAsia" w:ascii="宋体" w:hAnsi="宋体" w:cs="Times New Roman"/>
          <w:color w:val="auto"/>
          <w:sz w:val="22"/>
          <w:szCs w:val="22"/>
        </w:rPr>
        <w:t>支持在地图上查看事件的历史报警记录；</w:t>
      </w:r>
    </w:p>
    <w:p>
      <w:pPr>
        <w:pStyle w:val="54"/>
        <w:pageBreakBefore w:val="0"/>
        <w:kinsoku/>
        <w:wordWrap/>
        <w:overflowPunct/>
        <w:topLinePunct w:val="0"/>
        <w:bidi w:val="0"/>
        <w:snapToGrid/>
        <w:spacing w:line="400" w:lineRule="exact"/>
        <w:ind w:firstLine="480"/>
        <w:textAlignment w:val="auto"/>
        <w:rPr>
          <w:rFonts w:ascii="宋体" w:hAnsi="宋体" w:cs="Times New Roman"/>
          <w:color w:val="auto"/>
          <w:sz w:val="22"/>
          <w:szCs w:val="22"/>
        </w:rPr>
      </w:pPr>
      <w:r>
        <w:rPr>
          <w:rFonts w:hint="eastAsia" w:ascii="宋体" w:hAnsi="宋体" w:cs="Times New Roman"/>
          <w:color w:val="auto"/>
          <w:sz w:val="22"/>
          <w:szCs w:val="22"/>
        </w:rPr>
        <w:t>支持通过事件的历史报警记录，定位对应资源点在地图上的位置；</w:t>
      </w:r>
    </w:p>
    <w:p>
      <w:pPr>
        <w:pStyle w:val="54"/>
        <w:pageBreakBefore w:val="0"/>
        <w:kinsoku/>
        <w:wordWrap/>
        <w:overflowPunct/>
        <w:topLinePunct w:val="0"/>
        <w:bidi w:val="0"/>
        <w:snapToGrid/>
        <w:spacing w:line="400" w:lineRule="exact"/>
        <w:ind w:firstLine="480"/>
        <w:textAlignment w:val="auto"/>
        <w:rPr>
          <w:rFonts w:ascii="宋体" w:hAnsi="宋体" w:cs="Times New Roman"/>
          <w:color w:val="auto"/>
          <w:sz w:val="22"/>
          <w:szCs w:val="22"/>
        </w:rPr>
      </w:pPr>
      <w:r>
        <w:rPr>
          <w:rFonts w:hint="eastAsia" w:ascii="宋体" w:hAnsi="宋体" w:cs="Times New Roman"/>
          <w:color w:val="auto"/>
          <w:sz w:val="22"/>
          <w:szCs w:val="22"/>
        </w:rPr>
        <w:t>支持地图放大、缩小、上下左右平移、全屏操作；</w:t>
      </w:r>
    </w:p>
    <w:p>
      <w:pPr>
        <w:pStyle w:val="54"/>
        <w:pageBreakBefore w:val="0"/>
        <w:kinsoku/>
        <w:wordWrap/>
        <w:overflowPunct/>
        <w:topLinePunct w:val="0"/>
        <w:bidi w:val="0"/>
        <w:snapToGrid/>
        <w:spacing w:line="400" w:lineRule="exact"/>
        <w:ind w:firstLine="480"/>
        <w:textAlignment w:val="auto"/>
        <w:rPr>
          <w:rFonts w:ascii="宋体" w:hAnsi="宋体" w:cs="Times New Roman"/>
          <w:color w:val="auto"/>
          <w:sz w:val="22"/>
          <w:szCs w:val="22"/>
        </w:rPr>
      </w:pPr>
      <w:r>
        <w:rPr>
          <w:rFonts w:hint="eastAsia" w:ascii="宋体" w:hAnsi="宋体" w:cs="Times New Roman"/>
          <w:color w:val="auto"/>
          <w:sz w:val="22"/>
          <w:szCs w:val="22"/>
        </w:rPr>
        <w:t>支持按事件类型、事件规则名称排列显示事件报警记录；</w:t>
      </w:r>
    </w:p>
    <w:p>
      <w:pPr>
        <w:pStyle w:val="54"/>
        <w:pageBreakBefore w:val="0"/>
        <w:kinsoku/>
        <w:wordWrap/>
        <w:overflowPunct/>
        <w:topLinePunct w:val="0"/>
        <w:bidi w:val="0"/>
        <w:snapToGrid/>
        <w:spacing w:line="400" w:lineRule="exact"/>
        <w:ind w:firstLine="480"/>
        <w:textAlignment w:val="auto"/>
        <w:rPr>
          <w:rFonts w:ascii="宋体" w:hAnsi="宋体" w:cs="Times New Roman"/>
          <w:color w:val="auto"/>
          <w:sz w:val="22"/>
          <w:szCs w:val="22"/>
        </w:rPr>
      </w:pPr>
      <w:r>
        <w:rPr>
          <w:rFonts w:hint="eastAsia" w:ascii="宋体" w:hAnsi="宋体" w:cs="Times New Roman"/>
          <w:color w:val="auto"/>
          <w:sz w:val="22"/>
          <w:szCs w:val="22"/>
        </w:rPr>
        <w:t>支持按事件等级、所在区域、所属位置、事件源、开始时间、结束时间、注释过滤历史事件；</w:t>
      </w:r>
    </w:p>
    <w:p>
      <w:pPr>
        <w:pStyle w:val="54"/>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宋体" w:hAnsi="宋体" w:cs="Times New Roman"/>
          <w:color w:val="auto"/>
          <w:sz w:val="22"/>
          <w:szCs w:val="22"/>
        </w:rPr>
        <w:t>支持查看历史报警事件详情：查看预览、回放、图片联动，对事件添加注释；</w:t>
      </w:r>
    </w:p>
    <w:p>
      <w:pPr>
        <w:pStyle w:val="54"/>
        <w:pageBreakBefore w:val="0"/>
        <w:kinsoku/>
        <w:wordWrap/>
        <w:overflowPunct/>
        <w:topLinePunct w:val="0"/>
        <w:bidi w:val="0"/>
        <w:snapToGrid/>
        <w:spacing w:line="400" w:lineRule="exact"/>
        <w:ind w:firstLine="480"/>
        <w:textAlignment w:val="auto"/>
        <w:rPr>
          <w:rFonts w:hint="eastAsia" w:ascii="宋体" w:hAnsi="宋体" w:cs="Times New Roman"/>
          <w:color w:val="auto"/>
          <w:sz w:val="22"/>
          <w:szCs w:val="22"/>
        </w:rPr>
      </w:pPr>
      <w:r>
        <w:rPr>
          <w:rFonts w:hint="eastAsia" w:ascii="宋体" w:hAnsi="宋体" w:cs="Times New Roman"/>
          <w:color w:val="auto"/>
          <w:sz w:val="22"/>
          <w:szCs w:val="22"/>
        </w:rPr>
        <w:t>中心应用客户端支持在事件详情中设置是否优先显示新事件，是否事件弹窗。</w:t>
      </w:r>
    </w:p>
    <w:p>
      <w:pPr>
        <w:pStyle w:val="3"/>
        <w:pageBreakBefore w:val="0"/>
        <w:kinsoku/>
        <w:wordWrap/>
        <w:overflowPunct/>
        <w:topLinePunct w:val="0"/>
        <w:bidi w:val="0"/>
        <w:snapToGrid/>
        <w:spacing w:before="240" w:after="240" w:line="400" w:lineRule="exact"/>
        <w:ind w:left="576" w:hanging="576"/>
        <w:jc w:val="left"/>
        <w:textAlignment w:val="auto"/>
        <w:rPr>
          <w:color w:val="auto"/>
          <w:sz w:val="22"/>
          <w:szCs w:val="22"/>
        </w:rPr>
      </w:pPr>
      <w:bookmarkStart w:id="93" w:name="_Toc36038253"/>
      <w:bookmarkStart w:id="94" w:name="_Toc533712375"/>
      <w:r>
        <w:rPr>
          <w:rFonts w:hint="eastAsia"/>
          <w:color w:val="auto"/>
          <w:sz w:val="22"/>
          <w:szCs w:val="22"/>
          <w:lang w:val="en-US" w:eastAsia="zh-CN"/>
        </w:rPr>
        <w:t>3.</w:t>
      </w:r>
      <w:r>
        <w:rPr>
          <w:rFonts w:hint="eastAsia"/>
          <w:color w:val="auto"/>
          <w:sz w:val="22"/>
          <w:szCs w:val="22"/>
        </w:rPr>
        <w:t>平台级联</w:t>
      </w:r>
      <w:bookmarkEnd w:id="93"/>
      <w:bookmarkEnd w:id="94"/>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上级水利防汛部门或应急管理部门需要同步了解汛情、旱情、工险情等情况，通过可视化平台的级联共享机制，可实现上级部门及同级各部门可视化资源的调用，以达到可视化系统效用最大化。</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防汛抗旱可视化大联网系统由省、市、县（市、区）三级（或更多级）平台组成，各级平台整合本辖区内的水利行业视频平台和监控站等资源，接入本级水利视频监控平台。市、县（市、区）水利视频监控平台可共享给上级水利视频监控平台，接受其控制、监视、管理、调阅所辖监视前端的视频信息。</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ascii="宋体" w:hAnsi="宋体"/>
          <w:color w:val="auto"/>
          <w:sz w:val="22"/>
          <w:szCs w:val="22"/>
        </w:rPr>
        <w:t>各级水利视频监控平台接入同级</w:t>
      </w:r>
      <w:r>
        <w:rPr>
          <w:rFonts w:hint="eastAsia" w:ascii="宋体" w:hAnsi="宋体"/>
          <w:color w:val="auto"/>
          <w:sz w:val="22"/>
          <w:szCs w:val="22"/>
        </w:rPr>
        <w:t>其他部门视频监控</w:t>
      </w:r>
      <w:r>
        <w:rPr>
          <w:rFonts w:ascii="宋体" w:hAnsi="宋体"/>
          <w:color w:val="auto"/>
          <w:sz w:val="22"/>
          <w:szCs w:val="22"/>
        </w:rPr>
        <w:t>平台，</w:t>
      </w:r>
      <w:r>
        <w:rPr>
          <w:rFonts w:hint="eastAsia" w:ascii="宋体" w:hAnsi="宋体"/>
          <w:color w:val="auto"/>
          <w:sz w:val="22"/>
          <w:szCs w:val="22"/>
        </w:rPr>
        <w:t>接受其控制、监视、管理、调阅所辖监视前端的视频信息。</w:t>
      </w:r>
    </w:p>
    <w:p>
      <w:pPr>
        <w:pageBreakBefore w:val="0"/>
        <w:kinsoku/>
        <w:wordWrap/>
        <w:overflowPunct/>
        <w:topLinePunct w:val="0"/>
        <w:bidi w:val="0"/>
        <w:snapToGrid/>
        <w:spacing w:line="400" w:lineRule="exact"/>
        <w:ind w:firstLine="480"/>
        <w:jc w:val="center"/>
        <w:textAlignment w:val="auto"/>
        <w:rPr>
          <w:color w:val="auto"/>
          <w:sz w:val="22"/>
          <w:szCs w:val="22"/>
        </w:rPr>
      </w:pP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各级联网平台均须遵循国标GB/T28181-2011进行建设，在上下级平台级联时，控制信令和媒体流均为标准格式。平台之间的媒体和数据流向需要借助级联服务器/NCG联网网关实现：向本级平台中心管理服务器获取下级的资源数据、流媒体服务器向级联服务器推送媒体流、查询录像时，向存储管理服务器查询录像文件、上级操控下级云台时，向云台发送云台控制命令。</w:t>
      </w:r>
    </w:p>
    <w:p>
      <w:pPr>
        <w:pStyle w:val="3"/>
        <w:keepNext w:val="0"/>
        <w:keepLines w:val="0"/>
        <w:pageBreakBefore w:val="0"/>
        <w:widowControl/>
        <w:kinsoku/>
        <w:wordWrap/>
        <w:overflowPunct/>
        <w:topLinePunct w:val="0"/>
        <w:bidi w:val="0"/>
        <w:snapToGrid/>
        <w:spacing w:before="156" w:beforeLines="50" w:after="156" w:afterLines="50" w:line="400" w:lineRule="exact"/>
        <w:ind w:left="567" w:hanging="567"/>
        <w:jc w:val="left"/>
        <w:textAlignment w:val="auto"/>
        <w:rPr>
          <w:color w:val="auto"/>
          <w:sz w:val="22"/>
          <w:szCs w:val="22"/>
        </w:rPr>
      </w:pPr>
      <w:bookmarkStart w:id="95" w:name="_Toc18593450"/>
      <w:bookmarkStart w:id="96" w:name="_Toc36038254"/>
      <w:r>
        <w:rPr>
          <w:rFonts w:hint="eastAsia"/>
          <w:color w:val="auto"/>
          <w:sz w:val="22"/>
          <w:szCs w:val="22"/>
          <w:lang w:val="en-US" w:eastAsia="zh-CN"/>
        </w:rPr>
        <w:t>4.</w:t>
      </w:r>
      <w:r>
        <w:rPr>
          <w:rFonts w:hint="eastAsia"/>
          <w:color w:val="auto"/>
          <w:sz w:val="22"/>
          <w:szCs w:val="22"/>
        </w:rPr>
        <w:t>网络管理</w:t>
      </w:r>
      <w:bookmarkEnd w:id="95"/>
      <w:bookmarkEnd w:id="96"/>
    </w:p>
    <w:p>
      <w:pPr>
        <w:pStyle w:val="4"/>
        <w:keepNext w:val="0"/>
        <w:keepLines w:val="0"/>
        <w:pageBreakBefore w:val="0"/>
        <w:widowControl/>
        <w:numPr>
          <w:ilvl w:val="2"/>
          <w:numId w:val="0"/>
        </w:numPr>
        <w:kinsoku/>
        <w:wordWrap/>
        <w:overflowPunct/>
        <w:topLinePunct w:val="0"/>
        <w:bidi w:val="0"/>
        <w:snapToGrid/>
        <w:spacing w:before="156" w:beforeLines="50" w:after="156" w:afterLines="50" w:line="400" w:lineRule="exact"/>
        <w:ind w:leftChars="0"/>
        <w:jc w:val="left"/>
        <w:textAlignment w:val="auto"/>
        <w:rPr>
          <w:color w:val="auto"/>
          <w:sz w:val="22"/>
          <w:szCs w:val="22"/>
        </w:rPr>
      </w:pPr>
      <w:bookmarkStart w:id="97" w:name="_Toc36038255"/>
      <w:bookmarkStart w:id="98" w:name="_Toc18593451"/>
      <w:r>
        <w:rPr>
          <w:rFonts w:hint="eastAsia"/>
          <w:color w:val="auto"/>
          <w:sz w:val="22"/>
          <w:szCs w:val="22"/>
          <w:lang w:val="en-US" w:eastAsia="zh-CN"/>
        </w:rPr>
        <w:t>4.1</w:t>
      </w:r>
      <w:r>
        <w:rPr>
          <w:rFonts w:hint="eastAsia"/>
          <w:color w:val="auto"/>
          <w:sz w:val="22"/>
          <w:szCs w:val="22"/>
        </w:rPr>
        <w:t>网络管理配置</w:t>
      </w:r>
      <w:bookmarkEnd w:id="97"/>
      <w:bookmarkEnd w:id="98"/>
    </w:p>
    <w:p>
      <w:pPr>
        <w:pStyle w:val="5"/>
        <w:keepNext w:val="0"/>
        <w:keepLines w:val="0"/>
        <w:pageBreakBefore w:val="0"/>
        <w:widowControl/>
        <w:numPr>
          <w:ilvl w:val="3"/>
          <w:numId w:val="0"/>
        </w:numPr>
        <w:kinsoku/>
        <w:wordWrap/>
        <w:overflowPunct/>
        <w:topLinePunct w:val="0"/>
        <w:bidi w:val="0"/>
        <w:snapToGrid/>
        <w:spacing w:before="156" w:beforeLines="50" w:after="156" w:afterLines="50" w:line="400" w:lineRule="exact"/>
        <w:ind w:left="1413" w:leftChars="0"/>
        <w:jc w:val="left"/>
        <w:textAlignment w:val="auto"/>
        <w:rPr>
          <w:color w:val="auto"/>
          <w:sz w:val="22"/>
          <w:szCs w:val="22"/>
        </w:rPr>
      </w:pPr>
      <w:r>
        <w:rPr>
          <w:rFonts w:hint="eastAsia"/>
          <w:color w:val="auto"/>
          <w:sz w:val="22"/>
          <w:szCs w:val="22"/>
          <w:lang w:val="en-US" w:eastAsia="zh-CN"/>
        </w:rPr>
        <w:t>4.1.1</w:t>
      </w:r>
      <w:r>
        <w:rPr>
          <w:rFonts w:hint="eastAsia"/>
          <w:color w:val="auto"/>
          <w:sz w:val="22"/>
          <w:szCs w:val="22"/>
        </w:rPr>
        <w:t>巡检计划</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通过对巡检计划的制定来控制平台设备资源巡检的时间和频率，便于用户根据自己的需求进行灵活配置。</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支持用户自定义添加巡检计划，包括选择资源</w:t>
      </w:r>
      <w:r>
        <w:rPr>
          <w:rFonts w:ascii="宋体" w:hAnsi="宋体"/>
          <w:color w:val="auto"/>
          <w:sz w:val="22"/>
          <w:szCs w:val="22"/>
        </w:rPr>
        <w:t>类型（</w:t>
      </w:r>
      <w:r>
        <w:rPr>
          <w:rFonts w:hint="eastAsia" w:ascii="宋体" w:hAnsi="宋体"/>
          <w:color w:val="auto"/>
          <w:sz w:val="22"/>
          <w:szCs w:val="22"/>
        </w:rPr>
        <w:t>编码</w:t>
      </w:r>
      <w:r>
        <w:rPr>
          <w:rFonts w:ascii="宋体" w:hAnsi="宋体"/>
          <w:color w:val="auto"/>
          <w:sz w:val="22"/>
          <w:szCs w:val="22"/>
        </w:rPr>
        <w:t>设备</w:t>
      </w:r>
      <w:r>
        <w:rPr>
          <w:rFonts w:hint="eastAsia" w:ascii="宋体" w:hAnsi="宋体"/>
          <w:color w:val="auto"/>
          <w:sz w:val="22"/>
          <w:szCs w:val="22"/>
        </w:rPr>
        <w:t>状态</w:t>
      </w:r>
      <w:r>
        <w:rPr>
          <w:rFonts w:ascii="宋体" w:hAnsi="宋体"/>
          <w:color w:val="auto"/>
          <w:sz w:val="22"/>
          <w:szCs w:val="22"/>
        </w:rPr>
        <w:t>巡检、监控点</w:t>
      </w:r>
      <w:r>
        <w:rPr>
          <w:rFonts w:hint="eastAsia" w:ascii="宋体" w:hAnsi="宋体"/>
          <w:color w:val="auto"/>
          <w:sz w:val="22"/>
          <w:szCs w:val="22"/>
        </w:rPr>
        <w:t>状态</w:t>
      </w:r>
      <w:r>
        <w:rPr>
          <w:rFonts w:ascii="宋体" w:hAnsi="宋体"/>
          <w:color w:val="auto"/>
          <w:sz w:val="22"/>
          <w:szCs w:val="22"/>
        </w:rPr>
        <w:t>巡检、</w:t>
      </w:r>
      <w:r>
        <w:rPr>
          <w:rFonts w:hint="eastAsia" w:ascii="宋体" w:hAnsi="宋体"/>
          <w:color w:val="auto"/>
          <w:sz w:val="22"/>
          <w:szCs w:val="22"/>
        </w:rPr>
        <w:t>存储设备_CVR状态巡检、存储设备_NVR状态巡检、存储设备_云存储状态巡检、</w:t>
      </w:r>
      <w:r>
        <w:rPr>
          <w:rFonts w:ascii="宋体" w:hAnsi="宋体"/>
          <w:color w:val="auto"/>
          <w:sz w:val="22"/>
          <w:szCs w:val="22"/>
        </w:rPr>
        <w:t>解码设备</w:t>
      </w:r>
      <w:r>
        <w:rPr>
          <w:rFonts w:hint="eastAsia" w:ascii="宋体" w:hAnsi="宋体"/>
          <w:color w:val="auto"/>
          <w:sz w:val="22"/>
          <w:szCs w:val="22"/>
        </w:rPr>
        <w:t>状态</w:t>
      </w:r>
      <w:r>
        <w:rPr>
          <w:rFonts w:ascii="宋体" w:hAnsi="宋体"/>
          <w:color w:val="auto"/>
          <w:sz w:val="22"/>
          <w:szCs w:val="22"/>
        </w:rPr>
        <w:t>巡检、</w:t>
      </w:r>
      <w:r>
        <w:rPr>
          <w:rFonts w:hint="eastAsia" w:ascii="宋体" w:hAnsi="宋体"/>
          <w:color w:val="auto"/>
          <w:sz w:val="22"/>
          <w:szCs w:val="22"/>
        </w:rPr>
        <w:t>门禁设备状态巡检</w:t>
      </w:r>
      <w:r>
        <w:rPr>
          <w:rFonts w:ascii="宋体" w:hAnsi="宋体"/>
          <w:color w:val="auto"/>
          <w:sz w:val="22"/>
          <w:szCs w:val="22"/>
        </w:rPr>
        <w:t>、</w:t>
      </w:r>
      <w:r>
        <w:rPr>
          <w:rFonts w:hint="eastAsia" w:ascii="宋体" w:hAnsi="宋体"/>
          <w:color w:val="auto"/>
          <w:sz w:val="22"/>
          <w:szCs w:val="22"/>
        </w:rPr>
        <w:t>智能锁网关状态巡检、可视对讲状态巡检、消防设备状态巡检、监控点录像完整性巡检、监控点录像保存天数巡检、监控点视频质量巡检、监控点视频解码巡检、监控点级联点位状态巡检</w:t>
      </w:r>
      <w:r>
        <w:rPr>
          <w:rFonts w:ascii="宋体" w:hAnsi="宋体"/>
          <w:color w:val="auto"/>
          <w:sz w:val="22"/>
          <w:szCs w:val="22"/>
        </w:rPr>
        <w:t>）</w:t>
      </w:r>
      <w:r>
        <w:rPr>
          <w:rFonts w:hint="eastAsia" w:ascii="宋体" w:hAnsi="宋体"/>
          <w:color w:val="auto"/>
          <w:sz w:val="22"/>
          <w:szCs w:val="22"/>
        </w:rPr>
        <w:t>，编辑计划名称，配置巡检类型、巡检时间模板和巡检周期（</w:t>
      </w:r>
      <w:r>
        <w:rPr>
          <w:rFonts w:ascii="宋体" w:hAnsi="宋体"/>
          <w:color w:val="auto"/>
          <w:sz w:val="22"/>
          <w:szCs w:val="22"/>
        </w:rPr>
        <w:t>5</w:t>
      </w:r>
      <w:r>
        <w:rPr>
          <w:rFonts w:hint="eastAsia" w:ascii="宋体" w:hAnsi="宋体"/>
          <w:color w:val="auto"/>
          <w:sz w:val="22"/>
          <w:szCs w:val="22"/>
        </w:rPr>
        <w:t>分钟、</w:t>
      </w:r>
      <w:r>
        <w:rPr>
          <w:rFonts w:ascii="宋体" w:hAnsi="宋体"/>
          <w:color w:val="auto"/>
          <w:sz w:val="22"/>
          <w:szCs w:val="22"/>
        </w:rPr>
        <w:t>10</w:t>
      </w:r>
      <w:r>
        <w:rPr>
          <w:rFonts w:hint="eastAsia" w:ascii="宋体" w:hAnsi="宋体"/>
          <w:color w:val="auto"/>
          <w:sz w:val="22"/>
          <w:szCs w:val="22"/>
        </w:rPr>
        <w:t>分钟、</w:t>
      </w:r>
      <w:r>
        <w:rPr>
          <w:rFonts w:ascii="宋体" w:hAnsi="宋体"/>
          <w:color w:val="auto"/>
          <w:sz w:val="22"/>
          <w:szCs w:val="22"/>
        </w:rPr>
        <w:t>15</w:t>
      </w:r>
      <w:r>
        <w:rPr>
          <w:rFonts w:hint="eastAsia" w:ascii="宋体" w:hAnsi="宋体"/>
          <w:color w:val="auto"/>
          <w:sz w:val="22"/>
          <w:szCs w:val="22"/>
        </w:rPr>
        <w:t>分钟、半小时、一小时、整天）；系统支持对巡检时间模板的配置，可以选择系统预置模板，也可以自定义添加模板；</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可以根据巡检类型、启用状态筛选显示巡检计划，支持对巡检计划的删除、启用、禁用、查看详情操作。只能删除未启用的计划。当前计划只有启用才能生效，如无须开展巡检，禁用相应的计划即可。</w:t>
      </w:r>
    </w:p>
    <w:p>
      <w:pPr>
        <w:pStyle w:val="4"/>
        <w:keepNext w:val="0"/>
        <w:keepLines w:val="0"/>
        <w:pageBreakBefore w:val="0"/>
        <w:widowControl/>
        <w:numPr>
          <w:ilvl w:val="2"/>
          <w:numId w:val="0"/>
        </w:numPr>
        <w:kinsoku/>
        <w:wordWrap/>
        <w:overflowPunct/>
        <w:topLinePunct w:val="0"/>
        <w:bidi w:val="0"/>
        <w:snapToGrid/>
        <w:spacing w:before="156" w:beforeLines="50" w:after="156" w:afterLines="50" w:line="400" w:lineRule="exact"/>
        <w:ind w:leftChars="0"/>
        <w:jc w:val="left"/>
        <w:textAlignment w:val="auto"/>
        <w:rPr>
          <w:color w:val="auto"/>
          <w:sz w:val="22"/>
          <w:szCs w:val="22"/>
        </w:rPr>
      </w:pPr>
      <w:bookmarkStart w:id="99" w:name="_Toc525738917"/>
      <w:bookmarkStart w:id="100" w:name="_Toc525814553"/>
      <w:bookmarkStart w:id="101" w:name="_Toc36038256"/>
      <w:bookmarkStart w:id="102" w:name="_Toc18593452"/>
      <w:r>
        <w:rPr>
          <w:rFonts w:hint="eastAsia"/>
          <w:color w:val="auto"/>
          <w:sz w:val="22"/>
          <w:szCs w:val="22"/>
          <w:lang w:val="en-US" w:eastAsia="zh-CN"/>
        </w:rPr>
        <w:t>4.2</w:t>
      </w:r>
      <w:r>
        <w:rPr>
          <w:rFonts w:hint="eastAsia"/>
          <w:color w:val="auto"/>
          <w:sz w:val="22"/>
          <w:szCs w:val="22"/>
        </w:rPr>
        <w:t>运维</w:t>
      </w:r>
      <w:r>
        <w:rPr>
          <w:color w:val="auto"/>
          <w:sz w:val="22"/>
          <w:szCs w:val="22"/>
        </w:rPr>
        <w:t>概况</w:t>
      </w:r>
      <w:bookmarkEnd w:id="99"/>
      <w:bookmarkEnd w:id="100"/>
      <w:bookmarkEnd w:id="101"/>
      <w:bookmarkEnd w:id="102"/>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支持按</w:t>
      </w:r>
      <w:r>
        <w:rPr>
          <w:rFonts w:ascii="宋体" w:hAnsi="宋体"/>
          <w:color w:val="auto"/>
          <w:sz w:val="22"/>
          <w:szCs w:val="22"/>
        </w:rPr>
        <w:t>区域</w:t>
      </w:r>
      <w:r>
        <w:rPr>
          <w:rFonts w:hint="eastAsia" w:ascii="宋体" w:hAnsi="宋体"/>
          <w:color w:val="auto"/>
          <w:sz w:val="22"/>
          <w:szCs w:val="22"/>
        </w:rPr>
        <w:t>以</w:t>
      </w:r>
      <w:r>
        <w:rPr>
          <w:rFonts w:ascii="宋体" w:hAnsi="宋体"/>
          <w:color w:val="auto"/>
          <w:sz w:val="22"/>
          <w:szCs w:val="22"/>
        </w:rPr>
        <w:t>统计图方式展示</w:t>
      </w:r>
      <w:r>
        <w:rPr>
          <w:rFonts w:hint="eastAsia" w:ascii="宋体" w:hAnsi="宋体"/>
          <w:color w:val="auto"/>
          <w:sz w:val="22"/>
          <w:szCs w:val="22"/>
        </w:rPr>
        <w:t>监控点</w:t>
      </w:r>
      <w:r>
        <w:rPr>
          <w:rFonts w:ascii="宋体" w:hAnsi="宋体"/>
          <w:color w:val="auto"/>
          <w:sz w:val="22"/>
          <w:szCs w:val="22"/>
        </w:rPr>
        <w:t>总数、</w:t>
      </w:r>
      <w:r>
        <w:rPr>
          <w:rFonts w:hint="eastAsia" w:ascii="宋体" w:hAnsi="宋体"/>
          <w:color w:val="auto"/>
          <w:sz w:val="22"/>
          <w:szCs w:val="22"/>
        </w:rPr>
        <w:t>监控点</w:t>
      </w:r>
      <w:r>
        <w:rPr>
          <w:rFonts w:ascii="宋体" w:hAnsi="宋体"/>
          <w:color w:val="auto"/>
          <w:sz w:val="22"/>
          <w:szCs w:val="22"/>
        </w:rPr>
        <w:t>在线率、图像正常率、</w:t>
      </w:r>
      <w:r>
        <w:rPr>
          <w:rFonts w:hint="eastAsia" w:ascii="宋体" w:hAnsi="宋体"/>
          <w:color w:val="auto"/>
          <w:sz w:val="22"/>
          <w:szCs w:val="22"/>
        </w:rPr>
        <w:t>录像</w:t>
      </w:r>
      <w:r>
        <w:rPr>
          <w:rFonts w:ascii="宋体" w:hAnsi="宋体"/>
          <w:color w:val="auto"/>
          <w:sz w:val="22"/>
          <w:szCs w:val="22"/>
        </w:rPr>
        <w:t>完整率</w:t>
      </w:r>
      <w:r>
        <w:rPr>
          <w:rFonts w:hint="eastAsia" w:ascii="宋体" w:hAnsi="宋体"/>
          <w:color w:val="auto"/>
          <w:sz w:val="22"/>
          <w:szCs w:val="22"/>
        </w:rPr>
        <w:t>，能一目了然的看到监控点的运行数据</w:t>
      </w:r>
      <w:r>
        <w:rPr>
          <w:rFonts w:ascii="宋体" w:hAnsi="宋体"/>
          <w:color w:val="auto"/>
          <w:sz w:val="22"/>
          <w:szCs w:val="22"/>
        </w:rPr>
        <w:t>；</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监控点总数统计图通过不同的颜色展现了监控点总数、高清数、标清数、未检测数；支持各项数据明细查看；</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监控点在线率统计图</w:t>
      </w:r>
      <w:r>
        <w:rPr>
          <w:rFonts w:ascii="宋体" w:hAnsi="宋体"/>
          <w:color w:val="auto"/>
          <w:sz w:val="22"/>
          <w:szCs w:val="22"/>
        </w:rPr>
        <w:t>通过不同的颜色展现了</w:t>
      </w:r>
      <w:r>
        <w:rPr>
          <w:rFonts w:hint="eastAsia" w:ascii="宋体" w:hAnsi="宋体"/>
          <w:color w:val="auto"/>
          <w:sz w:val="22"/>
          <w:szCs w:val="22"/>
        </w:rPr>
        <w:t>监控点</w:t>
      </w:r>
      <w:r>
        <w:rPr>
          <w:rFonts w:ascii="宋体" w:hAnsi="宋体"/>
          <w:color w:val="auto"/>
          <w:sz w:val="22"/>
          <w:szCs w:val="22"/>
        </w:rPr>
        <w:t>在线数、离线数、未检测数</w:t>
      </w:r>
      <w:r>
        <w:rPr>
          <w:rFonts w:hint="eastAsia" w:ascii="宋体" w:hAnsi="宋体"/>
          <w:color w:val="auto"/>
          <w:sz w:val="22"/>
          <w:szCs w:val="22"/>
        </w:rPr>
        <w:t>，并计算出监控点在线率；</w:t>
      </w:r>
      <w:r>
        <w:rPr>
          <w:rFonts w:ascii="宋体" w:hAnsi="宋体"/>
          <w:color w:val="auto"/>
          <w:sz w:val="22"/>
          <w:szCs w:val="22"/>
        </w:rPr>
        <w:t>支持</w:t>
      </w:r>
      <w:r>
        <w:rPr>
          <w:rFonts w:hint="eastAsia" w:ascii="宋体" w:hAnsi="宋体"/>
          <w:color w:val="auto"/>
          <w:sz w:val="22"/>
          <w:szCs w:val="22"/>
        </w:rPr>
        <w:t>各项</w:t>
      </w:r>
      <w:r>
        <w:rPr>
          <w:rFonts w:ascii="宋体" w:hAnsi="宋体"/>
          <w:color w:val="auto"/>
          <w:sz w:val="22"/>
          <w:szCs w:val="22"/>
        </w:rPr>
        <w:t>数据明细</w:t>
      </w:r>
      <w:r>
        <w:rPr>
          <w:rFonts w:hint="eastAsia" w:ascii="宋体" w:hAnsi="宋体"/>
          <w:color w:val="auto"/>
          <w:sz w:val="22"/>
          <w:szCs w:val="22"/>
        </w:rPr>
        <w:t>查看；</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注：监控点在线率</w:t>
      </w:r>
      <w:r>
        <w:rPr>
          <w:rFonts w:ascii="宋体" w:hAnsi="宋体"/>
          <w:color w:val="auto"/>
          <w:sz w:val="22"/>
          <w:szCs w:val="22"/>
        </w:rPr>
        <w:t xml:space="preserve"> = </w:t>
      </w:r>
      <w:r>
        <w:rPr>
          <w:rFonts w:hint="eastAsia" w:ascii="宋体" w:hAnsi="宋体"/>
          <w:color w:val="auto"/>
          <w:sz w:val="22"/>
          <w:szCs w:val="22"/>
        </w:rPr>
        <w:t>在线</w:t>
      </w:r>
      <w:r>
        <w:rPr>
          <w:rFonts w:ascii="宋体" w:hAnsi="宋体"/>
          <w:color w:val="auto"/>
          <w:sz w:val="22"/>
          <w:szCs w:val="22"/>
        </w:rPr>
        <w:t xml:space="preserve"> / (</w:t>
      </w:r>
      <w:r>
        <w:rPr>
          <w:rFonts w:hint="eastAsia" w:ascii="宋体" w:hAnsi="宋体"/>
          <w:color w:val="auto"/>
          <w:sz w:val="22"/>
          <w:szCs w:val="22"/>
        </w:rPr>
        <w:t>在线</w:t>
      </w:r>
      <w:r>
        <w:rPr>
          <w:rFonts w:ascii="宋体" w:hAnsi="宋体"/>
          <w:color w:val="auto"/>
          <w:sz w:val="22"/>
          <w:szCs w:val="22"/>
        </w:rPr>
        <w:t xml:space="preserve"> + </w:t>
      </w:r>
      <w:r>
        <w:rPr>
          <w:rFonts w:hint="eastAsia" w:ascii="宋体" w:hAnsi="宋体"/>
          <w:color w:val="auto"/>
          <w:sz w:val="22"/>
          <w:szCs w:val="22"/>
        </w:rPr>
        <w:t>离线</w:t>
      </w:r>
      <w:r>
        <w:rPr>
          <w:rFonts w:ascii="宋体" w:hAnsi="宋体"/>
          <w:color w:val="auto"/>
          <w:sz w:val="22"/>
          <w:szCs w:val="22"/>
        </w:rPr>
        <w:t>)</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图像</w:t>
      </w:r>
      <w:r>
        <w:rPr>
          <w:rFonts w:ascii="宋体" w:hAnsi="宋体"/>
          <w:color w:val="auto"/>
          <w:sz w:val="22"/>
          <w:szCs w:val="22"/>
        </w:rPr>
        <w:t>正常率统计图</w:t>
      </w:r>
      <w:r>
        <w:rPr>
          <w:rFonts w:hint="eastAsia" w:ascii="宋体" w:hAnsi="宋体"/>
          <w:color w:val="auto"/>
          <w:sz w:val="22"/>
          <w:szCs w:val="22"/>
        </w:rPr>
        <w:t>通过</w:t>
      </w:r>
      <w:r>
        <w:rPr>
          <w:rFonts w:ascii="宋体" w:hAnsi="宋体"/>
          <w:color w:val="auto"/>
          <w:sz w:val="22"/>
          <w:szCs w:val="22"/>
        </w:rPr>
        <w:t>不同的颜色展现了</w:t>
      </w:r>
      <w:r>
        <w:rPr>
          <w:rFonts w:hint="eastAsia" w:ascii="宋体" w:hAnsi="宋体"/>
          <w:color w:val="auto"/>
          <w:sz w:val="22"/>
          <w:szCs w:val="22"/>
        </w:rPr>
        <w:t>图像正常</w:t>
      </w:r>
      <w:r>
        <w:rPr>
          <w:rFonts w:ascii="宋体" w:hAnsi="宋体"/>
          <w:color w:val="auto"/>
          <w:sz w:val="22"/>
          <w:szCs w:val="22"/>
        </w:rPr>
        <w:t>数、图像异常数、</w:t>
      </w:r>
      <w:r>
        <w:rPr>
          <w:rFonts w:hint="eastAsia" w:ascii="宋体" w:hAnsi="宋体"/>
          <w:color w:val="auto"/>
          <w:sz w:val="22"/>
          <w:szCs w:val="22"/>
        </w:rPr>
        <w:t>诊断</w:t>
      </w:r>
      <w:r>
        <w:rPr>
          <w:rFonts w:ascii="宋体" w:hAnsi="宋体"/>
          <w:color w:val="auto"/>
          <w:sz w:val="22"/>
          <w:szCs w:val="22"/>
        </w:rPr>
        <w:t>失败数、未检测数</w:t>
      </w:r>
      <w:r>
        <w:rPr>
          <w:rFonts w:hint="eastAsia" w:ascii="宋体" w:hAnsi="宋体"/>
          <w:color w:val="auto"/>
          <w:sz w:val="22"/>
          <w:szCs w:val="22"/>
        </w:rPr>
        <w:t>，并计算出图像正常率；</w:t>
      </w:r>
      <w:r>
        <w:rPr>
          <w:rFonts w:ascii="宋体" w:hAnsi="宋体"/>
          <w:color w:val="auto"/>
          <w:sz w:val="22"/>
          <w:szCs w:val="22"/>
        </w:rPr>
        <w:t>支持</w:t>
      </w:r>
      <w:r>
        <w:rPr>
          <w:rFonts w:hint="eastAsia" w:ascii="宋体" w:hAnsi="宋体"/>
          <w:color w:val="auto"/>
          <w:sz w:val="22"/>
          <w:szCs w:val="22"/>
        </w:rPr>
        <w:t>各项</w:t>
      </w:r>
      <w:r>
        <w:rPr>
          <w:rFonts w:ascii="宋体" w:hAnsi="宋体"/>
          <w:color w:val="auto"/>
          <w:sz w:val="22"/>
          <w:szCs w:val="22"/>
        </w:rPr>
        <w:t>数据明细</w:t>
      </w:r>
      <w:r>
        <w:rPr>
          <w:rFonts w:hint="eastAsia" w:ascii="宋体" w:hAnsi="宋体"/>
          <w:color w:val="auto"/>
          <w:sz w:val="22"/>
          <w:szCs w:val="22"/>
        </w:rPr>
        <w:t>查看；</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注：图像正常率</w:t>
      </w:r>
      <w:r>
        <w:rPr>
          <w:rFonts w:ascii="宋体" w:hAnsi="宋体"/>
          <w:color w:val="auto"/>
          <w:sz w:val="22"/>
          <w:szCs w:val="22"/>
        </w:rPr>
        <w:t xml:space="preserve"> = </w:t>
      </w:r>
      <w:r>
        <w:rPr>
          <w:rFonts w:hint="eastAsia" w:ascii="宋体" w:hAnsi="宋体"/>
          <w:color w:val="auto"/>
          <w:sz w:val="22"/>
          <w:szCs w:val="22"/>
        </w:rPr>
        <w:t>图像正常</w:t>
      </w:r>
      <w:r>
        <w:rPr>
          <w:rFonts w:ascii="宋体" w:hAnsi="宋体"/>
          <w:color w:val="auto"/>
          <w:sz w:val="22"/>
          <w:szCs w:val="22"/>
        </w:rPr>
        <w:t xml:space="preserve"> / (</w:t>
      </w:r>
      <w:r>
        <w:rPr>
          <w:rFonts w:hint="eastAsia" w:ascii="宋体" w:hAnsi="宋体"/>
          <w:color w:val="auto"/>
          <w:sz w:val="22"/>
          <w:szCs w:val="22"/>
        </w:rPr>
        <w:t>图像</w:t>
      </w:r>
      <w:r>
        <w:rPr>
          <w:rFonts w:ascii="宋体" w:hAnsi="宋体"/>
          <w:color w:val="auto"/>
          <w:sz w:val="22"/>
          <w:szCs w:val="22"/>
        </w:rPr>
        <w:t xml:space="preserve">正常 + </w:t>
      </w:r>
      <w:r>
        <w:rPr>
          <w:rFonts w:hint="eastAsia" w:ascii="宋体" w:hAnsi="宋体"/>
          <w:color w:val="auto"/>
          <w:sz w:val="22"/>
          <w:szCs w:val="22"/>
        </w:rPr>
        <w:t>图像</w:t>
      </w:r>
      <w:r>
        <w:rPr>
          <w:rFonts w:ascii="宋体" w:hAnsi="宋体"/>
          <w:color w:val="auto"/>
          <w:sz w:val="22"/>
          <w:szCs w:val="22"/>
        </w:rPr>
        <w:t xml:space="preserve">异常+ </w:t>
      </w:r>
      <w:r>
        <w:rPr>
          <w:rFonts w:hint="eastAsia" w:ascii="宋体" w:hAnsi="宋体"/>
          <w:color w:val="auto"/>
          <w:sz w:val="22"/>
          <w:szCs w:val="22"/>
        </w:rPr>
        <w:t>诊断</w:t>
      </w:r>
      <w:r>
        <w:rPr>
          <w:rFonts w:ascii="宋体" w:hAnsi="宋体"/>
          <w:color w:val="auto"/>
          <w:sz w:val="22"/>
          <w:szCs w:val="22"/>
        </w:rPr>
        <w:t>失败)</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录像完整</w:t>
      </w:r>
      <w:r>
        <w:rPr>
          <w:rFonts w:ascii="宋体" w:hAnsi="宋体"/>
          <w:color w:val="auto"/>
          <w:sz w:val="22"/>
          <w:szCs w:val="22"/>
        </w:rPr>
        <w:t>率统计图</w:t>
      </w:r>
      <w:r>
        <w:rPr>
          <w:rFonts w:hint="eastAsia" w:ascii="宋体" w:hAnsi="宋体"/>
          <w:color w:val="auto"/>
          <w:sz w:val="22"/>
          <w:szCs w:val="22"/>
        </w:rPr>
        <w:t>通过</w:t>
      </w:r>
      <w:r>
        <w:rPr>
          <w:rFonts w:ascii="宋体" w:hAnsi="宋体"/>
          <w:color w:val="auto"/>
          <w:sz w:val="22"/>
          <w:szCs w:val="22"/>
        </w:rPr>
        <w:t>不同的颜色展现了</w:t>
      </w:r>
      <w:r>
        <w:rPr>
          <w:rFonts w:hint="eastAsia" w:ascii="宋体" w:hAnsi="宋体"/>
          <w:color w:val="auto"/>
          <w:sz w:val="22"/>
          <w:szCs w:val="22"/>
        </w:rPr>
        <w:t>录像</w:t>
      </w:r>
      <w:r>
        <w:rPr>
          <w:rFonts w:ascii="宋体" w:hAnsi="宋体"/>
          <w:color w:val="auto"/>
          <w:sz w:val="22"/>
          <w:szCs w:val="22"/>
        </w:rPr>
        <w:t>完整数、</w:t>
      </w:r>
      <w:r>
        <w:rPr>
          <w:rFonts w:hint="eastAsia" w:ascii="宋体" w:hAnsi="宋体"/>
          <w:color w:val="auto"/>
          <w:sz w:val="22"/>
          <w:szCs w:val="22"/>
        </w:rPr>
        <w:t>录像</w:t>
      </w:r>
      <w:r>
        <w:rPr>
          <w:rFonts w:ascii="宋体" w:hAnsi="宋体"/>
          <w:color w:val="auto"/>
          <w:sz w:val="22"/>
          <w:szCs w:val="22"/>
        </w:rPr>
        <w:t>丢失数、</w:t>
      </w:r>
      <w:r>
        <w:rPr>
          <w:rFonts w:hint="eastAsia" w:ascii="宋体" w:hAnsi="宋体"/>
          <w:color w:val="auto"/>
          <w:sz w:val="22"/>
          <w:szCs w:val="22"/>
        </w:rPr>
        <w:t>巡检</w:t>
      </w:r>
      <w:r>
        <w:rPr>
          <w:rFonts w:ascii="宋体" w:hAnsi="宋体"/>
          <w:color w:val="auto"/>
          <w:sz w:val="22"/>
          <w:szCs w:val="22"/>
        </w:rPr>
        <w:t>失败数、未检测数</w:t>
      </w:r>
      <w:r>
        <w:rPr>
          <w:rFonts w:hint="eastAsia" w:ascii="宋体" w:hAnsi="宋体"/>
          <w:color w:val="auto"/>
          <w:sz w:val="22"/>
          <w:szCs w:val="22"/>
        </w:rPr>
        <w:t>；</w:t>
      </w:r>
      <w:r>
        <w:rPr>
          <w:rFonts w:ascii="宋体" w:hAnsi="宋体"/>
          <w:color w:val="auto"/>
          <w:sz w:val="22"/>
          <w:szCs w:val="22"/>
        </w:rPr>
        <w:t>支持</w:t>
      </w:r>
      <w:r>
        <w:rPr>
          <w:rFonts w:hint="eastAsia" w:ascii="宋体" w:hAnsi="宋体"/>
          <w:color w:val="auto"/>
          <w:sz w:val="22"/>
          <w:szCs w:val="22"/>
        </w:rPr>
        <w:t>各项</w:t>
      </w:r>
      <w:r>
        <w:rPr>
          <w:rFonts w:ascii="宋体" w:hAnsi="宋体"/>
          <w:color w:val="auto"/>
          <w:sz w:val="22"/>
          <w:szCs w:val="22"/>
        </w:rPr>
        <w:t>数据明细</w:t>
      </w:r>
      <w:r>
        <w:rPr>
          <w:rFonts w:hint="eastAsia" w:ascii="宋体" w:hAnsi="宋体"/>
          <w:color w:val="auto"/>
          <w:sz w:val="22"/>
          <w:szCs w:val="22"/>
        </w:rPr>
        <w:t>查看；</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注：录像完整率</w:t>
      </w:r>
      <w:r>
        <w:rPr>
          <w:rFonts w:ascii="宋体" w:hAnsi="宋体"/>
          <w:color w:val="auto"/>
          <w:sz w:val="22"/>
          <w:szCs w:val="22"/>
        </w:rPr>
        <w:t xml:space="preserve"> = </w:t>
      </w:r>
      <w:r>
        <w:rPr>
          <w:rFonts w:hint="eastAsia" w:ascii="宋体" w:hAnsi="宋体"/>
          <w:color w:val="auto"/>
          <w:sz w:val="22"/>
          <w:szCs w:val="22"/>
        </w:rPr>
        <w:t>录像</w:t>
      </w:r>
      <w:r>
        <w:rPr>
          <w:rFonts w:ascii="宋体" w:hAnsi="宋体"/>
          <w:color w:val="auto"/>
          <w:sz w:val="22"/>
          <w:szCs w:val="22"/>
        </w:rPr>
        <w:t>完整 / (</w:t>
      </w:r>
      <w:r>
        <w:rPr>
          <w:rFonts w:hint="eastAsia" w:ascii="宋体" w:hAnsi="宋体"/>
          <w:color w:val="auto"/>
          <w:sz w:val="22"/>
          <w:szCs w:val="22"/>
        </w:rPr>
        <w:t>录像完整</w:t>
      </w:r>
      <w:r>
        <w:rPr>
          <w:rFonts w:ascii="宋体" w:hAnsi="宋体"/>
          <w:color w:val="auto"/>
          <w:sz w:val="22"/>
          <w:szCs w:val="22"/>
        </w:rPr>
        <w:t xml:space="preserve"> + </w:t>
      </w:r>
      <w:r>
        <w:rPr>
          <w:rFonts w:hint="eastAsia" w:ascii="宋体" w:hAnsi="宋体"/>
          <w:color w:val="auto"/>
          <w:sz w:val="22"/>
          <w:szCs w:val="22"/>
        </w:rPr>
        <w:t>录像</w:t>
      </w:r>
      <w:r>
        <w:rPr>
          <w:rFonts w:ascii="宋体" w:hAnsi="宋体"/>
          <w:color w:val="auto"/>
          <w:sz w:val="22"/>
          <w:szCs w:val="22"/>
        </w:rPr>
        <w:t xml:space="preserve">丢失+ </w:t>
      </w:r>
      <w:r>
        <w:rPr>
          <w:rFonts w:hint="eastAsia" w:ascii="宋体" w:hAnsi="宋体"/>
          <w:color w:val="auto"/>
          <w:sz w:val="22"/>
          <w:szCs w:val="22"/>
        </w:rPr>
        <w:t>巡检</w:t>
      </w:r>
      <w:r>
        <w:rPr>
          <w:rFonts w:ascii="宋体" w:hAnsi="宋体"/>
          <w:color w:val="auto"/>
          <w:sz w:val="22"/>
          <w:szCs w:val="22"/>
        </w:rPr>
        <w:t>失败)</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支持以</w:t>
      </w:r>
      <w:r>
        <w:rPr>
          <w:rFonts w:ascii="宋体" w:hAnsi="宋体"/>
          <w:color w:val="auto"/>
          <w:sz w:val="22"/>
          <w:szCs w:val="22"/>
        </w:rPr>
        <w:t>柱状图方式对区域资源运行</w:t>
      </w:r>
      <w:r>
        <w:rPr>
          <w:rFonts w:hint="eastAsia" w:ascii="宋体" w:hAnsi="宋体"/>
          <w:color w:val="auto"/>
          <w:sz w:val="22"/>
          <w:szCs w:val="22"/>
        </w:rPr>
        <w:t>情况</w:t>
      </w:r>
      <w:r>
        <w:rPr>
          <w:rFonts w:ascii="宋体" w:hAnsi="宋体"/>
          <w:color w:val="auto"/>
          <w:sz w:val="22"/>
          <w:szCs w:val="22"/>
        </w:rPr>
        <w:t>进行统计，支持各统计指标项明细查看</w:t>
      </w:r>
      <w:r>
        <w:rPr>
          <w:rFonts w:hint="eastAsia" w:ascii="宋体" w:hAnsi="宋体"/>
          <w:color w:val="auto"/>
          <w:sz w:val="22"/>
          <w:szCs w:val="22"/>
        </w:rPr>
        <w:t>；</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ascii="宋体" w:hAnsi="宋体"/>
          <w:color w:val="auto"/>
          <w:sz w:val="22"/>
          <w:szCs w:val="22"/>
        </w:rPr>
        <w:t>支持</w:t>
      </w:r>
      <w:r>
        <w:rPr>
          <w:rFonts w:hint="eastAsia" w:ascii="宋体" w:hAnsi="宋体"/>
          <w:color w:val="auto"/>
          <w:sz w:val="22"/>
          <w:szCs w:val="22"/>
        </w:rPr>
        <w:t>以</w:t>
      </w:r>
      <w:r>
        <w:rPr>
          <w:rFonts w:ascii="宋体" w:hAnsi="宋体"/>
          <w:color w:val="auto"/>
          <w:sz w:val="22"/>
          <w:szCs w:val="22"/>
        </w:rPr>
        <w:t>图形方式</w:t>
      </w:r>
      <w:r>
        <w:rPr>
          <w:rFonts w:hint="eastAsia" w:ascii="宋体" w:hAnsi="宋体"/>
          <w:color w:val="auto"/>
          <w:sz w:val="22"/>
          <w:szCs w:val="22"/>
        </w:rPr>
        <w:t>展示近24小时、</w:t>
      </w:r>
      <w:r>
        <w:rPr>
          <w:rFonts w:ascii="宋体" w:hAnsi="宋体"/>
          <w:color w:val="auto"/>
          <w:sz w:val="22"/>
          <w:szCs w:val="22"/>
        </w:rPr>
        <w:t>近一周、</w:t>
      </w:r>
      <w:r>
        <w:rPr>
          <w:rFonts w:hint="eastAsia" w:ascii="宋体" w:hAnsi="宋体"/>
          <w:color w:val="auto"/>
          <w:sz w:val="22"/>
          <w:szCs w:val="22"/>
        </w:rPr>
        <w:t>近一月</w:t>
      </w:r>
      <w:r>
        <w:rPr>
          <w:rFonts w:ascii="宋体" w:hAnsi="宋体"/>
          <w:color w:val="auto"/>
          <w:sz w:val="22"/>
          <w:szCs w:val="22"/>
        </w:rPr>
        <w:t>的</w:t>
      </w:r>
      <w:r>
        <w:rPr>
          <w:rFonts w:hint="eastAsia" w:ascii="宋体" w:hAnsi="宋体"/>
          <w:color w:val="auto"/>
          <w:sz w:val="22"/>
          <w:szCs w:val="22"/>
        </w:rPr>
        <w:t>点位</w:t>
      </w:r>
      <w:r>
        <w:rPr>
          <w:rFonts w:ascii="宋体" w:hAnsi="宋体"/>
          <w:color w:val="auto"/>
          <w:sz w:val="22"/>
          <w:szCs w:val="22"/>
        </w:rPr>
        <w:t>运行</w:t>
      </w:r>
      <w:r>
        <w:rPr>
          <w:rFonts w:hint="eastAsia" w:ascii="宋体" w:hAnsi="宋体"/>
          <w:color w:val="auto"/>
          <w:sz w:val="22"/>
          <w:szCs w:val="22"/>
        </w:rPr>
        <w:t>情况趋势，</w:t>
      </w:r>
      <w:r>
        <w:rPr>
          <w:rFonts w:ascii="宋体" w:hAnsi="宋体"/>
          <w:color w:val="auto"/>
          <w:sz w:val="22"/>
          <w:szCs w:val="22"/>
        </w:rPr>
        <w:t>统计指标项包括</w:t>
      </w:r>
      <w:r>
        <w:rPr>
          <w:rFonts w:hint="eastAsia" w:ascii="宋体" w:hAnsi="宋体"/>
          <w:color w:val="auto"/>
          <w:sz w:val="22"/>
          <w:szCs w:val="22"/>
        </w:rPr>
        <w:t>监控</w:t>
      </w:r>
      <w:r>
        <w:rPr>
          <w:rFonts w:ascii="宋体" w:hAnsi="宋体"/>
          <w:color w:val="auto"/>
          <w:sz w:val="22"/>
          <w:szCs w:val="22"/>
        </w:rPr>
        <w:t>点在线率、图像正常率</w:t>
      </w:r>
      <w:r>
        <w:rPr>
          <w:rFonts w:hint="eastAsia" w:ascii="宋体" w:hAnsi="宋体"/>
          <w:color w:val="auto"/>
          <w:sz w:val="22"/>
          <w:szCs w:val="22"/>
        </w:rPr>
        <w:t>；</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支持</w:t>
      </w:r>
      <w:r>
        <w:rPr>
          <w:rFonts w:ascii="宋体" w:hAnsi="宋体"/>
          <w:color w:val="auto"/>
          <w:sz w:val="22"/>
          <w:szCs w:val="22"/>
        </w:rPr>
        <w:t>近</w:t>
      </w:r>
      <w:r>
        <w:rPr>
          <w:rFonts w:hint="eastAsia" w:ascii="宋体" w:hAnsi="宋体"/>
          <w:color w:val="auto"/>
          <w:sz w:val="22"/>
          <w:szCs w:val="22"/>
        </w:rPr>
        <w:t>24小时</w:t>
      </w:r>
      <w:r>
        <w:rPr>
          <w:rFonts w:ascii="宋体" w:hAnsi="宋体"/>
          <w:color w:val="auto"/>
          <w:sz w:val="22"/>
          <w:szCs w:val="22"/>
        </w:rPr>
        <w:t>、近一周、近一月</w:t>
      </w:r>
      <w:r>
        <w:rPr>
          <w:rFonts w:hint="eastAsia" w:ascii="宋体" w:hAnsi="宋体"/>
          <w:color w:val="auto"/>
          <w:sz w:val="22"/>
          <w:szCs w:val="22"/>
        </w:rPr>
        <w:t>的视频</w:t>
      </w:r>
      <w:r>
        <w:rPr>
          <w:rFonts w:ascii="宋体" w:hAnsi="宋体"/>
          <w:color w:val="auto"/>
          <w:sz w:val="22"/>
          <w:szCs w:val="22"/>
        </w:rPr>
        <w:t>异常</w:t>
      </w:r>
      <w:r>
        <w:rPr>
          <w:rFonts w:hint="eastAsia" w:ascii="宋体" w:hAnsi="宋体"/>
          <w:color w:val="auto"/>
          <w:sz w:val="22"/>
          <w:szCs w:val="22"/>
        </w:rPr>
        <w:t>问题</w:t>
      </w:r>
      <w:r>
        <w:rPr>
          <w:rFonts w:ascii="宋体" w:hAnsi="宋体"/>
          <w:color w:val="auto"/>
          <w:sz w:val="22"/>
          <w:szCs w:val="22"/>
        </w:rPr>
        <w:t>统计</w:t>
      </w:r>
      <w:r>
        <w:rPr>
          <w:rFonts w:hint="eastAsia" w:ascii="宋体" w:hAnsi="宋体"/>
          <w:color w:val="auto"/>
          <w:sz w:val="22"/>
          <w:szCs w:val="22"/>
        </w:rPr>
        <w:t>，视频</w:t>
      </w:r>
      <w:r>
        <w:rPr>
          <w:rFonts w:ascii="宋体" w:hAnsi="宋体"/>
          <w:color w:val="auto"/>
          <w:sz w:val="22"/>
          <w:szCs w:val="22"/>
        </w:rPr>
        <w:t>异常项包括取流异常、登陆失败、</w:t>
      </w:r>
      <w:r>
        <w:rPr>
          <w:rFonts w:hint="eastAsia" w:ascii="宋体" w:hAnsi="宋体"/>
          <w:color w:val="auto"/>
          <w:sz w:val="22"/>
          <w:szCs w:val="22"/>
        </w:rPr>
        <w:t>解码</w:t>
      </w:r>
      <w:r>
        <w:rPr>
          <w:rFonts w:ascii="宋体" w:hAnsi="宋体"/>
          <w:color w:val="auto"/>
          <w:sz w:val="22"/>
          <w:szCs w:val="22"/>
        </w:rPr>
        <w:t>失败、图像异常、其他</w:t>
      </w:r>
      <w:r>
        <w:rPr>
          <w:rFonts w:hint="eastAsia" w:ascii="宋体" w:hAnsi="宋体"/>
          <w:color w:val="auto"/>
          <w:sz w:val="22"/>
          <w:szCs w:val="22"/>
        </w:rPr>
        <w:t>；图像</w:t>
      </w:r>
      <w:r>
        <w:rPr>
          <w:rFonts w:ascii="宋体" w:hAnsi="宋体"/>
          <w:color w:val="auto"/>
          <w:sz w:val="22"/>
          <w:szCs w:val="22"/>
        </w:rPr>
        <w:t>异常项包括信号</w:t>
      </w:r>
      <w:r>
        <w:rPr>
          <w:rFonts w:hint="eastAsia" w:ascii="宋体" w:hAnsi="宋体"/>
          <w:color w:val="auto"/>
          <w:sz w:val="22"/>
          <w:szCs w:val="22"/>
        </w:rPr>
        <w:t>丢失</w:t>
      </w:r>
      <w:r>
        <w:rPr>
          <w:rFonts w:ascii="宋体" w:hAnsi="宋体"/>
          <w:color w:val="auto"/>
          <w:sz w:val="22"/>
          <w:szCs w:val="22"/>
        </w:rPr>
        <w:t>、</w:t>
      </w:r>
      <w:r>
        <w:rPr>
          <w:rFonts w:hint="eastAsia" w:ascii="宋体" w:hAnsi="宋体"/>
          <w:color w:val="auto"/>
          <w:sz w:val="22"/>
          <w:szCs w:val="22"/>
        </w:rPr>
        <w:t>图像</w:t>
      </w:r>
      <w:r>
        <w:rPr>
          <w:rFonts w:ascii="宋体" w:hAnsi="宋体"/>
          <w:color w:val="auto"/>
          <w:sz w:val="22"/>
          <w:szCs w:val="22"/>
        </w:rPr>
        <w:t>模糊、条纹干扰、视频遮挡、</w:t>
      </w:r>
      <w:r>
        <w:rPr>
          <w:rFonts w:hint="eastAsia" w:ascii="宋体" w:hAnsi="宋体"/>
          <w:color w:val="auto"/>
          <w:sz w:val="22"/>
          <w:szCs w:val="22"/>
        </w:rPr>
        <w:t>其他</w:t>
      </w:r>
      <w:r>
        <w:rPr>
          <w:rFonts w:ascii="宋体" w:hAnsi="宋体"/>
          <w:color w:val="auto"/>
          <w:sz w:val="22"/>
          <w:szCs w:val="22"/>
        </w:rPr>
        <w:t>。</w:t>
      </w:r>
      <w:r>
        <w:rPr>
          <w:rFonts w:hint="eastAsia" w:ascii="宋体" w:hAnsi="宋体"/>
          <w:color w:val="auto"/>
          <w:sz w:val="22"/>
          <w:szCs w:val="22"/>
        </w:rPr>
        <w:t>支持</w:t>
      </w:r>
      <w:r>
        <w:rPr>
          <w:rFonts w:ascii="宋体" w:hAnsi="宋体"/>
          <w:color w:val="auto"/>
          <w:sz w:val="22"/>
          <w:szCs w:val="22"/>
        </w:rPr>
        <w:t>视频</w:t>
      </w:r>
      <w:r>
        <w:rPr>
          <w:rFonts w:hint="eastAsia" w:ascii="宋体" w:hAnsi="宋体"/>
          <w:color w:val="auto"/>
          <w:sz w:val="22"/>
          <w:szCs w:val="22"/>
        </w:rPr>
        <w:t>/图像异常</w:t>
      </w:r>
      <w:r>
        <w:rPr>
          <w:rFonts w:ascii="宋体" w:hAnsi="宋体"/>
          <w:color w:val="auto"/>
          <w:sz w:val="22"/>
          <w:szCs w:val="22"/>
        </w:rPr>
        <w:t>项明细查看</w:t>
      </w:r>
      <w:r>
        <w:rPr>
          <w:rFonts w:hint="eastAsia" w:ascii="宋体" w:hAnsi="宋体"/>
          <w:color w:val="auto"/>
          <w:sz w:val="22"/>
          <w:szCs w:val="22"/>
        </w:rPr>
        <w:t>。</w:t>
      </w:r>
    </w:p>
    <w:p>
      <w:pPr>
        <w:pStyle w:val="4"/>
        <w:keepNext w:val="0"/>
        <w:keepLines w:val="0"/>
        <w:pageBreakBefore w:val="0"/>
        <w:widowControl/>
        <w:numPr>
          <w:ilvl w:val="2"/>
          <w:numId w:val="0"/>
        </w:numPr>
        <w:kinsoku/>
        <w:wordWrap/>
        <w:overflowPunct/>
        <w:topLinePunct w:val="0"/>
        <w:bidi w:val="0"/>
        <w:snapToGrid/>
        <w:spacing w:before="156" w:beforeLines="50" w:after="156" w:afterLines="50" w:line="400" w:lineRule="exact"/>
        <w:ind w:leftChars="0"/>
        <w:jc w:val="left"/>
        <w:textAlignment w:val="auto"/>
        <w:rPr>
          <w:color w:val="auto"/>
          <w:sz w:val="22"/>
          <w:szCs w:val="22"/>
        </w:rPr>
      </w:pPr>
      <w:bookmarkStart w:id="103" w:name="_Toc18593453"/>
      <w:bookmarkStart w:id="104" w:name="_Toc36038257"/>
      <w:bookmarkStart w:id="105" w:name="_Toc525738918"/>
      <w:bookmarkStart w:id="106" w:name="_Toc525814554"/>
      <w:r>
        <w:rPr>
          <w:rFonts w:hint="eastAsia"/>
          <w:color w:val="auto"/>
          <w:sz w:val="22"/>
          <w:szCs w:val="22"/>
          <w:lang w:val="en-US" w:eastAsia="zh-CN"/>
        </w:rPr>
        <w:t>4.3</w:t>
      </w:r>
      <w:r>
        <w:rPr>
          <w:rFonts w:hint="eastAsia"/>
          <w:color w:val="auto"/>
          <w:sz w:val="22"/>
          <w:szCs w:val="22"/>
        </w:rPr>
        <w:t>一键运维</w:t>
      </w:r>
      <w:bookmarkEnd w:id="103"/>
      <w:bookmarkEnd w:id="104"/>
      <w:bookmarkEnd w:id="105"/>
      <w:bookmarkEnd w:id="106"/>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通过查看各设备的相关信息，了解最新设备状况及报修情况；只要选中相关设备，就能进行快速的报修流程，改变以往花费大量时间去查询异常设备在进行报修的繁琐工作。</w:t>
      </w:r>
    </w:p>
    <w:p>
      <w:pPr>
        <w:pageBreakBefore w:val="0"/>
        <w:kinsoku/>
        <w:wordWrap/>
        <w:overflowPunct/>
        <w:topLinePunct w:val="0"/>
        <w:autoSpaceDE w:val="0"/>
        <w:autoSpaceDN w:val="0"/>
        <w:bidi w:val="0"/>
        <w:adjustRightInd w:val="0"/>
        <w:snapToGrid/>
        <w:spacing w:line="400" w:lineRule="exact"/>
        <w:ind w:firstLine="480"/>
        <w:textAlignment w:val="auto"/>
        <w:rPr>
          <w:rFonts w:ascii="宋体" w:hAnsi="宋体"/>
          <w:color w:val="auto"/>
          <w:sz w:val="22"/>
          <w:szCs w:val="22"/>
        </w:rPr>
      </w:pPr>
      <w:r>
        <w:rPr>
          <w:rFonts w:hint="eastAsia" w:ascii="宋体" w:hAnsi="宋体"/>
          <w:color w:val="auto"/>
          <w:sz w:val="22"/>
          <w:szCs w:val="22"/>
        </w:rPr>
        <w:t>通过平台自动化全面检测，掌握用户方整个信息化的运行状况。查看各设备运行的相关信息，了解设备状况及报修情况。通过常用功能和快键入口，提高运行质量的便捷性，方便业务用户的日常工作。</w:t>
      </w:r>
    </w:p>
    <w:p>
      <w:pPr>
        <w:pStyle w:val="4"/>
        <w:keepNext w:val="0"/>
        <w:keepLines w:val="0"/>
        <w:pageBreakBefore w:val="0"/>
        <w:widowControl/>
        <w:numPr>
          <w:ilvl w:val="2"/>
          <w:numId w:val="0"/>
        </w:numPr>
        <w:kinsoku/>
        <w:wordWrap/>
        <w:overflowPunct/>
        <w:topLinePunct w:val="0"/>
        <w:bidi w:val="0"/>
        <w:snapToGrid/>
        <w:spacing w:before="156" w:beforeLines="50" w:after="156" w:afterLines="50" w:line="400" w:lineRule="exact"/>
        <w:ind w:leftChars="0"/>
        <w:jc w:val="left"/>
        <w:textAlignment w:val="auto"/>
        <w:rPr>
          <w:color w:val="auto"/>
          <w:sz w:val="22"/>
          <w:szCs w:val="22"/>
        </w:rPr>
      </w:pPr>
      <w:bookmarkStart w:id="107" w:name="_Toc18593454"/>
      <w:bookmarkStart w:id="108" w:name="_Toc36038258"/>
      <w:r>
        <w:rPr>
          <w:rFonts w:hint="eastAsia"/>
          <w:color w:val="auto"/>
          <w:sz w:val="22"/>
          <w:szCs w:val="22"/>
          <w:lang w:val="en-US" w:eastAsia="zh-CN"/>
        </w:rPr>
        <w:t>4.4</w:t>
      </w:r>
      <w:r>
        <w:rPr>
          <w:rFonts w:hint="eastAsia"/>
          <w:color w:val="auto"/>
          <w:sz w:val="22"/>
          <w:szCs w:val="22"/>
        </w:rPr>
        <w:t>视频监测</w:t>
      </w:r>
      <w:bookmarkEnd w:id="107"/>
      <w:bookmarkEnd w:id="108"/>
    </w:p>
    <w:p>
      <w:pPr>
        <w:pageBreakBefore w:val="0"/>
        <w:kinsoku/>
        <w:wordWrap/>
        <w:overflowPunct/>
        <w:topLinePunct w:val="0"/>
        <w:bidi w:val="0"/>
        <w:snapToGrid/>
        <w:spacing w:line="400" w:lineRule="exact"/>
        <w:ind w:firstLine="480"/>
        <w:textAlignment w:val="auto"/>
        <w:rPr>
          <w:rFonts w:ascii="宋体" w:hAnsi="宋体"/>
          <w:color w:val="auto"/>
          <w:sz w:val="22"/>
          <w:szCs w:val="22"/>
        </w:rPr>
      </w:pPr>
      <w:r>
        <w:rPr>
          <w:rFonts w:hint="eastAsia" w:ascii="Times New Roman" w:hAnsi="Times New Roman" w:eastAsia="宋体"/>
          <w:color w:val="auto"/>
          <w:sz w:val="22"/>
          <w:szCs w:val="22"/>
        </w:rPr>
        <w:t>平台采用国际领先的图形处理算法和模式识别技术，对视频丢失、模糊、偏色、干扰等十多项视频问题，建立了一套完善的视频诊断标准规划体系。</w:t>
      </w:r>
    </w:p>
    <w:p>
      <w:pPr>
        <w:pStyle w:val="5"/>
        <w:pageBreakBefore w:val="0"/>
        <w:numPr>
          <w:ilvl w:val="3"/>
          <w:numId w:val="0"/>
        </w:numPr>
        <w:kinsoku/>
        <w:wordWrap/>
        <w:overflowPunct/>
        <w:topLinePunct w:val="0"/>
        <w:bidi w:val="0"/>
        <w:snapToGrid/>
        <w:spacing w:before="240" w:after="240" w:line="400" w:lineRule="exact"/>
        <w:ind w:leftChars="0"/>
        <w:jc w:val="left"/>
        <w:textAlignment w:val="auto"/>
        <w:rPr>
          <w:color w:val="auto"/>
          <w:sz w:val="22"/>
          <w:szCs w:val="22"/>
        </w:rPr>
      </w:pPr>
      <w:r>
        <w:rPr>
          <w:rFonts w:hint="eastAsia"/>
          <w:color w:val="auto"/>
          <w:sz w:val="22"/>
          <w:szCs w:val="22"/>
          <w:lang w:val="en-US" w:eastAsia="zh-CN"/>
        </w:rPr>
        <w:t>4.4.1</w:t>
      </w:r>
      <w:r>
        <w:rPr>
          <w:rFonts w:hint="eastAsia"/>
          <w:color w:val="auto"/>
          <w:sz w:val="22"/>
          <w:szCs w:val="22"/>
        </w:rPr>
        <w:t>视频质量诊断</w:t>
      </w:r>
    </w:p>
    <w:p>
      <w:pPr>
        <w:pStyle w:val="36"/>
        <w:pageBreakBefore w:val="0"/>
        <w:numPr>
          <w:ilvl w:val="0"/>
          <w:numId w:val="25"/>
        </w:numPr>
        <w:kinsoku/>
        <w:wordWrap/>
        <w:overflowPunct/>
        <w:topLinePunct w:val="0"/>
        <w:bidi w:val="0"/>
        <w:snapToGrid/>
        <w:spacing w:line="400" w:lineRule="exact"/>
        <w:ind w:left="0" w:firstLine="482"/>
        <w:textAlignment w:val="auto"/>
        <w:rPr>
          <w:rFonts w:ascii="Times New Roman" w:hAnsi="Times New Roman" w:eastAsia="宋体"/>
          <w:b/>
          <w:color w:val="auto"/>
          <w:sz w:val="22"/>
          <w:szCs w:val="22"/>
        </w:rPr>
      </w:pPr>
      <w:r>
        <w:rPr>
          <w:rFonts w:hint="eastAsia" w:ascii="Times New Roman" w:hAnsi="Times New Roman" w:eastAsia="宋体"/>
          <w:b/>
          <w:color w:val="auto"/>
          <w:sz w:val="22"/>
          <w:szCs w:val="22"/>
        </w:rPr>
        <w:t>条纹检测</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条纹是指因为设备老化或者受到电子干扰，在视频中呈现出条状的干扰，如横条纹、纵条纹或者斜向的条纹，给视觉感官造成了很大的干扰。条纹检测算法能够检测出视频中是否存在条纹干扰，对存在条纹干扰的视频进行报警。如下图所示。</w:t>
      </w:r>
    </w:p>
    <w:p>
      <w:pPr>
        <w:pStyle w:val="36"/>
        <w:pageBreakBefore w:val="0"/>
        <w:numPr>
          <w:ilvl w:val="0"/>
          <w:numId w:val="25"/>
        </w:numPr>
        <w:kinsoku/>
        <w:wordWrap/>
        <w:overflowPunct/>
        <w:topLinePunct w:val="0"/>
        <w:bidi w:val="0"/>
        <w:snapToGrid/>
        <w:spacing w:line="400" w:lineRule="exact"/>
        <w:ind w:left="0" w:firstLine="482"/>
        <w:textAlignment w:val="auto"/>
        <w:rPr>
          <w:rFonts w:ascii="Times New Roman" w:hAnsi="Times New Roman" w:eastAsia="宋体"/>
          <w:b/>
          <w:color w:val="auto"/>
          <w:sz w:val="22"/>
          <w:szCs w:val="22"/>
        </w:rPr>
      </w:pPr>
      <w:r>
        <w:rPr>
          <w:rFonts w:hint="eastAsia" w:ascii="Times New Roman" w:hAnsi="Times New Roman" w:eastAsia="宋体"/>
          <w:b/>
          <w:color w:val="auto"/>
          <w:sz w:val="22"/>
          <w:szCs w:val="22"/>
        </w:rPr>
        <w:t>视频丢失判断</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视频丢失判断是指通过分析视频流的内容，判断当前视频流是否是无信号的视频流。目前视频丢失通常有两种标线形式，第一种是视频除了OSD信息外其他区域为纯黑色，如上左边所示。另一种是视频中叠加了“无视频信号”或者其他类似的OSD信息，其他区域含有噪声。如下图所示：</w:t>
      </w:r>
    </w:p>
    <w:p>
      <w:pPr>
        <w:pStyle w:val="36"/>
        <w:pageBreakBefore w:val="0"/>
        <w:numPr>
          <w:ilvl w:val="0"/>
          <w:numId w:val="25"/>
        </w:numPr>
        <w:kinsoku/>
        <w:wordWrap/>
        <w:overflowPunct/>
        <w:topLinePunct w:val="0"/>
        <w:bidi w:val="0"/>
        <w:snapToGrid/>
        <w:spacing w:line="400" w:lineRule="exact"/>
        <w:ind w:left="0" w:firstLine="482"/>
        <w:textAlignment w:val="auto"/>
        <w:rPr>
          <w:rFonts w:ascii="Times New Roman" w:hAnsi="Times New Roman" w:eastAsia="宋体"/>
          <w:b/>
          <w:color w:val="auto"/>
          <w:sz w:val="22"/>
          <w:szCs w:val="22"/>
        </w:rPr>
      </w:pPr>
      <w:r>
        <w:rPr>
          <w:rFonts w:hint="eastAsia" w:ascii="Times New Roman" w:hAnsi="Times New Roman" w:eastAsia="宋体"/>
          <w:b/>
          <w:color w:val="auto"/>
          <w:sz w:val="22"/>
          <w:szCs w:val="22"/>
        </w:rPr>
        <w:t>视频遮挡判断</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在视频监控过程中，由于一些可疑人员为了躲避摄像机的监控，人为的对摄像头进行移动或者遮挡；或者由于意外事件使得监控设备被移动或者遮挡。如果监控工作人员没有发现摄像机被移动或者遮挡，那么就可能给不发分子可乘之机，造成严重的经济损失。</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视频遮挡是指人为或者非人为的方式，用物体对摄像机进行了遮挡，从而使得摄像机无法拍摄到真实场景的画面，影响了摄像机的使用。如下图所示，相机的镜头被人为用手遮挡住，造成了摄像机无法正常拍摄场景中的目标。</w:t>
      </w:r>
    </w:p>
    <w:p>
      <w:pPr>
        <w:pageBreakBefore w:val="0"/>
        <w:kinsoku/>
        <w:wordWrap/>
        <w:overflowPunct/>
        <w:topLinePunct w:val="0"/>
        <w:bidi w:val="0"/>
        <w:snapToGrid/>
        <w:spacing w:line="400" w:lineRule="exact"/>
        <w:ind w:firstLine="480"/>
        <w:jc w:val="center"/>
        <w:textAlignment w:val="auto"/>
        <w:rPr>
          <w:rFonts w:ascii="Times New Roman" w:hAnsi="Times New Roman" w:eastAsia="宋体"/>
          <w:color w:val="auto"/>
          <w:sz w:val="22"/>
          <w:szCs w:val="22"/>
        </w:rPr>
      </w:pPr>
    </w:p>
    <w:p>
      <w:pPr>
        <w:pStyle w:val="36"/>
        <w:pageBreakBefore w:val="0"/>
        <w:numPr>
          <w:ilvl w:val="0"/>
          <w:numId w:val="25"/>
        </w:numPr>
        <w:kinsoku/>
        <w:wordWrap/>
        <w:overflowPunct/>
        <w:topLinePunct w:val="0"/>
        <w:bidi w:val="0"/>
        <w:snapToGrid/>
        <w:spacing w:line="400" w:lineRule="exact"/>
        <w:ind w:left="0" w:firstLine="482"/>
        <w:textAlignment w:val="auto"/>
        <w:rPr>
          <w:rFonts w:ascii="Times New Roman" w:hAnsi="Times New Roman" w:eastAsia="宋体"/>
          <w:b/>
          <w:color w:val="auto"/>
          <w:sz w:val="22"/>
          <w:szCs w:val="22"/>
        </w:rPr>
      </w:pPr>
      <w:r>
        <w:rPr>
          <w:rFonts w:hint="eastAsia" w:ascii="Times New Roman" w:hAnsi="Times New Roman" w:eastAsia="宋体"/>
          <w:b/>
          <w:color w:val="auto"/>
          <w:sz w:val="22"/>
          <w:szCs w:val="22"/>
        </w:rPr>
        <w:t>场景变化判断</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场景变化是指相机被移动，拍摄的画面依然是正常画面，但是和本身之前拍摄的不是同一个场景。场景变化和视频遮挡既有联系又有区别。</w:t>
      </w:r>
    </w:p>
    <w:p>
      <w:pPr>
        <w:pageBreakBefore w:val="0"/>
        <w:kinsoku/>
        <w:wordWrap/>
        <w:overflowPunct/>
        <w:topLinePunct w:val="0"/>
        <w:bidi w:val="0"/>
        <w:snapToGrid/>
        <w:spacing w:line="400" w:lineRule="exact"/>
        <w:ind w:firstLine="480"/>
        <w:jc w:val="center"/>
        <w:textAlignment w:val="auto"/>
        <w:rPr>
          <w:rFonts w:ascii="Times New Roman" w:hAnsi="Times New Roman" w:eastAsia="宋体"/>
          <w:color w:val="auto"/>
          <w:sz w:val="22"/>
          <w:szCs w:val="22"/>
        </w:rPr>
      </w:pPr>
    </w:p>
    <w:p>
      <w:pPr>
        <w:pStyle w:val="36"/>
        <w:pageBreakBefore w:val="0"/>
        <w:numPr>
          <w:ilvl w:val="0"/>
          <w:numId w:val="25"/>
        </w:numPr>
        <w:kinsoku/>
        <w:wordWrap/>
        <w:overflowPunct/>
        <w:topLinePunct w:val="0"/>
        <w:bidi w:val="0"/>
        <w:snapToGrid/>
        <w:spacing w:line="400" w:lineRule="exact"/>
        <w:ind w:left="0" w:firstLine="482"/>
        <w:textAlignment w:val="auto"/>
        <w:rPr>
          <w:rFonts w:ascii="Times New Roman" w:hAnsi="Times New Roman" w:eastAsia="宋体"/>
          <w:b/>
          <w:color w:val="auto"/>
          <w:sz w:val="22"/>
          <w:szCs w:val="22"/>
        </w:rPr>
      </w:pPr>
      <w:r>
        <w:rPr>
          <w:rFonts w:hint="eastAsia" w:ascii="Times New Roman" w:hAnsi="Times New Roman" w:eastAsia="宋体"/>
          <w:b/>
          <w:color w:val="auto"/>
          <w:sz w:val="22"/>
          <w:szCs w:val="22"/>
        </w:rPr>
        <w:t>视频冻结</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视频冻结顾名思义是指画面卡住，这类问题通常是摄像机或者传输故障，造成了监控画面卡住，不能有效的监控到场景中的真实目标，即画面场景没有变化，而仅仅是画面中的时间有变化的情况。类似于播放DVD的时候按住了暂停键，虽然可以源源不断收到前端发送的视频流，但是画面是异常的。</w:t>
      </w:r>
    </w:p>
    <w:p>
      <w:pPr>
        <w:pageBreakBefore w:val="0"/>
        <w:kinsoku/>
        <w:wordWrap/>
        <w:overflowPunct/>
        <w:topLinePunct w:val="0"/>
        <w:bidi w:val="0"/>
        <w:snapToGrid/>
        <w:spacing w:line="400" w:lineRule="exact"/>
        <w:ind w:firstLine="480"/>
        <w:jc w:val="center"/>
        <w:textAlignment w:val="auto"/>
        <w:rPr>
          <w:rFonts w:ascii="Times New Roman" w:hAnsi="Times New Roman" w:eastAsia="宋体"/>
          <w:color w:val="auto"/>
          <w:sz w:val="22"/>
          <w:szCs w:val="22"/>
        </w:rPr>
      </w:pPr>
    </w:p>
    <w:p>
      <w:pPr>
        <w:pStyle w:val="36"/>
        <w:pageBreakBefore w:val="0"/>
        <w:numPr>
          <w:ilvl w:val="0"/>
          <w:numId w:val="25"/>
        </w:numPr>
        <w:kinsoku/>
        <w:wordWrap/>
        <w:overflowPunct/>
        <w:topLinePunct w:val="0"/>
        <w:bidi w:val="0"/>
        <w:snapToGrid/>
        <w:spacing w:line="400" w:lineRule="exact"/>
        <w:ind w:left="0" w:firstLine="482"/>
        <w:textAlignment w:val="auto"/>
        <w:rPr>
          <w:rFonts w:ascii="Times New Roman" w:hAnsi="Times New Roman" w:eastAsia="宋体"/>
          <w:b/>
          <w:color w:val="auto"/>
          <w:sz w:val="22"/>
          <w:szCs w:val="22"/>
        </w:rPr>
      </w:pPr>
      <w:r>
        <w:rPr>
          <w:rFonts w:hint="eastAsia" w:ascii="Times New Roman" w:hAnsi="Times New Roman" w:eastAsia="宋体"/>
          <w:b/>
          <w:color w:val="auto"/>
          <w:sz w:val="22"/>
          <w:szCs w:val="22"/>
        </w:rPr>
        <w:t>视频抖动</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正常情况下，运动图像序列的连续多帧之间过渡是平滑的，画面相关性比较连续，但是如果它们之间的相关性出现大波动，视频就会出现抖动的情况。</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在视频监控中，摄像头一般都是固定在某个位置，因此造成视频画面抖动现象的原因主要有:1)摄像头受到环境的干扰( 比如强风) 发生有规律的摆动从而造成图像的上下或左右抖动;2) 摄像头正在被人移动，造成画面抖动。任何一种情况，都会导致画面出现周期性振颤或不规则扭曲，都意味着摄像头工作出现了异常，系统都需要发生报警，引起工作人员的警戒。</w:t>
      </w:r>
    </w:p>
    <w:p>
      <w:pPr>
        <w:pStyle w:val="36"/>
        <w:pageBreakBefore w:val="0"/>
        <w:numPr>
          <w:ilvl w:val="0"/>
          <w:numId w:val="25"/>
        </w:numPr>
        <w:kinsoku/>
        <w:wordWrap/>
        <w:overflowPunct/>
        <w:topLinePunct w:val="0"/>
        <w:bidi w:val="0"/>
        <w:snapToGrid/>
        <w:spacing w:line="400" w:lineRule="exact"/>
        <w:ind w:left="0" w:firstLine="482"/>
        <w:textAlignment w:val="auto"/>
        <w:rPr>
          <w:rFonts w:ascii="Times New Roman" w:hAnsi="Times New Roman" w:eastAsia="宋体"/>
          <w:b/>
          <w:color w:val="auto"/>
          <w:sz w:val="22"/>
          <w:szCs w:val="22"/>
        </w:rPr>
      </w:pPr>
      <w:r>
        <w:rPr>
          <w:rFonts w:hint="eastAsia" w:ascii="Times New Roman" w:hAnsi="Times New Roman" w:eastAsia="宋体"/>
          <w:b/>
          <w:color w:val="auto"/>
          <w:sz w:val="22"/>
          <w:szCs w:val="22"/>
        </w:rPr>
        <w:t>亮度异常检测</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图像的亮度, 指的是图像像素的强度, 黑色为最暗, 白色为最亮, 黑色用0来表示, 白色用255来表示，表示了图像的明暗程度。一个像素, 基本上是用RGB三个颜色分量来表示的。 R(0-255), G(0-255),B(0-255)。可以看出，每个像素的每个颜色分量都是有相应的亮度，这个亮度与色彩信息无关，因此不能说绿色就比红色亮。视频图像出现一定面积的高亮区域或者过暗区域，且伴随着对比度异常，就可以判定画面亮度异常。</w:t>
      </w:r>
    </w:p>
    <w:p>
      <w:pPr>
        <w:pStyle w:val="36"/>
        <w:pageBreakBefore w:val="0"/>
        <w:numPr>
          <w:ilvl w:val="0"/>
          <w:numId w:val="25"/>
        </w:numPr>
        <w:kinsoku/>
        <w:wordWrap/>
        <w:overflowPunct/>
        <w:topLinePunct w:val="0"/>
        <w:bidi w:val="0"/>
        <w:snapToGrid/>
        <w:spacing w:line="400" w:lineRule="exact"/>
        <w:ind w:left="0" w:firstLine="482"/>
        <w:textAlignment w:val="auto"/>
        <w:rPr>
          <w:rFonts w:ascii="Times New Roman" w:hAnsi="Times New Roman" w:eastAsia="宋体"/>
          <w:b/>
          <w:color w:val="auto"/>
          <w:sz w:val="22"/>
          <w:szCs w:val="22"/>
        </w:rPr>
      </w:pPr>
      <w:r>
        <w:rPr>
          <w:rFonts w:hint="eastAsia" w:ascii="Times New Roman" w:hAnsi="Times New Roman" w:eastAsia="宋体"/>
          <w:b/>
          <w:color w:val="auto"/>
          <w:sz w:val="22"/>
          <w:szCs w:val="22"/>
        </w:rPr>
        <w:t>视频噪声检测</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在摄像时，光学系统的失真或者传输过程中硬件设备原因所带来的图像模糊、雪花点大、图像质量下降都可以看成是由视频噪声所引起的，如下图所示。通常使用的改善图像质量的方法是图像增强技术，主要包括空域法和频率域法。</w:t>
      </w:r>
    </w:p>
    <w:p>
      <w:pPr>
        <w:pageBreakBefore w:val="0"/>
        <w:kinsoku/>
        <w:wordWrap/>
        <w:overflowPunct/>
        <w:topLinePunct w:val="0"/>
        <w:bidi w:val="0"/>
        <w:snapToGrid/>
        <w:spacing w:line="400" w:lineRule="exact"/>
        <w:ind w:firstLine="480"/>
        <w:jc w:val="center"/>
        <w:textAlignment w:val="auto"/>
        <w:rPr>
          <w:rFonts w:ascii="Times New Roman" w:hAnsi="Times New Roman" w:eastAsia="宋体"/>
          <w:color w:val="auto"/>
          <w:sz w:val="22"/>
          <w:szCs w:val="22"/>
        </w:rPr>
      </w:pPr>
    </w:p>
    <w:p>
      <w:pPr>
        <w:pStyle w:val="36"/>
        <w:pageBreakBefore w:val="0"/>
        <w:numPr>
          <w:ilvl w:val="0"/>
          <w:numId w:val="25"/>
        </w:numPr>
        <w:kinsoku/>
        <w:wordWrap/>
        <w:overflowPunct/>
        <w:topLinePunct w:val="0"/>
        <w:bidi w:val="0"/>
        <w:snapToGrid/>
        <w:spacing w:line="400" w:lineRule="exact"/>
        <w:ind w:left="0" w:firstLine="482"/>
        <w:textAlignment w:val="auto"/>
        <w:rPr>
          <w:rFonts w:ascii="Times New Roman" w:hAnsi="Times New Roman" w:eastAsia="宋体"/>
          <w:b/>
          <w:color w:val="auto"/>
          <w:sz w:val="22"/>
          <w:szCs w:val="22"/>
        </w:rPr>
      </w:pPr>
      <w:r>
        <w:rPr>
          <w:rFonts w:hint="eastAsia" w:ascii="Times New Roman" w:hAnsi="Times New Roman" w:eastAsia="宋体"/>
          <w:b/>
          <w:color w:val="auto"/>
          <w:sz w:val="22"/>
          <w:szCs w:val="22"/>
        </w:rPr>
        <w:t>视频偏色检测</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一般的视频图像都是彩色图像，包含有色彩信息，如RGB。当图像中存在偏色时，视频画面的图像呈现偏向单一色调或者混杂其它色调，视频图像的画面与真实物体颜色之间产生误差（即有偏色现象），则判定为视频偏色。如下图：</w:t>
      </w:r>
    </w:p>
    <w:p>
      <w:pPr>
        <w:pageBreakBefore w:val="0"/>
        <w:kinsoku/>
        <w:wordWrap/>
        <w:overflowPunct/>
        <w:topLinePunct w:val="0"/>
        <w:bidi w:val="0"/>
        <w:snapToGrid/>
        <w:spacing w:line="400" w:lineRule="exact"/>
        <w:ind w:firstLine="480"/>
        <w:jc w:val="center"/>
        <w:textAlignment w:val="auto"/>
        <w:rPr>
          <w:rFonts w:ascii="Times New Roman" w:hAnsi="Times New Roman" w:eastAsia="宋体"/>
          <w:color w:val="auto"/>
          <w:sz w:val="22"/>
          <w:szCs w:val="22"/>
        </w:rPr>
      </w:pPr>
    </w:p>
    <w:p>
      <w:pPr>
        <w:pStyle w:val="36"/>
        <w:pageBreakBefore w:val="0"/>
        <w:numPr>
          <w:ilvl w:val="0"/>
          <w:numId w:val="25"/>
        </w:numPr>
        <w:kinsoku/>
        <w:wordWrap/>
        <w:overflowPunct/>
        <w:topLinePunct w:val="0"/>
        <w:bidi w:val="0"/>
        <w:snapToGrid/>
        <w:spacing w:line="400" w:lineRule="exact"/>
        <w:ind w:left="0" w:firstLine="482"/>
        <w:textAlignment w:val="auto"/>
        <w:rPr>
          <w:rFonts w:ascii="Times New Roman" w:hAnsi="Times New Roman" w:eastAsia="宋体"/>
          <w:b/>
          <w:color w:val="auto"/>
          <w:sz w:val="22"/>
          <w:szCs w:val="22"/>
        </w:rPr>
      </w:pPr>
      <w:r>
        <w:rPr>
          <w:rFonts w:hint="eastAsia" w:ascii="Times New Roman" w:hAnsi="Times New Roman" w:eastAsia="宋体"/>
          <w:b/>
          <w:color w:val="auto"/>
          <w:sz w:val="22"/>
          <w:szCs w:val="22"/>
        </w:rPr>
        <w:t>视频清晰度检测</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清晰度好的图像包含了较丰富的细节信息，图像清晰度下降的原因是模糊现象的产生。图像模糊是一种常见的图像降质问题,在图像获取、传输及处理过程中有许多因素会造成图像模糊,如景物与成像系统的相对运动造成的运动模糊、成像系统的聚焦不良造成的离焦模糊、光的衍射、以及压缩之后高频丢失等产生的各类模糊,电子系统高频性能不好也会损失图像的高频分量而使图像不清晰等等。下图分别是同一场景清晰和模糊的图片。</w:t>
      </w:r>
    </w:p>
    <w:p>
      <w:pPr>
        <w:pageBreakBefore w:val="0"/>
        <w:kinsoku/>
        <w:wordWrap/>
        <w:overflowPunct/>
        <w:topLinePunct w:val="0"/>
        <w:bidi w:val="0"/>
        <w:snapToGrid/>
        <w:spacing w:line="400" w:lineRule="exact"/>
        <w:ind w:firstLine="480"/>
        <w:jc w:val="center"/>
        <w:textAlignment w:val="auto"/>
        <w:rPr>
          <w:rFonts w:ascii="Times New Roman" w:hAnsi="Times New Roman" w:eastAsia="宋体"/>
          <w:color w:val="auto"/>
          <w:sz w:val="22"/>
          <w:szCs w:val="22"/>
        </w:rPr>
      </w:pPr>
    </w:p>
    <w:p>
      <w:pPr>
        <w:pStyle w:val="36"/>
        <w:pageBreakBefore w:val="0"/>
        <w:numPr>
          <w:ilvl w:val="0"/>
          <w:numId w:val="25"/>
        </w:numPr>
        <w:kinsoku/>
        <w:wordWrap/>
        <w:overflowPunct/>
        <w:topLinePunct w:val="0"/>
        <w:bidi w:val="0"/>
        <w:snapToGrid/>
        <w:spacing w:line="400" w:lineRule="exact"/>
        <w:ind w:left="0" w:firstLine="482"/>
        <w:textAlignment w:val="auto"/>
        <w:rPr>
          <w:rFonts w:ascii="Times New Roman" w:hAnsi="Times New Roman" w:eastAsia="宋体"/>
          <w:b/>
          <w:color w:val="auto"/>
          <w:sz w:val="22"/>
          <w:szCs w:val="22"/>
        </w:rPr>
      </w:pPr>
      <w:r>
        <w:rPr>
          <w:rFonts w:hint="eastAsia" w:ascii="Times New Roman" w:hAnsi="Times New Roman" w:eastAsia="宋体"/>
          <w:b/>
          <w:color w:val="auto"/>
          <w:sz w:val="22"/>
          <w:szCs w:val="22"/>
        </w:rPr>
        <w:t>低对比度检测</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图像的对比度主要是指图像像素灰度级的变化范围，通过检测画面中亮度分量及对比度的异常来判断画面是否出现了过亮或过暗。屏幕同一点最亮时（白色）与最暗时（黑色）的亮度的比值，比值越大代表对比度越大。这可以从对应的统计直方图中得到。对比度高的图像，直方图在整个灰阶范围（0～255）内大致是均匀分布，而对比度低的图像，分布范围明显过窄，导致图像的细节信息不足。</w:t>
      </w:r>
    </w:p>
    <w:p>
      <w:pPr>
        <w:pStyle w:val="5"/>
        <w:pageBreakBefore w:val="0"/>
        <w:numPr>
          <w:ilvl w:val="3"/>
          <w:numId w:val="0"/>
        </w:numPr>
        <w:kinsoku/>
        <w:wordWrap/>
        <w:overflowPunct/>
        <w:topLinePunct w:val="0"/>
        <w:bidi w:val="0"/>
        <w:snapToGrid/>
        <w:spacing w:before="240" w:after="240" w:line="400" w:lineRule="exact"/>
        <w:ind w:leftChars="0"/>
        <w:jc w:val="left"/>
        <w:textAlignment w:val="auto"/>
        <w:rPr>
          <w:color w:val="auto"/>
          <w:sz w:val="22"/>
          <w:szCs w:val="22"/>
        </w:rPr>
      </w:pPr>
      <w:r>
        <w:rPr>
          <w:rFonts w:hint="eastAsia"/>
          <w:color w:val="auto"/>
          <w:sz w:val="22"/>
          <w:szCs w:val="22"/>
          <w:lang w:val="en-US" w:eastAsia="zh-CN"/>
        </w:rPr>
        <w:t>4.4.2</w:t>
      </w:r>
      <w:r>
        <w:rPr>
          <w:rFonts w:hint="eastAsia"/>
          <w:color w:val="auto"/>
          <w:sz w:val="22"/>
          <w:szCs w:val="22"/>
        </w:rPr>
        <w:t>录像状态检测</w:t>
      </w:r>
    </w:p>
    <w:p>
      <w:pPr>
        <w:pageBreakBefore w:val="0"/>
        <w:kinsoku/>
        <w:wordWrap/>
        <w:overflowPunct/>
        <w:topLinePunct w:val="0"/>
        <w:bidi w:val="0"/>
        <w:snapToGrid/>
        <w:spacing w:line="400" w:lineRule="exact"/>
        <w:ind w:firstLine="480"/>
        <w:textAlignment w:val="auto"/>
        <w:rPr>
          <w:rFonts w:ascii="Times New Roman" w:hAnsi="Times New Roman" w:eastAsia="宋体"/>
          <w:color w:val="auto"/>
          <w:sz w:val="22"/>
          <w:szCs w:val="22"/>
        </w:rPr>
      </w:pPr>
      <w:r>
        <w:rPr>
          <w:rFonts w:hint="eastAsia" w:ascii="Times New Roman" w:hAnsi="Times New Roman" w:eastAsia="宋体"/>
          <w:color w:val="auto"/>
          <w:sz w:val="22"/>
          <w:szCs w:val="22"/>
        </w:rPr>
        <w:t>实现对用户单位部署在前端录像机运行情况进行监控；同时以一天（24小时）作为监控周期，以小时作为最小力度，进行24等分的录像情况进行异常管理。保障用户方对录像丢失情况进行高效规范化。</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宋体"/>
          <w:color w:val="auto"/>
          <w:sz w:val="22"/>
          <w:szCs w:val="22"/>
        </w:rPr>
      </w:pPr>
      <w:r>
        <w:rPr>
          <w:rFonts w:hint="eastAsia" w:ascii="Times New Roman" w:hAnsi="Times New Roman" w:eastAsia="宋体"/>
          <w:color w:val="auto"/>
          <w:sz w:val="22"/>
          <w:szCs w:val="22"/>
        </w:rPr>
        <w:t>平台可以自动同步设备录像记录，方便运维人员查看设备的录像情况。同时可以根据录像记录，智能分析出当天录像情况：正常、存在丢失、无录像。通过录像完整率的检测，及时发现录像保存少于30天的设备，提供预警功能。同时平台能支持多达10亿条录像记录的秒级查询。</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宋体"/>
          <w:b/>
          <w:bCs/>
          <w:color w:val="auto"/>
          <w:sz w:val="22"/>
          <w:szCs w:val="22"/>
          <w:lang w:val="en-US" w:eastAsia="zh-CN"/>
        </w:rPr>
      </w:pPr>
      <w:r>
        <w:rPr>
          <w:rFonts w:hint="eastAsia" w:ascii="Times New Roman" w:hAnsi="Times New Roman" w:eastAsia="宋体"/>
          <w:b/>
          <w:bCs/>
          <w:color w:val="auto"/>
          <w:sz w:val="22"/>
          <w:szCs w:val="22"/>
          <w:lang w:eastAsia="zh-CN"/>
        </w:rPr>
        <w:t>（</w:t>
      </w:r>
      <w:r>
        <w:rPr>
          <w:rFonts w:hint="eastAsia" w:ascii="Times New Roman" w:hAnsi="Times New Roman" w:eastAsia="宋体"/>
          <w:b/>
          <w:bCs/>
          <w:color w:val="auto"/>
          <w:sz w:val="22"/>
          <w:szCs w:val="22"/>
          <w:lang w:val="en-US" w:eastAsia="zh-CN"/>
        </w:rPr>
        <w:t>五</w:t>
      </w:r>
      <w:r>
        <w:rPr>
          <w:rFonts w:hint="eastAsia" w:ascii="Times New Roman" w:hAnsi="Times New Roman" w:eastAsia="宋体"/>
          <w:b/>
          <w:bCs/>
          <w:color w:val="auto"/>
          <w:sz w:val="22"/>
          <w:szCs w:val="22"/>
          <w:lang w:eastAsia="zh-CN"/>
        </w:rPr>
        <w:t>）</w:t>
      </w:r>
      <w:r>
        <w:rPr>
          <w:rFonts w:hint="eastAsia" w:ascii="Times New Roman" w:hAnsi="Times New Roman"/>
          <w:b/>
          <w:bCs/>
          <w:color w:val="auto"/>
          <w:sz w:val="22"/>
          <w:szCs w:val="22"/>
          <w:lang w:val="en-US" w:eastAsia="zh-CN"/>
        </w:rPr>
        <w:t>其他</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446" w:firstLineChars="200"/>
        <w:textAlignment w:val="auto"/>
        <w:rPr>
          <w:rFonts w:hint="eastAsia" w:ascii="Times New Roman" w:hAnsi="Times New Roman" w:eastAsia="宋体"/>
          <w:color w:val="auto"/>
          <w:sz w:val="22"/>
          <w:szCs w:val="22"/>
        </w:rPr>
      </w:pPr>
      <w:r>
        <w:rPr>
          <w:rFonts w:hint="eastAsia" w:ascii="Times New Roman" w:hAnsi="Times New Roman" w:eastAsia="宋体"/>
          <w:color w:val="auto"/>
          <w:sz w:val="22"/>
          <w:szCs w:val="22"/>
          <w:lang w:val="en-US" w:eastAsia="zh-CN"/>
        </w:rPr>
        <w:t>1.</w:t>
      </w:r>
      <w:r>
        <w:rPr>
          <w:rFonts w:hint="eastAsia" w:ascii="Times New Roman" w:hAnsi="Times New Roman" w:eastAsia="宋体"/>
          <w:color w:val="auto"/>
          <w:sz w:val="22"/>
          <w:szCs w:val="22"/>
        </w:rPr>
        <w:t>在确认安装点位时应以照片或图像等形式固定点位，同时按照《安全防范视频监控联网系统信息传输、交换、控制技术要求》 (GB T 28181-2011)及补充文件要求完成点位的编码工作、按照温州市公安局警用地理信息系统数据库视频监控图层数据的要求提供点位精确的经、纬度、通道编号等数据。</w:t>
      </w:r>
      <w:r>
        <w:rPr>
          <w:rFonts w:hint="eastAsia" w:ascii="Times New Roman" w:hAnsi="Times New Roman" w:eastAsia="宋体"/>
          <w:color w:val="auto"/>
          <w:sz w:val="22"/>
          <w:szCs w:val="22"/>
        </w:rPr>
        <w:br w:type="textWrapping"/>
      </w:r>
      <w:r>
        <w:rPr>
          <w:rFonts w:hint="eastAsia" w:ascii="Times New Roman" w:hAnsi="Times New Roman"/>
          <w:color w:val="auto"/>
          <w:sz w:val="22"/>
          <w:szCs w:val="22"/>
          <w:lang w:val="en-US" w:eastAsia="zh-CN"/>
        </w:rPr>
        <w:t xml:space="preserve">  </w:t>
      </w:r>
      <w:r>
        <w:rPr>
          <w:rFonts w:hint="eastAsia" w:ascii="Times New Roman" w:hAnsi="Times New Roman" w:eastAsia="宋体"/>
          <w:color w:val="auto"/>
          <w:sz w:val="22"/>
          <w:szCs w:val="22"/>
          <w:lang w:val="en-US" w:eastAsia="zh-CN"/>
        </w:rPr>
        <w:t>2.</w:t>
      </w:r>
      <w:bookmarkStart w:id="109" w:name="_Toc509853607"/>
      <w:bookmarkStart w:id="110" w:name="_Toc487456632"/>
      <w:bookmarkStart w:id="111" w:name="_Toc485632692"/>
      <w:bookmarkStart w:id="112" w:name="_Toc7336616"/>
      <w:bookmarkStart w:id="113" w:name="_Toc509854918"/>
      <w:bookmarkStart w:id="114" w:name="_Toc523324774"/>
      <w:bookmarkStart w:id="115" w:name="_Toc36038269"/>
      <w:bookmarkStart w:id="116" w:name="_Toc523324957"/>
      <w:bookmarkStart w:id="117" w:name="_Toc509860767"/>
      <w:bookmarkStart w:id="118" w:name="_Toc375805834"/>
      <w:bookmarkStart w:id="119" w:name="_Toc523325907"/>
      <w:bookmarkStart w:id="120" w:name="_Toc523297324"/>
      <w:bookmarkStart w:id="121" w:name="_Toc531622724"/>
      <w:r>
        <w:rPr>
          <w:rFonts w:hint="eastAsia" w:ascii="Times New Roman" w:hAnsi="Times New Roman" w:eastAsia="宋体"/>
          <w:color w:val="auto"/>
          <w:sz w:val="22"/>
          <w:szCs w:val="22"/>
        </w:rPr>
        <w:t>设备维护的“五防”</w:t>
      </w:r>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446" w:firstLineChars="200"/>
        <w:textAlignment w:val="auto"/>
        <w:rPr>
          <w:rFonts w:hint="default" w:ascii="Times New Roman" w:hAnsi="Times New Roman" w:eastAsia="宋体"/>
          <w:color w:val="auto"/>
          <w:sz w:val="22"/>
          <w:szCs w:val="22"/>
          <w:lang w:val="en-US" w:eastAsia="zh-CN"/>
        </w:rPr>
      </w:pPr>
      <w:r>
        <w:rPr>
          <w:rFonts w:hint="eastAsia" w:ascii="Times New Roman" w:hAnsi="Times New Roman" w:eastAsia="宋体"/>
          <w:color w:val="auto"/>
          <w:sz w:val="22"/>
          <w:szCs w:val="22"/>
        </w:rPr>
        <w:t>在对整个系统设备进行维护过程中，对一些情况加以防范，尽可能使设备的运行正常，主要需做好防潮、防尘、防腐、防雷、防干扰的工作。</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宋体"/>
          <w:color w:val="auto"/>
          <w:sz w:val="22"/>
          <w:szCs w:val="22"/>
          <w:lang w:eastAsia="zh-CN"/>
        </w:rPr>
      </w:pPr>
    </w:p>
    <w:p>
      <w:pPr>
        <w:pStyle w:val="6"/>
        <w:keepNext w:val="0"/>
        <w:keepLines w:val="0"/>
        <w:pageBreakBefore w:val="0"/>
        <w:widowControl w:val="0"/>
        <w:numPr>
          <w:ilvl w:val="0"/>
          <w:numId w:val="26"/>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宋体"/>
          <w:b/>
          <w:bCs/>
          <w:color w:val="auto"/>
          <w:sz w:val="22"/>
          <w:szCs w:val="22"/>
          <w:lang w:val="en-US" w:eastAsia="zh-CN"/>
        </w:rPr>
      </w:pPr>
      <w:r>
        <w:rPr>
          <w:rFonts w:hint="eastAsia" w:ascii="Times New Roman" w:hAnsi="Times New Roman" w:eastAsia="宋体"/>
          <w:b/>
          <w:bCs/>
          <w:color w:val="auto"/>
          <w:sz w:val="22"/>
          <w:szCs w:val="22"/>
          <w:lang w:val="en-US" w:eastAsia="zh-CN"/>
        </w:rPr>
        <w:t>服务内容清单</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b/>
          <w:bCs/>
          <w:color w:val="auto"/>
          <w:sz w:val="22"/>
          <w:szCs w:val="22"/>
          <w:lang w:val="en-US" w:eastAsia="zh-CN"/>
        </w:rPr>
      </w:pPr>
      <w:r>
        <w:rPr>
          <w:rFonts w:hint="eastAsia" w:ascii="宋体" w:hAnsi="宋体"/>
          <w:b/>
          <w:bCs/>
          <w:color w:val="auto"/>
          <w:sz w:val="22"/>
          <w:szCs w:val="22"/>
          <w:lang w:val="en-US" w:eastAsia="zh-CN"/>
        </w:rPr>
        <w:t>以下为本项目为基本配置，供应商可结合实际需求在此基础上提供更优的建设方案。</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Times New Roman" w:hAnsi="Times New Roman" w:eastAsia="宋体"/>
          <w:b/>
          <w:bCs/>
          <w:color w:val="auto"/>
          <w:sz w:val="22"/>
          <w:szCs w:val="22"/>
          <w:lang w:val="en-US" w:eastAsia="zh-CN"/>
        </w:rPr>
      </w:pPr>
    </w:p>
    <w:tbl>
      <w:tblPr>
        <w:tblStyle w:val="21"/>
        <w:tblW w:w="10510" w:type="dxa"/>
        <w:tblInd w:w="-314" w:type="dxa"/>
        <w:shd w:val="clear" w:color="auto" w:fill="auto"/>
        <w:tblLayout w:type="fixed"/>
        <w:tblCellMar>
          <w:top w:w="0" w:type="dxa"/>
          <w:left w:w="0" w:type="dxa"/>
          <w:bottom w:w="0" w:type="dxa"/>
          <w:right w:w="0" w:type="dxa"/>
        </w:tblCellMar>
      </w:tblPr>
      <w:tblGrid>
        <w:gridCol w:w="660"/>
        <w:gridCol w:w="1090"/>
        <w:gridCol w:w="6570"/>
        <w:gridCol w:w="690"/>
        <w:gridCol w:w="750"/>
        <w:gridCol w:w="750"/>
      </w:tblGrid>
      <w:tr>
        <w:tblPrEx>
          <w:tblCellMar>
            <w:top w:w="0" w:type="dxa"/>
            <w:left w:w="0" w:type="dxa"/>
            <w:bottom w:w="0" w:type="dxa"/>
            <w:right w:w="0" w:type="dxa"/>
          </w:tblCellMar>
        </w:tblPrEx>
        <w:trPr>
          <w:trHeight w:val="51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ajorEastAsia" w:hAnsiTheme="majorEastAsia" w:eastAsiaTheme="majorEastAsia" w:cstheme="majorEastAsia"/>
                <w:i w:val="0"/>
                <w:color w:val="auto"/>
                <w:sz w:val="22"/>
                <w:szCs w:val="22"/>
                <w:highlight w:val="none"/>
                <w:u w:val="none"/>
                <w:lang w:val="en-US" w:eastAsia="zh-CN"/>
              </w:rPr>
            </w:pPr>
            <w:r>
              <w:rPr>
                <w:rFonts w:hint="eastAsia" w:asciiTheme="majorEastAsia" w:hAnsiTheme="majorEastAsia" w:eastAsiaTheme="majorEastAsia" w:cstheme="majorEastAsia"/>
                <w:i w:val="0"/>
                <w:color w:val="auto"/>
                <w:sz w:val="22"/>
                <w:szCs w:val="22"/>
                <w:highlight w:val="none"/>
                <w:u w:val="none"/>
                <w:lang w:val="en-US" w:eastAsia="zh-CN"/>
              </w:rPr>
              <w:t>序号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名称</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sz w:val="22"/>
                <w:szCs w:val="22"/>
                <w:highlight w:val="none"/>
                <w:u w:val="none"/>
                <w:lang w:val="en-US"/>
              </w:rPr>
            </w:pPr>
            <w:r>
              <w:rPr>
                <w:rFonts w:hint="eastAsia" w:asciiTheme="majorEastAsia" w:hAnsiTheme="majorEastAsia" w:eastAsiaTheme="majorEastAsia" w:cstheme="majorEastAsia"/>
                <w:i w:val="0"/>
                <w:color w:val="auto"/>
                <w:kern w:val="0"/>
                <w:sz w:val="22"/>
                <w:szCs w:val="22"/>
                <w:highlight w:val="none"/>
                <w:u w:val="none"/>
                <w:lang w:val="en-US" w:eastAsia="zh-CN" w:bidi="ar"/>
              </w:rPr>
              <w:t>技术参数及要求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312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auto"/>
                <w:sz w:val="22"/>
                <w:szCs w:val="22"/>
                <w:highlight w:val="none"/>
                <w:u w:val="none"/>
                <w:lang w:val="en-US" w:eastAsia="zh-CN"/>
              </w:rPr>
            </w:pPr>
            <w:r>
              <w:rPr>
                <w:rFonts w:hint="eastAsia" w:asciiTheme="majorEastAsia" w:hAnsiTheme="majorEastAsia" w:eastAsiaTheme="majorEastAsia" w:cstheme="majorEastAsia"/>
                <w:i w:val="0"/>
                <w:color w:val="auto"/>
                <w:sz w:val="22"/>
                <w:szCs w:val="22"/>
                <w:u w:val="none"/>
                <w:lang w:val="en-US" w:eastAsia="zh-CN"/>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星光级球机</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1. 40倍光学变倍，16倍数字变倍，不低于400万像素星光网络球机</w:t>
            </w:r>
          </w:p>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2. 摄像机靶面尺寸 为1/1.8英寸，内置GPU芯片，具有1个RJ45接口、1个音频 输入接口、1个音频输出接口、1个模拟视频输出接口、7个 报警输入接口、2个报警输出接口、1个RS485接口和1个 SD卡插槽。</w:t>
            </w:r>
          </w:p>
          <w:p>
            <w:pPr>
              <w:keepNext w:val="0"/>
              <w:keepLines w:val="0"/>
              <w:widowControl/>
              <w:numPr>
                <w:ilvl w:val="0"/>
                <w:numId w:val="0"/>
              </w:numPr>
              <w:suppressLineNumbers w:val="0"/>
              <w:jc w:val="left"/>
              <w:textAlignment w:val="center"/>
              <w:rPr>
                <w:rFonts w:hint="default"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3.支持快速聚焦功能，分辨率不低于1920*1080。</w:t>
            </w:r>
          </w:p>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4. 支持最低照度彩色：0.0002lx，黑白0.0001lx，支持灰度等级≥11级，动态范围不小于106dB，支持信噪比≥67</w:t>
            </w:r>
          </w:p>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5. 支持在监视画面上设置48个不规则四边形区域，支持6个场景，每个场景最多8个区域，每个区域颜色、大 小、位置可调; 支持添加300个智能预置点，可对每个预置点进行场景巡航；单个预置点场景下，可添加最多16个规则。</w:t>
            </w:r>
          </w:p>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6. 支持自动巡航功能设备可以按照所设置的预置位完成2048条巡航路径，每条巡航路径可以添加128个预置点；在IE浏览器下，具有一键巡航控制按钮，支持一键巡航功能</w:t>
            </w:r>
          </w:p>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color w:val="auto"/>
                <w:kern w:val="0"/>
                <w:sz w:val="22"/>
                <w:szCs w:val="22"/>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7. 支持水平手控最大速度应不小于600° /s，最小速度不大于0.01°/s,云台定位准确度≤0.0.1°</w:t>
            </w:r>
          </w:p>
          <w:p>
            <w:pPr>
              <w:keepNext w:val="0"/>
              <w:keepLines w:val="0"/>
              <w:widowControl/>
              <w:numPr>
                <w:ilvl w:val="0"/>
                <w:numId w:val="0"/>
              </w:numPr>
              <w:suppressLineNumbers w:val="0"/>
              <w:jc w:val="left"/>
              <w:textAlignment w:val="center"/>
              <w:rPr>
                <w:rFonts w:hint="default"/>
                <w:color w:val="auto"/>
                <w:lang w:val="en-US" w:eastAsia="zh-CN"/>
              </w:rPr>
            </w:pPr>
            <w:r>
              <w:rPr>
                <w:rFonts w:hint="eastAsia" w:asciiTheme="majorEastAsia" w:hAnsiTheme="majorEastAsia" w:eastAsiaTheme="majorEastAsia" w:cstheme="majorEastAsia"/>
                <w:i w:val="0"/>
                <w:color w:val="auto"/>
                <w:kern w:val="0"/>
                <w:sz w:val="22"/>
                <w:szCs w:val="22"/>
                <w:u w:val="none"/>
                <w:lang w:val="en-US" w:eastAsia="zh-CN" w:bidi="ar"/>
              </w:rPr>
              <w:t>8.支持机动车、非机动车、行人检测功能，可对监控画面中的机动车、非机动车、行人同时进行检测及抓图。能同时支持对照片中的不少于40个目标进行检测。支持车辆捕获功能，白天和晚上捕获率不小于95%；行人图像捕获率：白天与夜间均不少于95%；非机动车捕获率：白天与夜间均不少于95%。</w:t>
            </w:r>
          </w:p>
          <w:p>
            <w:pPr>
              <w:keepNext w:val="0"/>
              <w:keepLines w:val="0"/>
              <w:widowControl/>
              <w:numPr>
                <w:ilvl w:val="0"/>
                <w:numId w:val="0"/>
              </w:numPr>
              <w:suppressLineNumbers w:val="0"/>
              <w:ind w:left="0" w:leftChars="0" w:firstLine="0" w:firstLineChars="0"/>
              <w:jc w:val="left"/>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9. 支持温度范围-50±3℃~80±2℃，设备外观、结构及手动控制功能正常，支持IP67外壳防护等级，IVS15KV，防浪涌，泄漏电流≤0.2mA</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u w:val="none"/>
                <w:lang w:val="en-US" w:eastAsia="zh-CN" w:bidi="ar"/>
              </w:rPr>
              <w:t>117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shd w:val="clear" w:color="auto" w:fill="auto"/>
          <w:tblCellMar>
            <w:top w:w="0" w:type="dxa"/>
            <w:left w:w="0" w:type="dxa"/>
            <w:bottom w:w="0" w:type="dxa"/>
            <w:right w:w="0" w:type="dxa"/>
          </w:tblCellMar>
        </w:tblPrEx>
        <w:trPr>
          <w:trHeight w:val="1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u w:val="none"/>
                <w:lang w:val="en-US" w:eastAsia="zh-CN"/>
              </w:rPr>
              <w:t>2</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立杆</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6米圆形监控杆，立杆￠165厚度4-6mm挑1米，挑杆￠76厚度2-3mm，顶端设置避雷针，地笼6-M24螺栓、长度1000㎜，地笼基础深度为1200㎜。（监控杆形状及规格在中标后看点时根据点位安装可做调整，但费用不再做调整）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sz w:val="22"/>
                <w:szCs w:val="22"/>
                <w:highlight w:val="none"/>
                <w:u w:val="none"/>
                <w:lang w:val="en-US"/>
              </w:rPr>
            </w:pPr>
            <w:r>
              <w:rPr>
                <w:rFonts w:hint="eastAsia" w:asciiTheme="majorEastAsia" w:hAnsiTheme="majorEastAsia" w:eastAsiaTheme="majorEastAsia" w:cstheme="majorEastAsia"/>
                <w:i w:val="0"/>
                <w:color w:val="auto"/>
                <w:kern w:val="0"/>
                <w:sz w:val="22"/>
                <w:szCs w:val="22"/>
                <w:highlight w:val="none"/>
                <w:u w:val="none"/>
                <w:lang w:val="en-US" w:eastAsia="zh-CN" w:bidi="ar"/>
              </w:rPr>
              <w:t>117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3</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设备箱</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500×400×260（mm)含网络设备及TND1(SVC)-1稳压电源</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sz w:val="22"/>
                <w:szCs w:val="22"/>
                <w:highlight w:val="none"/>
                <w:u w:val="none"/>
                <w:lang w:val="en-US"/>
              </w:rPr>
            </w:pPr>
            <w:r>
              <w:rPr>
                <w:rFonts w:hint="eastAsia" w:asciiTheme="majorEastAsia" w:hAnsiTheme="majorEastAsia" w:eastAsiaTheme="majorEastAsia" w:cstheme="majorEastAsia"/>
                <w:i w:val="0"/>
                <w:color w:val="auto"/>
                <w:kern w:val="0"/>
                <w:sz w:val="22"/>
                <w:szCs w:val="22"/>
                <w:highlight w:val="none"/>
                <w:u w:val="none"/>
                <w:lang w:val="en-US" w:eastAsia="zh-CN" w:bidi="ar"/>
              </w:rPr>
              <w:t>117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shd w:val="clear" w:color="auto" w:fill="auto"/>
          <w:tblCellMar>
            <w:top w:w="0" w:type="dxa"/>
            <w:left w:w="0" w:type="dxa"/>
            <w:bottom w:w="0" w:type="dxa"/>
            <w:right w:w="0" w:type="dxa"/>
          </w:tblCellMar>
        </w:tblPrEx>
        <w:trPr>
          <w:trHeight w:val="9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4</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防雷设备</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二合一及网络监控摄像电涌保护器，防止雷击等原因引起的瞬态过电压及暂态过电压对摄像机和相关监控设备的危害，具有残压低，插入损耗小、安装方便、防护能力强、响应速度快，免维护等特点。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sz w:val="22"/>
                <w:szCs w:val="22"/>
                <w:highlight w:val="none"/>
                <w:u w:val="none"/>
                <w:lang w:val="en-US"/>
              </w:rPr>
            </w:pPr>
            <w:r>
              <w:rPr>
                <w:rFonts w:hint="eastAsia" w:asciiTheme="majorEastAsia" w:hAnsiTheme="majorEastAsia" w:eastAsiaTheme="majorEastAsia" w:cstheme="majorEastAsia"/>
                <w:i w:val="0"/>
                <w:color w:val="auto"/>
                <w:kern w:val="0"/>
                <w:sz w:val="22"/>
                <w:szCs w:val="22"/>
                <w:highlight w:val="none"/>
                <w:u w:val="none"/>
                <w:lang w:val="en-US" w:eastAsia="zh-CN" w:bidi="ar"/>
              </w:rPr>
              <w:t>117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tblCellMar>
            <w:top w:w="0" w:type="dxa"/>
            <w:left w:w="0" w:type="dxa"/>
            <w:bottom w:w="0" w:type="dxa"/>
            <w:right w:w="0" w:type="dxa"/>
          </w:tblCellMar>
        </w:tblPrEx>
        <w:trPr>
          <w:trHeight w:val="21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5</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视频管理平台服务器（含软件）</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numPr>
                <w:ilvl w:val="0"/>
                <w:numId w:val="0"/>
              </w:numPr>
              <w:rPr>
                <w:rFonts w:hint="eastAsia" w:asciiTheme="majorEastAsia" w:hAnsiTheme="majorEastAsia" w:eastAsiaTheme="majorEastAsia" w:cstheme="majorEastAsia"/>
                <w:b/>
                <w:bCs/>
                <w:color w:val="auto"/>
                <w:kern w:val="0"/>
                <w:sz w:val="22"/>
                <w:szCs w:val="22"/>
                <w:lang w:val="en-US" w:eastAsia="zh-CN" w:bidi="ar"/>
              </w:rPr>
            </w:pPr>
            <w:r>
              <w:rPr>
                <w:rFonts w:hint="eastAsia" w:asciiTheme="majorEastAsia" w:hAnsiTheme="majorEastAsia" w:eastAsiaTheme="majorEastAsia" w:cstheme="majorEastAsia"/>
                <w:b/>
                <w:bCs/>
                <w:color w:val="auto"/>
                <w:kern w:val="0"/>
                <w:sz w:val="22"/>
                <w:szCs w:val="22"/>
                <w:lang w:bidi="ar"/>
              </w:rPr>
              <w:t>视频管理平台服务器</w:t>
            </w:r>
            <w:r>
              <w:rPr>
                <w:rFonts w:hint="eastAsia" w:asciiTheme="majorEastAsia" w:hAnsiTheme="majorEastAsia" w:eastAsiaTheme="majorEastAsia" w:cstheme="majorEastAsia"/>
                <w:b/>
                <w:bCs/>
                <w:color w:val="auto"/>
                <w:kern w:val="0"/>
                <w:sz w:val="22"/>
                <w:szCs w:val="22"/>
                <w:lang w:val="en-US" w:eastAsia="zh-CN" w:bidi="ar"/>
              </w:rPr>
              <w:t>：</w:t>
            </w:r>
          </w:p>
          <w:p>
            <w:pPr>
              <w:numPr>
                <w:ilvl w:val="0"/>
                <w:numId w:val="0"/>
              </w:numPr>
              <w:rPr>
                <w:rFonts w:hint="eastAsia" w:asciiTheme="majorEastAsia" w:hAnsiTheme="majorEastAsia" w:eastAsiaTheme="majorEastAsia" w:cstheme="majorEastAsia"/>
                <w:color w:val="auto"/>
                <w:kern w:val="0"/>
                <w:sz w:val="22"/>
                <w:szCs w:val="22"/>
                <w:lang w:bidi="ar"/>
              </w:rPr>
            </w:pPr>
            <w:r>
              <w:rPr>
                <w:rFonts w:hint="eastAsia" w:asciiTheme="majorEastAsia" w:hAnsiTheme="majorEastAsia" w:eastAsiaTheme="majorEastAsia" w:cstheme="majorEastAsia"/>
                <w:color w:val="auto"/>
                <w:kern w:val="0"/>
                <w:sz w:val="22"/>
                <w:szCs w:val="22"/>
                <w:lang w:val="en-US" w:eastAsia="zh-CN" w:bidi="ar"/>
              </w:rPr>
              <w:t>1、</w:t>
            </w:r>
            <w:r>
              <w:rPr>
                <w:rFonts w:hint="eastAsia" w:asciiTheme="majorEastAsia" w:hAnsiTheme="majorEastAsia" w:eastAsiaTheme="majorEastAsia" w:cstheme="majorEastAsia"/>
                <w:color w:val="auto"/>
                <w:kern w:val="0"/>
                <w:sz w:val="22"/>
                <w:szCs w:val="22"/>
                <w:lang w:bidi="ar"/>
              </w:rPr>
              <w:t>处理器Intel Xeon E3-12 V5 CPU，支持1个DB-15 VGA接口</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bidi="ar"/>
              </w:rPr>
              <w:t>2、具备2* PCIEx8，DDR4内存条-8GB-VLP-ECC-UDIMM*2</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bidi="ar"/>
              </w:rPr>
              <w:t>3、具备硬盘-ST1000NM0055-1T-128M缓存-3.5英寸-SATA3.0接口，前置4盘位, 可支持4个3.5英寸SATA硬盘，配置SAS HBA卡时，可支持SAS硬盘 内置主板支持2个M.2 SATA接口</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bidi="ar"/>
              </w:rPr>
              <w:t>4、配置6个超高速智能调节静音风扇550W CRPS冗余均流电源</w:t>
            </w:r>
          </w:p>
          <w:p>
            <w:pPr>
              <w:numPr>
                <w:ilvl w:val="0"/>
                <w:numId w:val="0"/>
              </w:numPr>
              <w:rPr>
                <w:rFonts w:hint="eastAsia" w:asciiTheme="majorEastAsia" w:hAnsiTheme="majorEastAsia" w:eastAsiaTheme="majorEastAsia" w:cstheme="majorEastAsia"/>
                <w:color w:val="auto"/>
                <w:kern w:val="0"/>
                <w:sz w:val="22"/>
                <w:szCs w:val="22"/>
                <w:lang w:eastAsia="zh-CN" w:bidi="ar"/>
              </w:rPr>
            </w:pPr>
            <w:r>
              <w:rPr>
                <w:rFonts w:hint="eastAsia" w:asciiTheme="majorEastAsia" w:hAnsiTheme="majorEastAsia" w:eastAsiaTheme="majorEastAsia" w:cstheme="majorEastAsia"/>
                <w:b/>
                <w:bCs/>
                <w:color w:val="auto"/>
                <w:kern w:val="0"/>
                <w:sz w:val="22"/>
                <w:szCs w:val="22"/>
                <w:lang w:bidi="ar"/>
              </w:rPr>
              <w:t>视频管理平台含软件</w:t>
            </w:r>
            <w:r>
              <w:rPr>
                <w:rFonts w:hint="eastAsia" w:asciiTheme="majorEastAsia" w:hAnsiTheme="majorEastAsia" w:eastAsiaTheme="majorEastAsia" w:cstheme="majorEastAsia"/>
                <w:color w:val="auto"/>
                <w:kern w:val="0"/>
                <w:sz w:val="22"/>
                <w:szCs w:val="22"/>
                <w:lang w:eastAsia="zh-CN" w:bidi="ar"/>
              </w:rPr>
              <w:t>：</w:t>
            </w:r>
          </w:p>
          <w:p>
            <w:pPr>
              <w:widowControl/>
              <w:spacing w:line="360" w:lineRule="exact"/>
              <w:jc w:val="left"/>
              <w:textAlignment w:val="center"/>
              <w:rPr>
                <w:rFonts w:asciiTheme="majorEastAsia" w:hAnsiTheme="majorEastAsia" w:eastAsiaTheme="majorEastAsia" w:cstheme="majorEastAsia"/>
                <w:color w:val="auto"/>
                <w:kern w:val="0"/>
                <w:sz w:val="22"/>
                <w:szCs w:val="22"/>
                <w:lang w:bidi="ar"/>
              </w:rPr>
            </w:pPr>
            <w:r>
              <w:rPr>
                <w:rFonts w:hint="eastAsia" w:asciiTheme="majorEastAsia" w:hAnsiTheme="majorEastAsia" w:eastAsiaTheme="majorEastAsia" w:cstheme="majorEastAsia"/>
                <w:color w:val="auto"/>
                <w:kern w:val="0"/>
                <w:sz w:val="22"/>
                <w:szCs w:val="22"/>
                <w:lang w:bidi="ar"/>
              </w:rPr>
              <w:t>1、支持10000用户的管理容量, 支持200用户并发登录； 支持3000个通道接入能力；</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bidi="ar"/>
              </w:rPr>
              <w:t>2、支持对用户、角色、组织、区域、人员、设备等基础资源进行管理调配</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val="en-US" w:eastAsia="zh-CN" w:bidi="ar"/>
              </w:rPr>
              <w:t>3</w:t>
            </w:r>
            <w:r>
              <w:rPr>
                <w:rFonts w:hint="eastAsia" w:asciiTheme="majorEastAsia" w:hAnsiTheme="majorEastAsia" w:eastAsiaTheme="majorEastAsia" w:cstheme="majorEastAsia"/>
                <w:color w:val="auto"/>
                <w:kern w:val="0"/>
                <w:sz w:val="22"/>
                <w:szCs w:val="22"/>
                <w:lang w:bidi="ar"/>
              </w:rPr>
              <w:t xml:space="preserve">、支持1到64多分屏画面显示，且支持视频画面自定义布局； </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val="en-US" w:eastAsia="zh-CN" w:bidi="ar"/>
              </w:rPr>
              <w:t>4</w:t>
            </w:r>
            <w:r>
              <w:rPr>
                <w:rFonts w:hint="eastAsia" w:asciiTheme="majorEastAsia" w:hAnsiTheme="majorEastAsia" w:eastAsiaTheme="majorEastAsia" w:cstheme="majorEastAsia"/>
                <w:color w:val="auto"/>
                <w:kern w:val="0"/>
                <w:sz w:val="22"/>
                <w:szCs w:val="22"/>
                <w:lang w:bidi="ar"/>
              </w:rPr>
              <w:t>、支持CS客户端视频预览，支持多浏览器实时预览；</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val="en-US" w:eastAsia="zh-CN" w:bidi="ar"/>
              </w:rPr>
              <w:t>5</w:t>
            </w:r>
            <w:r>
              <w:rPr>
                <w:rFonts w:hint="eastAsia" w:asciiTheme="majorEastAsia" w:hAnsiTheme="majorEastAsia" w:eastAsiaTheme="majorEastAsia" w:cstheme="majorEastAsia"/>
                <w:color w:val="auto"/>
                <w:kern w:val="0"/>
                <w:sz w:val="22"/>
                <w:szCs w:val="22"/>
                <w:lang w:bidi="ar"/>
              </w:rPr>
              <w:t>、支持以浮动窗方式，实时展示CPU、网络和报警状态以及报警数目</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val="en-US" w:eastAsia="zh-CN" w:bidi="ar"/>
              </w:rPr>
              <w:t>6</w:t>
            </w:r>
            <w:r>
              <w:rPr>
                <w:rFonts w:hint="eastAsia" w:asciiTheme="majorEastAsia" w:hAnsiTheme="majorEastAsia" w:eastAsiaTheme="majorEastAsia" w:cstheme="majorEastAsia"/>
                <w:color w:val="auto"/>
                <w:kern w:val="0"/>
                <w:sz w:val="22"/>
                <w:szCs w:val="22"/>
                <w:lang w:bidi="ar"/>
              </w:rPr>
              <w:t>、支持网络磁盘在线扩容，不关机情况下完成扩容，支持分布式在线扩展，支持多平台上下级联</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val="en-US" w:eastAsia="zh-CN" w:bidi="ar"/>
              </w:rPr>
              <w:t>7</w:t>
            </w:r>
            <w:r>
              <w:rPr>
                <w:rFonts w:hint="eastAsia" w:asciiTheme="majorEastAsia" w:hAnsiTheme="majorEastAsia" w:eastAsiaTheme="majorEastAsia" w:cstheme="majorEastAsia"/>
                <w:color w:val="auto"/>
                <w:kern w:val="0"/>
                <w:sz w:val="22"/>
                <w:szCs w:val="22"/>
                <w:lang w:bidi="ar"/>
              </w:rPr>
              <w:t>、支持单机完成视频存储</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val="en-US" w:eastAsia="zh-CN" w:bidi="ar"/>
              </w:rPr>
              <w:t>8</w:t>
            </w:r>
            <w:r>
              <w:rPr>
                <w:rFonts w:hint="eastAsia" w:asciiTheme="majorEastAsia" w:hAnsiTheme="majorEastAsia" w:eastAsiaTheme="majorEastAsia" w:cstheme="majorEastAsia"/>
                <w:color w:val="auto"/>
                <w:kern w:val="0"/>
                <w:sz w:val="22"/>
                <w:szCs w:val="22"/>
                <w:lang w:bidi="ar"/>
              </w:rPr>
              <w:t>、支持对当前预览的窗格和监控点画面进行视图保存，用于后续预览该视图；</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val="en-US" w:eastAsia="zh-CN" w:bidi="ar"/>
              </w:rPr>
              <w:t>9</w:t>
            </w:r>
            <w:r>
              <w:rPr>
                <w:rFonts w:hint="eastAsia" w:asciiTheme="majorEastAsia" w:hAnsiTheme="majorEastAsia" w:eastAsiaTheme="majorEastAsia" w:cstheme="majorEastAsia"/>
                <w:color w:val="auto"/>
                <w:kern w:val="0"/>
                <w:sz w:val="22"/>
                <w:szCs w:val="22"/>
                <w:lang w:bidi="ar"/>
              </w:rPr>
              <w:t>、支持客户端自动在1/4/6/7/9/16/24画面分隔模式间进行监控点轮巡预览，轮巡时间可设置，支持全屏显示；</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bidi="ar"/>
              </w:rPr>
              <w:t>1</w:t>
            </w:r>
            <w:r>
              <w:rPr>
                <w:rFonts w:hint="eastAsia" w:asciiTheme="majorEastAsia" w:hAnsiTheme="majorEastAsia" w:eastAsiaTheme="majorEastAsia" w:cstheme="majorEastAsia"/>
                <w:color w:val="auto"/>
                <w:kern w:val="0"/>
                <w:sz w:val="22"/>
                <w:szCs w:val="22"/>
                <w:lang w:val="en-US" w:eastAsia="zh-CN" w:bidi="ar"/>
              </w:rPr>
              <w:t>0</w:t>
            </w:r>
            <w:r>
              <w:rPr>
                <w:rFonts w:hint="eastAsia" w:asciiTheme="majorEastAsia" w:hAnsiTheme="majorEastAsia" w:eastAsiaTheme="majorEastAsia" w:cstheme="majorEastAsia"/>
                <w:color w:val="auto"/>
                <w:kern w:val="0"/>
                <w:sz w:val="22"/>
                <w:szCs w:val="22"/>
                <w:lang w:bidi="ar"/>
              </w:rPr>
              <w:t>、平台支持设备自动发现</w:t>
            </w:r>
          </w:p>
          <w:p>
            <w:pPr>
              <w:numPr>
                <w:ilvl w:val="0"/>
                <w:numId w:val="0"/>
              </w:numP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color w:val="auto"/>
                <w:kern w:val="0"/>
                <w:sz w:val="22"/>
                <w:szCs w:val="22"/>
                <w:lang w:bidi="ar"/>
              </w:rPr>
              <w:t>1</w:t>
            </w:r>
            <w:r>
              <w:rPr>
                <w:rFonts w:hint="eastAsia" w:asciiTheme="majorEastAsia" w:hAnsiTheme="majorEastAsia" w:eastAsiaTheme="majorEastAsia" w:cstheme="majorEastAsia"/>
                <w:color w:val="auto"/>
                <w:kern w:val="0"/>
                <w:sz w:val="22"/>
                <w:szCs w:val="22"/>
                <w:lang w:val="en-US" w:eastAsia="zh-CN" w:bidi="ar"/>
              </w:rPr>
              <w:t>1</w:t>
            </w:r>
            <w:r>
              <w:rPr>
                <w:rFonts w:hint="eastAsia" w:asciiTheme="majorEastAsia" w:hAnsiTheme="majorEastAsia" w:eastAsiaTheme="majorEastAsia" w:cstheme="majorEastAsia"/>
                <w:color w:val="auto"/>
                <w:kern w:val="0"/>
                <w:sz w:val="22"/>
                <w:szCs w:val="22"/>
                <w:lang w:bidi="ar"/>
              </w:rPr>
              <w:t>、支持监测、统计及展示CPU使用率、风扇转速、主板温度、磁盘状态、和网卡工作状态；；</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bidi="ar"/>
              </w:rPr>
              <w:t>1</w:t>
            </w:r>
            <w:r>
              <w:rPr>
                <w:rFonts w:hint="eastAsia" w:asciiTheme="majorEastAsia" w:hAnsiTheme="majorEastAsia" w:eastAsiaTheme="majorEastAsia" w:cstheme="majorEastAsia"/>
                <w:color w:val="auto"/>
                <w:kern w:val="0"/>
                <w:sz w:val="22"/>
                <w:szCs w:val="22"/>
                <w:lang w:val="en-US" w:eastAsia="zh-CN" w:bidi="ar"/>
              </w:rPr>
              <w:t>2</w:t>
            </w:r>
            <w:r>
              <w:rPr>
                <w:rFonts w:hint="eastAsia" w:asciiTheme="majorEastAsia" w:hAnsiTheme="majorEastAsia" w:eastAsiaTheme="majorEastAsia" w:cstheme="majorEastAsia"/>
                <w:color w:val="auto"/>
                <w:kern w:val="0"/>
                <w:sz w:val="22"/>
                <w:szCs w:val="22"/>
                <w:lang w:bidi="ar"/>
              </w:rPr>
              <w:t>、具有视频质量诊断功能，能够分析图像的亮度、偏色、对比度、清晰度、视频丢失等属性，并支持图形化展示统计结果；</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bidi="ar"/>
              </w:rPr>
              <w:t>16、支持网络摄像机、硬盘录像机、视频服务器的添加、删除、修改；</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bidi="ar"/>
              </w:rPr>
              <w:t>17、支持对大屏进行自定义分屏、拼接、开窗、窗口漫游的操作，通过客户端支持电视墙开窗后支持分割，并可将大屏分屏配置另保存为场景；</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bidi="ar"/>
              </w:rPr>
              <w:t>1</w:t>
            </w:r>
            <w:r>
              <w:rPr>
                <w:rFonts w:hint="eastAsia" w:asciiTheme="majorEastAsia" w:hAnsiTheme="majorEastAsia" w:eastAsiaTheme="majorEastAsia" w:cstheme="majorEastAsia"/>
                <w:color w:val="auto"/>
                <w:kern w:val="0"/>
                <w:sz w:val="22"/>
                <w:szCs w:val="22"/>
                <w:lang w:val="en-US" w:eastAsia="zh-CN" w:bidi="ar"/>
              </w:rPr>
              <w:t>3</w:t>
            </w:r>
            <w:r>
              <w:rPr>
                <w:rFonts w:hint="eastAsia" w:asciiTheme="majorEastAsia" w:hAnsiTheme="majorEastAsia" w:eastAsiaTheme="majorEastAsia" w:cstheme="majorEastAsia"/>
                <w:color w:val="auto"/>
                <w:kern w:val="0"/>
                <w:sz w:val="22"/>
                <w:szCs w:val="22"/>
                <w:lang w:bidi="ar"/>
              </w:rPr>
              <w:t>、支持主从跟踪，点击全景画面中的位置，能联动球机自动旋转至该区域并聚焦，支持全景拼接服务区接入</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bidi="ar"/>
              </w:rPr>
              <w:t>1</w:t>
            </w:r>
            <w:r>
              <w:rPr>
                <w:rFonts w:hint="eastAsia" w:asciiTheme="majorEastAsia" w:hAnsiTheme="majorEastAsia" w:eastAsiaTheme="majorEastAsia" w:cstheme="majorEastAsia"/>
                <w:color w:val="auto"/>
                <w:kern w:val="0"/>
                <w:sz w:val="22"/>
                <w:szCs w:val="22"/>
                <w:lang w:val="en-US" w:eastAsia="zh-CN" w:bidi="ar"/>
              </w:rPr>
              <w:t>4</w:t>
            </w:r>
            <w:r>
              <w:rPr>
                <w:rFonts w:hint="eastAsia" w:asciiTheme="majorEastAsia" w:hAnsiTheme="majorEastAsia" w:eastAsiaTheme="majorEastAsia" w:cstheme="majorEastAsia"/>
                <w:color w:val="auto"/>
                <w:kern w:val="0"/>
                <w:sz w:val="22"/>
                <w:szCs w:val="22"/>
                <w:lang w:bidi="ar"/>
              </w:rPr>
              <w:t>、支持电子地图上视频预览、回放、视频上墙、云台控制、监控可视域展示、报警闪烁；</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val="en-US" w:eastAsia="zh-CN" w:bidi="ar"/>
              </w:rPr>
              <w:t>15</w:t>
            </w:r>
            <w:r>
              <w:rPr>
                <w:rFonts w:hint="eastAsia" w:asciiTheme="majorEastAsia" w:hAnsiTheme="majorEastAsia" w:eastAsiaTheme="majorEastAsia" w:cstheme="majorEastAsia"/>
                <w:color w:val="auto"/>
                <w:kern w:val="0"/>
                <w:sz w:val="22"/>
                <w:szCs w:val="22"/>
                <w:lang w:bidi="ar"/>
              </w:rPr>
              <w:t>、具备对管理平台的用户身份进行合法性认证，只有通过身份认证的用户才能访问管理平台</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val="en-US" w:eastAsia="zh-CN" w:bidi="ar"/>
              </w:rPr>
              <w:t>16</w:t>
            </w:r>
            <w:r>
              <w:rPr>
                <w:rFonts w:hint="eastAsia" w:asciiTheme="majorEastAsia" w:hAnsiTheme="majorEastAsia" w:eastAsiaTheme="majorEastAsia" w:cstheme="majorEastAsia"/>
                <w:color w:val="auto"/>
                <w:kern w:val="0"/>
                <w:sz w:val="22"/>
                <w:szCs w:val="22"/>
                <w:lang w:bidi="ar"/>
              </w:rPr>
              <w:t>、支持平台GB28181协议级联, 具有高兼容性</w:t>
            </w:r>
            <w:r>
              <w:rPr>
                <w:rFonts w:hint="eastAsia" w:asciiTheme="majorEastAsia" w:hAnsiTheme="majorEastAsia" w:eastAsiaTheme="majorEastAsia" w:cstheme="majorEastAsia"/>
                <w:color w:val="auto"/>
                <w:kern w:val="0"/>
                <w:sz w:val="22"/>
                <w:szCs w:val="22"/>
                <w:lang w:bidi="ar"/>
              </w:rPr>
              <w:br w:type="textWrapping"/>
            </w:r>
            <w:r>
              <w:rPr>
                <w:rFonts w:hint="eastAsia" w:asciiTheme="majorEastAsia" w:hAnsiTheme="majorEastAsia" w:eastAsiaTheme="majorEastAsia" w:cstheme="majorEastAsia"/>
                <w:color w:val="auto"/>
                <w:kern w:val="0"/>
                <w:sz w:val="22"/>
                <w:szCs w:val="22"/>
                <w:lang w:val="en-US" w:eastAsia="zh-CN" w:bidi="ar"/>
              </w:rPr>
              <w:t>17</w:t>
            </w:r>
            <w:r>
              <w:rPr>
                <w:rFonts w:hint="eastAsia" w:asciiTheme="majorEastAsia" w:hAnsiTheme="majorEastAsia" w:eastAsiaTheme="majorEastAsia" w:cstheme="majorEastAsia"/>
                <w:color w:val="auto"/>
                <w:kern w:val="0"/>
                <w:sz w:val="22"/>
                <w:szCs w:val="22"/>
                <w:lang w:bidi="ar"/>
              </w:rPr>
              <w:t>、支持ONVIF、国标协议设备接入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shd w:val="clear" w:color="auto" w:fill="auto"/>
          <w:tblCellMar>
            <w:top w:w="0" w:type="dxa"/>
            <w:left w:w="0" w:type="dxa"/>
            <w:bottom w:w="0" w:type="dxa"/>
            <w:right w:w="0"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视频联网网关模块</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1. 主处理器 最大支持1颗 Intel Xeon E3-1225 V5 产品系列CPU ，4核4线程，主频3.3GHZ，Cache为8MB,最大支持TDP为80W.</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2. 操作系统 Windows Server 2012 R2 Standard 64</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3. IO接口 ≥1个DB-15 VGA接口，4个 千兆网口，1个BMC管理网口，支持后置2个USB3.0接口和前置2个USB3.0接口</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4. 配置内存条数量 配置≥2条8GB DDR4/带ECC UDIMM 速率2400MHZ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5. 内存插槽 每个处理器支持2个内存通道 ,总共支持4个DIMM插槽.</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6. 硬盘个数 配置1块1T 3.5吋 6GbSATA热插拔硬盘，前置4盘位, 可支持4个3.5英寸ATA硬盘</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7. 硬盘兼容性 内置主板支持2个M.2 接口（基于PCIe 3.0 x4 协议）</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8. 支持加密狗授权机制。</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9. 支持Web方式访问、配置、管理网关设备。支持多平台多层次级联，跨域互联互通与资源共享。</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10. 支持联网标准协议GB/T28181和DB33，具备符合上述协议的快速接入能力。</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11. 符合GB/T28181-2011/GB/T28181-2016、公安机关视频监控系统联网标准符合性检测要求。</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12. 支持平台联网管理基本功能，资源共享与同步、实时预览、云台控制、录像检索/回放/下载、设备控制、报警处理等。</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13. 支持至少3级级联部署，最大可支持16个外域的接入。</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14. 支持国内主流厂商（包括大华、海康、科达、宇视、天地伟业等）视频监控系统的接入。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shd w:val="clear" w:color="auto" w:fill="auto"/>
          <w:tblCellMar>
            <w:top w:w="0" w:type="dxa"/>
            <w:left w:w="0" w:type="dxa"/>
            <w:bottom w:w="0" w:type="dxa"/>
            <w:right w:w="0"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集中存储设备</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numPr>
                <w:ilvl w:val="0"/>
                <w:numId w:val="27"/>
              </w:numPr>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采用4U 36盘位专业存储设备；</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2. 采用linux操作系统，64位四核处理器, 4G内存，可扩展128G高速缓存；具有不少于2个100M/1000M自适应RJ45网络接口，支持扩展4个1000M网络接口，或支持扩展2个10000M光口；设备具有3个电源模块、3个风扇模块，1个控制器模块，所有模块均支持热插拔，可不打开样机的外壳进行控制单元的插拔或更换</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3. 支持同时进行1600Mbps视（音）频码流存储，1600Mbps视（音）频码流转发、384Mbps视（音）频码流回放；在转发模式下，可支持4096Mbps视（音）频码流转发</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4. 支持不低于250MBps的图片并发输入，同时不低于250MBps图片并发输出</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5. 支持非法访问报警，当硬盘被非法访问时，可在浏览器上给出提示信息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支持录像数据恢复功能，当硬盘的录像索引区域被破坏导致无法查询并回放录像文件时，设备可重新建立录像索引区，使录像文件可被正常查询并回放</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7. 可对指定的录像文件或指定时间段的录像文件进行隐藏设置，被隐藏的录像文件应无法被查询到，当解除隐藏后可被查询到</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8.支持1/16、1/8、1/4、1/2、2、4、8、16、32倍速录像回放</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9. 支持Raid5、Raid5EE、Raid6，支持全局热备和局部热备；支持Raid即建即用；支持逻辑卷的动态在线扩展；支持监控级和企业级硬盘创建RAID；RAID出现损坏、降级时，支持日志和客户端报警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2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8</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4T企业级硬盘</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4000G；7200RPM；128M；SATA</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48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tblCellMar>
            <w:top w:w="0" w:type="dxa"/>
            <w:left w:w="0" w:type="dxa"/>
            <w:bottom w:w="0" w:type="dxa"/>
            <w:right w:w="0" w:type="dxa"/>
          </w:tblCellMar>
        </w:tblPrEx>
        <w:trPr>
          <w:trHeight w:val="212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9</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IP广播功放50W及音柱</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具有IP数字解码终端与扩音一体功能的IP收扩机。本机采用固定静态的IP地址，网络发生改变时地址不会丢失，工作稳定、音质达到CD级；可网络接收音频节目内容； 硬件音频解码；通过软件操作可对所有终端监听播出内容，音量可调。</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网络接口：标准RJ45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电源：AC220V/50Hz</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音频位率：8Kbps～320Kbps自适应</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功率输出：50W</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频率响应：50Hz～15KHz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待机功率：1W</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信噪比：≥70dB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支持协议：ARP、UDP、TCP/IP、ICMP、IGMP(组播)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采样率：8K～48KHz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音频格式：MP3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工作湿度：10%～90%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总谐波失真：≤1%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传输速率：10Mbps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网络延时：≤50ms</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sz w:val="22"/>
                <w:szCs w:val="22"/>
                <w:highlight w:val="none"/>
                <w:u w:val="none"/>
                <w:lang w:val="en-US"/>
              </w:rPr>
            </w:pPr>
            <w:r>
              <w:rPr>
                <w:rFonts w:hint="eastAsia" w:asciiTheme="majorEastAsia" w:hAnsiTheme="majorEastAsia" w:eastAsiaTheme="majorEastAsia" w:cstheme="majorEastAsia"/>
                <w:i w:val="0"/>
                <w:color w:val="auto"/>
                <w:kern w:val="0"/>
                <w:sz w:val="22"/>
                <w:szCs w:val="22"/>
                <w:highlight w:val="none"/>
                <w:u w:val="none"/>
                <w:lang w:val="en-US" w:eastAsia="zh-CN" w:bidi="ar"/>
              </w:rPr>
              <w:t>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shd w:val="clear" w:color="auto" w:fill="auto"/>
          <w:tblCellMar>
            <w:top w:w="0" w:type="dxa"/>
            <w:left w:w="0" w:type="dxa"/>
            <w:bottom w:w="0" w:type="dxa"/>
            <w:right w:w="0"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10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IP视播结合应急防控平台</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主平台系统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IP视播结合应急防控平台，包含广播、监控模块：</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平台联网能力试验：系统支持7级上下级域模式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监视器：400台；</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外域管理：最大可以添加1024个外域；</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外域摄像机管理能力实验：最大支持10万路；</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可配置最大用户数：3000；</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最少支持300个用户同时在线。</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系统接入的总前端容量：支持1000个前端设备（摄像机或IP喇叭）接入，摄像机保活时间间隔30s）</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双直存实验：支持前端设备同时与上下级域的存储设备进行直接存储，且不生成文件（即不使用文件系统）；支持云存储双直存。</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N+M备份试验：当存储设备宕机后，该存储设备对应的摄像机能自动切换到备用存储设备进行存储。支持10+ 1服务器备份，服务器宕机后，切换时间小于30秒。10台服务器和 1台服务器，当主机中的一台宕机后，备机会补上。</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广播子系统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包括节目转播、文字转语音功能、MP3播放功能、麦克风喊话功能；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至少支持按四级区域划分片区进行语音广播；</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监控子系统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可以与DB33-2011标准监控平台对接；监控画面最少支持25分屏。</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权限管理子系统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支持按职能不同将操作员（或管理员）进行分组；支持按不同的组别分配不同的权限。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至少支持32级用户权限。</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查询统计子系统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可以支持各级权限的查询功能，支持详细用户操作步骤查询，支持操作类型和操作结果筛选。</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视频系统联调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可以和主流厂家视频监控系统联调</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系统接口标准化的接口，可以和主流厂家平顺对接</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系统平台资源子系统 </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管理平台的各个模块的资源。</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GIS系统</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支持离线地图，二维，卫星地图可选</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支持所有设备能在地图上呈现</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支持监控与广播能在地图上统一调度及使用。</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含3个及以上客户端及用户。</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硬件服务器</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高度：2U（1U=4.45cm）；整机功耗：最大200W；工作环境温度：5°C～40°C（推荐10°C～35°C）；工作环境湿度：20%～80%（无冷凝）；</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操作系统：系统centos6.5。</w:t>
            </w:r>
            <w:r>
              <w:rPr>
                <w:rFonts w:hint="eastAsia" w:asciiTheme="majorEastAsia" w:hAnsiTheme="majorEastAsia" w:eastAsiaTheme="majorEastAsia" w:cstheme="majorEastAsia"/>
                <w:i w:val="0"/>
                <w:color w:val="auto"/>
                <w:kern w:val="0"/>
                <w:sz w:val="22"/>
                <w:szCs w:val="22"/>
                <w:highlight w:val="none"/>
                <w:u w:val="none"/>
                <w:lang w:val="en-US" w:eastAsia="zh-CN" w:bidi="ar"/>
              </w:rPr>
              <w:br w:type="textWrapping"/>
            </w:r>
            <w:r>
              <w:rPr>
                <w:rFonts w:hint="eastAsia" w:asciiTheme="majorEastAsia" w:hAnsiTheme="majorEastAsia" w:eastAsiaTheme="majorEastAsia" w:cstheme="majorEastAsia"/>
                <w:i w:val="0"/>
                <w:color w:val="auto"/>
                <w:kern w:val="0"/>
                <w:sz w:val="22"/>
                <w:szCs w:val="22"/>
                <w:highlight w:val="none"/>
                <w:u w:val="none"/>
                <w:lang w:val="en-US" w:eastAsia="zh-CN" w:bidi="ar"/>
              </w:rPr>
              <w:t>本次采购的广播系统必须满足与本次新建的视播融合平台使用DB33-2011或GB/T28181-2011的方式对接。并在广播系统内可统一调度及使用。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tblCellMar>
            <w:top w:w="0" w:type="dxa"/>
            <w:left w:w="0" w:type="dxa"/>
            <w:bottom w:w="0" w:type="dxa"/>
            <w:right w:w="0"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11</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color w:val="auto"/>
                <w:kern w:val="0"/>
                <w:sz w:val="22"/>
                <w:szCs w:val="22"/>
                <w:highlight w:val="none"/>
                <w:lang w:bidi="ar"/>
              </w:rPr>
              <w:t>台式电脑</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223" w:hanging="223" w:hangingChars="100"/>
              <w:jc w:val="left"/>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color w:val="auto"/>
                <w:kern w:val="0"/>
                <w:sz w:val="22"/>
                <w:szCs w:val="22"/>
                <w:highlight w:val="none"/>
                <w:lang w:bidi="ar"/>
              </w:rPr>
              <w:t>I7处理器/</w:t>
            </w:r>
            <w:r>
              <w:rPr>
                <w:rFonts w:hint="eastAsia" w:asciiTheme="majorEastAsia" w:hAnsiTheme="majorEastAsia" w:eastAsiaTheme="majorEastAsia" w:cstheme="majorEastAsia"/>
                <w:color w:val="auto"/>
                <w:kern w:val="0"/>
                <w:sz w:val="22"/>
                <w:szCs w:val="22"/>
                <w:highlight w:val="none"/>
                <w:lang w:val="en-US" w:eastAsia="zh-CN" w:bidi="ar"/>
              </w:rPr>
              <w:t>16</w:t>
            </w:r>
            <w:r>
              <w:rPr>
                <w:rFonts w:hint="eastAsia" w:asciiTheme="majorEastAsia" w:hAnsiTheme="majorEastAsia" w:eastAsiaTheme="majorEastAsia" w:cstheme="majorEastAsia"/>
                <w:color w:val="auto"/>
                <w:kern w:val="0"/>
                <w:sz w:val="22"/>
                <w:szCs w:val="22"/>
                <w:highlight w:val="none"/>
                <w:lang w:bidi="ar"/>
              </w:rPr>
              <w:t>G内存/</w:t>
            </w:r>
            <w:r>
              <w:rPr>
                <w:rFonts w:hint="eastAsia" w:asciiTheme="majorEastAsia" w:hAnsiTheme="majorEastAsia" w:eastAsiaTheme="majorEastAsia" w:cstheme="majorEastAsia"/>
                <w:color w:val="auto"/>
                <w:kern w:val="0"/>
                <w:sz w:val="22"/>
                <w:szCs w:val="22"/>
                <w:highlight w:val="none"/>
                <w:lang w:val="en-US" w:eastAsia="zh-CN" w:bidi="ar"/>
              </w:rPr>
              <w:t>2T机械硬盘+512</w:t>
            </w:r>
            <w:r>
              <w:rPr>
                <w:rFonts w:hint="eastAsia" w:asciiTheme="majorEastAsia" w:hAnsiTheme="majorEastAsia" w:eastAsiaTheme="majorEastAsia" w:cstheme="majorEastAsia"/>
                <w:color w:val="auto"/>
                <w:kern w:val="0"/>
                <w:sz w:val="22"/>
                <w:szCs w:val="22"/>
                <w:highlight w:val="none"/>
                <w:lang w:bidi="ar"/>
              </w:rPr>
              <w:t>固态/</w:t>
            </w:r>
            <w:r>
              <w:rPr>
                <w:rFonts w:hint="eastAsia" w:asciiTheme="majorEastAsia" w:hAnsiTheme="majorEastAsia" w:eastAsiaTheme="majorEastAsia" w:cstheme="majorEastAsia"/>
                <w:color w:val="auto"/>
                <w:kern w:val="0"/>
                <w:sz w:val="22"/>
                <w:szCs w:val="22"/>
                <w:highlight w:val="none"/>
                <w:lang w:val="en-US" w:eastAsia="zh-CN" w:bidi="ar"/>
              </w:rPr>
              <w:t>4</w:t>
            </w:r>
            <w:r>
              <w:rPr>
                <w:rFonts w:hint="eastAsia" w:asciiTheme="majorEastAsia" w:hAnsiTheme="majorEastAsia" w:eastAsiaTheme="majorEastAsia" w:cstheme="majorEastAsia"/>
                <w:color w:val="auto"/>
                <w:kern w:val="0"/>
                <w:sz w:val="22"/>
                <w:szCs w:val="22"/>
                <w:highlight w:val="none"/>
                <w:lang w:bidi="ar"/>
              </w:rPr>
              <w:t>G独显/W10系统/</w:t>
            </w:r>
            <w:r>
              <w:rPr>
                <w:rFonts w:hint="eastAsia" w:asciiTheme="majorEastAsia" w:hAnsiTheme="majorEastAsia" w:eastAsiaTheme="majorEastAsia" w:cstheme="majorEastAsia"/>
                <w:color w:val="auto"/>
                <w:kern w:val="0"/>
                <w:sz w:val="22"/>
                <w:szCs w:val="22"/>
                <w:highlight w:val="none"/>
                <w:lang w:val="en-US" w:eastAsia="zh-CN" w:bidi="ar"/>
              </w:rPr>
              <w:t>23英寸或以上</w:t>
            </w:r>
            <w:r>
              <w:rPr>
                <w:rFonts w:hint="eastAsia" w:asciiTheme="majorEastAsia" w:hAnsiTheme="majorEastAsia" w:eastAsiaTheme="majorEastAsia" w:cstheme="majorEastAsia"/>
                <w:color w:val="auto"/>
                <w:kern w:val="0"/>
                <w:sz w:val="22"/>
                <w:szCs w:val="22"/>
                <w:highlight w:val="none"/>
                <w:lang w:bidi="ar"/>
              </w:rPr>
              <w:t>液晶显示器，含鼠键</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shd w:val="clear" w:color="auto" w:fill="auto"/>
          <w:tblCellMar>
            <w:top w:w="0" w:type="dxa"/>
            <w:left w:w="0" w:type="dxa"/>
            <w:bottom w:w="0" w:type="dxa"/>
            <w:right w:w="0" w:type="dxa"/>
          </w:tblCellMar>
        </w:tblPrEx>
        <w:trPr>
          <w:trHeight w:val="7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12</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color w:val="auto"/>
                <w:kern w:val="0"/>
                <w:sz w:val="22"/>
                <w:szCs w:val="22"/>
                <w:highlight w:val="none"/>
                <w:lang w:val="en-US" w:eastAsia="zh-CN" w:bidi="ar"/>
              </w:rPr>
            </w:pPr>
            <w:r>
              <w:rPr>
                <w:rFonts w:hint="eastAsia" w:asciiTheme="majorEastAsia" w:hAnsiTheme="majorEastAsia" w:eastAsiaTheme="majorEastAsia" w:cstheme="majorEastAsia"/>
                <w:color w:val="auto"/>
                <w:kern w:val="0"/>
                <w:sz w:val="22"/>
                <w:szCs w:val="22"/>
                <w:highlight w:val="none"/>
                <w:lang w:val="en-US" w:eastAsia="zh-CN" w:bidi="ar"/>
              </w:rPr>
              <w:t>笔记本电脑</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heme="majorEastAsia" w:hAnsiTheme="majorEastAsia" w:eastAsiaTheme="majorEastAsia" w:cstheme="majorEastAsia"/>
                <w:color w:val="auto"/>
                <w:kern w:val="0"/>
                <w:sz w:val="22"/>
                <w:szCs w:val="22"/>
                <w:highlight w:val="none"/>
                <w:lang w:val="en-US" w:eastAsia="zh-CN" w:bidi="ar"/>
              </w:rPr>
            </w:pPr>
            <w:r>
              <w:rPr>
                <w:rFonts w:hint="eastAsia" w:asciiTheme="majorEastAsia" w:hAnsiTheme="majorEastAsia" w:eastAsiaTheme="majorEastAsia" w:cstheme="majorEastAsia"/>
                <w:color w:val="auto"/>
                <w:kern w:val="0"/>
                <w:sz w:val="22"/>
                <w:szCs w:val="22"/>
                <w:highlight w:val="none"/>
                <w:lang w:val="en-US" w:eastAsia="zh-CN" w:bidi="ar"/>
              </w:rPr>
              <w:t>14英寸/</w:t>
            </w:r>
            <w:r>
              <w:rPr>
                <w:rFonts w:hint="eastAsia" w:asciiTheme="majorEastAsia" w:hAnsiTheme="majorEastAsia" w:eastAsiaTheme="majorEastAsia" w:cstheme="majorEastAsia"/>
                <w:color w:val="auto"/>
                <w:kern w:val="0"/>
                <w:sz w:val="22"/>
                <w:szCs w:val="22"/>
                <w:highlight w:val="none"/>
                <w:lang w:bidi="ar"/>
              </w:rPr>
              <w:t>I7处理器/</w:t>
            </w:r>
            <w:r>
              <w:rPr>
                <w:rFonts w:hint="eastAsia" w:asciiTheme="majorEastAsia" w:hAnsiTheme="majorEastAsia" w:eastAsiaTheme="majorEastAsia" w:cstheme="majorEastAsia"/>
                <w:color w:val="auto"/>
                <w:kern w:val="0"/>
                <w:sz w:val="22"/>
                <w:szCs w:val="22"/>
                <w:highlight w:val="none"/>
                <w:lang w:val="en-US" w:eastAsia="zh-CN" w:bidi="ar"/>
              </w:rPr>
              <w:t>16</w:t>
            </w:r>
            <w:r>
              <w:rPr>
                <w:rFonts w:hint="eastAsia" w:asciiTheme="majorEastAsia" w:hAnsiTheme="majorEastAsia" w:eastAsiaTheme="majorEastAsia" w:cstheme="majorEastAsia"/>
                <w:color w:val="auto"/>
                <w:kern w:val="0"/>
                <w:sz w:val="22"/>
                <w:szCs w:val="22"/>
                <w:highlight w:val="none"/>
                <w:lang w:bidi="ar"/>
              </w:rPr>
              <w:t>G内存/1T固态/</w:t>
            </w:r>
            <w:r>
              <w:rPr>
                <w:rFonts w:hint="eastAsia" w:asciiTheme="majorEastAsia" w:hAnsiTheme="majorEastAsia" w:eastAsiaTheme="majorEastAsia" w:cstheme="majorEastAsia"/>
                <w:color w:val="auto"/>
                <w:kern w:val="0"/>
                <w:sz w:val="22"/>
                <w:szCs w:val="22"/>
                <w:highlight w:val="none"/>
                <w:lang w:val="en-US" w:eastAsia="zh-CN" w:bidi="ar"/>
              </w:rPr>
              <w:t>4</w:t>
            </w:r>
            <w:r>
              <w:rPr>
                <w:rFonts w:hint="eastAsia" w:asciiTheme="majorEastAsia" w:hAnsiTheme="majorEastAsia" w:eastAsiaTheme="majorEastAsia" w:cstheme="majorEastAsia"/>
                <w:color w:val="auto"/>
                <w:kern w:val="0"/>
                <w:sz w:val="22"/>
                <w:szCs w:val="22"/>
                <w:highlight w:val="none"/>
                <w:lang w:bidi="ar"/>
              </w:rPr>
              <w:t>G独显/W10系统，含鼠键</w:t>
            </w:r>
            <w:r>
              <w:rPr>
                <w:rFonts w:hint="eastAsia" w:asciiTheme="majorEastAsia" w:hAnsiTheme="majorEastAsia" w:eastAsiaTheme="majorEastAsia" w:cstheme="majorEastAsia"/>
                <w:color w:val="auto"/>
                <w:kern w:val="0"/>
                <w:sz w:val="22"/>
                <w:szCs w:val="22"/>
                <w:highlight w:val="none"/>
                <w:lang w:eastAsia="zh-CN" w:bidi="ar"/>
              </w:rPr>
              <w:t>，</w:t>
            </w:r>
            <w:r>
              <w:rPr>
                <w:rFonts w:hint="eastAsia" w:asciiTheme="majorEastAsia" w:hAnsiTheme="majorEastAsia" w:eastAsiaTheme="majorEastAsia" w:cstheme="majorEastAsia"/>
                <w:color w:val="auto"/>
                <w:kern w:val="0"/>
                <w:sz w:val="22"/>
                <w:szCs w:val="22"/>
                <w:highlight w:val="none"/>
                <w:lang w:val="en-US" w:eastAsia="zh-CN" w:bidi="ar"/>
              </w:rPr>
              <w:t>全金属外壳，重量</w:t>
            </w:r>
            <w:r>
              <w:rPr>
                <w:rFonts w:hint="eastAsia" w:asciiTheme="majorEastAsia" w:hAnsiTheme="majorEastAsia" w:eastAsiaTheme="majorEastAsia" w:cstheme="majorEastAsia"/>
                <w:i w:val="0"/>
                <w:color w:val="auto"/>
                <w:kern w:val="0"/>
                <w:sz w:val="22"/>
                <w:szCs w:val="22"/>
                <w:highlight w:val="none"/>
                <w:u w:val="none"/>
                <w:lang w:val="en-US" w:eastAsia="zh-CN" w:bidi="ar"/>
              </w:rPr>
              <w:t>≤</w:t>
            </w:r>
            <w:r>
              <w:rPr>
                <w:rFonts w:hint="eastAsia" w:asciiTheme="majorEastAsia" w:hAnsiTheme="majorEastAsia" w:eastAsiaTheme="majorEastAsia" w:cstheme="majorEastAsia"/>
                <w:color w:val="auto"/>
                <w:kern w:val="0"/>
                <w:sz w:val="22"/>
                <w:szCs w:val="22"/>
                <w:highlight w:val="none"/>
                <w:lang w:val="en-US" w:eastAsia="zh-CN" w:bidi="ar"/>
              </w:rPr>
              <w:t>1.3Kg。</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13</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取电线路</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包含电表开户申请、二次接电所需的所有材料和协调费用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64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14</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数据线路</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color w:val="auto"/>
                <w:kern w:val="0"/>
                <w:sz w:val="22"/>
                <w:szCs w:val="22"/>
                <w:lang w:bidi="ar"/>
              </w:rPr>
              <w:t>100M</w:t>
            </w:r>
            <w:r>
              <w:rPr>
                <w:rFonts w:hint="eastAsia" w:asciiTheme="majorEastAsia" w:hAnsiTheme="majorEastAsia" w:eastAsiaTheme="majorEastAsia" w:cstheme="majorEastAsia"/>
                <w:color w:val="auto"/>
                <w:kern w:val="0"/>
                <w:sz w:val="22"/>
                <w:szCs w:val="22"/>
                <w:lang w:eastAsia="zh-CN" w:bidi="ar"/>
              </w:rPr>
              <w:t>专网电路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5年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64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tblCellMar>
            <w:top w:w="0" w:type="dxa"/>
            <w:left w:w="0" w:type="dxa"/>
            <w:bottom w:w="0" w:type="dxa"/>
            <w:right w:w="0"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15</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主干链路</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千兆核心机房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5年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shd w:val="clear" w:color="auto" w:fill="auto"/>
          <w:tblCellMar>
            <w:top w:w="0" w:type="dxa"/>
            <w:left w:w="0" w:type="dxa"/>
            <w:bottom w:w="0" w:type="dxa"/>
            <w:right w:w="0"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16</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托管</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8U服务器托管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5年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r>
        <w:tblPrEx>
          <w:tblCellMar>
            <w:top w:w="0" w:type="dxa"/>
            <w:left w:w="0" w:type="dxa"/>
            <w:bottom w:w="0" w:type="dxa"/>
            <w:right w:w="0" w:type="dxa"/>
          </w:tblCellMar>
        </w:tblPrEx>
        <w:trPr>
          <w:trHeight w:val="3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ajorEastAsia" w:hAnsiTheme="majorEastAsia" w:eastAsiaTheme="majorEastAsia" w:cstheme="majorEastAsia"/>
                <w:i w:val="0"/>
                <w:color w:val="auto"/>
                <w:kern w:val="2"/>
                <w:sz w:val="22"/>
                <w:szCs w:val="22"/>
                <w:highlight w:val="none"/>
                <w:u w:val="none"/>
                <w:lang w:val="en-US" w:eastAsia="zh-CN" w:bidi="ar-SA"/>
              </w:rPr>
            </w:pPr>
            <w:r>
              <w:rPr>
                <w:rFonts w:hint="eastAsia" w:asciiTheme="majorEastAsia" w:hAnsiTheme="majorEastAsia" w:eastAsiaTheme="majorEastAsia" w:cstheme="majorEastAsia"/>
                <w:i w:val="0"/>
                <w:color w:val="auto"/>
                <w:sz w:val="22"/>
                <w:szCs w:val="22"/>
                <w:highlight w:val="none"/>
                <w:u w:val="none"/>
                <w:lang w:val="en-US" w:eastAsia="zh-CN"/>
              </w:rPr>
              <w:t>17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施工费用</w:t>
            </w:r>
          </w:p>
        </w:tc>
        <w:tc>
          <w:tcPr>
            <w:tcW w:w="6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含前期基础、线路、运输、安装调试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sz w:val="22"/>
                <w:szCs w:val="22"/>
                <w:highlight w:val="none"/>
                <w:u w:val="none"/>
              </w:rPr>
            </w:pPr>
            <w:r>
              <w:rPr>
                <w:rFonts w:hint="eastAsia" w:asciiTheme="majorEastAsia" w:hAnsiTheme="majorEastAsia" w:eastAsiaTheme="majorEastAsia" w:cstheme="majorEastAsia"/>
                <w:i w:val="0"/>
                <w:color w:val="auto"/>
                <w:kern w:val="0"/>
                <w:sz w:val="22"/>
                <w:szCs w:val="22"/>
                <w:highlight w:val="none"/>
                <w:u w:val="none"/>
                <w:lang w:val="en-US" w:eastAsia="zh-CN" w:bidi="ar"/>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ajorEastAsia" w:hAnsiTheme="majorEastAsia" w:eastAsiaTheme="majorEastAsia" w:cstheme="majorEastAsia"/>
                <w:i w:val="0"/>
                <w:color w:val="auto"/>
                <w:kern w:val="0"/>
                <w:sz w:val="22"/>
                <w:szCs w:val="22"/>
                <w:highlight w:val="none"/>
                <w:u w:val="none"/>
                <w:lang w:val="en-US" w:eastAsia="zh-CN" w:bidi="ar"/>
              </w:rPr>
            </w:pPr>
          </w:p>
        </w:tc>
      </w:tr>
    </w:tbl>
    <w:p>
      <w:pPr>
        <w:spacing w:line="400" w:lineRule="exact"/>
        <w:rPr>
          <w:rFonts w:hint="eastAsia" w:ascii="宋体" w:hAnsi="宋体" w:cs="新宋体"/>
          <w:b/>
          <w:bCs/>
          <w:color w:val="auto"/>
          <w:sz w:val="22"/>
          <w:szCs w:val="22"/>
          <w:lang w:val="en-US" w:eastAsia="zh-CN"/>
        </w:rPr>
      </w:pPr>
    </w:p>
    <w:p>
      <w:pPr>
        <w:spacing w:line="400" w:lineRule="exact"/>
        <w:rPr>
          <w:rFonts w:ascii="宋体" w:hAnsi="宋体" w:cs="新宋体"/>
          <w:b/>
          <w:bCs/>
          <w:color w:val="auto"/>
          <w:sz w:val="22"/>
          <w:szCs w:val="22"/>
        </w:rPr>
      </w:pPr>
      <w:r>
        <w:rPr>
          <w:rFonts w:hint="eastAsia" w:ascii="宋体" w:hAnsi="宋体" w:cs="新宋体"/>
          <w:b/>
          <w:bCs/>
          <w:color w:val="auto"/>
          <w:sz w:val="22"/>
          <w:szCs w:val="22"/>
          <w:lang w:val="en-US" w:eastAsia="zh-CN"/>
        </w:rPr>
        <w:t>三</w:t>
      </w:r>
      <w:r>
        <w:rPr>
          <w:rFonts w:hint="eastAsia" w:ascii="宋体" w:hAnsi="宋体" w:cs="新宋体"/>
          <w:b/>
          <w:bCs/>
          <w:color w:val="auto"/>
          <w:sz w:val="22"/>
          <w:szCs w:val="22"/>
        </w:rPr>
        <w:t>、商务条款</w:t>
      </w:r>
    </w:p>
    <w:p>
      <w:pPr>
        <w:widowControl/>
        <w:autoSpaceDE w:val="0"/>
        <w:autoSpaceDN w:val="0"/>
        <w:adjustRightInd w:val="0"/>
        <w:snapToGrid w:val="0"/>
        <w:spacing w:line="380" w:lineRule="exact"/>
        <w:ind w:firstLine="223" w:firstLineChars="100"/>
        <w:textAlignment w:val="bottom"/>
        <w:rPr>
          <w:rFonts w:ascii="宋体" w:hAnsi="宋体"/>
          <w:b/>
          <w:color w:val="auto"/>
          <w:sz w:val="22"/>
          <w:u w:val="single"/>
        </w:rPr>
      </w:pPr>
      <w:r>
        <w:rPr>
          <w:rFonts w:hint="eastAsia" w:ascii="宋体" w:hAnsi="宋体"/>
          <w:b/>
          <w:bCs/>
          <w:color w:val="auto"/>
          <w:sz w:val="22"/>
        </w:rPr>
        <w:t xml:space="preserve">1. </w:t>
      </w:r>
      <w:r>
        <w:rPr>
          <w:rFonts w:hint="eastAsia" w:ascii="宋体" w:hAnsi="宋体"/>
          <w:b/>
          <w:bCs/>
          <w:color w:val="auto"/>
          <w:sz w:val="22"/>
          <w:lang w:val="en-US" w:eastAsia="zh-CN"/>
        </w:rPr>
        <w:t>维护</w:t>
      </w:r>
      <w:r>
        <w:rPr>
          <w:rFonts w:hint="eastAsia" w:ascii="宋体" w:hAnsi="宋体"/>
          <w:b/>
          <w:bCs/>
          <w:color w:val="auto"/>
          <w:sz w:val="22"/>
        </w:rPr>
        <w:t>期</w:t>
      </w:r>
    </w:p>
    <w:p>
      <w:pPr>
        <w:widowControl/>
        <w:autoSpaceDE w:val="0"/>
        <w:autoSpaceDN w:val="0"/>
        <w:adjustRightInd w:val="0"/>
        <w:snapToGrid w:val="0"/>
        <w:spacing w:line="380" w:lineRule="exact"/>
        <w:ind w:firstLine="223" w:firstLineChars="100"/>
        <w:textAlignment w:val="bottom"/>
        <w:rPr>
          <w:rFonts w:hint="eastAsia" w:ascii="宋体" w:hAnsi="宋体"/>
          <w:b/>
          <w:bCs/>
          <w:color w:val="auto"/>
          <w:sz w:val="22"/>
        </w:rPr>
      </w:pPr>
      <w:r>
        <w:rPr>
          <w:rFonts w:hint="eastAsia" w:ascii="宋体" w:hAnsi="宋体"/>
          <w:b/>
          <w:bCs/>
          <w:color w:val="auto"/>
          <w:sz w:val="22"/>
        </w:rPr>
        <w:t xml:space="preserve">1.1  </w:t>
      </w:r>
      <w:r>
        <w:rPr>
          <w:rFonts w:hint="eastAsia" w:ascii="宋体" w:hAnsi="宋体"/>
          <w:b/>
          <w:bCs/>
          <w:color w:val="auto"/>
          <w:sz w:val="22"/>
          <w:lang w:val="en-US" w:eastAsia="zh-CN"/>
        </w:rPr>
        <w:t>自系统建设完成</w:t>
      </w:r>
      <w:r>
        <w:rPr>
          <w:rFonts w:hint="eastAsia" w:ascii="宋体" w:hAnsi="宋体"/>
          <w:b/>
          <w:bCs/>
          <w:color w:val="auto"/>
          <w:sz w:val="22"/>
        </w:rPr>
        <w:t>验收合格后开始计算</w:t>
      </w:r>
      <w:r>
        <w:rPr>
          <w:rFonts w:hint="eastAsia" w:ascii="宋体" w:hAnsi="宋体"/>
          <w:b/>
          <w:bCs/>
          <w:color w:val="auto"/>
          <w:sz w:val="22"/>
          <w:lang w:val="en-US" w:eastAsia="zh-CN"/>
        </w:rPr>
        <w:t>后5年内均由中标方进行</w:t>
      </w:r>
      <w:r>
        <w:rPr>
          <w:rFonts w:hint="eastAsia" w:ascii="宋体" w:hAnsi="宋体"/>
          <w:b/>
          <w:bCs/>
          <w:color w:val="auto"/>
          <w:sz w:val="22"/>
        </w:rPr>
        <w:t>维护。</w:t>
      </w:r>
    </w:p>
    <w:p>
      <w:pPr>
        <w:widowControl/>
        <w:autoSpaceDE w:val="0"/>
        <w:autoSpaceDN w:val="0"/>
        <w:adjustRightInd w:val="0"/>
        <w:snapToGrid w:val="0"/>
        <w:spacing w:line="380" w:lineRule="exact"/>
        <w:ind w:firstLine="223" w:firstLineChars="100"/>
        <w:textAlignment w:val="bottom"/>
        <w:rPr>
          <w:rFonts w:hint="eastAsia" w:ascii="宋体" w:hAnsi="宋体"/>
          <w:b/>
          <w:bCs/>
          <w:color w:val="auto"/>
          <w:sz w:val="22"/>
        </w:rPr>
      </w:pPr>
      <w:r>
        <w:rPr>
          <w:rFonts w:hint="eastAsia" w:ascii="宋体" w:hAnsi="宋体"/>
          <w:b/>
          <w:bCs/>
          <w:color w:val="auto"/>
          <w:sz w:val="22"/>
        </w:rPr>
        <w:t>1.2</w:t>
      </w:r>
      <w:r>
        <w:rPr>
          <w:rFonts w:hint="eastAsia" w:ascii="宋体" w:hAnsi="宋体"/>
          <w:b/>
          <w:bCs/>
          <w:color w:val="auto"/>
          <w:sz w:val="22"/>
          <w:lang w:val="en-US" w:eastAsia="zh-CN"/>
        </w:rPr>
        <w:t xml:space="preserve"> </w:t>
      </w:r>
      <w:r>
        <w:rPr>
          <w:rFonts w:hint="eastAsia" w:ascii="宋体" w:hAnsi="宋体"/>
          <w:b/>
          <w:bCs/>
          <w:color w:val="auto"/>
          <w:sz w:val="22"/>
        </w:rPr>
        <w:t>在</w:t>
      </w:r>
      <w:r>
        <w:rPr>
          <w:rFonts w:hint="eastAsia" w:ascii="宋体" w:hAnsi="宋体"/>
          <w:b/>
          <w:bCs/>
          <w:color w:val="auto"/>
          <w:sz w:val="22"/>
          <w:lang w:val="en-US" w:eastAsia="zh-CN"/>
        </w:rPr>
        <w:t>服务</w:t>
      </w:r>
      <w:r>
        <w:rPr>
          <w:rFonts w:hint="eastAsia" w:ascii="宋体" w:hAnsi="宋体"/>
          <w:b/>
          <w:bCs/>
          <w:color w:val="auto"/>
          <w:sz w:val="22"/>
        </w:rPr>
        <w:t>期内，中标供应商应负责对其提供的平台</w:t>
      </w:r>
      <w:r>
        <w:rPr>
          <w:rFonts w:hint="eastAsia" w:ascii="宋体" w:hAnsi="宋体"/>
          <w:b/>
          <w:bCs/>
          <w:color w:val="auto"/>
          <w:sz w:val="22"/>
          <w:lang w:eastAsia="zh-CN"/>
        </w:rPr>
        <w:t>（</w:t>
      </w:r>
      <w:r>
        <w:rPr>
          <w:rFonts w:hint="eastAsia" w:ascii="宋体" w:hAnsi="宋体"/>
          <w:b/>
          <w:bCs/>
          <w:color w:val="auto"/>
          <w:sz w:val="22"/>
          <w:lang w:val="en-US" w:eastAsia="zh-CN"/>
        </w:rPr>
        <w:t>含设备</w:t>
      </w:r>
      <w:r>
        <w:rPr>
          <w:rFonts w:hint="eastAsia" w:ascii="宋体" w:hAnsi="宋体"/>
          <w:b/>
          <w:bCs/>
          <w:color w:val="auto"/>
          <w:sz w:val="22"/>
          <w:lang w:eastAsia="zh-CN"/>
        </w:rPr>
        <w:t>）</w:t>
      </w:r>
      <w:r>
        <w:rPr>
          <w:rFonts w:hint="eastAsia" w:ascii="宋体" w:hAnsi="宋体"/>
          <w:b/>
          <w:bCs/>
          <w:color w:val="auto"/>
          <w:sz w:val="22"/>
        </w:rPr>
        <w:t>进行维护、系统升级不收取额外费用。</w:t>
      </w:r>
    </w:p>
    <w:p>
      <w:pPr>
        <w:widowControl/>
        <w:autoSpaceDE w:val="0"/>
        <w:autoSpaceDN w:val="0"/>
        <w:adjustRightInd w:val="0"/>
        <w:snapToGrid w:val="0"/>
        <w:spacing w:line="380" w:lineRule="exact"/>
        <w:ind w:firstLine="223" w:firstLineChars="100"/>
        <w:textAlignment w:val="bottom"/>
        <w:rPr>
          <w:rFonts w:hint="eastAsia" w:ascii="宋体" w:hAnsi="宋体"/>
          <w:color w:val="auto"/>
          <w:sz w:val="22"/>
        </w:rPr>
      </w:pPr>
      <w:r>
        <w:rPr>
          <w:rFonts w:hint="eastAsia" w:ascii="宋体" w:hAnsi="宋体"/>
          <w:color w:val="auto"/>
          <w:sz w:val="22"/>
        </w:rPr>
        <w:t>1.3</w:t>
      </w:r>
      <w:r>
        <w:rPr>
          <w:rFonts w:hint="eastAsia" w:ascii="宋体" w:hAnsi="宋体"/>
          <w:color w:val="auto"/>
          <w:sz w:val="22"/>
          <w:lang w:val="en-US" w:eastAsia="zh-CN"/>
        </w:rPr>
        <w:t xml:space="preserve"> </w:t>
      </w:r>
      <w:r>
        <w:rPr>
          <w:rFonts w:hint="eastAsia" w:ascii="宋体" w:hAnsi="宋体"/>
          <w:color w:val="auto"/>
          <w:sz w:val="22"/>
        </w:rPr>
        <w:t>供应商在投标文件中说明保质期内提供的服务计划。</w:t>
      </w:r>
    </w:p>
    <w:p>
      <w:pPr>
        <w:widowControl/>
        <w:autoSpaceDE w:val="0"/>
        <w:autoSpaceDN w:val="0"/>
        <w:adjustRightInd w:val="0"/>
        <w:snapToGrid w:val="0"/>
        <w:spacing w:line="380" w:lineRule="exact"/>
        <w:ind w:firstLine="223" w:firstLineChars="100"/>
        <w:textAlignment w:val="bottom"/>
        <w:rPr>
          <w:rFonts w:hint="eastAsia" w:ascii="宋体" w:hAnsi="宋体"/>
          <w:color w:val="auto"/>
          <w:sz w:val="22"/>
        </w:rPr>
      </w:pPr>
      <w:r>
        <w:rPr>
          <w:rFonts w:hint="eastAsia" w:ascii="宋体" w:hAnsi="宋体"/>
          <w:color w:val="auto"/>
          <w:sz w:val="22"/>
        </w:rPr>
        <w:t>1.</w:t>
      </w:r>
      <w:r>
        <w:rPr>
          <w:rFonts w:hint="eastAsia" w:ascii="宋体" w:hAnsi="宋体"/>
          <w:color w:val="auto"/>
          <w:sz w:val="22"/>
          <w:lang w:val="en-US" w:eastAsia="zh-CN"/>
        </w:rPr>
        <w:t>4</w:t>
      </w:r>
      <w:r>
        <w:rPr>
          <w:rFonts w:hint="eastAsia" w:ascii="宋体" w:hAnsi="宋体"/>
          <w:color w:val="auto"/>
          <w:sz w:val="22"/>
        </w:rPr>
        <w:t xml:space="preserve"> </w:t>
      </w:r>
      <w:r>
        <w:rPr>
          <w:rFonts w:hint="eastAsia" w:ascii="宋体" w:hAnsi="宋体"/>
          <w:color w:val="auto"/>
          <w:sz w:val="22"/>
          <w:lang w:val="en-US" w:eastAsia="zh-CN"/>
        </w:rPr>
        <w:t>服务</w:t>
      </w:r>
      <w:r>
        <w:rPr>
          <w:rFonts w:hint="eastAsia" w:ascii="宋体" w:hAnsi="宋体"/>
          <w:color w:val="auto"/>
          <w:sz w:val="22"/>
        </w:rPr>
        <w:t>期内，要求供应商7×24小时电话响应技术咨询；除非招标文件另有规定，供应商须在接到采购人维修要求电话后，12小时内派技术人员到现场维修。</w:t>
      </w:r>
    </w:p>
    <w:p>
      <w:pPr>
        <w:widowControl/>
        <w:autoSpaceDE w:val="0"/>
        <w:autoSpaceDN w:val="0"/>
        <w:adjustRightInd w:val="0"/>
        <w:snapToGrid w:val="0"/>
        <w:spacing w:line="380" w:lineRule="exact"/>
        <w:ind w:firstLine="223" w:firstLineChars="100"/>
        <w:textAlignment w:val="bottom"/>
        <w:rPr>
          <w:rFonts w:hint="eastAsia" w:ascii="宋体" w:hAnsi="宋体"/>
          <w:color w:val="auto"/>
          <w:sz w:val="22"/>
        </w:rPr>
      </w:pPr>
      <w:r>
        <w:rPr>
          <w:rFonts w:hint="eastAsia" w:ascii="宋体" w:hAnsi="宋体"/>
          <w:color w:val="auto"/>
          <w:sz w:val="22"/>
        </w:rPr>
        <w:t>1.</w:t>
      </w:r>
      <w:r>
        <w:rPr>
          <w:rFonts w:hint="eastAsia" w:ascii="宋体" w:hAnsi="宋体"/>
          <w:color w:val="auto"/>
          <w:sz w:val="22"/>
          <w:lang w:val="en-US" w:eastAsia="zh-CN"/>
        </w:rPr>
        <w:t>5</w:t>
      </w:r>
      <w:r>
        <w:rPr>
          <w:rFonts w:hint="eastAsia" w:ascii="宋体" w:hAnsi="宋体"/>
          <w:color w:val="auto"/>
          <w:sz w:val="22"/>
        </w:rPr>
        <w:t xml:space="preserve"> 中标（成交）供应商在免费</w:t>
      </w:r>
      <w:r>
        <w:rPr>
          <w:rFonts w:hint="eastAsia" w:ascii="宋体" w:hAnsi="宋体"/>
          <w:color w:val="auto"/>
          <w:sz w:val="22"/>
          <w:lang w:val="en-US" w:eastAsia="zh-CN"/>
        </w:rPr>
        <w:t>服务期</w:t>
      </w:r>
      <w:r>
        <w:rPr>
          <w:rFonts w:hint="eastAsia" w:ascii="宋体" w:hAnsi="宋体"/>
          <w:color w:val="auto"/>
          <w:sz w:val="22"/>
        </w:rPr>
        <w:t>内提供免费的维护工作。</w:t>
      </w:r>
    </w:p>
    <w:p>
      <w:pPr>
        <w:widowControl/>
        <w:autoSpaceDE w:val="0"/>
        <w:autoSpaceDN w:val="0"/>
        <w:adjustRightInd w:val="0"/>
        <w:snapToGrid w:val="0"/>
        <w:spacing w:line="380" w:lineRule="exact"/>
        <w:ind w:firstLine="223" w:firstLineChars="100"/>
        <w:textAlignment w:val="bottom"/>
        <w:rPr>
          <w:rFonts w:ascii="宋体" w:hAnsi="宋体"/>
          <w:b/>
          <w:color w:val="auto"/>
          <w:sz w:val="22"/>
        </w:rPr>
      </w:pPr>
      <w:r>
        <w:rPr>
          <w:rFonts w:hint="eastAsia" w:ascii="宋体" w:hAnsi="宋体"/>
          <w:b/>
          <w:color w:val="auto"/>
          <w:sz w:val="22"/>
        </w:rPr>
        <w:t>2. 培训计划</w:t>
      </w:r>
    </w:p>
    <w:p>
      <w:pPr>
        <w:widowControl/>
        <w:autoSpaceDE w:val="0"/>
        <w:autoSpaceDN w:val="0"/>
        <w:adjustRightInd w:val="0"/>
        <w:snapToGrid w:val="0"/>
        <w:spacing w:line="380" w:lineRule="exact"/>
        <w:ind w:firstLine="223" w:firstLineChars="100"/>
        <w:textAlignment w:val="bottom"/>
        <w:rPr>
          <w:rFonts w:ascii="宋体" w:hAnsi="宋体"/>
          <w:color w:val="auto"/>
          <w:sz w:val="22"/>
        </w:rPr>
      </w:pPr>
      <w:r>
        <w:rPr>
          <w:rFonts w:hint="eastAsia" w:ascii="宋体" w:hAnsi="宋体"/>
          <w:color w:val="auto"/>
          <w:sz w:val="22"/>
        </w:rPr>
        <w:t>2.1 中标（成交）供应商有义务对采购人采购设备的正常使用和维护提供必要的培训。</w:t>
      </w:r>
    </w:p>
    <w:p>
      <w:pPr>
        <w:widowControl/>
        <w:autoSpaceDE w:val="0"/>
        <w:autoSpaceDN w:val="0"/>
        <w:adjustRightInd w:val="0"/>
        <w:snapToGrid w:val="0"/>
        <w:spacing w:line="380" w:lineRule="exact"/>
        <w:ind w:firstLine="223" w:firstLineChars="100"/>
        <w:textAlignment w:val="bottom"/>
        <w:rPr>
          <w:rFonts w:ascii="宋体" w:hAnsi="宋体"/>
          <w:color w:val="auto"/>
          <w:sz w:val="22"/>
        </w:rPr>
      </w:pPr>
      <w:r>
        <w:rPr>
          <w:rFonts w:hint="eastAsia" w:ascii="宋体" w:hAnsi="宋体"/>
          <w:color w:val="auto"/>
          <w:sz w:val="22"/>
        </w:rPr>
        <w:t>2.2 旨在提供更好的其他方式培训。</w:t>
      </w:r>
    </w:p>
    <w:p>
      <w:pPr>
        <w:widowControl/>
        <w:autoSpaceDE w:val="0"/>
        <w:autoSpaceDN w:val="0"/>
        <w:adjustRightInd w:val="0"/>
        <w:snapToGrid w:val="0"/>
        <w:spacing w:line="380" w:lineRule="exact"/>
        <w:ind w:left="446" w:hanging="446" w:hangingChars="200"/>
        <w:textAlignment w:val="bottom"/>
        <w:rPr>
          <w:rFonts w:hint="default" w:ascii="宋体" w:hAnsi="宋体"/>
          <w:b/>
          <w:bCs/>
          <w:color w:val="auto"/>
          <w:sz w:val="22"/>
          <w:lang w:val="en-US" w:eastAsia="zh-CN"/>
        </w:rPr>
      </w:pPr>
      <w:r>
        <w:rPr>
          <w:rFonts w:hint="eastAsia" w:ascii="宋体" w:hAnsi="宋体"/>
          <w:b/>
          <w:color w:val="auto"/>
          <w:sz w:val="22"/>
        </w:rPr>
        <w:t xml:space="preserve">3. </w:t>
      </w:r>
      <w:r>
        <w:rPr>
          <w:rFonts w:hint="eastAsia" w:ascii="宋体" w:hAnsi="宋体"/>
          <w:b/>
          <w:color w:val="auto"/>
          <w:sz w:val="22"/>
          <w:lang w:val="en-US" w:eastAsia="zh-CN"/>
        </w:rPr>
        <w:t>完工期</w:t>
      </w:r>
      <w:r>
        <w:rPr>
          <w:rFonts w:hint="eastAsia" w:ascii="宋体" w:hAnsi="宋体"/>
          <w:b/>
          <w:color w:val="auto"/>
          <w:sz w:val="22"/>
          <w:lang w:val="en-US" w:eastAsia="zh-CN"/>
        </w:rPr>
        <w:br w:type="textWrapping"/>
      </w:r>
      <w:r>
        <w:rPr>
          <w:rFonts w:hint="eastAsia" w:ascii="宋体" w:hAnsi="宋体"/>
          <w:b/>
          <w:color w:val="auto"/>
          <w:sz w:val="22"/>
          <w:lang w:val="en-US" w:eastAsia="zh-CN"/>
        </w:rPr>
        <w:t>须在</w:t>
      </w:r>
      <w:r>
        <w:rPr>
          <w:rFonts w:hint="eastAsia" w:ascii="宋体" w:hAnsi="宋体"/>
          <w:b/>
          <w:bCs/>
          <w:color w:val="auto"/>
          <w:sz w:val="22"/>
        </w:rPr>
        <w:t>20</w:t>
      </w:r>
      <w:r>
        <w:rPr>
          <w:rFonts w:hint="eastAsia" w:ascii="宋体" w:hAnsi="宋体"/>
          <w:b/>
          <w:bCs/>
          <w:color w:val="auto"/>
          <w:sz w:val="22"/>
          <w:lang w:val="en-US" w:eastAsia="zh-CN"/>
        </w:rPr>
        <w:t>20</w:t>
      </w:r>
      <w:r>
        <w:rPr>
          <w:rFonts w:hint="eastAsia" w:ascii="宋体" w:hAnsi="宋体"/>
          <w:b/>
          <w:bCs/>
          <w:color w:val="auto"/>
          <w:sz w:val="22"/>
        </w:rPr>
        <w:t>年</w:t>
      </w:r>
      <w:r>
        <w:rPr>
          <w:rFonts w:hint="eastAsia" w:ascii="宋体" w:hAnsi="宋体"/>
          <w:b/>
          <w:bCs/>
          <w:color w:val="auto"/>
          <w:sz w:val="22"/>
          <w:lang w:val="en-US" w:eastAsia="zh-CN"/>
        </w:rPr>
        <w:t>7</w:t>
      </w:r>
      <w:r>
        <w:rPr>
          <w:rFonts w:hint="eastAsia" w:ascii="宋体" w:hAnsi="宋体"/>
          <w:b/>
          <w:bCs/>
          <w:color w:val="auto"/>
          <w:sz w:val="22"/>
        </w:rPr>
        <w:t>月</w:t>
      </w:r>
      <w:r>
        <w:rPr>
          <w:rFonts w:hint="eastAsia" w:ascii="宋体" w:hAnsi="宋体"/>
          <w:b/>
          <w:bCs/>
          <w:color w:val="auto"/>
          <w:sz w:val="22"/>
          <w:lang w:val="en-US" w:eastAsia="zh-CN"/>
        </w:rPr>
        <w:t>10</w:t>
      </w:r>
      <w:r>
        <w:rPr>
          <w:rFonts w:hint="eastAsia" w:ascii="宋体" w:hAnsi="宋体"/>
          <w:b/>
          <w:bCs/>
          <w:color w:val="auto"/>
          <w:sz w:val="22"/>
        </w:rPr>
        <w:t>日前完成平台的</w:t>
      </w:r>
      <w:r>
        <w:rPr>
          <w:rFonts w:hint="eastAsia" w:ascii="宋体" w:hAnsi="宋体"/>
          <w:b/>
          <w:bCs/>
          <w:color w:val="auto"/>
          <w:sz w:val="22"/>
          <w:lang w:val="en-US" w:eastAsia="zh-CN"/>
        </w:rPr>
        <w:t>项目建设及</w:t>
      </w:r>
      <w:r>
        <w:rPr>
          <w:rFonts w:hint="eastAsia" w:ascii="宋体" w:hAnsi="宋体"/>
          <w:b/>
          <w:bCs/>
          <w:color w:val="auto"/>
          <w:sz w:val="22"/>
        </w:rPr>
        <w:t>整体验收工作</w:t>
      </w:r>
      <w:r>
        <w:rPr>
          <w:rFonts w:hint="eastAsia" w:ascii="宋体" w:hAnsi="宋体"/>
          <w:b/>
          <w:bCs/>
          <w:color w:val="auto"/>
          <w:sz w:val="22"/>
          <w:lang w:val="en-US" w:eastAsia="zh-CN"/>
        </w:rPr>
        <w:t>。</w:t>
      </w:r>
    </w:p>
    <w:p>
      <w:pPr>
        <w:widowControl/>
        <w:autoSpaceDE w:val="0"/>
        <w:autoSpaceDN w:val="0"/>
        <w:adjustRightInd w:val="0"/>
        <w:snapToGrid w:val="0"/>
        <w:spacing w:line="380" w:lineRule="exact"/>
        <w:ind w:firstLine="223" w:firstLineChars="100"/>
        <w:textAlignment w:val="bottom"/>
        <w:rPr>
          <w:rFonts w:ascii="宋体" w:hAnsi="宋体"/>
          <w:b/>
          <w:color w:val="auto"/>
          <w:sz w:val="22"/>
        </w:rPr>
      </w:pPr>
      <w:r>
        <w:rPr>
          <w:rFonts w:hint="eastAsia" w:ascii="宋体" w:hAnsi="宋体"/>
          <w:b/>
          <w:color w:val="auto"/>
          <w:sz w:val="22"/>
          <w:lang w:val="en-US" w:eastAsia="zh-CN"/>
        </w:rPr>
        <w:t>4.</w:t>
      </w:r>
      <w:r>
        <w:rPr>
          <w:rFonts w:hint="eastAsia" w:ascii="宋体" w:hAnsi="宋体"/>
          <w:b/>
          <w:color w:val="auto"/>
          <w:sz w:val="22"/>
        </w:rPr>
        <w:t>付款方式</w:t>
      </w:r>
    </w:p>
    <w:p>
      <w:pPr>
        <w:widowControl/>
        <w:autoSpaceDE w:val="0"/>
        <w:autoSpaceDN w:val="0"/>
        <w:adjustRightInd w:val="0"/>
        <w:snapToGrid w:val="0"/>
        <w:spacing w:line="380" w:lineRule="exact"/>
        <w:ind w:left="1" w:firstLine="217" w:firstLineChars="98"/>
        <w:textAlignment w:val="bottom"/>
        <w:rPr>
          <w:rFonts w:hint="eastAsia" w:ascii="宋体" w:hAnsi="宋体" w:cs="Arial"/>
          <w:bCs/>
          <w:color w:val="auto"/>
          <w:sz w:val="22"/>
        </w:rPr>
      </w:pPr>
      <w:r>
        <w:rPr>
          <w:rFonts w:hint="eastAsia" w:ascii="宋体" w:hAnsi="宋体" w:cs="Arial"/>
          <w:bCs/>
          <w:color w:val="auto"/>
          <w:sz w:val="22"/>
        </w:rPr>
        <w:t>合同签订前</w:t>
      </w:r>
      <w:r>
        <w:rPr>
          <w:rFonts w:hint="eastAsia" w:ascii="宋体" w:hAnsi="宋体" w:cs="Arial"/>
          <w:bCs/>
          <w:color w:val="auto"/>
          <w:sz w:val="22"/>
          <w:lang w:eastAsia="zh-CN"/>
        </w:rPr>
        <w:t>，</w:t>
      </w:r>
      <w:r>
        <w:rPr>
          <w:rFonts w:hint="eastAsia" w:ascii="宋体" w:hAnsi="宋体" w:cs="Arial"/>
          <w:bCs/>
          <w:color w:val="auto"/>
          <w:sz w:val="22"/>
        </w:rPr>
        <w:t>中标（成交）供应商</w:t>
      </w:r>
      <w:r>
        <w:rPr>
          <w:rFonts w:hint="eastAsia" w:hAnsi="宋体" w:cs="Arial"/>
          <w:bCs/>
          <w:color w:val="auto"/>
          <w:sz w:val="22"/>
        </w:rPr>
        <w:t>提供合同</w:t>
      </w:r>
      <w:r>
        <w:rPr>
          <w:rFonts w:hint="eastAsia" w:ascii="宋体" w:hAnsi="宋体" w:cs="Arial"/>
          <w:bCs/>
          <w:color w:val="auto"/>
          <w:sz w:val="22"/>
        </w:rPr>
        <w:t>金额5%的履约保证金</w:t>
      </w:r>
      <w:r>
        <w:rPr>
          <w:rFonts w:hint="eastAsia" w:hAnsi="宋体" w:cs="Arial"/>
          <w:bCs/>
          <w:color w:val="auto"/>
          <w:sz w:val="22"/>
        </w:rPr>
        <w:t>至采购人账户</w:t>
      </w:r>
      <w:r>
        <w:rPr>
          <w:rFonts w:hint="eastAsia" w:ascii="宋体" w:hAnsi="宋体" w:cs="Arial"/>
          <w:bCs/>
          <w:color w:val="auto"/>
          <w:sz w:val="22"/>
        </w:rPr>
        <w:t>，验收合格后，履约保证金自动转为质量保证金，</w:t>
      </w:r>
      <w:r>
        <w:rPr>
          <w:rFonts w:hint="eastAsia" w:ascii="宋体" w:hAnsi="宋体" w:cs="Arial"/>
          <w:bCs/>
          <w:color w:val="auto"/>
          <w:sz w:val="22"/>
          <w:lang w:val="en-US" w:eastAsia="zh-CN"/>
        </w:rPr>
        <w:t>维护期满三年后无息</w:t>
      </w:r>
      <w:r>
        <w:rPr>
          <w:rFonts w:hint="eastAsia" w:ascii="宋体" w:hAnsi="宋体" w:cs="Arial"/>
          <w:bCs/>
          <w:color w:val="auto"/>
          <w:sz w:val="22"/>
        </w:rPr>
        <w:t>退还</w:t>
      </w:r>
      <w:r>
        <w:rPr>
          <w:rFonts w:hint="eastAsia" w:ascii="宋体" w:hAnsi="宋体" w:cs="Arial"/>
          <w:bCs/>
          <w:color w:val="auto"/>
          <w:sz w:val="22"/>
          <w:lang w:val="en-US" w:eastAsia="zh-CN"/>
        </w:rPr>
        <w:t>3</w:t>
      </w:r>
      <w:r>
        <w:rPr>
          <w:rFonts w:hint="eastAsia" w:ascii="宋体" w:hAnsi="宋体" w:cs="Arial"/>
          <w:bCs/>
          <w:color w:val="auto"/>
          <w:sz w:val="22"/>
        </w:rPr>
        <w:t>%，剩余</w:t>
      </w:r>
      <w:r>
        <w:rPr>
          <w:rFonts w:hint="eastAsia" w:ascii="宋体" w:hAnsi="宋体" w:cs="Arial"/>
          <w:bCs/>
          <w:color w:val="auto"/>
          <w:sz w:val="22"/>
          <w:lang w:val="en-US" w:eastAsia="zh-CN"/>
        </w:rPr>
        <w:t>2</w:t>
      </w:r>
      <w:r>
        <w:rPr>
          <w:rFonts w:hint="eastAsia" w:ascii="宋体" w:hAnsi="宋体" w:cs="Arial"/>
          <w:bCs/>
          <w:color w:val="auto"/>
          <w:sz w:val="22"/>
        </w:rPr>
        <w:t>%待</w:t>
      </w:r>
      <w:r>
        <w:rPr>
          <w:rFonts w:hint="eastAsia" w:ascii="宋体" w:hAnsi="宋体" w:cs="Arial"/>
          <w:bCs/>
          <w:color w:val="auto"/>
          <w:sz w:val="22"/>
          <w:lang w:val="en-US" w:eastAsia="zh-CN"/>
        </w:rPr>
        <w:t>维护期满五年后无息退还</w:t>
      </w:r>
      <w:r>
        <w:rPr>
          <w:rFonts w:hint="eastAsia" w:ascii="宋体" w:hAnsi="宋体" w:cs="Arial"/>
          <w:bCs/>
          <w:color w:val="auto"/>
          <w:sz w:val="22"/>
        </w:rPr>
        <w:t>。</w:t>
      </w:r>
    </w:p>
    <w:p>
      <w:pPr>
        <w:widowControl/>
        <w:autoSpaceDE w:val="0"/>
        <w:autoSpaceDN w:val="0"/>
        <w:adjustRightInd w:val="0"/>
        <w:snapToGrid w:val="0"/>
        <w:spacing w:line="380" w:lineRule="exact"/>
        <w:ind w:left="1" w:firstLine="217" w:firstLineChars="98"/>
        <w:textAlignment w:val="bottom"/>
        <w:rPr>
          <w:rFonts w:hint="eastAsia" w:ascii="宋体" w:hAnsi="宋体" w:cs="Arial"/>
          <w:bCs/>
          <w:color w:val="auto"/>
          <w:sz w:val="22"/>
        </w:rPr>
      </w:pPr>
      <w:r>
        <w:rPr>
          <w:rFonts w:hint="eastAsia" w:ascii="宋体" w:hAnsi="宋体" w:cs="Arial"/>
          <w:bCs/>
          <w:color w:val="auto"/>
          <w:sz w:val="22"/>
        </w:rPr>
        <w:t>合同签订后，所有系统开发完毕并正常运行后，经采购人验收合格，先行投入使用，采购人支付合同金额的20%；剩余的80%分四年支付</w:t>
      </w:r>
      <w:r>
        <w:rPr>
          <w:rFonts w:hint="eastAsia" w:ascii="宋体" w:hAnsi="宋体" w:cs="Arial"/>
          <w:bCs/>
          <w:color w:val="auto"/>
          <w:sz w:val="22"/>
          <w:lang w:eastAsia="zh-CN"/>
        </w:rPr>
        <w:t>，</w:t>
      </w:r>
      <w:r>
        <w:rPr>
          <w:rFonts w:hint="eastAsia" w:ascii="宋体" w:hAnsi="宋体" w:cs="Arial"/>
          <w:bCs/>
          <w:color w:val="auto"/>
          <w:sz w:val="22"/>
          <w:lang w:val="en-US" w:eastAsia="zh-CN"/>
        </w:rPr>
        <w:t>根据</w:t>
      </w:r>
      <w:r>
        <w:rPr>
          <w:rFonts w:hint="eastAsia" w:ascii="宋体" w:hAnsi="宋体" w:eastAsia="宋体" w:cs="宋体"/>
          <w:bCs/>
          <w:color w:val="auto"/>
          <w:sz w:val="22"/>
          <w:lang w:val="en-US" w:eastAsia="zh-CN"/>
        </w:rPr>
        <w:t>《泰顺县水利工程可视化项目考核管理办法》（暂定）</w:t>
      </w:r>
      <w:r>
        <w:rPr>
          <w:rFonts w:hint="eastAsia" w:ascii="宋体" w:hAnsi="宋体" w:cs="宋体"/>
          <w:bCs/>
          <w:color w:val="auto"/>
          <w:sz w:val="22"/>
          <w:lang w:val="en-US" w:eastAsia="zh-CN"/>
        </w:rPr>
        <w:t>（见本标书第五部分内容）</w:t>
      </w:r>
      <w:r>
        <w:rPr>
          <w:rFonts w:hint="eastAsia" w:ascii="宋体" w:hAnsi="宋体" w:eastAsia="宋体" w:cs="宋体"/>
          <w:bCs/>
          <w:color w:val="auto"/>
          <w:sz w:val="22"/>
          <w:lang w:val="en-US" w:eastAsia="zh-CN"/>
        </w:rPr>
        <w:t>，每季度进行考核</w:t>
      </w:r>
      <w:r>
        <w:rPr>
          <w:rFonts w:hint="eastAsia" w:ascii="宋体" w:hAnsi="宋体" w:cs="Arial"/>
          <w:bCs/>
          <w:color w:val="auto"/>
          <w:sz w:val="22"/>
        </w:rPr>
        <w:t>，每年支付合同总额的20%</w:t>
      </w:r>
      <w:r>
        <w:rPr>
          <w:rFonts w:hint="eastAsia" w:ascii="宋体" w:hAnsi="宋体" w:cs="Arial"/>
          <w:bCs/>
          <w:color w:val="auto"/>
          <w:sz w:val="22"/>
          <w:lang w:eastAsia="zh-CN"/>
        </w:rPr>
        <w:t>，</w:t>
      </w:r>
      <w:r>
        <w:rPr>
          <w:rFonts w:hint="eastAsia" w:ascii="宋体" w:hAnsi="宋体" w:cs="Arial"/>
          <w:bCs/>
          <w:color w:val="auto"/>
          <w:sz w:val="22"/>
          <w:lang w:val="en-US" w:eastAsia="zh-CN"/>
        </w:rPr>
        <w:t>考核达标的正常支付</w:t>
      </w:r>
      <w:r>
        <w:rPr>
          <w:rFonts w:hint="eastAsia" w:ascii="宋体" w:hAnsi="宋体" w:eastAsia="宋体" w:cs="宋体"/>
          <w:bCs/>
          <w:color w:val="auto"/>
          <w:sz w:val="22"/>
          <w:lang w:val="en-US" w:eastAsia="zh-CN"/>
        </w:rPr>
        <w:t>，若未达标的则按考核办法规定扣除一定比例的服务费用</w:t>
      </w:r>
      <w:r>
        <w:rPr>
          <w:rFonts w:hint="eastAsia" w:ascii="宋体" w:hAnsi="宋体" w:cs="Arial"/>
          <w:bCs/>
          <w:color w:val="auto"/>
          <w:sz w:val="22"/>
        </w:rPr>
        <w:t>。</w:t>
      </w:r>
    </w:p>
    <w:p>
      <w:pPr>
        <w:widowControl/>
        <w:autoSpaceDE w:val="0"/>
        <w:autoSpaceDN w:val="0"/>
        <w:adjustRightInd w:val="0"/>
        <w:snapToGrid w:val="0"/>
        <w:spacing w:line="380" w:lineRule="exact"/>
        <w:ind w:firstLine="223" w:firstLineChars="100"/>
        <w:textAlignment w:val="bottom"/>
        <w:rPr>
          <w:rFonts w:ascii="宋体" w:hAnsi="宋体"/>
          <w:b/>
          <w:color w:val="auto"/>
          <w:sz w:val="22"/>
        </w:rPr>
      </w:pPr>
      <w:r>
        <w:rPr>
          <w:rFonts w:hint="eastAsia" w:ascii="宋体" w:hAnsi="宋体"/>
          <w:b/>
          <w:color w:val="auto"/>
          <w:sz w:val="22"/>
          <w:lang w:val="en-US" w:eastAsia="zh-CN"/>
        </w:rPr>
        <w:t>5</w:t>
      </w:r>
      <w:r>
        <w:rPr>
          <w:rFonts w:hint="eastAsia" w:ascii="宋体" w:hAnsi="宋体"/>
          <w:b/>
          <w:color w:val="auto"/>
          <w:sz w:val="22"/>
        </w:rPr>
        <w:t>.验收</w:t>
      </w:r>
    </w:p>
    <w:p>
      <w:pPr>
        <w:widowControl/>
        <w:autoSpaceDE w:val="0"/>
        <w:autoSpaceDN w:val="0"/>
        <w:adjustRightInd w:val="0"/>
        <w:snapToGrid w:val="0"/>
        <w:spacing w:line="380" w:lineRule="exact"/>
        <w:ind w:left="2" w:leftChars="1"/>
        <w:textAlignment w:val="bottom"/>
        <w:rPr>
          <w:rFonts w:ascii="宋体" w:hAnsi="宋体"/>
          <w:b/>
          <w:color w:val="auto"/>
          <w:sz w:val="22"/>
        </w:rPr>
      </w:pPr>
      <w:r>
        <w:rPr>
          <w:rFonts w:hint="eastAsia" w:ascii="宋体" w:hAnsi="宋体"/>
          <w:color w:val="auto"/>
          <w:sz w:val="22"/>
        </w:rPr>
        <w:t>中标（成交）供应商</w:t>
      </w:r>
      <w:r>
        <w:rPr>
          <w:rFonts w:ascii="宋体" w:hAnsi="宋体"/>
          <w:color w:val="auto"/>
          <w:sz w:val="22"/>
        </w:rPr>
        <w:t>已按合同规定提供了符合</w:t>
      </w:r>
      <w:r>
        <w:rPr>
          <w:rFonts w:hint="eastAsia" w:ascii="宋体" w:hAnsi="宋体"/>
          <w:color w:val="auto"/>
          <w:sz w:val="22"/>
        </w:rPr>
        <w:t>招标文件</w:t>
      </w:r>
      <w:r>
        <w:rPr>
          <w:rFonts w:ascii="宋体" w:hAnsi="宋体"/>
          <w:color w:val="auto"/>
          <w:sz w:val="22"/>
        </w:rPr>
        <w:t>规定的要求的</w:t>
      </w:r>
      <w:r>
        <w:rPr>
          <w:rFonts w:hint="eastAsia" w:ascii="宋体" w:hAnsi="宋体"/>
          <w:color w:val="auto"/>
          <w:sz w:val="22"/>
          <w:lang w:val="en-US" w:eastAsia="zh-CN"/>
        </w:rPr>
        <w:t>内容</w:t>
      </w:r>
      <w:r>
        <w:rPr>
          <w:rFonts w:ascii="宋体" w:hAnsi="宋体"/>
          <w:color w:val="auto"/>
          <w:sz w:val="22"/>
        </w:rPr>
        <w:t>，</w:t>
      </w:r>
      <w:r>
        <w:rPr>
          <w:rFonts w:hint="eastAsia" w:ascii="宋体" w:hAnsi="宋体"/>
          <w:color w:val="auto"/>
          <w:sz w:val="22"/>
          <w:lang w:val="en-US" w:eastAsia="zh-CN"/>
        </w:rPr>
        <w:t>设备</w:t>
      </w:r>
      <w:r>
        <w:rPr>
          <w:rFonts w:ascii="宋体" w:hAnsi="宋体"/>
          <w:color w:val="auto"/>
          <w:sz w:val="22"/>
        </w:rPr>
        <w:t>经</w:t>
      </w:r>
      <w:r>
        <w:rPr>
          <w:rFonts w:hint="eastAsia" w:ascii="宋体" w:hAnsi="宋体"/>
          <w:color w:val="auto"/>
          <w:sz w:val="22"/>
        </w:rPr>
        <w:t>使用单位及质检部门</w:t>
      </w:r>
      <w:r>
        <w:rPr>
          <w:rFonts w:ascii="宋体" w:hAnsi="宋体"/>
          <w:color w:val="auto"/>
          <w:sz w:val="22"/>
        </w:rPr>
        <w:t>检验合格，所有的技术资料和清单已向</w:t>
      </w:r>
      <w:r>
        <w:rPr>
          <w:rFonts w:hint="eastAsia" w:ascii="宋体" w:hAnsi="宋体"/>
          <w:color w:val="auto"/>
          <w:sz w:val="22"/>
        </w:rPr>
        <w:t>采购人</w:t>
      </w:r>
      <w:r>
        <w:rPr>
          <w:rFonts w:ascii="宋体" w:hAnsi="宋体"/>
          <w:color w:val="auto"/>
          <w:sz w:val="22"/>
        </w:rPr>
        <w:t>提交并被接受，验收</w:t>
      </w:r>
      <w:r>
        <w:rPr>
          <w:rFonts w:hint="eastAsia" w:ascii="宋体" w:hAnsi="宋体"/>
          <w:bCs/>
          <w:color w:val="auto"/>
          <w:sz w:val="22"/>
          <w:szCs w:val="22"/>
        </w:rPr>
        <w:t>（验收费包含在报价总价中）</w:t>
      </w:r>
      <w:r>
        <w:rPr>
          <w:rFonts w:ascii="宋体" w:hAnsi="宋体"/>
          <w:color w:val="auto"/>
          <w:sz w:val="22"/>
        </w:rPr>
        <w:t>视为合格</w:t>
      </w:r>
      <w:r>
        <w:rPr>
          <w:rFonts w:hint="eastAsia" w:ascii="宋体" w:hAnsi="宋体"/>
          <w:color w:val="auto"/>
          <w:sz w:val="22"/>
        </w:rPr>
        <w:t>，</w:t>
      </w:r>
      <w:r>
        <w:rPr>
          <w:rFonts w:ascii="宋体" w:hAnsi="宋体"/>
          <w:color w:val="auto"/>
          <w:sz w:val="22"/>
        </w:rPr>
        <w:t xml:space="preserve"> 若因</w:t>
      </w:r>
      <w:r>
        <w:rPr>
          <w:rFonts w:hint="eastAsia" w:ascii="宋体" w:hAnsi="宋体"/>
          <w:color w:val="auto"/>
          <w:sz w:val="22"/>
        </w:rPr>
        <w:t>中标（成交）供应商</w:t>
      </w:r>
      <w:r>
        <w:rPr>
          <w:rFonts w:ascii="宋体" w:hAnsi="宋体"/>
          <w:color w:val="auto"/>
          <w:sz w:val="22"/>
        </w:rPr>
        <w:t>质量问题等导致验收不合格，</w:t>
      </w:r>
      <w:r>
        <w:rPr>
          <w:rFonts w:hint="eastAsia" w:ascii="宋体" w:hAnsi="宋体"/>
          <w:color w:val="auto"/>
          <w:sz w:val="22"/>
        </w:rPr>
        <w:t>中标（成交）供应商</w:t>
      </w:r>
      <w:r>
        <w:rPr>
          <w:rFonts w:ascii="宋体" w:hAnsi="宋体"/>
          <w:color w:val="auto"/>
          <w:sz w:val="22"/>
        </w:rPr>
        <w:t>应及时予以处理，直至验收合格，期间发生的一切费用由</w:t>
      </w:r>
      <w:r>
        <w:rPr>
          <w:rFonts w:hint="eastAsia" w:ascii="宋体" w:hAnsi="宋体"/>
          <w:color w:val="auto"/>
          <w:sz w:val="22"/>
        </w:rPr>
        <w:t>中标（成交）供应商</w:t>
      </w:r>
      <w:r>
        <w:rPr>
          <w:rFonts w:ascii="宋体" w:hAnsi="宋体"/>
          <w:color w:val="auto"/>
          <w:sz w:val="22"/>
        </w:rPr>
        <w:t>承担，采购人保留向</w:t>
      </w:r>
      <w:r>
        <w:rPr>
          <w:rFonts w:hint="eastAsia" w:ascii="宋体" w:hAnsi="宋体"/>
          <w:color w:val="auto"/>
          <w:sz w:val="22"/>
        </w:rPr>
        <w:t>中标（成交）供应商</w:t>
      </w:r>
      <w:r>
        <w:rPr>
          <w:rFonts w:ascii="宋体" w:hAnsi="宋体"/>
          <w:color w:val="auto"/>
          <w:sz w:val="22"/>
        </w:rPr>
        <w:t>索赔的权利</w:t>
      </w:r>
      <w:r>
        <w:rPr>
          <w:rFonts w:ascii="宋体" w:hAnsi="宋体"/>
          <w:b/>
          <w:color w:val="auto"/>
          <w:sz w:val="22"/>
        </w:rPr>
        <w:t>。</w:t>
      </w:r>
    </w:p>
    <w:p>
      <w:pPr>
        <w:adjustRightInd w:val="0"/>
        <w:snapToGrid w:val="0"/>
        <w:spacing w:line="380" w:lineRule="exact"/>
        <w:ind w:firstLine="223" w:firstLineChars="100"/>
        <w:rPr>
          <w:rFonts w:ascii="宋体" w:hAnsi="宋体"/>
          <w:b/>
          <w:color w:val="auto"/>
          <w:sz w:val="22"/>
        </w:rPr>
      </w:pPr>
      <w:r>
        <w:rPr>
          <w:rFonts w:hint="eastAsia" w:ascii="宋体" w:hAnsi="宋体"/>
          <w:b/>
          <w:color w:val="auto"/>
          <w:sz w:val="22"/>
          <w:lang w:val="en-US" w:eastAsia="zh-CN"/>
        </w:rPr>
        <w:t>6</w:t>
      </w:r>
      <w:r>
        <w:rPr>
          <w:rFonts w:hint="eastAsia" w:ascii="宋体" w:hAnsi="宋体"/>
          <w:b/>
          <w:color w:val="auto"/>
          <w:sz w:val="22"/>
        </w:rPr>
        <w:t>. 工作范围</w:t>
      </w:r>
    </w:p>
    <w:p>
      <w:pPr>
        <w:widowControl/>
        <w:autoSpaceDE w:val="0"/>
        <w:autoSpaceDN w:val="0"/>
        <w:adjustRightInd w:val="0"/>
        <w:spacing w:line="380" w:lineRule="exact"/>
        <w:textAlignment w:val="bottom"/>
        <w:rPr>
          <w:rFonts w:ascii="宋体" w:hAnsi="宋体"/>
          <w:color w:val="auto"/>
          <w:sz w:val="22"/>
        </w:rPr>
      </w:pPr>
      <w:r>
        <w:rPr>
          <w:rFonts w:hint="eastAsia" w:ascii="宋体" w:hAnsi="宋体"/>
          <w:color w:val="auto"/>
          <w:sz w:val="22"/>
        </w:rPr>
        <w:t>根据招标文件，各供应商须按国家有关标准及规范完成下列工作：</w:t>
      </w:r>
    </w:p>
    <w:p>
      <w:pPr>
        <w:widowControl/>
        <w:autoSpaceDE w:val="0"/>
        <w:autoSpaceDN w:val="0"/>
        <w:adjustRightInd w:val="0"/>
        <w:spacing w:line="380" w:lineRule="exact"/>
        <w:ind w:firstLine="223" w:firstLineChars="100"/>
        <w:textAlignment w:val="bottom"/>
        <w:rPr>
          <w:rFonts w:ascii="宋体" w:hAnsi="宋体"/>
          <w:color w:val="auto"/>
          <w:sz w:val="22"/>
        </w:rPr>
      </w:pPr>
      <w:r>
        <w:rPr>
          <w:rFonts w:hint="eastAsia" w:ascii="宋体" w:hAnsi="宋体"/>
          <w:color w:val="auto"/>
          <w:sz w:val="22"/>
          <w:lang w:val="en-US" w:eastAsia="zh-CN"/>
        </w:rPr>
        <w:t>6</w:t>
      </w:r>
      <w:r>
        <w:rPr>
          <w:rFonts w:hint="eastAsia" w:ascii="宋体" w:hAnsi="宋体"/>
          <w:color w:val="auto"/>
          <w:sz w:val="22"/>
        </w:rPr>
        <w:t xml:space="preserve">.1 </w:t>
      </w:r>
      <w:r>
        <w:rPr>
          <w:rFonts w:hint="eastAsia" w:ascii="宋体" w:hAnsi="宋体"/>
          <w:color w:val="auto"/>
          <w:sz w:val="22"/>
          <w:lang w:val="en-US" w:eastAsia="zh-CN"/>
        </w:rPr>
        <w:t>完成项目建设及提供相关运行维护服务</w:t>
      </w:r>
      <w:r>
        <w:rPr>
          <w:rFonts w:hint="eastAsia" w:ascii="宋体" w:hAnsi="宋体"/>
          <w:color w:val="auto"/>
          <w:sz w:val="22"/>
        </w:rPr>
        <w:t>；</w:t>
      </w:r>
    </w:p>
    <w:p>
      <w:pPr>
        <w:widowControl/>
        <w:autoSpaceDE w:val="0"/>
        <w:autoSpaceDN w:val="0"/>
        <w:adjustRightInd w:val="0"/>
        <w:spacing w:line="380" w:lineRule="exact"/>
        <w:ind w:firstLine="223" w:firstLineChars="100"/>
        <w:textAlignment w:val="bottom"/>
        <w:rPr>
          <w:rFonts w:ascii="宋体" w:hAnsi="宋体"/>
          <w:color w:val="auto"/>
          <w:sz w:val="22"/>
        </w:rPr>
      </w:pPr>
      <w:r>
        <w:rPr>
          <w:rFonts w:hint="eastAsia" w:ascii="宋体" w:hAnsi="宋体"/>
          <w:color w:val="auto"/>
          <w:sz w:val="22"/>
          <w:lang w:val="en-US" w:eastAsia="zh-CN"/>
        </w:rPr>
        <w:t>6</w:t>
      </w:r>
      <w:r>
        <w:rPr>
          <w:rFonts w:hint="eastAsia" w:ascii="宋体" w:hAnsi="宋体"/>
          <w:color w:val="auto"/>
          <w:sz w:val="22"/>
        </w:rPr>
        <w:t>.2 产品及相关附件的提供、运输、装卸、就位、安装、调试、检验、通过验收；</w:t>
      </w:r>
    </w:p>
    <w:p>
      <w:pPr>
        <w:widowControl/>
        <w:autoSpaceDE w:val="0"/>
        <w:autoSpaceDN w:val="0"/>
        <w:adjustRightInd w:val="0"/>
        <w:spacing w:line="380" w:lineRule="exact"/>
        <w:ind w:left="2" w:firstLine="223" w:firstLineChars="100"/>
        <w:textAlignment w:val="bottom"/>
        <w:rPr>
          <w:rFonts w:ascii="宋体" w:hAnsi="宋体"/>
          <w:color w:val="auto"/>
          <w:sz w:val="22"/>
        </w:rPr>
      </w:pPr>
      <w:r>
        <w:rPr>
          <w:rFonts w:hint="eastAsia" w:ascii="宋体" w:hAnsi="宋体"/>
          <w:color w:val="auto"/>
          <w:sz w:val="22"/>
          <w:lang w:val="en-US" w:eastAsia="zh-CN"/>
        </w:rPr>
        <w:t>6</w:t>
      </w:r>
      <w:r>
        <w:rPr>
          <w:rFonts w:hint="eastAsia" w:ascii="宋体" w:hAnsi="宋体"/>
          <w:color w:val="auto"/>
          <w:sz w:val="22"/>
        </w:rPr>
        <w:t>.3 完成各项调试、检验、测试工作，并在采购人的配合下通过的验收；提供各种数据资料；直至通过验收。包括所涉及的配置和调试、维护。</w:t>
      </w:r>
    </w:p>
    <w:p>
      <w:pPr>
        <w:widowControl/>
        <w:autoSpaceDE w:val="0"/>
        <w:autoSpaceDN w:val="0"/>
        <w:adjustRightInd w:val="0"/>
        <w:spacing w:line="380" w:lineRule="exact"/>
        <w:ind w:firstLine="223" w:firstLineChars="100"/>
        <w:textAlignment w:val="bottom"/>
        <w:rPr>
          <w:rFonts w:ascii="宋体" w:hAnsi="宋体"/>
          <w:color w:val="auto"/>
          <w:sz w:val="22"/>
        </w:rPr>
      </w:pPr>
      <w:r>
        <w:rPr>
          <w:rFonts w:hint="eastAsia" w:ascii="宋体" w:hAnsi="宋体"/>
          <w:color w:val="auto"/>
          <w:sz w:val="22"/>
        </w:rPr>
        <w:t>5.4 对最终使用单位的操作人员及维修人员进行技术培训；</w:t>
      </w:r>
    </w:p>
    <w:p>
      <w:pPr>
        <w:widowControl/>
        <w:autoSpaceDE w:val="0"/>
        <w:autoSpaceDN w:val="0"/>
        <w:adjustRightInd w:val="0"/>
        <w:spacing w:line="380" w:lineRule="exact"/>
        <w:ind w:firstLine="223" w:firstLineChars="100"/>
        <w:textAlignment w:val="bottom"/>
        <w:rPr>
          <w:rFonts w:ascii="宋体" w:hAnsi="宋体"/>
          <w:color w:val="auto"/>
          <w:sz w:val="22"/>
        </w:rPr>
      </w:pPr>
      <w:r>
        <w:rPr>
          <w:rFonts w:hint="eastAsia" w:ascii="宋体" w:hAnsi="宋体"/>
          <w:color w:val="auto"/>
          <w:sz w:val="22"/>
        </w:rPr>
        <w:t xml:space="preserve">5.5 </w:t>
      </w:r>
      <w:r>
        <w:rPr>
          <w:rFonts w:hint="eastAsia" w:ascii="宋体" w:hAnsi="宋体"/>
          <w:color w:val="auto"/>
          <w:sz w:val="22"/>
          <w:lang w:val="en-US" w:eastAsia="zh-CN"/>
        </w:rPr>
        <w:t>服务</w:t>
      </w:r>
      <w:r>
        <w:rPr>
          <w:rFonts w:hint="eastAsia" w:ascii="宋体" w:hAnsi="宋体"/>
          <w:color w:val="auto"/>
          <w:sz w:val="22"/>
        </w:rPr>
        <w:t>期内系统的维保及维修；</w:t>
      </w:r>
    </w:p>
    <w:p>
      <w:pPr>
        <w:widowControl/>
        <w:autoSpaceDE w:val="0"/>
        <w:autoSpaceDN w:val="0"/>
        <w:adjustRightInd w:val="0"/>
        <w:spacing w:line="380" w:lineRule="exact"/>
        <w:ind w:firstLine="223" w:firstLineChars="100"/>
        <w:textAlignment w:val="bottom"/>
        <w:rPr>
          <w:rFonts w:ascii="宋体" w:hAnsi="宋体"/>
          <w:color w:val="auto"/>
          <w:sz w:val="22"/>
        </w:rPr>
      </w:pPr>
      <w:r>
        <w:rPr>
          <w:rFonts w:hint="eastAsia" w:ascii="宋体" w:hAnsi="宋体"/>
          <w:color w:val="auto"/>
          <w:sz w:val="22"/>
        </w:rPr>
        <w:t>5.6 售后服务的措施及承诺。</w:t>
      </w:r>
    </w:p>
    <w:p>
      <w:pPr>
        <w:adjustRightInd w:val="0"/>
        <w:snapToGrid w:val="0"/>
        <w:spacing w:line="380" w:lineRule="exact"/>
        <w:ind w:left="710" w:leftChars="229" w:hanging="223" w:hangingChars="100"/>
        <w:rPr>
          <w:b/>
          <w:color w:val="auto"/>
          <w:sz w:val="22"/>
        </w:rPr>
      </w:pPr>
      <w:r>
        <w:rPr>
          <w:rFonts w:hint="eastAsia"/>
          <w:color w:val="auto"/>
          <w:sz w:val="22"/>
        </w:rPr>
        <w:t>以上工作内容的费用均包含在投标总价中。</w:t>
      </w:r>
    </w:p>
    <w:p>
      <w:pPr>
        <w:rPr>
          <w:color w:val="auto"/>
          <w:lang w:val="zh-CN"/>
        </w:rPr>
      </w:pPr>
    </w:p>
    <w:p>
      <w:pPr>
        <w:spacing w:line="400" w:lineRule="exact"/>
        <w:outlineLvl w:val="0"/>
        <w:rPr>
          <w:rFonts w:ascii="宋体"/>
          <w:color w:val="auto"/>
          <w:sz w:val="22"/>
        </w:rPr>
      </w:pPr>
    </w:p>
    <w:p>
      <w:pPr>
        <w:rPr>
          <w:color w:val="auto"/>
          <w:lang w:val="zh-CN"/>
        </w:rPr>
      </w:pPr>
    </w:p>
    <w:p>
      <w:pPr>
        <w:widowControl/>
        <w:autoSpaceDE w:val="0"/>
        <w:autoSpaceDN w:val="0"/>
        <w:adjustRightInd w:val="0"/>
        <w:snapToGrid w:val="0"/>
        <w:spacing w:line="380" w:lineRule="exact"/>
        <w:ind w:left="1" w:firstLine="217" w:firstLineChars="98"/>
        <w:textAlignment w:val="bottom"/>
        <w:rPr>
          <w:rFonts w:ascii="宋体" w:hAnsi="宋体" w:cs="Arial"/>
          <w:bCs/>
          <w:color w:val="auto"/>
          <w:sz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pStyle w:val="6"/>
        <w:rPr>
          <w:rFonts w:ascii="宋体" w:hAnsi="宋体"/>
          <w:b/>
          <w:color w:val="auto"/>
          <w:sz w:val="22"/>
          <w:szCs w:val="22"/>
        </w:rPr>
      </w:pPr>
    </w:p>
    <w:p>
      <w:pPr>
        <w:adjustRightInd w:val="0"/>
        <w:snapToGrid w:val="0"/>
        <w:spacing w:line="454" w:lineRule="atLeast"/>
        <w:jc w:val="center"/>
        <w:rPr>
          <w:rFonts w:ascii="宋体"/>
          <w:b/>
          <w:color w:val="auto"/>
          <w:sz w:val="32"/>
          <w:szCs w:val="32"/>
        </w:rPr>
      </w:pPr>
      <w:r>
        <w:rPr>
          <w:rFonts w:hint="eastAsia" w:ascii="宋体" w:hAnsi="宋体"/>
          <w:b/>
          <w:color w:val="auto"/>
          <w:sz w:val="32"/>
          <w:szCs w:val="32"/>
        </w:rPr>
        <w:t>第三部分</w:t>
      </w:r>
      <w:r>
        <w:rPr>
          <w:rFonts w:ascii="宋体" w:hAnsi="宋体"/>
          <w:b/>
          <w:color w:val="auto"/>
          <w:sz w:val="32"/>
          <w:szCs w:val="32"/>
        </w:rPr>
        <w:t xml:space="preserve">   </w:t>
      </w:r>
      <w:r>
        <w:rPr>
          <w:rFonts w:hint="eastAsia" w:ascii="宋体" w:hAnsi="宋体"/>
          <w:b/>
          <w:color w:val="auto"/>
          <w:sz w:val="32"/>
          <w:szCs w:val="32"/>
        </w:rPr>
        <w:t>供应商须知</w:t>
      </w:r>
    </w:p>
    <w:p>
      <w:pPr>
        <w:pStyle w:val="3"/>
        <w:spacing w:before="0" w:after="0" w:line="400" w:lineRule="atLeast"/>
        <w:rPr>
          <w:rFonts w:ascii="宋体"/>
          <w:bCs w:val="0"/>
          <w:color w:val="auto"/>
          <w:sz w:val="22"/>
          <w:szCs w:val="22"/>
          <w:lang w:val="zh-CN"/>
        </w:rPr>
      </w:pPr>
      <w:r>
        <w:rPr>
          <w:rFonts w:hint="eastAsia" w:ascii="宋体" w:hAnsi="宋体"/>
          <w:bCs w:val="0"/>
          <w:color w:val="auto"/>
          <w:sz w:val="22"/>
          <w:szCs w:val="22"/>
          <w:lang w:val="zh-CN"/>
        </w:rPr>
        <w:t>一、说明</w:t>
      </w:r>
    </w:p>
    <w:p>
      <w:pPr>
        <w:adjustRightInd w:val="0"/>
        <w:spacing w:line="400" w:lineRule="atLeast"/>
        <w:ind w:firstLine="436" w:firstLineChars="196"/>
        <w:rPr>
          <w:rFonts w:ascii="宋体"/>
          <w:color w:val="auto"/>
          <w:sz w:val="22"/>
          <w:szCs w:val="22"/>
        </w:rPr>
      </w:pPr>
      <w:r>
        <w:rPr>
          <w:rFonts w:ascii="宋体"/>
          <w:color w:val="auto"/>
          <w:sz w:val="22"/>
          <w:szCs w:val="22"/>
        </w:rPr>
        <w:t>1</w:t>
      </w:r>
      <w:r>
        <w:rPr>
          <w:rFonts w:hint="eastAsia" w:ascii="宋体"/>
          <w:color w:val="auto"/>
          <w:sz w:val="22"/>
          <w:szCs w:val="22"/>
        </w:rPr>
        <w:t>、</w:t>
      </w:r>
      <w:r>
        <w:rPr>
          <w:rFonts w:hint="eastAsia" w:ascii="宋体" w:hAnsi="宋体" w:cs="仿宋_GB2312"/>
          <w:color w:val="auto"/>
          <w:sz w:val="22"/>
          <w:szCs w:val="22"/>
          <w:lang w:val="zh-CN"/>
        </w:rPr>
        <w:t>本次采购工作是按照《中华人民共和国政府采购法》、《政府采购货物和服务招标投标管理办法》及相关法律规章组织和实施。</w:t>
      </w:r>
    </w:p>
    <w:p>
      <w:pPr>
        <w:adjustRightInd w:val="0"/>
        <w:spacing w:line="400" w:lineRule="atLeast"/>
        <w:ind w:firstLine="436" w:firstLineChars="196"/>
        <w:rPr>
          <w:rFonts w:ascii="宋体"/>
          <w:color w:val="auto"/>
          <w:sz w:val="22"/>
          <w:szCs w:val="22"/>
        </w:rPr>
      </w:pPr>
      <w:r>
        <w:rPr>
          <w:rFonts w:ascii="宋体"/>
          <w:color w:val="auto"/>
          <w:sz w:val="22"/>
          <w:szCs w:val="22"/>
        </w:rPr>
        <w:t>2</w:t>
      </w:r>
      <w:r>
        <w:rPr>
          <w:rFonts w:hint="eastAsia" w:ascii="宋体"/>
          <w:color w:val="auto"/>
          <w:sz w:val="22"/>
          <w:szCs w:val="22"/>
        </w:rPr>
        <w:t>、</w:t>
      </w:r>
      <w:r>
        <w:rPr>
          <w:rFonts w:hint="eastAsia" w:ascii="宋体"/>
          <w:color w:val="auto"/>
          <w:sz w:val="22"/>
          <w:szCs w:val="22"/>
          <w:lang w:val="en-US" w:eastAsia="zh-CN"/>
        </w:rPr>
        <w:t>本项目为购买服务项目。本项目无核心产品。</w:t>
      </w:r>
      <w:r>
        <w:rPr>
          <w:rFonts w:hint="eastAsia" w:ascii="宋体" w:hAnsi="宋体"/>
          <w:color w:val="auto"/>
          <w:sz w:val="22"/>
          <w:szCs w:val="22"/>
        </w:rPr>
        <w:t>供应商必须对本项目全部内容进行投标报价，只对部分内容进行报价的供应商将按无效投标处理。</w:t>
      </w:r>
    </w:p>
    <w:p>
      <w:pPr>
        <w:adjustRightInd w:val="0"/>
        <w:spacing w:line="400" w:lineRule="atLeast"/>
        <w:ind w:firstLine="436" w:firstLineChars="196"/>
        <w:rPr>
          <w:rFonts w:ascii="宋体"/>
          <w:color w:val="auto"/>
          <w:sz w:val="22"/>
          <w:szCs w:val="22"/>
        </w:rPr>
      </w:pPr>
      <w:r>
        <w:rPr>
          <w:rFonts w:ascii="宋体"/>
          <w:color w:val="auto"/>
          <w:sz w:val="22"/>
          <w:szCs w:val="22"/>
        </w:rPr>
        <w:t>3</w:t>
      </w:r>
      <w:r>
        <w:rPr>
          <w:rFonts w:hint="eastAsia" w:ascii="宋体"/>
          <w:color w:val="auto"/>
          <w:sz w:val="22"/>
          <w:szCs w:val="22"/>
        </w:rPr>
        <w:t>、无论投标过程中的作法和结果如何，供应商自行承担投标活动中所发生的全部费用；采购人有权选择供应商的供货和服务范围。</w:t>
      </w:r>
    </w:p>
    <w:p>
      <w:pPr>
        <w:adjustRightInd w:val="0"/>
        <w:spacing w:line="400" w:lineRule="atLeast"/>
        <w:ind w:firstLine="436" w:firstLineChars="196"/>
        <w:rPr>
          <w:rFonts w:ascii="宋体"/>
          <w:color w:val="auto"/>
          <w:sz w:val="22"/>
          <w:szCs w:val="22"/>
        </w:rPr>
      </w:pPr>
      <w:r>
        <w:rPr>
          <w:rFonts w:ascii="宋体"/>
          <w:color w:val="auto"/>
          <w:sz w:val="22"/>
          <w:szCs w:val="22"/>
        </w:rPr>
        <w:t>4</w:t>
      </w:r>
      <w:r>
        <w:rPr>
          <w:rFonts w:hint="eastAsia" w:ascii="宋体"/>
          <w:color w:val="auto"/>
          <w:sz w:val="22"/>
          <w:szCs w:val="22"/>
        </w:rPr>
        <w:t>、本次采购采用《资格文件》</w:t>
      </w:r>
      <w:r>
        <w:rPr>
          <w:rFonts w:hint="eastAsia" w:ascii="宋体"/>
          <w:color w:val="auto"/>
          <w:sz w:val="22"/>
          <w:szCs w:val="22"/>
          <w:lang w:val="en-US" w:eastAsia="zh-CN"/>
        </w:rPr>
        <w:t>及</w:t>
      </w:r>
      <w:r>
        <w:rPr>
          <w:rFonts w:hint="eastAsia" w:ascii="宋体"/>
          <w:color w:val="auto"/>
          <w:sz w:val="22"/>
          <w:szCs w:val="22"/>
        </w:rPr>
        <w:t>《商务技术文件》</w:t>
      </w:r>
      <w:r>
        <w:rPr>
          <w:rFonts w:hint="eastAsia" w:ascii="宋体"/>
          <w:color w:val="auto"/>
          <w:sz w:val="22"/>
          <w:szCs w:val="22"/>
          <w:lang w:val="en-US" w:eastAsia="zh-CN"/>
        </w:rPr>
        <w:t>和</w:t>
      </w:r>
      <w:r>
        <w:rPr>
          <w:rFonts w:hint="eastAsia" w:ascii="宋体"/>
          <w:color w:val="auto"/>
          <w:sz w:val="22"/>
          <w:szCs w:val="22"/>
        </w:rPr>
        <w:t>《</w:t>
      </w:r>
      <w:r>
        <w:rPr>
          <w:rFonts w:hint="eastAsia" w:ascii="宋体"/>
          <w:color w:val="auto"/>
          <w:sz w:val="22"/>
          <w:szCs w:val="22"/>
          <w:lang w:val="en-US" w:eastAsia="zh-CN"/>
        </w:rPr>
        <w:t>报价</w:t>
      </w:r>
      <w:r>
        <w:rPr>
          <w:rFonts w:hint="eastAsia" w:ascii="宋体"/>
          <w:color w:val="auto"/>
          <w:sz w:val="22"/>
          <w:szCs w:val="22"/>
        </w:rPr>
        <w:t>文件》分别评审，评标委员会首先评审供应商《商务技术文件》，《商务技术文件》无效的供应商不进入《</w:t>
      </w:r>
      <w:r>
        <w:rPr>
          <w:rFonts w:hint="eastAsia" w:ascii="宋体"/>
          <w:color w:val="auto"/>
          <w:sz w:val="22"/>
          <w:szCs w:val="22"/>
          <w:lang w:val="en-US" w:eastAsia="zh-CN"/>
        </w:rPr>
        <w:t>报价</w:t>
      </w:r>
      <w:r>
        <w:rPr>
          <w:rFonts w:hint="eastAsia" w:ascii="宋体"/>
          <w:color w:val="auto"/>
          <w:sz w:val="22"/>
          <w:szCs w:val="22"/>
        </w:rPr>
        <w:t>文件》评审。要求供应商《资格文件》</w:t>
      </w:r>
      <w:r>
        <w:rPr>
          <w:rFonts w:hint="eastAsia" w:ascii="宋体"/>
          <w:color w:val="auto"/>
          <w:sz w:val="22"/>
          <w:szCs w:val="22"/>
          <w:lang w:val="en-US" w:eastAsia="zh-CN"/>
        </w:rPr>
        <w:t>及</w:t>
      </w:r>
      <w:r>
        <w:rPr>
          <w:rFonts w:hint="eastAsia" w:ascii="宋体"/>
          <w:color w:val="auto"/>
          <w:sz w:val="22"/>
          <w:szCs w:val="22"/>
        </w:rPr>
        <w:t>《商务技术文件》中不得含产品报价，否则做无效投标处理。</w:t>
      </w:r>
    </w:p>
    <w:p>
      <w:pPr>
        <w:adjustRightInd w:val="0"/>
        <w:spacing w:line="400" w:lineRule="atLeast"/>
        <w:ind w:firstLine="436" w:firstLineChars="196"/>
        <w:rPr>
          <w:rFonts w:ascii="宋体"/>
          <w:color w:val="auto"/>
          <w:sz w:val="22"/>
        </w:rPr>
      </w:pPr>
      <w:r>
        <w:rPr>
          <w:rFonts w:ascii="宋体"/>
          <w:color w:val="auto"/>
          <w:sz w:val="22"/>
          <w:szCs w:val="22"/>
        </w:rPr>
        <w:t>5</w:t>
      </w:r>
      <w:r>
        <w:rPr>
          <w:rFonts w:hint="eastAsia" w:ascii="宋体"/>
          <w:color w:val="auto"/>
          <w:sz w:val="22"/>
          <w:szCs w:val="22"/>
        </w:rPr>
        <w:t>、</w:t>
      </w:r>
      <w:r>
        <w:rPr>
          <w:rFonts w:hint="eastAsia" w:ascii="宋体"/>
          <w:color w:val="auto"/>
          <w:sz w:val="22"/>
        </w:rPr>
        <w:t>知识产权</w:t>
      </w:r>
    </w:p>
    <w:p>
      <w:pPr>
        <w:adjustRightInd w:val="0"/>
        <w:spacing w:line="400" w:lineRule="atLeast"/>
        <w:ind w:firstLine="436" w:firstLineChars="196"/>
        <w:rPr>
          <w:rFonts w:ascii="宋体"/>
          <w:color w:val="auto"/>
          <w:sz w:val="22"/>
        </w:rPr>
      </w:pPr>
      <w:r>
        <w:rPr>
          <w:rFonts w:ascii="宋体"/>
          <w:color w:val="auto"/>
          <w:sz w:val="22"/>
        </w:rPr>
        <w:t>5.1</w:t>
      </w:r>
      <w:r>
        <w:rPr>
          <w:rFonts w:hint="eastAsia" w:ascii="宋体"/>
          <w:color w:val="auto"/>
          <w:sz w:val="22"/>
        </w:rPr>
        <w:t>供应商应保证，采购人在中华人民共和国使用货物和服务的任何一部分时，免受第三方提出侵犯其专利权、商标权或其它知识产权的起诉。</w:t>
      </w:r>
    </w:p>
    <w:p>
      <w:pPr>
        <w:adjustRightInd w:val="0"/>
        <w:spacing w:line="400" w:lineRule="atLeast"/>
        <w:ind w:firstLine="436" w:firstLineChars="196"/>
        <w:rPr>
          <w:rFonts w:ascii="宋体"/>
          <w:color w:val="auto"/>
          <w:sz w:val="22"/>
        </w:rPr>
      </w:pPr>
      <w:r>
        <w:rPr>
          <w:rFonts w:ascii="宋体"/>
          <w:color w:val="auto"/>
          <w:sz w:val="22"/>
        </w:rPr>
        <w:t>5.2</w:t>
      </w:r>
      <w:r>
        <w:rPr>
          <w:rFonts w:hint="eastAsia" w:ascii="宋体"/>
          <w:color w:val="auto"/>
          <w:sz w:val="22"/>
        </w:rPr>
        <w:t>投标供应商应对采购人在使用该产品时所涉及到的专利权负责，不损害采购人的利益。</w:t>
      </w:r>
    </w:p>
    <w:p>
      <w:pPr>
        <w:adjustRightInd w:val="0"/>
        <w:spacing w:line="400" w:lineRule="atLeast"/>
        <w:ind w:firstLine="436" w:firstLineChars="196"/>
        <w:rPr>
          <w:rFonts w:ascii="宋体"/>
          <w:color w:val="auto"/>
          <w:sz w:val="22"/>
        </w:rPr>
      </w:pPr>
      <w:r>
        <w:rPr>
          <w:rFonts w:ascii="宋体"/>
          <w:color w:val="auto"/>
          <w:sz w:val="22"/>
        </w:rPr>
        <w:t>5.3</w:t>
      </w:r>
      <w:r>
        <w:rPr>
          <w:rFonts w:hint="eastAsia" w:ascii="宋体"/>
          <w:color w:val="auto"/>
          <w:sz w:val="22"/>
        </w:rPr>
        <w:t>报价应包括所有应支付的对专利权和版权、设计或其他知识产权而需要向其他方支付的版税。</w:t>
      </w:r>
    </w:p>
    <w:p>
      <w:pPr>
        <w:adjustRightInd w:val="0"/>
        <w:spacing w:line="400" w:lineRule="atLeast"/>
        <w:ind w:firstLine="436" w:firstLineChars="196"/>
        <w:rPr>
          <w:rFonts w:ascii="宋体"/>
          <w:color w:val="auto"/>
          <w:sz w:val="22"/>
        </w:rPr>
      </w:pPr>
      <w:r>
        <w:rPr>
          <w:rFonts w:ascii="宋体"/>
          <w:color w:val="auto"/>
          <w:sz w:val="22"/>
        </w:rPr>
        <w:t>5.4</w:t>
      </w:r>
      <w:r>
        <w:rPr>
          <w:rFonts w:hint="eastAsia" w:ascii="宋体"/>
          <w:color w:val="auto"/>
          <w:sz w:val="22"/>
        </w:rPr>
        <w:t>投标供应商提供得货物中如使用其他公司的相关专利，应在标书中出示相关授权，如未出示但使用了其他公司的专利，导致供应商中标而引起相关诉讼，由投标供应商承担。</w:t>
      </w:r>
    </w:p>
    <w:p>
      <w:pPr>
        <w:adjustRightInd w:val="0"/>
        <w:spacing w:line="400" w:lineRule="atLeast"/>
        <w:ind w:firstLine="436" w:firstLineChars="196"/>
        <w:rPr>
          <w:rFonts w:ascii="宋体"/>
          <w:color w:val="auto"/>
          <w:sz w:val="22"/>
        </w:rPr>
      </w:pPr>
      <w:r>
        <w:rPr>
          <w:rFonts w:ascii="宋体"/>
          <w:color w:val="auto"/>
          <w:sz w:val="22"/>
        </w:rPr>
        <w:t>6</w:t>
      </w:r>
      <w:r>
        <w:rPr>
          <w:rFonts w:hint="eastAsia" w:ascii="宋体"/>
          <w:color w:val="auto"/>
          <w:sz w:val="22"/>
        </w:rPr>
        <w:t>、</w:t>
      </w:r>
      <w:r>
        <w:rPr>
          <w:rFonts w:hint="eastAsia" w:ascii="宋体"/>
          <w:color w:val="auto"/>
          <w:sz w:val="22"/>
          <w:lang w:val="en-US" w:eastAsia="zh-CN"/>
        </w:rPr>
        <w:t>本项目</w:t>
      </w:r>
      <w:r>
        <w:rPr>
          <w:rFonts w:hint="eastAsia" w:ascii="宋体" w:hAnsi="宋体"/>
          <w:color w:val="auto"/>
          <w:sz w:val="22"/>
        </w:rPr>
        <w:t>。</w:t>
      </w:r>
    </w:p>
    <w:p>
      <w:pPr>
        <w:adjustRightInd w:val="0"/>
        <w:spacing w:line="400" w:lineRule="atLeast"/>
        <w:ind w:firstLine="436" w:firstLineChars="196"/>
        <w:rPr>
          <w:rFonts w:ascii="宋体" w:cs="??_GB2312"/>
          <w:color w:val="auto"/>
          <w:sz w:val="22"/>
          <w:lang w:val="zh-CN"/>
        </w:rPr>
      </w:pPr>
      <w:r>
        <w:rPr>
          <w:rFonts w:hint="eastAsia" w:ascii="宋体" w:hAnsi="宋体" w:cs="??_GB2312"/>
          <w:color w:val="auto"/>
          <w:sz w:val="22"/>
        </w:rPr>
        <w:t>7、</w:t>
      </w:r>
      <w:r>
        <w:rPr>
          <w:rFonts w:hint="eastAsia" w:ascii="宋体" w:hAnsi="宋体" w:cs="??_GB2312"/>
          <w:color w:val="auto"/>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adjustRightInd w:val="0"/>
        <w:spacing w:line="400" w:lineRule="atLeast"/>
        <w:ind w:firstLine="436" w:firstLineChars="196"/>
        <w:rPr>
          <w:rFonts w:ascii="宋体" w:cs="仿宋_GB2312"/>
          <w:color w:val="auto"/>
          <w:sz w:val="22"/>
          <w:szCs w:val="22"/>
          <w:lang w:val="zh-CN"/>
        </w:rPr>
      </w:pPr>
      <w:r>
        <w:rPr>
          <w:rFonts w:hint="eastAsia" w:ascii="宋体" w:hAnsi="宋体" w:cs="仿宋_GB2312"/>
          <w:color w:val="auto"/>
          <w:sz w:val="22"/>
          <w:szCs w:val="22"/>
        </w:rPr>
        <w:t>8、</w:t>
      </w:r>
      <w:r>
        <w:rPr>
          <w:rFonts w:hint="eastAsia" w:ascii="宋体" w:hAnsi="宋体" w:cs="仿宋_GB2312"/>
          <w:color w:val="auto"/>
          <w:sz w:val="22"/>
          <w:szCs w:val="22"/>
          <w:lang w:val="zh-CN"/>
        </w:rPr>
        <w:t>为采购项目提供整体设计、规范编制或者项目管理、监理、检测等服务的供应商，不得再参加该采购项目的其他采购活动。</w:t>
      </w:r>
    </w:p>
    <w:p>
      <w:pPr>
        <w:adjustRightInd w:val="0"/>
        <w:spacing w:line="400" w:lineRule="atLeast"/>
        <w:ind w:firstLine="436" w:firstLineChars="196"/>
        <w:rPr>
          <w:rFonts w:ascii="宋体" w:cs="仿宋_GB2312"/>
          <w:color w:val="auto"/>
          <w:sz w:val="22"/>
          <w:szCs w:val="22"/>
          <w:lang w:val="zh-CN"/>
        </w:rPr>
      </w:pPr>
      <w:r>
        <w:rPr>
          <w:rFonts w:hint="eastAsia" w:ascii="宋体" w:hAnsi="宋体" w:cs="仿宋_GB2312"/>
          <w:color w:val="auto"/>
          <w:sz w:val="22"/>
          <w:szCs w:val="22"/>
        </w:rPr>
        <w:t>9</w:t>
      </w:r>
      <w:r>
        <w:rPr>
          <w:rFonts w:hint="eastAsia" w:ascii="宋体" w:hAnsi="宋体" w:cs="仿宋_GB2312"/>
          <w:color w:val="auto"/>
          <w:sz w:val="22"/>
          <w:szCs w:val="22"/>
          <w:lang w:val="zh-CN"/>
        </w:rPr>
        <w:t>、本项目投标文件签章须采用供应商正式公章，不得以投标专用章或业务章、合同章等代替。</w:t>
      </w:r>
    </w:p>
    <w:p>
      <w:pPr>
        <w:autoSpaceDE w:val="0"/>
        <w:autoSpaceDN w:val="0"/>
        <w:adjustRightInd w:val="0"/>
        <w:spacing w:line="400" w:lineRule="atLeast"/>
        <w:ind w:firstLine="446" w:firstLineChars="200"/>
        <w:textAlignment w:val="bottom"/>
        <w:rPr>
          <w:rFonts w:ascii="宋体"/>
          <w:b/>
          <w:color w:val="auto"/>
          <w:sz w:val="22"/>
          <w:szCs w:val="22"/>
        </w:rPr>
      </w:pPr>
      <w:r>
        <w:rPr>
          <w:rFonts w:hint="eastAsia" w:ascii="宋体" w:hAnsi="宋体"/>
          <w:color w:val="auto"/>
          <w:sz w:val="22"/>
          <w:szCs w:val="22"/>
        </w:rPr>
        <w:t>10、</w:t>
      </w:r>
      <w:r>
        <w:rPr>
          <w:rFonts w:hint="eastAsia" w:ascii="宋体" w:hAnsi="宋体"/>
          <w:b/>
          <w:color w:val="auto"/>
          <w:sz w:val="22"/>
          <w:szCs w:val="22"/>
        </w:rPr>
        <w:t>▲供应商须具有良好的商业信誉：</w:t>
      </w:r>
    </w:p>
    <w:p>
      <w:pPr>
        <w:autoSpaceDE w:val="0"/>
        <w:autoSpaceDN w:val="0"/>
        <w:adjustRightInd w:val="0"/>
        <w:spacing w:line="400" w:lineRule="atLeast"/>
        <w:ind w:firstLine="446" w:firstLineChars="200"/>
        <w:textAlignment w:val="bottom"/>
        <w:rPr>
          <w:rFonts w:ascii="宋体"/>
          <w:b/>
          <w:color w:val="auto"/>
          <w:sz w:val="22"/>
          <w:szCs w:val="22"/>
          <w:u w:val="single"/>
        </w:rPr>
      </w:pPr>
      <w:r>
        <w:rPr>
          <w:rFonts w:ascii="宋体" w:hAnsi="宋体"/>
          <w:b/>
          <w:color w:val="auto"/>
          <w:sz w:val="22"/>
          <w:szCs w:val="22"/>
          <w:u w:val="single"/>
        </w:rPr>
        <w:t>1</w:t>
      </w:r>
      <w:r>
        <w:rPr>
          <w:rFonts w:hint="eastAsia" w:ascii="宋体" w:hAnsi="宋体"/>
          <w:b/>
          <w:color w:val="auto"/>
          <w:sz w:val="22"/>
          <w:szCs w:val="22"/>
          <w:u w:val="single"/>
        </w:rPr>
        <w:t>）供应商在全国企业信用信息公示系统网：（</w:t>
      </w:r>
      <w:r>
        <w:rPr>
          <w:rFonts w:ascii="宋体" w:hAnsi="宋体"/>
          <w:b/>
          <w:color w:val="auto"/>
          <w:sz w:val="22"/>
          <w:szCs w:val="22"/>
          <w:u w:val="single"/>
        </w:rPr>
        <w:t>http://gsxt.saic.gov.cn/</w:t>
      </w:r>
      <w:r>
        <w:rPr>
          <w:rFonts w:hint="eastAsia" w:ascii="宋体" w:hAnsi="宋体"/>
          <w:b/>
          <w:color w:val="auto"/>
          <w:sz w:val="22"/>
          <w:szCs w:val="22"/>
          <w:u w:val="single"/>
        </w:rPr>
        <w:t>）无严重违法企业记录。</w:t>
      </w:r>
      <w:r>
        <w:rPr>
          <w:rFonts w:ascii="宋体" w:hAnsi="宋体"/>
          <w:b/>
          <w:color w:val="auto"/>
          <w:sz w:val="22"/>
          <w:szCs w:val="22"/>
          <w:u w:val="single"/>
        </w:rPr>
        <w:t xml:space="preserve">    </w:t>
      </w:r>
    </w:p>
    <w:p>
      <w:pPr>
        <w:autoSpaceDE w:val="0"/>
        <w:autoSpaceDN w:val="0"/>
        <w:adjustRightInd w:val="0"/>
        <w:spacing w:line="400" w:lineRule="atLeast"/>
        <w:ind w:firstLine="446" w:firstLineChars="200"/>
        <w:textAlignment w:val="bottom"/>
        <w:rPr>
          <w:rFonts w:ascii="宋体"/>
          <w:b/>
          <w:color w:val="auto"/>
          <w:sz w:val="22"/>
          <w:szCs w:val="22"/>
          <w:u w:val="single"/>
        </w:rPr>
      </w:pPr>
      <w:r>
        <w:rPr>
          <w:rFonts w:ascii="宋体" w:hAnsi="宋体"/>
          <w:b/>
          <w:color w:val="auto"/>
          <w:sz w:val="22"/>
          <w:szCs w:val="22"/>
          <w:u w:val="single"/>
        </w:rPr>
        <w:t>2</w:t>
      </w:r>
      <w:r>
        <w:rPr>
          <w:rFonts w:hint="eastAsia" w:ascii="宋体" w:hAnsi="宋体"/>
          <w:b/>
          <w:color w:val="auto"/>
          <w:sz w:val="22"/>
          <w:szCs w:val="22"/>
          <w:u w:val="single"/>
        </w:rPr>
        <w:t>）供应商在中国执行信息公开网（</w:t>
      </w:r>
      <w:r>
        <w:rPr>
          <w:rFonts w:ascii="宋体" w:hAnsi="宋体"/>
          <w:b/>
          <w:color w:val="auto"/>
          <w:sz w:val="22"/>
          <w:szCs w:val="22"/>
          <w:u w:val="single"/>
        </w:rPr>
        <w:t>http://shixin.court.gov.cn/</w:t>
      </w:r>
      <w:r>
        <w:rPr>
          <w:rFonts w:hint="eastAsia" w:ascii="宋体" w:hAnsi="宋体"/>
          <w:b/>
          <w:color w:val="auto"/>
          <w:sz w:val="22"/>
          <w:szCs w:val="22"/>
          <w:u w:val="single"/>
        </w:rPr>
        <w:t>）无失信信息记录。</w:t>
      </w:r>
      <w:r>
        <w:rPr>
          <w:rFonts w:ascii="宋体" w:hAnsi="宋体"/>
          <w:b/>
          <w:color w:val="auto"/>
          <w:sz w:val="22"/>
          <w:szCs w:val="22"/>
          <w:u w:val="single"/>
        </w:rPr>
        <w:t xml:space="preserve">   </w:t>
      </w:r>
    </w:p>
    <w:p>
      <w:pPr>
        <w:autoSpaceDE w:val="0"/>
        <w:autoSpaceDN w:val="0"/>
        <w:adjustRightInd w:val="0"/>
        <w:spacing w:line="400" w:lineRule="atLeast"/>
        <w:ind w:firstLine="446" w:firstLineChars="200"/>
        <w:textAlignment w:val="bottom"/>
        <w:rPr>
          <w:rFonts w:ascii="宋体"/>
          <w:b/>
          <w:color w:val="auto"/>
          <w:sz w:val="22"/>
          <w:szCs w:val="22"/>
          <w:u w:val="single"/>
        </w:rPr>
      </w:pPr>
      <w:r>
        <w:rPr>
          <w:rFonts w:ascii="宋体" w:hAnsi="宋体"/>
          <w:b/>
          <w:color w:val="auto"/>
          <w:sz w:val="22"/>
          <w:szCs w:val="22"/>
          <w:u w:val="single"/>
        </w:rPr>
        <w:t>3</w:t>
      </w:r>
      <w:r>
        <w:rPr>
          <w:rFonts w:hint="eastAsia" w:ascii="宋体" w:hAnsi="宋体"/>
          <w:b/>
          <w:color w:val="auto"/>
          <w:sz w:val="22"/>
          <w:szCs w:val="22"/>
          <w:u w:val="single"/>
        </w:rPr>
        <w:t>）供应商在中国政府采购网（</w:t>
      </w:r>
      <w:r>
        <w:rPr>
          <w:rFonts w:ascii="宋体" w:hAnsi="宋体"/>
          <w:b/>
          <w:color w:val="auto"/>
          <w:sz w:val="22"/>
          <w:szCs w:val="22"/>
          <w:u w:val="single"/>
        </w:rPr>
        <w:t>http://www.ccgp.gov.cn/cr/list</w:t>
      </w:r>
      <w:r>
        <w:rPr>
          <w:rFonts w:hint="eastAsia" w:ascii="宋体" w:hAnsi="宋体"/>
          <w:b/>
          <w:color w:val="auto"/>
          <w:sz w:val="22"/>
          <w:szCs w:val="22"/>
          <w:u w:val="single"/>
        </w:rPr>
        <w:t>）无严重违法行为记录。</w:t>
      </w:r>
      <w:r>
        <w:rPr>
          <w:rFonts w:ascii="宋体" w:hAnsi="宋体"/>
          <w:b/>
          <w:color w:val="auto"/>
          <w:sz w:val="22"/>
          <w:szCs w:val="22"/>
          <w:u w:val="single"/>
        </w:rPr>
        <w:t xml:space="preserve">   </w:t>
      </w:r>
    </w:p>
    <w:p>
      <w:pPr>
        <w:widowControl/>
        <w:snapToGrid w:val="0"/>
        <w:spacing w:line="400" w:lineRule="atLeast"/>
        <w:ind w:firstLine="446" w:firstLineChars="200"/>
        <w:jc w:val="left"/>
        <w:rPr>
          <w:rFonts w:ascii="宋体"/>
          <w:b/>
          <w:color w:val="auto"/>
          <w:sz w:val="22"/>
          <w:szCs w:val="22"/>
          <w:u w:val="single"/>
        </w:rPr>
      </w:pPr>
      <w:r>
        <w:rPr>
          <w:rFonts w:ascii="宋体" w:hAnsi="宋体"/>
          <w:b/>
          <w:color w:val="auto"/>
          <w:sz w:val="22"/>
          <w:szCs w:val="22"/>
          <w:u w:val="single"/>
        </w:rPr>
        <w:t xml:space="preserve"> 4</w:t>
      </w:r>
      <w:r>
        <w:rPr>
          <w:rFonts w:hint="eastAsia" w:ascii="宋体" w:hAnsi="宋体"/>
          <w:b/>
          <w:color w:val="auto"/>
          <w:sz w:val="22"/>
          <w:szCs w:val="22"/>
          <w:u w:val="single"/>
        </w:rPr>
        <w:t>）未被各级财政部门列入政府采购黑名单或被各级财政部门禁止参加政府采购项目投标。</w:t>
      </w:r>
      <w:r>
        <w:rPr>
          <w:rFonts w:ascii="宋体" w:hAnsi="宋体"/>
          <w:b/>
          <w:color w:val="auto"/>
          <w:sz w:val="22"/>
          <w:szCs w:val="22"/>
          <w:u w:val="single"/>
        </w:rPr>
        <w:t xml:space="preserve">    </w:t>
      </w:r>
      <w:r>
        <w:rPr>
          <w:rFonts w:hint="eastAsia" w:ascii="宋体" w:hAnsi="宋体" w:cs="宋体"/>
          <w:color w:val="auto"/>
          <w:sz w:val="22"/>
          <w:szCs w:val="22"/>
        </w:rPr>
        <w:t>▲</w:t>
      </w:r>
      <w:r>
        <w:rPr>
          <w:rFonts w:hint="eastAsia" w:ascii="宋体" w:hAnsi="宋体"/>
          <w:b/>
          <w:color w:val="auto"/>
          <w:sz w:val="22"/>
          <w:szCs w:val="22"/>
          <w:u w:val="single"/>
        </w:rPr>
        <w:t>如供应商有上述情形并参与本项目投标的，一经查实，其投标做无效投标处理。</w:t>
      </w:r>
    </w:p>
    <w:p>
      <w:pPr>
        <w:widowControl/>
        <w:snapToGrid w:val="0"/>
        <w:spacing w:line="400" w:lineRule="atLeast"/>
        <w:ind w:firstLine="446" w:firstLineChars="200"/>
        <w:jc w:val="left"/>
        <w:rPr>
          <w:rFonts w:ascii="宋体"/>
          <w:b/>
          <w:color w:val="auto"/>
          <w:sz w:val="22"/>
          <w:szCs w:val="22"/>
        </w:rPr>
      </w:pPr>
      <w:r>
        <w:rPr>
          <w:rFonts w:ascii="宋体" w:hAnsi="宋体"/>
          <w:b/>
          <w:color w:val="auto"/>
          <w:sz w:val="22"/>
          <w:szCs w:val="22"/>
        </w:rPr>
        <w:t>1</w:t>
      </w:r>
      <w:r>
        <w:rPr>
          <w:rFonts w:hint="eastAsia" w:ascii="宋体" w:hAnsi="宋体"/>
          <w:b/>
          <w:color w:val="auto"/>
          <w:sz w:val="22"/>
          <w:szCs w:val="22"/>
        </w:rPr>
        <w:t>1、</w:t>
      </w:r>
      <w:r>
        <w:rPr>
          <w:rFonts w:hint="eastAsia" w:ascii="宋体" w:hAnsi="宋体"/>
          <w:b/>
          <w:color w:val="auto"/>
          <w:sz w:val="22"/>
          <w:szCs w:val="22"/>
          <w:u w:val="single"/>
        </w:rPr>
        <w:t>▲中标</w:t>
      </w:r>
      <w:r>
        <w:rPr>
          <w:rFonts w:ascii="宋体" w:hAnsi="宋体"/>
          <w:b/>
          <w:color w:val="auto"/>
          <w:sz w:val="22"/>
          <w:szCs w:val="22"/>
          <w:u w:val="single"/>
        </w:rPr>
        <w:t>/</w:t>
      </w:r>
      <w:r>
        <w:rPr>
          <w:rFonts w:hint="eastAsia" w:ascii="宋体" w:hAnsi="宋体"/>
          <w:b/>
          <w:color w:val="auto"/>
          <w:sz w:val="22"/>
          <w:szCs w:val="22"/>
          <w:u w:val="single"/>
        </w:rPr>
        <w:t>成交方必须通过浙江政府采购网（</w:t>
      </w:r>
      <w:r>
        <w:rPr>
          <w:rFonts w:ascii="宋体" w:hAnsi="宋体"/>
          <w:b/>
          <w:color w:val="auto"/>
          <w:sz w:val="22"/>
          <w:szCs w:val="22"/>
          <w:u w:val="single"/>
        </w:rPr>
        <w:t>http://www.zjzfcg.gov.cn/</w:t>
      </w:r>
      <w:r>
        <w:rPr>
          <w:rFonts w:hint="eastAsia" w:ascii="宋体" w:hAnsi="宋体"/>
          <w:b/>
          <w:color w:val="auto"/>
          <w:sz w:val="22"/>
          <w:szCs w:val="22"/>
          <w:u w:val="single"/>
        </w:rPr>
        <w:t>）或各地分网站，向注册所在地或组织采购活动的招标代理机构（包括招标代理机构和社会中介招标代理机构）、采购单位等进行注册申请，按规定审核后，登记加入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u w:val="single"/>
        </w:rPr>
        <w:t>“</w:t>
      </w:r>
      <w:r>
        <w:rPr>
          <w:rFonts w:hint="eastAsia" w:ascii="宋体" w:hAnsi="宋体"/>
          <w:b/>
          <w:color w:val="auto"/>
          <w:sz w:val="22"/>
          <w:szCs w:val="22"/>
          <w:u w:val="single"/>
        </w:rPr>
        <w:t>浙江省政府采购供应商库</w:t>
      </w:r>
      <w:r>
        <w:rPr>
          <w:rFonts w:hint="eastAsia" w:ascii="宋体"/>
          <w:b/>
          <w:color w:val="auto"/>
          <w:sz w:val="22"/>
          <w:szCs w:val="22"/>
          <w:u w:val="single"/>
        </w:rPr>
        <w:t>”</w:t>
      </w:r>
      <w:r>
        <w:rPr>
          <w:rFonts w:hint="eastAsia" w:ascii="宋体" w:hAnsi="宋体"/>
          <w:b/>
          <w:color w:val="auto"/>
          <w:sz w:val="22"/>
          <w:szCs w:val="22"/>
          <w:u w:val="single"/>
        </w:rPr>
        <w:t>。</w:t>
      </w:r>
    </w:p>
    <w:p>
      <w:pPr>
        <w:widowControl/>
        <w:snapToGrid w:val="0"/>
        <w:spacing w:line="400" w:lineRule="atLeast"/>
        <w:ind w:firstLine="486" w:firstLineChars="200"/>
        <w:jc w:val="left"/>
        <w:rPr>
          <w:rFonts w:ascii="宋体"/>
          <w:color w:val="auto"/>
          <w:sz w:val="22"/>
          <w:szCs w:val="22"/>
        </w:rPr>
      </w:pPr>
      <w:r>
        <w:rPr>
          <w:rFonts w:ascii="宋体" w:hAnsi="宋体" w:cs="宋体"/>
          <w:color w:val="auto"/>
          <w:sz w:val="24"/>
        </w:rPr>
        <w:t>1</w:t>
      </w:r>
      <w:r>
        <w:rPr>
          <w:rFonts w:hint="eastAsia" w:ascii="宋体" w:hAnsi="宋体" w:cs="宋体"/>
          <w:color w:val="auto"/>
          <w:sz w:val="24"/>
        </w:rPr>
        <w:t>2、▲</w:t>
      </w:r>
      <w:r>
        <w:rPr>
          <w:rFonts w:hint="eastAsia" w:ascii="宋体" w:hAnsi="宋体"/>
          <w:color w:val="auto"/>
          <w:sz w:val="22"/>
          <w:szCs w:val="22"/>
        </w:rPr>
        <w:t>供应商获取招标文件后如不前来投标，须在投标截止</w:t>
      </w:r>
      <w:r>
        <w:rPr>
          <w:rFonts w:ascii="宋体" w:hAnsi="宋体"/>
          <w:color w:val="auto"/>
          <w:sz w:val="22"/>
          <w:szCs w:val="22"/>
        </w:rPr>
        <w:t>24</w:t>
      </w:r>
      <w:r>
        <w:rPr>
          <w:rFonts w:hint="eastAsia" w:ascii="宋体" w:hAnsi="宋体"/>
          <w:color w:val="auto"/>
          <w:sz w:val="22"/>
          <w:szCs w:val="22"/>
        </w:rPr>
        <w:t>小时之前（上班时间）通知采购人或招标代理机构，以便于本项目后续工作开展。</w:t>
      </w:r>
    </w:p>
    <w:p>
      <w:pPr>
        <w:widowControl/>
        <w:snapToGrid w:val="0"/>
        <w:spacing w:line="400" w:lineRule="atLeast"/>
        <w:ind w:firstLine="446" w:firstLineChars="200"/>
        <w:rPr>
          <w:rFonts w:ascii="宋体"/>
          <w:color w:val="auto"/>
          <w:sz w:val="22"/>
          <w:szCs w:val="22"/>
          <w:u w:val="single"/>
        </w:rPr>
      </w:pPr>
      <w:r>
        <w:rPr>
          <w:rFonts w:hint="eastAsia" w:ascii="宋体" w:hAnsi="宋体"/>
          <w:color w:val="auto"/>
          <w:sz w:val="22"/>
          <w:szCs w:val="22"/>
        </w:rPr>
        <w:t>13、</w:t>
      </w:r>
      <w:r>
        <w:rPr>
          <w:rFonts w:hint="eastAsia" w:ascii="宋体" w:hAnsi="宋体"/>
          <w:color w:val="auto"/>
          <w:sz w:val="22"/>
          <w:szCs w:val="22"/>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u w:val="single"/>
        </w:rPr>
        <w:t xml:space="preserve"> </w:t>
      </w:r>
      <w:r>
        <w:rPr>
          <w:rFonts w:hint="eastAsia" w:ascii="宋体" w:hAnsi="宋体"/>
          <w:color w:val="auto"/>
          <w:sz w:val="22"/>
          <w:szCs w:val="22"/>
          <w:u w:val="single"/>
        </w:rPr>
        <w:t>：浙江政府采购网（</w:t>
      </w:r>
      <w:r>
        <w:rPr>
          <w:rFonts w:ascii="宋体" w:hAnsi="宋体"/>
          <w:color w:val="auto"/>
          <w:sz w:val="22"/>
          <w:szCs w:val="22"/>
          <w:u w:val="single"/>
        </w:rPr>
        <w:t>http://www.zjzfcg.gov.cn/</w:t>
      </w:r>
      <w:r>
        <w:rPr>
          <w:rFonts w:hint="eastAsia" w:ascii="宋体" w:hAnsi="宋体"/>
          <w:color w:val="auto"/>
          <w:sz w:val="22"/>
          <w:szCs w:val="22"/>
          <w:u w:val="single"/>
        </w:rPr>
        <w:t>）或泰顺县人民政府网（</w:t>
      </w:r>
      <w:r>
        <w:rPr>
          <w:rFonts w:ascii="宋体" w:hAnsi="宋体"/>
          <w:color w:val="auto"/>
          <w:sz w:val="22"/>
          <w:szCs w:val="22"/>
          <w:u w:val="single"/>
        </w:rPr>
        <w:t>http://www.ts.gov.cn/</w:t>
      </w:r>
      <w:r>
        <w:rPr>
          <w:rFonts w:hint="eastAsia" w:ascii="宋体" w:hAnsi="宋体"/>
          <w:color w:val="auto"/>
          <w:sz w:val="22"/>
          <w:szCs w:val="22"/>
          <w:u w:val="single"/>
        </w:rPr>
        <w:t>））</w:t>
      </w:r>
      <w:r>
        <w:rPr>
          <w:rFonts w:ascii="宋体"/>
          <w:color w:val="auto"/>
          <w:sz w:val="22"/>
          <w:szCs w:val="22"/>
          <w:u w:val="single"/>
        </w:rPr>
        <w:t>,</w:t>
      </w:r>
      <w:r>
        <w:rPr>
          <w:rFonts w:hint="eastAsia" w:ascii="宋体" w:hAnsi="宋体"/>
          <w:color w:val="auto"/>
          <w:sz w:val="22"/>
          <w:szCs w:val="22"/>
          <w:u w:val="single"/>
        </w:rPr>
        <w:t>招标文件如有补充更正均见浙江政府采购网（</w:t>
      </w:r>
      <w:r>
        <w:rPr>
          <w:rFonts w:ascii="宋体" w:hAnsi="宋体"/>
          <w:color w:val="auto"/>
          <w:sz w:val="22"/>
          <w:szCs w:val="22"/>
          <w:u w:val="single"/>
        </w:rPr>
        <w:t>http://www.zjzfcg.gov.cn/</w:t>
      </w:r>
      <w:r>
        <w:rPr>
          <w:rFonts w:hint="eastAsia" w:ascii="宋体" w:hAnsi="宋体"/>
          <w:color w:val="auto"/>
          <w:sz w:val="22"/>
          <w:szCs w:val="22"/>
          <w:u w:val="single"/>
        </w:rPr>
        <w:t>）或泰顺县人民政府网（</w:t>
      </w:r>
      <w:r>
        <w:rPr>
          <w:rFonts w:ascii="宋体" w:hAnsi="宋体"/>
          <w:color w:val="auto"/>
          <w:sz w:val="22"/>
          <w:szCs w:val="22"/>
          <w:u w:val="single"/>
        </w:rPr>
        <w:t>http://www.ts.gov.cn/</w:t>
      </w:r>
      <w:r>
        <w:rPr>
          <w:rFonts w:hint="eastAsia" w:ascii="宋体" w:hAnsi="宋体"/>
          <w:color w:val="auto"/>
          <w:sz w:val="22"/>
          <w:szCs w:val="22"/>
          <w:u w:val="single"/>
        </w:rPr>
        <w:t>）。供应商须在投标截止前自行查看是否有补充、更正文件，并按补充、更正文件要求投标，否则责任自负。</w:t>
      </w:r>
    </w:p>
    <w:p>
      <w:pPr>
        <w:autoSpaceDE w:val="0"/>
        <w:autoSpaceDN w:val="0"/>
        <w:adjustRightInd w:val="0"/>
        <w:snapToGrid w:val="0"/>
        <w:spacing w:line="400" w:lineRule="atLeast"/>
        <w:rPr>
          <w:rFonts w:ascii="宋体"/>
          <w:b/>
          <w:bCs/>
          <w:color w:val="auto"/>
          <w:sz w:val="24"/>
          <w:lang w:val="zh-CN"/>
        </w:rPr>
      </w:pPr>
      <w:r>
        <w:rPr>
          <w:rFonts w:hint="eastAsia" w:ascii="宋体"/>
          <w:b/>
          <w:bCs/>
          <w:color w:val="auto"/>
          <w:sz w:val="24"/>
          <w:lang w:val="zh-CN"/>
        </w:rPr>
        <w:t>二、招标文件</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1.</w:t>
      </w:r>
      <w:r>
        <w:rPr>
          <w:rFonts w:hint="eastAsia" w:ascii="宋体"/>
          <w:color w:val="auto"/>
          <w:sz w:val="22"/>
          <w:szCs w:val="22"/>
        </w:rPr>
        <w:t>招标文件</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1.1 </w:t>
      </w:r>
      <w:r>
        <w:rPr>
          <w:rFonts w:hint="eastAsia" w:ascii="宋体"/>
          <w:color w:val="auto"/>
          <w:sz w:val="22"/>
          <w:szCs w:val="22"/>
        </w:rPr>
        <w:t>招标文件约束力</w:t>
      </w:r>
    </w:p>
    <w:p>
      <w:pPr>
        <w:autoSpaceDE w:val="0"/>
        <w:autoSpaceDN w:val="0"/>
        <w:adjustRightInd w:val="0"/>
        <w:snapToGrid w:val="0"/>
        <w:spacing w:line="400" w:lineRule="atLeast"/>
        <w:ind w:firstLine="436" w:firstLineChars="196"/>
        <w:textAlignment w:val="bottom"/>
        <w:rPr>
          <w:rFonts w:ascii="宋体"/>
          <w:color w:val="auto"/>
          <w:sz w:val="22"/>
          <w:szCs w:val="22"/>
          <w:u w:val="single"/>
        </w:rPr>
      </w:pPr>
      <w:r>
        <w:rPr>
          <w:rFonts w:hint="eastAsia" w:ascii="宋体"/>
          <w:color w:val="auto"/>
          <w:sz w:val="22"/>
          <w:szCs w:val="22"/>
          <w:u w:val="single"/>
        </w:rPr>
        <w:t>▲供应商一旦获取了本招标文件并参加投标，即被认为接受了本招标文件中所有条款和规定。</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1.2 </w:t>
      </w:r>
      <w:r>
        <w:rPr>
          <w:rFonts w:hint="eastAsia" w:ascii="宋体"/>
          <w:color w:val="auto"/>
          <w:sz w:val="22"/>
          <w:szCs w:val="22"/>
        </w:rPr>
        <w:t>招标文件的组成</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hint="eastAsia" w:ascii="宋体"/>
          <w:color w:val="auto"/>
          <w:sz w:val="22"/>
          <w:szCs w:val="22"/>
        </w:rPr>
        <w:t>招标文件由招标文件总目录所列内容及补充资料等组成。</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2.</w:t>
      </w:r>
      <w:r>
        <w:rPr>
          <w:rFonts w:hint="eastAsia" w:ascii="宋体"/>
          <w:color w:val="auto"/>
          <w:sz w:val="22"/>
          <w:szCs w:val="22"/>
        </w:rPr>
        <w:t>招标文件的澄清</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hint="eastAsia" w:ascii="宋体"/>
          <w:color w:val="auto"/>
          <w:sz w:val="22"/>
          <w:szCs w:val="22"/>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3.</w:t>
      </w:r>
      <w:r>
        <w:rPr>
          <w:rFonts w:hint="eastAsia" w:ascii="宋体"/>
          <w:color w:val="auto"/>
          <w:sz w:val="22"/>
          <w:szCs w:val="22"/>
        </w:rPr>
        <w:t>招标文件的修改</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3.1 </w:t>
      </w:r>
      <w:r>
        <w:rPr>
          <w:rFonts w:hint="eastAsia" w:ascii="宋体"/>
          <w:color w:val="auto"/>
          <w:sz w:val="22"/>
          <w:szCs w:val="22"/>
        </w:rPr>
        <w:t>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3.2 </w:t>
      </w:r>
      <w:r>
        <w:rPr>
          <w:rFonts w:hint="eastAsia" w:ascii="宋体"/>
          <w:color w:val="auto"/>
          <w:sz w:val="22"/>
          <w:szCs w:val="22"/>
        </w:rPr>
        <w:t>澄清或者修改的内容可能影响投标文件编制的，采购人或者招标代理机构在投标截止时间至少</w:t>
      </w:r>
      <w:r>
        <w:rPr>
          <w:rFonts w:ascii="宋体"/>
          <w:color w:val="auto"/>
          <w:sz w:val="22"/>
          <w:szCs w:val="22"/>
        </w:rPr>
        <w:t>15</w:t>
      </w:r>
      <w:r>
        <w:rPr>
          <w:rFonts w:hint="eastAsia" w:ascii="宋体"/>
          <w:color w:val="auto"/>
          <w:sz w:val="22"/>
          <w:szCs w:val="22"/>
        </w:rPr>
        <w:t>日前，通知所有获取招标文件的潜在投标供应商；不足</w:t>
      </w:r>
      <w:r>
        <w:rPr>
          <w:rFonts w:ascii="宋体"/>
          <w:color w:val="auto"/>
          <w:sz w:val="22"/>
          <w:szCs w:val="22"/>
        </w:rPr>
        <w:t>15</w:t>
      </w:r>
      <w:r>
        <w:rPr>
          <w:rFonts w:hint="eastAsia" w:ascii="宋体"/>
          <w:color w:val="auto"/>
          <w:sz w:val="22"/>
          <w:szCs w:val="22"/>
        </w:rPr>
        <w:t>日的，采购人或者招标代理机构顺延提交投标文件的截止时间。</w:t>
      </w:r>
    </w:p>
    <w:p>
      <w:pPr>
        <w:autoSpaceDE w:val="0"/>
        <w:autoSpaceDN w:val="0"/>
        <w:adjustRightInd w:val="0"/>
        <w:snapToGrid w:val="0"/>
        <w:spacing w:line="400" w:lineRule="atLeast"/>
        <w:textAlignment w:val="bottom"/>
        <w:outlineLvl w:val="0"/>
        <w:rPr>
          <w:rFonts w:ascii="宋体"/>
          <w:b/>
          <w:bCs/>
          <w:color w:val="auto"/>
          <w:sz w:val="22"/>
          <w:szCs w:val="22"/>
        </w:rPr>
      </w:pPr>
      <w:r>
        <w:rPr>
          <w:rFonts w:hint="eastAsia" w:ascii="宋体"/>
          <w:b/>
          <w:bCs/>
          <w:color w:val="auto"/>
          <w:sz w:val="22"/>
          <w:szCs w:val="22"/>
        </w:rPr>
        <w:t>三、投标文件</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1.</w:t>
      </w:r>
      <w:r>
        <w:rPr>
          <w:rFonts w:hint="eastAsia" w:ascii="宋体"/>
          <w:color w:val="auto"/>
          <w:sz w:val="22"/>
          <w:szCs w:val="22"/>
        </w:rPr>
        <w:t>投标文件</w:t>
      </w:r>
    </w:p>
    <w:p>
      <w:pPr>
        <w:autoSpaceDE w:val="0"/>
        <w:autoSpaceDN w:val="0"/>
        <w:adjustRightInd w:val="0"/>
        <w:snapToGrid w:val="0"/>
        <w:spacing w:line="400" w:lineRule="atLeast"/>
        <w:ind w:firstLine="486" w:firstLineChars="200"/>
        <w:textAlignment w:val="bottom"/>
        <w:rPr>
          <w:rFonts w:ascii="宋体" w:cs="Arial"/>
          <w:color w:val="auto"/>
          <w:sz w:val="22"/>
          <w:szCs w:val="22"/>
        </w:rPr>
      </w:pPr>
      <w:r>
        <w:rPr>
          <w:rFonts w:ascii="宋体"/>
          <w:color w:val="auto"/>
          <w:sz w:val="24"/>
        </w:rPr>
        <w:t>1</w:t>
      </w:r>
      <w:r>
        <w:rPr>
          <w:rFonts w:ascii="宋体" w:cs="Arial"/>
          <w:color w:val="auto"/>
          <w:sz w:val="22"/>
          <w:szCs w:val="22"/>
        </w:rPr>
        <w:t xml:space="preserve">.1 </w:t>
      </w:r>
      <w:r>
        <w:rPr>
          <w:rFonts w:hint="eastAsia" w:ascii="宋体" w:cs="Arial"/>
          <w:color w:val="auto"/>
          <w:sz w:val="22"/>
          <w:szCs w:val="22"/>
        </w:rPr>
        <w:t>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2 </w:t>
      </w:r>
      <w:r>
        <w:rPr>
          <w:rFonts w:hint="eastAsia" w:ascii="宋体" w:cs="Arial"/>
          <w:color w:val="auto"/>
          <w:sz w:val="22"/>
          <w:szCs w:val="22"/>
        </w:rPr>
        <w:t>供应商提交的投标文件报价均采用人民币报价。</w:t>
      </w:r>
    </w:p>
    <w:p>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3 </w:t>
      </w:r>
      <w:r>
        <w:rPr>
          <w:rFonts w:hint="eastAsia" w:ascii="宋体" w:cs="Arial"/>
          <w:color w:val="auto"/>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4 </w:t>
      </w:r>
      <w:r>
        <w:rPr>
          <w:rFonts w:hint="eastAsia" w:ascii="宋体" w:cs="Arial"/>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6" w:firstLineChars="200"/>
        <w:rPr>
          <w:rFonts w:ascii="宋体"/>
          <w:color w:val="auto"/>
          <w:sz w:val="22"/>
          <w:lang w:val="zh-CN"/>
        </w:rPr>
      </w:pPr>
      <w:r>
        <w:rPr>
          <w:rFonts w:ascii="宋体" w:cs="仿宋_GB2312"/>
          <w:color w:val="auto"/>
          <w:sz w:val="22"/>
          <w:szCs w:val="22"/>
          <w:lang w:val="zh-CN"/>
        </w:rPr>
        <w:t>1.</w:t>
      </w:r>
      <w:r>
        <w:rPr>
          <w:rFonts w:ascii="宋体" w:cs="仿宋_GB2312"/>
          <w:color w:val="auto"/>
          <w:sz w:val="22"/>
          <w:szCs w:val="22"/>
        </w:rPr>
        <w:t xml:space="preserve">5 </w:t>
      </w:r>
      <w:r>
        <w:rPr>
          <w:rFonts w:hint="eastAsia" w:ascii="宋体" w:cs="仿宋_GB2312"/>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00" w:lineRule="atLeast"/>
        <w:ind w:firstLine="446" w:firstLineChars="200"/>
        <w:rPr>
          <w:rFonts w:ascii="宋体"/>
          <w:color w:val="auto"/>
          <w:sz w:val="22"/>
          <w:lang w:val="zh-CN"/>
        </w:rPr>
      </w:pPr>
      <w:r>
        <w:rPr>
          <w:rFonts w:ascii="宋体"/>
          <w:color w:val="auto"/>
          <w:sz w:val="22"/>
          <w:lang w:val="zh-CN"/>
        </w:rPr>
        <w:t>2.</w:t>
      </w:r>
      <w:r>
        <w:rPr>
          <w:rFonts w:hint="eastAsia" w:ascii="宋体"/>
          <w:color w:val="auto"/>
          <w:sz w:val="22"/>
          <w:lang w:val="zh-CN"/>
        </w:rPr>
        <w:t>投标文件的组成</w:t>
      </w:r>
    </w:p>
    <w:p>
      <w:pPr>
        <w:autoSpaceDE w:val="0"/>
        <w:autoSpaceDN w:val="0"/>
        <w:adjustRightInd w:val="0"/>
        <w:snapToGrid w:val="0"/>
        <w:spacing w:line="400" w:lineRule="atLeast"/>
        <w:ind w:firstLine="446" w:firstLineChars="200"/>
        <w:rPr>
          <w:rFonts w:ascii="宋体"/>
          <w:b/>
          <w:bCs/>
          <w:color w:val="auto"/>
          <w:sz w:val="22"/>
          <w:u w:val="single"/>
          <w:lang w:val="zh-CN"/>
        </w:rPr>
      </w:pPr>
      <w:r>
        <w:rPr>
          <w:rFonts w:hint="eastAsia" w:ascii="宋体"/>
          <w:b/>
          <w:bCs/>
          <w:color w:val="auto"/>
          <w:sz w:val="22"/>
          <w:u w:val="single"/>
        </w:rPr>
        <w:t>投标文件由《资格文件》</w:t>
      </w:r>
      <w:r>
        <w:rPr>
          <w:rFonts w:hint="eastAsia" w:ascii="宋体"/>
          <w:b/>
          <w:bCs/>
          <w:color w:val="auto"/>
          <w:sz w:val="22"/>
          <w:u w:val="single"/>
          <w:lang w:val="en-US" w:eastAsia="zh-CN"/>
        </w:rPr>
        <w:t>、</w:t>
      </w:r>
      <w:r>
        <w:rPr>
          <w:rFonts w:hint="eastAsia" w:ascii="宋体"/>
          <w:b/>
          <w:bCs/>
          <w:color w:val="auto"/>
          <w:sz w:val="22"/>
          <w:u w:val="single"/>
        </w:rPr>
        <w:t>《商务技术文件》</w:t>
      </w:r>
      <w:r>
        <w:rPr>
          <w:rFonts w:hint="eastAsia" w:ascii="宋体"/>
          <w:b/>
          <w:bCs/>
          <w:color w:val="auto"/>
          <w:sz w:val="22"/>
          <w:u w:val="single"/>
          <w:lang w:val="en-US" w:eastAsia="zh-CN"/>
        </w:rPr>
        <w:t>、</w:t>
      </w:r>
      <w:r>
        <w:rPr>
          <w:rFonts w:hint="eastAsia" w:ascii="宋体"/>
          <w:b/>
          <w:bCs/>
          <w:color w:val="auto"/>
          <w:sz w:val="22"/>
          <w:u w:val="single"/>
        </w:rPr>
        <w:t>《</w:t>
      </w:r>
      <w:r>
        <w:rPr>
          <w:rFonts w:hint="eastAsia" w:ascii="宋体"/>
          <w:b/>
          <w:bCs/>
          <w:color w:val="auto"/>
          <w:sz w:val="22"/>
          <w:u w:val="single"/>
          <w:lang w:val="en-US" w:eastAsia="zh-CN"/>
        </w:rPr>
        <w:t>报价</w:t>
      </w:r>
      <w:r>
        <w:rPr>
          <w:rFonts w:hint="eastAsia" w:ascii="宋体"/>
          <w:b/>
          <w:bCs/>
          <w:color w:val="auto"/>
          <w:sz w:val="22"/>
          <w:u w:val="single"/>
        </w:rPr>
        <w:t>文件》</w:t>
      </w:r>
      <w:r>
        <w:rPr>
          <w:rFonts w:hint="eastAsia" w:ascii="宋体"/>
          <w:b/>
          <w:bCs/>
          <w:color w:val="auto"/>
          <w:sz w:val="22"/>
          <w:u w:val="single"/>
          <w:lang w:val="en-US" w:eastAsia="zh-CN"/>
        </w:rPr>
        <w:t>三部分</w:t>
      </w:r>
      <w:r>
        <w:rPr>
          <w:rFonts w:hint="eastAsia" w:ascii="宋体"/>
          <w:b/>
          <w:bCs/>
          <w:color w:val="auto"/>
          <w:sz w:val="22"/>
          <w:u w:val="single"/>
        </w:rPr>
        <w:t>组成。《资格文件》</w:t>
      </w:r>
      <w:r>
        <w:rPr>
          <w:rFonts w:hint="eastAsia" w:ascii="宋体"/>
          <w:b/>
          <w:bCs/>
          <w:color w:val="auto"/>
          <w:sz w:val="22"/>
          <w:u w:val="single"/>
          <w:lang w:val="en-US" w:eastAsia="zh-CN"/>
        </w:rPr>
        <w:t>和</w:t>
      </w:r>
      <w:r>
        <w:rPr>
          <w:rFonts w:hint="eastAsia" w:ascii="宋体"/>
          <w:b/>
          <w:bCs/>
          <w:color w:val="auto"/>
          <w:sz w:val="22"/>
          <w:u w:val="single"/>
        </w:rPr>
        <w:t>《商务技术文件》不得含报价，否则投标将被拒绝。</w:t>
      </w:r>
    </w:p>
    <w:p>
      <w:pPr>
        <w:autoSpaceDE w:val="0"/>
        <w:autoSpaceDN w:val="0"/>
        <w:adjustRightInd w:val="0"/>
        <w:snapToGrid w:val="0"/>
        <w:spacing w:line="400" w:lineRule="atLeast"/>
        <w:ind w:firstLine="446" w:firstLineChars="200"/>
        <w:rPr>
          <w:rFonts w:ascii="宋体"/>
          <w:b/>
          <w:bCs/>
          <w:color w:val="auto"/>
          <w:sz w:val="22"/>
          <w:u w:val="none"/>
          <w:lang w:val="zh-CN"/>
        </w:rPr>
      </w:pPr>
      <w:r>
        <w:rPr>
          <w:rFonts w:ascii="宋体"/>
          <w:color w:val="auto"/>
          <w:sz w:val="22"/>
          <w:lang w:val="zh-CN"/>
        </w:rPr>
        <w:t>2.1</w:t>
      </w:r>
      <w:r>
        <w:rPr>
          <w:rFonts w:ascii="宋体"/>
          <w:b w:val="0"/>
          <w:bCs w:val="0"/>
          <w:color w:val="auto"/>
          <w:sz w:val="22"/>
          <w:u w:val="none"/>
        </w:rPr>
        <w:t xml:space="preserve"> </w:t>
      </w:r>
      <w:r>
        <w:rPr>
          <w:rFonts w:hint="eastAsia" w:ascii="宋体"/>
          <w:b/>
          <w:bCs/>
          <w:color w:val="auto"/>
          <w:sz w:val="22"/>
          <w:u w:val="none"/>
        </w:rPr>
        <w:t>《</w:t>
      </w:r>
      <w:r>
        <w:rPr>
          <w:rFonts w:hint="eastAsia" w:ascii="宋体"/>
          <w:b/>
          <w:bCs/>
          <w:color w:val="auto"/>
          <w:sz w:val="22"/>
          <w:u w:val="none"/>
          <w:lang w:val="en-US" w:eastAsia="zh-CN"/>
        </w:rPr>
        <w:t>报价</w:t>
      </w:r>
      <w:r>
        <w:rPr>
          <w:rFonts w:hint="eastAsia" w:ascii="宋体"/>
          <w:b/>
          <w:bCs/>
          <w:color w:val="auto"/>
          <w:sz w:val="22"/>
          <w:u w:val="none"/>
        </w:rPr>
        <w:t>文件》</w:t>
      </w:r>
      <w:r>
        <w:rPr>
          <w:rFonts w:hint="eastAsia" w:ascii="宋体"/>
          <w:b/>
          <w:bCs/>
          <w:color w:val="auto"/>
          <w:sz w:val="22"/>
          <w:u w:val="none"/>
          <w:lang w:val="zh-CN"/>
        </w:rPr>
        <w:t>组成</w:t>
      </w:r>
    </w:p>
    <w:tbl>
      <w:tblPr>
        <w:tblStyle w:val="2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color w:val="auto"/>
                <w:sz w:val="22"/>
                <w:szCs w:val="22"/>
                <w:lang w:val="zh-CN"/>
              </w:rPr>
            </w:pPr>
            <w:r>
              <w:rPr>
                <w:rFonts w:hint="eastAsia" w:ascii="宋体"/>
                <w:color w:val="auto"/>
                <w:sz w:val="22"/>
                <w:szCs w:val="22"/>
                <w:lang w:val="zh-CN"/>
              </w:rPr>
              <w:t>序号</w:t>
            </w:r>
          </w:p>
        </w:tc>
        <w:tc>
          <w:tcPr>
            <w:tcW w:w="8386" w:type="dxa"/>
          </w:tcPr>
          <w:p>
            <w:pPr>
              <w:autoSpaceDE w:val="0"/>
              <w:autoSpaceDN w:val="0"/>
              <w:adjustRightInd w:val="0"/>
              <w:snapToGrid w:val="0"/>
              <w:spacing w:line="400" w:lineRule="atLeast"/>
              <w:rPr>
                <w:rFonts w:ascii="宋体"/>
                <w:color w:val="auto"/>
                <w:sz w:val="22"/>
                <w:szCs w:val="22"/>
                <w:lang w:val="zh-CN"/>
              </w:rPr>
            </w:pPr>
            <w:r>
              <w:rPr>
                <w:rFonts w:hint="eastAsia" w:ascii="宋体"/>
                <w:color w:val="auto"/>
                <w:sz w:val="22"/>
                <w:szCs w:val="22"/>
                <w:lang w:val="zh-CN"/>
              </w:rPr>
              <w:t>内容（</w:t>
            </w:r>
            <w:r>
              <w:rPr>
                <w:rFonts w:hint="eastAsia" w:ascii="宋体"/>
                <w:b/>
                <w:bCs/>
                <w:color w:val="auto"/>
                <w:sz w:val="22"/>
                <w:szCs w:val="22"/>
                <w:lang w:val="zh-CN"/>
              </w:rPr>
              <w:t>▲序号</w:t>
            </w:r>
            <w:r>
              <w:rPr>
                <w:rFonts w:ascii="宋体"/>
                <w:b/>
                <w:bCs/>
                <w:color w:val="auto"/>
                <w:sz w:val="22"/>
                <w:szCs w:val="22"/>
                <w:lang w:val="zh-CN"/>
              </w:rPr>
              <w:t>1</w:t>
            </w:r>
            <w:r>
              <w:rPr>
                <w:rFonts w:hint="eastAsia" w:ascii="宋体"/>
                <w:b/>
                <w:bCs/>
                <w:color w:val="auto"/>
                <w:sz w:val="22"/>
                <w:szCs w:val="22"/>
              </w:rPr>
              <w:t>-3</w:t>
            </w:r>
            <w:r>
              <w:rPr>
                <w:rFonts w:hint="eastAsia" w:ascii="宋体"/>
                <w:b/>
                <w:bCs/>
                <w:color w:val="auto"/>
                <w:sz w:val="22"/>
                <w:szCs w:val="22"/>
                <w:lang w:val="zh-CN"/>
              </w:rPr>
              <w:t>项供应商必须提供，否则不能通过符合性审查的，责任自负</w:t>
            </w:r>
            <w:r>
              <w:rPr>
                <w:rFonts w:hint="eastAsia" w:ascii="宋体"/>
                <w:color w:val="auto"/>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color w:val="auto"/>
                <w:sz w:val="22"/>
                <w:szCs w:val="22"/>
              </w:rPr>
            </w:pPr>
            <w:r>
              <w:rPr>
                <w:rFonts w:ascii="宋体"/>
                <w:color w:val="auto"/>
                <w:sz w:val="22"/>
                <w:szCs w:val="22"/>
              </w:rPr>
              <w:t>1.</w:t>
            </w:r>
          </w:p>
        </w:tc>
        <w:tc>
          <w:tcPr>
            <w:tcW w:w="8386" w:type="dxa"/>
          </w:tcPr>
          <w:p>
            <w:pPr>
              <w:autoSpaceDE w:val="0"/>
              <w:autoSpaceDN w:val="0"/>
              <w:adjustRightInd w:val="0"/>
              <w:spacing w:line="400" w:lineRule="atLeast"/>
              <w:textAlignment w:val="bottom"/>
              <w:rPr>
                <w:rFonts w:ascii="宋体"/>
                <w:color w:val="auto"/>
                <w:sz w:val="22"/>
                <w:szCs w:val="22"/>
              </w:rPr>
            </w:pPr>
            <w:r>
              <w:rPr>
                <w:rFonts w:hint="eastAsia" w:ascii="宋体"/>
                <w:color w:val="auto"/>
                <w:sz w:val="22"/>
                <w:szCs w:val="22"/>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color w:val="auto"/>
                <w:sz w:val="22"/>
                <w:szCs w:val="22"/>
              </w:rPr>
            </w:pPr>
            <w:r>
              <w:rPr>
                <w:rFonts w:hint="eastAsia" w:ascii="宋体"/>
                <w:color w:val="auto"/>
                <w:sz w:val="22"/>
                <w:szCs w:val="22"/>
              </w:rPr>
              <w:t>2.</w:t>
            </w:r>
          </w:p>
        </w:tc>
        <w:tc>
          <w:tcPr>
            <w:tcW w:w="8386" w:type="dxa"/>
          </w:tcPr>
          <w:p>
            <w:pPr>
              <w:autoSpaceDE w:val="0"/>
              <w:autoSpaceDN w:val="0"/>
              <w:adjustRightInd w:val="0"/>
              <w:spacing w:line="400" w:lineRule="atLeast"/>
              <w:textAlignment w:val="bottom"/>
              <w:rPr>
                <w:rFonts w:ascii="宋体"/>
                <w:color w:val="auto"/>
                <w:sz w:val="22"/>
                <w:szCs w:val="22"/>
              </w:rPr>
            </w:pPr>
            <w:r>
              <w:rPr>
                <w:rFonts w:hint="eastAsia" w:ascii="宋体"/>
                <w:color w:val="auto"/>
                <w:sz w:val="22"/>
                <w:szCs w:val="22"/>
              </w:rPr>
              <w:t>投标分项报价表（附件二）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color w:val="auto"/>
                <w:sz w:val="22"/>
                <w:szCs w:val="22"/>
              </w:rPr>
            </w:pPr>
            <w:r>
              <w:rPr>
                <w:rFonts w:hint="eastAsia" w:ascii="宋体"/>
                <w:color w:val="auto"/>
                <w:sz w:val="22"/>
                <w:szCs w:val="22"/>
              </w:rPr>
              <w:t>3.</w:t>
            </w:r>
          </w:p>
        </w:tc>
        <w:tc>
          <w:tcPr>
            <w:tcW w:w="8386" w:type="dxa"/>
          </w:tcPr>
          <w:p>
            <w:pPr>
              <w:autoSpaceDE w:val="0"/>
              <w:autoSpaceDN w:val="0"/>
              <w:adjustRightInd w:val="0"/>
              <w:snapToGrid w:val="0"/>
              <w:spacing w:line="400" w:lineRule="atLeast"/>
              <w:rPr>
                <w:rFonts w:ascii="宋体"/>
                <w:color w:val="auto"/>
                <w:sz w:val="22"/>
                <w:szCs w:val="22"/>
              </w:rPr>
            </w:pPr>
            <w:r>
              <w:rPr>
                <w:rFonts w:hint="eastAsia" w:ascii="宋体"/>
                <w:color w:val="auto"/>
                <w:sz w:val="22"/>
                <w:lang w:val="en-US" w:eastAsia="zh-CN"/>
              </w:rPr>
              <w:t>服务</w:t>
            </w:r>
            <w:r>
              <w:rPr>
                <w:rFonts w:hint="eastAsia" w:ascii="宋体"/>
                <w:color w:val="auto"/>
                <w:sz w:val="22"/>
              </w:rPr>
              <w:t>期外运维费用（附件三）。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color w:val="auto"/>
                <w:sz w:val="22"/>
                <w:szCs w:val="22"/>
              </w:rPr>
            </w:pPr>
            <w:r>
              <w:rPr>
                <w:rFonts w:hint="eastAsia" w:ascii="宋体"/>
                <w:color w:val="auto"/>
                <w:sz w:val="22"/>
                <w:szCs w:val="22"/>
              </w:rPr>
              <w:t>4.</w:t>
            </w:r>
          </w:p>
        </w:tc>
        <w:tc>
          <w:tcPr>
            <w:tcW w:w="8386" w:type="dxa"/>
          </w:tcPr>
          <w:p>
            <w:pPr>
              <w:autoSpaceDE w:val="0"/>
              <w:autoSpaceDN w:val="0"/>
              <w:adjustRightInd w:val="0"/>
              <w:snapToGrid w:val="0"/>
              <w:spacing w:line="400" w:lineRule="atLeast"/>
              <w:rPr>
                <w:rFonts w:ascii="宋体"/>
                <w:color w:val="auto"/>
                <w:sz w:val="22"/>
                <w:szCs w:val="22"/>
              </w:rPr>
            </w:pPr>
            <w:r>
              <w:rPr>
                <w:rFonts w:hint="eastAsia" w:ascii="宋体"/>
                <w:color w:val="auto"/>
                <w:sz w:val="22"/>
              </w:rPr>
              <w:t>设备零件、易损件、备品备件报价表(如有)（附件四）</w:t>
            </w:r>
          </w:p>
        </w:tc>
      </w:tr>
    </w:tbl>
    <w:p>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《资格文件》组成</w:t>
      </w:r>
    </w:p>
    <w:tbl>
      <w:tblPr>
        <w:tblStyle w:val="21"/>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序号</w:t>
            </w:r>
          </w:p>
        </w:tc>
        <w:tc>
          <w:tcPr>
            <w:tcW w:w="8747" w:type="dxa"/>
            <w:noWrap w:val="0"/>
            <w:vAlign w:val="top"/>
          </w:tcPr>
          <w:p>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内容</w:t>
            </w:r>
            <w:r>
              <w:rPr>
                <w:rFonts w:hint="eastAsia" w:ascii="宋体" w:hAnsi="宋体"/>
                <w:b/>
                <w:bCs/>
                <w:color w:val="auto"/>
                <w:sz w:val="22"/>
                <w:lang w:val="zh-CN"/>
              </w:rPr>
              <w:t>（▲</w:t>
            </w:r>
            <w:r>
              <w:rPr>
                <w:rFonts w:hint="eastAsia" w:ascii="宋体" w:hAnsi="宋体"/>
                <w:b/>
                <w:bCs/>
                <w:color w:val="auto"/>
                <w:sz w:val="22"/>
              </w:rPr>
              <w:t>下表所列项</w:t>
            </w:r>
            <w:r>
              <w:rPr>
                <w:rFonts w:hint="eastAsia" w:ascii="宋体" w:hAnsi="宋体"/>
                <w:b/>
                <w:bCs/>
                <w:color w:val="auto"/>
                <w:sz w:val="22"/>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8"/>
              </w:numPr>
              <w:autoSpaceDE w:val="0"/>
              <w:autoSpaceDN w:val="0"/>
              <w:adjustRightInd w:val="0"/>
              <w:snapToGrid w:val="0"/>
              <w:spacing w:line="430" w:lineRule="atLeast"/>
              <w:rPr>
                <w:rFonts w:ascii="宋体" w:hAnsi="宋体"/>
                <w:color w:val="auto"/>
                <w:sz w:val="22"/>
                <w:lang w:val="zh-CN"/>
              </w:rPr>
            </w:pPr>
          </w:p>
        </w:tc>
        <w:tc>
          <w:tcPr>
            <w:tcW w:w="8747" w:type="dxa"/>
            <w:noWrap w:val="0"/>
            <w:vAlign w:val="top"/>
          </w:tcPr>
          <w:p>
            <w:pPr>
              <w:autoSpaceDE w:val="0"/>
              <w:autoSpaceDN w:val="0"/>
              <w:adjustRightInd w:val="0"/>
              <w:snapToGrid w:val="0"/>
              <w:spacing w:line="400" w:lineRule="atLeast"/>
              <w:rPr>
                <w:rFonts w:hint="eastAsia" w:ascii="宋体"/>
                <w:color w:val="auto"/>
                <w:sz w:val="22"/>
              </w:rPr>
            </w:pPr>
            <w:r>
              <w:rPr>
                <w:rFonts w:hint="eastAsia" w:ascii="宋体" w:hAnsi="宋体"/>
                <w:color w:val="auto"/>
                <w:sz w:val="22"/>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8"/>
              </w:numPr>
              <w:autoSpaceDE w:val="0"/>
              <w:autoSpaceDN w:val="0"/>
              <w:adjustRightInd w:val="0"/>
              <w:snapToGrid w:val="0"/>
              <w:spacing w:line="430" w:lineRule="atLeast"/>
              <w:rPr>
                <w:rFonts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color w:val="auto"/>
                <w:sz w:val="22"/>
              </w:rPr>
            </w:pPr>
            <w:r>
              <w:rPr>
                <w:rFonts w:hint="eastAsia" w:ascii="宋体" w:hAnsi="宋体" w:cs="Courier New"/>
                <w:color w:val="auto"/>
                <w:sz w:val="22"/>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8"/>
              </w:numPr>
              <w:autoSpaceDE w:val="0"/>
              <w:autoSpaceDN w:val="0"/>
              <w:adjustRightInd w:val="0"/>
              <w:snapToGrid w:val="0"/>
              <w:spacing w:line="430" w:lineRule="atLeast"/>
              <w:rPr>
                <w:rFonts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cs="Courier New"/>
                <w:color w:val="auto"/>
                <w:sz w:val="22"/>
              </w:rPr>
            </w:pPr>
            <w:r>
              <w:rPr>
                <w:rFonts w:hint="eastAsia" w:ascii="宋体" w:hAnsi="宋体" w:cs="Courier New"/>
                <w:color w:val="auto"/>
                <w:sz w:val="22"/>
              </w:rPr>
              <w:t>具有履行合同所必需的设备和专业技术能力的承诺函（附件</w:t>
            </w:r>
            <w:r>
              <w:rPr>
                <w:rFonts w:hint="eastAsia" w:ascii="宋体" w:hAnsi="宋体" w:cs="Courier New"/>
                <w:color w:val="auto"/>
                <w:sz w:val="22"/>
                <w:lang w:val="en-US" w:eastAsia="zh-CN"/>
              </w:rPr>
              <w:t>五</w:t>
            </w:r>
            <w:r>
              <w:rPr>
                <w:rFonts w:hint="eastAsia" w:ascii="宋体" w:hAnsi="宋体" w:cs="Courier New"/>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noWrap w:val="0"/>
            <w:vAlign w:val="top"/>
          </w:tcPr>
          <w:p>
            <w:pPr>
              <w:numPr>
                <w:ilvl w:val="0"/>
                <w:numId w:val="28"/>
              </w:numPr>
              <w:autoSpaceDE w:val="0"/>
              <w:autoSpaceDN w:val="0"/>
              <w:adjustRightInd w:val="0"/>
              <w:snapToGrid w:val="0"/>
              <w:spacing w:line="430" w:lineRule="atLeast"/>
              <w:rPr>
                <w:rFonts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cs="Courier New"/>
                <w:color w:val="auto"/>
                <w:sz w:val="22"/>
              </w:rPr>
            </w:pPr>
            <w:r>
              <w:rPr>
                <w:rFonts w:hint="eastAsia" w:ascii="宋体" w:hAnsi="宋体" w:cs="Courier New"/>
                <w:color w:val="auto"/>
                <w:sz w:val="22"/>
              </w:rPr>
              <w:t>依法缴纳税收和社会保障资金的材料：纳税证明、社保缴纳证明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8"/>
              </w:numPr>
              <w:autoSpaceDE w:val="0"/>
              <w:autoSpaceDN w:val="0"/>
              <w:adjustRightInd w:val="0"/>
              <w:snapToGrid w:val="0"/>
              <w:spacing w:line="430" w:lineRule="atLeast"/>
              <w:rPr>
                <w:rFonts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cs="Courier New"/>
                <w:color w:val="auto"/>
                <w:sz w:val="22"/>
              </w:rPr>
            </w:pPr>
            <w:r>
              <w:rPr>
                <w:rFonts w:hint="eastAsia" w:ascii="宋体" w:hAnsi="宋体" w:cs="Courier New"/>
                <w:color w:val="auto"/>
                <w:sz w:val="22"/>
              </w:rPr>
              <w:t>参加政府采购活动前</w:t>
            </w:r>
            <w:r>
              <w:rPr>
                <w:rFonts w:ascii="宋体" w:hAnsi="宋体" w:cs="Courier New"/>
                <w:color w:val="auto"/>
                <w:sz w:val="22"/>
              </w:rPr>
              <w:t>3年内在经营活动中没有重大违法记录的声明函</w:t>
            </w:r>
            <w:r>
              <w:rPr>
                <w:rFonts w:hint="eastAsia" w:ascii="宋体" w:hAnsi="宋体" w:cs="Courier New"/>
                <w:color w:val="auto"/>
                <w:sz w:val="22"/>
              </w:rPr>
              <w:t>（附件</w:t>
            </w:r>
            <w:r>
              <w:rPr>
                <w:rFonts w:hint="eastAsia" w:ascii="宋体" w:hAnsi="宋体" w:cs="Courier New"/>
                <w:color w:val="auto"/>
                <w:sz w:val="22"/>
                <w:lang w:val="en-US" w:eastAsia="zh-CN"/>
              </w:rPr>
              <w:t>六</w:t>
            </w:r>
            <w:r>
              <w:rPr>
                <w:rFonts w:hint="eastAsia" w:ascii="宋体" w:hAnsi="宋体" w:cs="Courier New"/>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8"/>
              </w:numPr>
              <w:autoSpaceDE w:val="0"/>
              <w:autoSpaceDN w:val="0"/>
              <w:adjustRightInd w:val="0"/>
              <w:snapToGrid w:val="0"/>
              <w:spacing w:line="430" w:lineRule="atLeast"/>
              <w:rPr>
                <w:rFonts w:ascii="宋体" w:hAnsi="宋体"/>
                <w:color w:val="auto"/>
                <w:sz w:val="22"/>
                <w:lang w:val="zh-CN"/>
              </w:rPr>
            </w:pPr>
          </w:p>
        </w:tc>
        <w:tc>
          <w:tcPr>
            <w:tcW w:w="8747" w:type="dxa"/>
            <w:noWrap w:val="0"/>
            <w:vAlign w:val="top"/>
          </w:tcPr>
          <w:p>
            <w:pPr>
              <w:autoSpaceDE w:val="0"/>
              <w:autoSpaceDN w:val="0"/>
              <w:adjustRightInd w:val="0"/>
              <w:spacing w:line="260" w:lineRule="exact"/>
              <w:jc w:val="left"/>
              <w:textAlignment w:val="bottom"/>
              <w:rPr>
                <w:rFonts w:ascii="宋体" w:hAnsi="宋体"/>
                <w:color w:val="auto"/>
                <w:sz w:val="22"/>
              </w:rPr>
            </w:pPr>
            <w:r>
              <w:rPr>
                <w:rFonts w:hint="eastAsia" w:ascii="宋体" w:hAnsi="宋体" w:cs="Arial"/>
                <w:color w:val="auto"/>
                <w:sz w:val="22"/>
              </w:rPr>
              <w:t>供应商“信用中国”(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Arial"/>
                <w:color w:val="auto"/>
                <w:sz w:val="22"/>
              </w:rPr>
              <w:t>www.creditchina.gov.cn</w:t>
            </w:r>
            <w:r>
              <w:rPr>
                <w:rFonts w:hint="eastAsia" w:ascii="宋体" w:hAnsi="宋体" w:cs="Arial"/>
                <w:color w:val="auto"/>
                <w:sz w:val="22"/>
              </w:rPr>
              <w:fldChar w:fldCharType="end"/>
            </w:r>
            <w:r>
              <w:rPr>
                <w:rFonts w:hint="eastAsia" w:ascii="宋体" w:hAnsi="宋体" w:cs="Arial"/>
                <w:color w:val="auto"/>
                <w:sz w:val="22"/>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8"/>
              </w:numPr>
              <w:autoSpaceDE w:val="0"/>
              <w:autoSpaceDN w:val="0"/>
              <w:adjustRightInd w:val="0"/>
              <w:snapToGrid w:val="0"/>
              <w:spacing w:line="430" w:lineRule="atLeast"/>
              <w:rPr>
                <w:rFonts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ascii="宋体" w:hAnsi="宋体"/>
                <w:color w:val="auto"/>
                <w:sz w:val="22"/>
              </w:rPr>
            </w:pPr>
            <w:r>
              <w:rPr>
                <w:rFonts w:hint="eastAsia" w:ascii="宋体"/>
                <w:color w:val="auto"/>
                <w:sz w:val="22"/>
              </w:rPr>
              <w:t>供应商法定代表人授权书（附件</w:t>
            </w:r>
            <w:r>
              <w:rPr>
                <w:rFonts w:hint="eastAsia" w:ascii="宋体"/>
                <w:color w:val="auto"/>
                <w:sz w:val="22"/>
                <w:lang w:val="en-US" w:eastAsia="zh-CN"/>
              </w:rPr>
              <w:t>七</w:t>
            </w:r>
            <w:r>
              <w:rPr>
                <w:rFonts w:hint="eastAsia" w:ascii="宋体"/>
                <w:color w:val="auto"/>
                <w:sz w:val="22"/>
              </w:rPr>
              <w:t>）</w:t>
            </w:r>
          </w:p>
        </w:tc>
      </w:tr>
    </w:tbl>
    <w:p>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hint="eastAsia" w:ascii="宋体"/>
          <w:color w:val="auto"/>
          <w:sz w:val="22"/>
          <w:highlight w:val="none"/>
        </w:rPr>
        <w:t xml:space="preserve">2.3 </w:t>
      </w:r>
      <w:r>
        <w:rPr>
          <w:rFonts w:hint="eastAsia" w:ascii="宋体"/>
          <w:b/>
          <w:bCs/>
          <w:color w:val="auto"/>
          <w:sz w:val="22"/>
          <w:highlight w:val="none"/>
        </w:rPr>
        <w:t>《商务技术文件》组成</w:t>
      </w:r>
    </w:p>
    <w:tbl>
      <w:tblPr>
        <w:tblStyle w:val="21"/>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序号</w:t>
            </w:r>
          </w:p>
        </w:tc>
        <w:tc>
          <w:tcPr>
            <w:tcW w:w="8747" w:type="dxa"/>
            <w:noWrap w:val="0"/>
            <w:vAlign w:val="top"/>
          </w:tcPr>
          <w:p>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内容（</w:t>
            </w:r>
            <w:r>
              <w:rPr>
                <w:rFonts w:hint="eastAsia" w:ascii="宋体" w:hAnsi="宋体"/>
                <w:b/>
                <w:bCs/>
                <w:color w:val="auto"/>
                <w:sz w:val="22"/>
                <w:lang w:val="zh-CN"/>
              </w:rPr>
              <w:t>▲</w:t>
            </w:r>
            <w:r>
              <w:rPr>
                <w:rFonts w:hint="eastAsia" w:ascii="宋体" w:hAnsi="宋体"/>
                <w:b/>
                <w:bCs/>
                <w:color w:val="auto"/>
                <w:sz w:val="22"/>
              </w:rPr>
              <w:t>下表</w:t>
            </w:r>
            <w:r>
              <w:rPr>
                <w:rFonts w:hint="eastAsia" w:ascii="宋体" w:hAnsi="宋体"/>
                <w:b/>
                <w:bCs/>
                <w:color w:val="auto"/>
                <w:sz w:val="22"/>
                <w:lang w:val="en-US" w:eastAsia="zh-CN"/>
              </w:rPr>
              <w:t>1</w:t>
            </w:r>
            <w:r>
              <w:rPr>
                <w:rFonts w:hint="eastAsia" w:ascii="宋体" w:hAnsi="宋体"/>
                <w:b/>
                <w:bCs/>
                <w:color w:val="auto"/>
                <w:sz w:val="22"/>
              </w:rPr>
              <w:t>-</w:t>
            </w:r>
            <w:r>
              <w:rPr>
                <w:rFonts w:hint="eastAsia" w:ascii="宋体" w:hAnsi="宋体"/>
                <w:b/>
                <w:bCs/>
                <w:color w:val="auto"/>
                <w:sz w:val="22"/>
                <w:lang w:val="en-US" w:eastAsia="zh-CN"/>
              </w:rPr>
              <w:t>9</w:t>
            </w:r>
            <w:r>
              <w:rPr>
                <w:rFonts w:hint="eastAsia" w:ascii="宋体" w:hAnsi="宋体"/>
                <w:b/>
                <w:bCs/>
                <w:color w:val="auto"/>
                <w:sz w:val="22"/>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lang w:val="zh-CN"/>
              </w:rPr>
            </w:pPr>
            <w:r>
              <w:rPr>
                <w:rFonts w:hint="eastAsia" w:ascii="宋体" w:hAnsi="宋体"/>
                <w:b/>
                <w:bCs/>
                <w:color w:val="auto"/>
                <w:sz w:val="22"/>
                <w:lang w:eastAsia="zh-CN"/>
              </w:rPr>
              <w:t>投标函</w:t>
            </w:r>
            <w:r>
              <w:rPr>
                <w:rFonts w:hint="eastAsia" w:ascii="宋体" w:hAnsi="宋体"/>
                <w:b/>
                <w:bCs/>
                <w:color w:val="auto"/>
                <w:sz w:val="22"/>
              </w:rPr>
              <w:t>（附件</w:t>
            </w:r>
            <w:r>
              <w:rPr>
                <w:rFonts w:hint="eastAsia" w:ascii="宋体" w:hAnsi="宋体"/>
                <w:b/>
                <w:bCs/>
                <w:color w:val="auto"/>
                <w:sz w:val="22"/>
                <w:lang w:val="en-US" w:eastAsia="zh-CN"/>
              </w:rPr>
              <w:t>八</w:t>
            </w:r>
            <w:r>
              <w:rPr>
                <w:rFonts w:hint="eastAsia" w:ascii="宋体" w:hAnsi="宋体"/>
                <w:b/>
                <w:bCs/>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rPr>
            </w:pPr>
            <w:r>
              <w:rPr>
                <w:rFonts w:hint="eastAsia" w:ascii="宋体"/>
                <w:b/>
                <w:bCs/>
                <w:color w:val="auto"/>
                <w:sz w:val="22"/>
              </w:rPr>
              <w:t>供应商参与政府采购活动投标资格声明（附件</w:t>
            </w:r>
            <w:r>
              <w:rPr>
                <w:rFonts w:hint="eastAsia" w:ascii="宋体"/>
                <w:b/>
                <w:bCs/>
                <w:color w:val="auto"/>
                <w:sz w:val="22"/>
                <w:lang w:val="en-US" w:eastAsia="zh-CN"/>
              </w:rPr>
              <w:t>九</w:t>
            </w:r>
            <w:r>
              <w:rPr>
                <w:rFonts w:hint="eastAsia" w:ascii="宋体"/>
                <w:b/>
                <w:bCs/>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rPr>
            </w:pPr>
            <w:r>
              <w:rPr>
                <w:rFonts w:hint="eastAsia" w:ascii="宋体" w:hAnsi="宋体"/>
                <w:b/>
                <w:bCs/>
                <w:color w:val="auto"/>
                <w:sz w:val="22"/>
              </w:rPr>
              <w:t>法定代表人诚信投标承诺书（附件十）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rPr>
            </w:pPr>
            <w:r>
              <w:rPr>
                <w:rFonts w:hint="eastAsia" w:ascii="宋体" w:hAnsi="宋体"/>
                <w:b/>
                <w:bCs/>
                <w:color w:val="auto"/>
                <w:sz w:val="22"/>
              </w:rPr>
              <w:t>商务偏离表（附件十</w:t>
            </w:r>
            <w:r>
              <w:rPr>
                <w:rFonts w:hint="eastAsia" w:ascii="宋体" w:hAnsi="宋体"/>
                <w:b/>
                <w:bCs/>
                <w:color w:val="auto"/>
                <w:sz w:val="22"/>
                <w:lang w:val="en-US" w:eastAsia="zh-CN"/>
              </w:rPr>
              <w:t>一</w:t>
            </w:r>
            <w:r>
              <w:rPr>
                <w:rFonts w:hint="eastAsia" w:ascii="宋体" w:hAnsi="宋体"/>
                <w:b/>
                <w:bCs/>
                <w:color w:val="auto"/>
                <w:sz w:val="22"/>
              </w:rPr>
              <w:t>（一））、技术偏离表（附件十</w:t>
            </w:r>
            <w:r>
              <w:rPr>
                <w:rFonts w:hint="eastAsia" w:ascii="宋体" w:hAnsi="宋体"/>
                <w:b/>
                <w:bCs/>
                <w:color w:val="auto"/>
                <w:sz w:val="22"/>
                <w:lang w:val="en-US" w:eastAsia="zh-CN"/>
              </w:rPr>
              <w:t>一</w:t>
            </w:r>
            <w:r>
              <w:rPr>
                <w:rFonts w:hint="eastAsia" w:ascii="宋体" w:hAnsi="宋体"/>
                <w:b/>
                <w:bCs/>
                <w:color w:val="auto"/>
                <w:sz w:val="22"/>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rPr>
            </w:pPr>
            <w:r>
              <w:rPr>
                <w:rFonts w:hint="eastAsia" w:ascii="宋体"/>
                <w:b/>
                <w:bCs/>
                <w:color w:val="auto"/>
                <w:sz w:val="22"/>
                <w:highlight w:val="none"/>
                <w:lang w:eastAsia="zh-CN"/>
              </w:rPr>
              <w:t>针对本项目配备的产品清单</w:t>
            </w:r>
            <w:r>
              <w:rPr>
                <w:rFonts w:hint="eastAsia" w:ascii="宋体"/>
                <w:b/>
                <w:bCs/>
                <w:color w:val="auto"/>
                <w:sz w:val="22"/>
                <w:highlight w:val="none"/>
              </w:rPr>
              <w:t>（附件十</w:t>
            </w:r>
            <w:r>
              <w:rPr>
                <w:rFonts w:hint="eastAsia" w:ascii="宋体"/>
                <w:b/>
                <w:bCs/>
                <w:color w:val="auto"/>
                <w:sz w:val="22"/>
                <w:highlight w:val="none"/>
                <w:lang w:val="en-US" w:eastAsia="zh-CN"/>
              </w:rPr>
              <w:t>二</w:t>
            </w:r>
            <w:r>
              <w:rPr>
                <w:rFonts w:hint="eastAsia" w:ascii="宋体"/>
                <w:b/>
                <w:bCs/>
                <w:color w:val="auto"/>
                <w:sz w:val="22"/>
                <w:highlight w:val="none"/>
              </w:rPr>
              <w:t>）；</w:t>
            </w:r>
            <w:r>
              <w:rPr>
                <w:rFonts w:hint="eastAsia" w:ascii="宋体"/>
                <w:b/>
                <w:bCs/>
                <w:color w:val="auto"/>
                <w:sz w:val="22"/>
                <w:highlight w:val="none"/>
                <w:lang w:val="en-US" w:eastAsia="zh-CN"/>
              </w:rPr>
              <w:t>产品</w:t>
            </w:r>
            <w:r>
              <w:rPr>
                <w:rFonts w:hint="eastAsia" w:ascii="宋体"/>
                <w:b/>
                <w:bCs/>
                <w:color w:val="auto"/>
                <w:sz w:val="22"/>
                <w:highlight w:val="none"/>
              </w:rPr>
              <w:t>功能等技术参数描述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rPr>
            </w:pPr>
            <w:r>
              <w:rPr>
                <w:rFonts w:hint="eastAsia" w:ascii="宋体" w:eastAsia="宋体"/>
                <w:b/>
                <w:color w:val="auto"/>
                <w:sz w:val="22"/>
              </w:rPr>
              <w:t>整体实施</w:t>
            </w:r>
            <w:r>
              <w:rPr>
                <w:rFonts w:hint="eastAsia" w:ascii="宋体" w:hAnsi="宋体"/>
                <w:b/>
                <w:bCs/>
                <w:color w:val="auto"/>
                <w:kern w:val="44"/>
                <w:sz w:val="22"/>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default" w:ascii="宋体" w:eastAsia="宋体"/>
                <w:b/>
                <w:color w:val="auto"/>
                <w:sz w:val="22"/>
                <w:lang w:val="en-US" w:eastAsia="zh-CN"/>
              </w:rPr>
            </w:pPr>
            <w:r>
              <w:rPr>
                <w:rFonts w:hint="eastAsia" w:ascii="宋体"/>
                <w:b/>
                <w:color w:val="auto"/>
                <w:sz w:val="22"/>
                <w:lang w:val="en-US" w:eastAsia="zh-CN"/>
              </w:rPr>
              <w:t>运维服务方案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rPr>
            </w:pPr>
            <w:r>
              <w:rPr>
                <w:rFonts w:hint="eastAsia" w:ascii="宋体" w:hAnsi="宋体"/>
                <w:b/>
                <w:bCs/>
                <w:color w:val="auto"/>
                <w:sz w:val="22"/>
              </w:rPr>
              <w:t>供应商项目服务人员汇总表（附件十</w:t>
            </w:r>
            <w:r>
              <w:rPr>
                <w:rFonts w:hint="eastAsia" w:ascii="宋体" w:hAnsi="宋体"/>
                <w:b/>
                <w:bCs/>
                <w:color w:val="auto"/>
                <w:sz w:val="22"/>
                <w:lang w:val="en-US" w:eastAsia="zh-CN"/>
              </w:rPr>
              <w:t>三</w:t>
            </w:r>
            <w:r>
              <w:rPr>
                <w:rFonts w:hint="eastAsia" w:ascii="宋体" w:hAnsi="宋体"/>
                <w:b/>
                <w:bCs/>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b/>
                <w:bCs/>
                <w:color w:val="auto"/>
                <w:sz w:val="22"/>
              </w:rPr>
            </w:pPr>
            <w:r>
              <w:rPr>
                <w:rFonts w:hint="eastAsia" w:ascii="宋体" w:hAnsi="宋体" w:cs="Arial"/>
                <w:b/>
                <w:bCs/>
                <w:color w:val="auto"/>
                <w:sz w:val="22"/>
              </w:rPr>
              <w:t>距离采购人最近的服务机构的详细介绍、服务机构总负责人，电话，地址，技术力量配置等；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color w:val="auto"/>
                <w:sz w:val="22"/>
              </w:rPr>
            </w:pPr>
            <w:r>
              <w:rPr>
                <w:rFonts w:hint="eastAsia" w:ascii="宋体" w:hAnsi="宋体"/>
                <w:bCs/>
                <w:color w:val="auto"/>
                <w:sz w:val="22"/>
                <w:lang w:val="en-US" w:eastAsia="zh-CN"/>
              </w:rPr>
              <w:t>相关</w:t>
            </w:r>
            <w:r>
              <w:rPr>
                <w:rFonts w:hint="eastAsia" w:ascii="宋体" w:hAnsi="宋体"/>
                <w:bCs/>
                <w:color w:val="auto"/>
                <w:sz w:val="22"/>
              </w:rPr>
              <w:t>产品的工业品生产许可证、3C认证、检测报告等技术要求中要求的各种资格证书</w:t>
            </w:r>
            <w:r>
              <w:rPr>
                <w:rFonts w:hint="eastAsia" w:ascii="宋体" w:hAnsi="宋体"/>
                <w:bCs/>
                <w:color w:val="auto"/>
                <w:sz w:val="22"/>
                <w:lang w:eastAsia="zh-CN"/>
              </w:rPr>
              <w:t>、</w:t>
            </w:r>
            <w:r>
              <w:rPr>
                <w:rFonts w:hint="eastAsia" w:ascii="宋体" w:hAnsi="宋体"/>
                <w:bCs/>
                <w:color w:val="auto"/>
                <w:sz w:val="22"/>
              </w:rPr>
              <w:t>相关节能环保产品认证证书（如有则提供，复印件加盖公章）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color w:val="auto"/>
                <w:kern w:val="2"/>
                <w:sz w:val="22"/>
                <w:szCs w:val="22"/>
                <w:lang w:val="en-US" w:eastAsia="zh-CN" w:bidi="ar-SA"/>
              </w:rPr>
            </w:pPr>
            <w:r>
              <w:rPr>
                <w:rFonts w:hint="eastAsia" w:ascii="宋体" w:hAnsi="宋体"/>
                <w:color w:val="auto"/>
                <w:sz w:val="22"/>
              </w:rPr>
              <w:t>供应商质量体系认证证书、供应商环境体系认证证书、供应商职业健康体系认证证书（（如有则提供）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center"/>
          </w:tcPr>
          <w:p>
            <w:pPr>
              <w:autoSpaceDE w:val="0"/>
              <w:autoSpaceDN w:val="0"/>
              <w:adjustRightInd w:val="0"/>
              <w:snapToGrid w:val="0"/>
              <w:spacing w:line="430" w:lineRule="atLeast"/>
              <w:jc w:val="left"/>
              <w:rPr>
                <w:rFonts w:hint="eastAsia" w:ascii="宋体" w:hAnsi="宋体"/>
                <w:color w:val="auto"/>
                <w:kern w:val="2"/>
                <w:sz w:val="22"/>
                <w:szCs w:val="22"/>
                <w:lang w:val="en-US" w:eastAsia="zh-CN" w:bidi="ar-SA"/>
              </w:rPr>
            </w:pPr>
            <w:r>
              <w:rPr>
                <w:rFonts w:hint="eastAsia" w:ascii="宋体" w:hAnsi="宋体"/>
                <w:color w:val="auto"/>
                <w:sz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center"/>
          </w:tcPr>
          <w:p>
            <w:pPr>
              <w:autoSpaceDE w:val="0"/>
              <w:autoSpaceDN w:val="0"/>
              <w:adjustRightInd w:val="0"/>
              <w:snapToGrid w:val="0"/>
              <w:spacing w:line="430" w:lineRule="atLeast"/>
              <w:jc w:val="left"/>
              <w:rPr>
                <w:rFonts w:hint="eastAsia" w:ascii="宋体" w:hAnsi="宋体"/>
                <w:color w:val="auto"/>
                <w:kern w:val="2"/>
                <w:sz w:val="22"/>
                <w:szCs w:val="22"/>
                <w:lang w:val="en-US" w:eastAsia="zh-CN" w:bidi="ar-SA"/>
              </w:rPr>
            </w:pPr>
            <w:r>
              <w:rPr>
                <w:rFonts w:hint="eastAsia" w:ascii="宋体" w:hAnsi="宋体"/>
                <w:color w:val="auto"/>
                <w:sz w:val="22"/>
              </w:rPr>
              <w:t>供应商曾经获得的政府部门或行业协会颁发的荣誉证书；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center"/>
          </w:tcPr>
          <w:p>
            <w:pPr>
              <w:autoSpaceDE w:val="0"/>
              <w:autoSpaceDN w:val="0"/>
              <w:adjustRightInd w:val="0"/>
              <w:snapToGrid w:val="0"/>
              <w:spacing w:line="430" w:lineRule="atLeast"/>
              <w:jc w:val="left"/>
              <w:rPr>
                <w:rFonts w:hint="eastAsia" w:ascii="宋体" w:hAnsi="宋体"/>
                <w:color w:val="auto"/>
                <w:kern w:val="2"/>
                <w:sz w:val="22"/>
                <w:szCs w:val="22"/>
                <w:lang w:val="en-US" w:eastAsia="zh-CN" w:bidi="ar-SA"/>
              </w:rPr>
            </w:pPr>
            <w:r>
              <w:rPr>
                <w:rFonts w:hint="eastAsia" w:ascii="宋体" w:hAnsi="宋体"/>
                <w:color w:val="auto"/>
                <w:sz w:val="22"/>
              </w:rPr>
              <w:t>供应商项目业绩清单（如有则提供）（附件十</w:t>
            </w:r>
            <w:r>
              <w:rPr>
                <w:rFonts w:hint="eastAsia" w:ascii="宋体" w:hAnsi="宋体"/>
                <w:color w:val="auto"/>
                <w:sz w:val="22"/>
                <w:lang w:val="en-US" w:eastAsia="zh-CN"/>
              </w:rPr>
              <w:t>四</w:t>
            </w:r>
            <w:r>
              <w:rPr>
                <w:rFonts w:hint="eastAsia" w:ascii="宋体" w:hAnsi="宋体"/>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center"/>
          </w:tcPr>
          <w:p>
            <w:pPr>
              <w:autoSpaceDE w:val="0"/>
              <w:autoSpaceDN w:val="0"/>
              <w:adjustRightInd w:val="0"/>
              <w:snapToGrid w:val="0"/>
              <w:spacing w:line="430" w:lineRule="atLeast"/>
              <w:jc w:val="left"/>
              <w:rPr>
                <w:rFonts w:hint="eastAsia" w:ascii="宋体" w:hAnsi="宋体"/>
                <w:color w:val="auto"/>
                <w:kern w:val="2"/>
                <w:sz w:val="22"/>
                <w:szCs w:val="22"/>
                <w:lang w:val="en-US" w:eastAsia="zh-CN" w:bidi="ar-SA"/>
              </w:rPr>
            </w:pPr>
            <w:r>
              <w:rPr>
                <w:rFonts w:hint="eastAsia" w:ascii="宋体" w:hAnsi="宋体"/>
                <w:color w:val="auto"/>
                <w:sz w:val="22"/>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pacing w:line="260" w:lineRule="exact"/>
              <w:jc w:val="left"/>
              <w:textAlignment w:val="bottom"/>
              <w:rPr>
                <w:rFonts w:ascii="宋体" w:hAnsi="宋体" w:cs="Arial"/>
                <w:color w:val="auto"/>
                <w:sz w:val="22"/>
              </w:rPr>
            </w:pPr>
            <w:r>
              <w:rPr>
                <w:rFonts w:hint="eastAsia" w:ascii="宋体" w:hAnsi="宋体" w:cs="Arial"/>
                <w:color w:val="auto"/>
                <w:sz w:val="22"/>
              </w:rPr>
              <w:t>享受小微企业（含监狱企业、残疾人福利性单位）价格折扣须按供应商单位性质提供以下相关的证明材料：</w:t>
            </w:r>
          </w:p>
          <w:p>
            <w:pPr>
              <w:pStyle w:val="9"/>
              <w:rPr>
                <w:rFonts w:ascii="Arial" w:hAnsi="Arial"/>
                <w:bCs/>
                <w:color w:val="auto"/>
                <w:kern w:val="2"/>
                <w:sz w:val="24"/>
                <w:szCs w:val="22"/>
              </w:rPr>
            </w:pPr>
            <w:r>
              <w:rPr>
                <w:rFonts w:hint="eastAsia" w:ascii="宋体" w:hAnsi="Arial"/>
                <w:bCs/>
                <w:color w:val="auto"/>
                <w:kern w:val="2"/>
                <w:sz w:val="22"/>
                <w:szCs w:val="22"/>
              </w:rPr>
              <w:t>（1）小微企业</w:t>
            </w:r>
          </w:p>
          <w:p>
            <w:pPr>
              <w:numPr>
                <w:ilvl w:val="0"/>
                <w:numId w:val="30"/>
              </w:numPr>
              <w:autoSpaceDE w:val="0"/>
              <w:autoSpaceDN w:val="0"/>
              <w:adjustRightInd w:val="0"/>
              <w:snapToGrid w:val="0"/>
              <w:spacing w:line="260" w:lineRule="atLeast"/>
              <w:rPr>
                <w:rFonts w:ascii="宋体"/>
                <w:color w:val="auto"/>
                <w:sz w:val="22"/>
              </w:rPr>
            </w:pPr>
            <w:r>
              <w:rPr>
                <w:rFonts w:hint="eastAsia" w:ascii="宋体"/>
                <w:color w:val="auto"/>
                <w:sz w:val="22"/>
              </w:rPr>
              <w:t>通过浙江政府采购网申请注册加入政府采购供应商库（不包括公示期内，提供浙江省政府采购网页面截图或其它入库证明材料，加盖供应商公章）</w:t>
            </w:r>
          </w:p>
          <w:p>
            <w:pPr>
              <w:numPr>
                <w:ilvl w:val="0"/>
                <w:numId w:val="30"/>
              </w:numPr>
              <w:autoSpaceDE w:val="0"/>
              <w:autoSpaceDN w:val="0"/>
              <w:adjustRightInd w:val="0"/>
              <w:snapToGrid w:val="0"/>
              <w:spacing w:line="260" w:lineRule="atLeast"/>
              <w:rPr>
                <w:rFonts w:ascii="宋体"/>
                <w:color w:val="auto"/>
                <w:sz w:val="22"/>
              </w:rPr>
            </w:pPr>
            <w:r>
              <w:rPr>
                <w:rFonts w:hint="eastAsia" w:ascii="宋体"/>
                <w:color w:val="auto"/>
                <w:sz w:val="22"/>
              </w:rPr>
              <w:t>《中小企业声明函》（原件，加盖供应商公章，格式见</w:t>
            </w:r>
            <w:r>
              <w:rPr>
                <w:rFonts w:hint="eastAsia" w:ascii="宋体"/>
                <w:color w:val="auto"/>
                <w:sz w:val="22"/>
                <w:lang w:eastAsia="zh-CN"/>
              </w:rPr>
              <w:t>招标文件规范要求</w:t>
            </w:r>
            <w:r>
              <w:rPr>
                <w:rFonts w:hint="eastAsia" w:ascii="宋体"/>
                <w:color w:val="auto"/>
                <w:sz w:val="22"/>
              </w:rPr>
              <w:t>第四部分附件1）</w:t>
            </w:r>
          </w:p>
          <w:p>
            <w:pPr>
              <w:numPr>
                <w:ilvl w:val="0"/>
                <w:numId w:val="30"/>
              </w:numPr>
              <w:autoSpaceDE w:val="0"/>
              <w:autoSpaceDN w:val="0"/>
              <w:adjustRightInd w:val="0"/>
              <w:snapToGrid w:val="0"/>
              <w:spacing w:line="260" w:lineRule="atLeast"/>
              <w:rPr>
                <w:rFonts w:ascii="宋体"/>
                <w:color w:val="auto"/>
                <w:sz w:val="22"/>
              </w:rPr>
            </w:pPr>
            <w:r>
              <w:rPr>
                <w:rFonts w:hint="eastAsia" w:ascii="宋体"/>
                <w:color w:val="auto"/>
                <w:sz w:val="22"/>
              </w:rPr>
              <w:t>“国家企业信用信息公示系统---小微企业名录”页面查询结果（查询时间应为本项目采购公告发布时间之后）（页面打印加盖供应商公章；格式见</w:t>
            </w:r>
            <w:r>
              <w:rPr>
                <w:rFonts w:hint="eastAsia" w:ascii="宋体"/>
                <w:color w:val="auto"/>
                <w:sz w:val="22"/>
                <w:lang w:eastAsia="zh-CN"/>
              </w:rPr>
              <w:t>招标文件规范要求</w:t>
            </w:r>
            <w:r>
              <w:rPr>
                <w:rFonts w:hint="eastAsia" w:ascii="宋体"/>
                <w:color w:val="auto"/>
                <w:sz w:val="22"/>
              </w:rPr>
              <w:t>第四部分附件2）不在小微企业名录内的，不享受价格折扣。</w:t>
            </w:r>
          </w:p>
          <w:p>
            <w:pPr>
              <w:autoSpaceDE w:val="0"/>
              <w:autoSpaceDN w:val="0"/>
              <w:adjustRightInd w:val="0"/>
              <w:snapToGrid w:val="0"/>
              <w:spacing w:line="260" w:lineRule="atLeast"/>
              <w:rPr>
                <w:rFonts w:ascii="宋体"/>
                <w:color w:val="auto"/>
                <w:sz w:val="22"/>
              </w:rPr>
            </w:pPr>
          </w:p>
          <w:p>
            <w:pPr>
              <w:numPr>
                <w:ilvl w:val="0"/>
                <w:numId w:val="31"/>
              </w:numPr>
              <w:autoSpaceDE w:val="0"/>
              <w:autoSpaceDN w:val="0"/>
              <w:adjustRightInd w:val="0"/>
              <w:snapToGrid w:val="0"/>
              <w:spacing w:line="260" w:lineRule="atLeast"/>
              <w:rPr>
                <w:rFonts w:ascii="Arial" w:hAnsi="Arial"/>
                <w:bCs/>
                <w:color w:val="auto"/>
                <w:sz w:val="24"/>
              </w:rPr>
            </w:pPr>
            <w:r>
              <w:rPr>
                <w:rFonts w:hint="eastAsia" w:ascii="宋体"/>
                <w:color w:val="auto"/>
                <w:sz w:val="22"/>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autoSpaceDE w:val="0"/>
              <w:autoSpaceDN w:val="0"/>
              <w:adjustRightInd w:val="0"/>
              <w:spacing w:line="260" w:lineRule="exact"/>
              <w:jc w:val="left"/>
              <w:textAlignment w:val="bottom"/>
              <w:rPr>
                <w:rFonts w:hint="eastAsia" w:ascii="宋体" w:hAnsi="宋体"/>
                <w:color w:val="auto"/>
                <w:kern w:val="2"/>
                <w:sz w:val="22"/>
                <w:szCs w:val="22"/>
                <w:lang w:val="en-US" w:eastAsia="zh-CN" w:bidi="ar-SA"/>
              </w:rPr>
            </w:pPr>
            <w:r>
              <w:rPr>
                <w:rFonts w:hint="eastAsia" w:ascii="宋体"/>
                <w:color w:val="auto"/>
                <w:sz w:val="22"/>
              </w:rPr>
              <w:t>（3）残疾人福利性单位声明函（原件，加盖供应商公章，格式见</w:t>
            </w:r>
            <w:r>
              <w:rPr>
                <w:rFonts w:hint="eastAsia" w:ascii="宋体"/>
                <w:color w:val="auto"/>
                <w:sz w:val="22"/>
                <w:lang w:eastAsia="zh-CN"/>
              </w:rPr>
              <w:t>招标文件规范要求</w:t>
            </w:r>
            <w:r>
              <w:rPr>
                <w:rFonts w:hint="eastAsia" w:ascii="宋体"/>
                <w:color w:val="auto"/>
                <w:sz w:val="22"/>
              </w:rPr>
              <w:t>第四部分附件3）在政府采购活动中，残疾人福利性单位视同小型、微型企业，享受评审中价格扣除政策。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center"/>
          </w:tcPr>
          <w:p>
            <w:pPr>
              <w:autoSpaceDE w:val="0"/>
              <w:autoSpaceDN w:val="0"/>
              <w:adjustRightInd w:val="0"/>
              <w:spacing w:line="260" w:lineRule="exact"/>
              <w:jc w:val="left"/>
              <w:textAlignment w:val="bottom"/>
              <w:rPr>
                <w:rFonts w:hint="eastAsia" w:ascii="宋体" w:hAnsi="宋体" w:cs="Arial"/>
                <w:color w:val="auto"/>
                <w:sz w:val="22"/>
              </w:rPr>
            </w:pPr>
            <w:r>
              <w:rPr>
                <w:rFonts w:hint="eastAsia" w:ascii="宋体" w:hAnsi="宋体" w:cs="Arial"/>
                <w:color w:val="auto"/>
                <w:sz w:val="22"/>
              </w:rPr>
              <w:t>节能环保产品声明函（附件十</w:t>
            </w:r>
            <w:r>
              <w:rPr>
                <w:rFonts w:hint="eastAsia" w:ascii="宋体" w:hAnsi="宋体" w:cs="Arial"/>
                <w:color w:val="auto"/>
                <w:sz w:val="22"/>
                <w:lang w:val="en-US" w:eastAsia="zh-CN"/>
              </w:rPr>
              <w:t>五</w:t>
            </w:r>
            <w:r>
              <w:rPr>
                <w:rFonts w:hint="eastAsia" w:ascii="宋体" w:hAnsi="宋体" w:cs="Arial"/>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center"/>
          </w:tcPr>
          <w:p>
            <w:pPr>
              <w:autoSpaceDE w:val="0"/>
              <w:autoSpaceDN w:val="0"/>
              <w:adjustRightInd w:val="0"/>
              <w:spacing w:line="260" w:lineRule="exact"/>
              <w:jc w:val="left"/>
              <w:textAlignment w:val="bottom"/>
              <w:rPr>
                <w:rFonts w:hint="eastAsia" w:ascii="宋体" w:hAnsi="宋体" w:cs="Arial"/>
                <w:color w:val="auto"/>
                <w:sz w:val="22"/>
              </w:rPr>
            </w:pPr>
            <w:r>
              <w:rPr>
                <w:rFonts w:hint="eastAsia" w:ascii="宋体" w:hAnsi="宋体" w:cs="Arial"/>
                <w:color w:val="auto"/>
                <w:sz w:val="22"/>
              </w:rPr>
              <w:t>节能环保产品清单（附件十</w:t>
            </w:r>
            <w:r>
              <w:rPr>
                <w:rFonts w:hint="eastAsia" w:ascii="宋体" w:hAnsi="宋体" w:cs="Arial"/>
                <w:color w:val="auto"/>
                <w:sz w:val="22"/>
                <w:lang w:val="en-US" w:eastAsia="zh-CN"/>
              </w:rPr>
              <w:t>六</w:t>
            </w:r>
            <w:r>
              <w:rPr>
                <w:rFonts w:hint="eastAsia" w:ascii="宋体" w:hAnsi="宋体" w:cs="Arial"/>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color w:val="auto"/>
                <w:sz w:val="22"/>
              </w:rPr>
            </w:pPr>
            <w:r>
              <w:rPr>
                <w:rFonts w:hint="eastAsia" w:ascii="宋体" w:hAnsi="宋体"/>
                <w:color w:val="auto"/>
                <w:sz w:val="22"/>
              </w:rPr>
              <w:t>根据</w:t>
            </w:r>
            <w:r>
              <w:rPr>
                <w:rFonts w:hint="eastAsia" w:ascii="宋体" w:hAnsi="宋体"/>
                <w:color w:val="auto"/>
                <w:sz w:val="22"/>
                <w:lang w:eastAsia="zh-CN"/>
              </w:rPr>
              <w:t>招标文件规范要求</w:t>
            </w:r>
            <w:r>
              <w:rPr>
                <w:rFonts w:hint="eastAsia" w:ascii="宋体" w:hAnsi="宋体"/>
                <w:color w:val="auto"/>
                <w:sz w:val="22"/>
              </w:rPr>
              <w:t>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color w:val="auto"/>
                <w:sz w:val="22"/>
              </w:rPr>
            </w:pPr>
            <w:r>
              <w:rPr>
                <w:rFonts w:hint="eastAsia" w:ascii="宋体" w:hAnsi="宋体"/>
                <w:color w:val="auto"/>
                <w:sz w:val="22"/>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29"/>
              </w:numPr>
              <w:autoSpaceDE w:val="0"/>
              <w:autoSpaceDN w:val="0"/>
              <w:adjustRightInd w:val="0"/>
              <w:snapToGrid w:val="0"/>
              <w:spacing w:line="430" w:lineRule="atLeast"/>
              <w:rPr>
                <w:rFonts w:hint="eastAsia" w:ascii="宋体" w:hAnsi="宋体"/>
                <w:color w:val="auto"/>
                <w:sz w:val="22"/>
                <w:lang w:val="zh-CN"/>
              </w:rPr>
            </w:pPr>
          </w:p>
        </w:tc>
        <w:tc>
          <w:tcPr>
            <w:tcW w:w="8747" w:type="dxa"/>
            <w:noWrap w:val="0"/>
            <w:vAlign w:val="top"/>
          </w:tcPr>
          <w:p>
            <w:pPr>
              <w:autoSpaceDE w:val="0"/>
              <w:autoSpaceDN w:val="0"/>
              <w:adjustRightInd w:val="0"/>
              <w:snapToGrid w:val="0"/>
              <w:spacing w:line="430" w:lineRule="atLeast"/>
              <w:rPr>
                <w:rFonts w:hint="eastAsia" w:ascii="宋体" w:hAnsi="宋体"/>
                <w:color w:val="auto"/>
                <w:sz w:val="22"/>
              </w:rPr>
            </w:pPr>
            <w:r>
              <w:rPr>
                <w:rFonts w:hint="eastAsia" w:ascii="宋体" w:hAnsi="宋体"/>
                <w:color w:val="auto"/>
                <w:sz w:val="22"/>
              </w:rPr>
              <w:t>供应商针对评分细则，编制目录索引，注明评标细则项目所在</w:t>
            </w:r>
            <w:r>
              <w:rPr>
                <w:rFonts w:hint="eastAsia" w:ascii="宋体" w:hAnsi="宋体"/>
                <w:color w:val="auto"/>
                <w:sz w:val="22"/>
                <w:lang w:eastAsia="zh-CN"/>
              </w:rPr>
              <w:t>投标文件</w:t>
            </w:r>
            <w:r>
              <w:rPr>
                <w:rFonts w:hint="eastAsia" w:ascii="宋体" w:hAnsi="宋体"/>
                <w:color w:val="auto"/>
                <w:sz w:val="22"/>
              </w:rPr>
              <w:t>页码。</w:t>
            </w:r>
          </w:p>
        </w:tc>
      </w:tr>
    </w:tbl>
    <w:p>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3.</w:t>
      </w:r>
      <w:r>
        <w:rPr>
          <w:rFonts w:hint="eastAsia" w:ascii="宋体"/>
          <w:color w:val="auto"/>
          <w:sz w:val="22"/>
        </w:rPr>
        <w:t>投标内容填写说明</w:t>
      </w:r>
    </w:p>
    <w:p>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 xml:space="preserve">3.1 </w:t>
      </w:r>
      <w:r>
        <w:rPr>
          <w:rFonts w:hint="eastAsia" w:ascii="宋体"/>
          <w:color w:val="auto"/>
          <w:sz w:val="22"/>
        </w:rPr>
        <w:t>投标文件格式</w:t>
      </w:r>
    </w:p>
    <w:p>
      <w:pPr>
        <w:autoSpaceDE w:val="0"/>
        <w:autoSpaceDN w:val="0"/>
        <w:adjustRightInd w:val="0"/>
        <w:snapToGrid w:val="0"/>
        <w:spacing w:line="400" w:lineRule="atLeast"/>
        <w:ind w:firstLine="446" w:firstLineChars="200"/>
        <w:textAlignment w:val="bottom"/>
        <w:rPr>
          <w:rFonts w:ascii="宋体"/>
          <w:color w:val="auto"/>
          <w:sz w:val="22"/>
        </w:rPr>
      </w:pPr>
      <w:r>
        <w:rPr>
          <w:rFonts w:hint="eastAsia" w:ascii="宋体"/>
          <w:color w:val="auto"/>
          <w:sz w:val="22"/>
        </w:rPr>
        <w:t>供应商应按照（上表）所列出的内容及格式组成投标文件并装订成册。</w:t>
      </w:r>
    </w:p>
    <w:p>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 xml:space="preserve">3.2 </w:t>
      </w:r>
      <w:r>
        <w:rPr>
          <w:rFonts w:hint="eastAsia" w:ascii="宋体"/>
          <w:color w:val="auto"/>
          <w:sz w:val="22"/>
        </w:rPr>
        <w:t>开标一览表为在</w:t>
      </w:r>
      <w:r>
        <w:rPr>
          <w:rFonts w:hint="eastAsia" w:ascii="宋体" w:cs="Arial"/>
          <w:color w:val="auto"/>
          <w:sz w:val="22"/>
          <w:szCs w:val="22"/>
        </w:rPr>
        <w:t>商务标</w:t>
      </w:r>
      <w:r>
        <w:rPr>
          <w:rFonts w:hint="eastAsia" w:ascii="宋体"/>
          <w:color w:val="auto"/>
          <w:sz w:val="22"/>
        </w:rPr>
        <w:t>开标仪式上唱标的内容，供应商需按格式填写，统一规格，不得自行增减内容。</w:t>
      </w:r>
    </w:p>
    <w:p>
      <w:pPr>
        <w:autoSpaceDE w:val="0"/>
        <w:autoSpaceDN w:val="0"/>
        <w:adjustRightInd w:val="0"/>
        <w:snapToGrid w:val="0"/>
        <w:spacing w:line="400" w:lineRule="atLeast"/>
        <w:ind w:firstLine="436" w:firstLineChars="196"/>
        <w:textAlignment w:val="bottom"/>
        <w:rPr>
          <w:rFonts w:ascii="宋体"/>
          <w:color w:val="auto"/>
          <w:sz w:val="22"/>
          <w:szCs w:val="22"/>
        </w:rPr>
      </w:pPr>
      <w:bookmarkStart w:id="122" w:name="_Toc132122412"/>
      <w:bookmarkStart w:id="123" w:name="_Toc132122115"/>
      <w:bookmarkStart w:id="124" w:name="_Toc132122116"/>
      <w:bookmarkStart w:id="125" w:name="_Toc132122413"/>
      <w:r>
        <w:rPr>
          <w:rFonts w:ascii="宋体"/>
          <w:color w:val="auto"/>
          <w:sz w:val="22"/>
          <w:szCs w:val="22"/>
        </w:rPr>
        <w:t>4.</w:t>
      </w:r>
      <w:r>
        <w:rPr>
          <w:rFonts w:hint="eastAsia" w:ascii="宋体"/>
          <w:color w:val="auto"/>
          <w:sz w:val="22"/>
          <w:szCs w:val="22"/>
        </w:rPr>
        <w:t>投标报价</w:t>
      </w:r>
      <w:bookmarkEnd w:id="122"/>
      <w:bookmarkEnd w:id="123"/>
    </w:p>
    <w:p>
      <w:pPr>
        <w:autoSpaceDE w:val="0"/>
        <w:autoSpaceDN w:val="0"/>
        <w:adjustRightInd w:val="0"/>
        <w:snapToGrid w:val="0"/>
        <w:spacing w:line="400" w:lineRule="atLeast"/>
        <w:ind w:firstLine="450"/>
        <w:textAlignment w:val="bottom"/>
        <w:rPr>
          <w:rFonts w:ascii="宋体"/>
          <w:color w:val="auto"/>
          <w:sz w:val="22"/>
        </w:rPr>
      </w:pPr>
      <w:r>
        <w:rPr>
          <w:rFonts w:ascii="宋体" w:cs="Arial"/>
          <w:color w:val="auto"/>
          <w:sz w:val="22"/>
          <w:szCs w:val="22"/>
        </w:rPr>
        <w:t xml:space="preserve">4.1 </w:t>
      </w:r>
      <w:r>
        <w:rPr>
          <w:rFonts w:hint="eastAsia" w:ascii="宋体" w:hAnsi="宋体" w:cs="Arial"/>
          <w:color w:val="auto"/>
          <w:sz w:val="22"/>
        </w:rPr>
        <w:t>供应商应按招标文件中《开标一览表》填写投标报价</w:t>
      </w:r>
      <w:r>
        <w:rPr>
          <w:rFonts w:hint="eastAsia" w:ascii="宋体"/>
          <w:color w:val="auto"/>
          <w:sz w:val="22"/>
        </w:rPr>
        <w:t>。</w:t>
      </w:r>
    </w:p>
    <w:p>
      <w:pPr>
        <w:autoSpaceDE w:val="0"/>
        <w:autoSpaceDN w:val="0"/>
        <w:adjustRightInd w:val="0"/>
        <w:snapToGrid w:val="0"/>
        <w:spacing w:line="400" w:lineRule="atLeast"/>
        <w:ind w:firstLine="450"/>
        <w:textAlignment w:val="bottom"/>
        <w:rPr>
          <w:rFonts w:ascii="宋体" w:cs="Arial"/>
          <w:color w:val="auto"/>
          <w:sz w:val="22"/>
          <w:szCs w:val="22"/>
        </w:rPr>
      </w:pPr>
      <w:r>
        <w:rPr>
          <w:rFonts w:ascii="宋体" w:cs="Arial"/>
          <w:color w:val="auto"/>
          <w:sz w:val="22"/>
          <w:szCs w:val="22"/>
        </w:rPr>
        <w:t xml:space="preserve">4.2 </w:t>
      </w:r>
      <w:r>
        <w:rPr>
          <w:rFonts w:hint="eastAsia" w:ascii="宋体" w:cs="Arial"/>
          <w:color w:val="auto"/>
          <w:sz w:val="22"/>
          <w:szCs w:val="22"/>
        </w:rPr>
        <w:t>本次招标只允许有一个报价，有选择的报价将不予接受。</w:t>
      </w:r>
    </w:p>
    <w:p>
      <w:pPr>
        <w:autoSpaceDE w:val="0"/>
        <w:autoSpaceDN w:val="0"/>
        <w:adjustRightInd w:val="0"/>
        <w:snapToGrid w:val="0"/>
        <w:spacing w:line="400" w:lineRule="atLeast"/>
        <w:ind w:firstLine="450"/>
        <w:textAlignment w:val="bottom"/>
        <w:rPr>
          <w:rFonts w:ascii="宋体"/>
          <w:color w:val="auto"/>
          <w:sz w:val="22"/>
          <w:szCs w:val="22"/>
        </w:rPr>
      </w:pPr>
      <w:r>
        <w:rPr>
          <w:rFonts w:ascii="宋体"/>
          <w:color w:val="auto"/>
          <w:sz w:val="22"/>
          <w:szCs w:val="22"/>
        </w:rPr>
        <w:t xml:space="preserve">4.3 </w:t>
      </w:r>
      <w:r>
        <w:rPr>
          <w:rFonts w:hint="eastAsia" w:ascii="宋体"/>
          <w:color w:val="auto"/>
          <w:sz w:val="22"/>
          <w:szCs w:val="22"/>
        </w:rPr>
        <w:t>本次招标只有一次投标报价的机会，</w:t>
      </w:r>
      <w:r>
        <w:rPr>
          <w:rFonts w:hint="eastAsia" w:ascii="宋体" w:cs="Arial"/>
          <w:color w:val="auto"/>
          <w:sz w:val="22"/>
          <w:szCs w:val="22"/>
        </w:rPr>
        <w:t>投标报价为投标总价</w:t>
      </w:r>
      <w:r>
        <w:rPr>
          <w:rFonts w:hint="eastAsia" w:ascii="宋体"/>
          <w:color w:val="auto"/>
          <w:sz w:val="22"/>
          <w:szCs w:val="22"/>
        </w:rPr>
        <w:t>。供应商应在各自技术和商务占优势的基础上并充分考虑本项目的重要性，提供对采购人最优惠的报价。</w:t>
      </w:r>
    </w:p>
    <w:p>
      <w:pPr>
        <w:tabs>
          <w:tab w:val="left" w:pos="1025"/>
        </w:tabs>
        <w:adjustRightInd w:val="0"/>
        <w:snapToGrid w:val="0"/>
        <w:spacing w:line="430" w:lineRule="atLeast"/>
        <w:ind w:firstLine="446" w:firstLineChars="200"/>
        <w:rPr>
          <w:rFonts w:ascii="宋体"/>
          <w:color w:val="auto"/>
          <w:sz w:val="22"/>
          <w:szCs w:val="22"/>
        </w:rPr>
      </w:pPr>
      <w:r>
        <w:rPr>
          <w:rFonts w:ascii="宋体"/>
          <w:color w:val="auto"/>
          <w:sz w:val="22"/>
          <w:szCs w:val="22"/>
        </w:rPr>
        <w:t xml:space="preserve">4.4 </w:t>
      </w:r>
      <w:r>
        <w:rPr>
          <w:rFonts w:hint="eastAsia" w:ascii="宋体"/>
          <w:color w:val="auto"/>
          <w:sz w:val="22"/>
          <w:szCs w:val="22"/>
        </w:rPr>
        <w:t>供应商在投标报价中应充分考虑所有可能发生的费用。投标供应商对在合同执行中，除招标文件规定的由中标方负责的工作范围以外需要采购人协调或提供便利的工作应当在投标文件中说明。</w:t>
      </w:r>
    </w:p>
    <w:p>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5.</w:t>
      </w:r>
      <w:r>
        <w:rPr>
          <w:rFonts w:hint="eastAsia" w:ascii="宋体"/>
          <w:color w:val="auto"/>
          <w:sz w:val="22"/>
        </w:rPr>
        <w:t>采购人要求分类报价是为了方便评标与合同执行，但在任何情况下不限制采购人以其认为最合适的条款签订合同的权利。</w:t>
      </w:r>
    </w:p>
    <w:bookmarkEnd w:id="124"/>
    <w:bookmarkEnd w:id="125"/>
    <w:p>
      <w:pPr>
        <w:pStyle w:val="30"/>
        <w:adjustRightInd w:val="0"/>
        <w:snapToGrid w:val="0"/>
        <w:spacing w:line="400" w:lineRule="atLeast"/>
        <w:ind w:firstLine="446" w:firstLineChars="200"/>
        <w:rPr>
          <w:rFonts w:hAnsi="宋体"/>
          <w:color w:val="auto"/>
          <w:sz w:val="22"/>
        </w:rPr>
      </w:pPr>
      <w:bookmarkStart w:id="126" w:name="_Toc132122117"/>
      <w:bookmarkStart w:id="127" w:name="_Toc132122414"/>
      <w:r>
        <w:rPr>
          <w:rFonts w:hint="eastAsia" w:hAnsi="宋体"/>
          <w:color w:val="auto"/>
          <w:sz w:val="22"/>
        </w:rPr>
        <w:t>6</w:t>
      </w:r>
      <w:r>
        <w:rPr>
          <w:rFonts w:hAnsi="宋体"/>
          <w:color w:val="auto"/>
          <w:sz w:val="22"/>
        </w:rPr>
        <w:t>.</w:t>
      </w:r>
      <w:r>
        <w:rPr>
          <w:rFonts w:hint="eastAsia" w:hAnsi="宋体"/>
          <w:color w:val="auto"/>
          <w:sz w:val="22"/>
        </w:rPr>
        <w:t>投标文件的有效期</w:t>
      </w:r>
      <w:bookmarkEnd w:id="126"/>
      <w:bookmarkEnd w:id="127"/>
    </w:p>
    <w:p>
      <w:pPr>
        <w:pStyle w:val="30"/>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.1</w:t>
      </w:r>
      <w:r>
        <w:rPr>
          <w:rFonts w:hint="eastAsia" w:hAnsi="宋体"/>
          <w:color w:val="auto"/>
          <w:sz w:val="22"/>
        </w:rPr>
        <w:t>自投标截止时间起</w:t>
      </w:r>
      <w:r>
        <w:rPr>
          <w:rFonts w:hAnsi="宋体"/>
          <w:color w:val="auto"/>
          <w:sz w:val="22"/>
        </w:rPr>
        <w:t>90</w:t>
      </w:r>
      <w:r>
        <w:rPr>
          <w:rFonts w:hint="eastAsia" w:hAnsi="宋体"/>
          <w:color w:val="auto"/>
          <w:sz w:val="22"/>
        </w:rPr>
        <w:t>天内，投标文件应保持有效。有效期短于这个规定期限的投标将被拒绝。</w:t>
      </w:r>
    </w:p>
    <w:p>
      <w:pPr>
        <w:pStyle w:val="30"/>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.2</w:t>
      </w:r>
      <w:r>
        <w:rPr>
          <w:rFonts w:hint="eastAsia" w:hAnsi="宋体"/>
          <w:color w:val="auto"/>
          <w:sz w:val="22"/>
        </w:rPr>
        <w:t>在特殊情况下，采购人可与供应商协商延长投标文件的有效期，这种要求和答复均应以书面形式进行。</w:t>
      </w:r>
    </w:p>
    <w:p>
      <w:pPr>
        <w:pStyle w:val="30"/>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.3</w:t>
      </w:r>
      <w:r>
        <w:rPr>
          <w:rFonts w:hint="eastAsia" w:hAnsi="宋体"/>
          <w:color w:val="auto"/>
          <w:sz w:val="22"/>
        </w:rPr>
        <w:t>供应商可拒绝接受延期要求而不会导致投标保证金被不予退还。同意延长有效期的供应商不能修改投标文件。</w:t>
      </w:r>
    </w:p>
    <w:p>
      <w:pPr>
        <w:pStyle w:val="30"/>
        <w:adjustRightInd w:val="0"/>
        <w:snapToGrid w:val="0"/>
        <w:spacing w:line="400" w:lineRule="atLeast"/>
        <w:ind w:firstLine="440"/>
        <w:outlineLvl w:val="0"/>
        <w:rPr>
          <w:rFonts w:hAnsi="宋体" w:cs="Arial"/>
          <w:color w:val="auto"/>
          <w:sz w:val="22"/>
          <w:szCs w:val="22"/>
        </w:rPr>
      </w:pPr>
      <w:bookmarkStart w:id="128" w:name="_Toc132122118"/>
      <w:bookmarkStart w:id="129" w:name="_Toc132122415"/>
      <w:r>
        <w:rPr>
          <w:rFonts w:hint="eastAsia" w:hAnsi="宋体" w:cs="Arial"/>
          <w:color w:val="auto"/>
          <w:sz w:val="22"/>
          <w:szCs w:val="22"/>
        </w:rPr>
        <w:t>7</w:t>
      </w:r>
      <w:r>
        <w:rPr>
          <w:rFonts w:hAnsi="宋体" w:cs="Arial"/>
          <w:color w:val="auto"/>
          <w:sz w:val="22"/>
          <w:szCs w:val="22"/>
        </w:rPr>
        <w:t>.</w:t>
      </w:r>
      <w:r>
        <w:rPr>
          <w:rFonts w:hint="eastAsia" w:hAnsi="宋体" w:cs="Arial"/>
          <w:color w:val="auto"/>
          <w:sz w:val="22"/>
          <w:szCs w:val="22"/>
        </w:rPr>
        <w:t>投标文件的签署</w:t>
      </w:r>
      <w:bookmarkEnd w:id="128"/>
      <w:bookmarkEnd w:id="129"/>
    </w:p>
    <w:p>
      <w:pPr>
        <w:pStyle w:val="30"/>
        <w:adjustRightInd w:val="0"/>
        <w:snapToGrid w:val="0"/>
        <w:spacing w:line="400" w:lineRule="atLeast"/>
        <w:ind w:firstLine="446" w:firstLineChars="200"/>
        <w:rPr>
          <w:rFonts w:hAnsi="宋体" w:cs="Arial"/>
          <w:color w:val="auto"/>
          <w:sz w:val="22"/>
          <w:szCs w:val="22"/>
        </w:rPr>
      </w:pPr>
      <w:r>
        <w:rPr>
          <w:rFonts w:hint="eastAsia" w:hAnsi="宋体" w:cs="Arial"/>
          <w:color w:val="auto"/>
          <w:sz w:val="22"/>
          <w:szCs w:val="22"/>
        </w:rPr>
        <w:t>7</w:t>
      </w:r>
      <w:r>
        <w:rPr>
          <w:rFonts w:hAnsi="宋体" w:cs="Arial"/>
          <w:color w:val="auto"/>
          <w:sz w:val="22"/>
          <w:szCs w:val="22"/>
        </w:rPr>
        <w:t>.1</w:t>
      </w:r>
      <w:r>
        <w:rPr>
          <w:rFonts w:hint="eastAsia" w:hAnsi="宋体" w:cs="Arial"/>
          <w:color w:val="auto"/>
          <w:sz w:val="22"/>
          <w:szCs w:val="22"/>
        </w:rPr>
        <w:t>投标文件不得涂改和增删，如有错漏必须修改，修改处须由同一签署人签字或盖章。由于字迹模糊或表达不清引起的后果由供应商负责。</w:t>
      </w:r>
    </w:p>
    <w:p>
      <w:pPr>
        <w:pStyle w:val="30"/>
        <w:adjustRightInd w:val="0"/>
        <w:snapToGrid w:val="0"/>
        <w:spacing w:line="400" w:lineRule="atLeast"/>
        <w:rPr>
          <w:rFonts w:hAnsi="宋体" w:cs="Arial"/>
          <w:color w:val="auto"/>
          <w:sz w:val="22"/>
          <w:szCs w:val="22"/>
        </w:rPr>
      </w:pPr>
      <w:r>
        <w:rPr>
          <w:rFonts w:hAnsi="宋体" w:cs="Arial"/>
          <w:color w:val="auto"/>
          <w:sz w:val="22"/>
          <w:szCs w:val="22"/>
        </w:rPr>
        <w:t xml:space="preserve">    </w:t>
      </w:r>
      <w:r>
        <w:rPr>
          <w:rFonts w:hint="eastAsia" w:hAnsi="宋体" w:cs="Arial"/>
          <w:color w:val="auto"/>
          <w:sz w:val="22"/>
          <w:szCs w:val="22"/>
        </w:rPr>
        <w:t>7</w:t>
      </w:r>
      <w:r>
        <w:rPr>
          <w:rFonts w:hAnsi="宋体" w:cs="Arial"/>
          <w:color w:val="auto"/>
          <w:sz w:val="22"/>
          <w:szCs w:val="22"/>
        </w:rPr>
        <w:t>.2</w:t>
      </w:r>
      <w:r>
        <w:rPr>
          <w:rFonts w:hint="eastAsia" w:hAnsi="宋体" w:cs="Arial"/>
          <w:color w:val="auto"/>
          <w:sz w:val="22"/>
          <w:szCs w:val="22"/>
        </w:rPr>
        <w:t>投标文件须由供应商盖章并由法定代表人或法定代表人授权代表签署，供应商应写全称。</w:t>
      </w:r>
    </w:p>
    <w:p>
      <w:pPr>
        <w:pStyle w:val="30"/>
        <w:adjustRightInd w:val="0"/>
        <w:snapToGrid w:val="0"/>
        <w:spacing w:line="400" w:lineRule="atLeast"/>
        <w:outlineLvl w:val="0"/>
        <w:rPr>
          <w:rFonts w:hAnsi="宋体" w:cs="Arial"/>
          <w:b/>
          <w:bCs/>
          <w:color w:val="auto"/>
          <w:sz w:val="22"/>
          <w:szCs w:val="22"/>
        </w:rPr>
      </w:pPr>
      <w:bookmarkStart w:id="130" w:name="_Toc132655776"/>
      <w:bookmarkStart w:id="131" w:name="_Toc132125037"/>
      <w:bookmarkStart w:id="132" w:name="_Toc132122119"/>
      <w:bookmarkStart w:id="133" w:name="_Toc132125151"/>
      <w:bookmarkStart w:id="134" w:name="_Toc132123547"/>
      <w:bookmarkStart w:id="135" w:name="_Toc132126154"/>
      <w:bookmarkStart w:id="136" w:name="_Toc132125574"/>
      <w:bookmarkStart w:id="137" w:name="_Toc132125095"/>
      <w:bookmarkStart w:id="138" w:name="_Toc132122416"/>
      <w:bookmarkStart w:id="139" w:name="_Toc132123439"/>
      <w:bookmarkStart w:id="140" w:name="_Toc132124594"/>
      <w:bookmarkStart w:id="141" w:name="_Toc132123881"/>
      <w:bookmarkStart w:id="142" w:name="_Toc132123634"/>
      <w:bookmarkStart w:id="143" w:name="_Toc132123838"/>
      <w:bookmarkStart w:id="144" w:name="_Toc132125983"/>
      <w:r>
        <w:rPr>
          <w:rFonts w:hint="eastAsia" w:hAnsi="宋体" w:cs="Arial"/>
          <w:b/>
          <w:bCs/>
          <w:color w:val="auto"/>
          <w:sz w:val="22"/>
          <w:szCs w:val="22"/>
        </w:rPr>
        <w:t>四、投标文件的递交</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1. 投标文件的上传、递交：见《投标邀请函（投标须知前附表）》。</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2.“电子加密投标文件”解密和异常情况处理：见《投标邀请函（投标须知前附表）》。</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3.投标文件的补充、修改或撤回</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3.2投标截止时间后，供应商不得撤回、修改《投标文件》。</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4.投标文件的备选方案</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4.1供应商不得递交任何的投标备选（替代）方案，否则其投标文件将作无效标处理。与“电子加密投标文件”同时生成的“备份投标文件”不是投标备选（替代）方案。</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5. 投标截止期</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5.1供应商应按前附表中规定的时间、地点将投标文件递交给采购人，采购人将拒绝接受逾期送达的投标文件。</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5.2采购人可以按本须知规定以补充通知的方式，酌情延长递交投标文件的截止日期。在上述情况下，采购人与供应商以前在投标截止期方面的全部权利、责任和义务，将适用于延长至新的投标截止期。</w:t>
      </w:r>
    </w:p>
    <w:p>
      <w:pPr>
        <w:pStyle w:val="30"/>
        <w:adjustRightInd w:val="0"/>
        <w:snapToGrid w:val="0"/>
        <w:spacing w:line="400" w:lineRule="atLeast"/>
        <w:ind w:firstLine="436" w:firstLineChars="196"/>
        <w:rPr>
          <w:rFonts w:hint="eastAsia" w:hAnsi="宋体"/>
          <w:b/>
          <w:bCs/>
          <w:color w:val="auto"/>
          <w:sz w:val="22"/>
          <w:szCs w:val="22"/>
        </w:rPr>
      </w:pPr>
      <w:r>
        <w:rPr>
          <w:rFonts w:hint="eastAsia" w:hAnsi="宋体"/>
          <w:b/>
          <w:bCs/>
          <w:color w:val="auto"/>
          <w:sz w:val="22"/>
          <w:szCs w:val="22"/>
        </w:rPr>
        <w:t>五、开标和评标</w:t>
      </w:r>
    </w:p>
    <w:p>
      <w:pPr>
        <w:pStyle w:val="30"/>
        <w:adjustRightInd w:val="0"/>
        <w:snapToGrid w:val="0"/>
        <w:spacing w:line="400" w:lineRule="atLeast"/>
        <w:ind w:firstLine="436" w:firstLineChars="196"/>
        <w:rPr>
          <w:rFonts w:hint="eastAsia" w:hAnsi="宋体"/>
          <w:color w:val="auto"/>
          <w:sz w:val="22"/>
          <w:szCs w:val="22"/>
        </w:rPr>
      </w:pPr>
      <w:r>
        <w:rPr>
          <w:rFonts w:hint="eastAsia" w:hAnsi="宋体"/>
          <w:color w:val="auto"/>
          <w:sz w:val="22"/>
          <w:szCs w:val="22"/>
        </w:rPr>
        <w:t>1.开标</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（一）开标形式</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1.1 采购组织机构将按照采购文件规定的时间通过“政府采购云平台”组织开标、开启投标文件，所有供应商均应当准时在线参加。</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（二） 开标准备</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2.1开标的准备工作由采购组织机构负责落实；</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（三）开标流程（两阶段）</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3.1开标第一阶段</w:t>
      </w:r>
    </w:p>
    <w:p>
      <w:pPr>
        <w:pStyle w:val="30"/>
        <w:adjustRightInd w:val="0"/>
        <w:snapToGrid w:val="0"/>
        <w:spacing w:line="400" w:lineRule="atLeast"/>
        <w:ind w:firstLine="436" w:firstLineChars="196"/>
        <w:rPr>
          <w:rFonts w:hint="eastAsia" w:hAnsi="宋体"/>
          <w:color w:val="auto"/>
          <w:sz w:val="22"/>
          <w:szCs w:val="22"/>
        </w:rPr>
      </w:pPr>
      <w:r>
        <w:rPr>
          <w:rFonts w:hint="eastAsia" w:hAnsi="宋体"/>
          <w:color w:val="auto"/>
          <w:sz w:val="22"/>
          <w:szCs w:val="22"/>
          <w:lang w:val="en-US" w:eastAsia="zh-CN"/>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（2）投标文件解密结束；</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（3）开启投标文件，进入资格审查；</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（4）开启资格审查通过的供应商的商务技术文件进入符合性审查、商务技术评审；</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（5）第一阶段开标结束。</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备注：开标大会的第一阶段结束后，采购人或采购代理机构将对依法对供应商的资格进行审查，资格审查结束后进入符合性审查和资信技术的评审工作。</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3.2开标大会第二阶段</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1）符合性审查、资信技术评审结束后，举行开标大会第二阶段会议。首先在线公布符合性审查、资信技术评审无效供应商名称及理由；公布经资信技术评审后有效供应商的名单，同时公布其资信技术得分情况。</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（3）评审结束后，在线公布中标（成交）候选供应商名单，及采购人最终确定中标或成交供应商名单的时间和公告方式等。</w:t>
      </w:r>
    </w:p>
    <w:p>
      <w:pPr>
        <w:pStyle w:val="30"/>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特别说明：如遇“政府采购云平台”电子化开标或评审程序调整的，按调整后程序执行。</w:t>
      </w:r>
    </w:p>
    <w:p>
      <w:pPr>
        <w:pStyle w:val="30"/>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2.</w:t>
      </w:r>
      <w:r>
        <w:rPr>
          <w:rFonts w:hint="eastAsia" w:hAnsi="宋体" w:cs="Arial"/>
          <w:color w:val="auto"/>
          <w:sz w:val="22"/>
          <w:szCs w:val="22"/>
        </w:rPr>
        <w:t>评标</w:t>
      </w:r>
    </w:p>
    <w:p>
      <w:pPr>
        <w:pStyle w:val="30"/>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2.1</w:t>
      </w:r>
      <w:r>
        <w:rPr>
          <w:rFonts w:hint="eastAsia" w:hAnsi="宋体" w:cs="Arial"/>
          <w:color w:val="auto"/>
          <w:sz w:val="22"/>
          <w:szCs w:val="22"/>
        </w:rPr>
        <w:t>评标由采购人依法组建的评标委员会负责</w:t>
      </w:r>
      <w:r>
        <w:rPr>
          <w:rFonts w:hint="eastAsia" w:hAnsi="宋体"/>
          <w:color w:val="auto"/>
          <w:sz w:val="22"/>
          <w:szCs w:val="22"/>
        </w:rPr>
        <w:t>，并独立履行下列职责：</w:t>
      </w:r>
    </w:p>
    <w:p>
      <w:pPr>
        <w:snapToGrid w:val="0"/>
        <w:spacing w:line="400" w:lineRule="atLeast"/>
        <w:ind w:firstLine="438" w:firstLineChars="197"/>
        <w:rPr>
          <w:rFonts w:ascii="宋体"/>
          <w:color w:val="auto"/>
          <w:sz w:val="22"/>
          <w:szCs w:val="22"/>
        </w:rPr>
      </w:pPr>
      <w:r>
        <w:rPr>
          <w:rFonts w:ascii="宋体"/>
          <w:color w:val="auto"/>
          <w:sz w:val="22"/>
          <w:szCs w:val="22"/>
        </w:rPr>
        <w:t>1</w:t>
      </w:r>
      <w:r>
        <w:rPr>
          <w:rFonts w:hint="eastAsia" w:ascii="宋体"/>
          <w:color w:val="auto"/>
          <w:sz w:val="22"/>
          <w:szCs w:val="22"/>
        </w:rPr>
        <w:t>）审查投标文件是否符合招标文件要求，并做出评价；</w:t>
      </w:r>
    </w:p>
    <w:p>
      <w:pPr>
        <w:snapToGrid w:val="0"/>
        <w:spacing w:line="400" w:lineRule="atLeast"/>
        <w:ind w:firstLine="438" w:firstLineChars="197"/>
        <w:rPr>
          <w:rFonts w:ascii="宋体"/>
          <w:color w:val="auto"/>
          <w:sz w:val="22"/>
          <w:szCs w:val="22"/>
        </w:rPr>
      </w:pPr>
      <w:r>
        <w:rPr>
          <w:rFonts w:ascii="宋体"/>
          <w:color w:val="auto"/>
          <w:sz w:val="22"/>
          <w:szCs w:val="22"/>
        </w:rPr>
        <w:t>2</w:t>
      </w:r>
      <w:r>
        <w:rPr>
          <w:rFonts w:hint="eastAsia" w:ascii="宋体"/>
          <w:color w:val="auto"/>
          <w:sz w:val="22"/>
          <w:szCs w:val="22"/>
        </w:rPr>
        <w:t>）要求供应商对投标文件有关事项做出解释或者澄清；</w:t>
      </w:r>
    </w:p>
    <w:p>
      <w:pPr>
        <w:snapToGrid w:val="0"/>
        <w:spacing w:line="400" w:lineRule="atLeast"/>
        <w:ind w:firstLine="438" w:firstLineChars="197"/>
        <w:rPr>
          <w:rFonts w:ascii="宋体"/>
          <w:color w:val="auto"/>
          <w:sz w:val="22"/>
          <w:szCs w:val="22"/>
        </w:rPr>
      </w:pPr>
      <w:r>
        <w:rPr>
          <w:rFonts w:ascii="宋体"/>
          <w:color w:val="auto"/>
          <w:sz w:val="22"/>
          <w:szCs w:val="22"/>
        </w:rPr>
        <w:t>3</w:t>
      </w:r>
      <w:r>
        <w:rPr>
          <w:rFonts w:hint="eastAsia" w:ascii="宋体"/>
          <w:color w:val="auto"/>
          <w:sz w:val="22"/>
          <w:szCs w:val="22"/>
        </w:rPr>
        <w:t>）按照招标文件确定的评标办法确定中标方，并对其排序；综合得分最高的供应商推荐为中标方；</w:t>
      </w:r>
    </w:p>
    <w:p>
      <w:pPr>
        <w:pStyle w:val="30"/>
        <w:adjustRightInd w:val="0"/>
        <w:snapToGrid w:val="0"/>
        <w:spacing w:line="400" w:lineRule="atLeast"/>
        <w:ind w:firstLine="438" w:firstLineChars="197"/>
        <w:rPr>
          <w:rFonts w:hAnsi="宋体"/>
          <w:color w:val="auto"/>
          <w:sz w:val="22"/>
          <w:szCs w:val="22"/>
        </w:rPr>
      </w:pPr>
      <w:r>
        <w:rPr>
          <w:rFonts w:hAnsi="宋体"/>
          <w:color w:val="auto"/>
          <w:sz w:val="22"/>
          <w:szCs w:val="22"/>
        </w:rPr>
        <w:t>4</w:t>
      </w:r>
      <w:r>
        <w:rPr>
          <w:rFonts w:hint="eastAsia" w:hAnsi="宋体"/>
          <w:color w:val="auto"/>
          <w:sz w:val="22"/>
          <w:szCs w:val="22"/>
        </w:rPr>
        <w:t>）向采购人或者有关部门报告非法干预评标工作的行为。</w:t>
      </w:r>
    </w:p>
    <w:p>
      <w:pPr>
        <w:pStyle w:val="30"/>
        <w:adjustRightInd w:val="0"/>
        <w:snapToGrid w:val="0"/>
        <w:spacing w:line="400" w:lineRule="atLeast"/>
        <w:ind w:firstLine="438" w:firstLineChars="197"/>
        <w:rPr>
          <w:rFonts w:hAnsi="宋体"/>
          <w:color w:val="auto"/>
          <w:sz w:val="22"/>
          <w:szCs w:val="22"/>
        </w:rPr>
      </w:pPr>
      <w:r>
        <w:rPr>
          <w:rFonts w:hAnsi="宋体"/>
          <w:color w:val="auto"/>
          <w:sz w:val="22"/>
          <w:szCs w:val="22"/>
        </w:rPr>
        <w:t>5</w:t>
      </w:r>
      <w:r>
        <w:rPr>
          <w:rFonts w:hint="eastAsia" w:hAnsi="宋体"/>
          <w:color w:val="auto"/>
          <w:sz w:val="22"/>
          <w:szCs w:val="22"/>
        </w:rPr>
        <w:t>）根据采购人的授权确定中标方名单；</w:t>
      </w:r>
    </w:p>
    <w:p>
      <w:pPr>
        <w:snapToGrid w:val="0"/>
        <w:spacing w:line="400" w:lineRule="atLeast"/>
        <w:ind w:firstLine="438" w:firstLineChars="197"/>
        <w:rPr>
          <w:rFonts w:ascii="宋体"/>
          <w:color w:val="auto"/>
          <w:sz w:val="22"/>
          <w:szCs w:val="22"/>
        </w:rPr>
      </w:pPr>
      <w:r>
        <w:rPr>
          <w:rFonts w:ascii="宋体"/>
          <w:color w:val="auto"/>
          <w:sz w:val="22"/>
          <w:szCs w:val="22"/>
        </w:rPr>
        <w:t>2.2</w:t>
      </w:r>
      <w:r>
        <w:rPr>
          <w:rFonts w:hint="eastAsia" w:ascii="宋体"/>
          <w:color w:val="auto"/>
          <w:sz w:val="22"/>
          <w:szCs w:val="22"/>
        </w:rPr>
        <w:t>评标应当遵循下列工作程序：</w:t>
      </w:r>
    </w:p>
    <w:p>
      <w:pPr>
        <w:snapToGrid w:val="0"/>
        <w:spacing w:line="400" w:lineRule="atLeast"/>
        <w:ind w:firstLine="438" w:firstLineChars="197"/>
        <w:rPr>
          <w:rFonts w:ascii="宋体"/>
          <w:color w:val="auto"/>
          <w:sz w:val="22"/>
          <w:szCs w:val="22"/>
        </w:rPr>
      </w:pPr>
      <w:r>
        <w:rPr>
          <w:rFonts w:ascii="宋体"/>
          <w:color w:val="auto"/>
          <w:sz w:val="22"/>
          <w:szCs w:val="22"/>
        </w:rPr>
        <w:t>1</w:t>
      </w:r>
      <w:r>
        <w:rPr>
          <w:rFonts w:hint="eastAsia" w:ascii="宋体"/>
          <w:color w:val="auto"/>
          <w:sz w:val="22"/>
          <w:szCs w:val="22"/>
        </w:rPr>
        <w:t>）投标文件初审。初审分为资格性检查和符合性检查。</w:t>
      </w:r>
    </w:p>
    <w:p>
      <w:pPr>
        <w:snapToGrid w:val="0"/>
        <w:spacing w:line="400" w:lineRule="atLeast"/>
        <w:ind w:firstLine="327" w:firstLineChars="147"/>
        <w:rPr>
          <w:rFonts w:ascii="宋体"/>
          <w:color w:val="auto"/>
          <w:sz w:val="22"/>
          <w:szCs w:val="22"/>
        </w:rPr>
      </w:pPr>
      <w:r>
        <w:rPr>
          <w:rFonts w:hint="eastAsia" w:ascii="宋体"/>
          <w:color w:val="auto"/>
          <w:sz w:val="22"/>
          <w:szCs w:val="22"/>
        </w:rPr>
        <w:t>（</w:t>
      </w:r>
      <w:r>
        <w:rPr>
          <w:rFonts w:ascii="宋体"/>
          <w:color w:val="auto"/>
          <w:sz w:val="22"/>
          <w:szCs w:val="22"/>
        </w:rPr>
        <w:t>1)</w:t>
      </w:r>
      <w:r>
        <w:rPr>
          <w:rFonts w:hint="eastAsia" w:ascii="宋体"/>
          <w:color w:val="auto"/>
          <w:sz w:val="22"/>
          <w:szCs w:val="22"/>
        </w:rPr>
        <w:t>资格性检查。依据法律法规和招标文件的规定，对投标文件中的资格证明文件等进行审查，以确定供应商是否具备投标资格。</w:t>
      </w:r>
    </w:p>
    <w:p>
      <w:pPr>
        <w:snapToGrid w:val="0"/>
        <w:spacing w:line="400" w:lineRule="atLeast"/>
        <w:ind w:firstLine="327" w:firstLineChars="147"/>
        <w:rPr>
          <w:rFonts w:ascii="宋体"/>
          <w:color w:val="auto"/>
          <w:sz w:val="22"/>
          <w:szCs w:val="22"/>
        </w:rPr>
      </w:pPr>
      <w:r>
        <w:rPr>
          <w:rFonts w:hint="eastAsia" w:ascii="宋体"/>
          <w:color w:val="auto"/>
          <w:sz w:val="22"/>
          <w:szCs w:val="22"/>
        </w:rPr>
        <w:t>（</w:t>
      </w:r>
      <w:r>
        <w:rPr>
          <w:rFonts w:ascii="宋体"/>
          <w:color w:val="auto"/>
          <w:sz w:val="22"/>
          <w:szCs w:val="22"/>
        </w:rPr>
        <w:t>2)</w:t>
      </w:r>
      <w:r>
        <w:rPr>
          <w:rFonts w:hint="eastAsia" w:ascii="宋体"/>
          <w:color w:val="auto"/>
          <w:sz w:val="22"/>
          <w:szCs w:val="22"/>
        </w:rPr>
        <w:t>符合性检查。依据招标文件的规定，从投标文件的有效性、完整性和对招标文件的响应程度进行审查，以确定是否对招标文件的实质性要求做出响应。</w:t>
      </w:r>
    </w:p>
    <w:p>
      <w:pPr>
        <w:snapToGrid w:val="0"/>
        <w:spacing w:line="400" w:lineRule="atLeast"/>
        <w:ind w:firstLine="438" w:firstLineChars="197"/>
        <w:rPr>
          <w:rFonts w:ascii="宋体"/>
          <w:color w:val="auto"/>
          <w:sz w:val="22"/>
          <w:szCs w:val="22"/>
        </w:rPr>
      </w:pPr>
      <w:r>
        <w:rPr>
          <w:rFonts w:ascii="宋体"/>
          <w:color w:val="auto"/>
          <w:sz w:val="22"/>
          <w:szCs w:val="22"/>
        </w:rPr>
        <w:t>2</w:t>
      </w:r>
      <w:r>
        <w:rPr>
          <w:rFonts w:hint="eastAsia" w:ascii="宋体"/>
          <w:color w:val="auto"/>
          <w:sz w:val="22"/>
          <w:szCs w:val="22"/>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pPr>
        <w:adjustRightInd w:val="0"/>
        <w:snapToGrid w:val="0"/>
        <w:spacing w:line="400" w:lineRule="atLeast"/>
        <w:ind w:firstLine="438" w:firstLineChars="197"/>
        <w:rPr>
          <w:rFonts w:hint="eastAsia" w:ascii="宋体" w:cs="Arial"/>
          <w:color w:val="auto"/>
          <w:sz w:val="22"/>
          <w:szCs w:val="22"/>
        </w:rPr>
      </w:pPr>
      <w:r>
        <w:rPr>
          <w:rFonts w:hint="eastAsia" w:ascii="宋体" w:cs="Arial"/>
          <w:color w:val="auto"/>
          <w:sz w:val="22"/>
          <w:szCs w:val="22"/>
        </w:rPr>
        <w:t>实质上没有响应招标文件要求的投标将被拒绝。供应商不得通过修正或撤消不合要求的偏离从而使其投标成为实质上响应的投标。</w:t>
      </w:r>
      <w:r>
        <w:rPr>
          <w:rFonts w:hint="eastAsia" w:ascii="宋体" w:cs="Arial"/>
          <w:color w:val="auto"/>
          <w:sz w:val="22"/>
          <w:szCs w:val="22"/>
        </w:rPr>
        <w:br w:type="textWrapping"/>
      </w:r>
      <w:r>
        <w:rPr>
          <w:rFonts w:hint="eastAsia" w:ascii="宋体" w:cs="Arial"/>
          <w:color w:val="auto"/>
          <w:sz w:val="22"/>
          <w:szCs w:val="22"/>
          <w:lang w:val="en-US" w:eastAsia="zh-CN"/>
        </w:rPr>
        <w:t xml:space="preserve">    </w:t>
      </w:r>
      <w:r>
        <w:rPr>
          <w:rFonts w:hint="eastAsia" w:hAnsi="宋体"/>
          <w:color w:val="auto"/>
          <w:sz w:val="22"/>
          <w:szCs w:val="22"/>
        </w:rPr>
        <w:t>▲</w:t>
      </w:r>
      <w:r>
        <w:rPr>
          <w:rFonts w:hint="eastAsia" w:ascii="宋体" w:cs="Arial"/>
          <w:b/>
          <w:bCs/>
          <w:color w:val="auto"/>
          <w:sz w:val="22"/>
          <w:szCs w:val="22"/>
          <w:lang w:val="en-US" w:eastAsia="zh-CN"/>
        </w:rPr>
        <w:t>供应商政采云系统填写报价</w:t>
      </w:r>
      <w:r>
        <w:rPr>
          <w:rFonts w:hint="eastAsia" w:ascii="宋体" w:cs="Arial"/>
          <w:b/>
          <w:bCs/>
          <w:color w:val="auto"/>
          <w:sz w:val="22"/>
          <w:szCs w:val="22"/>
        </w:rPr>
        <w:t>和</w:t>
      </w:r>
      <w:r>
        <w:rPr>
          <w:rFonts w:hint="eastAsia" w:ascii="宋体" w:cs="Arial"/>
          <w:b/>
          <w:bCs/>
          <w:color w:val="auto"/>
          <w:sz w:val="22"/>
          <w:szCs w:val="22"/>
          <w:lang w:val="en-US" w:eastAsia="zh-CN"/>
        </w:rPr>
        <w:t>电子投标文件（开标一览表）中</w:t>
      </w:r>
      <w:r>
        <w:rPr>
          <w:rFonts w:hint="eastAsia" w:ascii="宋体" w:cs="Arial"/>
          <w:b/>
          <w:bCs/>
          <w:color w:val="auto"/>
          <w:sz w:val="22"/>
          <w:szCs w:val="22"/>
        </w:rPr>
        <w:t>填写不一致</w:t>
      </w:r>
      <w:r>
        <w:rPr>
          <w:rFonts w:hint="eastAsia" w:ascii="宋体" w:cs="Arial"/>
          <w:b/>
          <w:bCs/>
          <w:color w:val="auto"/>
          <w:sz w:val="22"/>
          <w:szCs w:val="22"/>
          <w:lang w:val="en-US" w:eastAsia="zh-CN"/>
        </w:rPr>
        <w:t>的，</w:t>
      </w:r>
      <w:r>
        <w:rPr>
          <w:rFonts w:hint="eastAsia" w:ascii="宋体" w:cs="Arial"/>
          <w:b/>
          <w:bCs/>
          <w:color w:val="auto"/>
          <w:sz w:val="22"/>
          <w:szCs w:val="22"/>
        </w:rPr>
        <w:t>以</w:t>
      </w:r>
      <w:r>
        <w:rPr>
          <w:rFonts w:hint="eastAsia" w:ascii="宋体" w:cs="Arial"/>
          <w:b/>
          <w:bCs/>
          <w:color w:val="auto"/>
          <w:sz w:val="22"/>
          <w:szCs w:val="22"/>
          <w:lang w:val="en-US" w:eastAsia="zh-CN"/>
        </w:rPr>
        <w:t>电子投标文件（开标一览表）</w:t>
      </w:r>
      <w:r>
        <w:rPr>
          <w:rFonts w:hint="eastAsia" w:ascii="宋体" w:cs="Arial"/>
          <w:b/>
          <w:bCs/>
          <w:color w:val="auto"/>
          <w:sz w:val="22"/>
          <w:szCs w:val="22"/>
        </w:rPr>
        <w:t>为准，如果不接受调整价格</w:t>
      </w:r>
      <w:r>
        <w:rPr>
          <w:rFonts w:hint="eastAsia" w:ascii="宋体" w:cs="Arial"/>
          <w:b/>
          <w:bCs/>
          <w:color w:val="auto"/>
          <w:sz w:val="22"/>
          <w:szCs w:val="22"/>
          <w:lang w:val="en-US" w:eastAsia="zh-CN"/>
        </w:rPr>
        <w:t>的</w:t>
      </w:r>
      <w:r>
        <w:rPr>
          <w:rFonts w:hint="eastAsia" w:ascii="宋体" w:cs="Arial"/>
          <w:b/>
          <w:bCs/>
          <w:color w:val="auto"/>
          <w:sz w:val="22"/>
          <w:szCs w:val="22"/>
        </w:rPr>
        <w:t>做废标处理。</w:t>
      </w:r>
    </w:p>
    <w:p>
      <w:pPr>
        <w:snapToGrid w:val="0"/>
        <w:spacing w:line="400" w:lineRule="atLeast"/>
        <w:ind w:firstLine="438" w:firstLineChars="197"/>
        <w:rPr>
          <w:rFonts w:ascii="宋体"/>
          <w:color w:val="auto"/>
          <w:sz w:val="22"/>
          <w:szCs w:val="22"/>
        </w:rPr>
      </w:pPr>
      <w:r>
        <w:rPr>
          <w:rFonts w:hint="eastAsia" w:cs="Arial"/>
          <w:color w:val="auto"/>
          <w:sz w:val="22"/>
          <w:szCs w:val="22"/>
        </w:rPr>
        <w:t>评标委员会对投标文件的判定，只依据投标文件内容本身，不依靠开标后的任何外来证明。</w:t>
      </w:r>
    </w:p>
    <w:p>
      <w:pPr>
        <w:pStyle w:val="30"/>
        <w:adjustRightInd w:val="0"/>
        <w:snapToGrid w:val="0"/>
        <w:spacing w:line="400" w:lineRule="atLeast"/>
        <w:ind w:firstLine="438" w:firstLineChars="197"/>
        <w:rPr>
          <w:rFonts w:hAnsi="宋体"/>
          <w:color w:val="auto"/>
          <w:sz w:val="22"/>
          <w:szCs w:val="22"/>
        </w:rPr>
      </w:pPr>
      <w:r>
        <w:rPr>
          <w:rFonts w:hAnsi="宋体"/>
          <w:color w:val="auto"/>
          <w:sz w:val="22"/>
          <w:szCs w:val="22"/>
        </w:rPr>
        <w:t>3</w:t>
      </w:r>
      <w:r>
        <w:rPr>
          <w:rFonts w:hint="eastAsia" w:hAnsi="宋体"/>
          <w:color w:val="auto"/>
          <w:sz w:val="22"/>
          <w:szCs w:val="22"/>
        </w:rPr>
        <w:t>）评价。按招标文件中规定的评标方法和标准，对资格性检查和符合性检查合格的投标文件进行商务和技术评估，综合评价。</w:t>
      </w:r>
    </w:p>
    <w:p>
      <w:pPr>
        <w:pStyle w:val="30"/>
        <w:adjustRightInd w:val="0"/>
        <w:snapToGrid w:val="0"/>
        <w:spacing w:line="400" w:lineRule="atLeast"/>
        <w:ind w:firstLine="438" w:firstLineChars="197"/>
        <w:rPr>
          <w:rFonts w:hAnsi="宋体"/>
          <w:color w:val="auto"/>
          <w:sz w:val="22"/>
          <w:szCs w:val="22"/>
        </w:rPr>
      </w:pPr>
      <w:r>
        <w:rPr>
          <w:rFonts w:hAnsi="宋体"/>
          <w:color w:val="auto"/>
          <w:sz w:val="22"/>
          <w:szCs w:val="22"/>
        </w:rPr>
        <w:t>4</w:t>
      </w:r>
      <w:r>
        <w:rPr>
          <w:rFonts w:hint="eastAsia" w:hAnsi="宋体"/>
          <w:color w:val="auto"/>
          <w:sz w:val="22"/>
          <w:szCs w:val="22"/>
        </w:rPr>
        <w:t>）推荐中标方候选人名单，并根据采购人的授权确定中标方。</w:t>
      </w:r>
    </w:p>
    <w:p>
      <w:pPr>
        <w:pStyle w:val="30"/>
        <w:adjustRightInd w:val="0"/>
        <w:snapToGrid w:val="0"/>
        <w:spacing w:line="400" w:lineRule="atLeast"/>
        <w:ind w:firstLine="438" w:firstLineChars="197"/>
        <w:rPr>
          <w:rFonts w:hAnsi="宋体" w:cs="Arial"/>
          <w:color w:val="auto"/>
          <w:sz w:val="22"/>
          <w:szCs w:val="22"/>
        </w:rPr>
      </w:pPr>
      <w:r>
        <w:rPr>
          <w:color w:val="auto"/>
          <w:sz w:val="22"/>
          <w:szCs w:val="22"/>
        </w:rPr>
        <w:t>2.3</w:t>
      </w:r>
      <w:r>
        <w:rPr>
          <w:b/>
          <w:bCs/>
          <w:color w:val="auto"/>
          <w:sz w:val="22"/>
          <w:szCs w:val="22"/>
        </w:rPr>
        <w:t xml:space="preserve"> </w:t>
      </w:r>
      <w:r>
        <w:rPr>
          <w:rFonts w:hint="eastAsia" w:hAnsi="宋体"/>
          <w:b/>
          <w:bCs/>
          <w:color w:val="auto"/>
          <w:sz w:val="22"/>
          <w:szCs w:val="22"/>
        </w:rPr>
        <w:t>▲</w:t>
      </w:r>
      <w:r>
        <w:rPr>
          <w:rFonts w:hint="eastAsia" w:hAnsi="宋体" w:cs="Arial"/>
          <w:b/>
          <w:bCs/>
          <w:color w:val="auto"/>
          <w:sz w:val="22"/>
          <w:szCs w:val="22"/>
        </w:rPr>
        <w:t>投标供应商存在下列情况之一的，投标无效</w:t>
      </w:r>
      <w:r>
        <w:rPr>
          <w:rFonts w:hAnsi="宋体" w:cs="Arial"/>
          <w:color w:val="auto"/>
          <w:sz w:val="22"/>
          <w:szCs w:val="22"/>
        </w:rPr>
        <w:t>:</w:t>
      </w:r>
    </w:p>
    <w:p>
      <w:pPr>
        <w:pStyle w:val="30"/>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1</w:t>
      </w:r>
      <w:r>
        <w:rPr>
          <w:rFonts w:hint="eastAsia" w:hAnsi="宋体" w:cs="Arial"/>
          <w:color w:val="auto"/>
          <w:sz w:val="22"/>
          <w:szCs w:val="22"/>
        </w:rPr>
        <w:t>）投标文件未按招标文件要求签署、盖章的；</w:t>
      </w:r>
    </w:p>
    <w:p>
      <w:pPr>
        <w:pStyle w:val="30"/>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2）不具备招标文件中规定的资格要求的；</w:t>
      </w:r>
    </w:p>
    <w:p>
      <w:pPr>
        <w:pStyle w:val="30"/>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3）报价超过招标文件中规定的预算金额或者最高限价的；</w:t>
      </w:r>
    </w:p>
    <w:p>
      <w:pPr>
        <w:pStyle w:val="30"/>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4）投标文件含有采购人不能接受的附加条件的（包括招标文件中明确要求不得偏离的招标要求，存在负偏离的）</w:t>
      </w:r>
      <w:r>
        <w:rPr>
          <w:rFonts w:hAnsi="宋体" w:cs="Arial"/>
          <w:color w:val="auto"/>
          <w:sz w:val="22"/>
          <w:szCs w:val="22"/>
        </w:rPr>
        <w:t>;</w:t>
      </w:r>
    </w:p>
    <w:p>
      <w:pPr>
        <w:pStyle w:val="30"/>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5）供应商递交两份或两份以上内容不同的投标文件，未声明哪一份有效的；</w:t>
      </w:r>
    </w:p>
    <w:p>
      <w:pPr>
        <w:pStyle w:val="30"/>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6）对关键条文的偏离、保留或反对，例如关于付款方式、完工期、免费质保期、适用法律法规、标准、税费等其他内容；</w:t>
      </w:r>
    </w:p>
    <w:p>
      <w:pPr>
        <w:pStyle w:val="30"/>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7）存在串标、抬标或弄虚作假情况的；</w:t>
      </w:r>
    </w:p>
    <w:p>
      <w:pPr>
        <w:pStyle w:val="30"/>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8）法律、法规和招标文件规定的其他无效情形（或出现重大偏差）。</w:t>
      </w:r>
    </w:p>
    <w:p>
      <w:pPr>
        <w:pStyle w:val="30"/>
        <w:adjustRightInd w:val="0"/>
        <w:snapToGrid w:val="0"/>
        <w:spacing w:line="400" w:lineRule="atLeast"/>
        <w:ind w:firstLine="438" w:firstLineChars="197"/>
        <w:rPr>
          <w:rFonts w:hAnsi="宋体" w:cs="Arial"/>
          <w:color w:val="auto"/>
          <w:sz w:val="22"/>
          <w:szCs w:val="22"/>
        </w:rPr>
      </w:pPr>
      <w:r>
        <w:rPr>
          <w:color w:val="auto"/>
          <w:sz w:val="22"/>
          <w:szCs w:val="22"/>
        </w:rPr>
        <w:t xml:space="preserve">2.4 </w:t>
      </w:r>
      <w:r>
        <w:rPr>
          <w:rFonts w:hint="eastAsia" w:hAnsi="宋体"/>
          <w:color w:val="auto"/>
          <w:sz w:val="22"/>
          <w:szCs w:val="22"/>
        </w:rPr>
        <w:t>▲</w:t>
      </w:r>
      <w:r>
        <w:rPr>
          <w:rFonts w:hint="eastAsia" w:hAnsi="宋体" w:cs="Arial"/>
          <w:b/>
          <w:bCs/>
          <w:color w:val="auto"/>
          <w:sz w:val="22"/>
          <w:szCs w:val="22"/>
        </w:rPr>
        <w:t>评标委员会发现投标文件有下列情形之一的属于重大偏差</w:t>
      </w:r>
      <w:r>
        <w:rPr>
          <w:rFonts w:hAnsi="宋体" w:cs="Arial"/>
          <w:b/>
          <w:bCs/>
          <w:color w:val="auto"/>
          <w:sz w:val="22"/>
          <w:szCs w:val="22"/>
        </w:rPr>
        <w:t>(</w:t>
      </w:r>
      <w:r>
        <w:rPr>
          <w:rFonts w:hint="eastAsia" w:hAnsi="宋体" w:cs="Arial"/>
          <w:b/>
          <w:bCs/>
          <w:color w:val="auto"/>
          <w:sz w:val="22"/>
          <w:szCs w:val="22"/>
        </w:rPr>
        <w:t>评标委员会按少数服从多数原则认定</w:t>
      </w:r>
      <w:r>
        <w:rPr>
          <w:rFonts w:hAnsi="宋体" w:cs="Arial"/>
          <w:b/>
          <w:bCs/>
          <w:color w:val="auto"/>
          <w:sz w:val="22"/>
          <w:szCs w:val="22"/>
        </w:rPr>
        <w:t>),</w:t>
      </w:r>
      <w:r>
        <w:rPr>
          <w:rFonts w:hint="eastAsia" w:hAnsi="宋体" w:cs="Arial"/>
          <w:b/>
          <w:bCs/>
          <w:color w:val="auto"/>
          <w:sz w:val="22"/>
          <w:szCs w:val="22"/>
        </w:rPr>
        <w:t>按照无效投标处理</w:t>
      </w:r>
      <w:r>
        <w:rPr>
          <w:rFonts w:hint="eastAsia" w:hAnsi="宋体" w:cs="Arial"/>
          <w:color w:val="auto"/>
          <w:sz w:val="22"/>
          <w:szCs w:val="22"/>
        </w:rPr>
        <w:t>：</w:t>
      </w:r>
    </w:p>
    <w:p>
      <w:pPr>
        <w:pStyle w:val="30"/>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1</w:t>
      </w:r>
      <w:r>
        <w:rPr>
          <w:rFonts w:hint="eastAsia" w:hAnsi="宋体" w:cs="Arial"/>
          <w:color w:val="auto"/>
          <w:sz w:val="22"/>
          <w:szCs w:val="22"/>
        </w:rPr>
        <w:t>）未按招标文件要求编制或字迹模糊、辨认不清的投标文件；</w:t>
      </w:r>
    </w:p>
    <w:p>
      <w:pPr>
        <w:pStyle w:val="30"/>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2</w:t>
      </w:r>
      <w:r>
        <w:rPr>
          <w:rFonts w:hint="eastAsia" w:hAnsi="宋体" w:cs="Arial"/>
          <w:color w:val="auto"/>
          <w:sz w:val="22"/>
          <w:szCs w:val="22"/>
        </w:rPr>
        <w:t>）供应商技术资信投标文件中出现投标报价；</w:t>
      </w:r>
    </w:p>
    <w:p>
      <w:pPr>
        <w:pStyle w:val="30"/>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3</w:t>
      </w:r>
      <w:r>
        <w:rPr>
          <w:rFonts w:hint="eastAsia" w:hAnsi="宋体" w:cs="Arial"/>
          <w:color w:val="auto"/>
          <w:sz w:val="22"/>
          <w:szCs w:val="22"/>
        </w:rPr>
        <w:t>）除</w:t>
      </w:r>
      <w:r>
        <w:rPr>
          <w:rFonts w:hAnsi="宋体" w:cs="Arial"/>
          <w:color w:val="auto"/>
          <w:sz w:val="22"/>
          <w:szCs w:val="22"/>
        </w:rPr>
        <w:t>2.3</w:t>
      </w:r>
      <w:r>
        <w:rPr>
          <w:rFonts w:hint="eastAsia" w:hAnsi="宋体" w:cs="Arial"/>
          <w:color w:val="auto"/>
          <w:sz w:val="22"/>
          <w:szCs w:val="22"/>
        </w:rPr>
        <w:t>条款以外，出现其它明显不符合技术规格、技术标准的要求或不满足招标文件技术规格书中的主要参数的投标文件；</w:t>
      </w:r>
    </w:p>
    <w:p>
      <w:pPr>
        <w:pStyle w:val="30"/>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4</w:t>
      </w:r>
      <w:r>
        <w:rPr>
          <w:rFonts w:hint="eastAsia" w:hAnsi="宋体" w:cs="Arial"/>
          <w:color w:val="auto"/>
          <w:sz w:val="22"/>
          <w:szCs w:val="22"/>
        </w:rPr>
        <w:t>）除</w:t>
      </w:r>
      <w:r>
        <w:rPr>
          <w:rFonts w:hAnsi="宋体" w:cs="Arial"/>
          <w:color w:val="auto"/>
          <w:sz w:val="22"/>
          <w:szCs w:val="22"/>
        </w:rPr>
        <w:t>2.3</w:t>
      </w:r>
      <w:r>
        <w:rPr>
          <w:rFonts w:hint="eastAsia" w:hAnsi="宋体" w:cs="Arial"/>
          <w:color w:val="auto"/>
          <w:sz w:val="22"/>
          <w:szCs w:val="22"/>
        </w:rPr>
        <w:t>条款以外，出现投标数量与招标文件对比出现较大偏差；商务报价明细表计算错误，出现较大差错；</w:t>
      </w:r>
    </w:p>
    <w:p>
      <w:pPr>
        <w:pStyle w:val="30"/>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5</w:t>
      </w:r>
      <w:r>
        <w:rPr>
          <w:rFonts w:hint="eastAsia" w:hAnsi="宋体" w:cs="Arial"/>
          <w:color w:val="auto"/>
          <w:sz w:val="22"/>
          <w:szCs w:val="22"/>
        </w:rPr>
        <w:t>）除</w:t>
      </w:r>
      <w:r>
        <w:rPr>
          <w:rFonts w:hAnsi="宋体" w:cs="Arial"/>
          <w:color w:val="auto"/>
          <w:sz w:val="22"/>
          <w:szCs w:val="22"/>
        </w:rPr>
        <w:t>2.3</w:t>
      </w:r>
      <w:r>
        <w:rPr>
          <w:rFonts w:hint="eastAsia" w:hAnsi="宋体" w:cs="Arial"/>
          <w:color w:val="auto"/>
          <w:sz w:val="22"/>
          <w:szCs w:val="22"/>
        </w:rPr>
        <w:t>条款以外，出现其它不符合招标文件中规定的实质性要求的投标文件，是否为偏离实质性要求由评标委员会认定。</w:t>
      </w:r>
    </w:p>
    <w:p>
      <w:pPr>
        <w:adjustRightInd w:val="0"/>
        <w:snapToGrid w:val="0"/>
        <w:spacing w:line="400" w:lineRule="atLeast"/>
        <w:ind w:firstLine="438" w:firstLineChars="197"/>
        <w:rPr>
          <w:rFonts w:cs="Arial"/>
          <w:color w:val="auto"/>
          <w:sz w:val="22"/>
          <w:szCs w:val="22"/>
        </w:rPr>
      </w:pPr>
      <w:r>
        <w:rPr>
          <w:rFonts w:ascii="宋体"/>
          <w:color w:val="auto"/>
          <w:sz w:val="22"/>
        </w:rPr>
        <w:t>2.</w:t>
      </w:r>
      <w:r>
        <w:rPr>
          <w:rFonts w:hint="eastAsia" w:ascii="宋体"/>
          <w:color w:val="auto"/>
          <w:sz w:val="22"/>
        </w:rPr>
        <w:t>5</w:t>
      </w:r>
      <w:r>
        <w:rPr>
          <w:rFonts w:ascii="宋体"/>
          <w:color w:val="auto"/>
          <w:sz w:val="22"/>
        </w:rPr>
        <w:t xml:space="preserve"> </w:t>
      </w:r>
      <w:r>
        <w:rPr>
          <w:rFonts w:hint="eastAsia" w:ascii="宋体"/>
          <w:color w:val="auto"/>
          <w:sz w:val="22"/>
        </w:rPr>
        <w:t>▲评标委员会认为投标供应商的报价明显低于其他通过符合性审查投标供应商的报价，有可能影响产品质量或者不能诚信履约的，应当要求其</w:t>
      </w:r>
      <w:r>
        <w:rPr>
          <w:rFonts w:hint="eastAsia" w:ascii="宋体"/>
          <w:color w:val="auto"/>
          <w:sz w:val="22"/>
          <w:lang w:val="en-US" w:eastAsia="zh-CN"/>
        </w:rPr>
        <w:t>在</w:t>
      </w:r>
      <w:r>
        <w:rPr>
          <w:rFonts w:hint="eastAsia" w:ascii="宋体"/>
          <w:color w:val="auto"/>
          <w:sz w:val="22"/>
        </w:rPr>
        <w:t>合理的时间内提供测算依据和理由，必要时提交相关证明材料；投标供应商不能证明其报价合理性的，评标委员会应当将其作为无效投标处理。</w:t>
      </w:r>
    </w:p>
    <w:p>
      <w:pPr>
        <w:pStyle w:val="30"/>
        <w:adjustRightInd w:val="0"/>
        <w:snapToGrid w:val="0"/>
        <w:spacing w:line="400" w:lineRule="atLeast"/>
        <w:ind w:firstLine="438" w:firstLineChars="197"/>
        <w:rPr>
          <w:rFonts w:hAnsi="宋体"/>
          <w:color w:val="auto"/>
          <w:sz w:val="22"/>
          <w:szCs w:val="22"/>
        </w:rPr>
      </w:pPr>
      <w:r>
        <w:rPr>
          <w:rFonts w:hAnsi="宋体" w:cs="Arial"/>
          <w:color w:val="auto"/>
          <w:sz w:val="22"/>
          <w:szCs w:val="22"/>
        </w:rPr>
        <w:t>2.</w:t>
      </w:r>
      <w:r>
        <w:rPr>
          <w:rFonts w:hint="eastAsia" w:hAnsi="宋体" w:cs="Arial"/>
          <w:color w:val="auto"/>
          <w:sz w:val="22"/>
          <w:szCs w:val="22"/>
        </w:rPr>
        <w:t>6评标委员会</w:t>
      </w:r>
      <w:r>
        <w:rPr>
          <w:rFonts w:hint="eastAsia" w:hAnsi="宋体"/>
          <w:color w:val="auto"/>
          <w:sz w:val="22"/>
          <w:szCs w:val="22"/>
        </w:rPr>
        <w:t>在评标中，不得改变招标文件中规定的评标标准、方法和中标条件。</w:t>
      </w:r>
    </w:p>
    <w:p>
      <w:pPr>
        <w:pStyle w:val="30"/>
        <w:adjustRightInd w:val="0"/>
        <w:snapToGrid w:val="0"/>
        <w:spacing w:line="400" w:lineRule="atLeast"/>
        <w:ind w:firstLine="438" w:firstLineChars="197"/>
        <w:rPr>
          <w:rFonts w:hAnsi="宋体"/>
          <w:color w:val="auto"/>
          <w:sz w:val="22"/>
          <w:szCs w:val="22"/>
        </w:rPr>
      </w:pPr>
      <w:r>
        <w:rPr>
          <w:rFonts w:hAnsi="宋体"/>
          <w:color w:val="auto"/>
          <w:sz w:val="22"/>
          <w:szCs w:val="22"/>
        </w:rPr>
        <w:t>2.</w:t>
      </w:r>
      <w:r>
        <w:rPr>
          <w:rFonts w:hint="eastAsia" w:hAnsi="宋体"/>
          <w:color w:val="auto"/>
          <w:sz w:val="22"/>
          <w:szCs w:val="22"/>
        </w:rPr>
        <w:t>7评标时如遇到招标文件未规定的特殊情况，由评标委员会按少数服从多数原则集体决定处理。</w:t>
      </w:r>
    </w:p>
    <w:p>
      <w:pPr>
        <w:pStyle w:val="30"/>
        <w:adjustRightInd w:val="0"/>
        <w:snapToGrid w:val="0"/>
        <w:spacing w:line="400" w:lineRule="atLeast"/>
        <w:ind w:firstLine="438" w:firstLineChars="197"/>
        <w:rPr>
          <w:rFonts w:hAnsi="宋体"/>
          <w:color w:val="auto"/>
          <w:sz w:val="22"/>
          <w:szCs w:val="22"/>
        </w:rPr>
      </w:pPr>
      <w:r>
        <w:rPr>
          <w:rFonts w:hAnsi="宋体"/>
          <w:color w:val="auto"/>
          <w:sz w:val="22"/>
          <w:szCs w:val="22"/>
        </w:rPr>
        <w:t>2.</w:t>
      </w:r>
      <w:r>
        <w:rPr>
          <w:rFonts w:hint="eastAsia" w:hAnsi="宋体"/>
          <w:color w:val="auto"/>
          <w:sz w:val="22"/>
          <w:szCs w:val="22"/>
        </w:rPr>
        <w:t>8评标委员会对未中标的供应商不作解释。同时根据政府采购法实施条例第四十条规定，本项目不对供应商公布详细的评审情况，不公布具体评标细则中小项得分。</w:t>
      </w:r>
    </w:p>
    <w:p>
      <w:pPr>
        <w:pStyle w:val="30"/>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3.</w:t>
      </w:r>
      <w:r>
        <w:rPr>
          <w:rFonts w:hint="eastAsia" w:hAnsi="宋体" w:cs="Arial"/>
          <w:color w:val="auto"/>
          <w:sz w:val="22"/>
          <w:szCs w:val="22"/>
        </w:rPr>
        <w:t>投标文件的澄清</w:t>
      </w:r>
    </w:p>
    <w:p>
      <w:pPr>
        <w:adjustRightInd w:val="0"/>
        <w:snapToGrid w:val="0"/>
        <w:spacing w:line="400" w:lineRule="atLeast"/>
        <w:ind w:firstLine="438" w:firstLineChars="197"/>
        <w:rPr>
          <w:rFonts w:ascii="宋体" w:cs="Arial"/>
          <w:color w:val="auto"/>
          <w:sz w:val="22"/>
          <w:szCs w:val="22"/>
        </w:rPr>
      </w:pPr>
      <w:r>
        <w:rPr>
          <w:rFonts w:ascii="宋体" w:cs="Arial"/>
          <w:color w:val="auto"/>
          <w:sz w:val="22"/>
          <w:szCs w:val="22"/>
        </w:rPr>
        <w:t xml:space="preserve">3.1 </w:t>
      </w:r>
      <w:r>
        <w:rPr>
          <w:rFonts w:hint="eastAsia" w:ascii="宋体" w:cs="Arial"/>
          <w:color w:val="auto"/>
          <w:sz w:val="22"/>
          <w:szCs w:val="22"/>
        </w:rPr>
        <w:t>为有利于对投标文件的评议，必要时采购人及评标委员会可要求供应商对投标文件及合同条款进行澄清。须有投标授权代表签字并作为投标内容的一部分。</w:t>
      </w:r>
    </w:p>
    <w:p>
      <w:pPr>
        <w:adjustRightInd w:val="0"/>
        <w:snapToGrid w:val="0"/>
        <w:spacing w:line="400" w:lineRule="atLeast"/>
        <w:ind w:firstLine="438" w:firstLineChars="197"/>
        <w:rPr>
          <w:rFonts w:ascii="宋体" w:cs="Arial"/>
          <w:color w:val="auto"/>
          <w:sz w:val="22"/>
          <w:szCs w:val="22"/>
        </w:rPr>
      </w:pPr>
      <w:r>
        <w:rPr>
          <w:rFonts w:ascii="宋体" w:cs="Arial"/>
          <w:color w:val="auto"/>
          <w:sz w:val="22"/>
          <w:szCs w:val="22"/>
        </w:rPr>
        <w:t xml:space="preserve">3.2 </w:t>
      </w:r>
      <w:r>
        <w:rPr>
          <w:rFonts w:hint="eastAsia" w:ascii="宋体" w:cs="Arial"/>
          <w:color w:val="auto"/>
          <w:sz w:val="22"/>
          <w:szCs w:val="22"/>
        </w:rPr>
        <w:t>供应商对投标文件的澄清不得寻求、提供或允许改变投标价格等实质性内容。</w:t>
      </w:r>
      <w:r>
        <w:rPr>
          <w:rFonts w:ascii="宋体" w:cs="Arial"/>
          <w:color w:val="auto"/>
          <w:sz w:val="22"/>
          <w:szCs w:val="22"/>
        </w:rPr>
        <w:t xml:space="preserve"> </w:t>
      </w:r>
    </w:p>
    <w:p>
      <w:pPr>
        <w:adjustRightInd w:val="0"/>
        <w:snapToGrid w:val="0"/>
        <w:spacing w:line="400" w:lineRule="atLeast"/>
        <w:ind w:left="419" w:leftChars="197"/>
        <w:rPr>
          <w:color w:val="auto"/>
          <w:sz w:val="22"/>
          <w:szCs w:val="22"/>
        </w:rPr>
      </w:pPr>
      <w:r>
        <w:rPr>
          <w:rFonts w:ascii="宋体" w:cs="Arial"/>
          <w:color w:val="auto"/>
          <w:sz w:val="22"/>
          <w:szCs w:val="22"/>
        </w:rPr>
        <w:t>4.</w:t>
      </w:r>
      <w:r>
        <w:rPr>
          <w:rFonts w:hint="eastAsia" w:ascii="宋体" w:cs="Arial"/>
          <w:color w:val="auto"/>
          <w:sz w:val="22"/>
          <w:szCs w:val="22"/>
        </w:rPr>
        <w:t>禁止供应商相互串通投标。</w:t>
      </w:r>
      <w:r>
        <w:rPr>
          <w:rFonts w:ascii="宋体" w:cs="Arial"/>
          <w:color w:val="auto"/>
          <w:sz w:val="22"/>
          <w:szCs w:val="22"/>
        </w:rPr>
        <w:br w:type="textWrapping"/>
      </w:r>
      <w:r>
        <w:rPr>
          <w:rFonts w:ascii="宋体" w:cs="Arial"/>
          <w:color w:val="auto"/>
          <w:sz w:val="22"/>
          <w:szCs w:val="22"/>
        </w:rPr>
        <w:t>4.1</w:t>
      </w:r>
      <w:r>
        <w:rPr>
          <w:rFonts w:hint="eastAsia" w:ascii="宋体" w:cs="Arial"/>
          <w:color w:val="auto"/>
          <w:sz w:val="22"/>
          <w:szCs w:val="22"/>
        </w:rPr>
        <w:t xml:space="preserve"> 有下列情形之一的，视为供应商相互串通投标：</w:t>
      </w:r>
      <w:r>
        <w:rPr>
          <w:rFonts w:ascii="宋体" w:cs="Arial"/>
          <w:color w:val="auto"/>
          <w:sz w:val="22"/>
          <w:szCs w:val="22"/>
        </w:rPr>
        <w:br w:type="textWrapping"/>
      </w:r>
      <w:r>
        <w:rPr>
          <w:rFonts w:hint="eastAsia" w:ascii="宋体" w:cs="Arial"/>
          <w:color w:val="auto"/>
          <w:sz w:val="22"/>
          <w:szCs w:val="22"/>
        </w:rPr>
        <w:t>（</w:t>
      </w:r>
      <w:r>
        <w:rPr>
          <w:rFonts w:ascii="宋体" w:cs="Arial"/>
          <w:color w:val="auto"/>
          <w:sz w:val="22"/>
          <w:szCs w:val="22"/>
        </w:rPr>
        <w:t>1</w:t>
      </w:r>
      <w:r>
        <w:rPr>
          <w:rFonts w:hint="eastAsia" w:ascii="宋体" w:cs="Arial"/>
          <w:color w:val="auto"/>
          <w:sz w:val="22"/>
          <w:szCs w:val="22"/>
        </w:rPr>
        <w:t>）不同供应商的投标文件由同一单位或者个人编制；</w:t>
      </w:r>
      <w:r>
        <w:rPr>
          <w:rFonts w:ascii="宋体" w:cs="Arial"/>
          <w:color w:val="auto"/>
          <w:sz w:val="22"/>
          <w:szCs w:val="22"/>
        </w:rPr>
        <w:br w:type="textWrapping"/>
      </w:r>
      <w:r>
        <w:rPr>
          <w:rFonts w:hint="eastAsia" w:ascii="宋体" w:cs="Arial"/>
          <w:color w:val="auto"/>
          <w:sz w:val="22"/>
          <w:szCs w:val="22"/>
        </w:rPr>
        <w:t>（</w:t>
      </w:r>
      <w:r>
        <w:rPr>
          <w:rFonts w:ascii="宋体" w:cs="Arial"/>
          <w:color w:val="auto"/>
          <w:sz w:val="22"/>
          <w:szCs w:val="22"/>
        </w:rPr>
        <w:t>2</w:t>
      </w:r>
      <w:r>
        <w:rPr>
          <w:rFonts w:hint="eastAsia" w:ascii="宋体" w:cs="Arial"/>
          <w:color w:val="auto"/>
          <w:sz w:val="22"/>
          <w:szCs w:val="22"/>
        </w:rPr>
        <w:t>）不同供应商委托同一单位或者个人办理投标事宜；</w:t>
      </w:r>
      <w:r>
        <w:rPr>
          <w:rFonts w:ascii="宋体" w:cs="Arial"/>
          <w:color w:val="auto"/>
          <w:sz w:val="22"/>
          <w:szCs w:val="22"/>
        </w:rPr>
        <w:br w:type="textWrapping"/>
      </w:r>
      <w:r>
        <w:rPr>
          <w:rFonts w:hint="eastAsia" w:ascii="宋体" w:cs="Arial"/>
          <w:color w:val="auto"/>
          <w:sz w:val="22"/>
          <w:szCs w:val="22"/>
        </w:rPr>
        <w:t>（</w:t>
      </w:r>
      <w:r>
        <w:rPr>
          <w:rFonts w:ascii="宋体" w:cs="Arial"/>
          <w:color w:val="auto"/>
          <w:sz w:val="22"/>
          <w:szCs w:val="22"/>
        </w:rPr>
        <w:t>3</w:t>
      </w:r>
      <w:r>
        <w:rPr>
          <w:rFonts w:hint="eastAsia" w:ascii="宋体" w:cs="Arial"/>
          <w:color w:val="auto"/>
          <w:sz w:val="22"/>
          <w:szCs w:val="22"/>
        </w:rPr>
        <w:t>）不同供应商的投标文件载明的项目管理成员为同一人；</w:t>
      </w:r>
      <w:r>
        <w:rPr>
          <w:rFonts w:ascii="宋体" w:cs="Arial"/>
          <w:color w:val="auto"/>
          <w:sz w:val="22"/>
          <w:szCs w:val="22"/>
        </w:rPr>
        <w:br w:type="textWrapping"/>
      </w:r>
      <w:r>
        <w:rPr>
          <w:rFonts w:hint="eastAsia" w:ascii="宋体" w:cs="Arial"/>
          <w:color w:val="auto"/>
          <w:sz w:val="22"/>
          <w:szCs w:val="22"/>
        </w:rPr>
        <w:t>（</w:t>
      </w:r>
      <w:r>
        <w:rPr>
          <w:rFonts w:ascii="宋体" w:cs="Arial"/>
          <w:color w:val="auto"/>
          <w:sz w:val="22"/>
          <w:szCs w:val="22"/>
        </w:rPr>
        <w:t>4</w:t>
      </w:r>
      <w:r>
        <w:rPr>
          <w:rFonts w:hint="eastAsia" w:ascii="宋体" w:cs="Arial"/>
          <w:color w:val="auto"/>
          <w:sz w:val="22"/>
          <w:szCs w:val="22"/>
        </w:rPr>
        <w:t>）不同供应商的投标文件异常一致或者投标报价呈规律性差异；</w:t>
      </w:r>
      <w:r>
        <w:rPr>
          <w:rFonts w:ascii="宋体" w:cs="Arial"/>
          <w:color w:val="auto"/>
          <w:sz w:val="22"/>
          <w:szCs w:val="22"/>
        </w:rPr>
        <w:br w:type="textWrapping"/>
      </w:r>
      <w:r>
        <w:rPr>
          <w:rFonts w:hint="eastAsia" w:ascii="宋体" w:cs="Arial"/>
          <w:color w:val="auto"/>
          <w:sz w:val="22"/>
          <w:szCs w:val="22"/>
        </w:rPr>
        <w:t>（</w:t>
      </w:r>
      <w:r>
        <w:rPr>
          <w:rFonts w:ascii="宋体" w:cs="Arial"/>
          <w:color w:val="auto"/>
          <w:sz w:val="22"/>
          <w:szCs w:val="22"/>
        </w:rPr>
        <w:t>5</w:t>
      </w:r>
      <w:r>
        <w:rPr>
          <w:rFonts w:hint="eastAsia" w:ascii="宋体" w:cs="Arial"/>
          <w:color w:val="auto"/>
          <w:sz w:val="22"/>
          <w:szCs w:val="22"/>
        </w:rPr>
        <w:t>）不同供应商的投标文件相互混装</w:t>
      </w:r>
      <w:r>
        <w:rPr>
          <w:rFonts w:hint="eastAsia" w:ascii="宋体" w:cs="Arial"/>
          <w:color w:val="auto"/>
          <w:sz w:val="22"/>
          <w:szCs w:val="22"/>
          <w:lang w:val="en-US" w:eastAsia="zh-CN"/>
        </w:rPr>
        <w:t>传</w:t>
      </w:r>
      <w:r>
        <w:rPr>
          <w:rFonts w:hint="eastAsia" w:ascii="宋体" w:cs="Arial"/>
          <w:color w:val="auto"/>
          <w:sz w:val="22"/>
          <w:szCs w:val="22"/>
        </w:rPr>
        <w:t>；</w:t>
      </w:r>
      <w:r>
        <w:rPr>
          <w:rFonts w:ascii="宋体" w:cs="Arial"/>
          <w:color w:val="auto"/>
          <w:sz w:val="22"/>
          <w:szCs w:val="22"/>
        </w:rPr>
        <w:br w:type="textWrapping"/>
      </w:r>
      <w:r>
        <w:rPr>
          <w:rFonts w:ascii="宋体" w:cs="Arial"/>
          <w:color w:val="auto"/>
          <w:sz w:val="22"/>
          <w:szCs w:val="22"/>
        </w:rPr>
        <w:t>4.2</w:t>
      </w:r>
      <w:r>
        <w:rPr>
          <w:rFonts w:hint="eastAsia" w:ascii="宋体" w:cs="Arial"/>
          <w:color w:val="auto"/>
          <w:sz w:val="22"/>
          <w:szCs w:val="22"/>
        </w:rPr>
        <w:t xml:space="preserve"> 经评标委员会认定供应商进行串通投标的，评标委员会可以对相关供应商做出无效投标处理，并上报政府采购管理部门进行进一步处理。</w:t>
      </w:r>
    </w:p>
    <w:p>
      <w:pPr>
        <w:pStyle w:val="30"/>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5.</w:t>
      </w:r>
      <w:r>
        <w:rPr>
          <w:rFonts w:hint="eastAsia" w:hAnsi="宋体" w:cs="Arial"/>
          <w:color w:val="auto"/>
          <w:sz w:val="22"/>
          <w:szCs w:val="22"/>
        </w:rPr>
        <w:t>评标原则</w:t>
      </w:r>
    </w:p>
    <w:p>
      <w:pPr>
        <w:pStyle w:val="30"/>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w:t>
      </w:r>
      <w:r>
        <w:rPr>
          <w:rFonts w:hint="eastAsia" w:hAnsi="宋体" w:cs="Arial"/>
          <w:b/>
          <w:bCs/>
          <w:color w:val="auto"/>
          <w:sz w:val="22"/>
          <w:szCs w:val="22"/>
          <w:u w:val="single"/>
        </w:rPr>
        <w:t>投标截止时或评审过程中有效投标供应商不足三家的，不予开标或评标</w:t>
      </w:r>
      <w:r>
        <w:rPr>
          <w:rFonts w:hint="eastAsia" w:hAnsi="宋体" w:cs="Arial"/>
          <w:color w:val="auto"/>
          <w:sz w:val="22"/>
          <w:szCs w:val="22"/>
        </w:rPr>
        <w:t>。</w:t>
      </w:r>
    </w:p>
    <w:p>
      <w:pPr>
        <w:pStyle w:val="30"/>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评标委员会按照招标文件的要求和条件对投标文件进行商务和技术评估，综合评价。</w:t>
      </w:r>
    </w:p>
    <w:p>
      <w:pPr>
        <w:pStyle w:val="30"/>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评标办法具体见本招标文件第七部分。</w:t>
      </w:r>
    </w:p>
    <w:p>
      <w:pPr>
        <w:pStyle w:val="30"/>
        <w:adjustRightInd w:val="0"/>
        <w:snapToGrid w:val="0"/>
        <w:spacing w:line="400" w:lineRule="atLeast"/>
        <w:ind w:firstLine="438" w:firstLineChars="197"/>
        <w:outlineLvl w:val="0"/>
        <w:rPr>
          <w:rFonts w:hAnsi="宋体"/>
          <w:b/>
          <w:bCs/>
          <w:color w:val="auto"/>
          <w:sz w:val="22"/>
          <w:szCs w:val="22"/>
        </w:rPr>
      </w:pPr>
      <w:r>
        <w:rPr>
          <w:rFonts w:hint="eastAsia" w:hAnsi="宋体"/>
          <w:b/>
          <w:bCs/>
          <w:color w:val="auto"/>
          <w:sz w:val="22"/>
          <w:szCs w:val="22"/>
        </w:rPr>
        <w:t>六、授予合同</w:t>
      </w:r>
    </w:p>
    <w:p>
      <w:pPr>
        <w:pStyle w:val="30"/>
        <w:adjustRightInd w:val="0"/>
        <w:snapToGrid w:val="0"/>
        <w:spacing w:line="400" w:lineRule="atLeast"/>
        <w:ind w:firstLine="438" w:firstLineChars="197"/>
        <w:rPr>
          <w:rFonts w:hAnsi="宋体"/>
          <w:color w:val="auto"/>
          <w:sz w:val="22"/>
          <w:szCs w:val="22"/>
        </w:rPr>
      </w:pPr>
      <w:r>
        <w:rPr>
          <w:rFonts w:hAnsi="宋体"/>
          <w:color w:val="auto"/>
          <w:sz w:val="22"/>
          <w:szCs w:val="22"/>
        </w:rPr>
        <w:t>1.</w:t>
      </w:r>
      <w:r>
        <w:rPr>
          <w:rFonts w:hint="eastAsia" w:hAnsi="宋体"/>
          <w:color w:val="auto"/>
          <w:sz w:val="22"/>
          <w:szCs w:val="22"/>
        </w:rPr>
        <w:t>决标</w:t>
      </w:r>
    </w:p>
    <w:p>
      <w:pPr>
        <w:pStyle w:val="30"/>
        <w:adjustRightInd w:val="0"/>
        <w:snapToGrid w:val="0"/>
        <w:spacing w:line="400" w:lineRule="atLeast"/>
        <w:ind w:firstLine="438" w:firstLineChars="197"/>
        <w:rPr>
          <w:rFonts w:hAnsi="宋体"/>
          <w:color w:val="auto"/>
          <w:sz w:val="22"/>
          <w:szCs w:val="22"/>
        </w:rPr>
      </w:pPr>
      <w:r>
        <w:rPr>
          <w:rFonts w:hint="eastAsia" w:hAnsi="宋体"/>
          <w:color w:val="auto"/>
          <w:sz w:val="22"/>
          <w:szCs w:val="22"/>
        </w:rPr>
        <w:t>评标结束后，评标委员会按照招标文件确定的评标办法推荐中标方。</w:t>
      </w:r>
    </w:p>
    <w:p>
      <w:pPr>
        <w:pStyle w:val="30"/>
        <w:adjustRightInd w:val="0"/>
        <w:snapToGrid w:val="0"/>
        <w:spacing w:line="400" w:lineRule="atLeast"/>
        <w:ind w:firstLine="438" w:firstLineChars="197"/>
        <w:rPr>
          <w:rFonts w:hAnsi="宋体"/>
          <w:color w:val="auto"/>
          <w:sz w:val="22"/>
          <w:szCs w:val="22"/>
        </w:rPr>
      </w:pPr>
      <w:r>
        <w:rPr>
          <w:rFonts w:hAnsi="宋体"/>
          <w:color w:val="auto"/>
          <w:sz w:val="22"/>
          <w:szCs w:val="22"/>
        </w:rPr>
        <w:t>2.</w:t>
      </w:r>
      <w:r>
        <w:rPr>
          <w:rFonts w:hint="eastAsia" w:hAnsi="宋体"/>
          <w:color w:val="auto"/>
          <w:sz w:val="22"/>
          <w:szCs w:val="22"/>
        </w:rPr>
        <w:t>中标通知书</w:t>
      </w:r>
    </w:p>
    <w:p>
      <w:pPr>
        <w:spacing w:line="400" w:lineRule="exact"/>
        <w:ind w:firstLine="438" w:firstLineChars="197"/>
        <w:rPr>
          <w:rFonts w:ascii="宋体"/>
          <w:color w:val="auto"/>
          <w:sz w:val="22"/>
          <w:szCs w:val="22"/>
        </w:rPr>
      </w:pPr>
      <w:r>
        <w:rPr>
          <w:rFonts w:ascii="宋体"/>
          <w:color w:val="auto"/>
          <w:sz w:val="22"/>
          <w:szCs w:val="22"/>
        </w:rPr>
        <w:t xml:space="preserve">2.1 </w:t>
      </w:r>
      <w:r>
        <w:rPr>
          <w:rFonts w:hint="eastAsia" w:ascii="宋体" w:hAnsi="宋体"/>
          <w:color w:val="auto"/>
          <w:sz w:val="22"/>
        </w:rPr>
        <w:t xml:space="preserve"> 采购人依法确认中标供应商后，代理机构在浙江省政府采购网、泰顺县人民政府网上公示中标供应商名单，公示期限为</w:t>
      </w:r>
      <w:r>
        <w:rPr>
          <w:rFonts w:ascii="宋体" w:hAnsi="宋体"/>
          <w:color w:val="auto"/>
          <w:sz w:val="22"/>
        </w:rPr>
        <w:t>1</w:t>
      </w:r>
      <w:r>
        <w:rPr>
          <w:rFonts w:hint="eastAsia" w:ascii="宋体" w:hAnsi="宋体"/>
          <w:color w:val="auto"/>
          <w:sz w:val="22"/>
        </w:rPr>
        <w:t>个工作日。同时向中标供应商发出中标通知书。</w:t>
      </w:r>
    </w:p>
    <w:p>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2.2 </w:t>
      </w:r>
      <w:r>
        <w:rPr>
          <w:rFonts w:hint="eastAsia" w:ascii="宋体"/>
          <w:color w:val="auto"/>
          <w:sz w:val="22"/>
          <w:szCs w:val="22"/>
        </w:rPr>
        <w:t>中标通知书对采购人和中标方具有法律约束力。中标通知书发出后，采购人改变中标结果或者中标方放弃中标的，应当承担法律责任。</w:t>
      </w:r>
    </w:p>
    <w:p>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2.3 </w:t>
      </w:r>
      <w:r>
        <w:rPr>
          <w:rFonts w:hint="eastAsia" w:ascii="宋体"/>
          <w:color w:val="auto"/>
          <w:sz w:val="22"/>
          <w:szCs w:val="22"/>
        </w:rPr>
        <w:t>中标无效</w:t>
      </w:r>
    </w:p>
    <w:p>
      <w:pPr>
        <w:adjustRightInd w:val="0"/>
        <w:snapToGrid w:val="0"/>
        <w:spacing w:line="400" w:lineRule="atLeast"/>
        <w:ind w:firstLine="438" w:firstLineChars="197"/>
        <w:rPr>
          <w:rFonts w:ascii="宋体"/>
          <w:color w:val="auto"/>
          <w:sz w:val="22"/>
          <w:szCs w:val="22"/>
        </w:rPr>
      </w:pPr>
      <w:r>
        <w:rPr>
          <w:rFonts w:ascii="宋体"/>
          <w:color w:val="auto"/>
          <w:sz w:val="22"/>
          <w:szCs w:val="22"/>
        </w:rPr>
        <w:t>1</w:t>
      </w:r>
      <w:r>
        <w:rPr>
          <w:rFonts w:hint="eastAsia" w:ascii="宋体"/>
          <w:color w:val="auto"/>
          <w:sz w:val="22"/>
          <w:szCs w:val="22"/>
        </w:rPr>
        <w:t>）发现中标方资格无效或中标方放弃中标或拒绝与采购人签订合同的</w:t>
      </w:r>
      <w:r>
        <w:rPr>
          <w:rFonts w:ascii="宋体"/>
          <w:color w:val="auto"/>
          <w:sz w:val="22"/>
          <w:szCs w:val="22"/>
        </w:rPr>
        <w:t>,</w:t>
      </w:r>
      <w:r>
        <w:rPr>
          <w:rFonts w:hint="eastAsia" w:ascii="宋体"/>
          <w:color w:val="auto"/>
          <w:sz w:val="22"/>
          <w:szCs w:val="22"/>
        </w:rPr>
        <w:t>采购人可以按照评审报告推荐的中标候选人名单排序，确定下一候选人为中标方，也可以重新开展政府采购活动。</w:t>
      </w:r>
      <w:r>
        <w:rPr>
          <w:rFonts w:ascii="宋体"/>
          <w:color w:val="auto"/>
          <w:sz w:val="22"/>
          <w:szCs w:val="22"/>
        </w:rPr>
        <w:br w:type="textWrapping"/>
      </w:r>
      <w:r>
        <w:rPr>
          <w:rFonts w:ascii="宋体"/>
          <w:color w:val="auto"/>
          <w:sz w:val="22"/>
          <w:szCs w:val="22"/>
        </w:rPr>
        <w:t xml:space="preserve">    2</w:t>
      </w:r>
      <w:r>
        <w:rPr>
          <w:rFonts w:hint="eastAsia" w:ascii="宋体"/>
          <w:color w:val="auto"/>
          <w:sz w:val="22"/>
          <w:szCs w:val="22"/>
        </w:rPr>
        <w:t>）有《中华人民共和国政府采购法实施条例》第七十一条、第七十二条、第七十三条、第七十四条规定的违法行为之一，由政府采购监管部门依法处理。</w:t>
      </w:r>
    </w:p>
    <w:p>
      <w:pPr>
        <w:adjustRightInd w:val="0"/>
        <w:snapToGrid w:val="0"/>
        <w:spacing w:line="400" w:lineRule="atLeast"/>
        <w:ind w:firstLine="438" w:firstLineChars="197"/>
        <w:rPr>
          <w:color w:val="auto"/>
          <w:sz w:val="22"/>
          <w:szCs w:val="22"/>
        </w:rPr>
      </w:pPr>
      <w:r>
        <w:rPr>
          <w:color w:val="auto"/>
          <w:sz w:val="22"/>
          <w:szCs w:val="22"/>
        </w:rPr>
        <w:t>4.</w:t>
      </w:r>
      <w:r>
        <w:rPr>
          <w:rFonts w:hint="eastAsia"/>
          <w:color w:val="auto"/>
          <w:sz w:val="22"/>
          <w:szCs w:val="22"/>
        </w:rPr>
        <w:t>签订合同</w:t>
      </w:r>
    </w:p>
    <w:p>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4.1 </w:t>
      </w:r>
      <w:r>
        <w:rPr>
          <w:rFonts w:hint="eastAsia" w:ascii="宋体"/>
          <w:color w:val="auto"/>
          <w:sz w:val="22"/>
          <w:szCs w:val="22"/>
        </w:rPr>
        <w:t>中标方须主动联系采购人或采购机构领取中标通知书。中标方应当在中标通知书发出之日起</w:t>
      </w:r>
      <w:r>
        <w:rPr>
          <w:rFonts w:ascii="宋体"/>
          <w:color w:val="auto"/>
          <w:sz w:val="22"/>
          <w:szCs w:val="22"/>
        </w:rPr>
        <w:t>30</w:t>
      </w:r>
      <w:r>
        <w:rPr>
          <w:rFonts w:hint="eastAsia" w:ascii="宋体"/>
          <w:color w:val="auto"/>
          <w:sz w:val="22"/>
          <w:szCs w:val="22"/>
        </w:rPr>
        <w:t>日内与采购人签订合同。中标方未经采购人许可，在规定时间内未到采购人处与采购人签订合同，则视为拒签合同。</w:t>
      </w:r>
    </w:p>
    <w:p>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4.2 </w:t>
      </w:r>
      <w:r>
        <w:rPr>
          <w:rFonts w:hint="eastAsia" w:ascii="宋体"/>
          <w:color w:val="auto"/>
          <w:sz w:val="22"/>
          <w:szCs w:val="22"/>
        </w:rPr>
        <w:t>招标文件、中标方的投标文件及投标修改文件、评标过程中有关澄清文件及经双方签字的询标纪要（承诺）和中标通知书均作为合同附件。</w:t>
      </w:r>
    </w:p>
    <w:p>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4.3 </w:t>
      </w:r>
      <w:r>
        <w:rPr>
          <w:rFonts w:hint="eastAsia" w:ascii="宋体"/>
          <w:color w:val="auto"/>
          <w:sz w:val="22"/>
          <w:szCs w:val="22"/>
        </w:rPr>
        <w:t>拒签合同的责任</w:t>
      </w:r>
    </w:p>
    <w:p>
      <w:pPr>
        <w:pStyle w:val="30"/>
        <w:adjustRightInd w:val="0"/>
        <w:snapToGrid w:val="0"/>
        <w:spacing w:line="400" w:lineRule="atLeast"/>
        <w:ind w:firstLine="438" w:firstLineChars="197"/>
        <w:rPr>
          <w:rFonts w:hAnsi="宋体"/>
          <w:color w:val="auto"/>
          <w:sz w:val="22"/>
          <w:szCs w:val="22"/>
        </w:rPr>
      </w:pPr>
      <w:r>
        <w:rPr>
          <w:rFonts w:hint="eastAsia"/>
          <w:color w:val="auto"/>
          <w:sz w:val="22"/>
          <w:szCs w:val="22"/>
        </w:rPr>
        <w:t>中标方在规定时间内（</w:t>
      </w:r>
      <w:r>
        <w:rPr>
          <w:color w:val="auto"/>
          <w:sz w:val="22"/>
          <w:szCs w:val="22"/>
        </w:rPr>
        <w:t>30</w:t>
      </w:r>
      <w:r>
        <w:rPr>
          <w:rFonts w:hint="eastAsia"/>
          <w:color w:val="auto"/>
          <w:sz w:val="22"/>
          <w:szCs w:val="22"/>
        </w:rPr>
        <w:t>日历天）借故否认已经承诺的条件、拒签合同或拒交履约保证金者，以投标违约处理，并赔偿采购人由此造成的直接经济损失；采购人重新组织招标的，所需费用由原中标方承担。</w:t>
      </w:r>
    </w:p>
    <w:p>
      <w:pPr>
        <w:pStyle w:val="30"/>
        <w:adjustRightInd w:val="0"/>
        <w:snapToGrid w:val="0"/>
        <w:spacing w:line="400" w:lineRule="atLeast"/>
        <w:ind w:firstLine="438" w:firstLineChars="197"/>
        <w:rPr>
          <w:rFonts w:hAnsi="宋体"/>
          <w:color w:val="auto"/>
          <w:sz w:val="22"/>
          <w:szCs w:val="22"/>
        </w:rPr>
      </w:pPr>
      <w:r>
        <w:rPr>
          <w:rFonts w:hAnsi="宋体"/>
          <w:color w:val="auto"/>
          <w:sz w:val="22"/>
          <w:szCs w:val="22"/>
        </w:rPr>
        <w:t>5.</w:t>
      </w:r>
      <w:r>
        <w:rPr>
          <w:rFonts w:hint="eastAsia" w:hAnsi="宋体"/>
          <w:color w:val="auto"/>
          <w:sz w:val="22"/>
          <w:szCs w:val="22"/>
        </w:rPr>
        <w:t>履约保证金</w:t>
      </w:r>
    </w:p>
    <w:p>
      <w:pPr>
        <w:pStyle w:val="30"/>
        <w:spacing w:line="400" w:lineRule="atLeast"/>
        <w:ind w:firstLine="468" w:firstLineChars="210"/>
        <w:rPr>
          <w:rFonts w:hAnsi="宋体" w:cs="Arial"/>
          <w:color w:val="auto"/>
          <w:sz w:val="22"/>
          <w:szCs w:val="22"/>
        </w:rPr>
      </w:pPr>
      <w:r>
        <w:rPr>
          <w:rFonts w:hint="eastAsia"/>
          <w:color w:val="auto"/>
          <w:sz w:val="22"/>
          <w:szCs w:val="22"/>
          <w:u w:val="single"/>
        </w:rPr>
        <w:t>履约保证金按招标文件规定，在中标方与采购人签订合同前递交。</w:t>
      </w:r>
    </w:p>
    <w:p>
      <w:pPr>
        <w:pStyle w:val="30"/>
        <w:spacing w:line="400" w:lineRule="atLeast"/>
        <w:ind w:firstLine="468" w:firstLineChars="210"/>
        <w:rPr>
          <w:rFonts w:hAnsi="宋体"/>
          <w:color w:val="auto"/>
          <w:sz w:val="22"/>
          <w:szCs w:val="22"/>
        </w:rPr>
      </w:pPr>
      <w:r>
        <w:rPr>
          <w:rFonts w:hAnsi="宋体" w:cs="Arial"/>
          <w:color w:val="auto"/>
          <w:sz w:val="22"/>
          <w:szCs w:val="22"/>
        </w:rPr>
        <w:t>6</w:t>
      </w:r>
      <w:r>
        <w:rPr>
          <w:rFonts w:hAnsi="宋体" w:cs="仿宋_GB2312"/>
          <w:color w:val="auto"/>
          <w:sz w:val="22"/>
          <w:szCs w:val="22"/>
        </w:rPr>
        <w:t>.</w:t>
      </w:r>
      <w:r>
        <w:rPr>
          <w:rFonts w:hint="eastAsia" w:hAnsi="宋体" w:cs="仿宋_GB2312"/>
          <w:color w:val="auto"/>
          <w:sz w:val="22"/>
          <w:szCs w:val="22"/>
        </w:rPr>
        <w:t>招标代理服务费</w:t>
      </w:r>
    </w:p>
    <w:p>
      <w:pPr>
        <w:autoSpaceDE w:val="0"/>
        <w:autoSpaceDN w:val="0"/>
        <w:adjustRightInd w:val="0"/>
        <w:snapToGrid w:val="0"/>
        <w:spacing w:line="400" w:lineRule="atLeast"/>
        <w:ind w:firstLine="468" w:firstLineChars="210"/>
        <w:textAlignment w:val="bottom"/>
        <w:rPr>
          <w:rFonts w:hAnsi="宋体"/>
          <w:color w:val="auto"/>
          <w:sz w:val="22"/>
          <w:szCs w:val="22"/>
        </w:rPr>
      </w:pPr>
      <w:r>
        <w:rPr>
          <w:rFonts w:hint="eastAsia" w:ascii="宋体" w:hAnsi="宋体"/>
          <w:color w:val="auto"/>
          <w:sz w:val="22"/>
          <w:szCs w:val="22"/>
        </w:rPr>
        <w:t>中标方在领取中标通知书须支付</w:t>
      </w:r>
      <w:r>
        <w:rPr>
          <w:rFonts w:hint="eastAsia" w:hAnsi="宋体" w:cs="仿宋_GB2312"/>
          <w:color w:val="auto"/>
          <w:sz w:val="22"/>
          <w:szCs w:val="22"/>
        </w:rPr>
        <w:t>招标代理服务费</w:t>
      </w:r>
      <w:r>
        <w:rPr>
          <w:rFonts w:hint="eastAsia" w:hAnsi="宋体" w:cs="仿宋_GB2312"/>
          <w:color w:val="auto"/>
          <w:sz w:val="22"/>
          <w:szCs w:val="22"/>
          <w:u w:val="single"/>
          <w:lang w:val="en-US" w:eastAsia="zh-CN"/>
        </w:rPr>
        <w:t>60000</w:t>
      </w:r>
      <w:r>
        <w:rPr>
          <w:rFonts w:hint="eastAsia" w:ascii="宋体" w:hAnsi="宋体"/>
          <w:color w:val="auto"/>
          <w:sz w:val="22"/>
          <w:szCs w:val="22"/>
          <w:u w:val="none"/>
        </w:rPr>
        <w:t>元</w:t>
      </w:r>
      <w:r>
        <w:rPr>
          <w:rFonts w:hint="eastAsia" w:ascii="宋体" w:hAnsi="宋体"/>
          <w:color w:val="auto"/>
          <w:sz w:val="22"/>
          <w:szCs w:val="22"/>
        </w:rPr>
        <w:t>人民币</w:t>
      </w:r>
      <w:r>
        <w:rPr>
          <w:rFonts w:hint="eastAsia" w:hAnsi="宋体"/>
          <w:color w:val="auto"/>
          <w:sz w:val="22"/>
          <w:szCs w:val="22"/>
        </w:rPr>
        <w:t>。</w:t>
      </w:r>
    </w:p>
    <w:p>
      <w:pPr>
        <w:autoSpaceDE w:val="0"/>
        <w:autoSpaceDN w:val="0"/>
        <w:adjustRightInd w:val="0"/>
        <w:spacing w:line="400" w:lineRule="exact"/>
        <w:ind w:firstLine="446" w:firstLineChars="200"/>
        <w:textAlignment w:val="bottom"/>
        <w:rPr>
          <w:rFonts w:ascii="宋体"/>
          <w:color w:val="auto"/>
          <w:sz w:val="22"/>
        </w:rPr>
      </w:pPr>
      <w:r>
        <w:rPr>
          <w:rFonts w:hint="eastAsia" w:ascii="宋体" w:hAnsi="宋体"/>
          <w:color w:val="auto"/>
          <w:sz w:val="22"/>
        </w:rPr>
        <w:t>招标代理费汇入以下帐号：</w:t>
      </w:r>
    </w:p>
    <w:p>
      <w:pPr>
        <w:autoSpaceDE w:val="0"/>
        <w:autoSpaceDN w:val="0"/>
        <w:adjustRightInd w:val="0"/>
        <w:spacing w:line="400" w:lineRule="exact"/>
        <w:ind w:firstLine="446" w:firstLineChars="200"/>
        <w:textAlignment w:val="bottom"/>
        <w:rPr>
          <w:rFonts w:ascii="宋体"/>
          <w:color w:val="auto"/>
          <w:sz w:val="22"/>
        </w:rPr>
      </w:pPr>
      <w:r>
        <w:rPr>
          <w:rFonts w:hint="eastAsia" w:ascii="宋体" w:hAnsi="宋体"/>
          <w:color w:val="auto"/>
          <w:sz w:val="22"/>
        </w:rPr>
        <w:t>开户银行：中国工商银行泰顺县支行</w:t>
      </w:r>
    </w:p>
    <w:p>
      <w:pPr>
        <w:autoSpaceDE w:val="0"/>
        <w:autoSpaceDN w:val="0"/>
        <w:adjustRightInd w:val="0"/>
        <w:spacing w:line="400" w:lineRule="exact"/>
        <w:ind w:firstLine="446" w:firstLineChars="200"/>
        <w:textAlignment w:val="bottom"/>
        <w:rPr>
          <w:rFonts w:ascii="宋体"/>
          <w:color w:val="auto"/>
          <w:sz w:val="22"/>
        </w:rPr>
      </w:pPr>
      <w:r>
        <w:rPr>
          <w:rFonts w:hint="eastAsia" w:ascii="宋体" w:hAnsi="宋体"/>
          <w:color w:val="auto"/>
          <w:sz w:val="22"/>
        </w:rPr>
        <w:t>开户名称：杭州华旗招标代理有限公司泰顺分公司</w:t>
      </w:r>
    </w:p>
    <w:p>
      <w:pPr>
        <w:autoSpaceDE w:val="0"/>
        <w:autoSpaceDN w:val="0"/>
        <w:adjustRightInd w:val="0"/>
        <w:spacing w:line="400" w:lineRule="exact"/>
        <w:ind w:firstLine="446" w:firstLineChars="200"/>
        <w:textAlignment w:val="bottom"/>
        <w:rPr>
          <w:color w:val="auto"/>
        </w:rPr>
      </w:pPr>
      <w:r>
        <w:rPr>
          <w:rFonts w:hint="eastAsia" w:ascii="宋体" w:hAnsi="宋体"/>
          <w:color w:val="auto"/>
          <w:sz w:val="22"/>
        </w:rPr>
        <w:t>开户帐号：1203287009200090073</w:t>
      </w:r>
    </w:p>
    <w:p>
      <w:pPr>
        <w:adjustRightInd w:val="0"/>
        <w:snapToGrid w:val="0"/>
        <w:spacing w:line="400" w:lineRule="exact"/>
        <w:jc w:val="left"/>
        <w:rPr>
          <w:rFonts w:ascii="宋体"/>
          <w:b/>
          <w:bCs/>
          <w:color w:val="auto"/>
          <w:sz w:val="22"/>
        </w:rPr>
      </w:pPr>
      <w:r>
        <w:rPr>
          <w:rFonts w:hint="eastAsia" w:ascii="宋体" w:hAnsi="宋体"/>
          <w:b/>
          <w:bCs/>
          <w:color w:val="auto"/>
          <w:sz w:val="22"/>
        </w:rPr>
        <w:t>七、投诉质疑</w:t>
      </w:r>
    </w:p>
    <w:p>
      <w:pPr>
        <w:pStyle w:val="31"/>
        <w:snapToGrid w:val="0"/>
        <w:spacing w:line="400" w:lineRule="exact"/>
        <w:ind w:firstLine="458"/>
        <w:rPr>
          <w:rFonts w:ascii="宋体" w:cs="宋体"/>
          <w:color w:val="auto"/>
          <w:sz w:val="22"/>
          <w:szCs w:val="22"/>
        </w:rPr>
      </w:pPr>
      <w:r>
        <w:rPr>
          <w:rFonts w:hint="eastAsia" w:ascii="宋体" w:hAnsi="宋体" w:cs="宋体"/>
          <w:color w:val="auto"/>
          <w:sz w:val="22"/>
          <w:szCs w:val="22"/>
        </w:rPr>
        <w:t>根据《中华人民共和国政府采购法》、《政府采购质疑和投诉办法》（中华人民共和国财政部令第</w:t>
      </w:r>
      <w:r>
        <w:rPr>
          <w:rFonts w:ascii="宋体" w:hAnsi="宋体" w:cs="宋体"/>
          <w:color w:val="auto"/>
          <w:sz w:val="22"/>
          <w:szCs w:val="22"/>
        </w:rPr>
        <w:t>94</w:t>
      </w:r>
      <w:r>
        <w:rPr>
          <w:rFonts w:hint="eastAsia" w:ascii="宋体" w:hAnsi="宋体" w:cs="宋体"/>
          <w:color w:val="auto"/>
          <w:sz w:val="22"/>
          <w:szCs w:val="22"/>
        </w:rPr>
        <w:t>号）、《财政部关于加强政府采购供应商投诉受理审查工作的通知》</w:t>
      </w:r>
      <w:r>
        <w:rPr>
          <w:rFonts w:ascii="宋体" w:hAnsi="宋体" w:cs="宋体"/>
          <w:color w:val="auto"/>
          <w:sz w:val="22"/>
          <w:szCs w:val="22"/>
        </w:rPr>
        <w:t>(</w:t>
      </w:r>
      <w:r>
        <w:rPr>
          <w:rFonts w:hint="eastAsia" w:ascii="宋体" w:hAnsi="宋体" w:cs="宋体"/>
          <w:color w:val="auto"/>
          <w:sz w:val="22"/>
          <w:szCs w:val="22"/>
        </w:rPr>
        <w:t>财库〔</w:t>
      </w:r>
      <w:r>
        <w:rPr>
          <w:rFonts w:ascii="宋体" w:hAnsi="宋体" w:cs="宋体"/>
          <w:color w:val="auto"/>
          <w:sz w:val="22"/>
          <w:szCs w:val="22"/>
        </w:rPr>
        <w:t>2007</w:t>
      </w: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号</w:t>
      </w:r>
      <w:r>
        <w:rPr>
          <w:rFonts w:ascii="宋体" w:hAnsi="宋体" w:cs="宋体"/>
          <w:color w:val="auto"/>
          <w:sz w:val="22"/>
          <w:szCs w:val="22"/>
        </w:rPr>
        <w:t>)</w:t>
      </w:r>
      <w:r>
        <w:rPr>
          <w:rFonts w:hint="eastAsia" w:ascii="宋体" w:hAnsi="宋体" w:cs="宋体"/>
          <w:color w:val="auto"/>
          <w:sz w:val="22"/>
          <w:szCs w:val="22"/>
        </w:rPr>
        <w:t>的规定，政府采购供应商可以依法提起质疑和投诉。</w:t>
      </w:r>
    </w:p>
    <w:p>
      <w:pPr>
        <w:pStyle w:val="31"/>
        <w:spacing w:line="400" w:lineRule="exact"/>
        <w:ind w:firstLine="0" w:firstLineChars="0"/>
        <w:rPr>
          <w:rFonts w:ascii="宋体" w:cs="宋体"/>
          <w:b/>
          <w:color w:val="auto"/>
          <w:sz w:val="22"/>
          <w:szCs w:val="22"/>
        </w:rPr>
      </w:pPr>
      <w:r>
        <w:rPr>
          <w:rFonts w:ascii="宋体" w:hAnsi="宋体" w:cs="宋体"/>
          <w:b/>
          <w:color w:val="auto"/>
          <w:sz w:val="22"/>
          <w:szCs w:val="22"/>
        </w:rPr>
        <w:t>1.</w:t>
      </w:r>
      <w:r>
        <w:rPr>
          <w:rFonts w:hint="eastAsia" w:ascii="宋体" w:hAnsi="宋体" w:cs="宋体"/>
          <w:b/>
          <w:color w:val="auto"/>
          <w:sz w:val="22"/>
          <w:szCs w:val="22"/>
        </w:rPr>
        <w:t>供应商询问</w:t>
      </w:r>
    </w:p>
    <w:p>
      <w:pPr>
        <w:pStyle w:val="30"/>
        <w:spacing w:line="400" w:lineRule="exact"/>
        <w:ind w:firstLine="501" w:firstLineChars="225"/>
        <w:rPr>
          <w:rFonts w:hAnsi="宋体" w:cs="宋体"/>
          <w:color w:val="auto"/>
          <w:sz w:val="22"/>
          <w:szCs w:val="22"/>
        </w:rPr>
      </w:pPr>
      <w:r>
        <w:rPr>
          <w:rFonts w:hint="eastAsia" w:hAnsi="宋体" w:cs="宋体"/>
          <w:color w:val="auto"/>
          <w:sz w:val="22"/>
          <w:szCs w:val="22"/>
          <w:lang w:val="zh-CN"/>
        </w:rPr>
        <w:t>供应商对政府采购活动事项有疑问的，可以向采购机构提出询问，采购机构将对供应商依法提出的询问作出答复，但答复的内容不得涉及商业秘密。</w:t>
      </w:r>
    </w:p>
    <w:p>
      <w:pPr>
        <w:pStyle w:val="31"/>
        <w:spacing w:line="400" w:lineRule="exact"/>
        <w:ind w:firstLine="0" w:firstLineChars="0"/>
        <w:rPr>
          <w:rFonts w:ascii="宋体" w:cs="宋体"/>
          <w:b/>
          <w:color w:val="auto"/>
          <w:sz w:val="22"/>
          <w:szCs w:val="22"/>
        </w:rPr>
      </w:pPr>
      <w:r>
        <w:rPr>
          <w:rFonts w:ascii="宋体" w:hAnsi="宋体" w:cs="宋体"/>
          <w:b/>
          <w:color w:val="auto"/>
          <w:sz w:val="22"/>
          <w:szCs w:val="22"/>
        </w:rPr>
        <w:t>2.</w:t>
      </w:r>
      <w:r>
        <w:rPr>
          <w:rFonts w:hint="eastAsia" w:ascii="宋体" w:hAnsi="宋体" w:cs="宋体"/>
          <w:b/>
          <w:color w:val="auto"/>
          <w:sz w:val="22"/>
          <w:szCs w:val="22"/>
        </w:rPr>
        <w:t>供应商质疑</w:t>
      </w:r>
    </w:p>
    <w:p>
      <w:pPr>
        <w:pStyle w:val="30"/>
        <w:spacing w:line="400" w:lineRule="exact"/>
        <w:ind w:firstLine="501" w:firstLineChars="225"/>
        <w:rPr>
          <w:rFonts w:hAnsi="宋体" w:cs="宋体"/>
          <w:color w:val="auto"/>
          <w:sz w:val="22"/>
          <w:szCs w:val="22"/>
        </w:rPr>
      </w:pPr>
      <w:r>
        <w:rPr>
          <w:rFonts w:hAnsi="宋体" w:cs="宋体"/>
          <w:color w:val="auto"/>
          <w:sz w:val="22"/>
          <w:szCs w:val="22"/>
        </w:rPr>
        <w:t>2.1</w:t>
      </w:r>
      <w:r>
        <w:rPr>
          <w:rFonts w:hint="eastAsia" w:hAnsi="宋体" w:cs="宋体"/>
          <w:color w:val="auto"/>
          <w:sz w:val="22"/>
          <w:szCs w:val="22"/>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lang w:val="zh-CN"/>
        </w:rPr>
        <w:t>否则，不予受理：</w:t>
      </w:r>
    </w:p>
    <w:p>
      <w:pPr>
        <w:pStyle w:val="30"/>
        <w:spacing w:line="400" w:lineRule="exact"/>
        <w:rPr>
          <w:rFonts w:hAnsi="宋体" w:cs="宋体"/>
          <w:color w:val="auto"/>
          <w:sz w:val="22"/>
          <w:szCs w:val="22"/>
        </w:rPr>
      </w:pPr>
      <w:r>
        <w:rPr>
          <w:rFonts w:hAnsi="宋体" w:cs="宋体"/>
          <w:color w:val="auto"/>
          <w:sz w:val="22"/>
          <w:szCs w:val="22"/>
        </w:rPr>
        <w:t xml:space="preserve">   </w:t>
      </w:r>
      <w:r>
        <w:rPr>
          <w:rFonts w:hint="eastAsia" w:hAnsi="宋体" w:cs="宋体"/>
          <w:color w:val="auto"/>
          <w:sz w:val="22"/>
          <w:szCs w:val="22"/>
        </w:rPr>
        <w:t>（</w:t>
      </w:r>
      <w:r>
        <w:rPr>
          <w:rFonts w:hAnsi="宋体" w:cs="宋体"/>
          <w:color w:val="auto"/>
          <w:sz w:val="22"/>
          <w:szCs w:val="22"/>
        </w:rPr>
        <w:t>1</w:t>
      </w:r>
      <w:r>
        <w:rPr>
          <w:rFonts w:hint="eastAsia" w:hAnsi="宋体" w:cs="宋体"/>
          <w:color w:val="auto"/>
          <w:sz w:val="22"/>
          <w:szCs w:val="22"/>
        </w:rPr>
        <w:t>）供应商如认为招标公告信息使自身的合法权益受到损害的，应于自招标公告发布之日起七个工作内以书面形式向采购机构提出质疑；</w:t>
      </w:r>
    </w:p>
    <w:p>
      <w:pPr>
        <w:pStyle w:val="30"/>
        <w:spacing w:line="400" w:lineRule="exact"/>
        <w:rPr>
          <w:rFonts w:hAnsi="宋体" w:cs="宋体"/>
          <w:color w:val="auto"/>
          <w:sz w:val="22"/>
          <w:szCs w:val="22"/>
        </w:rPr>
      </w:pPr>
      <w:r>
        <w:rPr>
          <w:rFonts w:hAnsi="宋体" w:cs="宋体"/>
          <w:color w:val="auto"/>
          <w:sz w:val="22"/>
          <w:szCs w:val="22"/>
        </w:rPr>
        <w:t xml:space="preserve">   </w:t>
      </w:r>
      <w:r>
        <w:rPr>
          <w:rFonts w:hint="eastAsia" w:hAnsi="宋体" w:cs="宋体"/>
          <w:color w:val="auto"/>
          <w:sz w:val="22"/>
          <w:szCs w:val="22"/>
        </w:rPr>
        <w:t>（</w:t>
      </w:r>
      <w:r>
        <w:rPr>
          <w:rFonts w:hAnsi="宋体" w:cs="宋体"/>
          <w:color w:val="auto"/>
          <w:sz w:val="22"/>
          <w:szCs w:val="22"/>
        </w:rPr>
        <w:t>2</w:t>
      </w:r>
      <w:r>
        <w:rPr>
          <w:rFonts w:hint="eastAsia" w:hAnsi="宋体" w:cs="宋体"/>
          <w:color w:val="auto"/>
          <w:sz w:val="22"/>
          <w:szCs w:val="22"/>
        </w:rPr>
        <w:t>）</w:t>
      </w:r>
      <w:r>
        <w:rPr>
          <w:rFonts w:hint="eastAsia" w:hAnsi="宋体" w:cs="宋体"/>
          <w:color w:val="auto"/>
          <w:sz w:val="22"/>
          <w:szCs w:val="22"/>
          <w:lang w:val="zh-CN"/>
        </w:rPr>
        <w:t>对招标文件提出质疑的，质疑期限为供应商获得招标文件之日或者招标文件公告期限届满之日（即供应商</w:t>
      </w:r>
      <w:r>
        <w:rPr>
          <w:rFonts w:hint="eastAsia" w:hAnsi="宋体" w:cs="宋体"/>
          <w:color w:val="auto"/>
          <w:sz w:val="22"/>
          <w:szCs w:val="22"/>
        </w:rPr>
        <w:t>获取招标文件</w:t>
      </w:r>
      <w:r>
        <w:rPr>
          <w:rFonts w:hint="eastAsia" w:hAnsi="宋体" w:cs="宋体"/>
          <w:color w:val="auto"/>
          <w:sz w:val="22"/>
          <w:szCs w:val="22"/>
          <w:lang w:val="zh-CN"/>
        </w:rPr>
        <w:t>截止之日）起计算，但招标文件在获取招标文件截止之日后获得的，应当自截止之日起计算，且应当在采购响应截止时间之前提出。</w:t>
      </w:r>
      <w:r>
        <w:rPr>
          <w:rFonts w:hint="eastAsia" w:hAnsi="宋体" w:cs="宋体"/>
          <w:color w:val="auto"/>
          <w:sz w:val="22"/>
          <w:szCs w:val="22"/>
        </w:rPr>
        <w:t>；</w:t>
      </w:r>
    </w:p>
    <w:p>
      <w:pPr>
        <w:autoSpaceDE w:val="0"/>
        <w:autoSpaceDN w:val="0"/>
        <w:spacing w:line="400" w:lineRule="exact"/>
        <w:jc w:val="left"/>
        <w:rPr>
          <w:rFonts w:ascii="宋体" w:cs="宋体"/>
          <w:color w:val="auto"/>
          <w:kern w:val="0"/>
          <w:sz w:val="22"/>
          <w:lang w:val="zh-CN"/>
        </w:rPr>
      </w:pPr>
      <w:r>
        <w:rPr>
          <w:rFonts w:ascii="宋体" w:hAnsi="宋体" w:cs="宋体"/>
          <w:color w:val="auto"/>
          <w:sz w:val="22"/>
        </w:rPr>
        <w:t xml:space="preserve">   </w:t>
      </w:r>
      <w:r>
        <w:rPr>
          <w:rFonts w:hint="eastAsia" w:ascii="宋体" w:hAnsi="宋体" w:cs="宋体"/>
          <w:color w:val="auto"/>
          <w:sz w:val="22"/>
        </w:rPr>
        <w:t>（</w:t>
      </w:r>
      <w:r>
        <w:rPr>
          <w:rFonts w:ascii="宋体" w:hAnsi="宋体" w:cs="宋体"/>
          <w:color w:val="auto"/>
          <w:sz w:val="22"/>
        </w:rPr>
        <w:t>3</w:t>
      </w:r>
      <w:r>
        <w:rPr>
          <w:rFonts w:hint="eastAsia" w:ascii="宋体" w:hAnsi="宋体" w:cs="宋体"/>
          <w:color w:val="auto"/>
          <w:sz w:val="22"/>
        </w:rPr>
        <w:t>）</w:t>
      </w:r>
      <w:r>
        <w:rPr>
          <w:rFonts w:hint="eastAsia" w:ascii="宋体" w:hAnsi="宋体" w:cs="宋体"/>
          <w:color w:val="auto"/>
          <w:kern w:val="0"/>
          <w:sz w:val="22"/>
          <w:lang w:val="zh-CN"/>
        </w:rPr>
        <w:t>对采购过程提出质疑的，质疑期限为各采购程序环节结束之日起计算。</w:t>
      </w:r>
    </w:p>
    <w:p>
      <w:pPr>
        <w:pStyle w:val="30"/>
        <w:spacing w:line="400" w:lineRule="exact"/>
        <w:rPr>
          <w:rFonts w:hAnsi="宋体" w:cs="宋体"/>
          <w:color w:val="auto"/>
          <w:sz w:val="22"/>
          <w:szCs w:val="22"/>
        </w:rPr>
      </w:pPr>
      <w:r>
        <w:rPr>
          <w:rFonts w:hAnsi="宋体" w:cs="宋体"/>
          <w:color w:val="auto"/>
          <w:sz w:val="22"/>
          <w:szCs w:val="22"/>
          <w:lang w:val="zh-CN"/>
        </w:rPr>
        <w:t xml:space="preserve">   </w:t>
      </w:r>
      <w:r>
        <w:rPr>
          <w:rFonts w:hint="eastAsia" w:hAnsi="宋体" w:cs="宋体"/>
          <w:color w:val="auto"/>
          <w:sz w:val="22"/>
          <w:szCs w:val="22"/>
          <w:lang w:val="zh-CN"/>
        </w:rPr>
        <w:t>（</w:t>
      </w:r>
      <w:r>
        <w:rPr>
          <w:rFonts w:hAnsi="宋体" w:cs="宋体"/>
          <w:color w:val="auto"/>
          <w:sz w:val="22"/>
          <w:szCs w:val="22"/>
          <w:lang w:val="zh-CN"/>
        </w:rPr>
        <w:t>4</w:t>
      </w:r>
      <w:r>
        <w:rPr>
          <w:rFonts w:hint="eastAsia" w:hAnsi="宋体" w:cs="宋体"/>
          <w:color w:val="auto"/>
          <w:sz w:val="22"/>
          <w:szCs w:val="22"/>
          <w:lang w:val="zh-CN"/>
        </w:rPr>
        <w:t>）对采购结果提出质疑的，质疑期限自采购结果公告（包括公示、预公告、结果变更公告等）期限届满之日起计算。</w:t>
      </w:r>
    </w:p>
    <w:p>
      <w:pPr>
        <w:pStyle w:val="30"/>
        <w:spacing w:line="400" w:lineRule="exact"/>
        <w:ind w:firstLine="501" w:firstLineChars="225"/>
        <w:rPr>
          <w:rFonts w:hAnsi="宋体" w:cs="宋体"/>
          <w:color w:val="auto"/>
          <w:sz w:val="22"/>
          <w:szCs w:val="22"/>
        </w:rPr>
      </w:pPr>
      <w:r>
        <w:rPr>
          <w:rFonts w:hAnsi="宋体" w:cs="宋体"/>
          <w:color w:val="auto"/>
          <w:sz w:val="22"/>
          <w:szCs w:val="22"/>
        </w:rPr>
        <w:t>2.2</w:t>
      </w:r>
      <w:r>
        <w:rPr>
          <w:rFonts w:hint="eastAsia" w:hAnsi="宋体" w:cs="宋体"/>
          <w:color w:val="auto"/>
          <w:sz w:val="22"/>
          <w:szCs w:val="22"/>
        </w:rPr>
        <w:t>供应商提交的质疑书需一式三份，由法定代表人签字（或盖章）并加盖单位公章。质疑书至少应包括下列主要内容：</w:t>
      </w:r>
    </w:p>
    <w:p>
      <w:pPr>
        <w:pStyle w:val="30"/>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1</w:t>
      </w:r>
      <w:r>
        <w:rPr>
          <w:rFonts w:hint="eastAsia" w:hAnsi="宋体" w:cs="宋体"/>
          <w:color w:val="auto"/>
          <w:sz w:val="22"/>
          <w:szCs w:val="22"/>
        </w:rPr>
        <w:t>）供应商的名称、地址、邮政编码、联系人、联系电话；</w:t>
      </w:r>
    </w:p>
    <w:p>
      <w:pPr>
        <w:pStyle w:val="30"/>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2</w:t>
      </w:r>
      <w:r>
        <w:rPr>
          <w:rFonts w:hint="eastAsia" w:hAnsi="宋体" w:cs="宋体"/>
          <w:color w:val="auto"/>
          <w:sz w:val="22"/>
          <w:szCs w:val="22"/>
        </w:rPr>
        <w:t>）质疑项目的名称、编号；</w:t>
      </w:r>
    </w:p>
    <w:p>
      <w:pPr>
        <w:pStyle w:val="30"/>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3</w:t>
      </w:r>
      <w:r>
        <w:rPr>
          <w:rFonts w:hint="eastAsia" w:hAnsi="宋体" w:cs="宋体"/>
          <w:color w:val="auto"/>
          <w:sz w:val="22"/>
          <w:szCs w:val="22"/>
        </w:rPr>
        <w:t>）具体、明确的质疑事项和与质疑事项相关的请求；</w:t>
      </w:r>
    </w:p>
    <w:p>
      <w:pPr>
        <w:pStyle w:val="30"/>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4</w:t>
      </w:r>
      <w:r>
        <w:rPr>
          <w:rFonts w:hint="eastAsia" w:hAnsi="宋体" w:cs="宋体"/>
          <w:color w:val="auto"/>
          <w:sz w:val="22"/>
          <w:szCs w:val="22"/>
        </w:rPr>
        <w:t>）事实依据；</w:t>
      </w:r>
    </w:p>
    <w:p>
      <w:pPr>
        <w:pStyle w:val="30"/>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5</w:t>
      </w:r>
      <w:r>
        <w:rPr>
          <w:rFonts w:hint="eastAsia" w:hAnsi="宋体" w:cs="宋体"/>
          <w:color w:val="auto"/>
          <w:sz w:val="22"/>
          <w:szCs w:val="22"/>
        </w:rPr>
        <w:t>）必要的法律依据；</w:t>
      </w:r>
    </w:p>
    <w:p>
      <w:pPr>
        <w:pStyle w:val="30"/>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6</w:t>
      </w:r>
      <w:r>
        <w:rPr>
          <w:rFonts w:hint="eastAsia" w:hAnsi="宋体" w:cs="宋体"/>
          <w:color w:val="auto"/>
          <w:sz w:val="22"/>
          <w:szCs w:val="22"/>
        </w:rPr>
        <w:t>）提出质疑的日期。</w:t>
      </w:r>
    </w:p>
    <w:p>
      <w:pPr>
        <w:pStyle w:val="30"/>
        <w:spacing w:line="400" w:lineRule="exact"/>
        <w:ind w:firstLine="501" w:firstLineChars="225"/>
        <w:rPr>
          <w:rFonts w:hAnsi="宋体" w:cs="宋体"/>
          <w:color w:val="auto"/>
          <w:sz w:val="22"/>
          <w:szCs w:val="22"/>
        </w:rPr>
      </w:pPr>
      <w:r>
        <w:rPr>
          <w:rFonts w:hint="eastAsia" w:hAnsi="宋体" w:cs="宋体"/>
          <w:color w:val="auto"/>
          <w:sz w:val="22"/>
          <w:szCs w:val="22"/>
        </w:rPr>
        <w:t>供应商为自然人的，应当由本人签字；供应商为法人或其他组织的，应当由法定代表人、主要负责人，或者其授权代表签字或者盖章，并加盖公章。</w:t>
      </w:r>
    </w:p>
    <w:p>
      <w:pPr>
        <w:pStyle w:val="30"/>
        <w:spacing w:line="400" w:lineRule="exact"/>
        <w:ind w:firstLine="501" w:firstLineChars="225"/>
        <w:rPr>
          <w:rFonts w:hAnsi="宋体" w:cs="宋体"/>
          <w:color w:val="auto"/>
          <w:sz w:val="22"/>
          <w:szCs w:val="22"/>
        </w:rPr>
      </w:pPr>
      <w:r>
        <w:rPr>
          <w:rFonts w:hAnsi="宋体" w:cs="宋体"/>
          <w:color w:val="auto"/>
          <w:sz w:val="22"/>
          <w:szCs w:val="22"/>
        </w:rPr>
        <w:t>2.3</w:t>
      </w:r>
      <w:r>
        <w:rPr>
          <w:rFonts w:hint="eastAsia" w:hAnsi="宋体" w:cs="宋体"/>
          <w:color w:val="auto"/>
          <w:sz w:val="22"/>
          <w:szCs w:val="22"/>
        </w:rPr>
        <w:t>采购人、招标代理机构应当在收到供应商的书面质疑后七个工作日内作出答复，并以书面形式通知质疑供应商和其他有关供应商，但答复的内容不得涉及商业秘密。</w:t>
      </w:r>
    </w:p>
    <w:p>
      <w:pPr>
        <w:pStyle w:val="31"/>
        <w:spacing w:line="400" w:lineRule="exact"/>
        <w:ind w:firstLine="0" w:firstLineChars="0"/>
        <w:rPr>
          <w:rFonts w:ascii="宋体" w:cs="宋体"/>
          <w:b/>
          <w:color w:val="auto"/>
          <w:sz w:val="22"/>
          <w:szCs w:val="22"/>
        </w:rPr>
      </w:pPr>
      <w:r>
        <w:rPr>
          <w:rFonts w:ascii="宋体" w:hAnsi="宋体" w:cs="宋体"/>
          <w:b/>
          <w:color w:val="auto"/>
          <w:sz w:val="22"/>
          <w:szCs w:val="22"/>
        </w:rPr>
        <w:t>3.</w:t>
      </w:r>
      <w:r>
        <w:rPr>
          <w:rFonts w:hint="eastAsia" w:ascii="宋体" w:hAnsi="宋体" w:cs="宋体"/>
          <w:b/>
          <w:color w:val="auto"/>
          <w:sz w:val="22"/>
          <w:szCs w:val="22"/>
        </w:rPr>
        <w:t>供应商投诉</w:t>
      </w:r>
    </w:p>
    <w:p>
      <w:pPr>
        <w:pStyle w:val="30"/>
        <w:spacing w:line="400" w:lineRule="exact"/>
        <w:ind w:firstLine="501" w:firstLineChars="225"/>
        <w:rPr>
          <w:rFonts w:hAnsi="宋体" w:cs="宋体"/>
          <w:color w:val="auto"/>
          <w:sz w:val="22"/>
          <w:szCs w:val="22"/>
        </w:rPr>
      </w:pPr>
      <w:r>
        <w:rPr>
          <w:rFonts w:hAnsi="宋体" w:cs="宋体"/>
          <w:color w:val="auto"/>
          <w:sz w:val="22"/>
          <w:szCs w:val="22"/>
        </w:rPr>
        <w:t>3.1</w:t>
      </w:r>
      <w:r>
        <w:rPr>
          <w:rFonts w:hint="eastAsia" w:hAnsi="宋体" w:cs="宋体"/>
          <w:color w:val="auto"/>
          <w:sz w:val="22"/>
          <w:szCs w:val="22"/>
        </w:rPr>
        <w:t>供应商投诉应当提交投诉书和必要的证明材料。供应商投诉的事项不得超出已质疑事项的范围（基于质疑答复内容提出的投诉事项除外）。</w:t>
      </w:r>
    </w:p>
    <w:p>
      <w:pPr>
        <w:pStyle w:val="30"/>
        <w:spacing w:line="400" w:lineRule="exact"/>
        <w:ind w:firstLine="501" w:firstLineChars="225"/>
        <w:rPr>
          <w:b/>
          <w:bCs/>
          <w:color w:val="auto"/>
          <w:sz w:val="32"/>
          <w:szCs w:val="32"/>
          <w:lang w:val="zh-CN"/>
        </w:rPr>
      </w:pPr>
      <w:r>
        <w:rPr>
          <w:rFonts w:hAnsi="宋体" w:cs="宋体"/>
          <w:color w:val="auto"/>
          <w:sz w:val="22"/>
          <w:szCs w:val="22"/>
        </w:rPr>
        <w:t>3.2</w:t>
      </w:r>
      <w:r>
        <w:rPr>
          <w:rFonts w:hint="eastAsia" w:hAnsi="宋体" w:cs="宋体"/>
          <w:color w:val="auto"/>
          <w:sz w:val="22"/>
          <w:szCs w:val="22"/>
        </w:rPr>
        <w:t>质疑供应商对采购人、招标代理机构的答复不满意或者采购人、招标代理机构未在规定的时间内作出答复的，可以在答复期满后十五个工作日内向同级财政部门提出投诉。</w:t>
      </w:r>
    </w:p>
    <w:p>
      <w:pPr>
        <w:jc w:val="center"/>
        <w:rPr>
          <w:rFonts w:ascii="宋体"/>
          <w:b/>
          <w:bCs/>
          <w:color w:val="auto"/>
          <w:sz w:val="32"/>
          <w:szCs w:val="32"/>
          <w:lang w:val="zh-CN"/>
        </w:rPr>
      </w:pPr>
    </w:p>
    <w:p>
      <w:pPr>
        <w:jc w:val="center"/>
        <w:rPr>
          <w:rFonts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b/>
          <w:bCs/>
          <w:color w:val="auto"/>
          <w:sz w:val="32"/>
          <w:szCs w:val="32"/>
        </w:rPr>
      </w:pPr>
      <w:r>
        <w:rPr>
          <w:rFonts w:hint="eastAsia" w:ascii="宋体"/>
          <w:b/>
          <w:bCs/>
          <w:color w:val="auto"/>
          <w:sz w:val="32"/>
          <w:szCs w:val="32"/>
          <w:lang w:val="zh-CN"/>
        </w:rPr>
        <w:t>第四部分</w:t>
      </w:r>
      <w:r>
        <w:rPr>
          <w:rFonts w:ascii="宋体"/>
          <w:b/>
          <w:bCs/>
          <w:color w:val="auto"/>
          <w:sz w:val="32"/>
          <w:szCs w:val="32"/>
          <w:lang w:val="zh-CN"/>
        </w:rPr>
        <w:t xml:space="preserve">   </w:t>
      </w:r>
      <w:r>
        <w:rPr>
          <w:rFonts w:hint="eastAsia" w:ascii="宋体"/>
          <w:b/>
          <w:bCs/>
          <w:color w:val="auto"/>
          <w:sz w:val="32"/>
          <w:szCs w:val="32"/>
          <w:lang w:val="zh-CN"/>
        </w:rPr>
        <w:t>政府采购政策功能相关说明</w:t>
      </w:r>
    </w:p>
    <w:p>
      <w:pPr>
        <w:jc w:val="left"/>
        <w:rPr>
          <w:rFonts w:ascii="宋体"/>
          <w:color w:val="auto"/>
          <w:sz w:val="22"/>
          <w:szCs w:val="22"/>
        </w:rPr>
      </w:pPr>
    </w:p>
    <w:p>
      <w:pPr>
        <w:jc w:val="left"/>
        <w:rPr>
          <w:rFonts w:ascii="宋体"/>
          <w:color w:val="auto"/>
          <w:sz w:val="22"/>
          <w:szCs w:val="22"/>
        </w:rPr>
      </w:pPr>
      <w:r>
        <w:rPr>
          <w:rFonts w:hint="eastAsia" w:ascii="宋体"/>
          <w:color w:val="auto"/>
          <w:sz w:val="22"/>
          <w:szCs w:val="22"/>
        </w:rPr>
        <w:t>一、小、微企业（含监狱企业、残疾人福利性单位）扶持政策说明</w:t>
      </w:r>
    </w:p>
    <w:p>
      <w:pPr>
        <w:spacing w:line="440" w:lineRule="atLeast"/>
        <w:jc w:val="left"/>
        <w:rPr>
          <w:rFonts w:ascii="宋体"/>
          <w:color w:val="auto"/>
          <w:sz w:val="22"/>
          <w:szCs w:val="22"/>
        </w:rPr>
      </w:pPr>
      <w:r>
        <w:rPr>
          <w:rFonts w:ascii="宋体"/>
          <w:color w:val="auto"/>
          <w:sz w:val="22"/>
          <w:szCs w:val="22"/>
        </w:rPr>
        <w:t>1</w:t>
      </w:r>
      <w:r>
        <w:rPr>
          <w:rFonts w:hint="eastAsia" w:ascii="宋体"/>
          <w:color w:val="auto"/>
          <w:sz w:val="22"/>
          <w:szCs w:val="22"/>
        </w:rPr>
        <w:t>、文件依据</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1</w:t>
      </w:r>
      <w:r>
        <w:rPr>
          <w:rFonts w:hint="eastAsia" w:ascii="宋体"/>
          <w:color w:val="auto"/>
          <w:sz w:val="22"/>
          <w:szCs w:val="22"/>
        </w:rPr>
        <w:t>）关于印发《政府采购促进中小企业发展暂行办法》的通知（财库</w:t>
      </w:r>
      <w:r>
        <w:rPr>
          <w:rFonts w:ascii="宋体"/>
          <w:color w:val="auto"/>
          <w:sz w:val="22"/>
          <w:szCs w:val="22"/>
        </w:rPr>
        <w:t>[2011]181</w:t>
      </w:r>
      <w:r>
        <w:rPr>
          <w:rFonts w:hint="eastAsia" w:ascii="宋体"/>
          <w:color w:val="auto"/>
          <w:sz w:val="22"/>
          <w:szCs w:val="22"/>
        </w:rPr>
        <w:t>号）</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2</w:t>
      </w:r>
      <w:r>
        <w:rPr>
          <w:rFonts w:hint="eastAsia" w:ascii="宋体"/>
          <w:color w:val="auto"/>
          <w:sz w:val="22"/>
          <w:szCs w:val="22"/>
        </w:rPr>
        <w:t>）浙江省财政厅转发财政部</w:t>
      </w:r>
      <w:r>
        <w:rPr>
          <w:rFonts w:ascii="宋体"/>
          <w:color w:val="auto"/>
          <w:sz w:val="22"/>
          <w:szCs w:val="22"/>
        </w:rPr>
        <w:t xml:space="preserve"> </w:t>
      </w:r>
      <w:r>
        <w:rPr>
          <w:rFonts w:hint="eastAsia" w:ascii="宋体"/>
          <w:color w:val="auto"/>
          <w:sz w:val="22"/>
          <w:szCs w:val="22"/>
        </w:rPr>
        <w:t>工业和信息化部关于印发《政府采购促进中小企业发展暂行办法》的通知（浙财采监</w:t>
      </w:r>
      <w:r>
        <w:rPr>
          <w:rFonts w:ascii="宋体"/>
          <w:color w:val="auto"/>
          <w:sz w:val="22"/>
          <w:szCs w:val="22"/>
        </w:rPr>
        <w:t>[2012]11</w:t>
      </w:r>
      <w:r>
        <w:rPr>
          <w:rFonts w:hint="eastAsia" w:ascii="宋体"/>
          <w:color w:val="auto"/>
          <w:sz w:val="22"/>
          <w:szCs w:val="22"/>
        </w:rPr>
        <w:t>号）</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3</w:t>
      </w:r>
      <w:r>
        <w:rPr>
          <w:rFonts w:hint="eastAsia" w:ascii="宋体"/>
          <w:color w:val="auto"/>
          <w:sz w:val="22"/>
          <w:szCs w:val="22"/>
        </w:rPr>
        <w:t>）浙江省省财政厅《关于开展政府采购供应商网上注册登记和诚信管理工作的通知》（浙财采监〔</w:t>
      </w:r>
      <w:r>
        <w:rPr>
          <w:rFonts w:ascii="宋体"/>
          <w:color w:val="auto"/>
          <w:sz w:val="22"/>
          <w:szCs w:val="22"/>
        </w:rPr>
        <w:t>2010</w:t>
      </w:r>
      <w:r>
        <w:rPr>
          <w:rFonts w:hint="eastAsia" w:ascii="宋体"/>
          <w:color w:val="auto"/>
          <w:sz w:val="22"/>
          <w:szCs w:val="22"/>
        </w:rPr>
        <w:t>〕</w:t>
      </w:r>
      <w:r>
        <w:rPr>
          <w:rFonts w:ascii="宋体"/>
          <w:color w:val="auto"/>
          <w:sz w:val="22"/>
          <w:szCs w:val="22"/>
        </w:rPr>
        <w:t>8</w:t>
      </w:r>
      <w:r>
        <w:rPr>
          <w:rFonts w:hint="eastAsia" w:ascii="宋体"/>
          <w:color w:val="auto"/>
          <w:sz w:val="22"/>
          <w:szCs w:val="22"/>
        </w:rPr>
        <w:t>号</w:t>
      </w:r>
      <w:r>
        <w:rPr>
          <w:rFonts w:ascii="宋体"/>
          <w:color w:val="auto"/>
          <w:sz w:val="22"/>
          <w:szCs w:val="22"/>
        </w:rPr>
        <w:t>)</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4</w:t>
      </w:r>
      <w:r>
        <w:rPr>
          <w:rFonts w:hint="eastAsia" w:ascii="宋体"/>
          <w:color w:val="auto"/>
          <w:sz w:val="22"/>
          <w:szCs w:val="22"/>
        </w:rPr>
        <w:t>）《工业和信息化部、国家统计局、国家发展和改革委员会、财政部关于印发中小企业划型标准规定的通知》（工信部联企业</w:t>
      </w:r>
      <w:r>
        <w:rPr>
          <w:rFonts w:ascii="宋体"/>
          <w:color w:val="auto"/>
          <w:sz w:val="22"/>
          <w:szCs w:val="22"/>
        </w:rPr>
        <w:t>[2011]300</w:t>
      </w:r>
      <w:r>
        <w:rPr>
          <w:rFonts w:hint="eastAsia" w:ascii="宋体"/>
          <w:color w:val="auto"/>
          <w:sz w:val="22"/>
          <w:szCs w:val="22"/>
        </w:rPr>
        <w:t>号）</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5</w:t>
      </w:r>
      <w:r>
        <w:rPr>
          <w:rFonts w:hint="eastAsia" w:ascii="宋体"/>
          <w:color w:val="auto"/>
          <w:sz w:val="22"/>
          <w:szCs w:val="22"/>
        </w:rPr>
        <w:t>）财政部、司法部《关于政府采购支持监狱企业发展有关问题的通知》（财库〔</w:t>
      </w:r>
      <w:r>
        <w:rPr>
          <w:rFonts w:ascii="宋体"/>
          <w:color w:val="auto"/>
          <w:sz w:val="22"/>
          <w:szCs w:val="22"/>
        </w:rPr>
        <w:t>2014</w:t>
      </w:r>
      <w:r>
        <w:rPr>
          <w:rFonts w:hint="eastAsia" w:ascii="宋体"/>
          <w:color w:val="auto"/>
          <w:sz w:val="22"/>
          <w:szCs w:val="22"/>
        </w:rPr>
        <w:t>〕</w:t>
      </w:r>
      <w:r>
        <w:rPr>
          <w:rFonts w:ascii="宋体"/>
          <w:color w:val="auto"/>
          <w:sz w:val="22"/>
          <w:szCs w:val="22"/>
        </w:rPr>
        <w:t>68</w:t>
      </w:r>
      <w:r>
        <w:rPr>
          <w:rFonts w:hint="eastAsia" w:ascii="宋体"/>
          <w:color w:val="auto"/>
          <w:sz w:val="22"/>
          <w:szCs w:val="22"/>
        </w:rPr>
        <w:t>号）</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6</w:t>
      </w:r>
      <w:r>
        <w:rPr>
          <w:rFonts w:hint="eastAsia" w:ascii="宋体"/>
          <w:color w:val="auto"/>
          <w:sz w:val="22"/>
          <w:szCs w:val="22"/>
        </w:rPr>
        <w:t>）《财政部</w:t>
      </w:r>
      <w:r>
        <w:rPr>
          <w:rFonts w:ascii="宋体"/>
          <w:color w:val="auto"/>
          <w:sz w:val="22"/>
          <w:szCs w:val="22"/>
        </w:rPr>
        <w:t xml:space="preserve"> </w:t>
      </w:r>
      <w:r>
        <w:rPr>
          <w:rFonts w:hint="eastAsia" w:ascii="宋体"/>
          <w:color w:val="auto"/>
          <w:sz w:val="22"/>
          <w:szCs w:val="22"/>
        </w:rPr>
        <w:t>民政部</w:t>
      </w:r>
      <w:r>
        <w:rPr>
          <w:rFonts w:ascii="宋体"/>
          <w:color w:val="auto"/>
          <w:sz w:val="22"/>
          <w:szCs w:val="22"/>
        </w:rPr>
        <w:t xml:space="preserve"> </w:t>
      </w:r>
      <w:r>
        <w:rPr>
          <w:rFonts w:hint="eastAsia" w:ascii="宋体"/>
          <w:color w:val="auto"/>
          <w:sz w:val="22"/>
          <w:szCs w:val="22"/>
        </w:rPr>
        <w:t>中国残疾人联合会关于促进残疾人就业政府采购政策的通知》（财库〔</w:t>
      </w:r>
      <w:r>
        <w:rPr>
          <w:rFonts w:ascii="宋体"/>
          <w:color w:val="auto"/>
          <w:sz w:val="22"/>
          <w:szCs w:val="22"/>
        </w:rPr>
        <w:t>2018</w:t>
      </w:r>
      <w:r>
        <w:rPr>
          <w:rFonts w:hint="eastAsia" w:ascii="宋体"/>
          <w:color w:val="auto"/>
          <w:sz w:val="22"/>
          <w:szCs w:val="22"/>
        </w:rPr>
        <w:t>〕</w:t>
      </w:r>
      <w:r>
        <w:rPr>
          <w:rFonts w:ascii="宋体"/>
          <w:color w:val="auto"/>
          <w:sz w:val="22"/>
          <w:szCs w:val="22"/>
        </w:rPr>
        <w:t xml:space="preserve"> 141</w:t>
      </w:r>
      <w:r>
        <w:rPr>
          <w:rFonts w:hint="eastAsia" w:ascii="宋体"/>
          <w:color w:val="auto"/>
          <w:sz w:val="22"/>
          <w:szCs w:val="22"/>
        </w:rPr>
        <w:t>号）</w:t>
      </w:r>
    </w:p>
    <w:p>
      <w:pPr>
        <w:spacing w:line="440" w:lineRule="atLeast"/>
        <w:jc w:val="left"/>
        <w:rPr>
          <w:rFonts w:ascii="宋体"/>
          <w:color w:val="auto"/>
          <w:sz w:val="22"/>
          <w:szCs w:val="22"/>
        </w:rPr>
      </w:pPr>
      <w:r>
        <w:rPr>
          <w:rFonts w:ascii="宋体"/>
          <w:color w:val="auto"/>
          <w:sz w:val="22"/>
          <w:szCs w:val="22"/>
        </w:rPr>
        <w:t>2</w:t>
      </w:r>
      <w:r>
        <w:rPr>
          <w:rFonts w:hint="eastAsia" w:ascii="宋体"/>
          <w:color w:val="auto"/>
          <w:sz w:val="22"/>
          <w:szCs w:val="22"/>
        </w:rPr>
        <w:t>、享受小微企业价格折扣应具备的条件与价格折扣比例</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1</w:t>
      </w:r>
      <w:r>
        <w:rPr>
          <w:rFonts w:hint="eastAsia" w:ascii="宋体"/>
          <w:color w:val="auto"/>
          <w:sz w:val="22"/>
          <w:szCs w:val="22"/>
        </w:rPr>
        <w:t>）符合中小企业划分标准；</w:t>
      </w:r>
      <w:r>
        <w:rPr>
          <w:rFonts w:ascii="宋体"/>
          <w:color w:val="auto"/>
          <w:sz w:val="22"/>
          <w:szCs w:val="22"/>
        </w:rPr>
        <w:br w:type="textWrapping"/>
      </w:r>
      <w:r>
        <w:rPr>
          <w:rFonts w:hint="eastAsia" w:ascii="宋体"/>
          <w:color w:val="auto"/>
          <w:sz w:val="22"/>
          <w:szCs w:val="22"/>
        </w:rPr>
        <w:t>（</w:t>
      </w:r>
      <w:r>
        <w:rPr>
          <w:rFonts w:ascii="宋体"/>
          <w:color w:val="auto"/>
          <w:sz w:val="22"/>
          <w:szCs w:val="22"/>
        </w:rPr>
        <w:t>2</w:t>
      </w:r>
      <w:r>
        <w:rPr>
          <w:rFonts w:hint="eastAsia" w:ascii="宋体"/>
          <w:color w:val="auto"/>
          <w:sz w:val="22"/>
          <w:szCs w:val="22"/>
        </w:rPr>
        <w:t>）提供本企业制造的货物、承担的工程或者服务，或者提供其他中小企业制造的货物。本项所称货物不包括使用大型企业注册商标的货物。</w:t>
      </w:r>
      <w:r>
        <w:rPr>
          <w:rFonts w:ascii="宋体"/>
          <w:color w:val="auto"/>
          <w:sz w:val="22"/>
          <w:szCs w:val="22"/>
        </w:rPr>
        <w:br w:type="textWrapping"/>
      </w:r>
      <w:r>
        <w:rPr>
          <w:rFonts w:ascii="宋体"/>
          <w:color w:val="auto"/>
          <w:sz w:val="22"/>
          <w:szCs w:val="22"/>
        </w:rPr>
        <w:t xml:space="preserve">  </w:t>
      </w:r>
      <w:r>
        <w:rPr>
          <w:rFonts w:hint="eastAsia" w:ascii="宋体"/>
          <w:color w:val="auto"/>
          <w:sz w:val="22"/>
          <w:szCs w:val="22"/>
        </w:rPr>
        <w:t>中小企业划分标准，是指国务院有关部门根据企业从业人员、营业收入、资产总额等指标制定的中小企业划型标准。</w:t>
      </w:r>
      <w:r>
        <w:rPr>
          <w:rFonts w:ascii="宋体"/>
          <w:color w:val="auto"/>
          <w:sz w:val="22"/>
          <w:szCs w:val="22"/>
        </w:rPr>
        <w:br w:type="textWrapping"/>
      </w:r>
      <w:r>
        <w:rPr>
          <w:rFonts w:ascii="宋体"/>
          <w:color w:val="auto"/>
          <w:sz w:val="22"/>
          <w:szCs w:val="22"/>
        </w:rPr>
        <w:t>  </w:t>
      </w:r>
      <w:r>
        <w:rPr>
          <w:rFonts w:hint="eastAsia" w:ascii="宋体"/>
          <w:color w:val="auto"/>
          <w:sz w:val="22"/>
          <w:szCs w:val="22"/>
        </w:rPr>
        <w:t>小型、微型企业提供中型企业制造的货物的，视同为中型企业。</w:t>
      </w:r>
    </w:p>
    <w:p>
      <w:pPr>
        <w:spacing w:line="440" w:lineRule="atLeast"/>
        <w:jc w:val="left"/>
        <w:rPr>
          <w:rFonts w:ascii="宋体"/>
          <w:color w:val="auto"/>
          <w:sz w:val="22"/>
          <w:szCs w:val="22"/>
          <w:u w:val="single"/>
        </w:rPr>
      </w:pPr>
      <w:r>
        <w:rPr>
          <w:rFonts w:hint="eastAsia" w:ascii="宋体"/>
          <w:color w:val="auto"/>
          <w:sz w:val="22"/>
          <w:szCs w:val="22"/>
          <w:u w:val="single"/>
        </w:rPr>
        <w:t>（</w:t>
      </w:r>
      <w:r>
        <w:rPr>
          <w:rFonts w:ascii="宋体"/>
          <w:color w:val="auto"/>
          <w:sz w:val="22"/>
          <w:szCs w:val="22"/>
          <w:u w:val="single"/>
        </w:rPr>
        <w:t>3</w:t>
      </w:r>
      <w:r>
        <w:rPr>
          <w:rFonts w:hint="eastAsia" w:ascii="宋体"/>
          <w:color w:val="auto"/>
          <w:sz w:val="22"/>
          <w:szCs w:val="22"/>
          <w:u w:val="single"/>
        </w:rPr>
        <w:t>）本项目对小型和微型企业产品的价格给予</w:t>
      </w:r>
      <w:r>
        <w:rPr>
          <w:rFonts w:ascii="宋体"/>
          <w:color w:val="auto"/>
          <w:sz w:val="22"/>
          <w:szCs w:val="22"/>
          <w:u w:val="single"/>
        </w:rPr>
        <w:t>6%</w:t>
      </w:r>
      <w:r>
        <w:rPr>
          <w:rFonts w:hint="eastAsia" w:ascii="宋体"/>
          <w:color w:val="auto"/>
          <w:sz w:val="22"/>
          <w:szCs w:val="22"/>
          <w:u w:val="single"/>
        </w:rPr>
        <w:t>的扣除，用扣除后的价格参与评审。</w:t>
      </w:r>
    </w:p>
    <w:p>
      <w:pPr>
        <w:spacing w:line="440" w:lineRule="atLeast"/>
        <w:jc w:val="left"/>
        <w:rPr>
          <w:rFonts w:ascii="宋体"/>
          <w:color w:val="auto"/>
          <w:sz w:val="22"/>
          <w:szCs w:val="22"/>
        </w:rPr>
      </w:pPr>
      <w:r>
        <w:rPr>
          <w:rFonts w:ascii="宋体"/>
          <w:color w:val="auto"/>
          <w:sz w:val="22"/>
          <w:szCs w:val="22"/>
          <w:u w:val="single"/>
        </w:rPr>
        <w:t>3</w:t>
      </w:r>
      <w:r>
        <w:rPr>
          <w:rFonts w:hint="eastAsia" w:ascii="宋体"/>
          <w:color w:val="auto"/>
          <w:sz w:val="22"/>
          <w:szCs w:val="22"/>
          <w:u w:val="single"/>
        </w:rPr>
        <w:t>、享受小微企业价格折扣应提供以下证明材料（附在投标文件技术资信标中，缺一不可）</w:t>
      </w:r>
      <w:r>
        <w:rPr>
          <w:rFonts w:hint="eastAsia" w:ascii="宋体"/>
          <w:color w:val="auto"/>
          <w:sz w:val="22"/>
          <w:szCs w:val="22"/>
        </w:rPr>
        <w:t>：</w:t>
      </w:r>
    </w:p>
    <w:p>
      <w:pPr>
        <w:spacing w:line="440" w:lineRule="atLeast"/>
        <w:jc w:val="left"/>
        <w:rPr>
          <w:rFonts w:ascii="宋体"/>
          <w:color w:val="auto"/>
          <w:sz w:val="22"/>
        </w:rPr>
      </w:pPr>
      <w:r>
        <w:rPr>
          <w:rFonts w:hint="eastAsia" w:ascii="宋体"/>
          <w:color w:val="auto"/>
          <w:sz w:val="22"/>
        </w:rPr>
        <w:t>（</w:t>
      </w:r>
      <w:r>
        <w:rPr>
          <w:rFonts w:ascii="宋体"/>
          <w:color w:val="auto"/>
          <w:sz w:val="22"/>
        </w:rPr>
        <w:t>1</w:t>
      </w:r>
      <w:r>
        <w:rPr>
          <w:rFonts w:hint="eastAsia" w:ascii="宋体"/>
          <w:color w:val="auto"/>
          <w:sz w:val="22"/>
        </w:rPr>
        <w:t>）通过浙江政府采购网申请注册加入政府采购供应商库（不包括公示期内，提供浙江省政府采购网页面截图或其它入库证明材料，加盖供应商公章）</w:t>
      </w:r>
    </w:p>
    <w:p>
      <w:pPr>
        <w:spacing w:line="440" w:lineRule="atLeast"/>
        <w:jc w:val="left"/>
        <w:rPr>
          <w:rFonts w:ascii="宋体"/>
          <w:color w:val="auto"/>
          <w:sz w:val="22"/>
        </w:rPr>
      </w:pPr>
      <w:r>
        <w:rPr>
          <w:rFonts w:hint="eastAsia" w:ascii="宋体"/>
          <w:color w:val="auto"/>
          <w:sz w:val="22"/>
        </w:rPr>
        <w:t>（</w:t>
      </w:r>
      <w:r>
        <w:rPr>
          <w:rFonts w:ascii="宋体"/>
          <w:color w:val="auto"/>
          <w:sz w:val="22"/>
        </w:rPr>
        <w:t>2</w:t>
      </w:r>
      <w:r>
        <w:rPr>
          <w:rFonts w:hint="eastAsia" w:ascii="宋体"/>
          <w:color w:val="auto"/>
          <w:sz w:val="22"/>
        </w:rPr>
        <w:t>）《中小企业声明函》（原件，加盖供应商公章，格式见附件</w:t>
      </w:r>
      <w:r>
        <w:rPr>
          <w:rFonts w:ascii="宋体"/>
          <w:color w:val="auto"/>
          <w:sz w:val="22"/>
        </w:rPr>
        <w:t>1</w:t>
      </w:r>
      <w:r>
        <w:rPr>
          <w:rFonts w:hint="eastAsia" w:ascii="宋体"/>
          <w:color w:val="auto"/>
          <w:sz w:val="22"/>
        </w:rPr>
        <w:t>）</w:t>
      </w:r>
    </w:p>
    <w:p>
      <w:pPr>
        <w:spacing w:line="440" w:lineRule="atLeast"/>
        <w:jc w:val="left"/>
        <w:rPr>
          <w:rFonts w:ascii="宋体"/>
          <w:color w:val="auto"/>
          <w:sz w:val="22"/>
        </w:rPr>
      </w:pPr>
      <w:r>
        <w:rPr>
          <w:rFonts w:hint="eastAsia" w:ascii="宋体"/>
          <w:color w:val="auto"/>
          <w:sz w:val="22"/>
        </w:rPr>
        <w:t>（</w:t>
      </w:r>
      <w:r>
        <w:rPr>
          <w:rFonts w:ascii="宋体"/>
          <w:color w:val="auto"/>
          <w:sz w:val="22"/>
        </w:rPr>
        <w:t>3</w:t>
      </w:r>
      <w:r>
        <w:rPr>
          <w:rFonts w:hint="eastAsia" w:ascii="宋体"/>
          <w:color w:val="auto"/>
          <w:sz w:val="22"/>
        </w:rPr>
        <w:t>）“国家企业信用信息公示系统</w:t>
      </w:r>
      <w:r>
        <w:rPr>
          <w:rFonts w:ascii="宋体"/>
          <w:color w:val="auto"/>
          <w:sz w:val="22"/>
        </w:rPr>
        <w:t>---</w:t>
      </w:r>
      <w:r>
        <w:rPr>
          <w:rFonts w:hint="eastAsia" w:ascii="宋体"/>
          <w:color w:val="auto"/>
          <w:sz w:val="22"/>
        </w:rPr>
        <w:t>小微企业名录”页面查询结果（查询时间应为本项目招标公告发布时间之后）（页面打印加盖供应商公章；格式见招标文件第四部分附件</w:t>
      </w:r>
      <w:r>
        <w:rPr>
          <w:rFonts w:ascii="宋体"/>
          <w:color w:val="auto"/>
          <w:sz w:val="22"/>
        </w:rPr>
        <w:t>2</w:t>
      </w:r>
      <w:r>
        <w:rPr>
          <w:rFonts w:hint="eastAsia" w:ascii="宋体"/>
          <w:color w:val="auto"/>
          <w:sz w:val="22"/>
        </w:rPr>
        <w:t>）不在小微企业名录内的，不享受价格折扣。</w:t>
      </w:r>
    </w:p>
    <w:p>
      <w:pPr>
        <w:pStyle w:val="28"/>
        <w:rPr>
          <w:color w:val="auto"/>
        </w:rPr>
      </w:pPr>
    </w:p>
    <w:p>
      <w:pPr>
        <w:spacing w:line="440" w:lineRule="atLeast"/>
        <w:jc w:val="left"/>
        <w:rPr>
          <w:rFonts w:ascii="宋体"/>
          <w:color w:val="auto"/>
          <w:sz w:val="22"/>
          <w:szCs w:val="22"/>
        </w:rPr>
      </w:pPr>
      <w:r>
        <w:rPr>
          <w:rFonts w:ascii="宋体"/>
          <w:color w:val="auto"/>
          <w:sz w:val="22"/>
          <w:szCs w:val="22"/>
        </w:rPr>
        <w:t>4</w:t>
      </w:r>
      <w:r>
        <w:rPr>
          <w:rFonts w:hint="eastAsia" w:ascii="宋体"/>
          <w:color w:val="auto"/>
          <w:sz w:val="22"/>
          <w:szCs w:val="22"/>
        </w:rPr>
        <w:t>、</w:t>
      </w:r>
      <w:r>
        <w:rPr>
          <w:rFonts w:hint="eastAsia" w:ascii="宋体"/>
          <w:color w:val="auto"/>
          <w:sz w:val="22"/>
          <w:szCs w:val="22"/>
          <w:u w:val="single"/>
        </w:rPr>
        <w:t>享受监狱企业价格折扣应提供以下证明材料（投标文件技术资信标中，不提供的不享受价格折扣）</w:t>
      </w:r>
      <w:r>
        <w:rPr>
          <w:rFonts w:hint="eastAsia" w:ascii="宋体"/>
          <w:color w:val="auto"/>
          <w:sz w:val="22"/>
          <w:szCs w:val="22"/>
        </w:rPr>
        <w:t>：</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1</w:t>
      </w:r>
      <w:r>
        <w:rPr>
          <w:rFonts w:hint="eastAsia" w:ascii="宋体"/>
          <w:color w:val="auto"/>
          <w:sz w:val="22"/>
          <w:szCs w:val="22"/>
        </w:rPr>
        <w:t>）监狱企业参加政府采购活动时，应当提供由省级以上监狱管理局、戒毒管理局</w:t>
      </w:r>
      <w:r>
        <w:rPr>
          <w:rFonts w:ascii="宋体"/>
          <w:color w:val="auto"/>
          <w:sz w:val="22"/>
          <w:szCs w:val="22"/>
        </w:rPr>
        <w:t>(</w:t>
      </w:r>
      <w:r>
        <w:rPr>
          <w:rFonts w:hint="eastAsia" w:ascii="宋体"/>
          <w:color w:val="auto"/>
          <w:sz w:val="22"/>
          <w:szCs w:val="22"/>
        </w:rPr>
        <w:t>含新疆生产建设兵团</w:t>
      </w:r>
      <w:r>
        <w:rPr>
          <w:rFonts w:ascii="宋体"/>
          <w:color w:val="auto"/>
          <w:sz w:val="22"/>
          <w:szCs w:val="22"/>
        </w:rPr>
        <w:t>)</w:t>
      </w:r>
      <w:r>
        <w:rPr>
          <w:rFonts w:hint="eastAsia" w:ascii="宋体"/>
          <w:color w:val="auto"/>
          <w:sz w:val="22"/>
          <w:szCs w:val="22"/>
        </w:rPr>
        <w:t>出具的属于监狱企业的证明文件（原件或复印件加盖公章）。在政府采购活动中，监狱企业视同小型、微型企业，享受评审中价格扣除政策。</w:t>
      </w:r>
    </w:p>
    <w:p>
      <w:pPr>
        <w:spacing w:line="440" w:lineRule="atLeast"/>
        <w:jc w:val="left"/>
        <w:rPr>
          <w:rFonts w:ascii="宋体"/>
          <w:color w:val="auto"/>
          <w:sz w:val="22"/>
          <w:szCs w:val="22"/>
        </w:rPr>
      </w:pPr>
      <w:r>
        <w:rPr>
          <w:rFonts w:ascii="宋体"/>
          <w:color w:val="auto"/>
          <w:sz w:val="22"/>
          <w:szCs w:val="22"/>
        </w:rPr>
        <w:t>5</w:t>
      </w:r>
      <w:r>
        <w:rPr>
          <w:rFonts w:hint="eastAsia" w:ascii="宋体"/>
          <w:color w:val="auto"/>
          <w:sz w:val="22"/>
          <w:szCs w:val="22"/>
        </w:rPr>
        <w:t>、</w:t>
      </w:r>
      <w:r>
        <w:rPr>
          <w:rFonts w:hint="eastAsia" w:ascii="宋体"/>
          <w:color w:val="auto"/>
          <w:sz w:val="22"/>
          <w:szCs w:val="22"/>
          <w:u w:val="single"/>
        </w:rPr>
        <w:t>享受残疾人福利性单位格折扣应提供以下证明材料（投标文件技术资信标中，不提供的不享受价格折扣）</w:t>
      </w:r>
      <w:r>
        <w:rPr>
          <w:rFonts w:hint="eastAsia" w:ascii="宋体"/>
          <w:color w:val="auto"/>
          <w:sz w:val="22"/>
          <w:szCs w:val="22"/>
        </w:rPr>
        <w:t>：</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1</w:t>
      </w:r>
      <w:r>
        <w:rPr>
          <w:rFonts w:hint="eastAsia" w:ascii="宋体"/>
          <w:color w:val="auto"/>
          <w:sz w:val="22"/>
          <w:szCs w:val="22"/>
        </w:rPr>
        <w:t>）残疾人福利性单位声明函；</w:t>
      </w:r>
    </w:p>
    <w:p>
      <w:pPr>
        <w:spacing w:line="440" w:lineRule="atLeast"/>
        <w:jc w:val="left"/>
        <w:rPr>
          <w:rFonts w:ascii="宋体"/>
          <w:color w:val="auto"/>
          <w:sz w:val="22"/>
          <w:szCs w:val="22"/>
        </w:rPr>
      </w:pPr>
      <w:r>
        <w:rPr>
          <w:rFonts w:ascii="宋体"/>
          <w:color w:val="auto"/>
          <w:sz w:val="22"/>
          <w:szCs w:val="22"/>
        </w:rPr>
        <w:t>6</w:t>
      </w:r>
      <w:r>
        <w:rPr>
          <w:rFonts w:hint="eastAsia" w:ascii="宋体"/>
          <w:color w:val="auto"/>
          <w:sz w:val="22"/>
          <w:szCs w:val="22"/>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ascii="宋体"/>
          <w:b/>
          <w:bCs/>
          <w:color w:val="auto"/>
          <w:sz w:val="24"/>
        </w:rPr>
      </w:pPr>
    </w:p>
    <w:p>
      <w:pPr>
        <w:spacing w:line="440" w:lineRule="atLeast"/>
        <w:jc w:val="left"/>
        <w:rPr>
          <w:rFonts w:ascii="宋体"/>
          <w:b/>
          <w:bCs/>
          <w:color w:val="auto"/>
          <w:sz w:val="24"/>
        </w:rPr>
      </w:pPr>
    </w:p>
    <w:p>
      <w:pPr>
        <w:spacing w:line="440" w:lineRule="atLeast"/>
        <w:jc w:val="left"/>
        <w:rPr>
          <w:rFonts w:ascii="宋体"/>
          <w:b/>
          <w:bCs/>
          <w:color w:val="auto"/>
          <w:sz w:val="24"/>
        </w:rPr>
      </w:pPr>
      <w:r>
        <w:rPr>
          <w:rFonts w:hint="eastAsia" w:ascii="宋体"/>
          <w:b/>
          <w:bCs/>
          <w:color w:val="auto"/>
          <w:sz w:val="24"/>
        </w:rPr>
        <w:t>附件</w:t>
      </w:r>
      <w:r>
        <w:rPr>
          <w:rFonts w:ascii="宋体"/>
          <w:b/>
          <w:bCs/>
          <w:color w:val="auto"/>
          <w:sz w:val="24"/>
        </w:rPr>
        <w:t>1</w:t>
      </w:r>
    </w:p>
    <w:p>
      <w:pPr>
        <w:spacing w:line="440" w:lineRule="atLeast"/>
        <w:jc w:val="center"/>
        <w:rPr>
          <w:rFonts w:ascii="宋体"/>
          <w:b/>
          <w:bCs/>
          <w:color w:val="auto"/>
          <w:sz w:val="24"/>
        </w:rPr>
      </w:pPr>
      <w:bookmarkStart w:id="145" w:name="_Toc392_WPSOffice_Level3"/>
      <w:bookmarkStart w:id="146" w:name="_Toc14873_WPSOffice_Level3"/>
      <w:r>
        <w:rPr>
          <w:rFonts w:hint="eastAsia" w:ascii="宋体"/>
          <w:b/>
          <w:bCs/>
          <w:color w:val="auto"/>
          <w:sz w:val="24"/>
        </w:rPr>
        <w:t>中小企业声明函</w:t>
      </w:r>
      <w:bookmarkEnd w:id="145"/>
      <w:bookmarkEnd w:id="146"/>
    </w:p>
    <w:p>
      <w:pPr>
        <w:spacing w:line="440" w:lineRule="atLeast"/>
        <w:ind w:firstLine="446" w:firstLineChars="200"/>
        <w:jc w:val="left"/>
        <w:rPr>
          <w:rFonts w:ascii="宋体"/>
          <w:color w:val="auto"/>
          <w:sz w:val="22"/>
        </w:rPr>
      </w:pPr>
      <w:r>
        <w:rPr>
          <w:rFonts w:hint="eastAsia" w:ascii="宋体"/>
          <w:color w:val="auto"/>
          <w:sz w:val="22"/>
        </w:rPr>
        <w:t>本公司郑重声明，根据《政府采购促进中小企业发展暂行办法》（财库</w:t>
      </w:r>
      <w:r>
        <w:rPr>
          <w:rFonts w:ascii="宋体"/>
          <w:color w:val="auto"/>
          <w:sz w:val="22"/>
        </w:rPr>
        <w:t>[2011]181</w:t>
      </w:r>
      <w:r>
        <w:rPr>
          <w:rFonts w:hint="eastAsia" w:ascii="宋体"/>
          <w:color w:val="auto"/>
          <w:sz w:val="22"/>
        </w:rPr>
        <w:t>号）的规定，本公司为</w:t>
      </w:r>
      <w:r>
        <w:rPr>
          <w:rFonts w:ascii="宋体"/>
          <w:color w:val="auto"/>
          <w:sz w:val="22"/>
        </w:rPr>
        <w:t>______</w:t>
      </w:r>
      <w:r>
        <w:rPr>
          <w:rFonts w:hint="eastAsia" w:ascii="宋体"/>
          <w:color w:val="auto"/>
          <w:sz w:val="22"/>
        </w:rPr>
        <w:t>（请填写：中型、小型、微型）企业。即，本公司同时满足以下条件：</w:t>
      </w:r>
      <w:r>
        <w:rPr>
          <w:rFonts w:ascii="宋体"/>
          <w:color w:val="auto"/>
          <w:sz w:val="22"/>
        </w:rPr>
        <w:br w:type="textWrapping"/>
      </w:r>
      <w:r>
        <w:rPr>
          <w:rFonts w:ascii="宋体"/>
          <w:color w:val="auto"/>
          <w:sz w:val="22"/>
        </w:rPr>
        <w:t>    1.</w:t>
      </w:r>
      <w:r>
        <w:rPr>
          <w:rFonts w:hint="eastAsia" w:ascii="宋体"/>
          <w:color w:val="auto"/>
          <w:sz w:val="22"/>
        </w:rPr>
        <w:t>根据《工业和信息化部、国家统计局、国家发展和改革委员会、财政部关于印发中小企业划型标准规定的通知》（工信部联企业</w:t>
      </w:r>
      <w:r>
        <w:rPr>
          <w:rFonts w:ascii="宋体"/>
          <w:color w:val="auto"/>
          <w:sz w:val="22"/>
        </w:rPr>
        <w:t>[2011]300</w:t>
      </w:r>
      <w:r>
        <w:rPr>
          <w:rFonts w:hint="eastAsia" w:ascii="宋体"/>
          <w:color w:val="auto"/>
          <w:sz w:val="22"/>
        </w:rPr>
        <w:t>号）规定的划分标准，本公司为</w:t>
      </w:r>
      <w:r>
        <w:rPr>
          <w:rFonts w:ascii="宋体"/>
          <w:color w:val="auto"/>
          <w:sz w:val="22"/>
        </w:rPr>
        <w:t>______</w:t>
      </w:r>
      <w:r>
        <w:rPr>
          <w:rFonts w:hint="eastAsia" w:ascii="宋体"/>
          <w:color w:val="auto"/>
          <w:sz w:val="22"/>
        </w:rPr>
        <w:t>（请填写：中型、小型、微型）企业。</w:t>
      </w:r>
      <w:r>
        <w:rPr>
          <w:rFonts w:ascii="宋体"/>
          <w:color w:val="auto"/>
          <w:sz w:val="22"/>
        </w:rPr>
        <w:br w:type="textWrapping"/>
      </w:r>
      <w:r>
        <w:rPr>
          <w:rFonts w:ascii="宋体"/>
          <w:color w:val="auto"/>
          <w:sz w:val="22"/>
        </w:rPr>
        <w:t>    2.</w:t>
      </w:r>
      <w:r>
        <w:rPr>
          <w:rFonts w:hint="eastAsia" w:ascii="宋体"/>
          <w:color w:val="auto"/>
          <w:sz w:val="22"/>
        </w:rPr>
        <w:t>本公司参加</w:t>
      </w:r>
      <w:r>
        <w:rPr>
          <w:rFonts w:ascii="宋体"/>
          <w:color w:val="auto"/>
          <w:sz w:val="22"/>
        </w:rPr>
        <w:t>______</w:t>
      </w:r>
      <w:r>
        <w:rPr>
          <w:rFonts w:hint="eastAsia" w:ascii="宋体"/>
          <w:color w:val="auto"/>
          <w:sz w:val="22"/>
        </w:rPr>
        <w:t>单位的</w:t>
      </w:r>
      <w:r>
        <w:rPr>
          <w:rFonts w:ascii="宋体"/>
          <w:color w:val="auto"/>
          <w:sz w:val="22"/>
        </w:rPr>
        <w:t>______</w:t>
      </w:r>
      <w:r>
        <w:rPr>
          <w:rFonts w:hint="eastAsia" w:ascii="宋体"/>
          <w:color w:val="auto"/>
          <w:sz w:val="22"/>
        </w:rPr>
        <w:t>项目采购活动提供本企业制造的货物，由本企业承担工程、提供服务，或者提供其他</w:t>
      </w:r>
      <w:r>
        <w:rPr>
          <w:rFonts w:ascii="宋体"/>
          <w:color w:val="auto"/>
          <w:sz w:val="22"/>
        </w:rPr>
        <w:t>______</w:t>
      </w:r>
      <w:r>
        <w:rPr>
          <w:rFonts w:hint="eastAsia" w:ascii="宋体"/>
          <w:color w:val="auto"/>
          <w:sz w:val="22"/>
        </w:rPr>
        <w:t>（请填写：中型、小型、微型）企业制造的货物。本条所称货物不包括使用大型企业注册商标的货物。</w:t>
      </w:r>
      <w:r>
        <w:rPr>
          <w:rFonts w:ascii="宋体"/>
          <w:color w:val="auto"/>
          <w:sz w:val="22"/>
        </w:rPr>
        <w:br w:type="textWrapping"/>
      </w:r>
      <w:r>
        <w:rPr>
          <w:rFonts w:ascii="宋体"/>
          <w:color w:val="auto"/>
          <w:sz w:val="22"/>
        </w:rPr>
        <w:t xml:space="preserve">    </w:t>
      </w:r>
      <w:r>
        <w:rPr>
          <w:rFonts w:hint="eastAsia" w:ascii="宋体"/>
          <w:color w:val="auto"/>
          <w:sz w:val="22"/>
        </w:rPr>
        <w:t>本公司对上述声明的真实性负责。如有虚假，将依法承担相应责任。</w:t>
      </w:r>
    </w:p>
    <w:p>
      <w:pPr>
        <w:spacing w:line="440" w:lineRule="atLeast"/>
        <w:jc w:val="left"/>
        <w:rPr>
          <w:rFonts w:ascii="宋体"/>
          <w:color w:val="auto"/>
          <w:sz w:val="22"/>
        </w:rPr>
      </w:pPr>
      <w:r>
        <w:rPr>
          <w:rFonts w:hint="eastAsia" w:ascii="宋体"/>
          <w:color w:val="auto"/>
          <w:sz w:val="22"/>
        </w:rPr>
        <w:t>投标供应商名称（盖章）：</w:t>
      </w:r>
      <w:r>
        <w:rPr>
          <w:rFonts w:ascii="宋体"/>
          <w:color w:val="auto"/>
          <w:sz w:val="22"/>
        </w:rPr>
        <w:t>                </w:t>
      </w:r>
      <w:r>
        <w:rPr>
          <w:rFonts w:ascii="宋体"/>
          <w:color w:val="auto"/>
          <w:sz w:val="22"/>
        </w:rPr>
        <w:br w:type="textWrapping"/>
      </w:r>
      <w:r>
        <w:rPr>
          <w:rFonts w:hint="eastAsia" w:ascii="宋体"/>
          <w:color w:val="auto"/>
          <w:sz w:val="22"/>
        </w:rPr>
        <w:t>日期：</w:t>
      </w:r>
      <w:r>
        <w:rPr>
          <w:rFonts w:ascii="宋体"/>
          <w:color w:val="auto"/>
          <w:sz w:val="22"/>
        </w:rPr>
        <w:t>                             </w:t>
      </w:r>
      <w:r>
        <w:rPr>
          <w:rFonts w:hint="eastAsia" w:ascii="宋体"/>
          <w:color w:val="auto"/>
          <w:sz w:val="22"/>
        </w:rPr>
        <w:t>　　　　　</w:t>
      </w:r>
    </w:p>
    <w:p>
      <w:pPr>
        <w:spacing w:line="440" w:lineRule="atLeast"/>
        <w:jc w:val="left"/>
        <w:rPr>
          <w:rFonts w:ascii="宋体"/>
          <w:color w:val="auto"/>
          <w:sz w:val="22"/>
        </w:rPr>
      </w:pPr>
    </w:p>
    <w:p>
      <w:pPr>
        <w:spacing w:line="440" w:lineRule="atLeast"/>
        <w:jc w:val="left"/>
        <w:rPr>
          <w:rFonts w:ascii="宋体"/>
          <w:color w:val="auto"/>
          <w:sz w:val="22"/>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spacing w:line="440" w:lineRule="atLeast"/>
        <w:rPr>
          <w:rFonts w:ascii="宋体"/>
          <w:b/>
          <w:bCs/>
          <w:color w:val="auto"/>
          <w:sz w:val="24"/>
        </w:rPr>
      </w:pPr>
      <w:r>
        <w:rPr>
          <w:rFonts w:hint="eastAsia" w:ascii="宋体"/>
          <w:b/>
          <w:bCs/>
          <w:color w:val="auto"/>
          <w:sz w:val="24"/>
        </w:rPr>
        <w:t>附件</w:t>
      </w:r>
      <w:r>
        <w:rPr>
          <w:rFonts w:ascii="宋体"/>
          <w:b/>
          <w:bCs/>
          <w:color w:val="auto"/>
          <w:sz w:val="24"/>
        </w:rPr>
        <w:t>2</w:t>
      </w:r>
    </w:p>
    <w:p>
      <w:pPr>
        <w:pStyle w:val="9"/>
        <w:rPr>
          <w:color w:val="auto"/>
        </w:rPr>
      </w:pPr>
    </w:p>
    <w:p>
      <w:pPr>
        <w:spacing w:line="440" w:lineRule="atLeast"/>
        <w:jc w:val="center"/>
        <w:rPr>
          <w:rFonts w:ascii="宋体" w:cs="宋体"/>
          <w:b/>
          <w:color w:val="auto"/>
          <w:sz w:val="24"/>
        </w:rPr>
      </w:pPr>
      <w:r>
        <w:rPr>
          <w:rFonts w:hint="eastAsia" w:ascii="宋体" w:cs="宋体"/>
          <w:b/>
          <w:color w:val="auto"/>
          <w:sz w:val="24"/>
        </w:rPr>
        <w:t>“</w:t>
      </w:r>
      <w:r>
        <w:rPr>
          <w:rFonts w:hint="eastAsia" w:ascii="宋体" w:hAnsi="宋体" w:cs="宋体"/>
          <w:b/>
          <w:color w:val="auto"/>
          <w:sz w:val="24"/>
        </w:rPr>
        <w:t>国家企业信用信息公示系统</w:t>
      </w:r>
      <w:r>
        <w:rPr>
          <w:rFonts w:ascii="宋体" w:cs="宋体"/>
          <w:b/>
          <w:color w:val="auto"/>
          <w:sz w:val="24"/>
        </w:rPr>
        <w:t>---</w:t>
      </w:r>
      <w:r>
        <w:rPr>
          <w:rFonts w:hint="eastAsia" w:ascii="宋体" w:hAnsi="宋体" w:cs="宋体"/>
          <w:b/>
          <w:color w:val="auto"/>
          <w:sz w:val="24"/>
        </w:rPr>
        <w:t>小微企业名录”页面查询结果参考格式</w:t>
      </w:r>
    </w:p>
    <w:p>
      <w:pPr>
        <w:spacing w:before="313" w:beforeLines="100" w:line="440" w:lineRule="atLeast"/>
        <w:ind w:firstLine="446" w:firstLineChars="200"/>
        <w:rPr>
          <w:rFonts w:ascii="宋体" w:cs="宋体"/>
          <w:b/>
          <w:color w:val="auto"/>
          <w:sz w:val="22"/>
          <w:szCs w:val="22"/>
        </w:rPr>
      </w:pPr>
      <w:r>
        <w:rPr>
          <w:rFonts w:ascii="宋体" w:cs="宋体"/>
          <w:color w:val="auto"/>
          <w:sz w:val="22"/>
          <w:szCs w:val="22"/>
        </w:rPr>
        <w:drawing>
          <wp:inline distT="0" distB="0" distL="114300" distR="114300">
            <wp:extent cx="5722620" cy="2278380"/>
            <wp:effectExtent l="0" t="0" r="508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lum/>
                    </a:blip>
                    <a:stretch>
                      <a:fillRect/>
                    </a:stretch>
                  </pic:blipFill>
                  <pic:spPr>
                    <a:xfrm>
                      <a:off x="0" y="0"/>
                      <a:ext cx="5722620" cy="2278380"/>
                    </a:xfrm>
                    <a:prstGeom prst="rect">
                      <a:avLst/>
                    </a:prstGeom>
                    <a:noFill/>
                    <a:ln>
                      <a:noFill/>
                    </a:ln>
                  </pic:spPr>
                </pic:pic>
              </a:graphicData>
            </a:graphic>
          </wp:inline>
        </w:drawing>
      </w:r>
    </w:p>
    <w:p>
      <w:pPr>
        <w:spacing w:line="440" w:lineRule="atLeast"/>
        <w:rPr>
          <w:rFonts w:ascii="宋体" w:cs="宋体"/>
          <w:b/>
          <w:color w:val="auto"/>
          <w:sz w:val="22"/>
          <w:szCs w:val="22"/>
        </w:rPr>
      </w:pPr>
    </w:p>
    <w:p>
      <w:pPr>
        <w:spacing w:line="440" w:lineRule="atLeast"/>
        <w:rPr>
          <w:rFonts w:ascii="宋体" w:cs="宋体"/>
          <w:b/>
          <w:color w:val="auto"/>
          <w:sz w:val="22"/>
          <w:szCs w:val="22"/>
        </w:rPr>
      </w:pPr>
      <w:r>
        <w:rPr>
          <w:rFonts w:hint="eastAsia" w:ascii="宋体" w:hAnsi="宋体" w:cs="宋体"/>
          <w:b/>
          <w:color w:val="auto"/>
          <w:sz w:val="22"/>
          <w:szCs w:val="22"/>
        </w:rPr>
        <w:t>供应商全称（盖章）：</w:t>
      </w:r>
    </w:p>
    <w:p>
      <w:pPr>
        <w:spacing w:line="440" w:lineRule="atLeast"/>
        <w:rPr>
          <w:rFonts w:ascii="宋体" w:cs="宋体"/>
          <w:b/>
          <w:color w:val="auto"/>
          <w:sz w:val="22"/>
          <w:szCs w:val="22"/>
        </w:rPr>
      </w:pPr>
      <w:r>
        <w:rPr>
          <w:rFonts w:hint="eastAsia" w:ascii="宋体" w:hAnsi="宋体" w:cs="宋体"/>
          <w:b/>
          <w:color w:val="auto"/>
          <w:sz w:val="22"/>
          <w:szCs w:val="22"/>
        </w:rPr>
        <w:t>日期</w:t>
      </w:r>
    </w:p>
    <w:p>
      <w:pPr>
        <w:pStyle w:val="9"/>
        <w:rPr>
          <w:color w:val="auto"/>
        </w:rPr>
      </w:pPr>
    </w:p>
    <w:p>
      <w:pPr>
        <w:spacing w:line="440" w:lineRule="atLeast"/>
        <w:rPr>
          <w:rFonts w:ascii="宋体"/>
          <w:b/>
          <w:bCs/>
          <w:color w:val="auto"/>
          <w:sz w:val="24"/>
        </w:rPr>
      </w:pPr>
      <w:r>
        <w:rPr>
          <w:rFonts w:hint="eastAsia" w:ascii="宋体"/>
          <w:b/>
          <w:bCs/>
          <w:color w:val="auto"/>
          <w:sz w:val="24"/>
        </w:rPr>
        <w:t>附件</w:t>
      </w:r>
      <w:r>
        <w:rPr>
          <w:rFonts w:ascii="宋体"/>
          <w:b/>
          <w:bCs/>
          <w:color w:val="auto"/>
          <w:sz w:val="24"/>
        </w:rPr>
        <w:t>3</w:t>
      </w:r>
    </w:p>
    <w:p>
      <w:pPr>
        <w:spacing w:line="440" w:lineRule="atLeast"/>
        <w:jc w:val="center"/>
        <w:rPr>
          <w:rFonts w:ascii="宋体"/>
          <w:b/>
          <w:bCs/>
          <w:color w:val="auto"/>
          <w:sz w:val="24"/>
        </w:rPr>
      </w:pPr>
      <w:bookmarkStart w:id="147" w:name="OLE_LINK13"/>
      <w:bookmarkStart w:id="148" w:name="_Toc1950_WPSOffice_Level3"/>
      <w:bookmarkStart w:id="149" w:name="_Toc14037_WPSOffice_Level3"/>
      <w:bookmarkStart w:id="150" w:name="OLE_LINK14"/>
      <w:r>
        <w:rPr>
          <w:rFonts w:hint="eastAsia" w:ascii="宋体"/>
          <w:b/>
          <w:bCs/>
          <w:color w:val="auto"/>
          <w:sz w:val="24"/>
        </w:rPr>
        <w:t>残疾人福利性单位声明函</w:t>
      </w:r>
      <w:bookmarkEnd w:id="147"/>
      <w:bookmarkEnd w:id="148"/>
      <w:bookmarkEnd w:id="149"/>
      <w:bookmarkEnd w:id="150"/>
    </w:p>
    <w:p>
      <w:pPr>
        <w:spacing w:line="440" w:lineRule="atLeast"/>
        <w:rPr>
          <w:rFonts w:ascii="宋体"/>
          <w:color w:val="auto"/>
          <w:sz w:val="24"/>
        </w:rPr>
      </w:pPr>
    </w:p>
    <w:p>
      <w:pPr>
        <w:spacing w:line="440" w:lineRule="atLeast"/>
        <w:ind w:firstLine="446" w:firstLineChars="200"/>
        <w:rPr>
          <w:rFonts w:ascii="宋体" w:cs="宋体"/>
          <w:bCs/>
          <w:color w:val="auto"/>
          <w:sz w:val="22"/>
          <w:szCs w:val="22"/>
        </w:rPr>
      </w:pPr>
      <w:r>
        <w:rPr>
          <w:rFonts w:hint="eastAsia" w:ascii="宋体" w:hAnsi="宋体" w:cs="宋体"/>
          <w:bCs/>
          <w:color w:val="auto"/>
          <w:sz w:val="22"/>
          <w:szCs w:val="22"/>
        </w:rPr>
        <w:t>本单位郑重声明，根据《财政部</w:t>
      </w:r>
      <w:r>
        <w:rPr>
          <w:rFonts w:ascii="宋体" w:hAnsi="宋体" w:cs="宋体"/>
          <w:bCs/>
          <w:color w:val="auto"/>
          <w:sz w:val="22"/>
          <w:szCs w:val="22"/>
        </w:rPr>
        <w:t xml:space="preserve"> </w:t>
      </w:r>
      <w:r>
        <w:rPr>
          <w:rFonts w:hint="eastAsia" w:ascii="宋体" w:hAnsi="宋体" w:cs="宋体"/>
          <w:bCs/>
          <w:color w:val="auto"/>
          <w:sz w:val="22"/>
          <w:szCs w:val="22"/>
        </w:rPr>
        <w:t>民政部</w:t>
      </w:r>
      <w:r>
        <w:rPr>
          <w:rFonts w:ascii="宋体" w:hAnsi="宋体" w:cs="宋体"/>
          <w:bCs/>
          <w:color w:val="auto"/>
          <w:sz w:val="22"/>
          <w:szCs w:val="22"/>
        </w:rPr>
        <w:t xml:space="preserve"> </w:t>
      </w:r>
      <w:r>
        <w:rPr>
          <w:rFonts w:hint="eastAsia" w:ascii="宋体" w:hAnsi="宋体" w:cs="宋体"/>
          <w:bCs/>
          <w:color w:val="auto"/>
          <w:sz w:val="22"/>
          <w:szCs w:val="22"/>
        </w:rPr>
        <w:t>中国残疾人联合会关于促进残疾人就业政府采购政策的通知》（财库〔</w:t>
      </w:r>
      <w:r>
        <w:rPr>
          <w:rFonts w:ascii="宋体" w:hAnsi="宋体" w:cs="宋体"/>
          <w:bCs/>
          <w:color w:val="auto"/>
          <w:sz w:val="22"/>
          <w:szCs w:val="22"/>
        </w:rPr>
        <w:t>2017</w:t>
      </w:r>
      <w:r>
        <w:rPr>
          <w:rFonts w:hint="eastAsia" w:ascii="宋体" w:hAnsi="宋体" w:cs="宋体"/>
          <w:bCs/>
          <w:color w:val="auto"/>
          <w:sz w:val="22"/>
          <w:szCs w:val="22"/>
        </w:rPr>
        <w:t>〕</w:t>
      </w:r>
      <w:r>
        <w:rPr>
          <w:rFonts w:ascii="宋体" w:hAnsi="宋体" w:cs="宋体"/>
          <w:bCs/>
          <w:color w:val="auto"/>
          <w:sz w:val="22"/>
          <w:szCs w:val="22"/>
        </w:rPr>
        <w:t xml:space="preserve"> 141</w:t>
      </w:r>
      <w:r>
        <w:rPr>
          <w:rFonts w:hint="eastAsia" w:ascii="宋体" w:hAnsi="宋体" w:cs="宋体"/>
          <w:bCs/>
          <w:color w:val="auto"/>
          <w:sz w:val="22"/>
          <w:szCs w:val="22"/>
        </w:rPr>
        <w:t>号）的规定，本单位为符合条件的残疾人福利性单位，且本单位参加</w:t>
      </w:r>
      <w:r>
        <w:rPr>
          <w:rFonts w:ascii="宋体" w:hAnsi="宋体" w:cs="宋体"/>
          <w:bCs/>
          <w:color w:val="auto"/>
          <w:sz w:val="22"/>
          <w:szCs w:val="22"/>
        </w:rPr>
        <w:t>______</w:t>
      </w:r>
      <w:r>
        <w:rPr>
          <w:rFonts w:hint="eastAsia" w:ascii="宋体" w:hAnsi="宋体" w:cs="宋体"/>
          <w:bCs/>
          <w:color w:val="auto"/>
          <w:sz w:val="22"/>
          <w:szCs w:val="22"/>
        </w:rPr>
        <w:t>单位的</w:t>
      </w:r>
      <w:r>
        <w:rPr>
          <w:rFonts w:ascii="宋体" w:hAnsi="宋体" w:cs="宋体"/>
          <w:bCs/>
          <w:color w:val="auto"/>
          <w:sz w:val="22"/>
          <w:szCs w:val="22"/>
        </w:rPr>
        <w:t>______</w:t>
      </w:r>
      <w:r>
        <w:rPr>
          <w:rFonts w:hint="eastAsia" w:ascii="宋体" w:hAnsi="宋体" w:cs="宋体"/>
          <w:bCs/>
          <w:color w:val="auto"/>
          <w:sz w:val="22"/>
          <w:szCs w:val="22"/>
        </w:rPr>
        <w:t>项目采购活动提供本单位制造的货物（由本单位承担工程</w:t>
      </w:r>
      <w:r>
        <w:rPr>
          <w:rFonts w:ascii="宋体" w:hAnsi="宋体" w:cs="宋体"/>
          <w:bCs/>
          <w:color w:val="auto"/>
          <w:sz w:val="22"/>
          <w:szCs w:val="22"/>
        </w:rPr>
        <w:t>/</w:t>
      </w:r>
      <w:r>
        <w:rPr>
          <w:rFonts w:hint="eastAsia" w:ascii="宋体" w:hAnsi="宋体" w:cs="宋体"/>
          <w:bCs/>
          <w:color w:val="auto"/>
          <w:sz w:val="22"/>
          <w:szCs w:val="22"/>
        </w:rPr>
        <w:t>提供服务），或者提供其他残疾人福利性单位制造的货物（不包括使用非残疾人福利性单位注册商标的货物）。</w:t>
      </w:r>
    </w:p>
    <w:p>
      <w:pPr>
        <w:spacing w:line="440" w:lineRule="atLeast"/>
        <w:rPr>
          <w:rFonts w:ascii="宋体" w:cs="宋体"/>
          <w:bCs/>
          <w:color w:val="auto"/>
          <w:sz w:val="22"/>
          <w:szCs w:val="22"/>
        </w:rPr>
      </w:pPr>
      <w:r>
        <w:rPr>
          <w:rFonts w:hint="eastAsia" w:ascii="宋体" w:hAnsi="宋体" w:cs="宋体"/>
          <w:bCs/>
          <w:color w:val="auto"/>
          <w:sz w:val="22"/>
          <w:szCs w:val="22"/>
        </w:rPr>
        <w:t>本单位对上述声明的真实性负责。如有虚假，将依法承担相应责任。</w:t>
      </w:r>
    </w:p>
    <w:p>
      <w:pPr>
        <w:spacing w:line="440" w:lineRule="atLeast"/>
        <w:rPr>
          <w:rFonts w:ascii="宋体" w:cs="宋体"/>
          <w:bCs/>
          <w:color w:val="auto"/>
          <w:sz w:val="22"/>
          <w:szCs w:val="22"/>
        </w:rPr>
      </w:pPr>
    </w:p>
    <w:p>
      <w:pPr>
        <w:spacing w:line="440" w:lineRule="atLeast"/>
        <w:rPr>
          <w:rFonts w:ascii="宋体" w:cs="宋体"/>
          <w:bCs/>
          <w:color w:val="auto"/>
          <w:sz w:val="22"/>
          <w:szCs w:val="22"/>
        </w:rPr>
      </w:pPr>
      <w:bookmarkStart w:id="151" w:name="_Toc1378_WPSOffice_Level3"/>
      <w:bookmarkStart w:id="152" w:name="_Toc30219_WPSOffice_Level3"/>
      <w:r>
        <w:rPr>
          <w:rFonts w:hint="eastAsia" w:ascii="宋体" w:hAnsi="宋体" w:cs="宋体"/>
          <w:bCs/>
          <w:color w:val="auto"/>
          <w:sz w:val="22"/>
          <w:szCs w:val="22"/>
        </w:rPr>
        <w:t>单位名称（盖章）：</w:t>
      </w:r>
      <w:bookmarkEnd w:id="151"/>
      <w:bookmarkEnd w:id="152"/>
    </w:p>
    <w:p>
      <w:pPr>
        <w:spacing w:line="440" w:lineRule="atLeast"/>
        <w:rPr>
          <w:rFonts w:ascii="宋体" w:cs="宋体"/>
          <w:bCs/>
          <w:color w:val="auto"/>
          <w:sz w:val="22"/>
          <w:szCs w:val="22"/>
        </w:rPr>
      </w:pPr>
      <w:bookmarkStart w:id="153" w:name="_Toc24073_WPSOffice_Level3"/>
      <w:bookmarkStart w:id="154" w:name="_Toc11372_WPSOffice_Level3"/>
      <w:r>
        <w:rPr>
          <w:rFonts w:hint="eastAsia" w:ascii="宋体" w:hAnsi="宋体" w:cs="宋体"/>
          <w:bCs/>
          <w:color w:val="auto"/>
          <w:sz w:val="22"/>
          <w:szCs w:val="22"/>
        </w:rPr>
        <w:t>日</w:t>
      </w:r>
      <w:r>
        <w:rPr>
          <w:rFonts w:ascii="宋体" w:hAnsi="宋体" w:cs="宋体"/>
          <w:bCs/>
          <w:color w:val="auto"/>
          <w:sz w:val="22"/>
          <w:szCs w:val="22"/>
        </w:rPr>
        <w:t xml:space="preserve">  </w:t>
      </w:r>
      <w:r>
        <w:rPr>
          <w:rFonts w:hint="eastAsia" w:ascii="宋体" w:hAnsi="宋体" w:cs="宋体"/>
          <w:bCs/>
          <w:color w:val="auto"/>
          <w:sz w:val="22"/>
          <w:szCs w:val="22"/>
        </w:rPr>
        <w:t>期：</w:t>
      </w:r>
      <w:bookmarkEnd w:id="153"/>
      <w:bookmarkEnd w:id="154"/>
    </w:p>
    <w:p>
      <w:pPr>
        <w:spacing w:line="440" w:lineRule="atLeast"/>
        <w:rPr>
          <w:rFonts w:ascii="宋体" w:cs="宋体"/>
          <w:bCs/>
          <w:color w:val="auto"/>
          <w:sz w:val="22"/>
          <w:szCs w:val="22"/>
        </w:rPr>
      </w:pPr>
      <w:r>
        <w:rPr>
          <w:rFonts w:hint="eastAsia" w:ascii="宋体" w:hAnsi="宋体" w:cs="宋体"/>
          <w:bCs/>
          <w:color w:val="auto"/>
          <w:sz w:val="22"/>
          <w:szCs w:val="22"/>
        </w:rPr>
        <w:t>备注说明：</w:t>
      </w:r>
    </w:p>
    <w:p>
      <w:pPr>
        <w:spacing w:line="440" w:lineRule="atLeast"/>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rPr>
        <w:t>、如中标（成交），将在中标（成交）公示中将此残疾人福利性单位声明函予以公示，接受社会监督；</w:t>
      </w:r>
    </w:p>
    <w:p>
      <w:pPr>
        <w:spacing w:line="440" w:lineRule="atLeast"/>
        <w:rPr>
          <w:rFonts w:ascii="宋体"/>
          <w:color w:val="auto"/>
          <w:sz w:val="22"/>
          <w:szCs w:val="22"/>
        </w:rPr>
      </w:pPr>
      <w:r>
        <w:rPr>
          <w:rFonts w:ascii="宋体" w:hAnsi="宋体" w:cs="宋体"/>
          <w:bCs/>
          <w:color w:val="auto"/>
          <w:sz w:val="22"/>
          <w:szCs w:val="22"/>
        </w:rPr>
        <w:t>2</w:t>
      </w:r>
      <w:r>
        <w:rPr>
          <w:rFonts w:hint="eastAsia" w:ascii="宋体" w:hAnsi="宋体" w:cs="宋体"/>
          <w:bCs/>
          <w:color w:val="auto"/>
          <w:sz w:val="22"/>
          <w:szCs w:val="22"/>
        </w:rPr>
        <w:t>、供应商提供的《残疾人福利性单位声明函》与事实不符的，依照《政府采购法》第七十七条第一款的规定追究法律责任。</w:t>
      </w:r>
    </w:p>
    <w:p>
      <w:pPr>
        <w:spacing w:line="440" w:lineRule="atLeast"/>
        <w:jc w:val="left"/>
        <w:rPr>
          <w:rFonts w:ascii="宋体"/>
          <w:b/>
          <w:bCs/>
          <w:color w:val="auto"/>
          <w:sz w:val="22"/>
          <w:szCs w:val="22"/>
        </w:rPr>
      </w:pPr>
      <w:r>
        <w:rPr>
          <w:rFonts w:hint="eastAsia" w:ascii="宋体"/>
          <w:b/>
          <w:bCs/>
          <w:color w:val="auto"/>
          <w:sz w:val="22"/>
          <w:szCs w:val="22"/>
        </w:rPr>
        <w:t>二、节能、环保产品优先（强制）采购政策说明</w:t>
      </w:r>
    </w:p>
    <w:p>
      <w:pPr>
        <w:snapToGrid w:val="0"/>
        <w:spacing w:line="460" w:lineRule="atLeast"/>
        <w:ind w:firstLine="446" w:firstLineChars="200"/>
        <w:rPr>
          <w:rFonts w:ascii="宋体"/>
          <w:color w:val="auto"/>
          <w:sz w:val="22"/>
          <w:szCs w:val="22"/>
        </w:rPr>
      </w:pPr>
      <w:r>
        <w:rPr>
          <w:rFonts w:ascii="宋体"/>
          <w:color w:val="auto"/>
          <w:sz w:val="22"/>
          <w:szCs w:val="22"/>
        </w:rPr>
        <w:t>1、政策依据</w:t>
      </w:r>
    </w:p>
    <w:p>
      <w:pPr>
        <w:snapToGrid w:val="0"/>
        <w:spacing w:line="460" w:lineRule="atLeast"/>
        <w:ind w:firstLine="446" w:firstLineChars="200"/>
        <w:rPr>
          <w:rFonts w:ascii="宋体"/>
          <w:color w:val="auto"/>
          <w:sz w:val="22"/>
          <w:szCs w:val="22"/>
        </w:rPr>
      </w:pPr>
      <w:r>
        <w:rPr>
          <w:rFonts w:hint="eastAsia" w:ascii="宋体"/>
          <w:color w:val="auto"/>
          <w:sz w:val="22"/>
          <w:szCs w:val="22"/>
        </w:rPr>
        <w:t>（一）《国务院办公厅关于建立政府强制采购节能产品制度的通知》</w:t>
      </w:r>
      <w:r>
        <w:rPr>
          <w:rFonts w:ascii="宋体"/>
          <w:color w:val="auto"/>
          <w:sz w:val="22"/>
          <w:szCs w:val="22"/>
        </w:rPr>
        <w:t>(国办发[2007]51号)</w:t>
      </w:r>
    </w:p>
    <w:p>
      <w:pPr>
        <w:snapToGrid w:val="0"/>
        <w:spacing w:line="460" w:lineRule="atLeast"/>
        <w:ind w:firstLine="446" w:firstLineChars="200"/>
        <w:rPr>
          <w:rFonts w:ascii="宋体"/>
          <w:color w:val="auto"/>
          <w:sz w:val="22"/>
          <w:szCs w:val="22"/>
        </w:rPr>
      </w:pPr>
      <w:r>
        <w:rPr>
          <w:rFonts w:hint="eastAsia" w:ascii="宋体"/>
          <w:color w:val="auto"/>
          <w:sz w:val="22"/>
          <w:szCs w:val="22"/>
        </w:rPr>
        <w:t>（二）财政部、发展改革委发布的《节能产品政府采购实施意见》</w:t>
      </w:r>
      <w:r>
        <w:rPr>
          <w:rFonts w:ascii="宋体"/>
          <w:color w:val="auto"/>
          <w:sz w:val="22"/>
          <w:szCs w:val="22"/>
        </w:rPr>
        <w:t>(财库[2004]185号)</w:t>
      </w:r>
    </w:p>
    <w:p>
      <w:pPr>
        <w:snapToGrid w:val="0"/>
        <w:spacing w:line="460" w:lineRule="atLeast"/>
        <w:ind w:firstLine="446" w:firstLineChars="200"/>
        <w:rPr>
          <w:rFonts w:ascii="宋体"/>
          <w:color w:val="auto"/>
          <w:sz w:val="22"/>
          <w:szCs w:val="22"/>
        </w:rPr>
      </w:pPr>
      <w:r>
        <w:rPr>
          <w:rFonts w:hint="eastAsia" w:ascii="宋体"/>
          <w:color w:val="auto"/>
          <w:sz w:val="22"/>
          <w:szCs w:val="22"/>
        </w:rPr>
        <w:t>（三）财政部、原环保总局印发的《环境标志产品政府采购实施的意见》（财库</w:t>
      </w:r>
      <w:r>
        <w:rPr>
          <w:rFonts w:ascii="宋体"/>
          <w:color w:val="auto"/>
          <w:sz w:val="22"/>
          <w:szCs w:val="22"/>
        </w:rPr>
        <w:t xml:space="preserve"> [2006]90号）</w:t>
      </w:r>
    </w:p>
    <w:p>
      <w:pPr>
        <w:snapToGrid w:val="0"/>
        <w:spacing w:line="460" w:lineRule="atLeast"/>
        <w:ind w:firstLine="446" w:firstLineChars="200"/>
        <w:rPr>
          <w:rFonts w:ascii="宋体"/>
          <w:color w:val="auto"/>
          <w:sz w:val="22"/>
          <w:szCs w:val="22"/>
        </w:rPr>
      </w:pPr>
      <w:r>
        <w:rPr>
          <w:rFonts w:hint="eastAsia" w:ascii="宋体"/>
          <w:color w:val="auto"/>
          <w:sz w:val="22"/>
          <w:szCs w:val="22"/>
        </w:rPr>
        <w:t>（四）《关于调整优化节能产品、环境标志产品政府采购执行机制的通知》（财库〔</w:t>
      </w:r>
      <w:r>
        <w:rPr>
          <w:rFonts w:ascii="宋体"/>
          <w:color w:val="auto"/>
          <w:sz w:val="22"/>
          <w:szCs w:val="22"/>
        </w:rPr>
        <w:t>2019〕9号</w:t>
      </w:r>
      <w:r>
        <w:rPr>
          <w:rFonts w:hint="eastAsia" w:ascii="宋体"/>
          <w:color w:val="auto"/>
          <w:sz w:val="22"/>
          <w:szCs w:val="22"/>
        </w:rPr>
        <w:t>）</w:t>
      </w:r>
    </w:p>
    <w:p>
      <w:pPr>
        <w:snapToGrid w:val="0"/>
        <w:spacing w:line="460" w:lineRule="atLeast"/>
        <w:ind w:firstLine="446" w:firstLineChars="200"/>
        <w:rPr>
          <w:rFonts w:ascii="宋体"/>
          <w:color w:val="auto"/>
          <w:sz w:val="22"/>
          <w:szCs w:val="22"/>
        </w:rPr>
      </w:pPr>
      <w:r>
        <w:rPr>
          <w:rFonts w:hint="eastAsia" w:ascii="宋体"/>
          <w:color w:val="auto"/>
          <w:sz w:val="22"/>
          <w:szCs w:val="22"/>
        </w:rPr>
        <w:t>（五）《关于印发节能产品政府采购品目清单的通知》（财库〔</w:t>
      </w:r>
      <w:r>
        <w:rPr>
          <w:rFonts w:ascii="宋体"/>
          <w:color w:val="auto"/>
          <w:sz w:val="22"/>
          <w:szCs w:val="22"/>
        </w:rPr>
        <w:t>2019〕1</w:t>
      </w:r>
      <w:r>
        <w:rPr>
          <w:rFonts w:hint="eastAsia" w:ascii="宋体"/>
          <w:color w:val="auto"/>
          <w:sz w:val="22"/>
          <w:szCs w:val="22"/>
        </w:rPr>
        <w:t>9</w:t>
      </w:r>
      <w:r>
        <w:rPr>
          <w:rFonts w:ascii="宋体"/>
          <w:color w:val="auto"/>
          <w:sz w:val="22"/>
          <w:szCs w:val="22"/>
        </w:rPr>
        <w:t>号</w:t>
      </w:r>
      <w:r>
        <w:rPr>
          <w:rFonts w:hint="eastAsia" w:ascii="宋体"/>
          <w:color w:val="auto"/>
          <w:sz w:val="22"/>
          <w:szCs w:val="22"/>
        </w:rPr>
        <w:t>）</w:t>
      </w:r>
    </w:p>
    <w:p>
      <w:pPr>
        <w:snapToGrid w:val="0"/>
        <w:spacing w:line="460" w:lineRule="atLeast"/>
        <w:ind w:firstLine="446" w:firstLineChars="200"/>
        <w:rPr>
          <w:rFonts w:ascii="宋体"/>
          <w:color w:val="auto"/>
          <w:sz w:val="22"/>
          <w:szCs w:val="22"/>
        </w:rPr>
      </w:pPr>
      <w:r>
        <w:rPr>
          <w:rFonts w:hint="eastAsia" w:ascii="宋体"/>
          <w:color w:val="auto"/>
          <w:sz w:val="22"/>
          <w:szCs w:val="22"/>
        </w:rPr>
        <w:t>（六）《关于印发环境标志产品政府采购品目清单的通知》（财库〔</w:t>
      </w:r>
      <w:r>
        <w:rPr>
          <w:rFonts w:ascii="宋体"/>
          <w:color w:val="auto"/>
          <w:sz w:val="22"/>
          <w:szCs w:val="22"/>
        </w:rPr>
        <w:t>2019〕18号</w:t>
      </w:r>
      <w:r>
        <w:rPr>
          <w:rFonts w:hint="eastAsia" w:ascii="宋体"/>
          <w:color w:val="auto"/>
          <w:sz w:val="22"/>
          <w:szCs w:val="22"/>
        </w:rPr>
        <w:t>）</w:t>
      </w:r>
    </w:p>
    <w:p>
      <w:pPr>
        <w:snapToGrid w:val="0"/>
        <w:spacing w:line="460" w:lineRule="atLeast"/>
        <w:ind w:firstLine="446" w:firstLineChars="200"/>
        <w:rPr>
          <w:rFonts w:ascii="宋体"/>
          <w:color w:val="auto"/>
          <w:sz w:val="22"/>
          <w:szCs w:val="22"/>
        </w:rPr>
      </w:pPr>
      <w:r>
        <w:rPr>
          <w:rFonts w:hint="eastAsia" w:ascii="宋体"/>
          <w:color w:val="auto"/>
          <w:sz w:val="22"/>
          <w:szCs w:val="22"/>
        </w:rPr>
        <w:t>（七）《市场监管总局关于发布参与实施政府采购节能产品、环境标志产品认证机构名录的公告》（</w:t>
      </w:r>
      <w:r>
        <w:rPr>
          <w:rFonts w:ascii="宋体"/>
          <w:color w:val="auto"/>
          <w:sz w:val="22"/>
          <w:szCs w:val="22"/>
        </w:rPr>
        <w:t>2019年第16号</w:t>
      </w:r>
      <w:r>
        <w:rPr>
          <w:rFonts w:hint="eastAsia" w:ascii="宋体"/>
          <w:color w:val="auto"/>
          <w:sz w:val="22"/>
          <w:szCs w:val="22"/>
        </w:rPr>
        <w:t>）</w:t>
      </w:r>
    </w:p>
    <w:p>
      <w:pPr>
        <w:snapToGrid w:val="0"/>
        <w:spacing w:line="460" w:lineRule="atLeast"/>
        <w:ind w:firstLine="446" w:firstLineChars="200"/>
        <w:jc w:val="center"/>
        <w:rPr>
          <w:rFonts w:ascii="宋体" w:cs="宋体"/>
          <w:color w:val="auto"/>
          <w:sz w:val="22"/>
        </w:rPr>
      </w:pPr>
      <w:r>
        <w:rPr>
          <w:rFonts w:hint="eastAsia" w:ascii="宋体"/>
          <w:color w:val="auto"/>
          <w:sz w:val="22"/>
          <w:szCs w:val="22"/>
        </w:rPr>
        <w:t>2</w:t>
      </w:r>
      <w:r>
        <w:rPr>
          <w:rFonts w:ascii="宋体"/>
          <w:color w:val="auto"/>
          <w:sz w:val="22"/>
          <w:szCs w:val="22"/>
        </w:rPr>
        <w:t>、供应商投标货物属于节能、环保优先（强制）采购范围的，须提供相关证明材料。</w:t>
      </w:r>
    </w:p>
    <w:p>
      <w:pPr>
        <w:pStyle w:val="9"/>
        <w:spacing w:line="480" w:lineRule="exact"/>
        <w:rPr>
          <w:rFonts w:ascii="宋体" w:cs="宋体"/>
          <w:color w:val="auto"/>
          <w:sz w:val="22"/>
        </w:rPr>
      </w:pPr>
    </w:p>
    <w:p>
      <w:pPr>
        <w:snapToGrid w:val="0"/>
        <w:spacing w:line="440" w:lineRule="atLeast"/>
        <w:jc w:val="center"/>
        <w:rPr>
          <w:rFonts w:ascii="宋体"/>
          <w:b/>
          <w:bCs/>
          <w:color w:val="auto"/>
          <w:sz w:val="32"/>
          <w:szCs w:val="32"/>
        </w:rPr>
      </w:pPr>
    </w:p>
    <w:p>
      <w:pPr>
        <w:snapToGrid w:val="0"/>
        <w:spacing w:line="440" w:lineRule="atLeast"/>
        <w:jc w:val="center"/>
        <w:rPr>
          <w:rFonts w:ascii="宋体"/>
          <w:b/>
          <w:bCs/>
          <w:color w:val="auto"/>
          <w:sz w:val="32"/>
          <w:szCs w:val="32"/>
        </w:rPr>
      </w:pPr>
    </w:p>
    <w:p>
      <w:pPr>
        <w:snapToGrid w:val="0"/>
        <w:spacing w:line="440" w:lineRule="atLeast"/>
        <w:jc w:val="center"/>
        <w:rPr>
          <w:rFonts w:ascii="宋体"/>
          <w:b/>
          <w:bCs/>
          <w:color w:val="auto"/>
          <w:sz w:val="32"/>
          <w:szCs w:val="32"/>
        </w:rPr>
      </w:pPr>
    </w:p>
    <w:p>
      <w:pPr>
        <w:snapToGrid w:val="0"/>
        <w:spacing w:line="440" w:lineRule="atLeast"/>
        <w:jc w:val="center"/>
        <w:rPr>
          <w:rFonts w:ascii="宋体"/>
          <w:b/>
          <w:bCs/>
          <w:color w:val="auto"/>
          <w:sz w:val="32"/>
          <w:szCs w:val="32"/>
        </w:rPr>
      </w:pPr>
    </w:p>
    <w:p>
      <w:pPr>
        <w:snapToGrid w:val="0"/>
        <w:spacing w:line="440" w:lineRule="atLeast"/>
        <w:jc w:val="center"/>
        <w:rPr>
          <w:rFonts w:ascii="宋体"/>
          <w:b/>
          <w:bCs/>
          <w:color w:val="auto"/>
          <w:sz w:val="32"/>
          <w:szCs w:val="32"/>
        </w:rPr>
      </w:pPr>
    </w:p>
    <w:p>
      <w:pPr>
        <w:snapToGrid w:val="0"/>
        <w:spacing w:line="440" w:lineRule="atLeast"/>
        <w:jc w:val="center"/>
        <w:rPr>
          <w:rFonts w:ascii="宋体"/>
          <w:b/>
          <w:bCs/>
          <w:color w:val="auto"/>
          <w:sz w:val="32"/>
          <w:szCs w:val="32"/>
        </w:rPr>
      </w:pPr>
    </w:p>
    <w:p>
      <w:pPr>
        <w:snapToGrid w:val="0"/>
        <w:spacing w:line="440" w:lineRule="atLeast"/>
        <w:jc w:val="center"/>
        <w:rPr>
          <w:rFonts w:ascii="宋体"/>
          <w:b/>
          <w:bCs/>
          <w:color w:val="auto"/>
          <w:sz w:val="32"/>
          <w:szCs w:val="32"/>
        </w:rPr>
      </w:pPr>
    </w:p>
    <w:p>
      <w:pPr>
        <w:snapToGrid w:val="0"/>
        <w:spacing w:line="440" w:lineRule="atLeast"/>
        <w:jc w:val="center"/>
        <w:rPr>
          <w:rFonts w:ascii="宋体"/>
          <w:b/>
          <w:bCs/>
          <w:color w:val="auto"/>
          <w:sz w:val="32"/>
          <w:szCs w:val="32"/>
        </w:rPr>
      </w:pPr>
    </w:p>
    <w:p>
      <w:pPr>
        <w:snapToGrid w:val="0"/>
        <w:spacing w:line="440" w:lineRule="atLeast"/>
        <w:jc w:val="center"/>
        <w:rPr>
          <w:rFonts w:ascii="宋体"/>
          <w:b/>
          <w:bCs/>
          <w:color w:val="auto"/>
          <w:sz w:val="32"/>
          <w:szCs w:val="32"/>
        </w:rPr>
      </w:pPr>
    </w:p>
    <w:p>
      <w:pPr>
        <w:snapToGrid w:val="0"/>
        <w:spacing w:line="440" w:lineRule="atLeast"/>
        <w:jc w:val="center"/>
        <w:rPr>
          <w:rFonts w:ascii="宋体"/>
          <w:b/>
          <w:bCs/>
          <w:color w:val="auto"/>
          <w:sz w:val="32"/>
          <w:szCs w:val="32"/>
        </w:rPr>
      </w:pPr>
    </w:p>
    <w:p>
      <w:pPr>
        <w:snapToGrid w:val="0"/>
        <w:spacing w:line="440" w:lineRule="atLeast"/>
        <w:jc w:val="center"/>
        <w:rPr>
          <w:rFonts w:ascii="宋体"/>
          <w:b/>
          <w:bCs/>
          <w:color w:val="auto"/>
          <w:sz w:val="32"/>
          <w:szCs w:val="32"/>
        </w:rPr>
      </w:pPr>
    </w:p>
    <w:p>
      <w:pPr>
        <w:snapToGrid w:val="0"/>
        <w:spacing w:line="440" w:lineRule="atLeast"/>
        <w:jc w:val="center"/>
        <w:rPr>
          <w:rFonts w:hint="eastAsia" w:ascii="宋体"/>
          <w:b/>
          <w:bCs/>
          <w:color w:val="auto"/>
          <w:sz w:val="32"/>
          <w:szCs w:val="32"/>
        </w:rPr>
      </w:pPr>
    </w:p>
    <w:p>
      <w:pPr>
        <w:snapToGrid w:val="0"/>
        <w:spacing w:line="440" w:lineRule="atLeast"/>
        <w:jc w:val="center"/>
        <w:rPr>
          <w:rFonts w:hint="eastAsia" w:ascii="宋体"/>
          <w:b/>
          <w:bCs/>
          <w:color w:val="auto"/>
          <w:sz w:val="32"/>
          <w:szCs w:val="32"/>
        </w:rPr>
      </w:pPr>
    </w:p>
    <w:p>
      <w:pPr>
        <w:snapToGrid w:val="0"/>
        <w:spacing w:line="440" w:lineRule="atLeast"/>
        <w:jc w:val="center"/>
        <w:rPr>
          <w:rFonts w:hint="eastAsia" w:ascii="宋体"/>
          <w:b/>
          <w:bCs/>
          <w:color w:val="auto"/>
          <w:sz w:val="32"/>
          <w:szCs w:val="32"/>
        </w:rPr>
      </w:pPr>
    </w:p>
    <w:p>
      <w:pPr>
        <w:snapToGrid w:val="0"/>
        <w:spacing w:line="440" w:lineRule="atLeast"/>
        <w:jc w:val="center"/>
        <w:rPr>
          <w:rFonts w:hint="eastAsia" w:ascii="宋体"/>
          <w:b/>
          <w:bCs/>
          <w:color w:val="auto"/>
          <w:sz w:val="32"/>
          <w:szCs w:val="32"/>
        </w:rPr>
      </w:pPr>
    </w:p>
    <w:p>
      <w:pPr>
        <w:snapToGrid w:val="0"/>
        <w:spacing w:line="440" w:lineRule="atLeast"/>
        <w:jc w:val="center"/>
        <w:rPr>
          <w:rFonts w:hint="eastAsia" w:ascii="宋体"/>
          <w:b/>
          <w:bCs/>
          <w:color w:val="auto"/>
          <w:sz w:val="32"/>
          <w:szCs w:val="32"/>
        </w:rPr>
      </w:pPr>
    </w:p>
    <w:p>
      <w:pPr>
        <w:snapToGrid w:val="0"/>
        <w:spacing w:line="440" w:lineRule="atLeast"/>
        <w:jc w:val="center"/>
        <w:rPr>
          <w:rFonts w:hint="eastAsia" w:ascii="宋体"/>
          <w:b/>
          <w:bCs/>
          <w:color w:val="auto"/>
          <w:sz w:val="32"/>
          <w:szCs w:val="32"/>
        </w:rPr>
      </w:pPr>
    </w:p>
    <w:p>
      <w:pPr>
        <w:snapToGrid w:val="0"/>
        <w:spacing w:line="440" w:lineRule="atLeast"/>
        <w:jc w:val="center"/>
        <w:rPr>
          <w:rFonts w:hAnsi="宋体"/>
          <w:color w:val="auto"/>
          <w:sz w:val="24"/>
        </w:rPr>
      </w:pPr>
      <w:r>
        <w:rPr>
          <w:rFonts w:hint="eastAsia" w:ascii="宋体"/>
          <w:b/>
          <w:bCs/>
          <w:color w:val="auto"/>
          <w:sz w:val="32"/>
          <w:szCs w:val="32"/>
        </w:rPr>
        <w:t>第五部分</w:t>
      </w:r>
      <w:r>
        <w:rPr>
          <w:rFonts w:ascii="宋体"/>
          <w:b/>
          <w:bCs/>
          <w:color w:val="auto"/>
          <w:sz w:val="32"/>
          <w:szCs w:val="32"/>
        </w:rPr>
        <w:t xml:space="preserve">  </w:t>
      </w:r>
      <w:r>
        <w:rPr>
          <w:rFonts w:hint="eastAsia" w:ascii="宋体"/>
          <w:b/>
          <w:bCs/>
          <w:color w:val="auto"/>
          <w:sz w:val="32"/>
          <w:szCs w:val="32"/>
        </w:rPr>
        <w:t>合同格式</w:t>
      </w:r>
      <w:r>
        <w:rPr>
          <w:rFonts w:hAnsi="宋体"/>
          <w:color w:val="auto"/>
          <w:sz w:val="24"/>
        </w:rPr>
        <w:t xml:space="preserve">                     </w:t>
      </w:r>
    </w:p>
    <w:p>
      <w:pPr>
        <w:tabs>
          <w:tab w:val="left" w:pos="1230"/>
        </w:tabs>
        <w:spacing w:line="400" w:lineRule="exact"/>
        <w:rPr>
          <w:rFonts w:hint="eastAsia" w:ascii="宋体" w:hAnsi="宋体" w:eastAsia="宋体"/>
          <w:b/>
          <w:color w:val="auto"/>
          <w:sz w:val="22"/>
          <w:lang w:eastAsia="zh-CN"/>
        </w:rPr>
      </w:pPr>
      <w:r>
        <w:rPr>
          <w:rFonts w:hint="eastAsia" w:ascii="宋体" w:hAnsi="宋体"/>
          <w:b/>
          <w:color w:val="auto"/>
          <w:spacing w:val="83"/>
          <w:kern w:val="0"/>
          <w:sz w:val="22"/>
        </w:rPr>
        <w:t>甲方</w:t>
      </w:r>
      <w:r>
        <w:rPr>
          <w:rFonts w:hint="eastAsia" w:ascii="宋体" w:hAnsi="宋体"/>
          <w:b/>
          <w:color w:val="auto"/>
          <w:sz w:val="22"/>
        </w:rPr>
        <w:t>：</w:t>
      </w:r>
      <w:r>
        <w:rPr>
          <w:rFonts w:hint="eastAsia" w:ascii="宋体" w:hAnsi="宋体"/>
          <w:b/>
          <w:color w:val="auto"/>
          <w:sz w:val="22"/>
          <w:u w:val="single"/>
          <w:lang w:eastAsia="zh-CN"/>
        </w:rPr>
        <w:t>泰顺县水利局</w:t>
      </w:r>
    </w:p>
    <w:p>
      <w:pPr>
        <w:tabs>
          <w:tab w:val="left" w:pos="1230"/>
        </w:tabs>
        <w:spacing w:line="400" w:lineRule="exact"/>
        <w:rPr>
          <w:rFonts w:ascii="宋体" w:hAnsi="宋体"/>
          <w:bCs/>
          <w:color w:val="auto"/>
          <w:sz w:val="22"/>
        </w:rPr>
      </w:pPr>
      <w:r>
        <w:rPr>
          <w:rFonts w:hint="eastAsia" w:ascii="宋体" w:hAnsi="宋体"/>
          <w:b/>
          <w:color w:val="auto"/>
          <w:sz w:val="22"/>
        </w:rPr>
        <w:t>乙 方：</w:t>
      </w:r>
      <w:r>
        <w:rPr>
          <w:rFonts w:hint="eastAsia" w:ascii="宋体" w:hAnsi="宋体"/>
          <w:b/>
          <w:color w:val="auto"/>
          <w:sz w:val="22"/>
          <w:u w:val="single"/>
        </w:rPr>
        <w:t>　本次中标供应商</w:t>
      </w:r>
    </w:p>
    <w:p>
      <w:pPr>
        <w:snapToGrid w:val="0"/>
        <w:spacing w:line="400" w:lineRule="atLeast"/>
        <w:ind w:firstLine="570"/>
        <w:rPr>
          <w:rFonts w:hAnsi="宋体"/>
          <w:b/>
          <w:bCs/>
          <w:color w:val="auto"/>
          <w:sz w:val="22"/>
        </w:rPr>
      </w:pPr>
      <w:r>
        <w:rPr>
          <w:rFonts w:hint="eastAsia" w:hAnsi="宋体"/>
          <w:color w:val="auto"/>
          <w:sz w:val="22"/>
        </w:rPr>
        <w:t>双方经协商，就乙方向甲方提供本公司产品以及相关产品的伴随服务事宜达成以下条款：</w:t>
      </w:r>
    </w:p>
    <w:p>
      <w:pPr>
        <w:snapToGrid w:val="0"/>
        <w:spacing w:line="400" w:lineRule="atLeast"/>
        <w:rPr>
          <w:rFonts w:hAnsi="宋体"/>
          <w:b/>
          <w:bCs/>
          <w:color w:val="auto"/>
          <w:sz w:val="22"/>
        </w:rPr>
      </w:pPr>
      <w:r>
        <w:rPr>
          <w:rFonts w:hint="eastAsia" w:hAnsi="宋体"/>
          <w:color w:val="auto"/>
          <w:sz w:val="22"/>
        </w:rPr>
        <w:t>第一条：</w:t>
      </w:r>
      <w:r>
        <w:rPr>
          <w:rFonts w:hint="eastAsia" w:hAnsi="宋体"/>
          <w:color w:val="auto"/>
          <w:sz w:val="22"/>
          <w:lang w:val="en-US" w:eastAsia="zh-CN"/>
        </w:rPr>
        <w:t>合同</w:t>
      </w:r>
      <w:r>
        <w:rPr>
          <w:rFonts w:hint="eastAsia" w:hAnsi="宋体"/>
          <w:color w:val="auto"/>
          <w:sz w:val="22"/>
        </w:rPr>
        <w:t>清单及合同价格</w:t>
      </w:r>
    </w:p>
    <w:p>
      <w:pPr>
        <w:snapToGrid w:val="0"/>
        <w:spacing w:line="400" w:lineRule="atLeast"/>
        <w:ind w:firstLine="540"/>
        <w:rPr>
          <w:rFonts w:ascii="宋体"/>
          <w:color w:val="auto"/>
          <w:sz w:val="22"/>
        </w:rPr>
      </w:pPr>
      <w:r>
        <w:rPr>
          <w:rFonts w:hint="eastAsia" w:ascii="宋体"/>
          <w:color w:val="auto"/>
          <w:sz w:val="22"/>
        </w:rPr>
        <w:t>乙方保证提供如下内容</w:t>
      </w:r>
      <w:r>
        <w:rPr>
          <w:rFonts w:hint="eastAsia" w:ascii="宋体"/>
          <w:color w:val="auto"/>
          <w:sz w:val="22"/>
          <w:lang w:val="en-US" w:eastAsia="zh-CN"/>
        </w:rPr>
        <w:t>服务</w:t>
      </w:r>
      <w:r>
        <w:rPr>
          <w:rFonts w:hint="eastAsia" w:ascii="宋体"/>
          <w:color w:val="auto"/>
          <w:sz w:val="22"/>
        </w:rPr>
        <w:t>：        金额单位：人民币元</w:t>
      </w:r>
    </w:p>
    <w:tbl>
      <w:tblPr>
        <w:tblStyle w:val="21"/>
        <w:tblW w:w="94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67"/>
        <w:gridCol w:w="2713"/>
        <w:gridCol w:w="1128"/>
        <w:gridCol w:w="1129"/>
        <w:gridCol w:w="11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2267" w:type="dxa"/>
            <w:vAlign w:val="center"/>
          </w:tcPr>
          <w:p>
            <w:pPr>
              <w:snapToGrid w:val="0"/>
              <w:spacing w:line="400" w:lineRule="atLeast"/>
              <w:ind w:firstLine="240"/>
              <w:jc w:val="center"/>
              <w:rPr>
                <w:rFonts w:ascii="宋体"/>
                <w:color w:val="auto"/>
                <w:sz w:val="22"/>
              </w:rPr>
            </w:pPr>
            <w:r>
              <w:rPr>
                <w:rFonts w:hint="eastAsia" w:ascii="宋体"/>
                <w:color w:val="auto"/>
                <w:sz w:val="22"/>
              </w:rPr>
              <w:t>名称</w:t>
            </w:r>
          </w:p>
        </w:tc>
        <w:tc>
          <w:tcPr>
            <w:tcW w:w="2713" w:type="dxa"/>
            <w:vAlign w:val="center"/>
          </w:tcPr>
          <w:p>
            <w:pPr>
              <w:snapToGrid w:val="0"/>
              <w:spacing w:line="400" w:lineRule="atLeast"/>
              <w:jc w:val="center"/>
              <w:rPr>
                <w:rFonts w:ascii="宋体"/>
                <w:color w:val="auto"/>
                <w:sz w:val="22"/>
              </w:rPr>
            </w:pPr>
            <w:r>
              <w:rPr>
                <w:rFonts w:hint="eastAsia" w:ascii="宋体"/>
                <w:color w:val="auto"/>
                <w:sz w:val="22"/>
              </w:rPr>
              <w:t>规格和主要配置</w:t>
            </w:r>
          </w:p>
        </w:tc>
        <w:tc>
          <w:tcPr>
            <w:tcW w:w="1128" w:type="dxa"/>
            <w:vAlign w:val="center"/>
          </w:tcPr>
          <w:p>
            <w:pPr>
              <w:snapToGrid w:val="0"/>
              <w:spacing w:line="400" w:lineRule="atLeast"/>
              <w:jc w:val="center"/>
              <w:rPr>
                <w:rFonts w:ascii="宋体"/>
                <w:color w:val="auto"/>
                <w:sz w:val="22"/>
              </w:rPr>
            </w:pPr>
            <w:r>
              <w:rPr>
                <w:rFonts w:hint="eastAsia" w:ascii="宋体"/>
                <w:color w:val="auto"/>
                <w:sz w:val="22"/>
              </w:rPr>
              <w:t>数量</w:t>
            </w:r>
          </w:p>
        </w:tc>
        <w:tc>
          <w:tcPr>
            <w:tcW w:w="1129" w:type="dxa"/>
            <w:vAlign w:val="center"/>
          </w:tcPr>
          <w:p>
            <w:pPr>
              <w:snapToGrid w:val="0"/>
              <w:spacing w:line="400" w:lineRule="atLeast"/>
              <w:jc w:val="center"/>
              <w:rPr>
                <w:rFonts w:hint="eastAsia" w:ascii="宋体" w:eastAsia="宋体"/>
                <w:color w:val="auto"/>
                <w:sz w:val="22"/>
                <w:lang w:eastAsia="zh-CN"/>
              </w:rPr>
            </w:pPr>
            <w:r>
              <w:rPr>
                <w:rFonts w:hint="eastAsia" w:ascii="宋体"/>
                <w:color w:val="auto"/>
                <w:sz w:val="22"/>
                <w:lang w:val="en-US" w:eastAsia="zh-CN"/>
              </w:rPr>
              <w:t>单价</w:t>
            </w:r>
          </w:p>
        </w:tc>
        <w:tc>
          <w:tcPr>
            <w:tcW w:w="1129" w:type="dxa"/>
            <w:vAlign w:val="center"/>
          </w:tcPr>
          <w:p>
            <w:pPr>
              <w:snapToGrid w:val="0"/>
              <w:spacing w:line="400" w:lineRule="atLeast"/>
              <w:jc w:val="center"/>
              <w:rPr>
                <w:rFonts w:hint="eastAsia" w:ascii="宋体" w:eastAsia="宋体"/>
                <w:color w:val="auto"/>
                <w:sz w:val="22"/>
                <w:lang w:eastAsia="zh-CN"/>
              </w:rPr>
            </w:pPr>
            <w:r>
              <w:rPr>
                <w:rFonts w:hint="eastAsia" w:ascii="宋体"/>
                <w:color w:val="auto"/>
                <w:sz w:val="22"/>
                <w:lang w:val="en-US" w:eastAsia="zh-CN"/>
              </w:rPr>
              <w:t>总价</w:t>
            </w:r>
          </w:p>
        </w:tc>
        <w:tc>
          <w:tcPr>
            <w:tcW w:w="1129" w:type="dxa"/>
            <w:vAlign w:val="center"/>
          </w:tcPr>
          <w:p>
            <w:pPr>
              <w:snapToGrid w:val="0"/>
              <w:spacing w:line="400" w:lineRule="atLeast"/>
              <w:jc w:val="center"/>
              <w:rPr>
                <w:rFonts w:ascii="宋体"/>
                <w:color w:val="auto"/>
                <w:sz w:val="22"/>
              </w:rPr>
            </w:pPr>
            <w:r>
              <w:rPr>
                <w:rFonts w:hint="eastAsia" w:ascii="宋体"/>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37" w:hRule="atLeast"/>
        </w:trPr>
        <w:tc>
          <w:tcPr>
            <w:tcW w:w="2267" w:type="dxa"/>
            <w:vAlign w:val="center"/>
          </w:tcPr>
          <w:p>
            <w:pPr>
              <w:snapToGrid w:val="0"/>
              <w:spacing w:line="400" w:lineRule="atLeast"/>
              <w:jc w:val="center"/>
              <w:rPr>
                <w:rFonts w:ascii="宋体"/>
                <w:color w:val="auto"/>
                <w:sz w:val="22"/>
              </w:rPr>
            </w:pPr>
          </w:p>
        </w:tc>
        <w:tc>
          <w:tcPr>
            <w:tcW w:w="2713" w:type="dxa"/>
            <w:vAlign w:val="center"/>
          </w:tcPr>
          <w:p>
            <w:pPr>
              <w:snapToGrid w:val="0"/>
              <w:spacing w:line="400" w:lineRule="atLeast"/>
              <w:jc w:val="center"/>
              <w:rPr>
                <w:rFonts w:ascii="宋体"/>
                <w:color w:val="auto"/>
                <w:sz w:val="22"/>
              </w:rPr>
            </w:pPr>
          </w:p>
        </w:tc>
        <w:tc>
          <w:tcPr>
            <w:tcW w:w="1128" w:type="dxa"/>
            <w:vAlign w:val="center"/>
          </w:tcPr>
          <w:p>
            <w:pPr>
              <w:snapToGrid w:val="0"/>
              <w:spacing w:line="400" w:lineRule="atLeast"/>
              <w:jc w:val="center"/>
              <w:rPr>
                <w:rFonts w:ascii="宋体"/>
                <w:color w:val="auto"/>
                <w:sz w:val="22"/>
              </w:rPr>
            </w:pPr>
          </w:p>
        </w:tc>
        <w:tc>
          <w:tcPr>
            <w:tcW w:w="1129" w:type="dxa"/>
            <w:vAlign w:val="center"/>
          </w:tcPr>
          <w:p>
            <w:pPr>
              <w:snapToGrid w:val="0"/>
              <w:spacing w:line="400" w:lineRule="atLeast"/>
              <w:jc w:val="center"/>
              <w:rPr>
                <w:rFonts w:ascii="宋体"/>
                <w:color w:val="auto"/>
                <w:sz w:val="22"/>
              </w:rPr>
            </w:pPr>
          </w:p>
        </w:tc>
        <w:tc>
          <w:tcPr>
            <w:tcW w:w="1129" w:type="dxa"/>
            <w:vAlign w:val="center"/>
          </w:tcPr>
          <w:p>
            <w:pPr>
              <w:snapToGrid w:val="0"/>
              <w:spacing w:line="400" w:lineRule="atLeast"/>
              <w:jc w:val="center"/>
              <w:rPr>
                <w:rFonts w:ascii="宋体"/>
                <w:color w:val="auto"/>
                <w:sz w:val="22"/>
              </w:rPr>
            </w:pPr>
          </w:p>
        </w:tc>
        <w:tc>
          <w:tcPr>
            <w:tcW w:w="1129" w:type="dxa"/>
            <w:vAlign w:val="center"/>
          </w:tcPr>
          <w:p>
            <w:pPr>
              <w:snapToGrid w:val="0"/>
              <w:spacing w:line="400" w:lineRule="atLeast"/>
              <w:jc w:val="center"/>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30" w:hRule="atLeast"/>
        </w:trPr>
        <w:tc>
          <w:tcPr>
            <w:tcW w:w="2267" w:type="dxa"/>
            <w:vAlign w:val="center"/>
          </w:tcPr>
          <w:p>
            <w:pPr>
              <w:snapToGrid w:val="0"/>
              <w:spacing w:line="400" w:lineRule="atLeast"/>
              <w:jc w:val="center"/>
              <w:rPr>
                <w:rFonts w:ascii="宋体"/>
                <w:color w:val="auto"/>
                <w:sz w:val="22"/>
              </w:rPr>
            </w:pPr>
          </w:p>
        </w:tc>
        <w:tc>
          <w:tcPr>
            <w:tcW w:w="2713" w:type="dxa"/>
            <w:vAlign w:val="center"/>
          </w:tcPr>
          <w:p>
            <w:pPr>
              <w:snapToGrid w:val="0"/>
              <w:spacing w:line="400" w:lineRule="atLeast"/>
              <w:jc w:val="center"/>
              <w:rPr>
                <w:rFonts w:ascii="宋体"/>
                <w:color w:val="auto"/>
                <w:sz w:val="22"/>
              </w:rPr>
            </w:pPr>
          </w:p>
        </w:tc>
        <w:tc>
          <w:tcPr>
            <w:tcW w:w="1128" w:type="dxa"/>
            <w:vAlign w:val="center"/>
          </w:tcPr>
          <w:p>
            <w:pPr>
              <w:snapToGrid w:val="0"/>
              <w:spacing w:line="400" w:lineRule="atLeast"/>
              <w:jc w:val="center"/>
              <w:rPr>
                <w:rFonts w:ascii="宋体"/>
                <w:color w:val="auto"/>
                <w:sz w:val="22"/>
              </w:rPr>
            </w:pPr>
          </w:p>
        </w:tc>
        <w:tc>
          <w:tcPr>
            <w:tcW w:w="1129" w:type="dxa"/>
            <w:vAlign w:val="center"/>
          </w:tcPr>
          <w:p>
            <w:pPr>
              <w:snapToGrid w:val="0"/>
              <w:spacing w:line="400" w:lineRule="atLeast"/>
              <w:jc w:val="center"/>
              <w:rPr>
                <w:rFonts w:ascii="宋体"/>
                <w:color w:val="auto"/>
                <w:sz w:val="22"/>
              </w:rPr>
            </w:pPr>
          </w:p>
        </w:tc>
        <w:tc>
          <w:tcPr>
            <w:tcW w:w="1129" w:type="dxa"/>
            <w:vAlign w:val="center"/>
          </w:tcPr>
          <w:p>
            <w:pPr>
              <w:snapToGrid w:val="0"/>
              <w:spacing w:line="400" w:lineRule="atLeast"/>
              <w:jc w:val="center"/>
              <w:rPr>
                <w:rFonts w:ascii="宋体"/>
                <w:color w:val="auto"/>
                <w:sz w:val="22"/>
              </w:rPr>
            </w:pPr>
          </w:p>
        </w:tc>
        <w:tc>
          <w:tcPr>
            <w:tcW w:w="1129" w:type="dxa"/>
            <w:vAlign w:val="center"/>
          </w:tcPr>
          <w:p>
            <w:pPr>
              <w:snapToGrid w:val="0"/>
              <w:spacing w:line="400" w:lineRule="atLeast"/>
              <w:jc w:val="center"/>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64" w:hRule="atLeast"/>
        </w:trPr>
        <w:tc>
          <w:tcPr>
            <w:tcW w:w="2267" w:type="dxa"/>
            <w:vAlign w:val="center"/>
          </w:tcPr>
          <w:p>
            <w:pPr>
              <w:snapToGrid w:val="0"/>
              <w:spacing w:line="400" w:lineRule="atLeast"/>
              <w:jc w:val="center"/>
              <w:rPr>
                <w:rFonts w:ascii="宋体"/>
                <w:color w:val="auto"/>
                <w:sz w:val="22"/>
              </w:rPr>
            </w:pPr>
          </w:p>
        </w:tc>
        <w:tc>
          <w:tcPr>
            <w:tcW w:w="2713" w:type="dxa"/>
            <w:vAlign w:val="center"/>
          </w:tcPr>
          <w:p>
            <w:pPr>
              <w:snapToGrid w:val="0"/>
              <w:spacing w:line="400" w:lineRule="atLeast"/>
              <w:jc w:val="center"/>
              <w:rPr>
                <w:rFonts w:ascii="宋体"/>
                <w:color w:val="auto"/>
                <w:sz w:val="22"/>
              </w:rPr>
            </w:pPr>
          </w:p>
        </w:tc>
        <w:tc>
          <w:tcPr>
            <w:tcW w:w="1128" w:type="dxa"/>
            <w:vAlign w:val="center"/>
          </w:tcPr>
          <w:p>
            <w:pPr>
              <w:snapToGrid w:val="0"/>
              <w:spacing w:line="400" w:lineRule="atLeast"/>
              <w:jc w:val="center"/>
              <w:rPr>
                <w:rFonts w:ascii="宋体"/>
                <w:color w:val="auto"/>
                <w:sz w:val="22"/>
              </w:rPr>
            </w:pPr>
          </w:p>
        </w:tc>
        <w:tc>
          <w:tcPr>
            <w:tcW w:w="1129" w:type="dxa"/>
            <w:vAlign w:val="center"/>
          </w:tcPr>
          <w:p>
            <w:pPr>
              <w:snapToGrid w:val="0"/>
              <w:spacing w:line="400" w:lineRule="atLeast"/>
              <w:jc w:val="center"/>
              <w:rPr>
                <w:rFonts w:ascii="宋体"/>
                <w:color w:val="auto"/>
                <w:sz w:val="22"/>
              </w:rPr>
            </w:pPr>
          </w:p>
        </w:tc>
        <w:tc>
          <w:tcPr>
            <w:tcW w:w="1129" w:type="dxa"/>
            <w:vAlign w:val="center"/>
          </w:tcPr>
          <w:p>
            <w:pPr>
              <w:snapToGrid w:val="0"/>
              <w:spacing w:line="400" w:lineRule="atLeast"/>
              <w:jc w:val="center"/>
              <w:rPr>
                <w:rFonts w:ascii="宋体"/>
                <w:color w:val="auto"/>
                <w:sz w:val="22"/>
              </w:rPr>
            </w:pPr>
          </w:p>
        </w:tc>
        <w:tc>
          <w:tcPr>
            <w:tcW w:w="1129" w:type="dxa"/>
            <w:vAlign w:val="center"/>
          </w:tcPr>
          <w:p>
            <w:pPr>
              <w:snapToGrid w:val="0"/>
              <w:spacing w:line="400" w:lineRule="atLeast"/>
              <w:jc w:val="center"/>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464" w:hRule="atLeast"/>
        </w:trPr>
        <w:tc>
          <w:tcPr>
            <w:tcW w:w="2267" w:type="dxa"/>
            <w:vAlign w:val="center"/>
          </w:tcPr>
          <w:p>
            <w:pPr>
              <w:snapToGrid w:val="0"/>
              <w:spacing w:line="400" w:lineRule="atLeast"/>
              <w:jc w:val="center"/>
              <w:rPr>
                <w:rFonts w:hint="default" w:ascii="宋体" w:eastAsia="宋体"/>
                <w:color w:val="auto"/>
                <w:sz w:val="22"/>
                <w:lang w:val="en-US" w:eastAsia="zh-CN"/>
              </w:rPr>
            </w:pPr>
            <w:r>
              <w:rPr>
                <w:rFonts w:hint="eastAsia" w:ascii="宋体"/>
                <w:color w:val="auto"/>
                <w:sz w:val="22"/>
                <w:lang w:val="en-US" w:eastAsia="zh-CN"/>
              </w:rPr>
              <w:t>合计</w:t>
            </w:r>
          </w:p>
        </w:tc>
        <w:tc>
          <w:tcPr>
            <w:tcW w:w="6099" w:type="dxa"/>
            <w:gridSpan w:val="4"/>
            <w:vAlign w:val="center"/>
          </w:tcPr>
          <w:p>
            <w:pPr>
              <w:snapToGrid w:val="0"/>
              <w:spacing w:line="400" w:lineRule="atLeast"/>
              <w:jc w:val="center"/>
              <w:rPr>
                <w:rFonts w:ascii="宋体"/>
                <w:color w:val="auto"/>
                <w:sz w:val="22"/>
              </w:rPr>
            </w:pPr>
          </w:p>
        </w:tc>
        <w:tc>
          <w:tcPr>
            <w:tcW w:w="1129" w:type="dxa"/>
            <w:vAlign w:val="center"/>
          </w:tcPr>
          <w:p>
            <w:pPr>
              <w:snapToGrid w:val="0"/>
              <w:spacing w:line="400" w:lineRule="atLeast"/>
              <w:jc w:val="center"/>
              <w:rPr>
                <w:rFonts w:ascii="宋体"/>
                <w:color w:val="auto"/>
                <w:sz w:val="22"/>
              </w:rPr>
            </w:pPr>
          </w:p>
        </w:tc>
      </w:tr>
    </w:tbl>
    <w:p>
      <w:pPr>
        <w:snapToGrid w:val="0"/>
        <w:spacing w:line="400" w:lineRule="atLeast"/>
        <w:rPr>
          <w:rFonts w:hAnsi="宋体"/>
          <w:b/>
          <w:bCs/>
          <w:color w:val="auto"/>
          <w:sz w:val="22"/>
        </w:rPr>
      </w:pPr>
      <w:r>
        <w:rPr>
          <w:rFonts w:hint="eastAsia" w:hAnsi="宋体"/>
          <w:color w:val="auto"/>
          <w:sz w:val="22"/>
        </w:rPr>
        <w:t>第二条：质量标准和要求</w:t>
      </w:r>
    </w:p>
    <w:p>
      <w:pPr>
        <w:snapToGrid w:val="0"/>
        <w:spacing w:line="400" w:lineRule="atLeast"/>
        <w:ind w:firstLine="420"/>
        <w:rPr>
          <w:rFonts w:ascii="宋体"/>
          <w:color w:val="auto"/>
          <w:sz w:val="22"/>
        </w:rPr>
      </w:pPr>
      <w:r>
        <w:rPr>
          <w:rFonts w:hint="eastAsia" w:ascii="宋体"/>
          <w:color w:val="auto"/>
          <w:sz w:val="22"/>
        </w:rPr>
        <w:t>1. 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napToGrid w:val="0"/>
        <w:spacing w:line="400" w:lineRule="atLeast"/>
        <w:ind w:firstLine="420"/>
        <w:rPr>
          <w:rFonts w:ascii="宋体"/>
          <w:color w:val="auto"/>
          <w:sz w:val="22"/>
        </w:rPr>
      </w:pPr>
      <w:r>
        <w:rPr>
          <w:rFonts w:hint="eastAsia" w:ascii="宋体"/>
          <w:color w:val="auto"/>
          <w:sz w:val="22"/>
        </w:rPr>
        <w:t>2.  乙方所出售的货物还应符合国家和浙江省有关安全、环保、卫生之规定。</w:t>
      </w:r>
    </w:p>
    <w:p>
      <w:pPr>
        <w:snapToGrid w:val="0"/>
        <w:spacing w:line="400" w:lineRule="atLeast"/>
        <w:rPr>
          <w:rFonts w:ascii="宋体"/>
          <w:color w:val="auto"/>
          <w:sz w:val="22"/>
        </w:rPr>
      </w:pPr>
      <w:r>
        <w:rPr>
          <w:rFonts w:hint="eastAsia" w:ascii="宋体"/>
          <w:color w:val="auto"/>
          <w:sz w:val="22"/>
        </w:rPr>
        <w:t>第三条：权利瑕疵担保</w:t>
      </w:r>
    </w:p>
    <w:p>
      <w:pPr>
        <w:snapToGrid w:val="0"/>
        <w:spacing w:line="400" w:lineRule="atLeast"/>
        <w:ind w:firstLine="420"/>
        <w:rPr>
          <w:rFonts w:ascii="宋体"/>
          <w:color w:val="auto"/>
          <w:sz w:val="22"/>
        </w:rPr>
      </w:pPr>
      <w:r>
        <w:rPr>
          <w:rFonts w:hint="eastAsia" w:ascii="宋体"/>
          <w:color w:val="auto"/>
          <w:sz w:val="22"/>
        </w:rPr>
        <w:t>1. 乙方保证对其出售的货物享有合法的权利。</w:t>
      </w:r>
    </w:p>
    <w:p>
      <w:pPr>
        <w:snapToGrid w:val="0"/>
        <w:spacing w:line="400" w:lineRule="atLeast"/>
        <w:ind w:firstLine="420"/>
        <w:rPr>
          <w:rFonts w:ascii="宋体"/>
          <w:color w:val="auto"/>
          <w:sz w:val="22"/>
        </w:rPr>
      </w:pPr>
      <w:r>
        <w:rPr>
          <w:rFonts w:hint="eastAsia" w:ascii="宋体"/>
          <w:color w:val="auto"/>
          <w:sz w:val="22"/>
        </w:rPr>
        <w:t>2. 乙方保证在其出售的货物上不存在任何未曾向甲方透露的担保物权，如抵押权、质押权、留置权等。</w:t>
      </w:r>
    </w:p>
    <w:p>
      <w:pPr>
        <w:snapToGrid w:val="0"/>
        <w:spacing w:line="400" w:lineRule="atLeast"/>
        <w:ind w:firstLine="420"/>
        <w:rPr>
          <w:rFonts w:ascii="宋体"/>
          <w:color w:val="auto"/>
          <w:sz w:val="22"/>
        </w:rPr>
      </w:pPr>
      <w:r>
        <w:rPr>
          <w:rFonts w:hint="eastAsia" w:ascii="宋体"/>
          <w:color w:val="auto"/>
          <w:sz w:val="22"/>
        </w:rPr>
        <w:t>3. 乙方保证其所出售的货物没有侵犯任何第三人的知识产权和商业秘密等权利。</w:t>
      </w:r>
    </w:p>
    <w:p>
      <w:pPr>
        <w:snapToGrid w:val="0"/>
        <w:spacing w:line="400" w:lineRule="atLeast"/>
        <w:ind w:firstLine="420"/>
        <w:rPr>
          <w:rFonts w:ascii="宋体"/>
          <w:color w:val="auto"/>
          <w:sz w:val="22"/>
        </w:rPr>
      </w:pPr>
      <w:r>
        <w:rPr>
          <w:rFonts w:hint="eastAsia" w:ascii="宋体"/>
          <w:color w:val="auto"/>
          <w:sz w:val="22"/>
        </w:rPr>
        <w:t>4. 如甲方使用该货物构成上述侵权的，则由乙方承担全部责任。</w:t>
      </w:r>
    </w:p>
    <w:p>
      <w:pPr>
        <w:snapToGrid w:val="0"/>
        <w:spacing w:line="400" w:lineRule="atLeast"/>
        <w:rPr>
          <w:rFonts w:ascii="宋体"/>
          <w:color w:val="auto"/>
          <w:sz w:val="22"/>
        </w:rPr>
      </w:pPr>
      <w:r>
        <w:rPr>
          <w:rFonts w:hint="eastAsia" w:ascii="宋体"/>
          <w:color w:val="auto"/>
          <w:sz w:val="22"/>
        </w:rPr>
        <w:t>第四条：包装要求</w:t>
      </w:r>
    </w:p>
    <w:p>
      <w:pPr>
        <w:snapToGrid w:val="0"/>
        <w:spacing w:line="400" w:lineRule="atLeast"/>
        <w:rPr>
          <w:rFonts w:ascii="宋体"/>
          <w:color w:val="auto"/>
          <w:sz w:val="22"/>
        </w:rPr>
      </w:pPr>
      <w:r>
        <w:rPr>
          <w:rFonts w:hint="eastAsia" w:ascii="宋体"/>
          <w:color w:val="auto"/>
          <w:sz w:val="22"/>
        </w:rPr>
        <w:t xml:space="preserve">    1. 乙方所出售的全部货物均应按标准保护措施进行包装，这类包装应适应于远距离运输、防潮、防震、防锈和防野蛮装卸等要求，以确保货物安全无损地运抵指定现场。</w:t>
      </w:r>
    </w:p>
    <w:p>
      <w:pPr>
        <w:snapToGrid w:val="0"/>
        <w:spacing w:line="400" w:lineRule="atLeast"/>
        <w:ind w:firstLine="360"/>
        <w:rPr>
          <w:rFonts w:hAnsi="宋体"/>
          <w:b/>
          <w:bCs/>
          <w:color w:val="auto"/>
          <w:sz w:val="22"/>
        </w:rPr>
      </w:pPr>
      <w:r>
        <w:rPr>
          <w:rFonts w:hint="eastAsia" w:hAnsi="宋体"/>
          <w:color w:val="auto"/>
          <w:sz w:val="22"/>
        </w:rPr>
        <w:t xml:space="preserve"> 2. 每一个包装箱内应附一份详细装箱单、质量证书和保修保养证书。</w:t>
      </w:r>
    </w:p>
    <w:p>
      <w:pPr>
        <w:snapToGrid w:val="0"/>
        <w:spacing w:line="400" w:lineRule="atLeast"/>
        <w:ind w:left="446" w:hanging="446" w:hangingChars="200"/>
        <w:rPr>
          <w:rFonts w:ascii="宋体"/>
          <w:b w:val="0"/>
          <w:bCs w:val="0"/>
          <w:color w:val="auto"/>
          <w:sz w:val="22"/>
        </w:rPr>
      </w:pPr>
      <w:r>
        <w:rPr>
          <w:rFonts w:hint="eastAsia" w:ascii="宋体"/>
          <w:color w:val="auto"/>
          <w:sz w:val="22"/>
        </w:rPr>
        <w:t>第五</w:t>
      </w:r>
      <w:r>
        <w:rPr>
          <w:rFonts w:hint="eastAsia" w:ascii="宋体"/>
          <w:b w:val="0"/>
          <w:bCs w:val="0"/>
          <w:color w:val="auto"/>
          <w:sz w:val="22"/>
        </w:rPr>
        <w:t>条：完工期</w:t>
      </w:r>
      <w:r>
        <w:rPr>
          <w:rFonts w:hint="eastAsia" w:ascii="宋体" w:hAnsi="宋体"/>
          <w:b w:val="0"/>
          <w:bCs w:val="0"/>
          <w:color w:val="auto"/>
          <w:sz w:val="22"/>
          <w:lang w:val="en-US" w:eastAsia="zh-CN"/>
        </w:rPr>
        <w:br w:type="textWrapping"/>
      </w:r>
      <w:r>
        <w:rPr>
          <w:rFonts w:hint="eastAsia" w:ascii="宋体" w:hAnsi="宋体"/>
          <w:b w:val="0"/>
          <w:bCs w:val="0"/>
          <w:color w:val="auto"/>
          <w:sz w:val="22"/>
        </w:rPr>
        <w:t>20</w:t>
      </w:r>
      <w:r>
        <w:rPr>
          <w:rFonts w:hint="eastAsia" w:ascii="宋体" w:hAnsi="宋体"/>
          <w:b w:val="0"/>
          <w:bCs w:val="0"/>
          <w:color w:val="auto"/>
          <w:sz w:val="22"/>
          <w:lang w:val="en-US" w:eastAsia="zh-CN"/>
        </w:rPr>
        <w:t>20</w:t>
      </w:r>
      <w:r>
        <w:rPr>
          <w:rFonts w:hint="eastAsia" w:ascii="宋体" w:hAnsi="宋体"/>
          <w:b w:val="0"/>
          <w:bCs w:val="0"/>
          <w:color w:val="auto"/>
          <w:sz w:val="22"/>
        </w:rPr>
        <w:t>年</w:t>
      </w:r>
      <w:r>
        <w:rPr>
          <w:rFonts w:hint="eastAsia" w:ascii="宋体" w:hAnsi="宋体"/>
          <w:b w:val="0"/>
          <w:bCs w:val="0"/>
          <w:color w:val="auto"/>
          <w:sz w:val="22"/>
          <w:lang w:val="en-US" w:eastAsia="zh-CN"/>
        </w:rPr>
        <w:t>7</w:t>
      </w:r>
      <w:r>
        <w:rPr>
          <w:rFonts w:hint="eastAsia" w:ascii="宋体" w:hAnsi="宋体"/>
          <w:b w:val="0"/>
          <w:bCs w:val="0"/>
          <w:color w:val="auto"/>
          <w:sz w:val="22"/>
        </w:rPr>
        <w:t>月</w:t>
      </w:r>
      <w:r>
        <w:rPr>
          <w:rFonts w:hint="eastAsia" w:ascii="宋体" w:hAnsi="宋体"/>
          <w:b w:val="0"/>
          <w:bCs w:val="0"/>
          <w:color w:val="auto"/>
          <w:sz w:val="22"/>
          <w:lang w:val="en-US" w:eastAsia="zh-CN"/>
        </w:rPr>
        <w:t>10</w:t>
      </w:r>
      <w:r>
        <w:rPr>
          <w:rFonts w:hint="eastAsia" w:ascii="宋体" w:hAnsi="宋体"/>
          <w:b w:val="0"/>
          <w:bCs w:val="0"/>
          <w:color w:val="auto"/>
          <w:sz w:val="22"/>
        </w:rPr>
        <w:t>日前完成平台的</w:t>
      </w:r>
      <w:r>
        <w:rPr>
          <w:rFonts w:hint="eastAsia" w:ascii="宋体" w:hAnsi="宋体"/>
          <w:b w:val="0"/>
          <w:bCs w:val="0"/>
          <w:color w:val="auto"/>
          <w:sz w:val="22"/>
          <w:lang w:val="en-US" w:eastAsia="zh-CN"/>
        </w:rPr>
        <w:t>项目建设及</w:t>
      </w:r>
      <w:r>
        <w:rPr>
          <w:rFonts w:hint="eastAsia" w:ascii="宋体" w:hAnsi="宋体"/>
          <w:b w:val="0"/>
          <w:bCs w:val="0"/>
          <w:color w:val="auto"/>
          <w:sz w:val="22"/>
        </w:rPr>
        <w:t>整体验收工作</w:t>
      </w:r>
      <w:r>
        <w:rPr>
          <w:rFonts w:hint="eastAsia"/>
          <w:b w:val="0"/>
          <w:bCs w:val="0"/>
          <w:color w:val="auto"/>
          <w:sz w:val="22"/>
        </w:rPr>
        <w:t>。</w:t>
      </w:r>
    </w:p>
    <w:p>
      <w:pPr>
        <w:snapToGrid w:val="0"/>
        <w:spacing w:line="400" w:lineRule="atLeast"/>
        <w:rPr>
          <w:rFonts w:hAnsi="宋体"/>
          <w:b w:val="0"/>
          <w:bCs w:val="0"/>
          <w:color w:val="auto"/>
          <w:sz w:val="22"/>
        </w:rPr>
      </w:pPr>
      <w:r>
        <w:rPr>
          <w:rFonts w:hint="eastAsia"/>
          <w:b w:val="0"/>
          <w:bCs w:val="0"/>
          <w:color w:val="auto"/>
          <w:sz w:val="22"/>
        </w:rPr>
        <w:t>第六条：</w:t>
      </w:r>
      <w:r>
        <w:rPr>
          <w:rFonts w:hint="eastAsia" w:hAnsi="宋体"/>
          <w:b w:val="0"/>
          <w:bCs w:val="0"/>
          <w:color w:val="auto"/>
          <w:sz w:val="22"/>
        </w:rPr>
        <w:t>验收</w:t>
      </w:r>
    </w:p>
    <w:p>
      <w:pPr>
        <w:snapToGrid w:val="0"/>
        <w:spacing w:line="400" w:lineRule="atLeast"/>
        <w:ind w:firstLine="480"/>
        <w:rPr>
          <w:rFonts w:hAnsi="宋体"/>
          <w:b w:val="0"/>
          <w:bCs w:val="0"/>
          <w:color w:val="auto"/>
          <w:sz w:val="22"/>
        </w:rPr>
      </w:pPr>
      <w:r>
        <w:rPr>
          <w:rFonts w:hint="eastAsia" w:hAnsi="宋体"/>
          <w:b w:val="0"/>
          <w:bCs w:val="0"/>
          <w:color w:val="auto"/>
          <w:sz w:val="22"/>
        </w:rPr>
        <w:t>1. 本项目验收程序参照温州市财政局关于印发《温州市级政府采购项目履约验收管理暂行办法》的通知》（温财采〔2016〕597号）文件执行。</w:t>
      </w:r>
    </w:p>
    <w:p>
      <w:pPr>
        <w:snapToGrid w:val="0"/>
        <w:spacing w:line="400" w:lineRule="atLeast"/>
        <w:ind w:firstLine="480"/>
        <w:rPr>
          <w:rFonts w:hAnsi="宋体"/>
          <w:b w:val="0"/>
          <w:bCs w:val="0"/>
          <w:color w:val="auto"/>
          <w:sz w:val="22"/>
        </w:rPr>
      </w:pPr>
      <w:r>
        <w:rPr>
          <w:rFonts w:hint="eastAsia" w:hAnsi="宋体"/>
          <w:b w:val="0"/>
          <w:bCs w:val="0"/>
          <w:color w:val="auto"/>
          <w:sz w:val="22"/>
        </w:rPr>
        <w:t>2. 乙方送货至指定地点后，由甲方根据货物的技术规格要求和质量标准，对货物进行检查验收。</w:t>
      </w:r>
    </w:p>
    <w:p>
      <w:pPr>
        <w:snapToGrid w:val="0"/>
        <w:spacing w:line="400" w:lineRule="atLeast"/>
        <w:ind w:firstLine="480"/>
        <w:rPr>
          <w:rFonts w:hAnsi="宋体"/>
          <w:b w:val="0"/>
          <w:bCs w:val="0"/>
          <w:color w:val="auto"/>
          <w:sz w:val="22"/>
        </w:rPr>
      </w:pPr>
      <w:r>
        <w:rPr>
          <w:rFonts w:hint="eastAsia" w:hAnsi="宋体"/>
          <w:b w:val="0"/>
          <w:bCs w:val="0"/>
          <w:color w:val="auto"/>
          <w:sz w:val="22"/>
        </w:rPr>
        <w:t>3. 货物的数量不足或表面瑕疵，甲方应在验收时当面提出；对质量问题有异议的应在安装调试后10个工作日内提出。</w:t>
      </w:r>
    </w:p>
    <w:p>
      <w:pPr>
        <w:snapToGrid w:val="0"/>
        <w:spacing w:line="400" w:lineRule="atLeast"/>
        <w:ind w:firstLine="480"/>
        <w:rPr>
          <w:rFonts w:hAnsi="宋体"/>
          <w:b w:val="0"/>
          <w:bCs w:val="0"/>
          <w:color w:val="auto"/>
          <w:sz w:val="22"/>
        </w:rPr>
      </w:pPr>
      <w:r>
        <w:rPr>
          <w:rFonts w:hint="eastAsia" w:hAnsi="宋体"/>
          <w:b w:val="0"/>
          <w:bCs w:val="0"/>
          <w:color w:val="auto"/>
          <w:sz w:val="22"/>
        </w:rPr>
        <w:t>4. 在验收过程中发现数量不足或有质量、技术等问题，乙方应负责按照甲方的要求采取补足、更换或退货等处理措施，并承担由此发生的一切费用和损失。</w:t>
      </w:r>
    </w:p>
    <w:p>
      <w:pPr>
        <w:snapToGrid w:val="0"/>
        <w:spacing w:line="400" w:lineRule="atLeast"/>
        <w:ind w:firstLine="480"/>
        <w:rPr>
          <w:rFonts w:hAnsi="宋体"/>
          <w:b w:val="0"/>
          <w:bCs w:val="0"/>
          <w:color w:val="auto"/>
          <w:sz w:val="22"/>
        </w:rPr>
      </w:pPr>
      <w:r>
        <w:rPr>
          <w:rFonts w:hint="eastAsia" w:hAnsi="宋体"/>
          <w:b w:val="0"/>
          <w:bCs w:val="0"/>
          <w:color w:val="auto"/>
          <w:sz w:val="22"/>
        </w:rPr>
        <w:t>5. 甲方在乙方按合同规定交货和安装、调试后，无正当理由而拖延接收、验收或拒绝接收、验收的，应承担由此而造成的乙方直接损失。</w:t>
      </w:r>
    </w:p>
    <w:p>
      <w:pPr>
        <w:snapToGrid w:val="0"/>
        <w:spacing w:line="400" w:lineRule="atLeast"/>
        <w:rPr>
          <w:rFonts w:hAnsi="宋体"/>
          <w:b w:val="0"/>
          <w:bCs w:val="0"/>
          <w:color w:val="auto"/>
          <w:sz w:val="22"/>
        </w:rPr>
      </w:pPr>
      <w:r>
        <w:rPr>
          <w:rFonts w:hint="eastAsia" w:hAnsi="宋体"/>
          <w:b w:val="0"/>
          <w:bCs w:val="0"/>
          <w:color w:val="auto"/>
          <w:sz w:val="22"/>
        </w:rPr>
        <w:t>第七条：售后服务</w:t>
      </w:r>
    </w:p>
    <w:p>
      <w:pPr>
        <w:snapToGrid w:val="0"/>
        <w:spacing w:line="400" w:lineRule="atLeast"/>
        <w:ind w:firstLine="480"/>
        <w:rPr>
          <w:rFonts w:hAnsi="宋体"/>
          <w:b w:val="0"/>
          <w:bCs w:val="0"/>
          <w:color w:val="auto"/>
          <w:sz w:val="22"/>
        </w:rPr>
      </w:pPr>
      <w:r>
        <w:rPr>
          <w:rFonts w:hint="eastAsia" w:hAnsi="宋体"/>
          <w:b w:val="0"/>
          <w:bCs w:val="0"/>
          <w:color w:val="auto"/>
          <w:sz w:val="22"/>
        </w:rPr>
        <w:t>乙方承诺售后服务按照投标承诺的服务计划实施，包括培训。</w:t>
      </w:r>
    </w:p>
    <w:p>
      <w:pPr>
        <w:snapToGrid w:val="0"/>
        <w:spacing w:line="400" w:lineRule="atLeast"/>
        <w:rPr>
          <w:rFonts w:hAnsi="宋体"/>
          <w:b w:val="0"/>
          <w:bCs w:val="0"/>
          <w:color w:val="auto"/>
          <w:sz w:val="22"/>
        </w:rPr>
      </w:pPr>
      <w:r>
        <w:rPr>
          <w:rFonts w:hint="eastAsia" w:hAnsi="宋体"/>
          <w:b w:val="0"/>
          <w:bCs w:val="0"/>
          <w:color w:val="auto"/>
          <w:sz w:val="22"/>
        </w:rPr>
        <w:t>第八条：履约保证金</w:t>
      </w:r>
    </w:p>
    <w:p>
      <w:pPr>
        <w:widowControl/>
        <w:autoSpaceDE w:val="0"/>
        <w:autoSpaceDN w:val="0"/>
        <w:adjustRightInd w:val="0"/>
        <w:snapToGrid w:val="0"/>
        <w:spacing w:line="380" w:lineRule="exact"/>
        <w:ind w:left="1" w:firstLine="217" w:firstLineChars="98"/>
        <w:textAlignment w:val="bottom"/>
        <w:rPr>
          <w:rFonts w:hAnsi="宋体"/>
          <w:b w:val="0"/>
          <w:bCs w:val="0"/>
          <w:color w:val="auto"/>
          <w:sz w:val="22"/>
        </w:rPr>
      </w:pPr>
      <w:r>
        <w:rPr>
          <w:rFonts w:hint="eastAsia" w:ascii="宋体" w:hAnsi="宋体" w:cs="Arial"/>
          <w:b w:val="0"/>
          <w:bCs w:val="0"/>
          <w:color w:val="auto"/>
          <w:sz w:val="22"/>
        </w:rPr>
        <w:t>合同签订前中标（成交）供应商</w:t>
      </w:r>
      <w:r>
        <w:rPr>
          <w:rFonts w:hint="eastAsia" w:hAnsi="宋体" w:cs="Arial"/>
          <w:b w:val="0"/>
          <w:bCs w:val="0"/>
          <w:color w:val="auto"/>
          <w:sz w:val="22"/>
        </w:rPr>
        <w:t>提供合同</w:t>
      </w:r>
      <w:r>
        <w:rPr>
          <w:rFonts w:hint="eastAsia" w:ascii="宋体" w:hAnsi="宋体" w:cs="Arial"/>
          <w:b w:val="0"/>
          <w:bCs w:val="0"/>
          <w:color w:val="auto"/>
          <w:sz w:val="22"/>
        </w:rPr>
        <w:t>金额5%的履约保证金</w:t>
      </w:r>
      <w:r>
        <w:rPr>
          <w:rFonts w:hint="eastAsia" w:hAnsi="宋体" w:cs="Arial"/>
          <w:b w:val="0"/>
          <w:bCs w:val="0"/>
          <w:color w:val="auto"/>
          <w:sz w:val="22"/>
        </w:rPr>
        <w:t>至</w:t>
      </w:r>
      <w:r>
        <w:rPr>
          <w:rFonts w:hint="eastAsia" w:hAnsi="宋体" w:cs="Arial"/>
          <w:b w:val="0"/>
          <w:bCs w:val="0"/>
          <w:color w:val="auto"/>
          <w:sz w:val="22"/>
          <w:lang w:val="en-US" w:eastAsia="zh-CN"/>
        </w:rPr>
        <w:t>甲方</w:t>
      </w:r>
      <w:r>
        <w:rPr>
          <w:rFonts w:hint="eastAsia" w:hAnsi="宋体" w:cs="Arial"/>
          <w:b w:val="0"/>
          <w:bCs w:val="0"/>
          <w:color w:val="auto"/>
          <w:sz w:val="22"/>
        </w:rPr>
        <w:t>账户</w:t>
      </w:r>
      <w:r>
        <w:rPr>
          <w:rFonts w:hint="eastAsia" w:ascii="宋体" w:hAnsi="宋体" w:cs="Arial"/>
          <w:b w:val="0"/>
          <w:bCs w:val="0"/>
          <w:color w:val="auto"/>
          <w:sz w:val="22"/>
        </w:rPr>
        <w:t>，验收合格后，履约保证金自动转为质量保证金，</w:t>
      </w:r>
      <w:r>
        <w:rPr>
          <w:rFonts w:hint="eastAsia" w:ascii="宋体" w:hAnsi="宋体" w:cs="Arial"/>
          <w:b w:val="0"/>
          <w:bCs w:val="0"/>
          <w:color w:val="auto"/>
          <w:sz w:val="22"/>
          <w:lang w:val="en-US" w:eastAsia="zh-CN"/>
        </w:rPr>
        <w:t>维护期满三年后无息</w:t>
      </w:r>
      <w:r>
        <w:rPr>
          <w:rFonts w:hint="eastAsia" w:ascii="宋体" w:hAnsi="宋体" w:cs="Arial"/>
          <w:b w:val="0"/>
          <w:bCs w:val="0"/>
          <w:color w:val="auto"/>
          <w:sz w:val="22"/>
        </w:rPr>
        <w:t>退还</w:t>
      </w:r>
      <w:r>
        <w:rPr>
          <w:rFonts w:hint="eastAsia" w:ascii="宋体" w:hAnsi="宋体" w:cs="Arial"/>
          <w:b w:val="0"/>
          <w:bCs w:val="0"/>
          <w:color w:val="auto"/>
          <w:sz w:val="22"/>
          <w:lang w:val="en-US" w:eastAsia="zh-CN"/>
        </w:rPr>
        <w:t>3</w:t>
      </w:r>
      <w:r>
        <w:rPr>
          <w:rFonts w:hint="eastAsia" w:ascii="宋体" w:hAnsi="宋体" w:cs="Arial"/>
          <w:b w:val="0"/>
          <w:bCs w:val="0"/>
          <w:color w:val="auto"/>
          <w:sz w:val="22"/>
        </w:rPr>
        <w:t>%，剩余</w:t>
      </w:r>
      <w:r>
        <w:rPr>
          <w:rFonts w:hint="eastAsia" w:ascii="宋体" w:hAnsi="宋体" w:cs="Arial"/>
          <w:b w:val="0"/>
          <w:bCs w:val="0"/>
          <w:color w:val="auto"/>
          <w:sz w:val="22"/>
          <w:lang w:val="en-US" w:eastAsia="zh-CN"/>
        </w:rPr>
        <w:t>2</w:t>
      </w:r>
      <w:r>
        <w:rPr>
          <w:rFonts w:hint="eastAsia" w:ascii="宋体" w:hAnsi="宋体" w:cs="Arial"/>
          <w:b w:val="0"/>
          <w:bCs w:val="0"/>
          <w:color w:val="auto"/>
          <w:sz w:val="22"/>
        </w:rPr>
        <w:t>%待</w:t>
      </w:r>
      <w:r>
        <w:rPr>
          <w:rFonts w:hint="eastAsia" w:ascii="宋体" w:hAnsi="宋体" w:cs="Arial"/>
          <w:b w:val="0"/>
          <w:bCs w:val="0"/>
          <w:color w:val="auto"/>
          <w:sz w:val="22"/>
          <w:lang w:val="en-US" w:eastAsia="zh-CN"/>
        </w:rPr>
        <w:t>维护期满五年后无息退还</w:t>
      </w:r>
      <w:r>
        <w:rPr>
          <w:rFonts w:hint="eastAsia" w:ascii="宋体" w:hAnsi="宋体" w:cs="Arial"/>
          <w:b w:val="0"/>
          <w:bCs w:val="0"/>
          <w:color w:val="auto"/>
          <w:sz w:val="22"/>
        </w:rPr>
        <w:t>。</w:t>
      </w:r>
    </w:p>
    <w:p>
      <w:pPr>
        <w:snapToGrid w:val="0"/>
        <w:spacing w:line="400" w:lineRule="atLeast"/>
        <w:rPr>
          <w:rFonts w:hint="eastAsia" w:hAnsi="宋体" w:eastAsia="宋体"/>
          <w:b w:val="0"/>
          <w:bCs w:val="0"/>
          <w:color w:val="auto"/>
          <w:sz w:val="22"/>
          <w:lang w:eastAsia="zh-CN"/>
        </w:rPr>
      </w:pPr>
      <w:r>
        <w:rPr>
          <w:rFonts w:hint="eastAsia" w:hAnsi="宋体"/>
          <w:b w:val="0"/>
          <w:bCs w:val="0"/>
          <w:color w:val="auto"/>
          <w:sz w:val="22"/>
        </w:rPr>
        <w:t>第</w:t>
      </w:r>
      <w:r>
        <w:rPr>
          <w:rFonts w:hint="eastAsia"/>
          <w:b w:val="0"/>
          <w:bCs w:val="0"/>
          <w:color w:val="auto"/>
          <w:sz w:val="22"/>
        </w:rPr>
        <w:t>九</w:t>
      </w:r>
      <w:r>
        <w:rPr>
          <w:rFonts w:hint="eastAsia" w:hAnsi="宋体"/>
          <w:b w:val="0"/>
          <w:bCs w:val="0"/>
          <w:color w:val="auto"/>
          <w:sz w:val="22"/>
        </w:rPr>
        <w:t>条：</w:t>
      </w:r>
      <w:r>
        <w:rPr>
          <w:rFonts w:hint="eastAsia" w:hAnsi="宋体"/>
          <w:b w:val="0"/>
          <w:bCs w:val="0"/>
          <w:color w:val="auto"/>
          <w:sz w:val="22"/>
          <w:lang w:val="en-US" w:eastAsia="zh-CN"/>
        </w:rPr>
        <w:t>费用的</w:t>
      </w:r>
      <w:r>
        <w:rPr>
          <w:rFonts w:hint="eastAsia" w:hAnsi="宋体"/>
          <w:b w:val="0"/>
          <w:bCs w:val="0"/>
          <w:color w:val="auto"/>
          <w:sz w:val="22"/>
        </w:rPr>
        <w:t>支付</w:t>
      </w:r>
    </w:p>
    <w:p>
      <w:pPr>
        <w:snapToGrid w:val="0"/>
        <w:spacing w:line="400" w:lineRule="atLeast"/>
        <w:ind w:firstLine="446" w:firstLineChars="200"/>
        <w:rPr>
          <w:rFonts w:hAnsi="宋体" w:cs="Arial"/>
          <w:b w:val="0"/>
          <w:bCs w:val="0"/>
          <w:color w:val="auto"/>
          <w:sz w:val="22"/>
        </w:rPr>
      </w:pPr>
      <w:r>
        <w:rPr>
          <w:rFonts w:hint="eastAsia" w:ascii="宋体" w:hAnsi="宋体" w:cs="Arial"/>
          <w:bCs/>
          <w:color w:val="auto"/>
          <w:sz w:val="22"/>
        </w:rPr>
        <w:t>合同签订后，所有系统开发完毕并正常运行后，经采购人验收合格，先行投入使用，采购人支付合同金额的20%；剩余的80%分四年支付</w:t>
      </w:r>
      <w:r>
        <w:rPr>
          <w:rFonts w:hint="eastAsia" w:ascii="宋体" w:hAnsi="宋体" w:cs="Arial"/>
          <w:bCs/>
          <w:color w:val="auto"/>
          <w:sz w:val="22"/>
          <w:lang w:eastAsia="zh-CN"/>
        </w:rPr>
        <w:t>，</w:t>
      </w:r>
      <w:r>
        <w:rPr>
          <w:rFonts w:hint="eastAsia" w:ascii="宋体" w:hAnsi="宋体" w:cs="Arial"/>
          <w:bCs/>
          <w:color w:val="auto"/>
          <w:sz w:val="22"/>
          <w:lang w:val="en-US" w:eastAsia="zh-CN"/>
        </w:rPr>
        <w:t>根据</w:t>
      </w:r>
      <w:r>
        <w:rPr>
          <w:rFonts w:hint="eastAsia" w:ascii="宋体" w:hAnsi="宋体" w:eastAsia="宋体" w:cs="宋体"/>
          <w:bCs/>
          <w:color w:val="auto"/>
          <w:sz w:val="22"/>
          <w:lang w:val="en-US" w:eastAsia="zh-CN"/>
        </w:rPr>
        <w:t>《泰顺县水利工程可视化项目考核管理办法》（暂定），每季度进行考核</w:t>
      </w:r>
      <w:r>
        <w:rPr>
          <w:rFonts w:hint="eastAsia" w:ascii="宋体" w:hAnsi="宋体" w:cs="Arial"/>
          <w:bCs/>
          <w:color w:val="auto"/>
          <w:sz w:val="22"/>
        </w:rPr>
        <w:t>，每年支付合同总额的20%</w:t>
      </w:r>
      <w:r>
        <w:rPr>
          <w:rFonts w:hint="eastAsia" w:ascii="宋体" w:hAnsi="宋体" w:cs="Arial"/>
          <w:bCs/>
          <w:color w:val="auto"/>
          <w:sz w:val="22"/>
          <w:lang w:eastAsia="zh-CN"/>
        </w:rPr>
        <w:t>，</w:t>
      </w:r>
      <w:r>
        <w:rPr>
          <w:rFonts w:hint="eastAsia" w:ascii="宋体" w:hAnsi="宋体" w:cs="Arial"/>
          <w:bCs/>
          <w:color w:val="auto"/>
          <w:sz w:val="22"/>
          <w:lang w:val="en-US" w:eastAsia="zh-CN"/>
        </w:rPr>
        <w:t>考核达标的正常支付</w:t>
      </w:r>
      <w:r>
        <w:rPr>
          <w:rFonts w:hint="eastAsia" w:ascii="宋体" w:hAnsi="宋体" w:eastAsia="宋体" w:cs="宋体"/>
          <w:bCs/>
          <w:color w:val="auto"/>
          <w:sz w:val="22"/>
          <w:lang w:val="en-US" w:eastAsia="zh-CN"/>
        </w:rPr>
        <w:t>，若未达标的则按考核办法规定扣除一定比例的服务费用</w:t>
      </w:r>
      <w:r>
        <w:rPr>
          <w:rFonts w:hint="eastAsia" w:ascii="宋体" w:hAnsi="宋体" w:cs="宋体"/>
          <w:bCs/>
          <w:color w:val="auto"/>
          <w:sz w:val="22"/>
          <w:lang w:val="en-US" w:eastAsia="zh-CN"/>
        </w:rPr>
        <w:t>，详见本合同附件</w:t>
      </w:r>
      <w:r>
        <w:rPr>
          <w:rFonts w:hint="eastAsia" w:ascii="宋体" w:hAnsi="宋体" w:cs="Arial"/>
          <w:b w:val="0"/>
          <w:bCs w:val="0"/>
          <w:color w:val="auto"/>
          <w:sz w:val="22"/>
        </w:rPr>
        <w:t>。</w:t>
      </w:r>
      <w:r>
        <w:rPr>
          <w:rFonts w:hint="eastAsia" w:hAnsi="宋体" w:cs="Arial"/>
          <w:b w:val="0"/>
          <w:bCs w:val="0"/>
          <w:color w:val="auto"/>
          <w:sz w:val="22"/>
        </w:rPr>
        <w:t xml:space="preserve"> </w:t>
      </w:r>
    </w:p>
    <w:p>
      <w:pPr>
        <w:snapToGrid w:val="0"/>
        <w:spacing w:line="400" w:lineRule="atLeast"/>
        <w:rPr>
          <w:rFonts w:hAnsi="宋体"/>
          <w:b w:val="0"/>
          <w:bCs w:val="0"/>
          <w:color w:val="auto"/>
          <w:sz w:val="22"/>
        </w:rPr>
      </w:pPr>
      <w:r>
        <w:rPr>
          <w:rFonts w:hint="eastAsia" w:hAnsi="宋体"/>
          <w:b w:val="0"/>
          <w:bCs w:val="0"/>
          <w:color w:val="auto"/>
          <w:sz w:val="22"/>
        </w:rPr>
        <w:t>第</w:t>
      </w:r>
      <w:r>
        <w:rPr>
          <w:rFonts w:hint="eastAsia"/>
          <w:b w:val="0"/>
          <w:bCs w:val="0"/>
          <w:color w:val="auto"/>
          <w:sz w:val="22"/>
        </w:rPr>
        <w:t>十</w:t>
      </w:r>
      <w:r>
        <w:rPr>
          <w:rFonts w:hint="eastAsia" w:hAnsi="宋体"/>
          <w:b w:val="0"/>
          <w:bCs w:val="0"/>
          <w:color w:val="auto"/>
          <w:sz w:val="22"/>
        </w:rPr>
        <w:t>条：辅助服务</w:t>
      </w:r>
    </w:p>
    <w:p>
      <w:pPr>
        <w:snapToGrid w:val="0"/>
        <w:spacing w:line="400" w:lineRule="atLeast"/>
        <w:ind w:firstLine="446" w:firstLineChars="200"/>
        <w:rPr>
          <w:rFonts w:ascii="宋体"/>
          <w:b w:val="0"/>
          <w:bCs w:val="0"/>
          <w:color w:val="auto"/>
          <w:sz w:val="22"/>
        </w:rPr>
      </w:pPr>
      <w:r>
        <w:rPr>
          <w:rFonts w:hint="eastAsia" w:ascii="宋体"/>
          <w:b w:val="0"/>
          <w:bCs w:val="0"/>
          <w:color w:val="auto"/>
          <w:sz w:val="22"/>
        </w:rPr>
        <w:t>1. 乙方应提交所提供货物的技术文件，包括相应的每一套设备的中文技术文件，例如：产品目录、图纸、操作手册、使用说明、维护手册和/或服务指南。这些文件应包装好随同货物一起发运。</w:t>
      </w:r>
    </w:p>
    <w:p>
      <w:pPr>
        <w:snapToGrid w:val="0"/>
        <w:spacing w:line="400" w:lineRule="atLeast"/>
        <w:ind w:firstLine="446" w:firstLineChars="200"/>
        <w:rPr>
          <w:rFonts w:ascii="宋体"/>
          <w:b w:val="0"/>
          <w:bCs w:val="0"/>
          <w:color w:val="auto"/>
          <w:sz w:val="22"/>
        </w:rPr>
      </w:pPr>
      <w:r>
        <w:rPr>
          <w:rFonts w:hint="eastAsia" w:ascii="宋体"/>
          <w:b w:val="0"/>
          <w:bCs w:val="0"/>
          <w:color w:val="auto"/>
          <w:sz w:val="22"/>
        </w:rPr>
        <w:t>2. 乙方还应提供下列服务：</w:t>
      </w:r>
    </w:p>
    <w:p>
      <w:pPr>
        <w:spacing w:line="400" w:lineRule="atLeast"/>
        <w:rPr>
          <w:rFonts w:ascii="宋体"/>
          <w:b w:val="0"/>
          <w:bCs w:val="0"/>
          <w:color w:val="auto"/>
          <w:sz w:val="22"/>
        </w:rPr>
      </w:pPr>
      <w:r>
        <w:rPr>
          <w:rFonts w:hint="eastAsia" w:ascii="宋体"/>
          <w:b w:val="0"/>
          <w:bCs w:val="0"/>
          <w:color w:val="auto"/>
          <w:sz w:val="22"/>
        </w:rPr>
        <w:t xml:space="preserve">    （1）货物的现场指导安装、调试、启动监督及技术支持；</w:t>
      </w:r>
    </w:p>
    <w:p>
      <w:pPr>
        <w:spacing w:line="400" w:lineRule="atLeast"/>
        <w:rPr>
          <w:rFonts w:ascii="宋体"/>
          <w:color w:val="auto"/>
          <w:sz w:val="22"/>
        </w:rPr>
      </w:pPr>
      <w:r>
        <w:rPr>
          <w:rFonts w:hint="eastAsia" w:ascii="宋体"/>
          <w:color w:val="auto"/>
          <w:sz w:val="22"/>
        </w:rPr>
        <w:t xml:space="preserve">    （2）在厂家和/或项目现场就货物的指导安装、启动、运营、维护对甲方操作人员进行培训。辅助服务的费用包含在合同价中，甲方不再另行支付。</w:t>
      </w:r>
    </w:p>
    <w:p>
      <w:pPr>
        <w:snapToGrid w:val="0"/>
        <w:spacing w:line="400" w:lineRule="atLeast"/>
        <w:ind w:left="-360" w:firstLine="360"/>
        <w:rPr>
          <w:rFonts w:ascii="宋体"/>
          <w:color w:val="auto"/>
          <w:sz w:val="22"/>
        </w:rPr>
      </w:pPr>
      <w:r>
        <w:rPr>
          <w:rFonts w:hint="eastAsia" w:ascii="宋体"/>
          <w:color w:val="auto"/>
          <w:sz w:val="22"/>
        </w:rPr>
        <w:t>第十一条：质量保证</w:t>
      </w:r>
    </w:p>
    <w:p>
      <w:pPr>
        <w:spacing w:line="400" w:lineRule="atLeast"/>
        <w:rPr>
          <w:rFonts w:hint="eastAsia" w:ascii="宋体"/>
          <w:color w:val="auto"/>
          <w:sz w:val="22"/>
        </w:rPr>
      </w:pPr>
      <w:r>
        <w:rPr>
          <w:rFonts w:hint="eastAsia" w:ascii="宋体"/>
          <w:color w:val="auto"/>
          <w:sz w:val="22"/>
        </w:rPr>
        <w:t xml:space="preserve">    </w:t>
      </w:r>
      <w:r>
        <w:rPr>
          <w:rFonts w:hint="eastAsia" w:ascii="宋体"/>
          <w:color w:val="auto"/>
          <w:sz w:val="22"/>
          <w:lang w:eastAsia="zh-CN"/>
        </w:rPr>
        <w:t>（</w:t>
      </w:r>
      <w:r>
        <w:rPr>
          <w:rFonts w:hint="eastAsia" w:ascii="宋体"/>
          <w:color w:val="auto"/>
          <w:sz w:val="22"/>
          <w:lang w:val="en-US" w:eastAsia="zh-CN"/>
        </w:rPr>
        <w:t>1</w:t>
      </w:r>
      <w:r>
        <w:rPr>
          <w:rFonts w:hint="eastAsia" w:ascii="宋体"/>
          <w:color w:val="auto"/>
          <w:sz w:val="22"/>
          <w:lang w:eastAsia="zh-CN"/>
        </w:rPr>
        <w:t>）</w:t>
      </w:r>
      <w:r>
        <w:rPr>
          <w:rFonts w:hint="eastAsia" w:ascii="宋体"/>
          <w:color w:val="auto"/>
          <w:sz w:val="22"/>
          <w:lang w:val="en-US" w:eastAsia="zh-CN"/>
        </w:rPr>
        <w:t>本项目为以租代建方式，服务期为5年，自系统建设完成</w:t>
      </w:r>
      <w:r>
        <w:rPr>
          <w:rFonts w:hint="eastAsia" w:ascii="宋体"/>
          <w:color w:val="auto"/>
          <w:sz w:val="22"/>
        </w:rPr>
        <w:t>验收合格后开始计算</w:t>
      </w:r>
      <w:r>
        <w:rPr>
          <w:rFonts w:hint="eastAsia" w:ascii="宋体"/>
          <w:color w:val="auto"/>
          <w:sz w:val="22"/>
          <w:lang w:val="en-US" w:eastAsia="zh-CN"/>
        </w:rPr>
        <w:t>后5年内均由中标方进行</w:t>
      </w:r>
      <w:r>
        <w:rPr>
          <w:rFonts w:hint="eastAsia" w:ascii="宋体"/>
          <w:color w:val="auto"/>
          <w:sz w:val="22"/>
        </w:rPr>
        <w:t>免费维护。</w:t>
      </w:r>
    </w:p>
    <w:p>
      <w:pPr>
        <w:spacing w:line="400" w:lineRule="atLeast"/>
        <w:ind w:firstLine="446" w:firstLineChars="200"/>
        <w:rPr>
          <w:rFonts w:hint="eastAsia" w:ascii="宋体"/>
          <w:color w:val="auto"/>
          <w:sz w:val="22"/>
        </w:rPr>
      </w:pPr>
      <w:r>
        <w:rPr>
          <w:rFonts w:hint="eastAsia" w:ascii="宋体"/>
          <w:color w:val="auto"/>
          <w:sz w:val="22"/>
          <w:lang w:val="en-US" w:eastAsia="zh-CN"/>
        </w:rPr>
        <w:t>（2）</w:t>
      </w:r>
      <w:r>
        <w:rPr>
          <w:rFonts w:hint="eastAsia" w:ascii="宋体"/>
          <w:color w:val="auto"/>
          <w:sz w:val="22"/>
        </w:rPr>
        <w:t>在</w:t>
      </w:r>
      <w:r>
        <w:rPr>
          <w:rFonts w:hint="eastAsia" w:ascii="宋体"/>
          <w:color w:val="auto"/>
          <w:sz w:val="22"/>
          <w:lang w:val="en-US" w:eastAsia="zh-CN"/>
        </w:rPr>
        <w:t>服务期</w:t>
      </w:r>
      <w:r>
        <w:rPr>
          <w:rFonts w:hint="eastAsia" w:ascii="宋体"/>
          <w:color w:val="auto"/>
          <w:sz w:val="22"/>
        </w:rPr>
        <w:t>内，中标供应商应负责对其提供的平台</w:t>
      </w:r>
      <w:r>
        <w:rPr>
          <w:rFonts w:hint="eastAsia" w:ascii="宋体"/>
          <w:color w:val="auto"/>
          <w:sz w:val="22"/>
          <w:lang w:eastAsia="zh-CN"/>
        </w:rPr>
        <w:t>（</w:t>
      </w:r>
      <w:r>
        <w:rPr>
          <w:rFonts w:hint="eastAsia" w:ascii="宋体"/>
          <w:color w:val="auto"/>
          <w:sz w:val="22"/>
          <w:lang w:val="en-US" w:eastAsia="zh-CN"/>
        </w:rPr>
        <w:t>含设备</w:t>
      </w:r>
      <w:r>
        <w:rPr>
          <w:rFonts w:hint="eastAsia" w:ascii="宋体"/>
          <w:color w:val="auto"/>
          <w:sz w:val="22"/>
          <w:lang w:eastAsia="zh-CN"/>
        </w:rPr>
        <w:t>）</w:t>
      </w:r>
      <w:r>
        <w:rPr>
          <w:rFonts w:hint="eastAsia" w:ascii="宋体"/>
          <w:color w:val="auto"/>
          <w:sz w:val="22"/>
        </w:rPr>
        <w:t>进行维护、系统升级不收取额外费用。</w:t>
      </w:r>
    </w:p>
    <w:p>
      <w:pPr>
        <w:spacing w:line="400" w:lineRule="atLeast"/>
        <w:ind w:firstLine="446" w:firstLineChars="200"/>
        <w:rPr>
          <w:rFonts w:hint="eastAsia" w:ascii="宋体"/>
          <w:color w:val="auto"/>
          <w:sz w:val="22"/>
        </w:rPr>
      </w:pPr>
      <w:r>
        <w:rPr>
          <w:rFonts w:hint="eastAsia" w:ascii="宋体"/>
          <w:color w:val="auto"/>
          <w:sz w:val="22"/>
          <w:lang w:eastAsia="zh-CN"/>
        </w:rPr>
        <w:t>（</w:t>
      </w:r>
      <w:r>
        <w:rPr>
          <w:rFonts w:hint="eastAsia" w:ascii="宋体"/>
          <w:color w:val="auto"/>
          <w:sz w:val="22"/>
          <w:lang w:val="en-US" w:eastAsia="zh-CN"/>
        </w:rPr>
        <w:t>3</w:t>
      </w:r>
      <w:r>
        <w:rPr>
          <w:rFonts w:hint="eastAsia" w:ascii="宋体"/>
          <w:color w:val="auto"/>
          <w:sz w:val="22"/>
          <w:lang w:eastAsia="zh-CN"/>
        </w:rPr>
        <w:t>）</w:t>
      </w:r>
      <w:r>
        <w:rPr>
          <w:rFonts w:hint="eastAsia" w:ascii="宋体"/>
          <w:color w:val="auto"/>
          <w:sz w:val="22"/>
        </w:rPr>
        <w:t>供应商在投标文件中说明保质期内提供的服务计划。</w:t>
      </w:r>
    </w:p>
    <w:p>
      <w:pPr>
        <w:spacing w:line="400" w:lineRule="atLeast"/>
        <w:ind w:firstLine="223" w:firstLineChars="100"/>
        <w:rPr>
          <w:rFonts w:hint="eastAsia" w:ascii="宋体"/>
          <w:color w:val="auto"/>
          <w:sz w:val="22"/>
        </w:rPr>
      </w:pPr>
      <w:r>
        <w:rPr>
          <w:rFonts w:hint="eastAsia" w:ascii="宋体"/>
          <w:color w:val="auto"/>
          <w:sz w:val="22"/>
          <w:lang w:eastAsia="zh-CN"/>
        </w:rPr>
        <w:t>（</w:t>
      </w:r>
      <w:r>
        <w:rPr>
          <w:rFonts w:hint="eastAsia" w:ascii="宋体"/>
          <w:color w:val="auto"/>
          <w:sz w:val="22"/>
          <w:lang w:val="en-US" w:eastAsia="zh-CN"/>
        </w:rPr>
        <w:t>4</w:t>
      </w:r>
      <w:r>
        <w:rPr>
          <w:rFonts w:hint="eastAsia" w:ascii="宋体"/>
          <w:color w:val="auto"/>
          <w:sz w:val="22"/>
          <w:lang w:eastAsia="zh-CN"/>
        </w:rPr>
        <w:t>）</w:t>
      </w:r>
      <w:r>
        <w:rPr>
          <w:rFonts w:hint="eastAsia" w:ascii="宋体"/>
          <w:color w:val="auto"/>
          <w:sz w:val="22"/>
        </w:rPr>
        <w:t>质量保修期内，要求供应商7×24小时电话响应技术咨询；除非招标文件另有规定，供应商须在接到采购人维修要求电话后，12小时内派技术人员到现场维修。</w:t>
      </w:r>
    </w:p>
    <w:p>
      <w:pPr>
        <w:spacing w:line="400" w:lineRule="atLeast"/>
        <w:ind w:firstLine="223" w:firstLineChars="100"/>
        <w:rPr>
          <w:rFonts w:hint="eastAsia" w:ascii="宋体"/>
          <w:color w:val="auto"/>
          <w:sz w:val="22"/>
        </w:rPr>
      </w:pPr>
      <w:r>
        <w:rPr>
          <w:rFonts w:hint="eastAsia" w:ascii="宋体"/>
          <w:color w:val="auto"/>
          <w:sz w:val="22"/>
          <w:lang w:eastAsia="zh-CN"/>
        </w:rPr>
        <w:t>（</w:t>
      </w:r>
      <w:r>
        <w:rPr>
          <w:rFonts w:hint="eastAsia" w:ascii="宋体"/>
          <w:color w:val="auto"/>
          <w:sz w:val="22"/>
          <w:lang w:val="en-US" w:eastAsia="zh-CN"/>
        </w:rPr>
        <w:t>5</w:t>
      </w:r>
      <w:r>
        <w:rPr>
          <w:rFonts w:hint="eastAsia" w:ascii="宋体"/>
          <w:color w:val="auto"/>
          <w:sz w:val="22"/>
          <w:lang w:eastAsia="zh-CN"/>
        </w:rPr>
        <w:t>）</w:t>
      </w:r>
      <w:r>
        <w:rPr>
          <w:rFonts w:hint="eastAsia" w:ascii="宋体"/>
          <w:color w:val="auto"/>
          <w:sz w:val="22"/>
        </w:rPr>
        <w:t>中标（成交）供应商在</w:t>
      </w:r>
      <w:r>
        <w:rPr>
          <w:rFonts w:hint="eastAsia" w:ascii="宋体"/>
          <w:color w:val="auto"/>
          <w:sz w:val="22"/>
          <w:lang w:val="en-US" w:eastAsia="zh-CN"/>
        </w:rPr>
        <w:t>服务期</w:t>
      </w:r>
      <w:r>
        <w:rPr>
          <w:rFonts w:hint="eastAsia" w:ascii="宋体"/>
          <w:color w:val="auto"/>
          <w:sz w:val="22"/>
        </w:rPr>
        <w:t>内提供免费的维护工作。</w:t>
      </w:r>
    </w:p>
    <w:p>
      <w:pPr>
        <w:snapToGrid w:val="0"/>
        <w:spacing w:line="400" w:lineRule="atLeast"/>
        <w:rPr>
          <w:rFonts w:ascii="宋体"/>
          <w:color w:val="auto"/>
          <w:sz w:val="22"/>
        </w:rPr>
      </w:pPr>
      <w:r>
        <w:rPr>
          <w:rFonts w:hint="eastAsia" w:ascii="宋体"/>
          <w:color w:val="auto"/>
          <w:sz w:val="22"/>
        </w:rPr>
        <w:t>第十二条：补救措施和索赔</w:t>
      </w:r>
    </w:p>
    <w:p>
      <w:pPr>
        <w:snapToGrid w:val="0"/>
        <w:spacing w:line="400" w:lineRule="atLeast"/>
        <w:ind w:firstLine="420"/>
        <w:rPr>
          <w:rFonts w:ascii="宋体"/>
          <w:color w:val="auto"/>
          <w:sz w:val="22"/>
        </w:rPr>
      </w:pPr>
      <w:r>
        <w:rPr>
          <w:rFonts w:hint="eastAsia" w:ascii="宋体"/>
          <w:color w:val="auto"/>
          <w:sz w:val="22"/>
        </w:rPr>
        <w:t>1. 甲方有权根据权威质量检测部门出具的检验报告向乙方提出索赔。</w:t>
      </w:r>
    </w:p>
    <w:p>
      <w:pPr>
        <w:snapToGrid w:val="0"/>
        <w:spacing w:line="400" w:lineRule="atLeast"/>
        <w:ind w:firstLine="420"/>
        <w:rPr>
          <w:rFonts w:ascii="宋体"/>
          <w:color w:val="auto"/>
          <w:sz w:val="22"/>
        </w:rPr>
      </w:pPr>
      <w:r>
        <w:rPr>
          <w:rFonts w:hint="eastAsia" w:ascii="宋体"/>
          <w:color w:val="auto"/>
          <w:sz w:val="22"/>
        </w:rPr>
        <w:t>2. 在质量保证期内，如果乙方对缺陷产品负有责任而甲方提出索赔，乙方应按照甲方同意的下列一种或多种方式解决索赔事宜，并且甲方可以收取乙方合同总价20%的违约金：</w:t>
      </w:r>
    </w:p>
    <w:p>
      <w:pPr>
        <w:snapToGrid w:val="0"/>
        <w:spacing w:line="400" w:lineRule="atLeast"/>
        <w:ind w:firstLine="446" w:firstLineChars="200"/>
        <w:rPr>
          <w:rFonts w:ascii="宋体"/>
          <w:color w:val="auto"/>
          <w:sz w:val="22"/>
        </w:rPr>
      </w:pPr>
      <w:r>
        <w:rPr>
          <w:rFonts w:hint="eastAsia" w:ascii="宋体"/>
          <w:color w:val="auto"/>
          <w:sz w:val="22"/>
        </w:rPr>
        <w:t>（1） 乙方退货并将货款退还给甲方，由此发生的一切费用和损失由乙方承担。</w:t>
      </w:r>
    </w:p>
    <w:p>
      <w:pPr>
        <w:snapToGrid w:val="0"/>
        <w:spacing w:line="400" w:lineRule="atLeast"/>
        <w:ind w:firstLine="446" w:firstLineChars="200"/>
        <w:rPr>
          <w:rFonts w:ascii="宋体"/>
          <w:color w:val="auto"/>
          <w:sz w:val="22"/>
        </w:rPr>
      </w:pPr>
      <w:r>
        <w:rPr>
          <w:rFonts w:hint="eastAsia" w:ascii="宋体"/>
          <w:color w:val="auto"/>
          <w:sz w:val="22"/>
        </w:rPr>
        <w:t>（2） 根据货物的质量状况以及甲方所遭受的损失，经过双方商定降低货物的价格。</w:t>
      </w:r>
    </w:p>
    <w:p>
      <w:pPr>
        <w:snapToGrid w:val="0"/>
        <w:spacing w:line="400" w:lineRule="atLeast"/>
        <w:ind w:firstLine="446" w:firstLineChars="200"/>
        <w:rPr>
          <w:rFonts w:ascii="宋体"/>
          <w:color w:val="auto"/>
          <w:sz w:val="22"/>
        </w:rPr>
      </w:pPr>
      <w:r>
        <w:rPr>
          <w:rFonts w:hint="eastAsia" w:ascii="宋体"/>
          <w:color w:val="auto"/>
          <w:sz w:val="22"/>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snapToGrid w:val="0"/>
        <w:spacing w:line="400" w:lineRule="atLeast"/>
        <w:ind w:firstLine="446" w:firstLineChars="200"/>
        <w:rPr>
          <w:rFonts w:ascii="宋体"/>
          <w:color w:val="auto"/>
          <w:sz w:val="22"/>
        </w:rPr>
      </w:pPr>
      <w:r>
        <w:rPr>
          <w:rFonts w:hint="eastAsia" w:ascii="宋体"/>
          <w:color w:val="auto"/>
          <w:sz w:val="22"/>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snapToGrid w:val="0"/>
        <w:spacing w:line="400" w:lineRule="atLeast"/>
        <w:rPr>
          <w:rFonts w:ascii="宋体"/>
          <w:color w:val="auto"/>
          <w:sz w:val="22"/>
        </w:rPr>
      </w:pPr>
      <w:r>
        <w:rPr>
          <w:rFonts w:hint="eastAsia" w:ascii="宋体"/>
          <w:color w:val="auto"/>
          <w:sz w:val="22"/>
        </w:rPr>
        <w:t>第十三条：履约延误</w:t>
      </w:r>
    </w:p>
    <w:p>
      <w:pPr>
        <w:snapToGrid w:val="0"/>
        <w:spacing w:line="400" w:lineRule="atLeast"/>
        <w:rPr>
          <w:rFonts w:ascii="宋体"/>
          <w:color w:val="auto"/>
          <w:sz w:val="22"/>
        </w:rPr>
      </w:pPr>
      <w:r>
        <w:rPr>
          <w:rFonts w:hint="eastAsia" w:ascii="宋体"/>
          <w:color w:val="auto"/>
          <w:sz w:val="22"/>
        </w:rPr>
        <w:t xml:space="preserve">    1. 乙方应按照《合同》规定的时间、地点交货和提供服务。</w:t>
      </w:r>
    </w:p>
    <w:p>
      <w:pPr>
        <w:snapToGrid w:val="0"/>
        <w:spacing w:line="400" w:lineRule="atLeast"/>
        <w:rPr>
          <w:rFonts w:ascii="宋体"/>
          <w:color w:val="auto"/>
          <w:sz w:val="22"/>
        </w:rPr>
      </w:pPr>
      <w:r>
        <w:rPr>
          <w:rFonts w:hint="eastAsia" w:ascii="宋体"/>
          <w:color w:val="auto"/>
          <w:sz w:val="22"/>
        </w:rPr>
        <w:t xml:space="preserve">    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snapToGrid w:val="0"/>
        <w:spacing w:line="400" w:lineRule="atLeast"/>
        <w:ind w:firstLine="446" w:firstLineChars="200"/>
        <w:rPr>
          <w:rFonts w:ascii="宋体"/>
          <w:color w:val="auto"/>
          <w:sz w:val="22"/>
        </w:rPr>
      </w:pPr>
      <w:r>
        <w:rPr>
          <w:rFonts w:hint="eastAsia" w:ascii="宋体"/>
          <w:color w:val="auto"/>
          <w:sz w:val="22"/>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p>
      <w:pPr>
        <w:snapToGrid w:val="0"/>
        <w:spacing w:line="400" w:lineRule="atLeast"/>
        <w:rPr>
          <w:rFonts w:ascii="宋体"/>
          <w:color w:val="auto"/>
          <w:sz w:val="22"/>
        </w:rPr>
      </w:pPr>
      <w:r>
        <w:rPr>
          <w:rFonts w:hint="eastAsia" w:ascii="宋体"/>
          <w:color w:val="auto"/>
          <w:sz w:val="22"/>
        </w:rPr>
        <w:t xml:space="preserve"> 第</w:t>
      </w:r>
      <w:r>
        <w:rPr>
          <w:rFonts w:hint="eastAsia"/>
          <w:color w:val="auto"/>
          <w:sz w:val="22"/>
        </w:rPr>
        <w:t>十四</w:t>
      </w:r>
      <w:r>
        <w:rPr>
          <w:rFonts w:hint="eastAsia" w:ascii="宋体"/>
          <w:color w:val="auto"/>
          <w:sz w:val="22"/>
        </w:rPr>
        <w:t>条：不可抗力</w:t>
      </w:r>
    </w:p>
    <w:p>
      <w:pPr>
        <w:snapToGrid w:val="0"/>
        <w:spacing w:line="400" w:lineRule="atLeast"/>
        <w:rPr>
          <w:rFonts w:ascii="宋体"/>
          <w:color w:val="auto"/>
          <w:sz w:val="22"/>
        </w:rPr>
      </w:pPr>
      <w:r>
        <w:rPr>
          <w:rFonts w:hint="eastAsia" w:ascii="宋体"/>
          <w:color w:val="auto"/>
          <w:sz w:val="22"/>
        </w:rPr>
        <w:t xml:space="preserve">    1. 如果合同各方因不可抗力而导致合同实施延误或不能履行合同义务的话，不应该承担误期赔偿或不能履行合同义务的责任。</w:t>
      </w:r>
    </w:p>
    <w:p>
      <w:pPr>
        <w:snapToGrid w:val="0"/>
        <w:spacing w:line="400" w:lineRule="atLeast"/>
        <w:rPr>
          <w:rFonts w:ascii="宋体"/>
          <w:color w:val="auto"/>
          <w:sz w:val="22"/>
        </w:rPr>
      </w:pPr>
      <w:r>
        <w:rPr>
          <w:rFonts w:hint="eastAsia" w:ascii="宋体"/>
          <w:color w:val="auto"/>
          <w:sz w:val="22"/>
        </w:rPr>
        <w:t xml:space="preserve">    2. 本条所述的“不可抗力”系指那些双方不可预见、不可避免、不可克服的事件，但不包括双方的违约或疏忽。这些事件包括但不限于：战争、严重火灾、洪水、梅雨、台风、地震、国家政策的重大变化，以及双方商定的其他事件。</w:t>
      </w:r>
    </w:p>
    <w:p>
      <w:pPr>
        <w:snapToGrid w:val="0"/>
        <w:spacing w:line="400" w:lineRule="atLeast"/>
        <w:rPr>
          <w:rFonts w:ascii="宋体"/>
          <w:color w:val="auto"/>
          <w:sz w:val="22"/>
        </w:rPr>
      </w:pPr>
      <w:r>
        <w:rPr>
          <w:rFonts w:hint="eastAsia" w:ascii="宋体"/>
          <w:color w:val="auto"/>
          <w:sz w:val="22"/>
        </w:rPr>
        <w:t xml:space="preserve">    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snapToGrid w:val="0"/>
        <w:spacing w:line="400" w:lineRule="atLeast"/>
        <w:rPr>
          <w:rFonts w:hAnsi="宋体"/>
          <w:b/>
          <w:bCs/>
          <w:color w:val="auto"/>
          <w:sz w:val="22"/>
        </w:rPr>
      </w:pPr>
      <w:r>
        <w:rPr>
          <w:rFonts w:hint="eastAsia" w:hAnsi="宋体"/>
          <w:color w:val="auto"/>
          <w:sz w:val="22"/>
        </w:rPr>
        <w:t>第</w:t>
      </w:r>
      <w:r>
        <w:rPr>
          <w:rFonts w:hint="eastAsia"/>
          <w:color w:val="auto"/>
          <w:sz w:val="22"/>
        </w:rPr>
        <w:t>十五</w:t>
      </w:r>
      <w:r>
        <w:rPr>
          <w:rFonts w:hint="eastAsia" w:hAnsi="宋体"/>
          <w:color w:val="auto"/>
          <w:sz w:val="22"/>
        </w:rPr>
        <w:t>条：争议的解决</w:t>
      </w:r>
    </w:p>
    <w:p>
      <w:pPr>
        <w:snapToGrid w:val="0"/>
        <w:spacing w:line="400" w:lineRule="atLeast"/>
        <w:ind w:firstLine="480"/>
        <w:rPr>
          <w:rFonts w:hAnsi="宋体"/>
          <w:b/>
          <w:bCs/>
          <w:color w:val="auto"/>
          <w:sz w:val="22"/>
        </w:rPr>
      </w:pPr>
      <w:r>
        <w:rPr>
          <w:rFonts w:hint="eastAsia" w:hAnsi="宋体"/>
          <w:color w:val="auto"/>
          <w:sz w:val="22"/>
        </w:rPr>
        <w:t>在发生所供商品的质量、售后服务等问题时，甲方有权直接向乙方索赔，签订必要的书面处理合同。协商不能解决的，任何一方有权在合同签约地选择仲裁或诉讼的途径解决。</w:t>
      </w:r>
    </w:p>
    <w:p>
      <w:pPr>
        <w:snapToGrid w:val="0"/>
        <w:spacing w:line="400" w:lineRule="atLeast"/>
        <w:rPr>
          <w:rFonts w:ascii="宋体"/>
          <w:color w:val="auto"/>
          <w:sz w:val="22"/>
        </w:rPr>
      </w:pPr>
      <w:r>
        <w:rPr>
          <w:rFonts w:hint="eastAsia" w:ascii="宋体"/>
          <w:color w:val="auto"/>
          <w:sz w:val="22"/>
        </w:rPr>
        <w:t>第十六条：违约处理</w:t>
      </w:r>
    </w:p>
    <w:p>
      <w:pPr>
        <w:snapToGrid w:val="0"/>
        <w:spacing w:line="400" w:lineRule="atLeast"/>
        <w:rPr>
          <w:rFonts w:ascii="宋体"/>
          <w:color w:val="auto"/>
          <w:sz w:val="22"/>
        </w:rPr>
      </w:pPr>
      <w:r>
        <w:rPr>
          <w:rFonts w:hint="eastAsia" w:ascii="宋体"/>
          <w:color w:val="auto"/>
          <w:sz w:val="22"/>
        </w:rPr>
        <w:t xml:space="preserve">    1. 在甲方对乙方违约而采取的任何补救措施不受影响的情况下，甲方可在下列情况下向乙方发出书面通知书，提出终止部分或全部合同。</w:t>
      </w:r>
    </w:p>
    <w:p>
      <w:pPr>
        <w:snapToGrid w:val="0"/>
        <w:spacing w:line="400" w:lineRule="atLeast"/>
        <w:rPr>
          <w:rFonts w:ascii="宋体"/>
          <w:color w:val="auto"/>
          <w:sz w:val="22"/>
        </w:rPr>
      </w:pPr>
      <w:r>
        <w:rPr>
          <w:rFonts w:hint="eastAsia" w:ascii="宋体"/>
          <w:color w:val="auto"/>
          <w:sz w:val="22"/>
        </w:rPr>
        <w:t xml:space="preserve">   （1）乙方提供的产品质量、配置不符合国家规定和承诺的标准；</w:t>
      </w:r>
    </w:p>
    <w:p>
      <w:pPr>
        <w:snapToGrid w:val="0"/>
        <w:spacing w:line="400" w:lineRule="atLeast"/>
        <w:ind w:firstLine="334" w:firstLineChars="150"/>
        <w:rPr>
          <w:rFonts w:ascii="宋体"/>
          <w:color w:val="auto"/>
          <w:sz w:val="22"/>
        </w:rPr>
      </w:pPr>
      <w:r>
        <w:rPr>
          <w:rFonts w:hint="eastAsia" w:ascii="宋体"/>
          <w:color w:val="auto"/>
          <w:sz w:val="22"/>
        </w:rPr>
        <w:t>（2）乙方没有按承诺的时间供货、维修或提供其他服务；</w:t>
      </w:r>
    </w:p>
    <w:p>
      <w:pPr>
        <w:snapToGrid w:val="0"/>
        <w:spacing w:line="400" w:lineRule="atLeast"/>
        <w:ind w:firstLine="334" w:firstLineChars="150"/>
        <w:rPr>
          <w:rFonts w:ascii="宋体"/>
          <w:color w:val="auto"/>
          <w:sz w:val="22"/>
        </w:rPr>
      </w:pPr>
      <w:r>
        <w:rPr>
          <w:rFonts w:hint="eastAsia" w:ascii="宋体"/>
          <w:color w:val="auto"/>
          <w:sz w:val="22"/>
        </w:rPr>
        <w:t>（3）乙方没有按承诺的价格或优惠率签订合同并供货。</w:t>
      </w:r>
    </w:p>
    <w:p>
      <w:pPr>
        <w:snapToGrid w:val="0"/>
        <w:spacing w:line="400" w:lineRule="atLeast"/>
        <w:ind w:firstLine="440"/>
        <w:rPr>
          <w:rFonts w:ascii="宋体"/>
          <w:color w:val="auto"/>
          <w:sz w:val="22"/>
        </w:rPr>
      </w:pPr>
      <w:r>
        <w:rPr>
          <w:rFonts w:hint="eastAsia" w:ascii="宋体"/>
          <w:color w:val="auto"/>
          <w:sz w:val="22"/>
        </w:rPr>
        <w:t>2. 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snapToGrid w:val="0"/>
        <w:spacing w:line="400" w:lineRule="atLeast"/>
        <w:ind w:firstLine="440"/>
        <w:rPr>
          <w:rFonts w:ascii="宋体"/>
          <w:color w:val="auto"/>
          <w:sz w:val="22"/>
        </w:rPr>
      </w:pPr>
      <w:r>
        <w:rPr>
          <w:rFonts w:hint="eastAsia" w:ascii="宋体"/>
          <w:color w:val="auto"/>
          <w:sz w:val="22"/>
        </w:rPr>
        <w:t>3. 乙方未能按照投标文件承诺通过验收，造成甲方换货、退货的，可以视为乙方提供虚投标假资料谋求中标(成交)，甲方可以上报财政管理部门，由财政部门予以处理。</w:t>
      </w:r>
    </w:p>
    <w:p>
      <w:pPr>
        <w:snapToGrid w:val="0"/>
        <w:spacing w:line="400" w:lineRule="atLeast"/>
        <w:rPr>
          <w:rFonts w:ascii="宋体"/>
          <w:color w:val="auto"/>
          <w:sz w:val="22"/>
        </w:rPr>
      </w:pPr>
      <w:r>
        <w:rPr>
          <w:rFonts w:hint="eastAsia" w:ascii="宋体"/>
          <w:color w:val="auto"/>
          <w:sz w:val="22"/>
        </w:rPr>
        <w:t>第十七条：合同转让和分包</w:t>
      </w:r>
    </w:p>
    <w:p>
      <w:pPr>
        <w:snapToGrid w:val="0"/>
        <w:spacing w:line="400" w:lineRule="atLeast"/>
        <w:rPr>
          <w:rFonts w:ascii="宋体"/>
          <w:color w:val="auto"/>
          <w:sz w:val="22"/>
        </w:rPr>
      </w:pPr>
      <w:r>
        <w:rPr>
          <w:rFonts w:hint="eastAsia" w:ascii="宋体"/>
          <w:color w:val="auto"/>
          <w:sz w:val="22"/>
        </w:rPr>
        <w:t xml:space="preserve">    除甲方事先书面同意外，乙方不得转让和分包其应履行的合同义务。</w:t>
      </w:r>
    </w:p>
    <w:p>
      <w:pPr>
        <w:snapToGrid w:val="0"/>
        <w:spacing w:line="400" w:lineRule="atLeast"/>
        <w:rPr>
          <w:rFonts w:ascii="宋体"/>
          <w:color w:val="auto"/>
          <w:sz w:val="22"/>
        </w:rPr>
      </w:pPr>
      <w:r>
        <w:rPr>
          <w:rFonts w:hint="eastAsia" w:ascii="宋体"/>
          <w:color w:val="auto"/>
          <w:sz w:val="22"/>
        </w:rPr>
        <w:t>第十八条：合同生效</w:t>
      </w:r>
    </w:p>
    <w:p>
      <w:pPr>
        <w:snapToGrid w:val="0"/>
        <w:spacing w:line="400" w:lineRule="atLeast"/>
        <w:ind w:firstLine="480"/>
        <w:rPr>
          <w:rFonts w:hAnsi="宋体"/>
          <w:b/>
          <w:bCs/>
          <w:color w:val="auto"/>
          <w:sz w:val="22"/>
        </w:rPr>
      </w:pPr>
      <w:r>
        <w:rPr>
          <w:rFonts w:hint="eastAsia" w:hAnsi="宋体"/>
          <w:color w:val="auto"/>
          <w:sz w:val="22"/>
        </w:rPr>
        <w:t>1. 如上述文件与本合同有不符之处，以有利于甲方的为准。</w:t>
      </w:r>
    </w:p>
    <w:p>
      <w:pPr>
        <w:snapToGrid w:val="0"/>
        <w:spacing w:line="400" w:lineRule="atLeast"/>
        <w:ind w:firstLine="480"/>
        <w:rPr>
          <w:rFonts w:hAnsi="宋体"/>
          <w:b/>
          <w:bCs/>
          <w:color w:val="auto"/>
          <w:sz w:val="22"/>
        </w:rPr>
      </w:pPr>
      <w:r>
        <w:rPr>
          <w:rFonts w:hint="eastAsia" w:hAnsi="宋体"/>
          <w:color w:val="auto"/>
          <w:sz w:val="22"/>
        </w:rPr>
        <w:t>2. 本合同在甲方收到乙方提交的履约保证金后，双方法定代表人或授权代表签署并加盖印章后生效。</w:t>
      </w:r>
    </w:p>
    <w:p>
      <w:pPr>
        <w:snapToGrid w:val="0"/>
        <w:spacing w:line="400" w:lineRule="atLeast"/>
        <w:rPr>
          <w:rFonts w:ascii="宋体"/>
          <w:color w:val="auto"/>
          <w:sz w:val="22"/>
        </w:rPr>
      </w:pPr>
      <w:r>
        <w:rPr>
          <w:rFonts w:hint="eastAsia" w:ascii="宋体"/>
          <w:color w:val="auto"/>
          <w:sz w:val="22"/>
        </w:rPr>
        <w:t>第</w:t>
      </w:r>
      <w:r>
        <w:rPr>
          <w:rFonts w:hint="eastAsia"/>
          <w:color w:val="auto"/>
          <w:sz w:val="22"/>
        </w:rPr>
        <w:t>十九</w:t>
      </w:r>
      <w:r>
        <w:rPr>
          <w:rFonts w:hint="eastAsia" w:ascii="宋体"/>
          <w:color w:val="auto"/>
          <w:sz w:val="22"/>
        </w:rPr>
        <w:t>条：合同修改</w:t>
      </w:r>
    </w:p>
    <w:p>
      <w:pPr>
        <w:snapToGrid w:val="0"/>
        <w:spacing w:line="400" w:lineRule="atLeast"/>
        <w:ind w:firstLine="480"/>
        <w:rPr>
          <w:rFonts w:ascii="宋体"/>
          <w:color w:val="auto"/>
          <w:sz w:val="22"/>
        </w:rPr>
      </w:pPr>
      <w:r>
        <w:rPr>
          <w:rFonts w:hint="eastAsia" w:ascii="宋体"/>
          <w:color w:val="auto"/>
          <w:sz w:val="22"/>
        </w:rPr>
        <w:t>除了双方签署书面修改合同，并成为本合同不可分割的一部分之外，本合同条件不得有任何变化或修改。</w:t>
      </w:r>
    </w:p>
    <w:p>
      <w:pPr>
        <w:snapToGrid w:val="0"/>
        <w:spacing w:line="400" w:lineRule="atLeast"/>
        <w:rPr>
          <w:rFonts w:hAnsi="宋体"/>
          <w:b/>
          <w:bCs/>
          <w:color w:val="auto"/>
          <w:sz w:val="22"/>
        </w:rPr>
      </w:pPr>
      <w:r>
        <w:rPr>
          <w:rFonts w:hint="eastAsia" w:hAnsi="宋体"/>
          <w:color w:val="auto"/>
          <w:sz w:val="22"/>
        </w:rPr>
        <w:t>第二十条 合同附件</w:t>
      </w:r>
    </w:p>
    <w:p>
      <w:pPr>
        <w:snapToGrid w:val="0"/>
        <w:spacing w:line="400" w:lineRule="atLeast"/>
        <w:rPr>
          <w:rFonts w:ascii="宋体"/>
          <w:color w:val="auto"/>
          <w:sz w:val="22"/>
        </w:rPr>
      </w:pPr>
      <w:r>
        <w:rPr>
          <w:rFonts w:hint="eastAsia" w:ascii="宋体"/>
          <w:color w:val="auto"/>
          <w:sz w:val="22"/>
        </w:rPr>
        <w:t xml:space="preserve">    下列文件与本合同具有同等法律效力：</w:t>
      </w:r>
    </w:p>
    <w:p>
      <w:pPr>
        <w:snapToGrid w:val="0"/>
        <w:spacing w:line="400" w:lineRule="atLeast"/>
        <w:ind w:firstLine="436" w:firstLineChars="196"/>
        <w:rPr>
          <w:rFonts w:ascii="宋体"/>
          <w:color w:val="auto"/>
          <w:sz w:val="22"/>
        </w:rPr>
      </w:pPr>
      <w:r>
        <w:rPr>
          <w:rFonts w:hint="eastAsia" w:ascii="宋体"/>
          <w:color w:val="auto"/>
          <w:sz w:val="22"/>
        </w:rPr>
        <w:t>1. 甲方的招标文件与招标补充文件；</w:t>
      </w:r>
    </w:p>
    <w:p>
      <w:pPr>
        <w:snapToGrid w:val="0"/>
        <w:spacing w:line="400" w:lineRule="atLeast"/>
        <w:ind w:firstLine="436" w:firstLineChars="196"/>
        <w:rPr>
          <w:rFonts w:ascii="宋体"/>
          <w:color w:val="auto"/>
          <w:sz w:val="22"/>
        </w:rPr>
      </w:pPr>
      <w:r>
        <w:rPr>
          <w:rFonts w:hint="eastAsia" w:ascii="宋体"/>
          <w:color w:val="auto"/>
          <w:sz w:val="22"/>
        </w:rPr>
        <w:t>2. 乙方投标文件；</w:t>
      </w:r>
    </w:p>
    <w:p>
      <w:pPr>
        <w:snapToGrid w:val="0"/>
        <w:spacing w:line="400" w:lineRule="atLeast"/>
        <w:ind w:firstLine="436" w:firstLineChars="196"/>
        <w:rPr>
          <w:rFonts w:ascii="宋体"/>
          <w:color w:val="auto"/>
          <w:sz w:val="22"/>
        </w:rPr>
      </w:pPr>
      <w:r>
        <w:rPr>
          <w:rFonts w:hint="eastAsia" w:ascii="宋体"/>
          <w:color w:val="auto"/>
          <w:sz w:val="22"/>
        </w:rPr>
        <w:t>3. 询标纪要和承诺书；</w:t>
      </w:r>
    </w:p>
    <w:p>
      <w:pPr>
        <w:snapToGrid w:val="0"/>
        <w:spacing w:line="400" w:lineRule="atLeast"/>
        <w:ind w:left="451" w:leftChars="208" w:hanging="8" w:hangingChars="4"/>
        <w:rPr>
          <w:rFonts w:hint="default" w:ascii="宋体"/>
          <w:color w:val="auto"/>
          <w:sz w:val="22"/>
          <w:lang w:val="en-US" w:eastAsia="zh-CN"/>
        </w:rPr>
      </w:pPr>
      <w:r>
        <w:rPr>
          <w:rFonts w:hint="eastAsia" w:ascii="宋体"/>
          <w:color w:val="auto"/>
          <w:sz w:val="22"/>
        </w:rPr>
        <w:t>4. 中标(成交)通知书。</w:t>
      </w:r>
      <w:r>
        <w:rPr>
          <w:rFonts w:hint="eastAsia" w:ascii="宋体"/>
          <w:color w:val="auto"/>
          <w:sz w:val="22"/>
        </w:rPr>
        <w:br w:type="textWrapping"/>
      </w:r>
      <w:r>
        <w:rPr>
          <w:rFonts w:hint="eastAsia" w:ascii="宋体"/>
          <w:color w:val="auto"/>
          <w:sz w:val="22"/>
          <w:lang w:val="en-US" w:eastAsia="zh-CN"/>
        </w:rPr>
        <w:t>5.《泰顺县水利工程可视化项目考核管理办法》（暂定）</w:t>
      </w:r>
    </w:p>
    <w:p>
      <w:pPr>
        <w:snapToGrid w:val="0"/>
        <w:spacing w:line="400" w:lineRule="atLeast"/>
        <w:ind w:firstLine="446" w:firstLineChars="200"/>
        <w:rPr>
          <w:rFonts w:ascii="宋体"/>
          <w:color w:val="auto"/>
          <w:sz w:val="22"/>
        </w:rPr>
      </w:pPr>
    </w:p>
    <w:p>
      <w:pPr>
        <w:spacing w:line="400" w:lineRule="atLeast"/>
        <w:rPr>
          <w:rFonts w:hAnsi="宋体"/>
          <w:b/>
          <w:bCs/>
          <w:color w:val="auto"/>
          <w:sz w:val="22"/>
        </w:rPr>
      </w:pPr>
      <w:r>
        <w:rPr>
          <w:rFonts w:hint="eastAsia" w:hAnsi="宋体"/>
          <w:color w:val="auto"/>
          <w:sz w:val="22"/>
        </w:rPr>
        <w:t>甲方(盖章)：                              乙方（盖章）</w:t>
      </w:r>
    </w:p>
    <w:p>
      <w:pPr>
        <w:spacing w:line="400" w:lineRule="atLeast"/>
        <w:rPr>
          <w:rFonts w:hAnsi="宋体"/>
          <w:b/>
          <w:bCs/>
          <w:color w:val="auto"/>
          <w:sz w:val="22"/>
        </w:rPr>
      </w:pPr>
      <w:r>
        <w:rPr>
          <w:rFonts w:hint="eastAsia" w:hAnsi="宋体"/>
          <w:color w:val="auto"/>
          <w:sz w:val="22"/>
        </w:rPr>
        <w:t>法定代表人：                              法定代表人：</w:t>
      </w:r>
    </w:p>
    <w:p>
      <w:pPr>
        <w:spacing w:line="400" w:lineRule="atLeast"/>
        <w:rPr>
          <w:rFonts w:hAnsi="宋体"/>
          <w:b/>
          <w:bCs/>
          <w:color w:val="auto"/>
          <w:sz w:val="22"/>
        </w:rPr>
      </w:pPr>
      <w:r>
        <w:rPr>
          <w:rFonts w:hint="eastAsia" w:hAnsi="宋体"/>
          <w:color w:val="auto"/>
          <w:sz w:val="22"/>
        </w:rPr>
        <w:t>开户银行：                                开户银行：</w:t>
      </w:r>
    </w:p>
    <w:p>
      <w:pPr>
        <w:spacing w:line="400" w:lineRule="atLeast"/>
        <w:rPr>
          <w:rFonts w:hAnsi="宋体"/>
          <w:b/>
          <w:bCs/>
          <w:color w:val="auto"/>
          <w:sz w:val="22"/>
        </w:rPr>
      </w:pPr>
      <w:r>
        <w:rPr>
          <w:rFonts w:hint="eastAsia" w:hAnsi="宋体"/>
          <w:color w:val="auto"/>
          <w:sz w:val="22"/>
        </w:rPr>
        <w:t>开户名称：                                开户名称：</w:t>
      </w:r>
    </w:p>
    <w:p>
      <w:pPr>
        <w:spacing w:line="400" w:lineRule="atLeast"/>
        <w:rPr>
          <w:rFonts w:hAnsi="宋体"/>
          <w:b/>
          <w:bCs/>
          <w:color w:val="auto"/>
          <w:sz w:val="22"/>
        </w:rPr>
      </w:pPr>
      <w:r>
        <w:rPr>
          <w:rFonts w:hint="eastAsia" w:hAnsi="宋体"/>
          <w:color w:val="auto"/>
          <w:sz w:val="22"/>
        </w:rPr>
        <w:t>账号：                                     账号：</w:t>
      </w:r>
    </w:p>
    <w:p>
      <w:pPr>
        <w:spacing w:line="400" w:lineRule="atLeast"/>
        <w:rPr>
          <w:rFonts w:hAnsi="宋体"/>
          <w:b/>
          <w:bCs/>
          <w:color w:val="auto"/>
          <w:sz w:val="22"/>
        </w:rPr>
      </w:pPr>
      <w:r>
        <w:rPr>
          <w:rFonts w:hint="eastAsia" w:hAnsi="宋体"/>
          <w:color w:val="auto"/>
          <w:sz w:val="22"/>
        </w:rPr>
        <w:t>签约日期：                                 签约地点：</w:t>
      </w:r>
    </w:p>
    <w:p>
      <w:pPr>
        <w:spacing w:line="380" w:lineRule="exact"/>
        <w:ind w:firstLine="327" w:firstLineChars="147"/>
        <w:rPr>
          <w:rFonts w:hAnsi="宋体"/>
          <w:b/>
          <w:bCs/>
          <w:color w:val="auto"/>
          <w:sz w:val="22"/>
        </w:rPr>
      </w:pPr>
    </w:p>
    <w:p>
      <w:pPr>
        <w:autoSpaceDE w:val="0"/>
        <w:autoSpaceDN w:val="0"/>
        <w:adjustRightInd w:val="0"/>
        <w:spacing w:line="380" w:lineRule="exact"/>
        <w:ind w:firstLine="446" w:firstLineChars="200"/>
        <w:textAlignment w:val="bottom"/>
        <w:rPr>
          <w:rFonts w:ascii="宋体" w:cs="Arial"/>
          <w:color w:val="auto"/>
          <w:sz w:val="22"/>
        </w:rPr>
      </w:pPr>
      <w:r>
        <w:rPr>
          <w:rFonts w:hint="eastAsia" w:ascii="宋体" w:hAnsi="宋体" w:cs="Arial"/>
          <w:color w:val="auto"/>
          <w:sz w:val="22"/>
          <w:u w:val="wave"/>
        </w:rPr>
        <w:t>注：本合同作为示范文本，具体以成交人与采购人所签定正式合同为准。</w:t>
      </w:r>
    </w:p>
    <w:p>
      <w:pPr>
        <w:widowControl/>
        <w:spacing w:line="380" w:lineRule="exact"/>
        <w:ind w:left="550"/>
        <w:jc w:val="left"/>
        <w:rPr>
          <w:rFonts w:ascii="宋体" w:cs="宋体"/>
          <w:color w:val="auto"/>
          <w:sz w:val="22"/>
        </w:rPr>
      </w:pPr>
    </w:p>
    <w:p>
      <w:pPr>
        <w:autoSpaceDE w:val="0"/>
        <w:autoSpaceDN w:val="0"/>
        <w:adjustRightInd w:val="0"/>
        <w:spacing w:line="360" w:lineRule="exact"/>
        <w:jc w:val="center"/>
        <w:rPr>
          <w:rFonts w:ascii="宋体"/>
          <w:b/>
          <w:bCs/>
          <w:color w:val="auto"/>
          <w:sz w:val="28"/>
          <w:szCs w:val="28"/>
          <w:lang w:val="zh-CN"/>
        </w:rPr>
      </w:pPr>
      <w:r>
        <w:rPr>
          <w:rFonts w:hint="eastAsia" w:ascii="宋体" w:hAnsi="宋体" w:cs="宋体"/>
          <w:bCs/>
          <w:color w:val="auto"/>
          <w:sz w:val="28"/>
          <w:szCs w:val="28"/>
        </w:rPr>
        <w:t>《泰顺县水利工程可视化项目考核管理办法》</w:t>
      </w: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暂定</w:t>
      </w:r>
      <w:r>
        <w:rPr>
          <w:rFonts w:hint="eastAsia" w:ascii="宋体" w:hAnsi="宋体" w:cs="宋体"/>
          <w:bCs/>
          <w:color w:val="auto"/>
          <w:sz w:val="28"/>
          <w:szCs w:val="28"/>
          <w:lang w:eastAsia="zh-CN"/>
        </w:rPr>
        <w:t>）</w:t>
      </w:r>
    </w:p>
    <w:p>
      <w:pPr>
        <w:keepNext/>
        <w:keepLines/>
        <w:spacing w:before="100" w:beforeAutospacing="1" w:after="100" w:afterAutospacing="1" w:line="360" w:lineRule="auto"/>
        <w:contextualSpacing/>
        <w:jc w:val="both"/>
        <w:outlineLvl w:val="3"/>
        <w:rPr>
          <w:rFonts w:hint="eastAsia" w:ascii="宋体" w:hAnsi="宋体" w:eastAsia="宋体" w:cs="宋体"/>
          <w:b/>
          <w:color w:val="auto"/>
          <w:sz w:val="22"/>
          <w:szCs w:val="22"/>
        </w:rPr>
      </w:pPr>
      <w:r>
        <w:rPr>
          <w:rFonts w:hint="eastAsia" w:ascii="宋体" w:hAnsi="宋体" w:eastAsia="宋体" w:cs="宋体"/>
          <w:b/>
          <w:color w:val="auto"/>
          <w:sz w:val="22"/>
          <w:szCs w:val="22"/>
          <w:lang w:val="en-US" w:eastAsia="zh-CN"/>
        </w:rPr>
        <w:t>一、</w:t>
      </w:r>
      <w:r>
        <w:rPr>
          <w:rFonts w:hint="eastAsia" w:ascii="宋体" w:hAnsi="宋体" w:eastAsia="宋体" w:cs="宋体"/>
          <w:b/>
          <w:color w:val="auto"/>
          <w:sz w:val="22"/>
          <w:szCs w:val="22"/>
        </w:rPr>
        <w:t>定期运行维护的具体内容、要求、周期及目标</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6"/>
        <w:gridCol w:w="1984"/>
        <w:gridCol w:w="1540"/>
        <w:gridCol w:w="46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jc w:val="center"/>
        </w:trPr>
        <w:tc>
          <w:tcPr>
            <w:tcW w:w="776" w:type="dxa"/>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序号</w:t>
            </w:r>
          </w:p>
        </w:tc>
        <w:tc>
          <w:tcPr>
            <w:tcW w:w="1984" w:type="dxa"/>
            <w:tcBorders>
              <w:right w:val="single" w:color="auto" w:sz="4" w:space="0"/>
            </w:tcBorders>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维护内容</w:t>
            </w:r>
          </w:p>
        </w:tc>
        <w:tc>
          <w:tcPr>
            <w:tcW w:w="1540" w:type="dxa"/>
            <w:tcBorders>
              <w:left w:val="single" w:color="auto" w:sz="4" w:space="0"/>
            </w:tcBorders>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维护周期</w:t>
            </w:r>
          </w:p>
        </w:tc>
        <w:tc>
          <w:tcPr>
            <w:tcW w:w="4651" w:type="dxa"/>
            <w:noWrap w:val="0"/>
            <w:vAlign w:val="center"/>
          </w:tcPr>
          <w:p>
            <w:pPr>
              <w:spacing w:line="360" w:lineRule="auto"/>
              <w:contextualSpacing/>
              <w:rPr>
                <w:rFonts w:ascii="宋体" w:hAnsi="宋体"/>
                <w:color w:val="auto"/>
                <w:sz w:val="21"/>
                <w:szCs w:val="21"/>
              </w:rPr>
            </w:pPr>
            <w:r>
              <w:rPr>
                <w:rFonts w:hint="eastAsia" w:ascii="宋体" w:hAnsi="宋体"/>
                <w:color w:val="auto"/>
                <w:sz w:val="21"/>
                <w:szCs w:val="21"/>
              </w:rPr>
              <w:t>维护要求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6" w:type="dxa"/>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1</w:t>
            </w:r>
          </w:p>
        </w:tc>
        <w:tc>
          <w:tcPr>
            <w:tcW w:w="1984" w:type="dxa"/>
            <w:tcBorders>
              <w:right w:val="single" w:color="auto" w:sz="4" w:space="0"/>
            </w:tcBorders>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硬件设备检查</w:t>
            </w:r>
          </w:p>
        </w:tc>
        <w:tc>
          <w:tcPr>
            <w:tcW w:w="1540" w:type="dxa"/>
            <w:tcBorders>
              <w:left w:val="single" w:color="auto" w:sz="4" w:space="0"/>
            </w:tcBorders>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1次/月</w:t>
            </w:r>
          </w:p>
        </w:tc>
        <w:tc>
          <w:tcPr>
            <w:tcW w:w="4651" w:type="dxa"/>
            <w:noWrap w:val="0"/>
            <w:vAlign w:val="center"/>
          </w:tcPr>
          <w:p>
            <w:pPr>
              <w:numPr>
                <w:ilvl w:val="0"/>
                <w:numId w:val="32"/>
              </w:numPr>
              <w:autoSpaceDE/>
              <w:autoSpaceDN/>
              <w:adjustRightInd/>
              <w:spacing w:line="360" w:lineRule="auto"/>
              <w:ind w:left="0" w:leftChars="0" w:firstLine="0" w:firstLineChars="0"/>
              <w:contextualSpacing/>
              <w:textAlignment w:val="auto"/>
              <w:rPr>
                <w:rFonts w:ascii="宋体" w:hAnsi="宋体"/>
                <w:color w:val="auto"/>
                <w:kern w:val="2"/>
                <w:sz w:val="21"/>
                <w:szCs w:val="21"/>
              </w:rPr>
            </w:pPr>
            <w:r>
              <w:rPr>
                <w:rFonts w:hint="eastAsia" w:ascii="宋体" w:hAnsi="宋体"/>
                <w:color w:val="auto"/>
                <w:kern w:val="2"/>
                <w:sz w:val="21"/>
                <w:szCs w:val="21"/>
              </w:rPr>
              <w:t>清洁数字高清摄像机机体，检查镜头是否清晰、云台是否正常转动、护罩是否破损</w:t>
            </w:r>
            <w:r>
              <w:rPr>
                <w:rFonts w:hint="eastAsia" w:ascii="宋体" w:hAnsi="宋体" w:eastAsia="宋体"/>
                <w:color w:val="auto"/>
                <w:kern w:val="2"/>
                <w:sz w:val="21"/>
                <w:szCs w:val="21"/>
                <w:lang w:eastAsia="zh-CN"/>
              </w:rPr>
              <w:t>、是否有遮挡物</w:t>
            </w:r>
            <w:r>
              <w:rPr>
                <w:rFonts w:hint="eastAsia" w:ascii="宋体" w:hAnsi="宋体"/>
                <w:color w:val="auto"/>
                <w:kern w:val="2"/>
                <w:sz w:val="21"/>
                <w:szCs w:val="21"/>
              </w:rPr>
              <w:t>、设备是否正常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6" w:type="dxa"/>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2</w:t>
            </w:r>
          </w:p>
        </w:tc>
        <w:tc>
          <w:tcPr>
            <w:tcW w:w="1984" w:type="dxa"/>
            <w:tcBorders>
              <w:right w:val="single" w:color="auto" w:sz="4" w:space="0"/>
            </w:tcBorders>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供电系统检查</w:t>
            </w:r>
          </w:p>
        </w:tc>
        <w:tc>
          <w:tcPr>
            <w:tcW w:w="1540" w:type="dxa"/>
            <w:tcBorders>
              <w:left w:val="single" w:color="auto" w:sz="4" w:space="0"/>
            </w:tcBorders>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1次/月</w:t>
            </w:r>
          </w:p>
        </w:tc>
        <w:tc>
          <w:tcPr>
            <w:tcW w:w="4651" w:type="dxa"/>
            <w:noWrap w:val="0"/>
            <w:vAlign w:val="center"/>
          </w:tcPr>
          <w:p>
            <w:pPr>
              <w:numPr>
                <w:ilvl w:val="0"/>
                <w:numId w:val="33"/>
              </w:numPr>
              <w:autoSpaceDE/>
              <w:autoSpaceDN/>
              <w:adjustRightInd/>
              <w:spacing w:line="360" w:lineRule="auto"/>
              <w:ind w:left="0" w:leftChars="0" w:firstLine="0" w:firstLineChars="0"/>
              <w:contextualSpacing/>
              <w:textAlignment w:val="auto"/>
              <w:rPr>
                <w:rFonts w:ascii="宋体" w:hAnsi="宋体"/>
                <w:color w:val="auto"/>
                <w:kern w:val="2"/>
                <w:sz w:val="21"/>
                <w:szCs w:val="21"/>
              </w:rPr>
            </w:pPr>
            <w:r>
              <w:rPr>
                <w:rFonts w:hint="eastAsia" w:ascii="宋体" w:hAnsi="宋体"/>
                <w:color w:val="auto"/>
                <w:kern w:val="2"/>
                <w:sz w:val="21"/>
                <w:szCs w:val="21"/>
              </w:rPr>
              <w:t>检查配电室到数字高清摄像机供电线路是否异常，重点检查线路接口防止短路情况</w:t>
            </w:r>
          </w:p>
          <w:p>
            <w:pPr>
              <w:numPr>
                <w:ilvl w:val="0"/>
                <w:numId w:val="33"/>
              </w:numPr>
              <w:autoSpaceDE/>
              <w:autoSpaceDN/>
              <w:adjustRightInd/>
              <w:spacing w:line="360" w:lineRule="auto"/>
              <w:ind w:left="0" w:leftChars="0" w:firstLine="0" w:firstLineChars="0"/>
              <w:contextualSpacing/>
              <w:textAlignment w:val="auto"/>
              <w:rPr>
                <w:rFonts w:ascii="宋体" w:hAnsi="宋体"/>
                <w:color w:val="auto"/>
                <w:kern w:val="2"/>
                <w:sz w:val="21"/>
                <w:szCs w:val="21"/>
              </w:rPr>
            </w:pPr>
            <w:r>
              <w:rPr>
                <w:rFonts w:hint="eastAsia" w:ascii="宋体" w:hAnsi="宋体"/>
                <w:color w:val="auto"/>
                <w:kern w:val="2"/>
                <w:sz w:val="21"/>
                <w:szCs w:val="21"/>
                <w:lang w:eastAsia="zh-CN"/>
              </w:rPr>
              <w:t>供电</w:t>
            </w:r>
            <w:r>
              <w:rPr>
                <w:rFonts w:hint="eastAsia" w:ascii="宋体" w:hAnsi="宋体"/>
                <w:color w:val="auto"/>
                <w:kern w:val="2"/>
                <w:sz w:val="21"/>
                <w:szCs w:val="21"/>
              </w:rPr>
              <w:t>是否正常工作，重点检查线路接口防止短路情况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6" w:type="dxa"/>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3</w:t>
            </w:r>
          </w:p>
        </w:tc>
        <w:tc>
          <w:tcPr>
            <w:tcW w:w="1984" w:type="dxa"/>
            <w:tcBorders>
              <w:right w:val="single" w:color="auto" w:sz="4" w:space="0"/>
            </w:tcBorders>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综合布线系统检查</w:t>
            </w:r>
          </w:p>
        </w:tc>
        <w:tc>
          <w:tcPr>
            <w:tcW w:w="1540" w:type="dxa"/>
            <w:tcBorders>
              <w:left w:val="single" w:color="auto" w:sz="4" w:space="0"/>
            </w:tcBorders>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1次/月</w:t>
            </w:r>
          </w:p>
        </w:tc>
        <w:tc>
          <w:tcPr>
            <w:tcW w:w="4651" w:type="dxa"/>
            <w:noWrap w:val="0"/>
            <w:vAlign w:val="center"/>
          </w:tcPr>
          <w:p>
            <w:pPr>
              <w:numPr>
                <w:ilvl w:val="0"/>
                <w:numId w:val="34"/>
              </w:numPr>
              <w:autoSpaceDE/>
              <w:autoSpaceDN/>
              <w:adjustRightInd/>
              <w:spacing w:line="360" w:lineRule="auto"/>
              <w:ind w:left="0" w:leftChars="0" w:firstLine="0" w:firstLineChars="0"/>
              <w:contextualSpacing/>
              <w:textAlignment w:val="auto"/>
              <w:rPr>
                <w:rFonts w:ascii="宋体" w:hAnsi="宋体"/>
                <w:color w:val="auto"/>
                <w:kern w:val="2"/>
                <w:sz w:val="21"/>
                <w:szCs w:val="21"/>
              </w:rPr>
            </w:pPr>
            <w:r>
              <w:rPr>
                <w:rFonts w:hint="eastAsia" w:ascii="宋体" w:hAnsi="宋体"/>
                <w:color w:val="auto"/>
                <w:kern w:val="2"/>
                <w:sz w:val="21"/>
                <w:szCs w:val="21"/>
              </w:rPr>
              <w:t>检查防雷器是否异常</w:t>
            </w:r>
          </w:p>
          <w:p>
            <w:pPr>
              <w:numPr>
                <w:ilvl w:val="0"/>
                <w:numId w:val="34"/>
              </w:numPr>
              <w:autoSpaceDE/>
              <w:autoSpaceDN/>
              <w:adjustRightInd/>
              <w:spacing w:line="360" w:lineRule="auto"/>
              <w:ind w:left="0" w:leftChars="0" w:firstLine="0" w:firstLineChars="0"/>
              <w:contextualSpacing/>
              <w:textAlignment w:val="auto"/>
              <w:rPr>
                <w:rFonts w:ascii="宋体" w:hAnsi="宋体"/>
                <w:color w:val="auto"/>
                <w:kern w:val="2"/>
                <w:sz w:val="21"/>
                <w:szCs w:val="21"/>
              </w:rPr>
            </w:pPr>
            <w:r>
              <w:rPr>
                <w:rFonts w:hint="eastAsia" w:ascii="宋体" w:hAnsi="宋体"/>
                <w:color w:val="auto"/>
                <w:kern w:val="2"/>
                <w:sz w:val="21"/>
                <w:szCs w:val="21"/>
              </w:rPr>
              <w:t>检查是否受损导致工程布线裸露，存在安全风险</w:t>
            </w:r>
          </w:p>
          <w:p>
            <w:pPr>
              <w:numPr>
                <w:ilvl w:val="0"/>
                <w:numId w:val="34"/>
              </w:numPr>
              <w:autoSpaceDE/>
              <w:autoSpaceDN/>
              <w:adjustRightInd/>
              <w:spacing w:line="360" w:lineRule="auto"/>
              <w:ind w:left="0" w:leftChars="0" w:firstLine="0" w:firstLineChars="0"/>
              <w:contextualSpacing/>
              <w:textAlignment w:val="auto"/>
              <w:rPr>
                <w:rFonts w:ascii="宋体" w:hAnsi="宋体"/>
                <w:color w:val="auto"/>
                <w:kern w:val="2"/>
                <w:sz w:val="21"/>
                <w:szCs w:val="21"/>
              </w:rPr>
            </w:pPr>
            <w:r>
              <w:rPr>
                <w:rFonts w:hint="eastAsia" w:ascii="宋体" w:hAnsi="宋体"/>
                <w:color w:val="auto"/>
                <w:kern w:val="2"/>
                <w:sz w:val="21"/>
                <w:szCs w:val="21"/>
              </w:rPr>
              <w:t>检查是否由于土壤松软导致立杆倾斜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6" w:type="dxa"/>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4</w:t>
            </w:r>
          </w:p>
        </w:tc>
        <w:tc>
          <w:tcPr>
            <w:tcW w:w="1984" w:type="dxa"/>
            <w:tcBorders>
              <w:right w:val="single" w:color="auto" w:sz="4" w:space="0"/>
            </w:tcBorders>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lang w:eastAsia="zh-CN"/>
              </w:rPr>
              <w:t>管理</w:t>
            </w:r>
            <w:r>
              <w:rPr>
                <w:rFonts w:hint="eastAsia" w:ascii="宋体" w:hAnsi="宋体"/>
                <w:color w:val="auto"/>
                <w:sz w:val="21"/>
                <w:szCs w:val="21"/>
              </w:rPr>
              <w:t>平台系统检查</w:t>
            </w:r>
          </w:p>
        </w:tc>
        <w:tc>
          <w:tcPr>
            <w:tcW w:w="1540" w:type="dxa"/>
            <w:tcBorders>
              <w:left w:val="single" w:color="auto" w:sz="4" w:space="0"/>
            </w:tcBorders>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1次/月</w:t>
            </w:r>
          </w:p>
        </w:tc>
        <w:tc>
          <w:tcPr>
            <w:tcW w:w="4651" w:type="dxa"/>
            <w:noWrap w:val="0"/>
            <w:vAlign w:val="center"/>
          </w:tcPr>
          <w:p>
            <w:pPr>
              <w:numPr>
                <w:ilvl w:val="0"/>
                <w:numId w:val="35"/>
              </w:numPr>
              <w:autoSpaceDE/>
              <w:autoSpaceDN/>
              <w:adjustRightInd/>
              <w:spacing w:line="360" w:lineRule="auto"/>
              <w:ind w:left="0" w:leftChars="0" w:firstLine="0" w:firstLineChars="0"/>
              <w:contextualSpacing/>
              <w:textAlignment w:val="auto"/>
              <w:rPr>
                <w:rFonts w:ascii="宋体" w:hAnsi="宋体"/>
                <w:color w:val="auto"/>
                <w:kern w:val="2"/>
                <w:sz w:val="21"/>
                <w:szCs w:val="21"/>
              </w:rPr>
            </w:pPr>
            <w:r>
              <w:rPr>
                <w:rFonts w:hint="eastAsia" w:ascii="宋体" w:hAnsi="宋体"/>
                <w:color w:val="auto"/>
                <w:kern w:val="2"/>
                <w:sz w:val="21"/>
                <w:szCs w:val="21"/>
                <w:lang w:eastAsia="zh-CN"/>
              </w:rPr>
              <w:t>管理</w:t>
            </w:r>
            <w:r>
              <w:rPr>
                <w:rFonts w:hint="eastAsia" w:ascii="宋体" w:hAnsi="宋体"/>
                <w:color w:val="auto"/>
                <w:kern w:val="2"/>
                <w:sz w:val="21"/>
                <w:szCs w:val="21"/>
              </w:rPr>
              <w:t>平台服务器系统检查，检查服务器性能是否满足业主功能需求</w:t>
            </w:r>
          </w:p>
          <w:p>
            <w:pPr>
              <w:numPr>
                <w:ilvl w:val="0"/>
                <w:numId w:val="35"/>
              </w:numPr>
              <w:autoSpaceDE/>
              <w:autoSpaceDN/>
              <w:adjustRightInd/>
              <w:spacing w:line="360" w:lineRule="auto"/>
              <w:ind w:left="0" w:leftChars="0" w:firstLine="0" w:firstLineChars="0"/>
              <w:contextualSpacing/>
              <w:textAlignment w:val="auto"/>
              <w:rPr>
                <w:rFonts w:ascii="宋体" w:hAnsi="宋体"/>
                <w:color w:val="auto"/>
                <w:kern w:val="2"/>
                <w:sz w:val="21"/>
                <w:szCs w:val="21"/>
              </w:rPr>
            </w:pPr>
            <w:r>
              <w:rPr>
                <w:rFonts w:hint="eastAsia" w:ascii="宋体" w:hAnsi="宋体"/>
                <w:color w:val="auto"/>
                <w:kern w:val="2"/>
                <w:sz w:val="21"/>
                <w:szCs w:val="21"/>
                <w:lang w:eastAsia="zh-CN"/>
              </w:rPr>
              <w:t>管理</w:t>
            </w:r>
            <w:r>
              <w:rPr>
                <w:rFonts w:hint="eastAsia" w:ascii="宋体" w:hAnsi="宋体"/>
                <w:color w:val="auto"/>
                <w:kern w:val="2"/>
                <w:sz w:val="21"/>
                <w:szCs w:val="21"/>
              </w:rPr>
              <w:t>平台视频监控系统业务程序检查，检查视频监控系统后台视频浏览业务是否正常</w:t>
            </w:r>
          </w:p>
          <w:p>
            <w:pPr>
              <w:numPr>
                <w:ilvl w:val="0"/>
                <w:numId w:val="35"/>
              </w:numPr>
              <w:autoSpaceDE/>
              <w:autoSpaceDN/>
              <w:adjustRightInd/>
              <w:spacing w:line="360" w:lineRule="auto"/>
              <w:ind w:left="0" w:leftChars="0" w:firstLine="0" w:firstLineChars="0"/>
              <w:contextualSpacing/>
              <w:textAlignment w:val="auto"/>
              <w:rPr>
                <w:rFonts w:ascii="宋体" w:hAnsi="宋体"/>
                <w:color w:val="auto"/>
                <w:kern w:val="2"/>
                <w:sz w:val="21"/>
                <w:szCs w:val="21"/>
              </w:rPr>
            </w:pPr>
            <w:r>
              <w:rPr>
                <w:rFonts w:hint="eastAsia" w:ascii="宋体" w:hAnsi="宋体"/>
                <w:color w:val="auto"/>
                <w:kern w:val="2"/>
                <w:sz w:val="21"/>
                <w:szCs w:val="21"/>
                <w:lang w:eastAsia="zh-CN"/>
              </w:rPr>
              <w:t>管理</w:t>
            </w:r>
            <w:r>
              <w:rPr>
                <w:rFonts w:hint="eastAsia" w:ascii="宋体" w:hAnsi="宋体"/>
                <w:color w:val="auto"/>
                <w:kern w:val="2"/>
                <w:sz w:val="21"/>
                <w:szCs w:val="21"/>
              </w:rPr>
              <w:t>平台存储业务程序检查，检查后台录像和图片业务是否正常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5" w:hRule="atLeast"/>
          <w:jc w:val="center"/>
        </w:trPr>
        <w:tc>
          <w:tcPr>
            <w:tcW w:w="776" w:type="dxa"/>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5</w:t>
            </w:r>
          </w:p>
        </w:tc>
        <w:tc>
          <w:tcPr>
            <w:tcW w:w="1984" w:type="dxa"/>
            <w:tcBorders>
              <w:right w:val="single" w:color="auto" w:sz="4" w:space="0"/>
            </w:tcBorders>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链路检查</w:t>
            </w:r>
          </w:p>
        </w:tc>
        <w:tc>
          <w:tcPr>
            <w:tcW w:w="1540" w:type="dxa"/>
            <w:tcBorders>
              <w:left w:val="single" w:color="auto" w:sz="4" w:space="0"/>
            </w:tcBorders>
            <w:noWrap w:val="0"/>
            <w:vAlign w:val="center"/>
          </w:tcPr>
          <w:p>
            <w:pPr>
              <w:spacing w:line="360" w:lineRule="auto"/>
              <w:contextualSpacing/>
              <w:jc w:val="center"/>
              <w:rPr>
                <w:rFonts w:ascii="宋体" w:hAnsi="宋体"/>
                <w:color w:val="auto"/>
                <w:sz w:val="21"/>
                <w:szCs w:val="21"/>
              </w:rPr>
            </w:pPr>
            <w:r>
              <w:rPr>
                <w:rFonts w:hint="eastAsia" w:ascii="宋体" w:hAnsi="宋体"/>
                <w:color w:val="auto"/>
                <w:sz w:val="21"/>
                <w:szCs w:val="21"/>
              </w:rPr>
              <w:t>1次/月</w:t>
            </w:r>
          </w:p>
        </w:tc>
        <w:tc>
          <w:tcPr>
            <w:tcW w:w="4651" w:type="dxa"/>
            <w:noWrap w:val="0"/>
            <w:vAlign w:val="center"/>
          </w:tcPr>
          <w:p>
            <w:pPr>
              <w:numPr>
                <w:ilvl w:val="0"/>
                <w:numId w:val="36"/>
              </w:numPr>
              <w:autoSpaceDE/>
              <w:autoSpaceDN/>
              <w:adjustRightInd/>
              <w:spacing w:line="360" w:lineRule="auto"/>
              <w:ind w:left="0" w:leftChars="0" w:firstLine="0" w:firstLineChars="0"/>
              <w:contextualSpacing/>
              <w:textAlignment w:val="auto"/>
              <w:rPr>
                <w:rFonts w:ascii="宋体" w:hAnsi="宋体"/>
                <w:color w:val="auto"/>
                <w:kern w:val="2"/>
                <w:sz w:val="21"/>
                <w:szCs w:val="21"/>
              </w:rPr>
            </w:pPr>
            <w:r>
              <w:rPr>
                <w:rFonts w:hint="eastAsia" w:ascii="宋体" w:hAnsi="宋体"/>
                <w:color w:val="auto"/>
                <w:kern w:val="2"/>
                <w:sz w:val="21"/>
                <w:szCs w:val="21"/>
              </w:rPr>
              <w:t>网络设备检查，保证通讯畅通。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5" w:hRule="atLeast"/>
          <w:jc w:val="center"/>
        </w:trPr>
        <w:tc>
          <w:tcPr>
            <w:tcW w:w="776" w:type="dxa"/>
            <w:noWrap w:val="0"/>
            <w:vAlign w:val="center"/>
          </w:tcPr>
          <w:p>
            <w:pPr>
              <w:spacing w:line="360" w:lineRule="auto"/>
              <w:contextualSpacing/>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6</w:t>
            </w:r>
          </w:p>
        </w:tc>
        <w:tc>
          <w:tcPr>
            <w:tcW w:w="1984" w:type="dxa"/>
            <w:tcBorders>
              <w:right w:val="single" w:color="auto" w:sz="4" w:space="0"/>
            </w:tcBorders>
            <w:noWrap w:val="0"/>
            <w:vAlign w:val="center"/>
          </w:tcPr>
          <w:p>
            <w:pPr>
              <w:spacing w:line="360" w:lineRule="auto"/>
              <w:contextualSpacing/>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其他</w:t>
            </w:r>
          </w:p>
        </w:tc>
        <w:tc>
          <w:tcPr>
            <w:tcW w:w="1540" w:type="dxa"/>
            <w:tcBorders>
              <w:left w:val="single" w:color="auto" w:sz="4" w:space="0"/>
            </w:tcBorders>
            <w:noWrap w:val="0"/>
            <w:vAlign w:val="center"/>
          </w:tcPr>
          <w:p>
            <w:pPr>
              <w:spacing w:line="360" w:lineRule="auto"/>
              <w:contextualSpacing/>
              <w:jc w:val="center"/>
              <w:rPr>
                <w:rFonts w:hint="eastAsia" w:ascii="宋体" w:hAnsi="宋体"/>
                <w:color w:val="auto"/>
                <w:sz w:val="21"/>
                <w:szCs w:val="21"/>
              </w:rPr>
            </w:pPr>
            <w:r>
              <w:rPr>
                <w:rFonts w:hint="eastAsia" w:ascii="宋体" w:hAnsi="宋体"/>
                <w:color w:val="auto"/>
                <w:sz w:val="21"/>
                <w:szCs w:val="21"/>
              </w:rPr>
              <w:t>1次/月</w:t>
            </w:r>
          </w:p>
        </w:tc>
        <w:tc>
          <w:tcPr>
            <w:tcW w:w="4651" w:type="dxa"/>
            <w:noWrap w:val="0"/>
            <w:vAlign w:val="center"/>
          </w:tcPr>
          <w:p>
            <w:pPr>
              <w:numPr>
                <w:ilvl w:val="0"/>
                <w:numId w:val="0"/>
              </w:numPr>
              <w:autoSpaceDE/>
              <w:autoSpaceDN/>
              <w:adjustRightInd/>
              <w:spacing w:line="360" w:lineRule="auto"/>
              <w:ind w:left="0" w:leftChars="0" w:firstLine="0" w:firstLineChars="0"/>
              <w:contextualSpacing/>
              <w:textAlignment w:val="auto"/>
              <w:rPr>
                <w:rFonts w:hint="default" w:ascii="宋体" w:hAnsi="宋体" w:eastAsia="宋体"/>
                <w:color w:val="auto"/>
                <w:kern w:val="2"/>
                <w:sz w:val="21"/>
                <w:szCs w:val="21"/>
                <w:lang w:val="en-US" w:eastAsia="zh-CN"/>
              </w:rPr>
            </w:pPr>
            <w:r>
              <w:rPr>
                <w:rFonts w:hint="eastAsia" w:ascii="宋体" w:hAnsi="宋体"/>
                <w:color w:val="auto"/>
                <w:kern w:val="2"/>
                <w:sz w:val="21"/>
                <w:szCs w:val="21"/>
                <w:lang w:val="en-US" w:eastAsia="zh-CN"/>
              </w:rPr>
              <w:t>1、具体根据采购人要示增加的内容</w:t>
            </w:r>
          </w:p>
        </w:tc>
      </w:tr>
    </w:tbl>
    <w:p>
      <w:pPr>
        <w:pStyle w:val="3"/>
        <w:pageBreakBefore w:val="0"/>
        <w:tabs>
          <w:tab w:val="left" w:pos="720"/>
        </w:tabs>
        <w:kinsoku/>
        <w:wordWrap/>
        <w:overflowPunct/>
        <w:topLinePunct w:val="0"/>
        <w:autoSpaceDE/>
        <w:autoSpaceDN/>
        <w:bidi w:val="0"/>
        <w:adjustRightInd/>
        <w:snapToGrid/>
        <w:spacing w:line="400" w:lineRule="exact"/>
        <w:ind w:firstLine="482"/>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en-US" w:eastAsia="zh-CN"/>
        </w:rPr>
        <w:t>二、</w:t>
      </w:r>
      <w:r>
        <w:rPr>
          <w:rFonts w:hint="eastAsia" w:ascii="宋体" w:hAnsi="宋体" w:eastAsia="宋体" w:cs="宋体"/>
          <w:snapToGrid w:val="0"/>
          <w:color w:val="auto"/>
          <w:sz w:val="22"/>
          <w:szCs w:val="22"/>
          <w:highlight w:val="none"/>
        </w:rPr>
        <w:t>考核与惩罚办法</w:t>
      </w:r>
    </w:p>
    <w:p>
      <w:pPr>
        <w:pStyle w:val="55"/>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1)</w:t>
      </w:r>
      <w:r>
        <w:rPr>
          <w:rFonts w:hint="eastAsia" w:ascii="宋体" w:hAnsi="宋体" w:eastAsia="宋体" w:cs="宋体"/>
          <w:color w:val="auto"/>
          <w:kern w:val="2"/>
          <w:sz w:val="22"/>
          <w:szCs w:val="22"/>
          <w:highlight w:val="none"/>
          <w:lang w:eastAsia="zh-CN"/>
        </w:rPr>
        <w:t>考核办法</w:t>
      </w:r>
    </w:p>
    <w:p>
      <w:pPr>
        <w:pStyle w:val="55"/>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除前述质量考核外，采购人每</w:t>
      </w:r>
      <w:r>
        <w:rPr>
          <w:rFonts w:hint="eastAsia" w:eastAsia="宋体" w:cs="宋体"/>
          <w:color w:val="auto"/>
          <w:kern w:val="2"/>
          <w:sz w:val="22"/>
          <w:szCs w:val="22"/>
          <w:highlight w:val="none"/>
          <w:lang w:eastAsia="zh-CN"/>
        </w:rPr>
        <w:t>季</w:t>
      </w:r>
      <w:r>
        <w:rPr>
          <w:rFonts w:hint="eastAsia" w:ascii="宋体" w:hAnsi="宋体" w:eastAsia="宋体" w:cs="宋体"/>
          <w:color w:val="auto"/>
          <w:kern w:val="2"/>
          <w:sz w:val="22"/>
          <w:szCs w:val="22"/>
          <w:highlight w:val="none"/>
          <w:lang w:eastAsia="zh-CN"/>
        </w:rPr>
        <w:t>对中标供应商开展一次运行维护工作考核，满分为100分，考核等次分为优秀、合格和不合格。单次考核得分9</w:t>
      </w:r>
      <w:r>
        <w:rPr>
          <w:rFonts w:hint="eastAsia" w:ascii="宋体" w:hAnsi="宋体" w:eastAsia="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eastAsia="zh-CN"/>
        </w:rPr>
        <w:t>分以上（含）为优秀，9</w:t>
      </w:r>
      <w:r>
        <w:rPr>
          <w:rFonts w:hint="eastAsia" w:ascii="宋体" w:hAnsi="宋体" w:eastAsia="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eastAsia="zh-CN"/>
        </w:rPr>
        <w:t>分以下、80分以上（含）为合格，80分以下为不合格。各次考核得分的平均值为年度考核最终得分。</w:t>
      </w:r>
    </w:p>
    <w:p>
      <w:pPr>
        <w:pStyle w:val="55"/>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2)</w:t>
      </w:r>
      <w:r>
        <w:rPr>
          <w:rFonts w:hint="eastAsia" w:ascii="宋体" w:hAnsi="宋体" w:eastAsia="宋体" w:cs="宋体"/>
          <w:color w:val="auto"/>
          <w:kern w:val="2"/>
          <w:sz w:val="22"/>
          <w:szCs w:val="22"/>
          <w:highlight w:val="none"/>
          <w:lang w:eastAsia="zh-CN"/>
        </w:rPr>
        <w:t>季度考核奖惩办法</w:t>
      </w:r>
    </w:p>
    <w:p>
      <w:pPr>
        <w:pStyle w:val="55"/>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2.1考核优秀，当季合同价款100%</w:t>
      </w:r>
      <w:r>
        <w:rPr>
          <w:rFonts w:hint="eastAsia" w:eastAsia="宋体" w:cs="宋体"/>
          <w:color w:val="auto"/>
          <w:kern w:val="2"/>
          <w:sz w:val="22"/>
          <w:szCs w:val="22"/>
          <w:highlight w:val="none"/>
          <w:lang w:val="en-US" w:eastAsia="zh-CN"/>
        </w:rPr>
        <w:t>计算，最终统一按年支付</w:t>
      </w:r>
      <w:r>
        <w:rPr>
          <w:rFonts w:hint="eastAsia" w:ascii="宋体" w:hAnsi="宋体" w:eastAsia="宋体" w:cs="宋体"/>
          <w:color w:val="auto"/>
          <w:kern w:val="2"/>
          <w:sz w:val="22"/>
          <w:szCs w:val="22"/>
          <w:highlight w:val="none"/>
          <w:lang w:eastAsia="zh-CN"/>
        </w:rPr>
        <w:t>。</w:t>
      </w:r>
    </w:p>
    <w:p>
      <w:pPr>
        <w:pStyle w:val="55"/>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2.2考核合格，考核分值为8</w:t>
      </w:r>
      <w:r>
        <w:rPr>
          <w:rFonts w:hint="eastAsia" w:eastAsia="宋体" w:cs="宋体"/>
          <w:color w:val="auto"/>
          <w:kern w:val="2"/>
          <w:sz w:val="22"/>
          <w:szCs w:val="22"/>
          <w:highlight w:val="none"/>
          <w:lang w:val="en-US" w:eastAsia="zh-CN"/>
        </w:rPr>
        <w:t>0</w:t>
      </w:r>
      <w:r>
        <w:rPr>
          <w:rFonts w:hint="eastAsia" w:ascii="宋体" w:hAnsi="宋体" w:eastAsia="宋体" w:cs="宋体"/>
          <w:color w:val="auto"/>
          <w:kern w:val="2"/>
          <w:sz w:val="22"/>
          <w:szCs w:val="22"/>
          <w:highlight w:val="none"/>
          <w:lang w:eastAsia="zh-CN"/>
        </w:rPr>
        <w:t>（含）-9</w:t>
      </w:r>
      <w:r>
        <w:rPr>
          <w:rFonts w:hint="eastAsia" w:ascii="宋体" w:hAnsi="宋体" w:eastAsia="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eastAsia="zh-CN"/>
        </w:rPr>
        <w:t>分的，每一分扣合同款1000元人民币（扣款计分最小单元为1分，如考核得分</w:t>
      </w:r>
      <w:r>
        <w:rPr>
          <w:rFonts w:hint="eastAsia" w:ascii="宋体" w:hAnsi="宋体" w:eastAsia="宋体" w:cs="宋体"/>
          <w:color w:val="auto"/>
          <w:kern w:val="2"/>
          <w:sz w:val="22"/>
          <w:szCs w:val="22"/>
          <w:highlight w:val="none"/>
          <w:lang w:val="en-US" w:eastAsia="zh-CN"/>
        </w:rPr>
        <w:t>94.5</w:t>
      </w:r>
      <w:r>
        <w:rPr>
          <w:rFonts w:hint="eastAsia" w:ascii="宋体" w:hAnsi="宋体" w:eastAsia="宋体" w:cs="宋体"/>
          <w:color w:val="auto"/>
          <w:kern w:val="2"/>
          <w:sz w:val="22"/>
          <w:szCs w:val="22"/>
          <w:highlight w:val="none"/>
          <w:lang w:eastAsia="zh-CN"/>
        </w:rPr>
        <w:t>分，则扣款1000元，以此类推，下同）。</w:t>
      </w:r>
    </w:p>
    <w:p>
      <w:pPr>
        <w:pStyle w:val="55"/>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2.3考核不合格，在前述条款2.2扣款的基础上，考核分值不足80分部分，每一分扣合同款2000元人民币（最高扣款额不超过合同</w:t>
      </w:r>
      <w:r>
        <w:rPr>
          <w:rFonts w:hint="eastAsia" w:eastAsia="宋体" w:cs="宋体"/>
          <w:color w:val="auto"/>
          <w:kern w:val="2"/>
          <w:sz w:val="22"/>
          <w:szCs w:val="22"/>
          <w:highlight w:val="none"/>
          <w:lang w:eastAsia="zh-CN"/>
        </w:rPr>
        <w:t>总额的</w:t>
      </w:r>
      <w:r>
        <w:rPr>
          <w:rFonts w:hint="eastAsia" w:eastAsia="宋体" w:cs="宋体"/>
          <w:color w:val="auto"/>
          <w:kern w:val="2"/>
          <w:sz w:val="22"/>
          <w:szCs w:val="22"/>
          <w:highlight w:val="none"/>
          <w:lang w:val="en-US" w:eastAsia="zh-CN"/>
        </w:rPr>
        <w:t>10%</w:t>
      </w:r>
      <w:r>
        <w:rPr>
          <w:rFonts w:hint="eastAsia" w:ascii="宋体" w:hAnsi="宋体" w:eastAsia="宋体" w:cs="宋体"/>
          <w:color w:val="auto"/>
          <w:kern w:val="2"/>
          <w:sz w:val="22"/>
          <w:szCs w:val="22"/>
          <w:highlight w:val="none"/>
          <w:lang w:eastAsia="zh-CN"/>
        </w:rPr>
        <w:t>）。</w:t>
      </w:r>
    </w:p>
    <w:p>
      <w:pPr>
        <w:pStyle w:val="55"/>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color w:val="auto"/>
          <w:kern w:val="2"/>
          <w:sz w:val="22"/>
          <w:szCs w:val="22"/>
          <w:highlight w:val="none"/>
          <w:lang w:val="en-US" w:eastAsia="zh-CN"/>
        </w:rPr>
      </w:pPr>
      <w:r>
        <w:rPr>
          <w:rFonts w:hint="eastAsia" w:eastAsia="宋体" w:cs="宋体"/>
          <w:color w:val="auto"/>
          <w:kern w:val="2"/>
          <w:sz w:val="22"/>
          <w:szCs w:val="22"/>
          <w:highlight w:val="none"/>
          <w:lang w:val="en-US" w:eastAsia="zh-CN"/>
        </w:rPr>
        <w:t>2.4维护费不足的从质量保证金中进行扣除。</w:t>
      </w:r>
    </w:p>
    <w:p>
      <w:pPr>
        <w:pStyle w:val="55"/>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2.</w:t>
      </w:r>
      <w:r>
        <w:rPr>
          <w:rFonts w:hint="eastAsia" w:eastAsia="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eastAsia="zh-CN"/>
        </w:rPr>
        <w:t>一旦发现虚假数据，采购人有权终止合同，并没收履约保证金。</w:t>
      </w:r>
    </w:p>
    <w:p>
      <w:pPr>
        <w:pStyle w:val="55"/>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2.</w:t>
      </w:r>
      <w:r>
        <w:rPr>
          <w:rFonts w:hint="eastAsia" w:eastAsia="宋体" w:cs="宋体"/>
          <w:color w:val="auto"/>
          <w:kern w:val="2"/>
          <w:sz w:val="22"/>
          <w:szCs w:val="22"/>
          <w:highlight w:val="none"/>
          <w:lang w:val="en-US" w:eastAsia="zh-CN"/>
        </w:rPr>
        <w:t>6</w:t>
      </w:r>
      <w:r>
        <w:rPr>
          <w:rFonts w:hint="eastAsia" w:ascii="宋体" w:hAnsi="宋体" w:eastAsia="宋体" w:cs="宋体"/>
          <w:color w:val="auto"/>
          <w:kern w:val="2"/>
          <w:sz w:val="22"/>
          <w:szCs w:val="22"/>
          <w:highlight w:val="none"/>
          <w:lang w:eastAsia="zh-CN"/>
        </w:rPr>
        <w:t>发生重大安全生产责任事故，委托方有权终止合同、没收履约保证金</w:t>
      </w:r>
      <w:r>
        <w:rPr>
          <w:rFonts w:hint="eastAsia" w:ascii="宋体" w:hAnsi="宋体"/>
          <w:color w:val="auto"/>
          <w:sz w:val="22"/>
          <w:szCs w:val="22"/>
        </w:rPr>
        <w:t>，并</w:t>
      </w:r>
      <w:r>
        <w:rPr>
          <w:rFonts w:hint="eastAsia" w:ascii="宋体" w:hAnsi="宋体"/>
          <w:color w:val="auto"/>
          <w:sz w:val="22"/>
          <w:szCs w:val="22"/>
          <w:lang w:val="en-US" w:eastAsia="zh-CN"/>
        </w:rPr>
        <w:t>追究供应商经济赔偿</w:t>
      </w:r>
      <w:r>
        <w:rPr>
          <w:rFonts w:hint="eastAsia" w:ascii="宋体" w:hAnsi="宋体"/>
          <w:color w:val="auto"/>
          <w:sz w:val="22"/>
          <w:szCs w:val="22"/>
        </w:rPr>
        <w:t>及法律责任</w:t>
      </w:r>
      <w:r>
        <w:rPr>
          <w:rFonts w:hint="eastAsia" w:ascii="宋体" w:hAnsi="宋体" w:eastAsia="宋体" w:cs="宋体"/>
          <w:color w:val="auto"/>
          <w:kern w:val="2"/>
          <w:sz w:val="22"/>
          <w:szCs w:val="22"/>
          <w:highlight w:val="none"/>
          <w:lang w:eastAsia="zh-CN"/>
        </w:rPr>
        <w:t>。</w:t>
      </w:r>
    </w:p>
    <w:p>
      <w:pPr>
        <w:pStyle w:val="5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46" w:firstLineChars="200"/>
        <w:jc w:val="both"/>
        <w:rPr>
          <w:rFonts w:ascii="新宋体" w:hAnsi="新宋体" w:eastAsia="新宋体"/>
          <w:b/>
          <w:color w:val="auto"/>
          <w:sz w:val="28"/>
          <w:szCs w:val="28"/>
        </w:rPr>
      </w:pPr>
      <w:r>
        <w:rPr>
          <w:rFonts w:hint="eastAsia" w:ascii="新宋体" w:hAnsi="新宋体" w:eastAsia="新宋体"/>
          <w:b/>
          <w:color w:val="auto"/>
          <w:sz w:val="22"/>
          <w:szCs w:val="22"/>
          <w:lang w:val="en-US" w:eastAsia="zh-CN"/>
        </w:rPr>
        <w:t>三、</w:t>
      </w:r>
      <w:r>
        <w:rPr>
          <w:rFonts w:hint="eastAsia" w:ascii="新宋体" w:hAnsi="新宋体" w:eastAsia="新宋体"/>
          <w:b/>
          <w:color w:val="auto"/>
          <w:sz w:val="22"/>
          <w:szCs w:val="22"/>
        </w:rPr>
        <w:t>运维考核表</w:t>
      </w:r>
    </w:p>
    <w:tbl>
      <w:tblPr>
        <w:tblStyle w:val="21"/>
        <w:tblW w:w="0" w:type="auto"/>
        <w:jc w:val="center"/>
        <w:tblLayout w:type="fixed"/>
        <w:tblCellMar>
          <w:top w:w="0" w:type="dxa"/>
          <w:left w:w="108" w:type="dxa"/>
          <w:bottom w:w="0" w:type="dxa"/>
          <w:right w:w="108" w:type="dxa"/>
        </w:tblCellMar>
      </w:tblPr>
      <w:tblGrid>
        <w:gridCol w:w="1718"/>
        <w:gridCol w:w="3386"/>
        <w:gridCol w:w="3461"/>
        <w:gridCol w:w="964"/>
      </w:tblGrid>
      <w:tr>
        <w:tblPrEx>
          <w:tblCellMar>
            <w:top w:w="0" w:type="dxa"/>
            <w:left w:w="108" w:type="dxa"/>
            <w:bottom w:w="0" w:type="dxa"/>
            <w:right w:w="108" w:type="dxa"/>
          </w:tblCellMar>
        </w:tblPrEx>
        <w:trPr>
          <w:trHeight w:val="285" w:hRule="atLeast"/>
          <w:jc w:val="center"/>
        </w:trPr>
        <w:tc>
          <w:tcPr>
            <w:tcW w:w="1718"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考核内容及评分标准</w:t>
            </w:r>
          </w:p>
        </w:tc>
        <w:tc>
          <w:tcPr>
            <w:tcW w:w="3386"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考核要求</w:t>
            </w:r>
          </w:p>
        </w:tc>
        <w:tc>
          <w:tcPr>
            <w:tcW w:w="3461"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评分细则</w:t>
            </w:r>
          </w:p>
        </w:tc>
        <w:tc>
          <w:tcPr>
            <w:tcW w:w="964"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得分</w:t>
            </w:r>
          </w:p>
        </w:tc>
      </w:tr>
      <w:tr>
        <w:tblPrEx>
          <w:tblCellMar>
            <w:top w:w="0" w:type="dxa"/>
            <w:left w:w="108" w:type="dxa"/>
            <w:bottom w:w="0" w:type="dxa"/>
            <w:right w:w="108" w:type="dxa"/>
          </w:tblCellMar>
        </w:tblPrEx>
        <w:trPr>
          <w:trHeight w:val="1092" w:hRule="atLeast"/>
          <w:jc w:val="center"/>
        </w:trPr>
        <w:tc>
          <w:tcPr>
            <w:tcW w:w="1718" w:type="dxa"/>
            <w:tcBorders>
              <w:top w:val="nil"/>
              <w:left w:val="single" w:color="auto" w:sz="4" w:space="0"/>
              <w:bottom w:val="single" w:color="auto" w:sz="4" w:space="0"/>
              <w:right w:val="single" w:color="auto" w:sz="4" w:space="0"/>
            </w:tcBorders>
            <w:noWrap w:val="0"/>
            <w:vAlign w:val="center"/>
          </w:tcPr>
          <w:p>
            <w:pPr>
              <w:widowControl/>
              <w:autoSpaceDE/>
              <w:autoSpaceDN/>
              <w:adjustRightInd/>
              <w:snapToGrid w:val="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运行环境维护（10分）</w:t>
            </w:r>
          </w:p>
        </w:tc>
        <w:tc>
          <w:tcPr>
            <w:tcW w:w="3386" w:type="dxa"/>
            <w:tcBorders>
              <w:top w:val="nil"/>
              <w:left w:val="nil"/>
              <w:bottom w:val="single" w:color="auto" w:sz="4" w:space="0"/>
              <w:right w:val="single" w:color="auto" w:sz="4" w:space="0"/>
            </w:tcBorders>
            <w:noWrap w:val="0"/>
            <w:vAlign w:val="center"/>
          </w:tcPr>
          <w:p>
            <w:pPr>
              <w:widowControl/>
              <w:autoSpaceDE/>
              <w:autoSpaceDN/>
              <w:adjustRightInd/>
              <w:snapToGrid w:val="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硬件设备清洁整齐，及时检查网络、电等环境因素满足系统运行要求，保证系统硬件设备具有良好的运行环境。</w:t>
            </w:r>
          </w:p>
        </w:tc>
        <w:tc>
          <w:tcPr>
            <w:tcW w:w="3461" w:type="dxa"/>
            <w:tcBorders>
              <w:top w:val="nil"/>
              <w:left w:val="nil"/>
              <w:bottom w:val="single" w:color="auto" w:sz="4" w:space="0"/>
              <w:right w:val="single" w:color="auto" w:sz="4" w:space="0"/>
            </w:tcBorders>
            <w:noWrap w:val="0"/>
            <w:vAlign w:val="center"/>
          </w:tcPr>
          <w:p>
            <w:pPr>
              <w:widowControl/>
              <w:autoSpaceDE/>
              <w:autoSpaceDN/>
              <w:adjustRightInd/>
              <w:snapToGrid w:val="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每发现1</w:t>
            </w:r>
            <w:r>
              <w:rPr>
                <w:rFonts w:hint="eastAsia" w:ascii="宋体" w:hAnsi="宋体" w:eastAsia="宋体" w:cs="宋体"/>
                <w:color w:val="auto"/>
                <w:sz w:val="22"/>
                <w:szCs w:val="22"/>
                <w:lang w:eastAsia="zh-CN"/>
              </w:rPr>
              <w:t>次</w:t>
            </w:r>
            <w:r>
              <w:rPr>
                <w:rFonts w:hint="eastAsia" w:ascii="宋体" w:hAnsi="宋体" w:eastAsia="宋体" w:cs="宋体"/>
                <w:color w:val="auto"/>
                <w:sz w:val="22"/>
                <w:szCs w:val="22"/>
              </w:rPr>
              <w:t>不满足要求的扣</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分，扣完为止。</w:t>
            </w:r>
          </w:p>
        </w:tc>
        <w:tc>
          <w:tcPr>
            <w:tcW w:w="964" w:type="dxa"/>
            <w:tcBorders>
              <w:top w:val="nil"/>
              <w:left w:val="nil"/>
              <w:bottom w:val="single" w:color="auto" w:sz="4" w:space="0"/>
              <w:right w:val="single" w:color="auto" w:sz="4" w:space="0"/>
            </w:tcBorders>
            <w:noWrap w:val="0"/>
            <w:vAlign w:val="top"/>
          </w:tcPr>
          <w:p>
            <w:pPr>
              <w:widowControl/>
              <w:autoSpaceDE/>
              <w:autoSpaceDN/>
              <w:adjustRightInd/>
              <w:snapToGrid w:val="0"/>
              <w:jc w:val="left"/>
              <w:textAlignment w:val="auto"/>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1320" w:hRule="atLeast"/>
          <w:jc w:val="center"/>
        </w:trPr>
        <w:tc>
          <w:tcPr>
            <w:tcW w:w="1718" w:type="dxa"/>
            <w:tcBorders>
              <w:top w:val="nil"/>
              <w:left w:val="single" w:color="auto" w:sz="4" w:space="0"/>
              <w:bottom w:val="single" w:color="auto" w:sz="4" w:space="0"/>
              <w:right w:val="single" w:color="auto" w:sz="4" w:space="0"/>
            </w:tcBorders>
            <w:noWrap w:val="0"/>
            <w:vAlign w:val="center"/>
          </w:tcPr>
          <w:p>
            <w:pPr>
              <w:widowControl/>
              <w:autoSpaceDE/>
              <w:autoSpaceDN/>
              <w:adjustRightInd/>
              <w:snapToGrid w:val="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系统、</w:t>
            </w:r>
            <w:r>
              <w:rPr>
                <w:rFonts w:hint="eastAsia" w:ascii="宋体" w:hAnsi="宋体" w:eastAsia="宋体" w:cs="宋体"/>
                <w:color w:val="auto"/>
                <w:sz w:val="22"/>
                <w:szCs w:val="22"/>
              </w:rPr>
              <w:t>硬件维护（</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rPr>
              <w:t>分）</w:t>
            </w:r>
          </w:p>
        </w:tc>
        <w:tc>
          <w:tcPr>
            <w:tcW w:w="3386" w:type="dxa"/>
            <w:tcBorders>
              <w:top w:val="nil"/>
              <w:left w:val="nil"/>
              <w:bottom w:val="single" w:color="auto" w:sz="4" w:space="0"/>
              <w:right w:val="single" w:color="auto" w:sz="4" w:space="0"/>
            </w:tcBorders>
            <w:noWrap w:val="0"/>
            <w:vAlign w:val="center"/>
          </w:tcPr>
          <w:p>
            <w:pPr>
              <w:widowControl/>
              <w:autoSpaceDE/>
              <w:autoSpaceDN/>
              <w:adjustRightInd/>
              <w:snapToGrid w:val="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定期巡检硬件，记录硬件运行状态；故障发生及时响应，及时修复</w:t>
            </w:r>
            <w:r>
              <w:rPr>
                <w:rFonts w:hint="eastAsia" w:ascii="宋体" w:hAnsi="宋体" w:eastAsia="宋体" w:cs="宋体"/>
                <w:color w:val="auto"/>
                <w:sz w:val="22"/>
                <w:szCs w:val="22"/>
                <w:lang w:eastAsia="zh-CN"/>
              </w:rPr>
              <w:t>的</w:t>
            </w:r>
            <w:r>
              <w:rPr>
                <w:rFonts w:hint="eastAsia" w:ascii="宋体" w:hAnsi="宋体" w:eastAsia="宋体" w:cs="宋体"/>
                <w:color w:val="auto"/>
                <w:sz w:val="22"/>
                <w:szCs w:val="22"/>
              </w:rPr>
              <w:t>。</w:t>
            </w:r>
          </w:p>
        </w:tc>
        <w:tc>
          <w:tcPr>
            <w:tcW w:w="3461" w:type="dxa"/>
            <w:tcBorders>
              <w:top w:val="nil"/>
              <w:left w:val="nil"/>
              <w:bottom w:val="single" w:color="auto" w:sz="4" w:space="0"/>
              <w:right w:val="single" w:color="auto" w:sz="4" w:space="0"/>
            </w:tcBorders>
            <w:noWrap w:val="0"/>
            <w:vAlign w:val="center"/>
          </w:tcPr>
          <w:p>
            <w:pPr>
              <w:widowControl/>
              <w:autoSpaceDE/>
              <w:autoSpaceDN/>
              <w:adjustRightInd/>
              <w:snapToGrid w:val="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未定期进行巡检的，每次扣</w:t>
            </w:r>
            <w:r>
              <w:rPr>
                <w:rFonts w:hint="eastAsia" w:ascii="宋体" w:hAnsi="宋体" w:eastAsia="宋体" w:cs="宋体"/>
                <w:color w:val="auto"/>
                <w:sz w:val="22"/>
                <w:szCs w:val="22"/>
                <w:lang w:val="en-US" w:eastAsia="zh-CN"/>
              </w:rPr>
              <w:t>2分；</w:t>
            </w:r>
          </w:p>
          <w:p>
            <w:pPr>
              <w:widowControl/>
              <w:autoSpaceDE/>
              <w:autoSpaceDN/>
              <w:adjustRightInd/>
              <w:snapToGrid w:val="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未</w:t>
            </w:r>
            <w:r>
              <w:rPr>
                <w:rFonts w:hint="eastAsia" w:ascii="宋体" w:hAnsi="宋体" w:eastAsia="宋体" w:cs="宋体"/>
                <w:color w:val="auto"/>
                <w:sz w:val="22"/>
                <w:szCs w:val="22"/>
              </w:rPr>
              <w:t>记录硬件运行状态</w:t>
            </w:r>
            <w:r>
              <w:rPr>
                <w:rFonts w:hint="eastAsia" w:ascii="宋体" w:hAnsi="宋体" w:eastAsia="宋体" w:cs="宋体"/>
                <w:color w:val="auto"/>
                <w:sz w:val="22"/>
                <w:szCs w:val="22"/>
                <w:lang w:eastAsia="zh-CN"/>
              </w:rPr>
              <w:t>，每次扣</w:t>
            </w:r>
            <w:r>
              <w:rPr>
                <w:rFonts w:hint="eastAsia" w:ascii="宋体" w:hAnsi="宋体" w:eastAsia="宋体" w:cs="宋体"/>
                <w:color w:val="auto"/>
                <w:sz w:val="22"/>
                <w:szCs w:val="22"/>
                <w:lang w:val="en-US" w:eastAsia="zh-CN"/>
              </w:rPr>
              <w:t>0.5分；</w:t>
            </w:r>
          </w:p>
          <w:p>
            <w:pPr>
              <w:widowControl/>
              <w:autoSpaceDE/>
              <w:autoSpaceDN/>
              <w:adjustRightInd/>
              <w:snapToGrid w:val="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故障发生</w:t>
            </w:r>
            <w:r>
              <w:rPr>
                <w:rFonts w:hint="eastAsia" w:ascii="宋体" w:hAnsi="宋体" w:eastAsia="宋体" w:cs="宋体"/>
                <w:color w:val="auto"/>
                <w:sz w:val="22"/>
                <w:szCs w:val="22"/>
                <w:lang w:eastAsia="zh-CN"/>
              </w:rPr>
              <w:t>未</w:t>
            </w:r>
            <w:r>
              <w:rPr>
                <w:rFonts w:hint="eastAsia" w:ascii="宋体" w:hAnsi="宋体" w:eastAsia="宋体" w:cs="宋体"/>
                <w:color w:val="auto"/>
                <w:sz w:val="22"/>
                <w:szCs w:val="22"/>
              </w:rPr>
              <w:t>及时响应，</w:t>
            </w:r>
            <w:r>
              <w:rPr>
                <w:rFonts w:hint="eastAsia" w:ascii="宋体" w:hAnsi="宋体" w:eastAsia="宋体" w:cs="宋体"/>
                <w:color w:val="auto"/>
                <w:sz w:val="22"/>
                <w:szCs w:val="22"/>
                <w:lang w:eastAsia="zh-CN"/>
              </w:rPr>
              <w:t>未</w:t>
            </w:r>
            <w:r>
              <w:rPr>
                <w:rFonts w:hint="eastAsia" w:ascii="宋体" w:hAnsi="宋体" w:eastAsia="宋体" w:cs="宋体"/>
                <w:color w:val="auto"/>
                <w:sz w:val="22"/>
                <w:szCs w:val="22"/>
              </w:rPr>
              <w:t>及时修复</w:t>
            </w:r>
            <w:r>
              <w:rPr>
                <w:rFonts w:hint="eastAsia" w:ascii="宋体" w:hAnsi="宋体" w:eastAsia="宋体" w:cs="宋体"/>
                <w:color w:val="auto"/>
                <w:sz w:val="22"/>
                <w:szCs w:val="22"/>
                <w:lang w:eastAsia="zh-CN"/>
              </w:rPr>
              <w:t>，每次扣</w:t>
            </w:r>
            <w:r>
              <w:rPr>
                <w:rFonts w:hint="eastAsia" w:ascii="宋体" w:hAnsi="宋体" w:eastAsia="宋体" w:cs="宋体"/>
                <w:color w:val="auto"/>
                <w:sz w:val="22"/>
                <w:szCs w:val="22"/>
                <w:lang w:val="en-US" w:eastAsia="zh-CN"/>
              </w:rPr>
              <w:t>1分。</w:t>
            </w:r>
            <w:r>
              <w:rPr>
                <w:rFonts w:hint="eastAsia" w:ascii="宋体" w:hAnsi="宋体" w:eastAsia="宋体" w:cs="宋体"/>
                <w:color w:val="auto"/>
                <w:sz w:val="22"/>
                <w:szCs w:val="22"/>
                <w:lang w:eastAsia="zh-CN"/>
              </w:rPr>
              <w:t>（因特殊原因，采购人同意延长时间的除外）</w:t>
            </w:r>
          </w:p>
        </w:tc>
        <w:tc>
          <w:tcPr>
            <w:tcW w:w="964" w:type="dxa"/>
            <w:tcBorders>
              <w:top w:val="nil"/>
              <w:left w:val="nil"/>
              <w:bottom w:val="single" w:color="auto" w:sz="4" w:space="0"/>
              <w:right w:val="single" w:color="auto" w:sz="4" w:space="0"/>
            </w:tcBorders>
            <w:noWrap w:val="0"/>
            <w:vAlign w:val="top"/>
          </w:tcPr>
          <w:p>
            <w:pPr>
              <w:widowControl/>
              <w:autoSpaceDE/>
              <w:autoSpaceDN/>
              <w:adjustRightInd/>
              <w:snapToGrid w:val="0"/>
              <w:jc w:val="left"/>
              <w:textAlignment w:val="auto"/>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1444" w:hRule="atLeast"/>
          <w:jc w:val="center"/>
        </w:trPr>
        <w:tc>
          <w:tcPr>
            <w:tcW w:w="1718" w:type="dxa"/>
            <w:tcBorders>
              <w:top w:val="nil"/>
              <w:left w:val="single" w:color="auto" w:sz="4" w:space="0"/>
              <w:bottom w:val="single" w:color="auto" w:sz="4" w:space="0"/>
              <w:right w:val="single" w:color="auto" w:sz="4" w:space="0"/>
            </w:tcBorders>
            <w:noWrap w:val="0"/>
            <w:vAlign w:val="center"/>
          </w:tcPr>
          <w:p>
            <w:pPr>
              <w:widowControl/>
              <w:autoSpaceDE/>
              <w:autoSpaceDN/>
              <w:adjustRightInd/>
              <w:snapToGrid w:val="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通讯数据传输（</w:t>
            </w:r>
            <w:r>
              <w:rPr>
                <w:rFonts w:hint="eastAsia" w:ascii="宋体" w:hAnsi="宋体" w:eastAsia="宋体" w:cs="宋体"/>
                <w:color w:val="auto"/>
                <w:sz w:val="22"/>
                <w:szCs w:val="22"/>
                <w:lang w:val="en-US" w:eastAsia="zh-CN"/>
              </w:rPr>
              <w:t>20</w:t>
            </w:r>
            <w:r>
              <w:rPr>
                <w:rFonts w:hint="eastAsia" w:ascii="宋体" w:hAnsi="宋体" w:eastAsia="宋体" w:cs="宋体"/>
                <w:color w:val="auto"/>
                <w:sz w:val="22"/>
                <w:szCs w:val="22"/>
              </w:rPr>
              <w:t>分）</w:t>
            </w:r>
          </w:p>
        </w:tc>
        <w:tc>
          <w:tcPr>
            <w:tcW w:w="3386" w:type="dxa"/>
            <w:tcBorders>
              <w:top w:val="nil"/>
              <w:left w:val="nil"/>
              <w:bottom w:val="single" w:color="auto" w:sz="4" w:space="0"/>
              <w:right w:val="single" w:color="auto" w:sz="4" w:space="0"/>
            </w:tcBorders>
            <w:noWrap w:val="0"/>
            <w:vAlign w:val="center"/>
          </w:tcPr>
          <w:p>
            <w:pPr>
              <w:widowControl/>
              <w:autoSpaceDE/>
              <w:autoSpaceDN/>
              <w:adjustRightInd/>
              <w:snapToGrid w:val="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保证仪器视频图像数据输出、录像数据正常调取，保证通讯线路畅通（不可抗拒因素除外，满足数据数量及质量的要求）。</w:t>
            </w:r>
          </w:p>
        </w:tc>
        <w:tc>
          <w:tcPr>
            <w:tcW w:w="3461" w:type="dxa"/>
            <w:tcBorders>
              <w:top w:val="nil"/>
              <w:left w:val="nil"/>
              <w:bottom w:val="single" w:color="auto" w:sz="4" w:space="0"/>
              <w:right w:val="single" w:color="auto" w:sz="4" w:space="0"/>
            </w:tcBorders>
            <w:noWrap w:val="0"/>
            <w:vAlign w:val="center"/>
          </w:tcPr>
          <w:p>
            <w:pPr>
              <w:widowControl/>
              <w:autoSpaceDE/>
              <w:autoSpaceDN/>
              <w:adjustRightInd/>
              <w:snapToGrid w:val="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每发现一次扣</w:t>
            </w:r>
            <w:r>
              <w:rPr>
                <w:rFonts w:hint="eastAsia" w:ascii="宋体" w:hAnsi="宋体" w:eastAsia="宋体" w:cs="宋体"/>
                <w:color w:val="auto"/>
                <w:sz w:val="22"/>
                <w:szCs w:val="22"/>
                <w:lang w:val="en-US" w:eastAsia="zh-CN"/>
              </w:rPr>
              <w:t>2分；</w:t>
            </w:r>
          </w:p>
        </w:tc>
        <w:tc>
          <w:tcPr>
            <w:tcW w:w="964" w:type="dxa"/>
            <w:tcBorders>
              <w:top w:val="nil"/>
              <w:left w:val="nil"/>
              <w:bottom w:val="single" w:color="auto" w:sz="4" w:space="0"/>
              <w:right w:val="single" w:color="auto" w:sz="4" w:space="0"/>
            </w:tcBorders>
            <w:noWrap w:val="0"/>
            <w:vAlign w:val="top"/>
          </w:tcPr>
          <w:p>
            <w:pPr>
              <w:widowControl/>
              <w:autoSpaceDE/>
              <w:autoSpaceDN/>
              <w:adjustRightInd/>
              <w:snapToGrid w:val="0"/>
              <w:jc w:val="left"/>
              <w:textAlignment w:val="auto"/>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1444" w:hRule="atLeast"/>
          <w:jc w:val="center"/>
        </w:trPr>
        <w:tc>
          <w:tcPr>
            <w:tcW w:w="1718" w:type="dxa"/>
            <w:tcBorders>
              <w:top w:val="nil"/>
              <w:left w:val="single" w:color="auto" w:sz="4" w:space="0"/>
              <w:bottom w:val="single" w:color="auto" w:sz="4" w:space="0"/>
              <w:right w:val="single" w:color="auto" w:sz="4" w:space="0"/>
            </w:tcBorders>
            <w:noWrap w:val="0"/>
            <w:vAlign w:val="center"/>
          </w:tcPr>
          <w:p>
            <w:pPr>
              <w:widowControl/>
              <w:autoSpaceDE/>
              <w:autoSpaceDN/>
              <w:adjustRightInd/>
              <w:snapToGrid w:val="0"/>
              <w:jc w:val="center"/>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供电</w:t>
            </w:r>
            <w:r>
              <w:rPr>
                <w:rFonts w:hint="eastAsia" w:ascii="宋体" w:hAnsi="宋体" w:eastAsia="宋体" w:cs="宋体"/>
                <w:color w:val="auto"/>
                <w:sz w:val="22"/>
                <w:szCs w:val="22"/>
              </w:rPr>
              <w:t>传输（</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分）</w:t>
            </w:r>
          </w:p>
        </w:tc>
        <w:tc>
          <w:tcPr>
            <w:tcW w:w="3386" w:type="dxa"/>
            <w:tcBorders>
              <w:top w:val="nil"/>
              <w:left w:val="nil"/>
              <w:bottom w:val="single" w:color="auto" w:sz="4" w:space="0"/>
              <w:right w:val="single" w:color="auto" w:sz="4" w:space="0"/>
            </w:tcBorders>
            <w:noWrap w:val="0"/>
            <w:vAlign w:val="center"/>
          </w:tcPr>
          <w:p>
            <w:pPr>
              <w:widowControl/>
              <w:autoSpaceDE/>
              <w:autoSpaceDN/>
              <w:adjustRightInd/>
              <w:snapToGrid w:val="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eastAsia="zh-CN"/>
              </w:rPr>
              <w:t>保证每个点均有供电，</w:t>
            </w:r>
            <w:r>
              <w:rPr>
                <w:rFonts w:hint="eastAsia" w:ascii="宋体" w:hAnsi="宋体" w:eastAsia="宋体" w:cs="宋体"/>
                <w:color w:val="auto"/>
                <w:sz w:val="22"/>
                <w:szCs w:val="22"/>
              </w:rPr>
              <w:t>故障发生及时响应，及时修复</w:t>
            </w:r>
            <w:r>
              <w:rPr>
                <w:rFonts w:hint="eastAsia" w:ascii="宋体" w:hAnsi="宋体" w:eastAsia="宋体" w:cs="宋体"/>
                <w:color w:val="auto"/>
                <w:sz w:val="22"/>
                <w:szCs w:val="22"/>
                <w:lang w:eastAsia="zh-CN"/>
              </w:rPr>
              <w:t>的</w:t>
            </w:r>
            <w:r>
              <w:rPr>
                <w:rFonts w:hint="eastAsia" w:ascii="宋体" w:hAnsi="宋体" w:eastAsia="宋体" w:cs="宋体"/>
                <w:color w:val="auto"/>
                <w:sz w:val="22"/>
                <w:szCs w:val="22"/>
              </w:rPr>
              <w:t>。</w:t>
            </w:r>
          </w:p>
        </w:tc>
        <w:tc>
          <w:tcPr>
            <w:tcW w:w="3461" w:type="dxa"/>
            <w:tcBorders>
              <w:top w:val="nil"/>
              <w:left w:val="nil"/>
              <w:bottom w:val="single" w:color="auto" w:sz="4" w:space="0"/>
              <w:right w:val="single" w:color="auto" w:sz="4" w:space="0"/>
            </w:tcBorders>
            <w:noWrap w:val="0"/>
            <w:vAlign w:val="center"/>
          </w:tcPr>
          <w:p>
            <w:pPr>
              <w:widowControl/>
              <w:autoSpaceDE/>
              <w:autoSpaceDN/>
              <w:adjustRightInd/>
              <w:snapToGrid w:val="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rPr>
              <w:t>故障发生</w:t>
            </w:r>
            <w:r>
              <w:rPr>
                <w:rFonts w:hint="eastAsia" w:ascii="宋体" w:hAnsi="宋体" w:eastAsia="宋体" w:cs="宋体"/>
                <w:color w:val="auto"/>
                <w:sz w:val="22"/>
                <w:szCs w:val="22"/>
                <w:lang w:eastAsia="zh-CN"/>
              </w:rPr>
              <w:t>未</w:t>
            </w:r>
            <w:r>
              <w:rPr>
                <w:rFonts w:hint="eastAsia" w:ascii="宋体" w:hAnsi="宋体" w:eastAsia="宋体" w:cs="宋体"/>
                <w:color w:val="auto"/>
                <w:sz w:val="22"/>
                <w:szCs w:val="22"/>
              </w:rPr>
              <w:t>及时响应，</w:t>
            </w:r>
            <w:r>
              <w:rPr>
                <w:rFonts w:hint="eastAsia" w:ascii="宋体" w:hAnsi="宋体" w:eastAsia="宋体" w:cs="宋体"/>
                <w:color w:val="auto"/>
                <w:sz w:val="22"/>
                <w:szCs w:val="22"/>
                <w:lang w:eastAsia="zh-CN"/>
              </w:rPr>
              <w:t>未</w:t>
            </w:r>
            <w:r>
              <w:rPr>
                <w:rFonts w:hint="eastAsia" w:ascii="宋体" w:hAnsi="宋体" w:eastAsia="宋体" w:cs="宋体"/>
                <w:color w:val="auto"/>
                <w:sz w:val="22"/>
                <w:szCs w:val="22"/>
              </w:rPr>
              <w:t>及时修复</w:t>
            </w:r>
            <w:r>
              <w:rPr>
                <w:rFonts w:hint="eastAsia" w:ascii="宋体" w:hAnsi="宋体" w:eastAsia="宋体" w:cs="宋体"/>
                <w:color w:val="auto"/>
                <w:sz w:val="22"/>
                <w:szCs w:val="22"/>
                <w:lang w:eastAsia="zh-CN"/>
              </w:rPr>
              <w:t>，每次扣</w:t>
            </w:r>
            <w:r>
              <w:rPr>
                <w:rFonts w:hint="eastAsia" w:ascii="宋体" w:hAnsi="宋体" w:eastAsia="宋体" w:cs="宋体"/>
                <w:color w:val="auto"/>
                <w:sz w:val="22"/>
                <w:szCs w:val="22"/>
                <w:lang w:val="en-US" w:eastAsia="zh-CN"/>
              </w:rPr>
              <w:t>1分。</w:t>
            </w:r>
          </w:p>
        </w:tc>
        <w:tc>
          <w:tcPr>
            <w:tcW w:w="964" w:type="dxa"/>
            <w:tcBorders>
              <w:top w:val="nil"/>
              <w:left w:val="nil"/>
              <w:bottom w:val="single" w:color="auto" w:sz="4" w:space="0"/>
              <w:right w:val="single" w:color="auto" w:sz="4" w:space="0"/>
            </w:tcBorders>
            <w:noWrap w:val="0"/>
            <w:vAlign w:val="top"/>
          </w:tcPr>
          <w:p>
            <w:pPr>
              <w:widowControl/>
              <w:autoSpaceDE/>
              <w:autoSpaceDN/>
              <w:adjustRightInd/>
              <w:snapToGrid w:val="0"/>
              <w:jc w:val="left"/>
              <w:textAlignment w:val="auto"/>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1651" w:hRule="atLeast"/>
          <w:jc w:val="center"/>
        </w:trPr>
        <w:tc>
          <w:tcPr>
            <w:tcW w:w="1718" w:type="dxa"/>
            <w:tcBorders>
              <w:top w:val="nil"/>
              <w:left w:val="single" w:color="auto" w:sz="4" w:space="0"/>
              <w:bottom w:val="single" w:color="auto" w:sz="4" w:space="0"/>
              <w:right w:val="single" w:color="auto" w:sz="4" w:space="0"/>
            </w:tcBorders>
            <w:noWrap w:val="0"/>
            <w:vAlign w:val="center"/>
          </w:tcPr>
          <w:p>
            <w:pPr>
              <w:widowControl/>
              <w:autoSpaceDE/>
              <w:autoSpaceDN/>
              <w:adjustRightInd/>
              <w:snapToGrid w:val="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运行维护记录（20分）</w:t>
            </w:r>
          </w:p>
        </w:tc>
        <w:tc>
          <w:tcPr>
            <w:tcW w:w="3386" w:type="dxa"/>
            <w:tcBorders>
              <w:top w:val="nil"/>
              <w:left w:val="nil"/>
              <w:bottom w:val="single" w:color="auto" w:sz="4" w:space="0"/>
              <w:right w:val="single" w:color="auto" w:sz="4" w:space="0"/>
            </w:tcBorders>
            <w:noWrap w:val="0"/>
            <w:vAlign w:val="center"/>
          </w:tcPr>
          <w:p>
            <w:pPr>
              <w:widowControl/>
              <w:autoSpaceDE/>
              <w:autoSpaceDN/>
              <w:adjustRightInd/>
              <w:snapToGrid w:val="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认真、及时做好各类记录，每月5号以前以书面或电子版形式报采购人，书面报告作为运行维护考核依据之一，具体包括：（1）巡检结果记录（2）故障处理记录表。</w:t>
            </w:r>
          </w:p>
        </w:tc>
        <w:tc>
          <w:tcPr>
            <w:tcW w:w="3461" w:type="dxa"/>
            <w:tcBorders>
              <w:top w:val="nil"/>
              <w:left w:val="nil"/>
              <w:bottom w:val="single" w:color="auto" w:sz="4" w:space="0"/>
              <w:right w:val="single" w:color="auto" w:sz="4" w:space="0"/>
            </w:tcBorders>
            <w:noWrap w:val="0"/>
            <w:vAlign w:val="center"/>
          </w:tcPr>
          <w:p>
            <w:pPr>
              <w:widowControl/>
              <w:autoSpaceDE/>
              <w:autoSpaceDN/>
              <w:adjustRightInd/>
              <w:snapToGrid w:val="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报表每延迟1日上交或不符合规范扣0.5分，扣完为止。</w:t>
            </w:r>
            <w:r>
              <w:rPr>
                <w:rFonts w:hint="eastAsia" w:ascii="宋体" w:hAnsi="宋体" w:eastAsia="宋体" w:cs="宋体"/>
                <w:color w:val="auto"/>
                <w:sz w:val="22"/>
                <w:szCs w:val="22"/>
                <w:lang w:eastAsia="zh-CN"/>
              </w:rPr>
              <w:t>（因特殊原因，采购人同意延长时间的除外）</w:t>
            </w:r>
          </w:p>
        </w:tc>
        <w:tc>
          <w:tcPr>
            <w:tcW w:w="964" w:type="dxa"/>
            <w:tcBorders>
              <w:top w:val="nil"/>
              <w:left w:val="nil"/>
              <w:bottom w:val="single" w:color="auto" w:sz="4" w:space="0"/>
              <w:right w:val="single" w:color="auto" w:sz="4" w:space="0"/>
            </w:tcBorders>
            <w:noWrap w:val="0"/>
            <w:vAlign w:val="top"/>
          </w:tcPr>
          <w:p>
            <w:pPr>
              <w:widowControl/>
              <w:autoSpaceDE/>
              <w:autoSpaceDN/>
              <w:adjustRightInd/>
              <w:snapToGrid w:val="0"/>
              <w:jc w:val="left"/>
              <w:textAlignment w:val="auto"/>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1676" w:hRule="atLeast"/>
          <w:jc w:val="center"/>
        </w:trPr>
        <w:tc>
          <w:tcPr>
            <w:tcW w:w="1718" w:type="dxa"/>
            <w:tcBorders>
              <w:top w:val="nil"/>
              <w:left w:val="single" w:color="auto" w:sz="4" w:space="0"/>
              <w:bottom w:val="single" w:color="auto" w:sz="4" w:space="0"/>
              <w:right w:val="single" w:color="auto" w:sz="4" w:space="0"/>
            </w:tcBorders>
            <w:noWrap w:val="0"/>
            <w:vAlign w:val="center"/>
          </w:tcPr>
          <w:p>
            <w:pPr>
              <w:widowControl/>
              <w:autoSpaceDE/>
              <w:autoSpaceDN/>
              <w:adjustRightInd/>
              <w:snapToGrid w:val="0"/>
              <w:jc w:val="center"/>
              <w:textAlignment w:val="auto"/>
              <w:rPr>
                <w:rFonts w:hint="eastAsia" w:ascii="宋体" w:hAnsi="宋体" w:eastAsia="宋体" w:cs="宋体"/>
                <w:color w:val="auto"/>
                <w:sz w:val="22"/>
                <w:szCs w:val="22"/>
              </w:rPr>
            </w:pPr>
          </w:p>
          <w:p>
            <w:pPr>
              <w:widowControl/>
              <w:autoSpaceDE/>
              <w:autoSpaceDN/>
              <w:adjustRightInd/>
              <w:snapToGrid w:val="0"/>
              <w:jc w:val="center"/>
              <w:textAlignment w:val="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rPr>
              <w:t>维修故障响应服务（</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分）</w:t>
            </w:r>
          </w:p>
        </w:tc>
        <w:tc>
          <w:tcPr>
            <w:tcW w:w="3386" w:type="dxa"/>
            <w:tcBorders>
              <w:top w:val="nil"/>
              <w:left w:val="nil"/>
              <w:bottom w:val="single" w:color="auto" w:sz="4" w:space="0"/>
              <w:right w:val="single" w:color="auto" w:sz="4" w:space="0"/>
            </w:tcBorders>
            <w:noWrap w:val="0"/>
            <w:vAlign w:val="center"/>
          </w:tcPr>
          <w:p>
            <w:pPr>
              <w:widowControl/>
              <w:autoSpaceDE/>
              <w:autoSpaceDN/>
              <w:adjustRightInd/>
              <w:snapToGrid w:val="0"/>
              <w:jc w:val="both"/>
              <w:textAlignment w:val="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rPr>
              <w:t>按要求各项日常维护、故障处理落实</w:t>
            </w:r>
          </w:p>
        </w:tc>
        <w:tc>
          <w:tcPr>
            <w:tcW w:w="3461" w:type="dxa"/>
            <w:tcBorders>
              <w:top w:val="nil"/>
              <w:left w:val="nil"/>
              <w:bottom w:val="single" w:color="auto" w:sz="4" w:space="0"/>
              <w:right w:val="single" w:color="auto" w:sz="4" w:space="0"/>
            </w:tcBorders>
            <w:noWrap w:val="0"/>
            <w:vAlign w:val="center"/>
          </w:tcPr>
          <w:p>
            <w:pPr>
              <w:widowControl/>
              <w:autoSpaceDE/>
              <w:autoSpaceDN/>
              <w:adjustRightInd/>
              <w:snapToGrid w:val="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未按照规定作出响应每次扣</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分；未在规定时间内解决问题的，每超出规定时间 1 小时的扣</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 直至本项不得分。</w:t>
            </w:r>
            <w:r>
              <w:rPr>
                <w:rFonts w:hint="eastAsia" w:ascii="宋体" w:hAnsi="宋体" w:eastAsia="宋体" w:cs="宋体"/>
                <w:color w:val="auto"/>
                <w:sz w:val="22"/>
                <w:szCs w:val="22"/>
                <w:lang w:eastAsia="zh-CN"/>
              </w:rPr>
              <w:t>（因特殊原因，采购人同意延长时间的除外）</w:t>
            </w:r>
          </w:p>
        </w:tc>
        <w:tc>
          <w:tcPr>
            <w:tcW w:w="964" w:type="dxa"/>
            <w:tcBorders>
              <w:top w:val="nil"/>
              <w:left w:val="nil"/>
              <w:bottom w:val="single" w:color="auto" w:sz="4" w:space="0"/>
              <w:right w:val="single" w:color="auto" w:sz="4" w:space="0"/>
            </w:tcBorders>
            <w:noWrap w:val="0"/>
            <w:vAlign w:val="top"/>
          </w:tcPr>
          <w:p>
            <w:pPr>
              <w:widowControl/>
              <w:autoSpaceDE/>
              <w:autoSpaceDN/>
              <w:adjustRightInd/>
              <w:snapToGrid w:val="0"/>
              <w:jc w:val="left"/>
              <w:textAlignment w:val="auto"/>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733" w:hRule="atLeast"/>
          <w:jc w:val="center"/>
        </w:trPr>
        <w:tc>
          <w:tcPr>
            <w:tcW w:w="8565"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总</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分</w:t>
            </w:r>
          </w:p>
        </w:tc>
        <w:tc>
          <w:tcPr>
            <w:tcW w:w="964" w:type="dxa"/>
            <w:tcBorders>
              <w:top w:val="single" w:color="auto" w:sz="4" w:space="0"/>
              <w:left w:val="single" w:color="auto" w:sz="4" w:space="0"/>
              <w:bottom w:val="single" w:color="auto" w:sz="4" w:space="0"/>
              <w:right w:val="single" w:color="auto" w:sz="4" w:space="0"/>
            </w:tcBorders>
            <w:noWrap w:val="0"/>
            <w:vAlign w:val="top"/>
          </w:tcPr>
          <w:p>
            <w:pPr>
              <w:widowControl/>
              <w:autoSpaceDE/>
              <w:autoSpaceDN/>
              <w:adjustRightInd/>
              <w:jc w:val="left"/>
              <w:textAlignment w:val="auto"/>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473" w:hRule="atLeast"/>
          <w:jc w:val="center"/>
        </w:trPr>
        <w:tc>
          <w:tcPr>
            <w:tcW w:w="9529" w:type="dxa"/>
            <w:gridSpan w:val="4"/>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供应商意见：</w:t>
            </w:r>
          </w:p>
          <w:p>
            <w:pPr>
              <w:pStyle w:val="9"/>
              <w:rPr>
                <w:rFonts w:hint="eastAsia" w:ascii="宋体" w:hAnsi="宋体" w:eastAsia="宋体" w:cs="宋体"/>
                <w:color w:val="auto"/>
                <w:sz w:val="22"/>
                <w:szCs w:val="22"/>
                <w:lang w:eastAsia="zh-CN"/>
              </w:rPr>
            </w:pPr>
          </w:p>
          <w:p>
            <w:pPr>
              <w:pStyle w:val="9"/>
              <w:ind w:firstLine="5129" w:firstLineChars="230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签</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字：</w:t>
            </w:r>
          </w:p>
          <w:p>
            <w:pPr>
              <w:pStyle w:val="9"/>
              <w:ind w:firstLine="5129" w:firstLineChars="230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日</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期：</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年</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月</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日</w:t>
            </w:r>
          </w:p>
        </w:tc>
      </w:tr>
      <w:tr>
        <w:tblPrEx>
          <w:tblCellMar>
            <w:top w:w="0" w:type="dxa"/>
            <w:left w:w="108" w:type="dxa"/>
            <w:bottom w:w="0" w:type="dxa"/>
            <w:right w:w="108" w:type="dxa"/>
          </w:tblCellMar>
        </w:tblPrEx>
        <w:trPr>
          <w:trHeight w:val="473" w:hRule="atLeast"/>
          <w:jc w:val="center"/>
        </w:trPr>
        <w:tc>
          <w:tcPr>
            <w:tcW w:w="9529" w:type="dxa"/>
            <w:gridSpan w:val="4"/>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采购人意见：</w:t>
            </w:r>
          </w:p>
          <w:p>
            <w:pPr>
              <w:pStyle w:val="9"/>
              <w:rPr>
                <w:rFonts w:hint="eastAsia" w:ascii="宋体" w:hAnsi="宋体" w:eastAsia="宋体" w:cs="宋体"/>
                <w:color w:val="auto"/>
                <w:sz w:val="22"/>
                <w:szCs w:val="22"/>
                <w:lang w:eastAsia="zh-CN"/>
              </w:rPr>
            </w:pPr>
          </w:p>
          <w:p>
            <w:pPr>
              <w:pStyle w:val="9"/>
              <w:ind w:firstLine="5129" w:firstLineChars="230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签</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字：</w:t>
            </w:r>
          </w:p>
          <w:p>
            <w:pPr>
              <w:pStyle w:val="9"/>
              <w:ind w:firstLine="5129" w:firstLineChars="230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日</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期：</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年</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月</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日</w:t>
            </w:r>
          </w:p>
        </w:tc>
      </w:tr>
    </w:tbl>
    <w:p>
      <w:pPr>
        <w:keepNext w:val="0"/>
        <w:keepLines w:val="0"/>
        <w:pageBreakBefore w:val="0"/>
        <w:widowControl w:val="0"/>
        <w:kinsoku/>
        <w:wordWrap/>
        <w:overflowPunct/>
        <w:topLinePunct w:val="0"/>
        <w:autoSpaceDE/>
        <w:autoSpaceDN/>
        <w:bidi w:val="0"/>
        <w:adjustRightInd/>
        <w:snapToGrid/>
        <w:spacing w:line="360" w:lineRule="auto"/>
        <w:ind w:firstLine="446" w:firstLineChars="200"/>
        <w:jc w:val="both"/>
        <w:textAlignment w:val="auto"/>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注：中标后采购人有权调整本表格，供应商服从采购人安排，并需积极配。</w:t>
      </w:r>
    </w:p>
    <w:p>
      <w:pPr>
        <w:autoSpaceDE w:val="0"/>
        <w:autoSpaceDN w:val="0"/>
        <w:adjustRightInd w:val="0"/>
        <w:spacing w:line="360" w:lineRule="exact"/>
        <w:jc w:val="center"/>
        <w:rPr>
          <w:rFonts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hint="eastAsia" w:ascii="宋体"/>
          <w:b/>
          <w:bCs/>
          <w:color w:val="auto"/>
          <w:sz w:val="32"/>
          <w:szCs w:val="32"/>
          <w:lang w:val="zh-CN"/>
        </w:rPr>
      </w:pPr>
    </w:p>
    <w:p>
      <w:pPr>
        <w:autoSpaceDE w:val="0"/>
        <w:autoSpaceDN w:val="0"/>
        <w:adjustRightInd w:val="0"/>
        <w:spacing w:line="360" w:lineRule="exact"/>
        <w:jc w:val="center"/>
        <w:rPr>
          <w:rFonts w:ascii="宋体"/>
          <w:b/>
          <w:bCs/>
          <w:color w:val="auto"/>
          <w:sz w:val="32"/>
          <w:szCs w:val="32"/>
          <w:lang w:val="zh-CN"/>
        </w:rPr>
      </w:pPr>
      <w:r>
        <w:rPr>
          <w:rFonts w:hint="eastAsia" w:ascii="宋体"/>
          <w:b/>
          <w:bCs/>
          <w:color w:val="auto"/>
          <w:sz w:val="32"/>
          <w:szCs w:val="32"/>
          <w:lang w:val="zh-CN"/>
        </w:rPr>
        <w:t>第六部分</w:t>
      </w:r>
      <w:r>
        <w:rPr>
          <w:rFonts w:ascii="宋体"/>
          <w:b/>
          <w:bCs/>
          <w:color w:val="auto"/>
          <w:sz w:val="32"/>
          <w:szCs w:val="32"/>
          <w:lang w:val="zh-CN"/>
        </w:rPr>
        <w:t xml:space="preserve">    </w:t>
      </w:r>
      <w:r>
        <w:rPr>
          <w:rFonts w:hint="eastAsia" w:ascii="宋体"/>
          <w:b/>
          <w:bCs/>
          <w:color w:val="auto"/>
          <w:sz w:val="32"/>
          <w:szCs w:val="32"/>
          <w:lang w:val="zh-CN"/>
        </w:rPr>
        <w:t>附件</w:t>
      </w:r>
      <w:r>
        <w:rPr>
          <w:rFonts w:ascii="宋体"/>
          <w:b/>
          <w:bCs/>
          <w:color w:val="auto"/>
          <w:sz w:val="32"/>
          <w:szCs w:val="32"/>
        </w:rPr>
        <w:t>—</w:t>
      </w:r>
      <w:r>
        <w:rPr>
          <w:rFonts w:hint="eastAsia" w:ascii="宋体"/>
          <w:b/>
          <w:bCs/>
          <w:color w:val="auto"/>
          <w:sz w:val="32"/>
          <w:szCs w:val="32"/>
          <w:lang w:val="zh-CN"/>
        </w:rPr>
        <w:t>投标文件格式</w:t>
      </w:r>
    </w:p>
    <w:p>
      <w:pPr>
        <w:autoSpaceDE w:val="0"/>
        <w:autoSpaceDN w:val="0"/>
        <w:adjustRightInd w:val="0"/>
        <w:spacing w:line="360" w:lineRule="exact"/>
        <w:jc w:val="center"/>
        <w:rPr>
          <w:rFonts w:ascii="宋体"/>
          <w:color w:val="auto"/>
          <w:sz w:val="36"/>
          <w:lang w:val="zh-CN"/>
        </w:rPr>
      </w:pPr>
    </w:p>
    <w:p>
      <w:pPr>
        <w:autoSpaceDE w:val="0"/>
        <w:autoSpaceDN w:val="0"/>
        <w:adjustRightInd w:val="0"/>
        <w:spacing w:line="360" w:lineRule="exact"/>
        <w:rPr>
          <w:rFonts w:ascii="宋体"/>
          <w:b/>
          <w:bCs/>
          <w:color w:val="auto"/>
          <w:sz w:val="32"/>
          <w:szCs w:val="32"/>
        </w:rPr>
      </w:pPr>
      <w:r>
        <w:rPr>
          <w:rFonts w:hint="eastAsia" w:ascii="宋体"/>
          <w:b/>
          <w:bCs/>
          <w:color w:val="auto"/>
          <w:sz w:val="32"/>
          <w:szCs w:val="32"/>
          <w:lang w:val="zh-CN"/>
        </w:rPr>
        <w:t>附件一</w:t>
      </w:r>
    </w:p>
    <w:p>
      <w:pPr>
        <w:autoSpaceDE w:val="0"/>
        <w:autoSpaceDN w:val="0"/>
        <w:adjustRightInd w:val="0"/>
        <w:spacing w:line="360" w:lineRule="atLeast"/>
        <w:jc w:val="center"/>
        <w:textAlignment w:val="baseline"/>
        <w:rPr>
          <w:rFonts w:ascii="宋体"/>
          <w:b/>
          <w:bCs/>
          <w:color w:val="auto"/>
          <w:sz w:val="32"/>
          <w:szCs w:val="32"/>
          <w:lang w:val="zh-CN"/>
        </w:rPr>
      </w:pPr>
      <w:r>
        <w:rPr>
          <w:rFonts w:hint="eastAsia" w:ascii="宋体"/>
          <w:b/>
          <w:bCs/>
          <w:color w:val="auto"/>
          <w:sz w:val="32"/>
          <w:szCs w:val="32"/>
          <w:lang w:val="zh-CN"/>
        </w:rPr>
        <w:t>开标一览表</w:t>
      </w:r>
    </w:p>
    <w:p>
      <w:pPr>
        <w:autoSpaceDE w:val="0"/>
        <w:autoSpaceDN w:val="0"/>
        <w:adjustRightInd w:val="0"/>
        <w:spacing w:line="400" w:lineRule="exact"/>
        <w:rPr>
          <w:rFonts w:ascii="宋体"/>
          <w:color w:val="auto"/>
          <w:sz w:val="22"/>
          <w:szCs w:val="22"/>
          <w:lang w:val="zh-CN"/>
        </w:rPr>
      </w:pPr>
      <w:r>
        <w:rPr>
          <w:rFonts w:hint="eastAsia" w:hAnsi="宋体"/>
          <w:color w:val="auto"/>
          <w:sz w:val="22"/>
          <w:szCs w:val="22"/>
        </w:rPr>
        <w:t>项目名称</w:t>
      </w:r>
      <w:r>
        <w:rPr>
          <w:rFonts w:hint="eastAsia" w:ascii="宋体"/>
          <w:color w:val="auto"/>
          <w:sz w:val="22"/>
          <w:szCs w:val="22"/>
          <w:lang w:val="zh-CN"/>
        </w:rPr>
        <w:t>：</w:t>
      </w:r>
      <w:r>
        <w:rPr>
          <w:rFonts w:hint="eastAsia" w:ascii="宋体"/>
          <w:color w:val="auto"/>
          <w:sz w:val="22"/>
          <w:u w:val="single"/>
          <w:lang w:eastAsia="zh-CN"/>
        </w:rPr>
        <w:t>泰顺县水利工程可视化项目</w:t>
      </w:r>
      <w:r>
        <w:rPr>
          <w:rFonts w:ascii="宋体"/>
          <w:color w:val="auto"/>
          <w:sz w:val="22"/>
          <w:szCs w:val="22"/>
          <w:u w:val="single"/>
          <w:lang w:val="zh-CN"/>
        </w:rPr>
        <w:t xml:space="preserve"> </w:t>
      </w:r>
      <w:r>
        <w:rPr>
          <w:rFonts w:ascii="宋体"/>
          <w:color w:val="auto"/>
          <w:sz w:val="22"/>
          <w:szCs w:val="22"/>
          <w:lang w:val="zh-CN"/>
        </w:rPr>
        <w:t xml:space="preserve">          </w:t>
      </w:r>
    </w:p>
    <w:p>
      <w:pPr>
        <w:autoSpaceDE w:val="0"/>
        <w:autoSpaceDN w:val="0"/>
        <w:adjustRightInd w:val="0"/>
        <w:spacing w:line="400" w:lineRule="exact"/>
        <w:rPr>
          <w:rFonts w:ascii="宋体"/>
          <w:color w:val="auto"/>
          <w:sz w:val="22"/>
          <w:szCs w:val="22"/>
          <w:lang w:val="zh-CN"/>
        </w:rPr>
      </w:pPr>
      <w:r>
        <w:rPr>
          <w:rFonts w:hint="eastAsia" w:ascii="宋体"/>
          <w:color w:val="auto"/>
          <w:sz w:val="22"/>
          <w:szCs w:val="22"/>
          <w:lang w:val="zh-CN"/>
        </w:rPr>
        <w:t>招标编号：</w:t>
      </w:r>
      <w:r>
        <w:rPr>
          <w:rFonts w:hint="eastAsia" w:ascii="宋体"/>
          <w:color w:val="auto"/>
          <w:sz w:val="22"/>
          <w:szCs w:val="22"/>
          <w:u w:val="single"/>
          <w:lang w:eastAsia="zh-CN"/>
        </w:rPr>
        <w:t>TSCG202004003</w:t>
      </w:r>
      <w:r>
        <w:rPr>
          <w:rFonts w:ascii="宋体"/>
          <w:color w:val="auto"/>
          <w:sz w:val="22"/>
          <w:szCs w:val="22"/>
          <w:u w:val="single"/>
          <w:lang w:val="zh-CN"/>
        </w:rPr>
        <w:t xml:space="preserve"> </w:t>
      </w:r>
      <w:r>
        <w:rPr>
          <w:rFonts w:ascii="宋体"/>
          <w:color w:val="auto"/>
          <w:sz w:val="22"/>
          <w:szCs w:val="22"/>
          <w:lang w:val="zh-CN"/>
        </w:rPr>
        <w:t xml:space="preserve">       </w:t>
      </w:r>
    </w:p>
    <w:p>
      <w:pPr>
        <w:autoSpaceDE w:val="0"/>
        <w:autoSpaceDN w:val="0"/>
        <w:adjustRightInd w:val="0"/>
        <w:spacing w:line="400" w:lineRule="exact"/>
        <w:rPr>
          <w:color w:val="auto"/>
          <w:sz w:val="22"/>
          <w:u w:val="single"/>
        </w:rPr>
      </w:pPr>
      <w:r>
        <w:rPr>
          <w:rFonts w:hint="eastAsia"/>
          <w:color w:val="auto"/>
          <w:sz w:val="22"/>
        </w:rPr>
        <w:t>价格单位：</w:t>
      </w:r>
      <w:r>
        <w:rPr>
          <w:rFonts w:hint="eastAsia"/>
          <w:color w:val="auto"/>
          <w:sz w:val="22"/>
          <w:szCs w:val="22"/>
          <w:u w:val="single"/>
        </w:rPr>
        <w:t>元人民币</w:t>
      </w:r>
    </w:p>
    <w:tbl>
      <w:tblPr>
        <w:tblStyle w:val="21"/>
        <w:tblW w:w="94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843"/>
        <w:gridCol w:w="45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03" w:type="dxa"/>
            <w:vAlign w:val="center"/>
          </w:tcPr>
          <w:p>
            <w:pPr>
              <w:pStyle w:val="30"/>
              <w:jc w:val="center"/>
              <w:rPr>
                <w:rFonts w:hAnsi="宋体"/>
                <w:color w:val="auto"/>
                <w:sz w:val="22"/>
                <w:szCs w:val="22"/>
              </w:rPr>
            </w:pPr>
            <w:r>
              <w:rPr>
                <w:rFonts w:hint="eastAsia" w:hAnsi="宋体"/>
                <w:color w:val="auto"/>
                <w:sz w:val="22"/>
                <w:szCs w:val="22"/>
              </w:rPr>
              <w:t>标项</w:t>
            </w:r>
          </w:p>
        </w:tc>
        <w:tc>
          <w:tcPr>
            <w:tcW w:w="1843" w:type="dxa"/>
            <w:vAlign w:val="center"/>
          </w:tcPr>
          <w:p>
            <w:pPr>
              <w:pStyle w:val="30"/>
              <w:jc w:val="center"/>
              <w:rPr>
                <w:rFonts w:hAnsi="宋体"/>
                <w:color w:val="auto"/>
                <w:sz w:val="22"/>
                <w:szCs w:val="22"/>
              </w:rPr>
            </w:pPr>
            <w:r>
              <w:rPr>
                <w:rFonts w:hint="eastAsia" w:hAnsi="宋体"/>
                <w:color w:val="auto"/>
                <w:sz w:val="22"/>
                <w:szCs w:val="22"/>
              </w:rPr>
              <w:t>标项名称</w:t>
            </w:r>
          </w:p>
        </w:tc>
        <w:tc>
          <w:tcPr>
            <w:tcW w:w="4520" w:type="dxa"/>
            <w:vAlign w:val="center"/>
          </w:tcPr>
          <w:p>
            <w:pPr>
              <w:pStyle w:val="30"/>
              <w:jc w:val="center"/>
              <w:rPr>
                <w:rFonts w:hAnsi="宋体"/>
                <w:color w:val="auto"/>
                <w:sz w:val="22"/>
                <w:szCs w:val="22"/>
              </w:rPr>
            </w:pPr>
            <w:r>
              <w:rPr>
                <w:rFonts w:hint="eastAsia" w:hAnsi="宋体"/>
                <w:color w:val="auto"/>
                <w:sz w:val="22"/>
                <w:szCs w:val="22"/>
              </w:rPr>
              <w:t>投标报价</w:t>
            </w:r>
          </w:p>
        </w:tc>
        <w:tc>
          <w:tcPr>
            <w:tcW w:w="2220" w:type="dxa"/>
            <w:vAlign w:val="center"/>
          </w:tcPr>
          <w:p>
            <w:pPr>
              <w:pStyle w:val="30"/>
              <w:jc w:val="center"/>
              <w:rPr>
                <w:rFonts w:hAnsi="宋体"/>
                <w:color w:val="auto"/>
                <w:sz w:val="22"/>
                <w:szCs w:val="22"/>
              </w:rPr>
            </w:pPr>
            <w:r>
              <w:rPr>
                <w:rFonts w:hint="eastAsia" w:hAnsi="宋体"/>
                <w:color w:val="auto"/>
                <w:sz w:val="22"/>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trPr>
        <w:tc>
          <w:tcPr>
            <w:tcW w:w="903" w:type="dxa"/>
            <w:vAlign w:val="center"/>
          </w:tcPr>
          <w:p>
            <w:pPr>
              <w:pStyle w:val="30"/>
              <w:spacing w:line="440" w:lineRule="atLeast"/>
              <w:jc w:val="center"/>
              <w:rPr>
                <w:rFonts w:hAnsi="宋体"/>
                <w:color w:val="auto"/>
                <w:sz w:val="22"/>
                <w:szCs w:val="22"/>
              </w:rPr>
            </w:pPr>
            <w:r>
              <w:rPr>
                <w:rFonts w:hAnsi="宋体"/>
                <w:color w:val="auto"/>
                <w:sz w:val="22"/>
                <w:szCs w:val="22"/>
              </w:rPr>
              <w:t>1</w:t>
            </w:r>
          </w:p>
        </w:tc>
        <w:tc>
          <w:tcPr>
            <w:tcW w:w="1843" w:type="dxa"/>
            <w:vAlign w:val="center"/>
          </w:tcPr>
          <w:p>
            <w:pPr>
              <w:snapToGrid w:val="0"/>
              <w:spacing w:line="400" w:lineRule="exact"/>
              <w:ind w:firstLine="223" w:firstLineChars="100"/>
              <w:jc w:val="center"/>
              <w:rPr>
                <w:rFonts w:hint="eastAsia" w:hAnsi="宋体" w:eastAsia="宋体"/>
                <w:color w:val="auto"/>
                <w:sz w:val="22"/>
                <w:szCs w:val="22"/>
                <w:lang w:eastAsia="zh-CN"/>
              </w:rPr>
            </w:pPr>
            <w:r>
              <w:rPr>
                <w:rFonts w:hint="eastAsia" w:ascii="宋体"/>
                <w:color w:val="auto"/>
                <w:sz w:val="22"/>
                <w:u w:val="single"/>
                <w:lang w:eastAsia="zh-CN"/>
              </w:rPr>
              <w:t>泰顺县水利工程可视化项目</w:t>
            </w:r>
          </w:p>
        </w:tc>
        <w:tc>
          <w:tcPr>
            <w:tcW w:w="4520" w:type="dxa"/>
            <w:vAlign w:val="center"/>
          </w:tcPr>
          <w:p>
            <w:pPr>
              <w:pStyle w:val="30"/>
              <w:spacing w:line="440" w:lineRule="atLeast"/>
              <w:ind w:firstLine="223" w:firstLineChars="100"/>
              <w:rPr>
                <w:rFonts w:ascii="Arial" w:hAnsi="Arial" w:cs="Arial"/>
                <w:color w:val="auto"/>
                <w:sz w:val="22"/>
                <w:szCs w:val="22"/>
                <w:u w:val="single"/>
              </w:rPr>
            </w:pPr>
            <w:r>
              <w:rPr>
                <w:rFonts w:hint="eastAsia" w:ascii="Arial" w:hAnsi="Arial" w:cs="Arial"/>
                <w:color w:val="auto"/>
                <w:sz w:val="22"/>
                <w:szCs w:val="22"/>
              </w:rPr>
              <w:t>大写：</w:t>
            </w:r>
            <w:r>
              <w:rPr>
                <w:rFonts w:hint="eastAsia" w:ascii="Arial" w:hAnsi="Arial" w:cs="Arial"/>
                <w:color w:val="auto"/>
                <w:sz w:val="22"/>
                <w:szCs w:val="22"/>
                <w:u w:val="single"/>
              </w:rPr>
              <w:t xml:space="preserve">                     </w:t>
            </w:r>
          </w:p>
          <w:p>
            <w:pPr>
              <w:pStyle w:val="30"/>
              <w:spacing w:line="440" w:lineRule="atLeast"/>
              <w:ind w:firstLine="446" w:firstLineChars="200"/>
              <w:rPr>
                <w:rFonts w:hAnsi="宋体"/>
                <w:color w:val="auto"/>
                <w:sz w:val="22"/>
                <w:szCs w:val="22"/>
              </w:rPr>
            </w:pPr>
            <w:r>
              <w:rPr>
                <w:rFonts w:hint="eastAsia" w:ascii="Arial" w:hAnsi="Arial" w:cs="Arial"/>
                <w:color w:val="auto"/>
                <w:sz w:val="22"/>
                <w:szCs w:val="22"/>
              </w:rPr>
              <w:t>小写：</w:t>
            </w:r>
            <w:r>
              <w:rPr>
                <w:rFonts w:ascii="Arial" w:hAnsi="Arial" w:cs="Arial"/>
                <w:color w:val="auto"/>
                <w:sz w:val="22"/>
                <w:szCs w:val="22"/>
              </w:rPr>
              <w:t>¥</w:t>
            </w:r>
            <w:r>
              <w:rPr>
                <w:rFonts w:hint="eastAsia" w:hAnsi="宋体"/>
                <w:color w:val="auto"/>
                <w:sz w:val="22"/>
                <w:szCs w:val="22"/>
                <w:u w:val="thick"/>
              </w:rPr>
              <w:t xml:space="preserve">                  </w:t>
            </w:r>
          </w:p>
          <w:p>
            <w:pPr>
              <w:pStyle w:val="30"/>
              <w:spacing w:line="440" w:lineRule="atLeast"/>
              <w:ind w:firstLine="892" w:firstLineChars="400"/>
              <w:rPr>
                <w:rFonts w:hAnsi="宋体"/>
                <w:color w:val="auto"/>
                <w:sz w:val="22"/>
                <w:szCs w:val="22"/>
              </w:rPr>
            </w:pPr>
            <w:r>
              <w:rPr>
                <w:rFonts w:hint="eastAsia" w:hAnsi="宋体"/>
                <w:color w:val="auto"/>
                <w:sz w:val="22"/>
                <w:szCs w:val="22"/>
              </w:rPr>
              <w:t xml:space="preserve">   </w:t>
            </w:r>
          </w:p>
        </w:tc>
        <w:tc>
          <w:tcPr>
            <w:tcW w:w="2220" w:type="dxa"/>
            <w:vAlign w:val="center"/>
          </w:tcPr>
          <w:p>
            <w:pPr>
              <w:pStyle w:val="29"/>
              <w:adjustRightInd w:val="0"/>
              <w:snapToGrid w:val="0"/>
              <w:spacing w:line="400" w:lineRule="exact"/>
              <w:ind w:firstLine="0"/>
              <w:jc w:val="center"/>
              <w:rPr>
                <w:rFonts w:hint="default" w:eastAsia="宋体"/>
                <w:color w:val="auto"/>
                <w:sz w:val="22"/>
                <w:szCs w:val="22"/>
                <w:lang w:val="en-US" w:eastAsia="zh-CN"/>
              </w:rPr>
            </w:pPr>
            <w:r>
              <w:rPr>
                <w:rFonts w:hint="eastAsia"/>
                <w:color w:val="auto"/>
                <w:sz w:val="22"/>
                <w:szCs w:val="22"/>
                <w:lang w:val="en-US" w:eastAsia="zh-CN"/>
              </w:rPr>
              <w:t>6480000.00</w:t>
            </w:r>
          </w:p>
        </w:tc>
      </w:tr>
    </w:tbl>
    <w:p>
      <w:pPr>
        <w:pStyle w:val="30"/>
        <w:spacing w:line="440" w:lineRule="atLeast"/>
        <w:rPr>
          <w:rFonts w:hAnsi="宋体" w:cs="宋体"/>
          <w:color w:val="auto"/>
          <w:sz w:val="22"/>
          <w:szCs w:val="22"/>
        </w:rPr>
      </w:pPr>
    </w:p>
    <w:p>
      <w:pPr>
        <w:pStyle w:val="30"/>
        <w:spacing w:line="440" w:lineRule="atLeast"/>
        <w:rPr>
          <w:rFonts w:hAnsi="宋体" w:cs="宋体"/>
          <w:color w:val="auto"/>
          <w:sz w:val="22"/>
          <w:szCs w:val="22"/>
        </w:rPr>
      </w:pPr>
    </w:p>
    <w:p>
      <w:pPr>
        <w:pStyle w:val="30"/>
        <w:numPr>
          <w:ilvl w:val="0"/>
          <w:numId w:val="37"/>
        </w:numPr>
        <w:spacing w:line="440" w:lineRule="atLeast"/>
        <w:rPr>
          <w:rFonts w:hAnsi="宋体"/>
          <w:color w:val="auto"/>
          <w:sz w:val="22"/>
          <w:szCs w:val="22"/>
        </w:rPr>
      </w:pPr>
      <w:r>
        <w:rPr>
          <w:rFonts w:hint="eastAsia" w:hAnsi="宋体"/>
          <w:color w:val="auto"/>
          <w:sz w:val="22"/>
          <w:szCs w:val="22"/>
        </w:rPr>
        <w:t>▲报价一览表中投标价为符合招标文件要求的总价。</w:t>
      </w:r>
    </w:p>
    <w:p>
      <w:pPr>
        <w:pStyle w:val="30"/>
        <w:spacing w:line="440" w:lineRule="atLeast"/>
        <w:rPr>
          <w:rFonts w:hAnsi="宋体"/>
          <w:color w:val="auto"/>
          <w:sz w:val="22"/>
          <w:szCs w:val="22"/>
        </w:rPr>
      </w:pPr>
      <w:r>
        <w:rPr>
          <w:rFonts w:hint="eastAsia" w:hAnsi="宋体"/>
          <w:color w:val="auto"/>
          <w:sz w:val="22"/>
          <w:szCs w:val="22"/>
        </w:rPr>
        <w:t>2. ▲不提供此表格的将视为没有实质性响应招标文件。</w:t>
      </w:r>
    </w:p>
    <w:p>
      <w:pPr>
        <w:pStyle w:val="30"/>
        <w:spacing w:line="440" w:lineRule="atLeast"/>
        <w:rPr>
          <w:rFonts w:hAnsi="宋体"/>
          <w:color w:val="auto"/>
          <w:sz w:val="22"/>
          <w:szCs w:val="22"/>
        </w:rPr>
      </w:pPr>
    </w:p>
    <w:p>
      <w:pPr>
        <w:pStyle w:val="30"/>
        <w:spacing w:line="440" w:lineRule="atLeast"/>
        <w:rPr>
          <w:rFonts w:hAnsi="宋体"/>
          <w:color w:val="auto"/>
          <w:sz w:val="22"/>
          <w:szCs w:val="22"/>
        </w:rPr>
      </w:pPr>
      <w:r>
        <w:rPr>
          <w:rFonts w:hint="eastAsia" w:hAnsi="宋体"/>
          <w:color w:val="auto"/>
          <w:sz w:val="22"/>
          <w:szCs w:val="22"/>
        </w:rPr>
        <w:t>供应商全称：（盖章）</w:t>
      </w:r>
    </w:p>
    <w:p>
      <w:pPr>
        <w:pStyle w:val="30"/>
        <w:spacing w:line="440" w:lineRule="atLeast"/>
        <w:rPr>
          <w:rFonts w:hAnsi="宋体"/>
          <w:color w:val="auto"/>
          <w:sz w:val="22"/>
          <w:szCs w:val="22"/>
          <w:lang w:val="zh-CN"/>
        </w:rPr>
      </w:pPr>
      <w:r>
        <w:rPr>
          <w:rFonts w:hint="eastAsia" w:hAnsi="宋体"/>
          <w:color w:val="auto"/>
          <w:sz w:val="22"/>
          <w:szCs w:val="22"/>
        </w:rPr>
        <w:t>法定代表人或</w:t>
      </w:r>
      <w:r>
        <w:rPr>
          <w:rFonts w:hint="eastAsia" w:hAnsi="宋体"/>
          <w:color w:val="auto"/>
          <w:sz w:val="22"/>
          <w:szCs w:val="22"/>
          <w:lang w:val="zh-CN"/>
        </w:rPr>
        <w:t>授权代表（签字</w:t>
      </w:r>
      <w:r>
        <w:rPr>
          <w:rFonts w:hint="eastAsia" w:hAnsi="宋体"/>
          <w:color w:val="auto"/>
          <w:sz w:val="22"/>
          <w:szCs w:val="22"/>
        </w:rPr>
        <w:t>或盖章</w:t>
      </w:r>
      <w:r>
        <w:rPr>
          <w:rFonts w:hint="eastAsia" w:hAnsi="宋体"/>
          <w:color w:val="auto"/>
          <w:sz w:val="22"/>
          <w:szCs w:val="22"/>
          <w:lang w:val="zh-CN"/>
        </w:rPr>
        <w:t>）：</w:t>
      </w:r>
    </w:p>
    <w:p>
      <w:pPr>
        <w:pStyle w:val="30"/>
        <w:spacing w:line="440" w:lineRule="atLeast"/>
        <w:rPr>
          <w:rFonts w:hAnsi="宋体"/>
          <w:color w:val="auto"/>
          <w:sz w:val="22"/>
          <w:szCs w:val="22"/>
        </w:rPr>
      </w:pPr>
      <w:r>
        <w:rPr>
          <w:rFonts w:hint="eastAsia" w:hAnsi="宋体"/>
          <w:color w:val="auto"/>
          <w:sz w:val="22"/>
          <w:szCs w:val="22"/>
        </w:rPr>
        <w:t>日期：</w:t>
      </w:r>
    </w:p>
    <w:p>
      <w:pPr>
        <w:pStyle w:val="9"/>
        <w:rPr>
          <w:rFonts w:hint="eastAsia" w:ascii="宋体"/>
          <w:b/>
          <w:bCs/>
          <w:color w:val="auto"/>
          <w:sz w:val="32"/>
          <w:szCs w:val="32"/>
        </w:rPr>
      </w:pPr>
    </w:p>
    <w:p>
      <w:pPr>
        <w:pStyle w:val="9"/>
        <w:rPr>
          <w:rFonts w:hint="eastAsia" w:ascii="宋体"/>
          <w:b/>
          <w:bCs/>
          <w:color w:val="auto"/>
          <w:sz w:val="32"/>
          <w:szCs w:val="32"/>
        </w:rPr>
      </w:pPr>
    </w:p>
    <w:p>
      <w:pPr>
        <w:pStyle w:val="9"/>
        <w:rPr>
          <w:rFonts w:hint="eastAsia" w:ascii="宋体"/>
          <w:b/>
          <w:bCs/>
          <w:color w:val="auto"/>
          <w:sz w:val="32"/>
          <w:szCs w:val="32"/>
        </w:rPr>
      </w:pPr>
    </w:p>
    <w:p>
      <w:pPr>
        <w:pStyle w:val="9"/>
        <w:rPr>
          <w:rFonts w:hint="eastAsia" w:ascii="宋体"/>
          <w:b/>
          <w:bCs/>
          <w:color w:val="auto"/>
          <w:sz w:val="32"/>
          <w:szCs w:val="32"/>
        </w:rPr>
      </w:pPr>
    </w:p>
    <w:p>
      <w:pPr>
        <w:pStyle w:val="9"/>
        <w:rPr>
          <w:rFonts w:hint="eastAsia" w:ascii="宋体"/>
          <w:b/>
          <w:bCs/>
          <w:color w:val="auto"/>
          <w:sz w:val="32"/>
          <w:szCs w:val="32"/>
        </w:rPr>
      </w:pPr>
    </w:p>
    <w:p>
      <w:pPr>
        <w:pStyle w:val="9"/>
        <w:rPr>
          <w:rFonts w:ascii="宋体"/>
          <w:b/>
          <w:bCs/>
          <w:color w:val="auto"/>
          <w:sz w:val="32"/>
          <w:szCs w:val="32"/>
        </w:rPr>
      </w:pPr>
      <w:r>
        <w:rPr>
          <w:rFonts w:hint="eastAsia" w:ascii="宋体"/>
          <w:b/>
          <w:bCs/>
          <w:color w:val="auto"/>
          <w:sz w:val="32"/>
          <w:szCs w:val="32"/>
        </w:rPr>
        <w:t>附件二</w:t>
      </w:r>
    </w:p>
    <w:p>
      <w:pPr>
        <w:autoSpaceDE w:val="0"/>
        <w:autoSpaceDN w:val="0"/>
        <w:adjustRightInd w:val="0"/>
        <w:spacing w:line="400" w:lineRule="exact"/>
        <w:jc w:val="center"/>
        <w:rPr>
          <w:rFonts w:hAnsi="宋体"/>
          <w:color w:val="auto"/>
          <w:sz w:val="22"/>
          <w:szCs w:val="22"/>
        </w:rPr>
      </w:pPr>
      <w:r>
        <w:rPr>
          <w:rFonts w:hint="eastAsia" w:ascii="宋体"/>
          <w:b/>
          <w:bCs/>
          <w:color w:val="auto"/>
          <w:sz w:val="32"/>
          <w:szCs w:val="32"/>
        </w:rPr>
        <w:t>投标分项报价表</w:t>
      </w:r>
    </w:p>
    <w:p>
      <w:pPr>
        <w:autoSpaceDE w:val="0"/>
        <w:autoSpaceDN w:val="0"/>
        <w:adjustRightInd w:val="0"/>
        <w:spacing w:line="400" w:lineRule="exact"/>
        <w:rPr>
          <w:rFonts w:ascii="宋体"/>
          <w:color w:val="auto"/>
          <w:sz w:val="22"/>
          <w:szCs w:val="22"/>
          <w:lang w:val="zh-CN"/>
        </w:rPr>
      </w:pPr>
      <w:r>
        <w:rPr>
          <w:rFonts w:hint="eastAsia" w:hAnsi="宋体"/>
          <w:color w:val="auto"/>
          <w:sz w:val="22"/>
          <w:szCs w:val="22"/>
        </w:rPr>
        <w:t>项目名称</w:t>
      </w:r>
      <w:r>
        <w:rPr>
          <w:rFonts w:hint="eastAsia" w:ascii="宋体"/>
          <w:color w:val="auto"/>
          <w:sz w:val="22"/>
          <w:szCs w:val="22"/>
          <w:lang w:val="zh-CN"/>
        </w:rPr>
        <w:t>：</w:t>
      </w:r>
      <w:r>
        <w:rPr>
          <w:rFonts w:hint="eastAsia" w:ascii="宋体"/>
          <w:color w:val="auto"/>
          <w:sz w:val="22"/>
          <w:u w:val="single"/>
          <w:lang w:eastAsia="zh-CN"/>
        </w:rPr>
        <w:t>泰顺县水利工程可视化项目</w:t>
      </w:r>
      <w:r>
        <w:rPr>
          <w:rFonts w:ascii="宋体"/>
          <w:color w:val="auto"/>
          <w:sz w:val="22"/>
          <w:szCs w:val="22"/>
          <w:u w:val="single"/>
          <w:lang w:val="zh-CN"/>
        </w:rPr>
        <w:t xml:space="preserve"> </w:t>
      </w:r>
      <w:r>
        <w:rPr>
          <w:rFonts w:ascii="宋体"/>
          <w:color w:val="auto"/>
          <w:sz w:val="22"/>
          <w:szCs w:val="22"/>
          <w:lang w:val="zh-CN"/>
        </w:rPr>
        <w:t xml:space="preserve">          </w:t>
      </w:r>
    </w:p>
    <w:p>
      <w:pPr>
        <w:autoSpaceDE w:val="0"/>
        <w:autoSpaceDN w:val="0"/>
        <w:adjustRightInd w:val="0"/>
        <w:spacing w:line="400" w:lineRule="exact"/>
        <w:rPr>
          <w:rFonts w:ascii="宋体"/>
          <w:color w:val="auto"/>
          <w:sz w:val="22"/>
          <w:szCs w:val="22"/>
          <w:lang w:val="zh-CN"/>
        </w:rPr>
      </w:pPr>
      <w:r>
        <w:rPr>
          <w:rFonts w:hint="eastAsia" w:ascii="宋体"/>
          <w:color w:val="auto"/>
          <w:sz w:val="22"/>
          <w:szCs w:val="22"/>
          <w:lang w:val="zh-CN"/>
        </w:rPr>
        <w:t>招标编号：</w:t>
      </w:r>
      <w:r>
        <w:rPr>
          <w:rFonts w:hint="eastAsia" w:ascii="宋体"/>
          <w:color w:val="auto"/>
          <w:sz w:val="22"/>
          <w:szCs w:val="22"/>
          <w:u w:val="single"/>
          <w:lang w:eastAsia="zh-CN"/>
        </w:rPr>
        <w:t>TSCG202004003</w:t>
      </w:r>
      <w:r>
        <w:rPr>
          <w:rFonts w:ascii="宋体"/>
          <w:color w:val="auto"/>
          <w:sz w:val="22"/>
          <w:szCs w:val="22"/>
          <w:u w:val="single"/>
          <w:lang w:val="zh-CN"/>
        </w:rPr>
        <w:t xml:space="preserve"> </w:t>
      </w:r>
      <w:r>
        <w:rPr>
          <w:rFonts w:ascii="宋体"/>
          <w:color w:val="auto"/>
          <w:sz w:val="22"/>
          <w:szCs w:val="22"/>
          <w:lang w:val="zh-CN"/>
        </w:rPr>
        <w:t xml:space="preserve">       </w:t>
      </w:r>
    </w:p>
    <w:p>
      <w:pPr>
        <w:autoSpaceDE w:val="0"/>
        <w:autoSpaceDN w:val="0"/>
        <w:adjustRightInd w:val="0"/>
        <w:spacing w:line="400" w:lineRule="exact"/>
        <w:rPr>
          <w:color w:val="auto"/>
          <w:sz w:val="22"/>
          <w:u w:val="single"/>
        </w:rPr>
      </w:pPr>
      <w:r>
        <w:rPr>
          <w:rFonts w:hint="eastAsia"/>
          <w:color w:val="auto"/>
          <w:sz w:val="22"/>
        </w:rPr>
        <w:t>价格单位：</w:t>
      </w:r>
      <w:r>
        <w:rPr>
          <w:rFonts w:hint="eastAsia"/>
          <w:color w:val="auto"/>
          <w:sz w:val="22"/>
          <w:szCs w:val="22"/>
          <w:u w:val="single"/>
        </w:rPr>
        <w:t>元人民币</w:t>
      </w:r>
    </w:p>
    <w:tbl>
      <w:tblPr>
        <w:tblStyle w:val="21"/>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288"/>
        <w:gridCol w:w="1132"/>
        <w:gridCol w:w="837"/>
        <w:gridCol w:w="837"/>
        <w:gridCol w:w="837"/>
        <w:gridCol w:w="83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tcBorders>
              <w:tl2br w:val="nil"/>
              <w:tr2bl w:val="nil"/>
            </w:tcBorders>
            <w:vAlign w:val="center"/>
          </w:tcPr>
          <w:p>
            <w:pPr>
              <w:ind w:right="-11"/>
              <w:jc w:val="center"/>
              <w:rPr>
                <w:rFonts w:ascii="宋体" w:cs="Arial"/>
                <w:bCs/>
                <w:color w:val="auto"/>
                <w:sz w:val="22"/>
              </w:rPr>
            </w:pPr>
            <w:r>
              <w:rPr>
                <w:rFonts w:hint="eastAsia" w:ascii="宋体" w:cs="Arial"/>
                <w:bCs/>
                <w:color w:val="auto"/>
                <w:sz w:val="22"/>
              </w:rPr>
              <w:t>序号</w:t>
            </w:r>
          </w:p>
        </w:tc>
        <w:tc>
          <w:tcPr>
            <w:tcW w:w="1310" w:type="dxa"/>
            <w:tcBorders>
              <w:tl2br w:val="nil"/>
              <w:tr2bl w:val="nil"/>
            </w:tcBorders>
            <w:vAlign w:val="center"/>
          </w:tcPr>
          <w:p>
            <w:pPr>
              <w:adjustRightInd w:val="0"/>
              <w:snapToGrid w:val="0"/>
              <w:spacing w:line="460" w:lineRule="atLeast"/>
              <w:jc w:val="center"/>
              <w:rPr>
                <w:rFonts w:hint="default" w:ascii="宋体" w:cs="Arial"/>
                <w:bCs/>
                <w:color w:val="auto"/>
                <w:sz w:val="22"/>
                <w:lang w:val="en-US"/>
              </w:rPr>
            </w:pPr>
            <w:r>
              <w:rPr>
                <w:rFonts w:hint="eastAsia" w:ascii="宋体"/>
                <w:color w:val="auto"/>
                <w:spacing w:val="20"/>
                <w:sz w:val="22"/>
                <w:lang w:val="en-US" w:eastAsia="zh-CN"/>
              </w:rPr>
              <w:t>报价项</w:t>
            </w:r>
          </w:p>
        </w:tc>
        <w:tc>
          <w:tcPr>
            <w:tcW w:w="960" w:type="dxa"/>
            <w:tcBorders>
              <w:tl2br w:val="nil"/>
              <w:tr2bl w:val="nil"/>
            </w:tcBorders>
            <w:vAlign w:val="center"/>
          </w:tcPr>
          <w:p>
            <w:pPr>
              <w:adjustRightInd w:val="0"/>
              <w:snapToGrid w:val="0"/>
              <w:spacing w:line="460" w:lineRule="atLeast"/>
              <w:jc w:val="center"/>
              <w:rPr>
                <w:rFonts w:ascii="宋体"/>
                <w:color w:val="auto"/>
                <w:spacing w:val="20"/>
                <w:sz w:val="22"/>
              </w:rPr>
            </w:pPr>
            <w:r>
              <w:rPr>
                <w:rFonts w:hint="eastAsia" w:ascii="宋体"/>
                <w:color w:val="auto"/>
                <w:spacing w:val="20"/>
                <w:sz w:val="22"/>
              </w:rPr>
              <w:t>型号</w:t>
            </w:r>
          </w:p>
        </w:tc>
        <w:tc>
          <w:tcPr>
            <w:tcW w:w="1288" w:type="dxa"/>
            <w:tcBorders>
              <w:tl2br w:val="nil"/>
              <w:tr2bl w:val="nil"/>
            </w:tcBorders>
            <w:vAlign w:val="center"/>
          </w:tcPr>
          <w:p>
            <w:pPr>
              <w:adjustRightInd w:val="0"/>
              <w:snapToGrid w:val="0"/>
              <w:spacing w:line="460" w:lineRule="atLeast"/>
              <w:jc w:val="center"/>
              <w:rPr>
                <w:rFonts w:ascii="宋体" w:cs="Arial"/>
                <w:bCs/>
                <w:color w:val="auto"/>
                <w:sz w:val="22"/>
              </w:rPr>
            </w:pPr>
            <w:r>
              <w:rPr>
                <w:rFonts w:hint="eastAsia" w:ascii="宋体"/>
                <w:color w:val="auto"/>
                <w:spacing w:val="20"/>
                <w:sz w:val="22"/>
              </w:rPr>
              <w:t>品牌、产地</w:t>
            </w:r>
          </w:p>
        </w:tc>
        <w:tc>
          <w:tcPr>
            <w:tcW w:w="1132" w:type="dxa"/>
            <w:tcBorders>
              <w:tl2br w:val="nil"/>
              <w:tr2bl w:val="nil"/>
            </w:tcBorders>
            <w:vAlign w:val="center"/>
          </w:tcPr>
          <w:p>
            <w:pPr>
              <w:adjustRightInd w:val="0"/>
              <w:snapToGrid w:val="0"/>
              <w:spacing w:line="460" w:lineRule="atLeast"/>
              <w:jc w:val="center"/>
              <w:rPr>
                <w:rFonts w:ascii="宋体" w:cs="Arial"/>
                <w:bCs/>
                <w:color w:val="auto"/>
                <w:sz w:val="22"/>
              </w:rPr>
            </w:pPr>
            <w:r>
              <w:rPr>
                <w:rFonts w:hint="eastAsia" w:ascii="宋体"/>
                <w:color w:val="auto"/>
                <w:spacing w:val="20"/>
                <w:sz w:val="22"/>
              </w:rPr>
              <w:t>主要规格</w:t>
            </w:r>
          </w:p>
        </w:tc>
        <w:tc>
          <w:tcPr>
            <w:tcW w:w="837" w:type="dxa"/>
            <w:tcBorders>
              <w:tl2br w:val="nil"/>
              <w:tr2bl w:val="nil"/>
            </w:tcBorders>
            <w:vAlign w:val="center"/>
          </w:tcPr>
          <w:p>
            <w:pPr>
              <w:ind w:right="-11"/>
              <w:jc w:val="center"/>
              <w:rPr>
                <w:rFonts w:ascii="宋体" w:cs="Arial"/>
                <w:bCs/>
                <w:color w:val="auto"/>
                <w:sz w:val="22"/>
              </w:rPr>
            </w:pPr>
            <w:r>
              <w:rPr>
                <w:rFonts w:hint="eastAsia" w:ascii="宋体" w:cs="Arial"/>
                <w:bCs/>
                <w:color w:val="auto"/>
                <w:sz w:val="22"/>
              </w:rPr>
              <w:t>单位</w:t>
            </w:r>
          </w:p>
        </w:tc>
        <w:tc>
          <w:tcPr>
            <w:tcW w:w="837" w:type="dxa"/>
            <w:tcBorders>
              <w:tl2br w:val="nil"/>
              <w:tr2bl w:val="nil"/>
            </w:tcBorders>
            <w:vAlign w:val="center"/>
          </w:tcPr>
          <w:p>
            <w:pPr>
              <w:ind w:right="-11"/>
              <w:jc w:val="center"/>
              <w:rPr>
                <w:rFonts w:ascii="宋体" w:cs="Arial"/>
                <w:bCs/>
                <w:color w:val="auto"/>
                <w:sz w:val="22"/>
              </w:rPr>
            </w:pPr>
            <w:r>
              <w:rPr>
                <w:rFonts w:hint="eastAsia" w:ascii="宋体" w:cs="Arial"/>
                <w:bCs/>
                <w:color w:val="auto"/>
                <w:sz w:val="22"/>
              </w:rPr>
              <w:t>数量</w:t>
            </w:r>
          </w:p>
        </w:tc>
        <w:tc>
          <w:tcPr>
            <w:tcW w:w="837" w:type="dxa"/>
            <w:tcBorders>
              <w:tl2br w:val="nil"/>
              <w:tr2bl w:val="nil"/>
            </w:tcBorders>
            <w:vAlign w:val="center"/>
          </w:tcPr>
          <w:p>
            <w:pPr>
              <w:ind w:right="-11"/>
              <w:jc w:val="center"/>
              <w:rPr>
                <w:rFonts w:ascii="宋体" w:cs="Arial"/>
                <w:color w:val="auto"/>
                <w:sz w:val="22"/>
              </w:rPr>
            </w:pPr>
            <w:r>
              <w:rPr>
                <w:rFonts w:hint="eastAsia" w:ascii="宋体" w:cs="Arial"/>
                <w:bCs/>
                <w:color w:val="auto"/>
                <w:sz w:val="22"/>
              </w:rPr>
              <w:t>单价</w:t>
            </w:r>
          </w:p>
        </w:tc>
        <w:tc>
          <w:tcPr>
            <w:tcW w:w="839" w:type="dxa"/>
            <w:tcBorders>
              <w:tl2br w:val="nil"/>
              <w:tr2bl w:val="nil"/>
            </w:tcBorders>
            <w:vAlign w:val="center"/>
          </w:tcPr>
          <w:p>
            <w:pPr>
              <w:ind w:right="-11"/>
              <w:jc w:val="center"/>
              <w:rPr>
                <w:rFonts w:ascii="宋体" w:cs="Arial"/>
                <w:color w:val="auto"/>
                <w:sz w:val="22"/>
              </w:rPr>
            </w:pPr>
            <w:r>
              <w:rPr>
                <w:rFonts w:hint="eastAsia" w:ascii="宋体" w:cs="Arial"/>
                <w:bCs/>
                <w:color w:val="auto"/>
                <w:sz w:val="22"/>
              </w:rPr>
              <w:t>总价</w:t>
            </w:r>
          </w:p>
        </w:tc>
        <w:tc>
          <w:tcPr>
            <w:tcW w:w="830" w:type="dxa"/>
            <w:tcBorders>
              <w:tl2br w:val="nil"/>
              <w:tr2bl w:val="nil"/>
            </w:tcBorders>
            <w:vAlign w:val="center"/>
          </w:tcPr>
          <w:p>
            <w:pPr>
              <w:ind w:right="-11"/>
              <w:jc w:val="center"/>
              <w:rPr>
                <w:rFonts w:ascii="宋体" w:cs="Arial"/>
                <w:bCs/>
                <w:color w:val="auto"/>
                <w:sz w:val="22"/>
              </w:rPr>
            </w:pPr>
            <w:r>
              <w:rPr>
                <w:rFonts w:hint="eastAsia" w:ascii="宋体" w:cs="Arial"/>
                <w:bCs/>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color w:val="auto"/>
                <w:sz w:val="22"/>
              </w:rPr>
            </w:pPr>
            <w:r>
              <w:rPr>
                <w:rFonts w:hint="eastAsia" w:ascii="宋体" w:cs="Arial"/>
                <w:color w:val="auto"/>
                <w:sz w:val="22"/>
              </w:rPr>
              <w:t>1</w:t>
            </w:r>
          </w:p>
        </w:tc>
        <w:tc>
          <w:tcPr>
            <w:tcW w:w="1310" w:type="dxa"/>
            <w:tcBorders>
              <w:tl2br w:val="nil"/>
              <w:tr2bl w:val="nil"/>
            </w:tcBorders>
            <w:vAlign w:val="center"/>
          </w:tcPr>
          <w:p>
            <w:pPr>
              <w:rPr>
                <w:rFonts w:ascii="宋体" w:cs="Arial"/>
                <w:color w:val="auto"/>
                <w:sz w:val="22"/>
              </w:rPr>
            </w:pPr>
          </w:p>
        </w:tc>
        <w:tc>
          <w:tcPr>
            <w:tcW w:w="960" w:type="dxa"/>
            <w:tcBorders>
              <w:tl2br w:val="nil"/>
              <w:tr2bl w:val="nil"/>
            </w:tcBorders>
            <w:vAlign w:val="center"/>
          </w:tcPr>
          <w:p>
            <w:pPr>
              <w:jc w:val="center"/>
              <w:rPr>
                <w:rFonts w:ascii="宋体" w:cs="Arial"/>
                <w:color w:val="auto"/>
                <w:sz w:val="22"/>
              </w:rPr>
            </w:pPr>
          </w:p>
        </w:tc>
        <w:tc>
          <w:tcPr>
            <w:tcW w:w="1288" w:type="dxa"/>
            <w:tcBorders>
              <w:tl2br w:val="nil"/>
              <w:tr2bl w:val="nil"/>
            </w:tcBorders>
            <w:vAlign w:val="center"/>
          </w:tcPr>
          <w:p>
            <w:pPr>
              <w:jc w:val="center"/>
              <w:rPr>
                <w:rFonts w:ascii="宋体" w:cs="Arial"/>
                <w:color w:val="auto"/>
                <w:sz w:val="22"/>
              </w:rPr>
            </w:pPr>
          </w:p>
        </w:tc>
        <w:tc>
          <w:tcPr>
            <w:tcW w:w="1132"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7"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9" w:type="dxa"/>
            <w:tcBorders>
              <w:tl2br w:val="nil"/>
              <w:tr2bl w:val="nil"/>
            </w:tcBorders>
            <w:vAlign w:val="center"/>
          </w:tcPr>
          <w:p>
            <w:pPr>
              <w:ind w:right="-11"/>
              <w:jc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color w:val="auto"/>
                <w:sz w:val="22"/>
              </w:rPr>
            </w:pPr>
            <w:r>
              <w:rPr>
                <w:rFonts w:hint="eastAsia" w:ascii="宋体" w:cs="Arial"/>
                <w:color w:val="auto"/>
                <w:sz w:val="22"/>
              </w:rPr>
              <w:t>2</w:t>
            </w:r>
          </w:p>
        </w:tc>
        <w:tc>
          <w:tcPr>
            <w:tcW w:w="1310" w:type="dxa"/>
            <w:tcBorders>
              <w:tl2br w:val="nil"/>
              <w:tr2bl w:val="nil"/>
            </w:tcBorders>
            <w:vAlign w:val="center"/>
          </w:tcPr>
          <w:p>
            <w:pPr>
              <w:rPr>
                <w:rFonts w:ascii="宋体" w:cs="Arial"/>
                <w:color w:val="auto"/>
                <w:sz w:val="22"/>
              </w:rPr>
            </w:pPr>
          </w:p>
        </w:tc>
        <w:tc>
          <w:tcPr>
            <w:tcW w:w="960" w:type="dxa"/>
            <w:tcBorders>
              <w:tl2br w:val="nil"/>
              <w:tr2bl w:val="nil"/>
            </w:tcBorders>
            <w:vAlign w:val="center"/>
          </w:tcPr>
          <w:p>
            <w:pPr>
              <w:jc w:val="center"/>
              <w:rPr>
                <w:rFonts w:ascii="宋体" w:cs="Arial"/>
                <w:color w:val="auto"/>
                <w:sz w:val="22"/>
              </w:rPr>
            </w:pPr>
          </w:p>
        </w:tc>
        <w:tc>
          <w:tcPr>
            <w:tcW w:w="1288" w:type="dxa"/>
            <w:tcBorders>
              <w:tl2br w:val="nil"/>
              <w:tr2bl w:val="nil"/>
            </w:tcBorders>
            <w:vAlign w:val="center"/>
          </w:tcPr>
          <w:p>
            <w:pPr>
              <w:jc w:val="center"/>
              <w:rPr>
                <w:rFonts w:ascii="宋体" w:cs="Arial"/>
                <w:color w:val="auto"/>
                <w:sz w:val="22"/>
              </w:rPr>
            </w:pPr>
          </w:p>
        </w:tc>
        <w:tc>
          <w:tcPr>
            <w:tcW w:w="1132"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7"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9" w:type="dxa"/>
            <w:tcBorders>
              <w:tl2br w:val="nil"/>
              <w:tr2bl w:val="nil"/>
            </w:tcBorders>
            <w:vAlign w:val="center"/>
          </w:tcPr>
          <w:p>
            <w:pPr>
              <w:ind w:right="-11"/>
              <w:jc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color w:val="auto"/>
                <w:sz w:val="22"/>
              </w:rPr>
            </w:pPr>
            <w:r>
              <w:rPr>
                <w:rFonts w:hint="eastAsia" w:ascii="宋体" w:cs="Arial"/>
                <w:color w:val="auto"/>
                <w:sz w:val="22"/>
              </w:rPr>
              <w:t>3</w:t>
            </w:r>
          </w:p>
        </w:tc>
        <w:tc>
          <w:tcPr>
            <w:tcW w:w="1310" w:type="dxa"/>
            <w:tcBorders>
              <w:tl2br w:val="nil"/>
              <w:tr2bl w:val="nil"/>
            </w:tcBorders>
            <w:vAlign w:val="center"/>
          </w:tcPr>
          <w:p>
            <w:pPr>
              <w:rPr>
                <w:rFonts w:ascii="宋体" w:cs="Arial"/>
                <w:color w:val="auto"/>
                <w:sz w:val="22"/>
              </w:rPr>
            </w:pPr>
          </w:p>
        </w:tc>
        <w:tc>
          <w:tcPr>
            <w:tcW w:w="960" w:type="dxa"/>
            <w:tcBorders>
              <w:tl2br w:val="nil"/>
              <w:tr2bl w:val="nil"/>
            </w:tcBorders>
            <w:vAlign w:val="center"/>
          </w:tcPr>
          <w:p>
            <w:pPr>
              <w:jc w:val="center"/>
              <w:rPr>
                <w:rFonts w:ascii="宋体" w:cs="Arial"/>
                <w:color w:val="auto"/>
                <w:sz w:val="22"/>
              </w:rPr>
            </w:pPr>
          </w:p>
        </w:tc>
        <w:tc>
          <w:tcPr>
            <w:tcW w:w="1288" w:type="dxa"/>
            <w:tcBorders>
              <w:tl2br w:val="nil"/>
              <w:tr2bl w:val="nil"/>
            </w:tcBorders>
            <w:vAlign w:val="center"/>
          </w:tcPr>
          <w:p>
            <w:pPr>
              <w:jc w:val="center"/>
              <w:rPr>
                <w:rFonts w:ascii="宋体" w:cs="Arial"/>
                <w:color w:val="auto"/>
                <w:sz w:val="22"/>
              </w:rPr>
            </w:pPr>
          </w:p>
        </w:tc>
        <w:tc>
          <w:tcPr>
            <w:tcW w:w="1132"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7"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9" w:type="dxa"/>
            <w:tcBorders>
              <w:tl2br w:val="nil"/>
              <w:tr2bl w:val="nil"/>
            </w:tcBorders>
            <w:vAlign w:val="center"/>
          </w:tcPr>
          <w:p>
            <w:pPr>
              <w:ind w:right="-11"/>
              <w:jc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color w:val="auto"/>
                <w:sz w:val="22"/>
              </w:rPr>
            </w:pPr>
            <w:r>
              <w:rPr>
                <w:rFonts w:hint="eastAsia" w:ascii="宋体" w:cs="Arial"/>
                <w:color w:val="auto"/>
                <w:sz w:val="22"/>
              </w:rPr>
              <w:t>.</w:t>
            </w:r>
          </w:p>
        </w:tc>
        <w:tc>
          <w:tcPr>
            <w:tcW w:w="1310" w:type="dxa"/>
            <w:tcBorders>
              <w:tl2br w:val="nil"/>
              <w:tr2bl w:val="nil"/>
            </w:tcBorders>
            <w:vAlign w:val="center"/>
          </w:tcPr>
          <w:p>
            <w:pPr>
              <w:rPr>
                <w:rFonts w:ascii="宋体" w:cs="Arial"/>
                <w:color w:val="auto"/>
                <w:sz w:val="22"/>
              </w:rPr>
            </w:pPr>
          </w:p>
        </w:tc>
        <w:tc>
          <w:tcPr>
            <w:tcW w:w="960" w:type="dxa"/>
            <w:tcBorders>
              <w:tl2br w:val="nil"/>
              <w:tr2bl w:val="nil"/>
            </w:tcBorders>
            <w:vAlign w:val="center"/>
          </w:tcPr>
          <w:p>
            <w:pPr>
              <w:jc w:val="center"/>
              <w:rPr>
                <w:rFonts w:ascii="宋体" w:cs="Arial"/>
                <w:color w:val="auto"/>
                <w:sz w:val="22"/>
              </w:rPr>
            </w:pPr>
          </w:p>
        </w:tc>
        <w:tc>
          <w:tcPr>
            <w:tcW w:w="1288" w:type="dxa"/>
            <w:tcBorders>
              <w:tl2br w:val="nil"/>
              <w:tr2bl w:val="nil"/>
            </w:tcBorders>
            <w:vAlign w:val="center"/>
          </w:tcPr>
          <w:p>
            <w:pPr>
              <w:jc w:val="center"/>
              <w:rPr>
                <w:rFonts w:ascii="宋体" w:cs="Arial"/>
                <w:color w:val="auto"/>
                <w:sz w:val="22"/>
              </w:rPr>
            </w:pPr>
          </w:p>
        </w:tc>
        <w:tc>
          <w:tcPr>
            <w:tcW w:w="1132"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7" w:type="dxa"/>
            <w:tcBorders>
              <w:tl2br w:val="nil"/>
              <w:tr2bl w:val="nil"/>
            </w:tcBorders>
            <w:vAlign w:val="center"/>
          </w:tcPr>
          <w:p>
            <w:pP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9" w:type="dxa"/>
            <w:tcBorders>
              <w:tl2br w:val="nil"/>
              <w:tr2bl w:val="nil"/>
            </w:tcBorders>
            <w:vAlign w:val="center"/>
          </w:tcPr>
          <w:p>
            <w:pPr>
              <w:ind w:right="-11"/>
              <w:jc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color w:val="auto"/>
                <w:sz w:val="22"/>
              </w:rPr>
            </w:pPr>
            <w:r>
              <w:rPr>
                <w:rFonts w:hint="eastAsia" w:ascii="宋体" w:cs="Arial"/>
                <w:color w:val="auto"/>
                <w:sz w:val="22"/>
              </w:rPr>
              <w:t>.</w:t>
            </w:r>
          </w:p>
        </w:tc>
        <w:tc>
          <w:tcPr>
            <w:tcW w:w="1310" w:type="dxa"/>
            <w:tcBorders>
              <w:tl2br w:val="nil"/>
              <w:tr2bl w:val="nil"/>
            </w:tcBorders>
            <w:vAlign w:val="center"/>
          </w:tcPr>
          <w:p>
            <w:pPr>
              <w:rPr>
                <w:rFonts w:ascii="宋体" w:cs="Arial"/>
                <w:color w:val="auto"/>
                <w:sz w:val="22"/>
              </w:rPr>
            </w:pPr>
          </w:p>
        </w:tc>
        <w:tc>
          <w:tcPr>
            <w:tcW w:w="960" w:type="dxa"/>
            <w:tcBorders>
              <w:tl2br w:val="nil"/>
              <w:tr2bl w:val="nil"/>
            </w:tcBorders>
            <w:vAlign w:val="center"/>
          </w:tcPr>
          <w:p>
            <w:pPr>
              <w:jc w:val="center"/>
              <w:rPr>
                <w:rFonts w:ascii="宋体" w:cs="Arial"/>
                <w:color w:val="auto"/>
                <w:sz w:val="22"/>
              </w:rPr>
            </w:pPr>
          </w:p>
        </w:tc>
        <w:tc>
          <w:tcPr>
            <w:tcW w:w="1288" w:type="dxa"/>
            <w:tcBorders>
              <w:tl2br w:val="nil"/>
              <w:tr2bl w:val="nil"/>
            </w:tcBorders>
            <w:vAlign w:val="center"/>
          </w:tcPr>
          <w:p>
            <w:pPr>
              <w:jc w:val="center"/>
              <w:rPr>
                <w:rFonts w:ascii="宋体" w:cs="Arial"/>
                <w:color w:val="auto"/>
                <w:sz w:val="22"/>
              </w:rPr>
            </w:pPr>
          </w:p>
        </w:tc>
        <w:tc>
          <w:tcPr>
            <w:tcW w:w="1132"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7"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9" w:type="dxa"/>
            <w:tcBorders>
              <w:tl2br w:val="nil"/>
              <w:tr2bl w:val="nil"/>
            </w:tcBorders>
            <w:vAlign w:val="center"/>
          </w:tcPr>
          <w:p>
            <w:pPr>
              <w:ind w:right="-11"/>
              <w:jc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color w:val="auto"/>
                <w:sz w:val="22"/>
              </w:rPr>
            </w:pPr>
            <w:r>
              <w:rPr>
                <w:rFonts w:hint="eastAsia" w:ascii="宋体" w:cs="Arial"/>
                <w:color w:val="auto"/>
                <w:sz w:val="22"/>
              </w:rPr>
              <w:t>.</w:t>
            </w:r>
          </w:p>
        </w:tc>
        <w:tc>
          <w:tcPr>
            <w:tcW w:w="1310" w:type="dxa"/>
            <w:tcBorders>
              <w:tl2br w:val="nil"/>
              <w:tr2bl w:val="nil"/>
            </w:tcBorders>
            <w:vAlign w:val="center"/>
          </w:tcPr>
          <w:p>
            <w:pPr>
              <w:rPr>
                <w:rFonts w:ascii="宋体" w:cs="Arial"/>
                <w:color w:val="auto"/>
                <w:sz w:val="22"/>
              </w:rPr>
            </w:pPr>
          </w:p>
        </w:tc>
        <w:tc>
          <w:tcPr>
            <w:tcW w:w="960" w:type="dxa"/>
            <w:tcBorders>
              <w:tl2br w:val="nil"/>
              <w:tr2bl w:val="nil"/>
            </w:tcBorders>
            <w:vAlign w:val="center"/>
          </w:tcPr>
          <w:p>
            <w:pPr>
              <w:jc w:val="center"/>
              <w:rPr>
                <w:rFonts w:ascii="宋体" w:cs="Arial"/>
                <w:color w:val="auto"/>
                <w:sz w:val="22"/>
              </w:rPr>
            </w:pPr>
          </w:p>
        </w:tc>
        <w:tc>
          <w:tcPr>
            <w:tcW w:w="1288" w:type="dxa"/>
            <w:tcBorders>
              <w:tl2br w:val="nil"/>
              <w:tr2bl w:val="nil"/>
            </w:tcBorders>
            <w:vAlign w:val="center"/>
          </w:tcPr>
          <w:p>
            <w:pPr>
              <w:jc w:val="center"/>
              <w:rPr>
                <w:rFonts w:ascii="宋体" w:cs="Arial"/>
                <w:color w:val="auto"/>
                <w:sz w:val="22"/>
              </w:rPr>
            </w:pPr>
          </w:p>
        </w:tc>
        <w:tc>
          <w:tcPr>
            <w:tcW w:w="1132"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7"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9" w:type="dxa"/>
            <w:tcBorders>
              <w:tl2br w:val="nil"/>
              <w:tr2bl w:val="nil"/>
            </w:tcBorders>
            <w:vAlign w:val="center"/>
          </w:tcPr>
          <w:p>
            <w:pPr>
              <w:ind w:right="-11"/>
              <w:jc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color w:val="auto"/>
                <w:sz w:val="22"/>
              </w:rPr>
            </w:pPr>
            <w:r>
              <w:rPr>
                <w:rFonts w:hint="eastAsia" w:ascii="宋体" w:cs="Arial"/>
                <w:color w:val="auto"/>
                <w:sz w:val="22"/>
              </w:rPr>
              <w:t>.</w:t>
            </w:r>
          </w:p>
        </w:tc>
        <w:tc>
          <w:tcPr>
            <w:tcW w:w="1310" w:type="dxa"/>
            <w:tcBorders>
              <w:tl2br w:val="nil"/>
              <w:tr2bl w:val="nil"/>
            </w:tcBorders>
            <w:vAlign w:val="center"/>
          </w:tcPr>
          <w:p>
            <w:pPr>
              <w:rPr>
                <w:rFonts w:ascii="宋体" w:cs="Arial"/>
                <w:color w:val="auto"/>
                <w:sz w:val="22"/>
              </w:rPr>
            </w:pPr>
          </w:p>
        </w:tc>
        <w:tc>
          <w:tcPr>
            <w:tcW w:w="960" w:type="dxa"/>
            <w:tcBorders>
              <w:tl2br w:val="nil"/>
              <w:tr2bl w:val="nil"/>
            </w:tcBorders>
            <w:vAlign w:val="center"/>
          </w:tcPr>
          <w:p>
            <w:pPr>
              <w:jc w:val="center"/>
              <w:rPr>
                <w:rFonts w:ascii="宋体" w:cs="Arial"/>
                <w:color w:val="auto"/>
                <w:sz w:val="22"/>
              </w:rPr>
            </w:pPr>
          </w:p>
        </w:tc>
        <w:tc>
          <w:tcPr>
            <w:tcW w:w="1288" w:type="dxa"/>
            <w:tcBorders>
              <w:tl2br w:val="nil"/>
              <w:tr2bl w:val="nil"/>
            </w:tcBorders>
            <w:vAlign w:val="center"/>
          </w:tcPr>
          <w:p>
            <w:pPr>
              <w:jc w:val="center"/>
              <w:rPr>
                <w:rFonts w:ascii="宋体" w:cs="Arial"/>
                <w:color w:val="auto"/>
                <w:sz w:val="22"/>
              </w:rPr>
            </w:pPr>
          </w:p>
        </w:tc>
        <w:tc>
          <w:tcPr>
            <w:tcW w:w="1132"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7" w:type="dxa"/>
            <w:tcBorders>
              <w:tl2br w:val="nil"/>
              <w:tr2bl w:val="nil"/>
            </w:tcBorders>
            <w:vAlign w:val="center"/>
          </w:tcPr>
          <w:p>
            <w:pPr>
              <w:jc w:val="center"/>
              <w:rPr>
                <w:rFonts w:ascii="宋体" w:cs="Arial"/>
                <w:color w:val="auto"/>
                <w:sz w:val="22"/>
              </w:rPr>
            </w:pPr>
          </w:p>
        </w:tc>
        <w:tc>
          <w:tcPr>
            <w:tcW w:w="837" w:type="dxa"/>
            <w:tcBorders>
              <w:tl2br w:val="nil"/>
              <w:tr2bl w:val="nil"/>
            </w:tcBorders>
            <w:vAlign w:val="center"/>
          </w:tcPr>
          <w:p>
            <w:pPr>
              <w:ind w:right="-11"/>
              <w:jc w:val="center"/>
              <w:rPr>
                <w:rFonts w:ascii="宋体" w:cs="Arial"/>
                <w:color w:val="auto"/>
                <w:sz w:val="22"/>
              </w:rPr>
            </w:pPr>
          </w:p>
        </w:tc>
        <w:tc>
          <w:tcPr>
            <w:tcW w:w="839" w:type="dxa"/>
            <w:tcBorders>
              <w:tl2br w:val="nil"/>
              <w:tr2bl w:val="nil"/>
            </w:tcBorders>
            <w:vAlign w:val="center"/>
          </w:tcPr>
          <w:p>
            <w:pPr>
              <w:ind w:right="-11"/>
              <w:jc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shd w:val="clear" w:color="auto" w:fill="auto"/>
            <w:vAlign w:val="center"/>
          </w:tcPr>
          <w:p>
            <w:pPr>
              <w:widowControl/>
              <w:jc w:val="center"/>
              <w:textAlignment w:val="center"/>
              <w:rPr>
                <w:rFonts w:ascii="宋体" w:cs="Arial"/>
                <w:color w:val="auto"/>
                <w:sz w:val="22"/>
              </w:rPr>
            </w:pPr>
            <w:r>
              <w:rPr>
                <w:rFonts w:hint="eastAsia" w:ascii="宋体" w:cs="Arial"/>
                <w:color w:val="auto"/>
                <w:sz w:val="22"/>
              </w:rPr>
              <w:t>.</w:t>
            </w:r>
          </w:p>
        </w:tc>
        <w:tc>
          <w:tcPr>
            <w:tcW w:w="1310"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960" w:type="dxa"/>
            <w:tcBorders>
              <w:tl2br w:val="nil"/>
              <w:tr2bl w:val="nil"/>
            </w:tcBorders>
            <w:shd w:val="clear" w:color="auto" w:fill="auto"/>
            <w:vAlign w:val="center"/>
          </w:tcPr>
          <w:p>
            <w:pPr>
              <w:jc w:val="center"/>
              <w:rPr>
                <w:rFonts w:ascii="宋体" w:cs="Arial"/>
                <w:color w:val="auto"/>
                <w:sz w:val="22"/>
              </w:rPr>
            </w:pPr>
          </w:p>
        </w:tc>
        <w:tc>
          <w:tcPr>
            <w:tcW w:w="1288" w:type="dxa"/>
            <w:tcBorders>
              <w:tl2br w:val="nil"/>
              <w:tr2bl w:val="nil"/>
            </w:tcBorders>
            <w:shd w:val="clear" w:color="auto" w:fill="auto"/>
            <w:vAlign w:val="center"/>
          </w:tcPr>
          <w:p>
            <w:pPr>
              <w:jc w:val="center"/>
              <w:rPr>
                <w:rFonts w:ascii="宋体" w:cs="Arial"/>
                <w:color w:val="auto"/>
                <w:sz w:val="22"/>
              </w:rPr>
            </w:pPr>
          </w:p>
        </w:tc>
        <w:tc>
          <w:tcPr>
            <w:tcW w:w="1132" w:type="dxa"/>
            <w:tcBorders>
              <w:tl2br w:val="nil"/>
              <w:tr2bl w:val="nil"/>
            </w:tcBorders>
            <w:shd w:val="clear" w:color="auto" w:fill="auto"/>
            <w:vAlign w:val="center"/>
          </w:tcPr>
          <w:p>
            <w:pPr>
              <w:jc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9" w:type="dxa"/>
            <w:tcBorders>
              <w:tl2br w:val="nil"/>
              <w:tr2bl w:val="nil"/>
            </w:tcBorders>
            <w:vAlign w:val="center"/>
          </w:tcPr>
          <w:p>
            <w:pPr>
              <w:ind w:right="-11"/>
              <w:jc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shd w:val="clear" w:color="auto" w:fill="auto"/>
            <w:vAlign w:val="center"/>
          </w:tcPr>
          <w:p>
            <w:pPr>
              <w:widowControl/>
              <w:jc w:val="center"/>
              <w:textAlignment w:val="center"/>
              <w:rPr>
                <w:rFonts w:ascii="宋体" w:cs="Arial"/>
                <w:color w:val="auto"/>
                <w:sz w:val="22"/>
              </w:rPr>
            </w:pPr>
            <w:r>
              <w:rPr>
                <w:rFonts w:hint="eastAsia" w:ascii="宋体" w:cs="Arial"/>
                <w:color w:val="auto"/>
                <w:sz w:val="22"/>
              </w:rPr>
              <w:t>.</w:t>
            </w:r>
          </w:p>
        </w:tc>
        <w:tc>
          <w:tcPr>
            <w:tcW w:w="1310" w:type="dxa"/>
            <w:tcBorders>
              <w:tl2br w:val="nil"/>
              <w:tr2bl w:val="nil"/>
            </w:tcBorders>
            <w:shd w:val="clear" w:color="auto" w:fill="auto"/>
            <w:vAlign w:val="center"/>
          </w:tcPr>
          <w:p>
            <w:pPr>
              <w:widowControl/>
              <w:jc w:val="left"/>
              <w:textAlignment w:val="center"/>
              <w:rPr>
                <w:rFonts w:ascii="宋体" w:cs="Arial"/>
                <w:color w:val="auto"/>
                <w:sz w:val="22"/>
              </w:rPr>
            </w:pPr>
          </w:p>
        </w:tc>
        <w:tc>
          <w:tcPr>
            <w:tcW w:w="960"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288"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132"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9" w:type="dxa"/>
            <w:tcBorders>
              <w:tl2br w:val="nil"/>
              <w:tr2bl w:val="nil"/>
            </w:tcBorders>
            <w:vAlign w:val="center"/>
          </w:tcPr>
          <w:p>
            <w:pPr>
              <w:ind w:right="-11"/>
              <w:jc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shd w:val="clear" w:color="auto" w:fill="auto"/>
            <w:vAlign w:val="center"/>
          </w:tcPr>
          <w:p>
            <w:pPr>
              <w:widowControl/>
              <w:jc w:val="center"/>
              <w:textAlignment w:val="center"/>
              <w:rPr>
                <w:rFonts w:ascii="宋体" w:cs="Arial"/>
                <w:color w:val="auto"/>
                <w:sz w:val="22"/>
              </w:rPr>
            </w:pPr>
            <w:r>
              <w:rPr>
                <w:rFonts w:hint="eastAsia" w:ascii="宋体" w:cs="Arial"/>
                <w:color w:val="auto"/>
                <w:sz w:val="22"/>
              </w:rPr>
              <w:t>.</w:t>
            </w:r>
          </w:p>
        </w:tc>
        <w:tc>
          <w:tcPr>
            <w:tcW w:w="1310" w:type="dxa"/>
            <w:tcBorders>
              <w:tl2br w:val="nil"/>
              <w:tr2bl w:val="nil"/>
            </w:tcBorders>
            <w:shd w:val="clear" w:color="auto" w:fill="auto"/>
            <w:vAlign w:val="center"/>
          </w:tcPr>
          <w:p>
            <w:pPr>
              <w:widowControl/>
              <w:jc w:val="left"/>
              <w:textAlignment w:val="center"/>
              <w:rPr>
                <w:rFonts w:ascii="宋体" w:cs="Arial"/>
                <w:color w:val="auto"/>
                <w:sz w:val="22"/>
              </w:rPr>
            </w:pPr>
          </w:p>
        </w:tc>
        <w:tc>
          <w:tcPr>
            <w:tcW w:w="960"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288"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132"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9" w:type="dxa"/>
            <w:tcBorders>
              <w:tl2br w:val="nil"/>
              <w:tr2bl w:val="nil"/>
            </w:tcBorders>
            <w:vAlign w:val="center"/>
          </w:tcPr>
          <w:p>
            <w:pPr>
              <w:ind w:right="-11"/>
              <w:jc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310" w:type="dxa"/>
            <w:tcBorders>
              <w:tl2br w:val="nil"/>
              <w:tr2bl w:val="nil"/>
            </w:tcBorders>
            <w:shd w:val="clear" w:color="auto" w:fill="auto"/>
            <w:vAlign w:val="center"/>
          </w:tcPr>
          <w:p>
            <w:pPr>
              <w:widowControl/>
              <w:jc w:val="left"/>
              <w:textAlignment w:val="center"/>
              <w:rPr>
                <w:rFonts w:ascii="宋体" w:cs="Arial"/>
                <w:color w:val="auto"/>
                <w:sz w:val="22"/>
              </w:rPr>
            </w:pPr>
          </w:p>
        </w:tc>
        <w:tc>
          <w:tcPr>
            <w:tcW w:w="960"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288"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132"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9" w:type="dxa"/>
            <w:tcBorders>
              <w:tl2br w:val="nil"/>
              <w:tr2bl w:val="nil"/>
            </w:tcBorders>
            <w:vAlign w:val="center"/>
          </w:tcPr>
          <w:p>
            <w:pPr>
              <w:widowControl/>
              <w:jc w:val="center"/>
              <w:textAlignment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310" w:type="dxa"/>
            <w:tcBorders>
              <w:tl2br w:val="nil"/>
              <w:tr2bl w:val="nil"/>
            </w:tcBorders>
            <w:shd w:val="clear" w:color="auto" w:fill="auto"/>
            <w:vAlign w:val="center"/>
          </w:tcPr>
          <w:p>
            <w:pPr>
              <w:widowControl/>
              <w:jc w:val="left"/>
              <w:textAlignment w:val="center"/>
              <w:rPr>
                <w:rFonts w:ascii="宋体" w:cs="Arial"/>
                <w:color w:val="auto"/>
                <w:sz w:val="22"/>
              </w:rPr>
            </w:pPr>
          </w:p>
        </w:tc>
        <w:tc>
          <w:tcPr>
            <w:tcW w:w="960"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288"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132"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9" w:type="dxa"/>
            <w:tcBorders>
              <w:tl2br w:val="nil"/>
              <w:tr2bl w:val="nil"/>
            </w:tcBorders>
            <w:vAlign w:val="center"/>
          </w:tcPr>
          <w:p>
            <w:pPr>
              <w:widowControl/>
              <w:jc w:val="center"/>
              <w:textAlignment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310" w:type="dxa"/>
            <w:tcBorders>
              <w:tl2br w:val="nil"/>
              <w:tr2bl w:val="nil"/>
            </w:tcBorders>
            <w:shd w:val="clear" w:color="auto" w:fill="auto"/>
            <w:vAlign w:val="center"/>
          </w:tcPr>
          <w:p>
            <w:pPr>
              <w:widowControl/>
              <w:jc w:val="left"/>
              <w:textAlignment w:val="center"/>
              <w:rPr>
                <w:rFonts w:ascii="宋体" w:cs="Arial"/>
                <w:color w:val="auto"/>
                <w:sz w:val="22"/>
              </w:rPr>
            </w:pPr>
          </w:p>
        </w:tc>
        <w:tc>
          <w:tcPr>
            <w:tcW w:w="960"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288"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1132"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7" w:type="dxa"/>
            <w:tcBorders>
              <w:tl2br w:val="nil"/>
              <w:tr2bl w:val="nil"/>
            </w:tcBorders>
            <w:shd w:val="clear" w:color="auto" w:fill="auto"/>
            <w:vAlign w:val="center"/>
          </w:tcPr>
          <w:p>
            <w:pPr>
              <w:widowControl/>
              <w:jc w:val="center"/>
              <w:textAlignment w:val="center"/>
              <w:rPr>
                <w:rFonts w:ascii="宋体" w:cs="Arial"/>
                <w:color w:val="auto"/>
                <w:sz w:val="22"/>
              </w:rPr>
            </w:pPr>
          </w:p>
        </w:tc>
        <w:tc>
          <w:tcPr>
            <w:tcW w:w="839" w:type="dxa"/>
            <w:tcBorders>
              <w:tl2br w:val="nil"/>
              <w:tr2bl w:val="nil"/>
            </w:tcBorders>
            <w:vAlign w:val="center"/>
          </w:tcPr>
          <w:p>
            <w:pPr>
              <w:widowControl/>
              <w:jc w:val="center"/>
              <w:textAlignment w:val="center"/>
              <w:rPr>
                <w:rFonts w:ascii="宋体" w:cs="Arial"/>
                <w:color w:val="auto"/>
                <w:sz w:val="22"/>
              </w:rPr>
            </w:pPr>
          </w:p>
        </w:tc>
        <w:tc>
          <w:tcPr>
            <w:tcW w:w="830" w:type="dxa"/>
            <w:tcBorders>
              <w:tl2br w:val="nil"/>
              <w:tr2bl w:val="nil"/>
            </w:tcBorders>
            <w:vAlign w:val="center"/>
          </w:tcPr>
          <w:p>
            <w:pPr>
              <w:ind w:right="-11"/>
              <w:jc w:val="center"/>
              <w:rPr>
                <w:rFonts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tcBorders>
              <w:tl2br w:val="nil"/>
              <w:tr2bl w:val="nil"/>
            </w:tcBorders>
            <w:vAlign w:val="center"/>
          </w:tcPr>
          <w:p>
            <w:pPr>
              <w:ind w:right="-11"/>
              <w:jc w:val="center"/>
              <w:rPr>
                <w:rFonts w:ascii="宋体" w:cs="Arial"/>
                <w:color w:val="auto"/>
                <w:sz w:val="22"/>
              </w:rPr>
            </w:pPr>
            <w:r>
              <w:rPr>
                <w:rFonts w:hint="eastAsia" w:ascii="宋体" w:cs="Arial"/>
                <w:color w:val="auto"/>
                <w:sz w:val="22"/>
              </w:rPr>
              <w:t>合计总价</w:t>
            </w:r>
          </w:p>
        </w:tc>
        <w:tc>
          <w:tcPr>
            <w:tcW w:w="6600" w:type="dxa"/>
            <w:gridSpan w:val="7"/>
            <w:tcBorders>
              <w:tl2br w:val="nil"/>
              <w:tr2bl w:val="nil"/>
            </w:tcBorders>
            <w:vAlign w:val="center"/>
          </w:tcPr>
          <w:p>
            <w:pPr>
              <w:spacing w:line="340" w:lineRule="exact"/>
              <w:rPr>
                <w:rFonts w:ascii="宋体"/>
                <w:bCs/>
                <w:color w:val="auto"/>
                <w:sz w:val="22"/>
              </w:rPr>
            </w:pPr>
          </w:p>
        </w:tc>
      </w:tr>
    </w:tbl>
    <w:p>
      <w:pPr>
        <w:rPr>
          <w:rFonts w:ascii="宋体" w:cs="Arial"/>
          <w:bCs/>
          <w:color w:val="auto"/>
          <w:sz w:val="22"/>
        </w:rPr>
      </w:pPr>
    </w:p>
    <w:p>
      <w:pPr>
        <w:rPr>
          <w:rFonts w:ascii="宋体" w:cs="Arial"/>
          <w:color w:val="auto"/>
          <w:sz w:val="22"/>
        </w:rPr>
      </w:pPr>
      <w:r>
        <w:rPr>
          <w:rFonts w:hint="eastAsia" w:ascii="宋体" w:cs="Arial"/>
          <w:bCs/>
          <w:color w:val="auto"/>
          <w:sz w:val="22"/>
        </w:rPr>
        <w:t>注</w:t>
      </w:r>
      <w:r>
        <w:rPr>
          <w:rFonts w:ascii="宋体" w:cs="Arial"/>
          <w:bCs/>
          <w:color w:val="auto"/>
          <w:sz w:val="22"/>
        </w:rPr>
        <w:t>：</w:t>
      </w:r>
      <w:r>
        <w:rPr>
          <w:rFonts w:ascii="宋体" w:cs="Arial"/>
          <w:color w:val="auto"/>
          <w:sz w:val="22"/>
        </w:rPr>
        <w:t>1</w:t>
      </w:r>
      <w:r>
        <w:rPr>
          <w:rFonts w:hint="eastAsia" w:ascii="宋体" w:cs="Arial"/>
          <w:color w:val="auto"/>
          <w:sz w:val="22"/>
        </w:rPr>
        <w:t>.</w:t>
      </w:r>
      <w:r>
        <w:rPr>
          <w:rFonts w:ascii="宋体" w:cs="Arial"/>
          <w:color w:val="auto"/>
          <w:sz w:val="22"/>
        </w:rPr>
        <w:t>不提供详细分项报价表将视为没有实质性响应</w:t>
      </w:r>
      <w:r>
        <w:rPr>
          <w:rFonts w:hint="eastAsia" w:ascii="宋体" w:cs="Arial"/>
          <w:color w:val="auto"/>
          <w:sz w:val="22"/>
        </w:rPr>
        <w:t>招标文件</w:t>
      </w:r>
      <w:r>
        <w:rPr>
          <w:rFonts w:ascii="宋体" w:cs="Arial"/>
          <w:color w:val="auto"/>
          <w:sz w:val="22"/>
        </w:rPr>
        <w:t>。</w:t>
      </w:r>
    </w:p>
    <w:p>
      <w:pPr>
        <w:ind w:firstLine="630"/>
        <w:rPr>
          <w:rFonts w:ascii="宋体" w:cs="Arial"/>
          <w:color w:val="auto"/>
          <w:sz w:val="22"/>
        </w:rPr>
      </w:pPr>
      <w:r>
        <w:rPr>
          <w:rFonts w:ascii="宋体" w:cs="Arial"/>
          <w:color w:val="auto"/>
          <w:sz w:val="22"/>
        </w:rPr>
        <w:t>2</w:t>
      </w:r>
      <w:r>
        <w:rPr>
          <w:rFonts w:hint="eastAsia" w:ascii="宋体" w:cs="Arial"/>
          <w:color w:val="auto"/>
          <w:sz w:val="22"/>
        </w:rPr>
        <w:t>.</w:t>
      </w:r>
      <w:r>
        <w:rPr>
          <w:rFonts w:ascii="宋体" w:cs="Arial"/>
          <w:color w:val="auto"/>
          <w:sz w:val="22"/>
        </w:rPr>
        <w:t>此表的合</w:t>
      </w:r>
      <w:r>
        <w:rPr>
          <w:rFonts w:hint="eastAsia" w:ascii="宋体" w:cs="Arial"/>
          <w:color w:val="auto"/>
          <w:sz w:val="22"/>
        </w:rPr>
        <w:t>计总</w:t>
      </w:r>
      <w:r>
        <w:rPr>
          <w:rFonts w:ascii="宋体" w:cs="Arial"/>
          <w:color w:val="auto"/>
          <w:sz w:val="22"/>
        </w:rPr>
        <w:t>价应与附</w:t>
      </w:r>
      <w:r>
        <w:rPr>
          <w:rFonts w:hint="eastAsia" w:ascii="宋体" w:cs="Arial"/>
          <w:color w:val="auto"/>
          <w:sz w:val="22"/>
        </w:rPr>
        <w:t>件一“开标一览表”投标总价相一</w:t>
      </w:r>
      <w:r>
        <w:rPr>
          <w:rFonts w:ascii="宋体" w:cs="Arial"/>
          <w:color w:val="auto"/>
          <w:sz w:val="22"/>
        </w:rPr>
        <w:t>致</w:t>
      </w:r>
      <w:r>
        <w:rPr>
          <w:rFonts w:ascii="宋体" w:cs="Arial"/>
          <w:b/>
          <w:bCs/>
          <w:color w:val="auto"/>
          <w:sz w:val="22"/>
        </w:rPr>
        <w:t>。</w:t>
      </w:r>
    </w:p>
    <w:p>
      <w:pPr>
        <w:ind w:firstLine="630"/>
        <w:rPr>
          <w:rFonts w:ascii="宋体" w:cs="Arial"/>
          <w:color w:val="auto"/>
          <w:sz w:val="22"/>
        </w:rPr>
      </w:pPr>
      <w:r>
        <w:rPr>
          <w:rFonts w:ascii="宋体" w:cs="Arial"/>
          <w:color w:val="auto"/>
          <w:sz w:val="22"/>
        </w:rPr>
        <w:t>3</w:t>
      </w:r>
      <w:r>
        <w:rPr>
          <w:rFonts w:hint="eastAsia" w:ascii="宋体" w:cs="Arial"/>
          <w:color w:val="auto"/>
          <w:sz w:val="22"/>
        </w:rPr>
        <w:t>.</w:t>
      </w:r>
      <w:r>
        <w:rPr>
          <w:rFonts w:ascii="宋体" w:cs="Arial"/>
          <w:color w:val="auto"/>
          <w:sz w:val="22"/>
        </w:rPr>
        <w:t>如果免费请在该备注栏</w:t>
      </w:r>
      <w:r>
        <w:rPr>
          <w:rFonts w:hint="eastAsia" w:ascii="宋体" w:cs="Arial"/>
          <w:color w:val="auto"/>
          <w:sz w:val="22"/>
        </w:rPr>
        <w:t>内注明“免”，如果含在产品价格中则填“含”，如无此项内容则填“无”，不留空白。</w:t>
      </w:r>
    </w:p>
    <w:p>
      <w:pPr>
        <w:ind w:firstLine="630"/>
        <w:rPr>
          <w:rFonts w:ascii="宋体" w:cs="Arial"/>
          <w:color w:val="auto"/>
          <w:sz w:val="22"/>
        </w:rPr>
      </w:pPr>
      <w:r>
        <w:rPr>
          <w:rFonts w:ascii="宋体" w:cs="Arial"/>
          <w:color w:val="auto"/>
          <w:sz w:val="22"/>
        </w:rPr>
        <w:t>4</w:t>
      </w:r>
      <w:r>
        <w:rPr>
          <w:rFonts w:hint="eastAsia" w:ascii="宋体" w:cs="Arial"/>
          <w:color w:val="auto"/>
          <w:sz w:val="22"/>
        </w:rPr>
        <w:t>.根据《中华人民共和国政府采购法实施条例 》第四十三条规定，在中标或者成交公告的内容中可能增加本表，请各供应商认真填写，确保报价数据的真实性、完整性和合理性。</w:t>
      </w:r>
    </w:p>
    <w:p>
      <w:pPr>
        <w:ind w:firstLine="630"/>
        <w:rPr>
          <w:color w:val="auto"/>
          <w:sz w:val="22"/>
          <w:u w:val="single"/>
        </w:rPr>
      </w:pPr>
      <w:r>
        <w:rPr>
          <w:rFonts w:hint="eastAsia" w:ascii="宋体" w:cs="Arial"/>
          <w:color w:val="auto"/>
          <w:sz w:val="22"/>
        </w:rPr>
        <w:t xml:space="preserve">5.表格可以延续。      </w:t>
      </w:r>
      <w:r>
        <w:rPr>
          <w:rFonts w:hint="eastAsia"/>
          <w:color w:val="auto"/>
          <w:sz w:val="22"/>
        </w:rPr>
        <w:t xml:space="preserve">      </w:t>
      </w:r>
    </w:p>
    <w:p>
      <w:pPr>
        <w:spacing w:line="440" w:lineRule="atLeast"/>
        <w:rPr>
          <w:rFonts w:hAnsi="宋体"/>
          <w:b/>
          <w:bCs/>
          <w:color w:val="auto"/>
          <w:sz w:val="22"/>
        </w:rPr>
      </w:pPr>
      <w:r>
        <w:rPr>
          <w:rFonts w:hint="eastAsia" w:hAnsi="宋体"/>
          <w:color w:val="auto"/>
          <w:sz w:val="22"/>
        </w:rPr>
        <w:t>供应商全称：（盖章）</w:t>
      </w:r>
    </w:p>
    <w:p>
      <w:pPr>
        <w:spacing w:line="440" w:lineRule="atLeast"/>
        <w:rPr>
          <w:rFonts w:hAnsi="宋体"/>
          <w:color w:val="auto"/>
          <w:sz w:val="22"/>
          <w:lang w:val="zh-CN"/>
        </w:rPr>
      </w:pPr>
      <w:r>
        <w:rPr>
          <w:rFonts w:hint="eastAsia" w:hAnsi="宋体"/>
          <w:color w:val="auto"/>
          <w:sz w:val="22"/>
        </w:rPr>
        <w:t>法定代表人（签字或盖章）或</w:t>
      </w:r>
      <w:r>
        <w:rPr>
          <w:rFonts w:hint="eastAsia" w:hAnsi="宋体"/>
          <w:color w:val="auto"/>
          <w:sz w:val="22"/>
          <w:lang w:val="zh-CN"/>
        </w:rPr>
        <w:t>授权代表（签字）：</w:t>
      </w:r>
    </w:p>
    <w:p>
      <w:pPr>
        <w:spacing w:line="440" w:lineRule="atLeast"/>
        <w:rPr>
          <w:rFonts w:hAnsi="宋体"/>
          <w:color w:val="auto"/>
          <w:sz w:val="22"/>
        </w:rPr>
      </w:pPr>
      <w:r>
        <w:rPr>
          <w:rFonts w:hint="eastAsia" w:hAnsi="宋体"/>
          <w:color w:val="auto"/>
          <w:sz w:val="22"/>
        </w:rPr>
        <w:t>日期：</w:t>
      </w:r>
    </w:p>
    <w:p>
      <w:pPr>
        <w:pStyle w:val="9"/>
        <w:rPr>
          <w:rFonts w:ascii="宋体"/>
          <w:color w:val="auto"/>
          <w:sz w:val="22"/>
          <w:szCs w:val="22"/>
          <w:lang w:val="zh-CN"/>
        </w:rPr>
      </w:pPr>
    </w:p>
    <w:p>
      <w:pPr>
        <w:pStyle w:val="12"/>
        <w:spacing w:line="360" w:lineRule="exact"/>
        <w:rPr>
          <w:rFonts w:hint="eastAsia" w:hAnsi="宋体"/>
          <w:b/>
          <w:bCs/>
          <w:color w:val="auto"/>
          <w:sz w:val="32"/>
          <w:szCs w:val="32"/>
        </w:rPr>
      </w:pPr>
    </w:p>
    <w:p>
      <w:pPr>
        <w:pStyle w:val="12"/>
        <w:spacing w:line="360" w:lineRule="exact"/>
        <w:rPr>
          <w:rFonts w:hint="eastAsia" w:hAnsi="宋体"/>
          <w:b/>
          <w:bCs/>
          <w:color w:val="auto"/>
          <w:sz w:val="32"/>
          <w:szCs w:val="32"/>
        </w:rPr>
      </w:pPr>
    </w:p>
    <w:p>
      <w:pPr>
        <w:pStyle w:val="12"/>
        <w:spacing w:line="360" w:lineRule="exact"/>
        <w:rPr>
          <w:rFonts w:hint="eastAsia" w:hAnsi="宋体"/>
          <w:b/>
          <w:bCs/>
          <w:color w:val="auto"/>
          <w:sz w:val="32"/>
          <w:szCs w:val="32"/>
        </w:rPr>
      </w:pPr>
    </w:p>
    <w:p>
      <w:pPr>
        <w:pStyle w:val="12"/>
        <w:spacing w:line="360" w:lineRule="exact"/>
        <w:rPr>
          <w:rFonts w:hAnsi="宋体"/>
          <w:b/>
          <w:bCs/>
          <w:color w:val="auto"/>
          <w:sz w:val="32"/>
          <w:szCs w:val="32"/>
        </w:rPr>
      </w:pPr>
      <w:r>
        <w:rPr>
          <w:rFonts w:hint="eastAsia" w:hAnsi="宋体"/>
          <w:b/>
          <w:bCs/>
          <w:color w:val="auto"/>
          <w:sz w:val="32"/>
          <w:szCs w:val="32"/>
        </w:rPr>
        <w:t>附件三</w:t>
      </w:r>
    </w:p>
    <w:p>
      <w:pPr>
        <w:spacing w:line="360" w:lineRule="exact"/>
        <w:jc w:val="left"/>
        <w:rPr>
          <w:rFonts w:ascii="宋体"/>
          <w:b/>
          <w:bCs/>
          <w:color w:val="auto"/>
          <w:sz w:val="32"/>
          <w:szCs w:val="32"/>
        </w:rPr>
      </w:pPr>
    </w:p>
    <w:p>
      <w:pPr>
        <w:pStyle w:val="12"/>
        <w:spacing w:line="360" w:lineRule="exact"/>
        <w:jc w:val="center"/>
        <w:rPr>
          <w:rFonts w:hAnsi="宋体"/>
          <w:b/>
          <w:bCs/>
          <w:color w:val="auto"/>
          <w:sz w:val="32"/>
          <w:szCs w:val="32"/>
        </w:rPr>
      </w:pPr>
      <w:r>
        <w:rPr>
          <w:rFonts w:hint="eastAsia" w:hAnsi="宋体"/>
          <w:b/>
          <w:bCs/>
          <w:color w:val="auto"/>
          <w:sz w:val="32"/>
          <w:szCs w:val="32"/>
          <w:lang w:eastAsia="zh-CN"/>
        </w:rPr>
        <w:t>服务期</w:t>
      </w:r>
      <w:r>
        <w:rPr>
          <w:rFonts w:hint="eastAsia" w:hAnsi="宋体"/>
          <w:b/>
          <w:bCs/>
          <w:color w:val="auto"/>
          <w:sz w:val="32"/>
          <w:szCs w:val="32"/>
        </w:rPr>
        <w:t>外运维费用</w:t>
      </w:r>
    </w:p>
    <w:p>
      <w:pPr>
        <w:autoSpaceDE w:val="0"/>
        <w:autoSpaceDN w:val="0"/>
        <w:adjustRightInd w:val="0"/>
        <w:spacing w:line="400" w:lineRule="exact"/>
        <w:rPr>
          <w:rFonts w:ascii="宋体"/>
          <w:color w:val="auto"/>
          <w:sz w:val="22"/>
          <w:szCs w:val="22"/>
          <w:lang w:val="zh-CN"/>
        </w:rPr>
      </w:pPr>
      <w:r>
        <w:rPr>
          <w:rFonts w:hint="eastAsia" w:hAnsi="宋体"/>
          <w:color w:val="auto"/>
          <w:sz w:val="22"/>
          <w:szCs w:val="22"/>
        </w:rPr>
        <w:t>项目名称</w:t>
      </w:r>
      <w:r>
        <w:rPr>
          <w:rFonts w:hint="eastAsia" w:ascii="宋体"/>
          <w:color w:val="auto"/>
          <w:sz w:val="22"/>
          <w:szCs w:val="22"/>
          <w:lang w:val="zh-CN"/>
        </w:rPr>
        <w:t>：</w:t>
      </w:r>
      <w:r>
        <w:rPr>
          <w:rFonts w:hint="eastAsia" w:ascii="宋体"/>
          <w:color w:val="auto"/>
          <w:sz w:val="22"/>
          <w:u w:val="single"/>
          <w:lang w:eastAsia="zh-CN"/>
        </w:rPr>
        <w:t>泰顺县水利工程可视化项目</w:t>
      </w:r>
      <w:r>
        <w:rPr>
          <w:rFonts w:ascii="宋体"/>
          <w:color w:val="auto"/>
          <w:sz w:val="22"/>
          <w:szCs w:val="22"/>
          <w:u w:val="single"/>
          <w:lang w:val="zh-CN"/>
        </w:rPr>
        <w:t xml:space="preserve"> </w:t>
      </w:r>
      <w:r>
        <w:rPr>
          <w:rFonts w:ascii="宋体"/>
          <w:color w:val="auto"/>
          <w:sz w:val="22"/>
          <w:szCs w:val="22"/>
          <w:lang w:val="zh-CN"/>
        </w:rPr>
        <w:t xml:space="preserve">          </w:t>
      </w:r>
    </w:p>
    <w:p>
      <w:pPr>
        <w:autoSpaceDE w:val="0"/>
        <w:autoSpaceDN w:val="0"/>
        <w:adjustRightInd w:val="0"/>
        <w:spacing w:line="400" w:lineRule="exact"/>
        <w:rPr>
          <w:rFonts w:ascii="宋体"/>
          <w:color w:val="auto"/>
          <w:sz w:val="22"/>
          <w:szCs w:val="22"/>
          <w:lang w:val="zh-CN"/>
        </w:rPr>
      </w:pPr>
      <w:r>
        <w:rPr>
          <w:rFonts w:hint="eastAsia" w:ascii="宋体"/>
          <w:color w:val="auto"/>
          <w:sz w:val="22"/>
          <w:szCs w:val="22"/>
          <w:lang w:val="zh-CN"/>
        </w:rPr>
        <w:t>招标编号：</w:t>
      </w:r>
      <w:r>
        <w:rPr>
          <w:rFonts w:hint="eastAsia" w:ascii="宋体"/>
          <w:color w:val="auto"/>
          <w:sz w:val="22"/>
          <w:szCs w:val="22"/>
          <w:u w:val="single"/>
          <w:lang w:eastAsia="zh-CN"/>
        </w:rPr>
        <w:t>TSCG202004003</w:t>
      </w:r>
      <w:r>
        <w:rPr>
          <w:rFonts w:ascii="宋体"/>
          <w:color w:val="auto"/>
          <w:sz w:val="22"/>
          <w:szCs w:val="22"/>
          <w:u w:val="single"/>
          <w:lang w:val="zh-CN"/>
        </w:rPr>
        <w:t xml:space="preserve"> </w:t>
      </w:r>
      <w:r>
        <w:rPr>
          <w:rFonts w:ascii="宋体"/>
          <w:color w:val="auto"/>
          <w:sz w:val="22"/>
          <w:szCs w:val="22"/>
          <w:lang w:val="zh-CN"/>
        </w:rPr>
        <w:t xml:space="preserve">       </w:t>
      </w:r>
    </w:p>
    <w:p>
      <w:pPr>
        <w:pStyle w:val="12"/>
        <w:spacing w:line="360" w:lineRule="exact"/>
        <w:jc w:val="left"/>
        <w:rPr>
          <w:rFonts w:hAnsi="宋体"/>
          <w:b/>
          <w:bCs/>
          <w:color w:val="auto"/>
          <w:sz w:val="32"/>
          <w:szCs w:val="32"/>
          <w:lang w:val="zh-CN"/>
        </w:rPr>
      </w:pPr>
      <w:r>
        <w:rPr>
          <w:rFonts w:hint="eastAsia"/>
          <w:color w:val="auto"/>
          <w:sz w:val="22"/>
        </w:rPr>
        <w:t>价格单位：</w:t>
      </w:r>
      <w:r>
        <w:rPr>
          <w:rFonts w:hint="eastAsia"/>
          <w:color w:val="auto"/>
          <w:sz w:val="22"/>
          <w:szCs w:val="22"/>
          <w:u w:val="single"/>
        </w:rPr>
        <w:t>元人民币</w:t>
      </w:r>
    </w:p>
    <w:tbl>
      <w:tblPr>
        <w:tblStyle w:val="21"/>
        <w:tblW w:w="94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序号</w:t>
            </w:r>
          </w:p>
        </w:tc>
        <w:tc>
          <w:tcPr>
            <w:tcW w:w="2551" w:type="dxa"/>
            <w:vAlign w:val="center"/>
          </w:tcPr>
          <w:p>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名称</w:t>
            </w:r>
          </w:p>
        </w:tc>
        <w:tc>
          <w:tcPr>
            <w:tcW w:w="1660" w:type="dxa"/>
            <w:vAlign w:val="center"/>
          </w:tcPr>
          <w:p>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数量</w:t>
            </w:r>
          </w:p>
        </w:tc>
        <w:tc>
          <w:tcPr>
            <w:tcW w:w="1810" w:type="dxa"/>
            <w:vAlign w:val="center"/>
          </w:tcPr>
          <w:p>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单价</w:t>
            </w:r>
          </w:p>
        </w:tc>
        <w:tc>
          <w:tcPr>
            <w:tcW w:w="2350" w:type="dxa"/>
            <w:vAlign w:val="center"/>
          </w:tcPr>
          <w:p>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2551" w:type="dxa"/>
          </w:tcPr>
          <w:p>
            <w:pPr>
              <w:pStyle w:val="12"/>
              <w:adjustRightInd w:val="0"/>
              <w:snapToGrid w:val="0"/>
              <w:spacing w:line="400" w:lineRule="exact"/>
              <w:jc w:val="center"/>
              <w:rPr>
                <w:rFonts w:hAnsi="宋体" w:cs="宋体"/>
                <w:b/>
                <w:bCs/>
                <w:color w:val="auto"/>
                <w:kern w:val="2"/>
                <w:sz w:val="22"/>
                <w:szCs w:val="22"/>
              </w:rPr>
            </w:pPr>
          </w:p>
        </w:tc>
        <w:tc>
          <w:tcPr>
            <w:tcW w:w="1660" w:type="dxa"/>
          </w:tcPr>
          <w:p>
            <w:pPr>
              <w:pStyle w:val="12"/>
              <w:adjustRightInd w:val="0"/>
              <w:snapToGrid w:val="0"/>
              <w:spacing w:line="400" w:lineRule="exact"/>
              <w:jc w:val="center"/>
              <w:rPr>
                <w:rFonts w:hAnsi="宋体" w:cs="宋体"/>
                <w:b/>
                <w:bCs/>
                <w:color w:val="auto"/>
                <w:kern w:val="2"/>
                <w:sz w:val="22"/>
                <w:szCs w:val="22"/>
              </w:rPr>
            </w:pPr>
          </w:p>
        </w:tc>
        <w:tc>
          <w:tcPr>
            <w:tcW w:w="1810" w:type="dxa"/>
          </w:tcPr>
          <w:p>
            <w:pPr>
              <w:pStyle w:val="12"/>
              <w:adjustRightInd w:val="0"/>
              <w:snapToGrid w:val="0"/>
              <w:spacing w:line="400" w:lineRule="exact"/>
              <w:jc w:val="center"/>
              <w:rPr>
                <w:rFonts w:hAnsi="宋体" w:cs="宋体"/>
                <w:b/>
                <w:bCs/>
                <w:color w:val="auto"/>
                <w:kern w:val="2"/>
                <w:sz w:val="22"/>
                <w:szCs w:val="22"/>
              </w:rPr>
            </w:pPr>
          </w:p>
        </w:tc>
        <w:tc>
          <w:tcPr>
            <w:tcW w:w="2350" w:type="dxa"/>
          </w:tcPr>
          <w:p>
            <w:pPr>
              <w:pStyle w:val="12"/>
              <w:adjustRightInd w:val="0"/>
              <w:snapToGrid w:val="0"/>
              <w:spacing w:line="400" w:lineRule="exact"/>
              <w:jc w:val="center"/>
              <w:rPr>
                <w:rFonts w:hAnsi="宋体" w:cs="宋体"/>
                <w:b/>
                <w:bCs/>
                <w:color w:val="auto"/>
                <w:kern w:val="2"/>
                <w:sz w:val="22"/>
                <w:szCs w:val="22"/>
              </w:rPr>
            </w:pPr>
          </w:p>
        </w:tc>
      </w:tr>
    </w:tbl>
    <w:p>
      <w:pPr>
        <w:pStyle w:val="12"/>
        <w:adjustRightInd w:val="0"/>
        <w:snapToGrid w:val="0"/>
        <w:spacing w:line="400" w:lineRule="exact"/>
        <w:rPr>
          <w:rFonts w:hAnsi="宋体"/>
          <w:color w:val="auto"/>
          <w:sz w:val="22"/>
        </w:rPr>
      </w:pPr>
    </w:p>
    <w:p>
      <w:pPr>
        <w:pStyle w:val="12"/>
        <w:adjustRightInd w:val="0"/>
        <w:snapToGrid w:val="0"/>
        <w:spacing w:line="400" w:lineRule="exact"/>
        <w:rPr>
          <w:rFonts w:hAnsi="宋体"/>
          <w:color w:val="auto"/>
          <w:sz w:val="22"/>
          <w:u w:val="single"/>
        </w:rPr>
      </w:pPr>
      <w:r>
        <w:rPr>
          <w:rFonts w:hint="eastAsia" w:hAnsi="宋体"/>
          <w:color w:val="auto"/>
          <w:sz w:val="22"/>
        </w:rPr>
        <w:t>供应商盖章：</w:t>
      </w:r>
    </w:p>
    <w:p>
      <w:pPr>
        <w:pStyle w:val="12"/>
        <w:adjustRightInd w:val="0"/>
        <w:snapToGrid w:val="0"/>
        <w:spacing w:line="400" w:lineRule="exact"/>
        <w:rPr>
          <w:rFonts w:hAnsi="宋体"/>
          <w:color w:val="auto"/>
          <w:sz w:val="22"/>
          <w:u w:val="single"/>
        </w:rPr>
      </w:pPr>
    </w:p>
    <w:p>
      <w:pPr>
        <w:pStyle w:val="12"/>
        <w:adjustRightInd w:val="0"/>
        <w:snapToGrid w:val="0"/>
        <w:spacing w:line="400" w:lineRule="exact"/>
        <w:rPr>
          <w:rFonts w:hAnsi="宋体"/>
          <w:color w:val="auto"/>
          <w:sz w:val="22"/>
          <w:u w:val="single"/>
        </w:rPr>
      </w:pPr>
    </w:p>
    <w:p>
      <w:pPr>
        <w:pStyle w:val="12"/>
        <w:adjustRightInd w:val="0"/>
        <w:snapToGrid w:val="0"/>
        <w:spacing w:line="400" w:lineRule="exact"/>
        <w:rPr>
          <w:rFonts w:hAnsi="宋体"/>
          <w:color w:val="auto"/>
          <w:sz w:val="22"/>
          <w:u w:val="single"/>
        </w:rPr>
      </w:pPr>
    </w:p>
    <w:p>
      <w:pPr>
        <w:pStyle w:val="12"/>
        <w:adjustRightInd w:val="0"/>
        <w:snapToGrid w:val="0"/>
        <w:spacing w:line="400" w:lineRule="exact"/>
        <w:rPr>
          <w:rFonts w:hAnsi="宋体"/>
          <w:color w:val="auto"/>
          <w:sz w:val="22"/>
          <w:u w:val="single"/>
        </w:rPr>
      </w:pPr>
    </w:p>
    <w:p>
      <w:pPr>
        <w:pStyle w:val="12"/>
        <w:adjustRightInd w:val="0"/>
        <w:snapToGrid w:val="0"/>
        <w:spacing w:line="400" w:lineRule="exact"/>
        <w:rPr>
          <w:rFonts w:hAnsi="宋体"/>
          <w:color w:val="auto"/>
          <w:sz w:val="22"/>
          <w:u w:val="single"/>
        </w:rPr>
      </w:pPr>
    </w:p>
    <w:p>
      <w:pPr>
        <w:pStyle w:val="12"/>
        <w:adjustRightInd w:val="0"/>
        <w:snapToGrid w:val="0"/>
        <w:spacing w:line="400" w:lineRule="exact"/>
        <w:rPr>
          <w:rFonts w:hAnsi="宋体"/>
          <w:color w:val="auto"/>
          <w:sz w:val="24"/>
        </w:rPr>
      </w:pPr>
    </w:p>
    <w:p>
      <w:pPr>
        <w:pStyle w:val="12"/>
        <w:adjustRightInd w:val="0"/>
        <w:snapToGrid w:val="0"/>
        <w:spacing w:line="400" w:lineRule="exact"/>
        <w:rPr>
          <w:rFonts w:hAnsi="宋体"/>
          <w:color w:val="auto"/>
          <w:sz w:val="24"/>
        </w:rPr>
      </w:pPr>
    </w:p>
    <w:p>
      <w:pPr>
        <w:pStyle w:val="12"/>
        <w:adjustRightInd w:val="0"/>
        <w:snapToGrid w:val="0"/>
        <w:spacing w:line="400" w:lineRule="exact"/>
        <w:rPr>
          <w:rFonts w:hAnsi="宋体"/>
          <w:color w:val="auto"/>
          <w:sz w:val="24"/>
        </w:rPr>
      </w:pPr>
    </w:p>
    <w:p>
      <w:pPr>
        <w:pStyle w:val="12"/>
        <w:adjustRightInd w:val="0"/>
        <w:snapToGrid w:val="0"/>
        <w:spacing w:line="400" w:lineRule="exact"/>
        <w:rPr>
          <w:rFonts w:hAnsi="宋体"/>
          <w:color w:val="auto"/>
          <w:sz w:val="24"/>
        </w:rPr>
      </w:pPr>
    </w:p>
    <w:p>
      <w:pPr>
        <w:pStyle w:val="12"/>
        <w:adjustRightInd w:val="0"/>
        <w:snapToGrid w:val="0"/>
        <w:spacing w:line="400" w:lineRule="exact"/>
        <w:rPr>
          <w:rFonts w:hAnsi="宋体"/>
          <w:color w:val="auto"/>
          <w:sz w:val="24"/>
        </w:rPr>
      </w:pPr>
    </w:p>
    <w:p>
      <w:pPr>
        <w:pStyle w:val="12"/>
        <w:adjustRightInd w:val="0"/>
        <w:snapToGrid w:val="0"/>
        <w:spacing w:line="400" w:lineRule="exact"/>
        <w:rPr>
          <w:rFonts w:hAnsi="宋体"/>
          <w:color w:val="auto"/>
          <w:sz w:val="24"/>
        </w:rPr>
      </w:pPr>
    </w:p>
    <w:p>
      <w:pPr>
        <w:pStyle w:val="12"/>
        <w:adjustRightInd w:val="0"/>
        <w:snapToGrid w:val="0"/>
        <w:spacing w:line="400" w:lineRule="exact"/>
        <w:rPr>
          <w:rFonts w:hAnsi="宋体"/>
          <w:color w:val="auto"/>
          <w:sz w:val="24"/>
        </w:rPr>
      </w:pPr>
    </w:p>
    <w:p>
      <w:pPr>
        <w:pStyle w:val="12"/>
        <w:adjustRightInd w:val="0"/>
        <w:snapToGrid w:val="0"/>
        <w:spacing w:line="400" w:lineRule="exact"/>
        <w:rPr>
          <w:rFonts w:hAnsi="宋体"/>
          <w:color w:val="auto"/>
          <w:sz w:val="24"/>
        </w:rPr>
      </w:pPr>
    </w:p>
    <w:p>
      <w:pPr>
        <w:spacing w:line="360" w:lineRule="exact"/>
        <w:jc w:val="left"/>
        <w:rPr>
          <w:rFonts w:ascii="宋体"/>
          <w:b/>
          <w:bCs/>
          <w:color w:val="auto"/>
          <w:sz w:val="32"/>
          <w:szCs w:val="32"/>
        </w:rPr>
      </w:pPr>
      <w:r>
        <w:rPr>
          <w:rFonts w:hint="eastAsia"/>
          <w:b/>
          <w:bCs/>
          <w:color w:val="auto"/>
          <w:sz w:val="32"/>
          <w:szCs w:val="32"/>
        </w:rPr>
        <w:t>附件四</w:t>
      </w:r>
    </w:p>
    <w:p>
      <w:pPr>
        <w:spacing w:line="360" w:lineRule="exact"/>
        <w:jc w:val="center"/>
        <w:rPr>
          <w:b/>
          <w:bCs/>
          <w:color w:val="auto"/>
          <w:sz w:val="32"/>
          <w:szCs w:val="32"/>
        </w:rPr>
      </w:pPr>
      <w:r>
        <w:rPr>
          <w:rFonts w:hint="eastAsia"/>
          <w:b/>
          <w:bCs/>
          <w:color w:val="auto"/>
          <w:sz w:val="32"/>
          <w:szCs w:val="32"/>
        </w:rPr>
        <w:t>设备零件、易损件、备品备件报价表（如有）</w:t>
      </w:r>
    </w:p>
    <w:tbl>
      <w:tblPr>
        <w:tblStyle w:val="21"/>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序 号</w:t>
            </w:r>
          </w:p>
        </w:tc>
        <w:tc>
          <w:tcPr>
            <w:tcW w:w="1688" w:type="dxa"/>
            <w:vAlign w:val="center"/>
          </w:tcPr>
          <w:p>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名称</w:t>
            </w:r>
          </w:p>
        </w:tc>
        <w:tc>
          <w:tcPr>
            <w:tcW w:w="2110" w:type="dxa"/>
            <w:vAlign w:val="center"/>
          </w:tcPr>
          <w:p>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产地/规格/型号</w:t>
            </w:r>
          </w:p>
        </w:tc>
        <w:tc>
          <w:tcPr>
            <w:tcW w:w="1477" w:type="dxa"/>
            <w:vAlign w:val="center"/>
          </w:tcPr>
          <w:p>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数量</w:t>
            </w:r>
          </w:p>
        </w:tc>
        <w:tc>
          <w:tcPr>
            <w:tcW w:w="1230" w:type="dxa"/>
            <w:vAlign w:val="center"/>
          </w:tcPr>
          <w:p>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单价</w:t>
            </w:r>
          </w:p>
        </w:tc>
        <w:tc>
          <w:tcPr>
            <w:tcW w:w="1940" w:type="dxa"/>
            <w:vAlign w:val="center"/>
          </w:tcPr>
          <w:p>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2"/>
              <w:adjustRightInd w:val="0"/>
              <w:snapToGrid w:val="0"/>
              <w:spacing w:line="400" w:lineRule="exact"/>
              <w:jc w:val="center"/>
              <w:rPr>
                <w:rFonts w:hAnsi="宋体" w:cs="宋体"/>
                <w:b/>
                <w:bCs/>
                <w:color w:val="auto"/>
                <w:kern w:val="2"/>
                <w:sz w:val="22"/>
                <w:szCs w:val="22"/>
              </w:rPr>
            </w:pPr>
          </w:p>
        </w:tc>
        <w:tc>
          <w:tcPr>
            <w:tcW w:w="1688" w:type="dxa"/>
          </w:tcPr>
          <w:p>
            <w:pPr>
              <w:pStyle w:val="12"/>
              <w:adjustRightInd w:val="0"/>
              <w:snapToGrid w:val="0"/>
              <w:spacing w:line="400" w:lineRule="exact"/>
              <w:jc w:val="center"/>
              <w:rPr>
                <w:rFonts w:hAnsi="宋体" w:cs="宋体"/>
                <w:b/>
                <w:bCs/>
                <w:color w:val="auto"/>
                <w:kern w:val="2"/>
                <w:sz w:val="22"/>
                <w:szCs w:val="22"/>
              </w:rPr>
            </w:pPr>
          </w:p>
        </w:tc>
        <w:tc>
          <w:tcPr>
            <w:tcW w:w="2110" w:type="dxa"/>
          </w:tcPr>
          <w:p>
            <w:pPr>
              <w:pStyle w:val="12"/>
              <w:adjustRightInd w:val="0"/>
              <w:snapToGrid w:val="0"/>
              <w:spacing w:line="400" w:lineRule="exact"/>
              <w:jc w:val="center"/>
              <w:rPr>
                <w:rFonts w:hAnsi="宋体" w:cs="宋体"/>
                <w:b/>
                <w:bCs/>
                <w:color w:val="auto"/>
                <w:kern w:val="2"/>
                <w:sz w:val="22"/>
                <w:szCs w:val="22"/>
              </w:rPr>
            </w:pPr>
          </w:p>
        </w:tc>
        <w:tc>
          <w:tcPr>
            <w:tcW w:w="1477" w:type="dxa"/>
          </w:tcPr>
          <w:p>
            <w:pPr>
              <w:pStyle w:val="12"/>
              <w:adjustRightInd w:val="0"/>
              <w:snapToGrid w:val="0"/>
              <w:spacing w:line="400" w:lineRule="exact"/>
              <w:jc w:val="center"/>
              <w:rPr>
                <w:rFonts w:hAnsi="宋体" w:cs="宋体"/>
                <w:b/>
                <w:bCs/>
                <w:color w:val="auto"/>
                <w:kern w:val="2"/>
                <w:sz w:val="22"/>
                <w:szCs w:val="22"/>
              </w:rPr>
            </w:pPr>
          </w:p>
        </w:tc>
        <w:tc>
          <w:tcPr>
            <w:tcW w:w="1230" w:type="dxa"/>
          </w:tcPr>
          <w:p>
            <w:pPr>
              <w:pStyle w:val="12"/>
              <w:adjustRightInd w:val="0"/>
              <w:snapToGrid w:val="0"/>
              <w:spacing w:line="400" w:lineRule="exact"/>
              <w:jc w:val="center"/>
              <w:rPr>
                <w:rFonts w:hAnsi="宋体" w:cs="宋体"/>
                <w:b/>
                <w:bCs/>
                <w:color w:val="auto"/>
                <w:kern w:val="2"/>
                <w:sz w:val="22"/>
                <w:szCs w:val="22"/>
              </w:rPr>
            </w:pPr>
          </w:p>
        </w:tc>
        <w:tc>
          <w:tcPr>
            <w:tcW w:w="1940" w:type="dxa"/>
          </w:tcPr>
          <w:p>
            <w:pPr>
              <w:pStyle w:val="12"/>
              <w:adjustRightInd w:val="0"/>
              <w:snapToGrid w:val="0"/>
              <w:spacing w:line="400" w:lineRule="exact"/>
              <w:jc w:val="center"/>
              <w:rPr>
                <w:rFonts w:hAnsi="宋体" w:cs="宋体"/>
                <w:b/>
                <w:bCs/>
                <w:color w:val="auto"/>
                <w:kern w:val="2"/>
                <w:sz w:val="22"/>
                <w:szCs w:val="22"/>
              </w:rPr>
            </w:pPr>
          </w:p>
        </w:tc>
      </w:tr>
    </w:tbl>
    <w:p>
      <w:pPr>
        <w:pStyle w:val="12"/>
        <w:adjustRightInd w:val="0"/>
        <w:snapToGrid w:val="0"/>
        <w:spacing w:line="400" w:lineRule="exact"/>
        <w:rPr>
          <w:rFonts w:hAnsi="宋体"/>
          <w:color w:val="auto"/>
          <w:sz w:val="22"/>
        </w:rPr>
      </w:pPr>
    </w:p>
    <w:p>
      <w:pPr>
        <w:pStyle w:val="12"/>
        <w:adjustRightInd w:val="0"/>
        <w:snapToGrid w:val="0"/>
        <w:spacing w:line="400" w:lineRule="exact"/>
        <w:rPr>
          <w:rFonts w:hAnsi="宋体"/>
          <w:color w:val="auto"/>
          <w:sz w:val="22"/>
        </w:rPr>
      </w:pPr>
      <w:r>
        <w:rPr>
          <w:rFonts w:hint="eastAsia" w:hAnsi="宋体"/>
          <w:color w:val="auto"/>
          <w:sz w:val="22"/>
        </w:rPr>
        <w:t>供应商盖章：</w:t>
      </w:r>
    </w:p>
    <w:p>
      <w:pPr>
        <w:pStyle w:val="12"/>
        <w:adjustRightInd w:val="0"/>
        <w:snapToGrid w:val="0"/>
        <w:spacing w:line="400" w:lineRule="exact"/>
        <w:rPr>
          <w:rFonts w:hAnsi="宋体"/>
          <w:color w:val="auto"/>
          <w:sz w:val="24"/>
        </w:rPr>
      </w:pPr>
    </w:p>
    <w:p>
      <w:pPr>
        <w:pStyle w:val="12"/>
        <w:adjustRightInd w:val="0"/>
        <w:snapToGrid w:val="0"/>
        <w:spacing w:line="400" w:lineRule="exact"/>
        <w:rPr>
          <w:rFonts w:hAnsi="宋体"/>
          <w:color w:val="auto"/>
          <w:sz w:val="24"/>
        </w:rPr>
      </w:pPr>
    </w:p>
    <w:p>
      <w:pPr>
        <w:pStyle w:val="12"/>
        <w:adjustRightInd w:val="0"/>
        <w:snapToGrid w:val="0"/>
        <w:spacing w:line="400" w:lineRule="exact"/>
        <w:rPr>
          <w:rFonts w:hAnsi="宋体"/>
          <w:color w:val="auto"/>
          <w:sz w:val="24"/>
        </w:rPr>
      </w:pPr>
    </w:p>
    <w:p>
      <w:pPr>
        <w:autoSpaceDE w:val="0"/>
        <w:autoSpaceDN w:val="0"/>
        <w:adjustRightInd w:val="0"/>
        <w:spacing w:line="460" w:lineRule="atLeast"/>
        <w:rPr>
          <w:rFonts w:hint="eastAsia"/>
          <w:b/>
          <w:bCs/>
          <w:color w:val="auto"/>
          <w:sz w:val="30"/>
          <w:lang w:val="zh-CN"/>
        </w:rPr>
      </w:pPr>
    </w:p>
    <w:p>
      <w:pPr>
        <w:autoSpaceDE w:val="0"/>
        <w:autoSpaceDN w:val="0"/>
        <w:adjustRightInd w:val="0"/>
        <w:spacing w:line="460" w:lineRule="atLeast"/>
        <w:rPr>
          <w:rFonts w:hint="eastAsia"/>
          <w:b/>
          <w:bCs/>
          <w:color w:val="auto"/>
          <w:sz w:val="30"/>
          <w:lang w:val="zh-CN"/>
        </w:rPr>
      </w:pPr>
    </w:p>
    <w:p>
      <w:pPr>
        <w:autoSpaceDE w:val="0"/>
        <w:autoSpaceDN w:val="0"/>
        <w:adjustRightInd w:val="0"/>
        <w:spacing w:line="460" w:lineRule="atLeast"/>
        <w:rPr>
          <w:rFonts w:hint="eastAsia"/>
          <w:b/>
          <w:bCs/>
          <w:color w:val="auto"/>
          <w:sz w:val="30"/>
          <w:lang w:val="zh-CN"/>
        </w:rPr>
      </w:pPr>
    </w:p>
    <w:p>
      <w:pPr>
        <w:autoSpaceDE w:val="0"/>
        <w:autoSpaceDN w:val="0"/>
        <w:adjustRightInd w:val="0"/>
        <w:spacing w:line="460" w:lineRule="atLeast"/>
        <w:rPr>
          <w:rFonts w:hint="eastAsia"/>
          <w:b/>
          <w:bCs/>
          <w:color w:val="auto"/>
          <w:sz w:val="30"/>
          <w:lang w:val="zh-CN"/>
        </w:rPr>
      </w:pPr>
    </w:p>
    <w:p>
      <w:pPr>
        <w:autoSpaceDE w:val="0"/>
        <w:autoSpaceDN w:val="0"/>
        <w:adjustRightInd w:val="0"/>
        <w:spacing w:line="460" w:lineRule="atLeast"/>
        <w:rPr>
          <w:rFonts w:hint="eastAsia"/>
          <w:b/>
          <w:bCs/>
          <w:color w:val="auto"/>
          <w:sz w:val="30"/>
          <w:lang w:val="zh-CN"/>
        </w:rPr>
      </w:pPr>
    </w:p>
    <w:p>
      <w:pPr>
        <w:autoSpaceDE w:val="0"/>
        <w:autoSpaceDN w:val="0"/>
        <w:adjustRightInd w:val="0"/>
        <w:spacing w:line="460" w:lineRule="atLeast"/>
        <w:rPr>
          <w:rFonts w:hint="eastAsia"/>
          <w:b/>
          <w:bCs/>
          <w:color w:val="auto"/>
          <w:sz w:val="30"/>
          <w:lang w:val="zh-CN"/>
        </w:rPr>
      </w:pPr>
    </w:p>
    <w:p>
      <w:pPr>
        <w:autoSpaceDE w:val="0"/>
        <w:autoSpaceDN w:val="0"/>
        <w:adjustRightInd w:val="0"/>
        <w:spacing w:line="460" w:lineRule="atLeast"/>
        <w:rPr>
          <w:rFonts w:hint="eastAsia"/>
          <w:b/>
          <w:bCs/>
          <w:color w:val="auto"/>
          <w:sz w:val="30"/>
          <w:lang w:val="zh-CN"/>
        </w:rPr>
      </w:pPr>
    </w:p>
    <w:p>
      <w:pPr>
        <w:autoSpaceDE w:val="0"/>
        <w:autoSpaceDN w:val="0"/>
        <w:adjustRightInd w:val="0"/>
        <w:spacing w:line="460" w:lineRule="atLeast"/>
        <w:rPr>
          <w:rFonts w:hint="eastAsia"/>
          <w:b/>
          <w:bCs/>
          <w:color w:val="auto"/>
          <w:sz w:val="30"/>
          <w:lang w:val="zh-CN"/>
        </w:rPr>
      </w:pPr>
    </w:p>
    <w:p>
      <w:pPr>
        <w:autoSpaceDE w:val="0"/>
        <w:autoSpaceDN w:val="0"/>
        <w:adjustRightInd w:val="0"/>
        <w:spacing w:line="460" w:lineRule="atLeast"/>
        <w:rPr>
          <w:rFonts w:hint="eastAsia" w:ascii="宋体" w:hAnsi="宋体" w:eastAsia="宋体"/>
          <w:color w:val="auto"/>
          <w:sz w:val="30"/>
          <w:lang w:eastAsia="zh-CN"/>
        </w:rPr>
      </w:pPr>
      <w:r>
        <w:rPr>
          <w:rFonts w:hint="eastAsia"/>
          <w:b/>
          <w:bCs/>
          <w:color w:val="auto"/>
          <w:sz w:val="30"/>
          <w:lang w:val="zh-CN"/>
        </w:rPr>
        <w:t>附件</w:t>
      </w:r>
      <w:r>
        <w:rPr>
          <w:rFonts w:hint="eastAsia"/>
          <w:b/>
          <w:bCs/>
          <w:color w:val="auto"/>
          <w:sz w:val="30"/>
          <w:lang w:val="en-US" w:eastAsia="zh-CN"/>
        </w:rPr>
        <w:t>五</w:t>
      </w:r>
    </w:p>
    <w:p>
      <w:pPr>
        <w:autoSpaceDE w:val="0"/>
        <w:autoSpaceDN w:val="0"/>
        <w:adjustRightInd w:val="0"/>
        <w:spacing w:line="460" w:lineRule="atLeast"/>
        <w:jc w:val="center"/>
        <w:rPr>
          <w:rFonts w:hint="eastAsia" w:ascii="宋体" w:hAnsi="宋体"/>
          <w:color w:val="auto"/>
          <w:sz w:val="36"/>
          <w:lang w:val="zh-CN"/>
        </w:rPr>
      </w:pPr>
    </w:p>
    <w:p>
      <w:pPr>
        <w:autoSpaceDE w:val="0"/>
        <w:autoSpaceDN w:val="0"/>
        <w:adjustRightInd w:val="0"/>
        <w:spacing w:line="460" w:lineRule="atLeast"/>
        <w:jc w:val="center"/>
        <w:rPr>
          <w:rFonts w:hint="eastAsia" w:ascii="宋体" w:hAnsi="宋体"/>
          <w:color w:val="auto"/>
          <w:sz w:val="36"/>
          <w:lang w:val="zh-CN"/>
        </w:rPr>
      </w:pPr>
      <w:r>
        <w:rPr>
          <w:rFonts w:hint="eastAsia"/>
          <w:b/>
          <w:bCs/>
          <w:color w:val="auto"/>
          <w:sz w:val="30"/>
          <w:lang w:val="zh-CN"/>
        </w:rPr>
        <w:t>具有履行合同所必需的设备和专业技术能力的承诺函</w:t>
      </w:r>
    </w:p>
    <w:p>
      <w:pPr>
        <w:spacing w:line="460" w:lineRule="exact"/>
        <w:rPr>
          <w:rFonts w:hint="eastAsia" w:ascii="宋体" w:hAnsi="宋体" w:cs="黑体"/>
          <w:color w:val="auto"/>
          <w:sz w:val="22"/>
          <w:u w:val="single"/>
        </w:rPr>
      </w:pPr>
      <w:r>
        <w:rPr>
          <w:rFonts w:hint="eastAsia" w:ascii="宋体" w:hAnsi="宋体" w:cs="黑体"/>
          <w:color w:val="auto"/>
          <w:sz w:val="22"/>
          <w:u w:val="single"/>
          <w:lang w:eastAsia="zh-CN"/>
        </w:rPr>
        <w:t>泰顺县水利局</w:t>
      </w:r>
      <w:r>
        <w:rPr>
          <w:rFonts w:hint="eastAsia" w:ascii="宋体" w:hAnsi="宋体" w:cs="黑体"/>
          <w:color w:val="auto"/>
          <w:sz w:val="22"/>
          <w:u w:val="single"/>
        </w:rPr>
        <w:t>、杭州华旗招标代理有限公司：</w:t>
      </w:r>
    </w:p>
    <w:p>
      <w:pPr>
        <w:widowControl/>
        <w:snapToGrid w:val="0"/>
        <w:spacing w:line="460" w:lineRule="exact"/>
        <w:ind w:firstLine="446" w:firstLineChars="200"/>
        <w:jc w:val="left"/>
        <w:rPr>
          <w:rFonts w:hint="eastAsia" w:ascii="宋体" w:hAnsi="宋体" w:cs="Courier New"/>
          <w:color w:val="auto"/>
          <w:sz w:val="22"/>
        </w:rPr>
      </w:pPr>
    </w:p>
    <w:p>
      <w:pPr>
        <w:widowControl/>
        <w:snapToGrid w:val="0"/>
        <w:spacing w:line="460" w:lineRule="exact"/>
        <w:ind w:firstLine="446" w:firstLineChars="200"/>
        <w:jc w:val="left"/>
        <w:rPr>
          <w:rFonts w:hint="eastAsia" w:ascii="宋体" w:hAnsi="宋体" w:cs="Courier New"/>
          <w:color w:val="auto"/>
          <w:sz w:val="22"/>
        </w:rPr>
      </w:pPr>
      <w:r>
        <w:rPr>
          <w:rFonts w:hint="eastAsia" w:ascii="宋体" w:hAnsi="宋体" w:cs="Courier New"/>
          <w:color w:val="auto"/>
          <w:sz w:val="22"/>
        </w:rPr>
        <w:t>我方</w:t>
      </w:r>
      <w:r>
        <w:rPr>
          <w:rFonts w:hint="eastAsia" w:ascii="宋体" w:hAnsi="宋体" w:cs="Courier New"/>
          <w:color w:val="auto"/>
          <w:sz w:val="22"/>
          <w:u w:val="single"/>
        </w:rPr>
        <w:t xml:space="preserve"> （供应商）  </w:t>
      </w:r>
      <w:r>
        <w:rPr>
          <w:rFonts w:hint="eastAsia" w:ascii="宋体" w:hAnsi="宋体" w:cs="Courier New"/>
          <w:color w:val="auto"/>
          <w:sz w:val="22"/>
        </w:rPr>
        <w:t>承诺具有履行合同所必需的设备和专业技术能力。如有虚假，采购人可取消我方任何资格（投标/中标/签订合同），我方对此无任何异议。</w:t>
      </w:r>
    </w:p>
    <w:p>
      <w:pPr>
        <w:widowControl/>
        <w:snapToGrid w:val="0"/>
        <w:spacing w:line="460" w:lineRule="exact"/>
        <w:ind w:firstLine="446" w:firstLineChars="200"/>
        <w:jc w:val="left"/>
        <w:rPr>
          <w:rFonts w:hint="eastAsia" w:ascii="宋体" w:hAnsi="宋体" w:cs="Courier New"/>
          <w:color w:val="auto"/>
          <w:sz w:val="22"/>
        </w:rPr>
      </w:pPr>
    </w:p>
    <w:p>
      <w:pPr>
        <w:widowControl/>
        <w:snapToGrid w:val="0"/>
        <w:spacing w:line="460" w:lineRule="exact"/>
        <w:ind w:firstLine="446" w:firstLineChars="200"/>
        <w:jc w:val="left"/>
        <w:rPr>
          <w:rFonts w:hint="eastAsia" w:ascii="宋体" w:hAnsi="宋体" w:cs="Courier New"/>
          <w:color w:val="auto"/>
          <w:sz w:val="22"/>
        </w:rPr>
      </w:pPr>
      <w:r>
        <w:rPr>
          <w:rFonts w:hint="eastAsia" w:ascii="宋体" w:hAnsi="宋体" w:cs="Courier New"/>
          <w:color w:val="auto"/>
          <w:sz w:val="22"/>
        </w:rPr>
        <w:t>特此承诺！</w:t>
      </w:r>
    </w:p>
    <w:p>
      <w:pPr>
        <w:widowControl/>
        <w:snapToGrid w:val="0"/>
        <w:spacing w:line="460" w:lineRule="exact"/>
        <w:ind w:firstLine="446" w:firstLineChars="200"/>
        <w:jc w:val="left"/>
        <w:rPr>
          <w:rFonts w:hint="eastAsia" w:ascii="宋体" w:hAnsi="宋体" w:cs="Courier New"/>
          <w:color w:val="auto"/>
          <w:sz w:val="22"/>
        </w:rPr>
      </w:pPr>
    </w:p>
    <w:p>
      <w:pPr>
        <w:pStyle w:val="12"/>
        <w:spacing w:line="440" w:lineRule="atLeast"/>
        <w:rPr>
          <w:rFonts w:hAnsi="宋体"/>
          <w:b/>
          <w:color w:val="auto"/>
          <w:sz w:val="22"/>
        </w:rPr>
      </w:pPr>
      <w:r>
        <w:rPr>
          <w:rFonts w:hint="eastAsia" w:hAnsi="宋体"/>
          <w:color w:val="auto"/>
          <w:sz w:val="22"/>
        </w:rPr>
        <w:t>供应商全称：（盖章）</w:t>
      </w:r>
    </w:p>
    <w:p>
      <w:pPr>
        <w:pStyle w:val="12"/>
        <w:spacing w:line="440" w:lineRule="atLeast"/>
        <w:rPr>
          <w:rFonts w:hAnsi="宋体"/>
          <w:b/>
          <w:color w:val="auto"/>
          <w:sz w:val="22"/>
          <w:lang w:val="zh-CN"/>
        </w:rPr>
      </w:pPr>
      <w:r>
        <w:rPr>
          <w:rFonts w:hint="eastAsia" w:hAnsi="宋体"/>
          <w:color w:val="auto"/>
          <w:sz w:val="22"/>
        </w:rPr>
        <w:t>法定代表人（签字或盖章）或</w:t>
      </w:r>
      <w:r>
        <w:rPr>
          <w:rFonts w:hint="eastAsia" w:hAnsi="宋体"/>
          <w:color w:val="auto"/>
          <w:sz w:val="22"/>
          <w:lang w:val="zh-CN"/>
        </w:rPr>
        <w:t>授权代表（签字）：</w:t>
      </w:r>
    </w:p>
    <w:p>
      <w:pPr>
        <w:pStyle w:val="12"/>
        <w:spacing w:line="440" w:lineRule="atLeast"/>
        <w:rPr>
          <w:rFonts w:hAnsi="宋体"/>
          <w:b/>
          <w:color w:val="auto"/>
          <w:sz w:val="22"/>
          <w:lang w:val="zh-CN"/>
        </w:rPr>
      </w:pPr>
      <w:r>
        <w:rPr>
          <w:rFonts w:hint="eastAsia" w:hAnsi="宋体"/>
          <w:color w:val="auto"/>
          <w:sz w:val="22"/>
        </w:rPr>
        <w:t>日期：</w:t>
      </w:r>
    </w:p>
    <w:p>
      <w:pPr>
        <w:widowControl/>
        <w:snapToGrid w:val="0"/>
        <w:spacing w:line="460" w:lineRule="exact"/>
        <w:ind w:firstLine="446" w:firstLineChars="200"/>
        <w:jc w:val="left"/>
        <w:rPr>
          <w:rFonts w:hint="eastAsia" w:ascii="宋体" w:hAnsi="宋体" w:cs="Courier New"/>
          <w:color w:val="auto"/>
          <w:sz w:val="22"/>
        </w:rPr>
      </w:pPr>
    </w:p>
    <w:p>
      <w:pPr>
        <w:autoSpaceDE w:val="0"/>
        <w:autoSpaceDN w:val="0"/>
        <w:adjustRightInd w:val="0"/>
        <w:spacing w:line="460" w:lineRule="atLeast"/>
        <w:rPr>
          <w:rFonts w:hint="eastAsia" w:ascii="宋体" w:hAnsi="宋体" w:eastAsia="宋体"/>
          <w:color w:val="auto"/>
          <w:sz w:val="30"/>
          <w:lang w:val="zh-CN" w:eastAsia="zh-CN"/>
        </w:rPr>
      </w:pPr>
      <w:r>
        <w:rPr>
          <w:rFonts w:ascii="宋体" w:hAnsi="宋体"/>
          <w:color w:val="auto"/>
          <w:sz w:val="36"/>
        </w:rPr>
        <w:br w:type="page"/>
      </w:r>
      <w:bookmarkStart w:id="155" w:name="_Toc13669"/>
      <w:bookmarkStart w:id="156" w:name="_Toc27119255"/>
      <w:bookmarkStart w:id="157" w:name="_Toc14988"/>
      <w:bookmarkStart w:id="158" w:name="_Toc11360"/>
      <w:bookmarkStart w:id="159" w:name="_Toc31784"/>
      <w:bookmarkStart w:id="160" w:name="_Toc31544"/>
      <w:bookmarkStart w:id="161" w:name="_Toc10630"/>
      <w:bookmarkStart w:id="162" w:name="_Toc33194406"/>
      <w:bookmarkStart w:id="163" w:name="_Toc14589"/>
      <w:bookmarkStart w:id="164" w:name="_Toc18304"/>
      <w:bookmarkStart w:id="165" w:name="_Toc6606"/>
      <w:bookmarkStart w:id="166" w:name="_Toc28957"/>
      <w:r>
        <w:rPr>
          <w:rFonts w:hint="eastAsia"/>
          <w:b/>
          <w:bCs/>
          <w:color w:val="auto"/>
          <w:sz w:val="30"/>
          <w:lang w:val="zh-CN"/>
        </w:rPr>
        <w:t>附件</w:t>
      </w:r>
      <w:r>
        <w:rPr>
          <w:rFonts w:hint="eastAsia"/>
          <w:b/>
          <w:bCs/>
          <w:color w:val="auto"/>
          <w:sz w:val="30"/>
          <w:lang w:val="en-US" w:eastAsia="zh-CN"/>
        </w:rPr>
        <w:t>六</w:t>
      </w:r>
    </w:p>
    <w:p>
      <w:pPr>
        <w:autoSpaceDE w:val="0"/>
        <w:autoSpaceDN w:val="0"/>
        <w:adjustRightInd w:val="0"/>
        <w:spacing w:line="460" w:lineRule="atLeast"/>
        <w:jc w:val="center"/>
        <w:rPr>
          <w:rFonts w:hint="eastAsia" w:ascii="宋体" w:hAnsi="宋体"/>
          <w:color w:val="auto"/>
          <w:sz w:val="36"/>
          <w:lang w:val="zh-CN"/>
        </w:rPr>
      </w:pPr>
    </w:p>
    <w:p>
      <w:pPr>
        <w:autoSpaceDE w:val="0"/>
        <w:autoSpaceDN w:val="0"/>
        <w:adjustRightInd w:val="0"/>
        <w:spacing w:line="460" w:lineRule="atLeast"/>
        <w:jc w:val="center"/>
        <w:rPr>
          <w:rFonts w:hint="eastAsia"/>
          <w:b/>
          <w:bCs/>
          <w:color w:val="auto"/>
          <w:sz w:val="30"/>
          <w:lang w:val="zh-CN"/>
        </w:rPr>
      </w:pPr>
      <w:r>
        <w:rPr>
          <w:rFonts w:hint="eastAsia"/>
          <w:b/>
          <w:bCs/>
          <w:color w:val="auto"/>
          <w:sz w:val="30"/>
          <w:lang w:val="zh-CN"/>
        </w:rPr>
        <w:t>参加政府采购活动前3年内在经营活动中没有重大违法记录的声明函</w:t>
      </w:r>
      <w:bookmarkEnd w:id="155"/>
      <w:bookmarkEnd w:id="156"/>
      <w:bookmarkEnd w:id="157"/>
      <w:bookmarkEnd w:id="158"/>
      <w:bookmarkEnd w:id="159"/>
      <w:bookmarkEnd w:id="160"/>
      <w:bookmarkEnd w:id="161"/>
      <w:bookmarkEnd w:id="162"/>
      <w:bookmarkEnd w:id="163"/>
      <w:bookmarkEnd w:id="164"/>
      <w:bookmarkEnd w:id="165"/>
      <w:bookmarkEnd w:id="166"/>
    </w:p>
    <w:p>
      <w:pPr>
        <w:spacing w:line="460" w:lineRule="exact"/>
        <w:rPr>
          <w:rFonts w:hint="eastAsia" w:ascii="宋体" w:hAnsi="宋体" w:cs="黑体"/>
          <w:color w:val="auto"/>
          <w:sz w:val="22"/>
          <w:u w:val="single"/>
        </w:rPr>
      </w:pPr>
      <w:r>
        <w:rPr>
          <w:rFonts w:hint="eastAsia" w:ascii="宋体" w:hAnsi="宋体" w:cs="黑体"/>
          <w:color w:val="auto"/>
          <w:sz w:val="22"/>
          <w:u w:val="single"/>
          <w:lang w:eastAsia="zh-CN"/>
        </w:rPr>
        <w:t>泰顺县水利局</w:t>
      </w:r>
      <w:r>
        <w:rPr>
          <w:rFonts w:hint="eastAsia" w:ascii="宋体" w:hAnsi="宋体" w:cs="黑体"/>
          <w:color w:val="auto"/>
          <w:sz w:val="22"/>
          <w:u w:val="single"/>
        </w:rPr>
        <w:t>、杭州华旗招标代理有限公司：</w:t>
      </w:r>
    </w:p>
    <w:p>
      <w:pPr>
        <w:widowControl/>
        <w:snapToGrid w:val="0"/>
        <w:spacing w:line="460" w:lineRule="exact"/>
        <w:ind w:firstLine="446" w:firstLineChars="200"/>
        <w:jc w:val="left"/>
        <w:rPr>
          <w:rFonts w:hint="eastAsia" w:ascii="宋体" w:hAnsi="宋体" w:cs="Courier New"/>
          <w:color w:val="auto"/>
          <w:sz w:val="22"/>
        </w:rPr>
      </w:pPr>
      <w:r>
        <w:rPr>
          <w:rFonts w:hint="eastAsia" w:ascii="宋体" w:hAnsi="宋体" w:cs="Courier New"/>
          <w:color w:val="auto"/>
          <w:sz w:val="22"/>
        </w:rPr>
        <w:t>我方</w:t>
      </w:r>
      <w:r>
        <w:rPr>
          <w:rFonts w:hint="eastAsia" w:ascii="宋体" w:hAnsi="宋体" w:cs="Courier New"/>
          <w:color w:val="auto"/>
          <w:sz w:val="22"/>
          <w:u w:val="single"/>
        </w:rPr>
        <w:t xml:space="preserve"> （供应商）  </w:t>
      </w:r>
      <w:r>
        <w:rPr>
          <w:rFonts w:hint="eastAsia" w:ascii="宋体" w:hAnsi="宋体" w:cs="Courier New"/>
          <w:color w:val="auto"/>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6" w:firstLineChars="200"/>
        <w:jc w:val="left"/>
        <w:rPr>
          <w:rFonts w:hint="eastAsia" w:ascii="宋体" w:hAnsi="宋体" w:cs="Courier New"/>
          <w:color w:val="auto"/>
          <w:sz w:val="22"/>
        </w:rPr>
      </w:pPr>
    </w:p>
    <w:p>
      <w:pPr>
        <w:widowControl/>
        <w:snapToGrid w:val="0"/>
        <w:spacing w:line="460" w:lineRule="exact"/>
        <w:ind w:firstLine="446" w:firstLineChars="200"/>
        <w:jc w:val="left"/>
        <w:rPr>
          <w:rFonts w:hint="eastAsia" w:ascii="宋体" w:hAnsi="宋体" w:cs="Courier New"/>
          <w:color w:val="auto"/>
          <w:sz w:val="22"/>
        </w:rPr>
      </w:pPr>
      <w:r>
        <w:rPr>
          <w:rFonts w:hint="eastAsia" w:ascii="宋体" w:hAnsi="宋体" w:cs="Courier New"/>
          <w:color w:val="auto"/>
          <w:sz w:val="22"/>
        </w:rPr>
        <w:t>特此承诺！</w:t>
      </w:r>
    </w:p>
    <w:p>
      <w:pPr>
        <w:widowControl/>
        <w:snapToGrid w:val="0"/>
        <w:spacing w:line="460" w:lineRule="exact"/>
        <w:ind w:firstLine="446" w:firstLineChars="200"/>
        <w:jc w:val="left"/>
        <w:rPr>
          <w:rFonts w:hint="eastAsia" w:ascii="宋体" w:hAnsi="宋体" w:cs="Courier New"/>
          <w:color w:val="auto"/>
          <w:sz w:val="22"/>
        </w:rPr>
      </w:pPr>
    </w:p>
    <w:p>
      <w:pPr>
        <w:pStyle w:val="12"/>
        <w:spacing w:line="440" w:lineRule="atLeast"/>
        <w:rPr>
          <w:rFonts w:hAnsi="宋体"/>
          <w:b/>
          <w:color w:val="auto"/>
          <w:sz w:val="22"/>
        </w:rPr>
      </w:pPr>
      <w:r>
        <w:rPr>
          <w:rFonts w:hint="eastAsia" w:hAnsi="宋体"/>
          <w:color w:val="auto"/>
          <w:sz w:val="22"/>
        </w:rPr>
        <w:t>供应商全称：（盖章）</w:t>
      </w:r>
    </w:p>
    <w:p>
      <w:pPr>
        <w:pStyle w:val="12"/>
        <w:spacing w:line="440" w:lineRule="atLeast"/>
        <w:rPr>
          <w:rFonts w:hAnsi="宋体"/>
          <w:b/>
          <w:color w:val="auto"/>
          <w:sz w:val="22"/>
          <w:lang w:val="zh-CN"/>
        </w:rPr>
      </w:pPr>
      <w:r>
        <w:rPr>
          <w:rFonts w:hint="eastAsia" w:hAnsi="宋体"/>
          <w:color w:val="auto"/>
          <w:sz w:val="22"/>
        </w:rPr>
        <w:t>法定代表人（签字或盖章）或</w:t>
      </w:r>
      <w:r>
        <w:rPr>
          <w:rFonts w:hint="eastAsia" w:hAnsi="宋体"/>
          <w:color w:val="auto"/>
          <w:sz w:val="22"/>
          <w:lang w:val="zh-CN"/>
        </w:rPr>
        <w:t>授权代表（签字）：</w:t>
      </w:r>
    </w:p>
    <w:p>
      <w:pPr>
        <w:pStyle w:val="12"/>
        <w:spacing w:line="440" w:lineRule="atLeast"/>
        <w:rPr>
          <w:rFonts w:hAnsi="宋体"/>
          <w:b/>
          <w:color w:val="auto"/>
          <w:sz w:val="22"/>
          <w:lang w:val="zh-CN"/>
        </w:rPr>
      </w:pPr>
      <w:r>
        <w:rPr>
          <w:rFonts w:hint="eastAsia" w:hAnsi="宋体"/>
          <w:color w:val="auto"/>
          <w:sz w:val="22"/>
        </w:rPr>
        <w:t>日期：</w:t>
      </w:r>
    </w:p>
    <w:p>
      <w:pPr>
        <w:widowControl/>
        <w:snapToGrid w:val="0"/>
        <w:spacing w:line="460" w:lineRule="exact"/>
        <w:ind w:firstLine="446" w:firstLineChars="200"/>
        <w:jc w:val="left"/>
        <w:rPr>
          <w:rFonts w:ascii="宋体" w:hAnsi="宋体" w:cs="Courier New"/>
          <w:color w:val="auto"/>
          <w:sz w:val="22"/>
        </w:rPr>
      </w:pPr>
      <w:r>
        <w:rPr>
          <w:rFonts w:hint="eastAsia" w:ascii="宋体" w:hAnsi="宋体" w:cs="Courier New"/>
          <w:color w:val="auto"/>
          <w:sz w:val="22"/>
        </w:rPr>
        <w:t xml:space="preserve"> </w:t>
      </w:r>
    </w:p>
    <w:p>
      <w:pPr>
        <w:autoSpaceDE w:val="0"/>
        <w:autoSpaceDN w:val="0"/>
        <w:adjustRightInd w:val="0"/>
        <w:spacing w:line="460" w:lineRule="atLeast"/>
        <w:rPr>
          <w:rFonts w:ascii="宋体" w:hAnsi="宋体"/>
          <w:color w:val="auto"/>
          <w:sz w:val="36"/>
        </w:rPr>
      </w:pPr>
    </w:p>
    <w:p>
      <w:pPr>
        <w:snapToGrid w:val="0"/>
        <w:spacing w:line="500" w:lineRule="atLeast"/>
        <w:rPr>
          <w:rFonts w:hint="eastAsia" w:ascii="宋体" w:hAnsi="宋体"/>
          <w:color w:val="auto"/>
          <w:sz w:val="30"/>
          <w:szCs w:val="30"/>
        </w:rPr>
      </w:pPr>
    </w:p>
    <w:p>
      <w:pPr>
        <w:spacing w:line="360" w:lineRule="exact"/>
        <w:jc w:val="left"/>
        <w:rPr>
          <w:rFonts w:hint="eastAsia"/>
          <w:b/>
          <w:bCs/>
          <w:color w:val="auto"/>
          <w:sz w:val="32"/>
          <w:szCs w:val="32"/>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eastAsia="宋体"/>
          <w:b/>
          <w:bCs/>
          <w:color w:val="auto"/>
          <w:sz w:val="30"/>
          <w:lang w:eastAsia="zh-CN"/>
        </w:rPr>
      </w:pPr>
      <w:r>
        <w:rPr>
          <w:rFonts w:hint="eastAsia"/>
          <w:b/>
          <w:bCs/>
          <w:color w:val="auto"/>
          <w:sz w:val="30"/>
        </w:rPr>
        <w:t>附件</w:t>
      </w:r>
      <w:r>
        <w:rPr>
          <w:rFonts w:hint="eastAsia"/>
          <w:b/>
          <w:bCs/>
          <w:color w:val="auto"/>
          <w:sz w:val="30"/>
          <w:lang w:val="en-US" w:eastAsia="zh-CN"/>
        </w:rPr>
        <w:t>七</w:t>
      </w:r>
    </w:p>
    <w:p>
      <w:pPr>
        <w:tabs>
          <w:tab w:val="left" w:pos="1080"/>
        </w:tabs>
        <w:autoSpaceDE w:val="0"/>
        <w:autoSpaceDN w:val="0"/>
        <w:adjustRightInd w:val="0"/>
        <w:spacing w:line="360" w:lineRule="exact"/>
        <w:jc w:val="center"/>
        <w:rPr>
          <w:rFonts w:ascii="宋体"/>
          <w:b/>
          <w:bCs/>
          <w:color w:val="auto"/>
          <w:sz w:val="36"/>
          <w:lang w:val="zh-CN"/>
        </w:rPr>
      </w:pPr>
      <w:bookmarkStart w:id="167" w:name="_Toc32552_WPSOffice_Level3"/>
      <w:r>
        <w:rPr>
          <w:rFonts w:hint="eastAsia" w:ascii="宋体"/>
          <w:b/>
          <w:bCs/>
          <w:color w:val="auto"/>
          <w:sz w:val="32"/>
          <w:lang w:val="zh-CN"/>
        </w:rPr>
        <w:t>法定代表人授权书</w:t>
      </w:r>
      <w:bookmarkEnd w:id="167"/>
    </w:p>
    <w:p>
      <w:pPr>
        <w:autoSpaceDE w:val="0"/>
        <w:autoSpaceDN w:val="0"/>
        <w:adjustRightInd w:val="0"/>
        <w:spacing w:line="360" w:lineRule="exact"/>
        <w:jc w:val="center"/>
        <w:rPr>
          <w:rFonts w:ascii="宋体"/>
          <w:color w:val="auto"/>
          <w:sz w:val="36"/>
          <w:lang w:val="zh-CN"/>
        </w:rPr>
      </w:pPr>
    </w:p>
    <w:p>
      <w:pPr>
        <w:spacing w:line="400" w:lineRule="atLeast"/>
        <w:rPr>
          <w:rFonts w:ascii="宋体"/>
          <w:color w:val="auto"/>
          <w:sz w:val="22"/>
        </w:rPr>
      </w:pPr>
      <w:r>
        <w:rPr>
          <w:rFonts w:hint="eastAsia" w:ascii="宋体"/>
          <w:color w:val="auto"/>
          <w:sz w:val="22"/>
          <w:u w:val="single"/>
          <w:lang w:eastAsia="zh-CN"/>
        </w:rPr>
        <w:t>泰顺县水利局</w:t>
      </w:r>
      <w:r>
        <w:rPr>
          <w:rFonts w:hint="eastAsia" w:ascii="宋体"/>
          <w:color w:val="auto"/>
          <w:sz w:val="22"/>
          <w:lang w:val="zh-CN"/>
        </w:rPr>
        <w:t>：</w:t>
      </w:r>
    </w:p>
    <w:p>
      <w:pPr>
        <w:snapToGrid w:val="0"/>
        <w:spacing w:line="400" w:lineRule="atLeast"/>
        <w:ind w:firstLine="446" w:firstLineChars="200"/>
        <w:rPr>
          <w:rFonts w:ascii="宋体"/>
          <w:color w:val="auto"/>
          <w:sz w:val="22"/>
        </w:rPr>
      </w:pPr>
      <w:r>
        <w:rPr>
          <w:rFonts w:hint="eastAsia" w:ascii="宋体"/>
          <w:color w:val="auto"/>
          <w:sz w:val="22"/>
        </w:rPr>
        <w:t>本授权委托书声明：我</w:t>
      </w:r>
      <w:r>
        <w:rPr>
          <w:rFonts w:hint="eastAsia" w:ascii="宋体"/>
          <w:color w:val="auto"/>
          <w:sz w:val="22"/>
          <w:u w:val="single"/>
        </w:rPr>
        <w:t>（法定代表人姓名）</w:t>
      </w:r>
      <w:r>
        <w:rPr>
          <w:rFonts w:hint="eastAsia" w:ascii="宋体"/>
          <w:color w:val="auto"/>
          <w:sz w:val="22"/>
        </w:rPr>
        <w:t>系</w:t>
      </w:r>
      <w:r>
        <w:rPr>
          <w:rFonts w:hint="eastAsia" w:ascii="宋体"/>
          <w:color w:val="auto"/>
          <w:sz w:val="22"/>
          <w:u w:val="single"/>
        </w:rPr>
        <w:t>（供应商名称）</w:t>
      </w:r>
      <w:r>
        <w:rPr>
          <w:rFonts w:hint="eastAsia" w:ascii="宋体"/>
          <w:color w:val="auto"/>
          <w:sz w:val="22"/>
        </w:rPr>
        <w:t>的法定代表人，现授权委托</w:t>
      </w:r>
      <w:r>
        <w:rPr>
          <w:rFonts w:hint="eastAsia" w:ascii="宋体"/>
          <w:color w:val="auto"/>
          <w:sz w:val="22"/>
          <w:u w:val="single"/>
        </w:rPr>
        <w:t>（单位名称）</w:t>
      </w:r>
      <w:r>
        <w:rPr>
          <w:rFonts w:hint="eastAsia" w:ascii="宋体"/>
          <w:color w:val="auto"/>
          <w:sz w:val="22"/>
        </w:rPr>
        <w:t>的</w:t>
      </w:r>
      <w:r>
        <w:rPr>
          <w:rFonts w:hint="eastAsia" w:ascii="宋体"/>
          <w:color w:val="auto"/>
          <w:sz w:val="22"/>
          <w:u w:val="single"/>
        </w:rPr>
        <w:t>（授权代表姓名）</w:t>
      </w:r>
      <w:r>
        <w:rPr>
          <w:rFonts w:hint="eastAsia" w:ascii="宋体"/>
          <w:color w:val="auto"/>
          <w:sz w:val="22"/>
        </w:rPr>
        <w:t>为我公司法定代表人授权代表，参加贵处组织的</w:t>
      </w:r>
      <w:r>
        <w:rPr>
          <w:rFonts w:hint="eastAsia" w:ascii="宋体"/>
          <w:color w:val="auto"/>
          <w:sz w:val="22"/>
          <w:u w:val="single"/>
          <w:lang w:eastAsia="zh-CN"/>
        </w:rPr>
        <w:t>泰顺县水利工程可视化项目</w:t>
      </w:r>
      <w:r>
        <w:rPr>
          <w:rFonts w:hint="eastAsia" w:ascii="宋体"/>
          <w:color w:val="auto"/>
          <w:sz w:val="22"/>
          <w:lang w:val="zh-CN"/>
        </w:rPr>
        <w:t>（</w:t>
      </w:r>
      <w:r>
        <w:rPr>
          <w:rFonts w:hint="eastAsia" w:ascii="宋体"/>
          <w:color w:val="auto"/>
          <w:sz w:val="22"/>
        </w:rPr>
        <w:t>采购</w:t>
      </w:r>
      <w:r>
        <w:rPr>
          <w:rFonts w:hint="eastAsia" w:ascii="宋体"/>
          <w:color w:val="auto"/>
          <w:sz w:val="22"/>
          <w:lang w:val="zh-CN"/>
        </w:rPr>
        <w:t>编号：</w:t>
      </w:r>
      <w:r>
        <w:rPr>
          <w:rFonts w:hint="eastAsia" w:ascii="宋体"/>
          <w:color w:val="auto"/>
          <w:sz w:val="22"/>
          <w:u w:val="single"/>
          <w:lang w:eastAsia="zh-CN"/>
        </w:rPr>
        <w:t>TSCG202004003</w:t>
      </w:r>
      <w:r>
        <w:rPr>
          <w:rFonts w:hint="eastAsia" w:ascii="宋体"/>
          <w:color w:val="auto"/>
          <w:sz w:val="22"/>
          <w:u w:val="single"/>
        </w:rPr>
        <w:t>）</w:t>
      </w:r>
      <w:r>
        <w:rPr>
          <w:rFonts w:hint="eastAsia" w:ascii="宋体"/>
          <w:color w:val="auto"/>
          <w:sz w:val="22"/>
        </w:rPr>
        <w:t>项目投标，全权处理本次招投标活动中的一切事宜，我承认授权代表全权代表我所签署的本项目的</w:t>
      </w:r>
      <w:r>
        <w:rPr>
          <w:rFonts w:hint="eastAsia" w:ascii="宋体"/>
          <w:color w:val="auto"/>
          <w:sz w:val="22"/>
          <w:lang w:eastAsia="zh-CN"/>
        </w:rPr>
        <w:t>投标文件</w:t>
      </w:r>
      <w:r>
        <w:rPr>
          <w:rFonts w:hint="eastAsia" w:ascii="宋体"/>
          <w:color w:val="auto"/>
          <w:sz w:val="22"/>
        </w:rPr>
        <w:t>的内容。</w:t>
      </w:r>
    </w:p>
    <w:p>
      <w:pPr>
        <w:spacing w:line="400" w:lineRule="atLeast"/>
        <w:ind w:firstLine="446" w:firstLineChars="200"/>
        <w:rPr>
          <w:rFonts w:ascii="宋体"/>
          <w:color w:val="auto"/>
          <w:sz w:val="22"/>
        </w:rPr>
      </w:pPr>
    </w:p>
    <w:p>
      <w:pPr>
        <w:spacing w:line="400" w:lineRule="atLeast"/>
        <w:ind w:firstLine="446" w:firstLineChars="200"/>
        <w:rPr>
          <w:rFonts w:ascii="宋体"/>
          <w:color w:val="auto"/>
          <w:sz w:val="22"/>
        </w:rPr>
      </w:pPr>
      <w:r>
        <w:rPr>
          <w:rFonts w:hint="eastAsia" w:ascii="宋体"/>
          <w:color w:val="auto"/>
          <w:sz w:val="22"/>
        </w:rPr>
        <w:t>授权代表无转授权，特此授权。</w:t>
      </w:r>
    </w:p>
    <w:p>
      <w:pPr>
        <w:spacing w:line="400" w:lineRule="atLeast"/>
        <w:rPr>
          <w:rFonts w:ascii="宋体"/>
          <w:color w:val="auto"/>
          <w:sz w:val="22"/>
        </w:rPr>
      </w:pPr>
    </w:p>
    <w:p>
      <w:pPr>
        <w:spacing w:line="400" w:lineRule="atLeast"/>
        <w:ind w:firstLine="2992" w:firstLineChars="1342"/>
        <w:rPr>
          <w:rFonts w:ascii="宋体"/>
          <w:color w:val="auto"/>
          <w:sz w:val="22"/>
          <w:u w:val="single"/>
        </w:rPr>
      </w:pPr>
      <w:r>
        <w:rPr>
          <w:rFonts w:hint="eastAsia" w:ascii="宋体"/>
          <w:color w:val="auto"/>
          <w:sz w:val="22"/>
        </w:rPr>
        <w:t>授权代表：</w:t>
      </w:r>
      <w:r>
        <w:rPr>
          <w:rFonts w:hint="eastAsia" w:ascii="宋体"/>
          <w:color w:val="auto"/>
          <w:sz w:val="22"/>
          <w:u w:val="single"/>
        </w:rPr>
        <w:t>（签字）</w:t>
      </w:r>
      <w:r>
        <w:rPr>
          <w:rFonts w:hint="eastAsia" w:ascii="宋体"/>
          <w:color w:val="auto"/>
          <w:sz w:val="22"/>
        </w:rPr>
        <w:t>性别：</w:t>
      </w:r>
      <w:r>
        <w:rPr>
          <w:rFonts w:hint="eastAsia" w:ascii="宋体"/>
          <w:color w:val="auto"/>
          <w:sz w:val="22"/>
          <w:u w:val="single"/>
        </w:rPr>
        <w:t xml:space="preserve">        </w:t>
      </w:r>
      <w:r>
        <w:rPr>
          <w:rFonts w:hint="eastAsia" w:ascii="宋体"/>
          <w:color w:val="auto"/>
          <w:sz w:val="22"/>
        </w:rPr>
        <w:t>年龄：</w:t>
      </w:r>
      <w:r>
        <w:rPr>
          <w:rFonts w:hint="eastAsia" w:ascii="宋体"/>
          <w:color w:val="auto"/>
          <w:sz w:val="22"/>
          <w:u w:val="single"/>
        </w:rPr>
        <w:t xml:space="preserve">        </w:t>
      </w:r>
    </w:p>
    <w:p>
      <w:pPr>
        <w:spacing w:line="400" w:lineRule="atLeast"/>
        <w:ind w:firstLine="2992" w:firstLineChars="1342"/>
        <w:rPr>
          <w:rFonts w:ascii="宋体"/>
          <w:color w:val="auto"/>
          <w:sz w:val="22"/>
          <w:u w:val="single"/>
        </w:rPr>
      </w:pPr>
    </w:p>
    <w:p>
      <w:pPr>
        <w:spacing w:line="400" w:lineRule="atLeast"/>
        <w:ind w:firstLine="2992" w:firstLineChars="1342"/>
        <w:rPr>
          <w:rFonts w:ascii="宋体"/>
          <w:color w:val="auto"/>
          <w:sz w:val="22"/>
          <w:u w:val="single"/>
        </w:rPr>
      </w:pPr>
      <w:r>
        <w:rPr>
          <w:rFonts w:hint="eastAsia" w:ascii="宋体"/>
          <w:color w:val="auto"/>
          <w:sz w:val="22"/>
        </w:rPr>
        <w:t>详细通讯地址：</w:t>
      </w:r>
      <w:r>
        <w:rPr>
          <w:rFonts w:hint="eastAsia" w:ascii="宋体"/>
          <w:color w:val="auto"/>
          <w:sz w:val="22"/>
          <w:u w:val="single"/>
        </w:rPr>
        <w:t xml:space="preserve">        </w:t>
      </w:r>
      <w:r>
        <w:rPr>
          <w:rFonts w:hint="eastAsia" w:ascii="宋体"/>
          <w:color w:val="auto"/>
          <w:sz w:val="22"/>
        </w:rPr>
        <w:t>邮政编码：</w:t>
      </w:r>
      <w:r>
        <w:rPr>
          <w:rFonts w:hint="eastAsia" w:ascii="宋体"/>
          <w:color w:val="auto"/>
          <w:sz w:val="22"/>
          <w:u w:val="single"/>
        </w:rPr>
        <w:t xml:space="preserve">        </w:t>
      </w:r>
    </w:p>
    <w:p>
      <w:pPr>
        <w:spacing w:line="400" w:lineRule="atLeast"/>
        <w:ind w:firstLine="2992" w:firstLineChars="1342"/>
        <w:rPr>
          <w:rFonts w:ascii="宋体"/>
          <w:color w:val="auto"/>
          <w:sz w:val="22"/>
          <w:u w:val="single"/>
        </w:rPr>
      </w:pPr>
    </w:p>
    <w:p>
      <w:pPr>
        <w:spacing w:line="400" w:lineRule="atLeast"/>
        <w:ind w:firstLine="2992" w:firstLineChars="1342"/>
        <w:rPr>
          <w:rFonts w:ascii="宋体"/>
          <w:color w:val="auto"/>
          <w:sz w:val="22"/>
          <w:u w:val="single"/>
        </w:rPr>
      </w:pPr>
      <w:r>
        <w:rPr>
          <w:rFonts w:hint="eastAsia" w:ascii="宋体"/>
          <w:color w:val="auto"/>
          <w:sz w:val="22"/>
        </w:rPr>
        <w:t>电话：</w:t>
      </w:r>
      <w:r>
        <w:rPr>
          <w:rFonts w:hint="eastAsia" w:ascii="宋体"/>
          <w:color w:val="auto"/>
          <w:sz w:val="22"/>
          <w:u w:val="single"/>
        </w:rPr>
        <w:t xml:space="preserve">        </w:t>
      </w:r>
      <w:r>
        <w:rPr>
          <w:rFonts w:hint="eastAsia" w:ascii="宋体"/>
          <w:color w:val="auto"/>
          <w:sz w:val="22"/>
        </w:rPr>
        <w:t>传真：</w:t>
      </w:r>
      <w:r>
        <w:rPr>
          <w:rFonts w:hint="eastAsia" w:ascii="宋体"/>
          <w:color w:val="auto"/>
          <w:sz w:val="22"/>
          <w:u w:val="single"/>
        </w:rPr>
        <w:t xml:space="preserve">        </w:t>
      </w:r>
    </w:p>
    <w:p>
      <w:pPr>
        <w:spacing w:line="400" w:lineRule="atLeast"/>
        <w:ind w:left="1" w:firstLine="427" w:firstLineChars="192"/>
        <w:rPr>
          <w:rFonts w:ascii="宋体"/>
          <w:color w:val="auto"/>
          <w:sz w:val="22"/>
        </w:rPr>
      </w:pPr>
    </w:p>
    <w:p>
      <w:pPr>
        <w:spacing w:line="400" w:lineRule="atLeast"/>
        <w:ind w:left="1" w:firstLine="2985" w:firstLineChars="1339"/>
        <w:rPr>
          <w:rFonts w:ascii="宋体"/>
          <w:color w:val="auto"/>
          <w:sz w:val="22"/>
        </w:rPr>
      </w:pPr>
      <w:r>
        <w:rPr>
          <w:rFonts w:hint="eastAsia" w:ascii="宋体"/>
          <w:color w:val="auto"/>
          <w:sz w:val="22"/>
        </w:rPr>
        <w:t>供应商：</w:t>
      </w:r>
      <w:r>
        <w:rPr>
          <w:rFonts w:hint="eastAsia" w:ascii="宋体"/>
          <w:color w:val="auto"/>
          <w:sz w:val="22"/>
          <w:u w:val="single"/>
        </w:rPr>
        <w:t xml:space="preserve">（盖章）       </w:t>
      </w:r>
    </w:p>
    <w:p>
      <w:pPr>
        <w:spacing w:line="400" w:lineRule="atLeast"/>
        <w:ind w:left="1" w:firstLine="427" w:firstLineChars="192"/>
        <w:rPr>
          <w:rFonts w:ascii="宋体"/>
          <w:color w:val="auto"/>
          <w:sz w:val="22"/>
        </w:rPr>
      </w:pPr>
    </w:p>
    <w:p>
      <w:pPr>
        <w:spacing w:line="400" w:lineRule="atLeast"/>
        <w:ind w:left="2100" w:right="440"/>
        <w:jc w:val="center"/>
        <w:rPr>
          <w:rFonts w:ascii="宋体"/>
          <w:color w:val="auto"/>
          <w:sz w:val="22"/>
        </w:rPr>
      </w:pPr>
      <w:r>
        <w:rPr>
          <w:rFonts w:hint="eastAsia" w:ascii="宋体"/>
          <w:color w:val="auto"/>
          <w:sz w:val="22"/>
        </w:rPr>
        <w:t>法定代表人：</w:t>
      </w:r>
      <w:r>
        <w:rPr>
          <w:rFonts w:hint="eastAsia" w:ascii="宋体"/>
          <w:color w:val="auto"/>
          <w:sz w:val="22"/>
          <w:u w:val="single"/>
        </w:rPr>
        <w:t>（签字或盖章）</w:t>
      </w:r>
    </w:p>
    <w:p>
      <w:pPr>
        <w:spacing w:line="400" w:lineRule="atLeast"/>
        <w:ind w:left="2699"/>
        <w:rPr>
          <w:rFonts w:ascii="宋体"/>
          <w:color w:val="auto"/>
          <w:sz w:val="22"/>
        </w:rPr>
      </w:pPr>
    </w:p>
    <w:p>
      <w:pPr>
        <w:spacing w:line="400" w:lineRule="atLeast"/>
        <w:ind w:right="440" w:firstLine="3345" w:firstLineChars="1500"/>
        <w:jc w:val="center"/>
        <w:rPr>
          <w:rFonts w:ascii="宋体"/>
          <w:color w:val="auto"/>
          <w:sz w:val="22"/>
        </w:rPr>
      </w:pPr>
      <w:r>
        <w:rPr>
          <w:rFonts w:hint="eastAsia" w:ascii="宋体"/>
          <w:color w:val="auto"/>
          <w:sz w:val="22"/>
        </w:rPr>
        <w:t>授权委托日期：</w:t>
      </w:r>
      <w:r>
        <w:rPr>
          <w:rFonts w:hint="eastAsia" w:ascii="宋体"/>
          <w:color w:val="auto"/>
          <w:sz w:val="22"/>
          <w:u w:val="single"/>
        </w:rPr>
        <w:t xml:space="preserve">        年  月  日</w:t>
      </w:r>
    </w:p>
    <w:p>
      <w:pPr>
        <w:spacing w:line="360" w:lineRule="exact"/>
        <w:ind w:left="2699"/>
        <w:rPr>
          <w:rFonts w:ascii="宋体"/>
          <w:color w:val="auto"/>
          <w:sz w:val="22"/>
        </w:rPr>
      </w:pPr>
    </w:p>
    <w:tbl>
      <w:tblPr>
        <w:tblStyle w:val="2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noWrap w:val="0"/>
            <w:vAlign w:val="top"/>
          </w:tcPr>
          <w:p>
            <w:pPr>
              <w:pStyle w:val="12"/>
              <w:adjustRightInd w:val="0"/>
              <w:snapToGrid w:val="0"/>
              <w:spacing w:line="360" w:lineRule="exact"/>
              <w:jc w:val="center"/>
              <w:rPr>
                <w:rFonts w:hAnsi="宋体" w:cs="宋体"/>
                <w:b/>
                <w:bCs/>
                <w:color w:val="auto"/>
                <w:kern w:val="2"/>
                <w:sz w:val="22"/>
                <w:szCs w:val="22"/>
              </w:rPr>
            </w:pPr>
          </w:p>
          <w:p>
            <w:pPr>
              <w:pStyle w:val="12"/>
              <w:adjustRightInd w:val="0"/>
              <w:snapToGrid w:val="0"/>
              <w:spacing w:line="360" w:lineRule="exact"/>
              <w:jc w:val="center"/>
              <w:rPr>
                <w:rFonts w:hAnsi="宋体" w:cs="宋体"/>
                <w:b/>
                <w:bCs/>
                <w:color w:val="auto"/>
                <w:kern w:val="2"/>
                <w:sz w:val="22"/>
                <w:szCs w:val="22"/>
              </w:rPr>
            </w:pPr>
            <w:r>
              <w:rPr>
                <w:rFonts w:hint="eastAsia" w:hAnsi="宋体" w:cs="宋体"/>
                <w:b/>
                <w:bCs/>
                <w:color w:val="auto"/>
                <w:kern w:val="2"/>
                <w:sz w:val="22"/>
                <w:szCs w:val="22"/>
              </w:rPr>
              <w:t>粘贴法人授权代表身份证复印影印件</w:t>
            </w:r>
          </w:p>
          <w:p>
            <w:pPr>
              <w:pStyle w:val="12"/>
              <w:adjustRightInd w:val="0"/>
              <w:snapToGrid w:val="0"/>
              <w:spacing w:line="360" w:lineRule="exact"/>
              <w:jc w:val="center"/>
              <w:rPr>
                <w:rFonts w:hAnsi="宋体" w:cs="宋体"/>
                <w:b/>
                <w:bCs/>
                <w:color w:val="auto"/>
                <w:kern w:val="2"/>
                <w:sz w:val="22"/>
                <w:szCs w:val="22"/>
              </w:rPr>
            </w:pPr>
          </w:p>
        </w:tc>
      </w:tr>
    </w:tbl>
    <w:p>
      <w:pPr>
        <w:pStyle w:val="12"/>
        <w:adjustRightInd w:val="0"/>
        <w:snapToGrid w:val="0"/>
        <w:spacing w:line="360" w:lineRule="exact"/>
        <w:jc w:val="center"/>
        <w:rPr>
          <w:rFonts w:hAnsi="宋体"/>
          <w:color w:val="auto"/>
          <w:sz w:val="22"/>
          <w:lang w:val="zh-CN"/>
        </w:rPr>
      </w:pPr>
    </w:p>
    <w:p>
      <w:pPr>
        <w:pStyle w:val="12"/>
        <w:adjustRightInd w:val="0"/>
        <w:snapToGrid w:val="0"/>
        <w:spacing w:line="360" w:lineRule="exact"/>
        <w:jc w:val="center"/>
        <w:rPr>
          <w:rFonts w:hAnsi="宋体"/>
          <w:color w:val="auto"/>
          <w:sz w:val="22"/>
          <w:lang w:val="zh-CN"/>
        </w:rPr>
      </w:pPr>
    </w:p>
    <w:p>
      <w:pPr>
        <w:pStyle w:val="12"/>
        <w:adjustRightInd w:val="0"/>
        <w:snapToGrid w:val="0"/>
        <w:spacing w:line="360" w:lineRule="exact"/>
        <w:jc w:val="center"/>
        <w:rPr>
          <w:rFonts w:hAnsi="宋体"/>
          <w:color w:val="auto"/>
          <w:sz w:val="22"/>
          <w:lang w:val="zh-CN"/>
        </w:rPr>
      </w:pP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noWrap w:val="0"/>
            <w:vAlign w:val="top"/>
          </w:tcPr>
          <w:p>
            <w:pPr>
              <w:pStyle w:val="12"/>
              <w:adjustRightInd w:val="0"/>
              <w:snapToGrid w:val="0"/>
              <w:spacing w:line="360" w:lineRule="exact"/>
              <w:jc w:val="center"/>
              <w:rPr>
                <w:rFonts w:hAnsi="宋体" w:cs="宋体"/>
                <w:b/>
                <w:bCs/>
                <w:color w:val="auto"/>
                <w:kern w:val="2"/>
                <w:sz w:val="22"/>
                <w:szCs w:val="22"/>
              </w:rPr>
            </w:pPr>
          </w:p>
          <w:p>
            <w:pPr>
              <w:pStyle w:val="12"/>
              <w:adjustRightInd w:val="0"/>
              <w:snapToGrid w:val="0"/>
              <w:spacing w:line="360" w:lineRule="exact"/>
              <w:jc w:val="center"/>
              <w:rPr>
                <w:rFonts w:hAnsi="宋体" w:cs="宋体"/>
                <w:b/>
                <w:bCs/>
                <w:color w:val="auto"/>
                <w:kern w:val="2"/>
                <w:sz w:val="22"/>
                <w:szCs w:val="22"/>
              </w:rPr>
            </w:pPr>
            <w:r>
              <w:rPr>
                <w:rFonts w:hint="eastAsia" w:hAnsi="宋体" w:cs="宋体"/>
                <w:b/>
                <w:bCs/>
                <w:color w:val="auto"/>
                <w:kern w:val="2"/>
                <w:sz w:val="22"/>
                <w:szCs w:val="22"/>
              </w:rPr>
              <w:t>粘贴法人身份证复印影印件</w:t>
            </w:r>
          </w:p>
          <w:p>
            <w:pPr>
              <w:pStyle w:val="12"/>
              <w:adjustRightInd w:val="0"/>
              <w:snapToGrid w:val="0"/>
              <w:spacing w:line="360" w:lineRule="exact"/>
              <w:jc w:val="center"/>
              <w:rPr>
                <w:rFonts w:hAnsi="宋体" w:cs="宋体"/>
                <w:b/>
                <w:bCs/>
                <w:color w:val="auto"/>
                <w:kern w:val="2"/>
                <w:sz w:val="22"/>
                <w:szCs w:val="22"/>
              </w:rPr>
            </w:pPr>
          </w:p>
        </w:tc>
      </w:tr>
    </w:tbl>
    <w:p>
      <w:pPr>
        <w:spacing w:line="360" w:lineRule="exact"/>
        <w:jc w:val="left"/>
        <w:rPr>
          <w:b/>
          <w:bCs/>
          <w:color w:val="auto"/>
          <w:sz w:val="30"/>
        </w:rPr>
      </w:pPr>
    </w:p>
    <w:p>
      <w:pPr>
        <w:spacing w:line="360" w:lineRule="exact"/>
        <w:jc w:val="left"/>
        <w:rPr>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2"/>
          <w:szCs w:val="32"/>
        </w:rPr>
      </w:pPr>
    </w:p>
    <w:p>
      <w:pPr>
        <w:spacing w:line="360" w:lineRule="exact"/>
        <w:jc w:val="left"/>
        <w:rPr>
          <w:rFonts w:hint="eastAsia"/>
          <w:b/>
          <w:bCs/>
          <w:color w:val="auto"/>
          <w:sz w:val="32"/>
          <w:szCs w:val="32"/>
        </w:rPr>
      </w:pPr>
    </w:p>
    <w:p>
      <w:pPr>
        <w:spacing w:line="360" w:lineRule="exact"/>
        <w:jc w:val="left"/>
        <w:rPr>
          <w:rFonts w:hint="eastAsia" w:eastAsia="宋体"/>
          <w:b/>
          <w:bCs/>
          <w:color w:val="auto"/>
          <w:sz w:val="30"/>
          <w:lang w:eastAsia="zh-CN"/>
        </w:rPr>
      </w:pPr>
      <w:r>
        <w:rPr>
          <w:rFonts w:hint="eastAsia"/>
          <w:b/>
          <w:bCs/>
          <w:color w:val="auto"/>
          <w:sz w:val="30"/>
        </w:rPr>
        <w:t>附件</w:t>
      </w:r>
      <w:r>
        <w:rPr>
          <w:rFonts w:hint="eastAsia"/>
          <w:b/>
          <w:bCs/>
          <w:color w:val="auto"/>
          <w:sz w:val="30"/>
          <w:lang w:val="en-US" w:eastAsia="zh-CN"/>
        </w:rPr>
        <w:t>八</w:t>
      </w:r>
    </w:p>
    <w:p>
      <w:pPr>
        <w:autoSpaceDE w:val="0"/>
        <w:autoSpaceDN w:val="0"/>
        <w:adjustRightInd w:val="0"/>
        <w:spacing w:line="360" w:lineRule="exact"/>
        <w:jc w:val="center"/>
        <w:rPr>
          <w:rFonts w:hint="eastAsia" w:ascii="宋体" w:eastAsia="宋体"/>
          <w:b/>
          <w:bCs/>
          <w:color w:val="auto"/>
          <w:sz w:val="36"/>
          <w:lang w:val="zh-CN" w:eastAsia="zh-CN"/>
        </w:rPr>
      </w:pPr>
      <w:r>
        <w:rPr>
          <w:rFonts w:hint="eastAsia" w:ascii="宋体"/>
          <w:b/>
          <w:bCs/>
          <w:color w:val="auto"/>
          <w:sz w:val="36"/>
          <w:lang w:eastAsia="zh-CN"/>
        </w:rPr>
        <w:t>投标函</w:t>
      </w:r>
    </w:p>
    <w:p>
      <w:pPr>
        <w:autoSpaceDE w:val="0"/>
        <w:autoSpaceDN w:val="0"/>
        <w:adjustRightInd w:val="0"/>
        <w:spacing w:line="360" w:lineRule="exact"/>
        <w:rPr>
          <w:rFonts w:ascii="宋体"/>
          <w:color w:val="auto"/>
          <w:sz w:val="36"/>
          <w:lang w:val="zh-CN"/>
        </w:rPr>
      </w:pPr>
    </w:p>
    <w:p>
      <w:pPr>
        <w:pStyle w:val="12"/>
        <w:rPr>
          <w:rFonts w:hAnsi="宋体"/>
          <w:color w:val="auto"/>
          <w:sz w:val="22"/>
          <w:u w:val="single"/>
        </w:rPr>
      </w:pPr>
      <w:r>
        <w:rPr>
          <w:rFonts w:hint="eastAsia" w:hAnsi="宋体"/>
          <w:color w:val="auto"/>
          <w:sz w:val="22"/>
          <w:u w:val="single"/>
          <w:lang w:eastAsia="zh-CN"/>
        </w:rPr>
        <w:t>泰顺县水利局</w:t>
      </w:r>
      <w:r>
        <w:rPr>
          <w:rFonts w:hint="eastAsia" w:hAnsi="宋体"/>
          <w:color w:val="auto"/>
          <w:sz w:val="22"/>
          <w:u w:val="single"/>
        </w:rPr>
        <w:t>：</w:t>
      </w:r>
    </w:p>
    <w:p>
      <w:pPr>
        <w:autoSpaceDE w:val="0"/>
        <w:autoSpaceDN w:val="0"/>
        <w:adjustRightInd w:val="0"/>
        <w:spacing w:line="400" w:lineRule="exact"/>
        <w:ind w:firstLine="446" w:firstLineChars="200"/>
        <w:rPr>
          <w:rFonts w:ascii="宋体"/>
          <w:color w:val="auto"/>
          <w:sz w:val="22"/>
          <w:lang w:val="zh-CN"/>
        </w:rPr>
      </w:pPr>
      <w:r>
        <w:rPr>
          <w:rFonts w:hint="eastAsia" w:ascii="宋体"/>
          <w:color w:val="auto"/>
          <w:sz w:val="22"/>
          <w:u w:val="single"/>
          <w:lang w:val="zh-CN"/>
        </w:rPr>
        <w:t>（供应商全称）授权（授权代表名称）（职务、职称）</w:t>
      </w:r>
      <w:r>
        <w:rPr>
          <w:rFonts w:hint="eastAsia" w:ascii="宋体"/>
          <w:color w:val="auto"/>
          <w:sz w:val="22"/>
          <w:lang w:val="zh-CN"/>
        </w:rPr>
        <w:t>为授权代表，参加贵方组织的</w:t>
      </w:r>
      <w:r>
        <w:rPr>
          <w:rFonts w:hint="eastAsia" w:ascii="宋体"/>
          <w:color w:val="auto"/>
          <w:sz w:val="22"/>
          <w:u w:val="single"/>
          <w:lang w:eastAsia="zh-CN"/>
        </w:rPr>
        <w:t>泰顺县水利工程可视化项目</w:t>
      </w:r>
      <w:r>
        <w:rPr>
          <w:rFonts w:hint="eastAsia" w:ascii="宋体"/>
          <w:color w:val="auto"/>
          <w:sz w:val="22"/>
          <w:lang w:val="zh-CN"/>
        </w:rPr>
        <w:t>（</w:t>
      </w:r>
      <w:r>
        <w:rPr>
          <w:rFonts w:hint="eastAsia" w:ascii="宋体"/>
          <w:color w:val="auto"/>
          <w:sz w:val="22"/>
        </w:rPr>
        <w:t>采购</w:t>
      </w:r>
      <w:r>
        <w:rPr>
          <w:rFonts w:hint="eastAsia" w:ascii="宋体"/>
          <w:color w:val="auto"/>
          <w:sz w:val="22"/>
          <w:lang w:val="zh-CN"/>
        </w:rPr>
        <w:t>编号：</w:t>
      </w:r>
      <w:r>
        <w:rPr>
          <w:rFonts w:hint="eastAsia" w:ascii="宋体"/>
          <w:color w:val="auto"/>
          <w:sz w:val="22"/>
          <w:u w:val="single"/>
          <w:lang w:eastAsia="zh-CN"/>
        </w:rPr>
        <w:t>TSCG202004003</w:t>
      </w:r>
      <w:r>
        <w:rPr>
          <w:rFonts w:hint="eastAsia" w:ascii="宋体"/>
          <w:color w:val="auto"/>
          <w:sz w:val="22"/>
          <w:u w:val="single"/>
        </w:rPr>
        <w:t>）</w:t>
      </w:r>
      <w:r>
        <w:rPr>
          <w:rFonts w:hint="eastAsia" w:ascii="宋体"/>
          <w:color w:val="auto"/>
          <w:sz w:val="22"/>
          <w:lang w:val="zh-CN"/>
        </w:rPr>
        <w:t>招标的有关活动，并对</w:t>
      </w:r>
      <w:r>
        <w:rPr>
          <w:rFonts w:hint="eastAsia" w:ascii="宋体"/>
          <w:color w:val="auto"/>
          <w:sz w:val="22"/>
          <w:u w:val="single"/>
          <w:lang w:eastAsia="zh-CN"/>
        </w:rPr>
        <w:t>泰顺县水利工程可视化项目</w:t>
      </w:r>
      <w:r>
        <w:rPr>
          <w:rFonts w:hint="eastAsia" w:ascii="宋体"/>
          <w:color w:val="auto"/>
          <w:sz w:val="22"/>
          <w:lang w:val="zh-CN"/>
        </w:rPr>
        <w:t>进行投标。为此：</w:t>
      </w:r>
    </w:p>
    <w:p>
      <w:pPr>
        <w:autoSpaceDE w:val="0"/>
        <w:autoSpaceDN w:val="0"/>
        <w:adjustRightInd w:val="0"/>
        <w:spacing w:line="400" w:lineRule="exact"/>
        <w:ind w:firstLine="446" w:firstLineChars="200"/>
        <w:rPr>
          <w:rFonts w:hint="eastAsia" w:ascii="宋体"/>
          <w:color w:val="auto"/>
          <w:sz w:val="22"/>
          <w:lang w:val="zh-CN"/>
        </w:rPr>
      </w:pPr>
      <w:r>
        <w:rPr>
          <w:rFonts w:hint="eastAsia" w:ascii="宋体"/>
          <w:color w:val="auto"/>
          <w:sz w:val="22"/>
          <w:lang w:val="zh-CN"/>
        </w:rPr>
        <w:t>1、提供供应商须知规定的全部投标文件：</w:t>
      </w:r>
    </w:p>
    <w:p>
      <w:pPr>
        <w:autoSpaceDE w:val="0"/>
        <w:autoSpaceDN w:val="0"/>
        <w:adjustRightInd w:val="0"/>
        <w:spacing w:line="400" w:lineRule="exact"/>
        <w:ind w:firstLine="446" w:firstLineChars="200"/>
        <w:rPr>
          <w:rFonts w:hint="eastAsia" w:ascii="宋体"/>
          <w:color w:val="auto"/>
          <w:sz w:val="22"/>
          <w:lang w:val="zh-CN"/>
        </w:rPr>
      </w:pPr>
      <w:r>
        <w:rPr>
          <w:rFonts w:hint="eastAsia" w:ascii="宋体"/>
          <w:color w:val="auto"/>
          <w:sz w:val="22"/>
          <w:lang w:val="zh-CN"/>
        </w:rPr>
        <w:t>（</w:t>
      </w:r>
      <w:r>
        <w:rPr>
          <w:rFonts w:hint="eastAsia" w:ascii="宋体"/>
          <w:color w:val="auto"/>
          <w:sz w:val="22"/>
        </w:rPr>
        <w:t>1</w:t>
      </w:r>
      <w:r>
        <w:rPr>
          <w:rFonts w:hint="eastAsia" w:ascii="宋体"/>
          <w:color w:val="auto"/>
          <w:sz w:val="22"/>
          <w:lang w:val="zh-CN"/>
        </w:rPr>
        <w:t>）“电子加密投标文件”：在线上传递交。（2）“备份投标文件”：密封包装后投标截止时间前递交、一份。</w:t>
      </w:r>
    </w:p>
    <w:p>
      <w:pPr>
        <w:autoSpaceDE w:val="0"/>
        <w:autoSpaceDN w:val="0"/>
        <w:adjustRightInd w:val="0"/>
        <w:spacing w:line="400" w:lineRule="exact"/>
        <w:ind w:firstLine="446" w:firstLineChars="200"/>
        <w:rPr>
          <w:rFonts w:hint="eastAsia" w:ascii="宋体"/>
          <w:color w:val="auto"/>
          <w:sz w:val="22"/>
          <w:lang w:val="zh-CN"/>
        </w:rPr>
      </w:pPr>
      <w:r>
        <w:rPr>
          <w:rFonts w:hint="eastAsia" w:ascii="宋体"/>
          <w:color w:val="auto"/>
          <w:sz w:val="22"/>
          <w:lang w:val="zh-CN"/>
        </w:rPr>
        <w:t>2、保证遵守招标文件规范要求中的有关规定和收费标准。</w:t>
      </w:r>
    </w:p>
    <w:p>
      <w:pPr>
        <w:autoSpaceDE w:val="0"/>
        <w:autoSpaceDN w:val="0"/>
        <w:adjustRightInd w:val="0"/>
        <w:spacing w:line="440" w:lineRule="atLeast"/>
        <w:ind w:firstLine="448" w:firstLineChars="201"/>
        <w:rPr>
          <w:rFonts w:ascii="宋体"/>
          <w:color w:val="auto"/>
          <w:sz w:val="22"/>
          <w:lang w:val="zh-CN"/>
        </w:rPr>
      </w:pPr>
      <w:r>
        <w:rPr>
          <w:rFonts w:ascii="宋体"/>
          <w:color w:val="auto"/>
          <w:sz w:val="22"/>
          <w:lang w:val="zh-CN"/>
        </w:rPr>
        <w:t>3</w:t>
      </w:r>
      <w:r>
        <w:rPr>
          <w:rFonts w:hint="eastAsia" w:ascii="宋体"/>
          <w:color w:val="auto"/>
          <w:sz w:val="22"/>
          <w:lang w:val="zh-CN"/>
        </w:rPr>
        <w:t>、保证忠实地执行采购人、</w:t>
      </w:r>
      <w:r>
        <w:rPr>
          <w:rFonts w:hint="eastAsia" w:ascii="宋体" w:cs="??_GB2312"/>
          <w:color w:val="auto"/>
          <w:sz w:val="22"/>
          <w:lang w:val="zh-CN"/>
        </w:rPr>
        <w:t>中标（成交）供应商</w:t>
      </w:r>
      <w:r>
        <w:rPr>
          <w:rFonts w:hint="eastAsia" w:ascii="宋体"/>
          <w:color w:val="auto"/>
          <w:sz w:val="22"/>
          <w:lang w:val="zh-CN"/>
        </w:rPr>
        <w:t>双方所签的合同，并承担合同规定的责任义务。</w:t>
      </w:r>
    </w:p>
    <w:p>
      <w:pPr>
        <w:pStyle w:val="12"/>
        <w:snapToGrid w:val="0"/>
        <w:spacing w:line="410" w:lineRule="atLeast"/>
        <w:ind w:firstLine="446" w:firstLineChars="200"/>
        <w:rPr>
          <w:rFonts w:hAnsi="宋体"/>
          <w:color w:val="auto"/>
          <w:sz w:val="22"/>
        </w:rPr>
      </w:pPr>
      <w:r>
        <w:rPr>
          <w:rFonts w:cs="??_GB2312"/>
          <w:color w:val="auto"/>
          <w:sz w:val="22"/>
          <w:lang w:val="zh-CN"/>
        </w:rPr>
        <w:t>4</w:t>
      </w:r>
      <w:r>
        <w:rPr>
          <w:rFonts w:hint="eastAsia" w:cs="??_GB2312"/>
          <w:color w:val="auto"/>
          <w:sz w:val="22"/>
          <w:lang w:val="zh-CN"/>
        </w:rPr>
        <w:t>、</w:t>
      </w:r>
      <w:r>
        <w:rPr>
          <w:rFonts w:hint="eastAsia"/>
          <w:color w:val="auto"/>
          <w:sz w:val="22"/>
          <w:lang w:val="zh-CN"/>
        </w:rPr>
        <w:t>我方对完工期承诺如下：</w:t>
      </w:r>
      <w:r>
        <w:rPr>
          <w:rFonts w:hint="eastAsia" w:hAnsi="宋体"/>
          <w:color w:val="auto"/>
          <w:sz w:val="22"/>
        </w:rPr>
        <w:t>▲按</w:t>
      </w:r>
      <w:r>
        <w:rPr>
          <w:rFonts w:hint="eastAsia" w:hAnsi="宋体"/>
          <w:color w:val="auto"/>
          <w:sz w:val="22"/>
          <w:lang w:eastAsia="zh-CN"/>
        </w:rPr>
        <w:t>招标文件规范要求</w:t>
      </w:r>
      <w:r>
        <w:rPr>
          <w:rFonts w:hint="eastAsia" w:hAnsi="宋体"/>
          <w:color w:val="auto"/>
          <w:sz w:val="22"/>
        </w:rPr>
        <w:t>规定期限交货并通过采购人验收，逾期采购人有权拒绝供货。</w:t>
      </w:r>
    </w:p>
    <w:p>
      <w:pPr>
        <w:autoSpaceDE w:val="0"/>
        <w:autoSpaceDN w:val="0"/>
        <w:adjustRightInd w:val="0"/>
        <w:spacing w:line="440" w:lineRule="atLeast"/>
        <w:ind w:firstLine="450"/>
        <w:rPr>
          <w:rFonts w:ascii="宋体"/>
          <w:color w:val="auto"/>
          <w:sz w:val="22"/>
          <w:lang w:val="zh-CN"/>
        </w:rPr>
      </w:pPr>
      <w:r>
        <w:rPr>
          <w:rFonts w:ascii="宋体"/>
          <w:color w:val="auto"/>
          <w:sz w:val="22"/>
          <w:lang w:val="zh-CN"/>
        </w:rPr>
        <w:t>5</w:t>
      </w:r>
      <w:r>
        <w:rPr>
          <w:rFonts w:hint="eastAsia" w:ascii="宋体"/>
          <w:color w:val="auto"/>
          <w:sz w:val="22"/>
          <w:lang w:val="zh-CN"/>
        </w:rPr>
        <w:t>、供应商已详细审查全部招标文件规范要求，包括招标文件规范要求补充文件（如果有的话）。我方完全理解并同意放弃对这方面有不明及误解的权力。如果招标文件规范要求有相互矛盾之处，我方同意按采购人的理解处理。</w:t>
      </w:r>
    </w:p>
    <w:p>
      <w:pPr>
        <w:spacing w:line="340" w:lineRule="exact"/>
        <w:ind w:firstLine="448" w:firstLineChars="201"/>
        <w:rPr>
          <w:rFonts w:ascii="宋体"/>
          <w:color w:val="auto"/>
          <w:sz w:val="22"/>
        </w:rPr>
      </w:pPr>
      <w:r>
        <w:rPr>
          <w:rFonts w:ascii="宋体"/>
          <w:color w:val="auto"/>
          <w:sz w:val="22"/>
        </w:rPr>
        <w:t>6</w:t>
      </w:r>
      <w:r>
        <w:rPr>
          <w:rFonts w:hint="eastAsia" w:ascii="宋体"/>
          <w:color w:val="auto"/>
          <w:sz w:val="22"/>
        </w:rPr>
        <w:t>、利益冲突：近三年内直至目前，我公司与本项目的采购人、招标代理机构没有任何的隶属关系。</w:t>
      </w:r>
    </w:p>
    <w:p>
      <w:pPr>
        <w:autoSpaceDE w:val="0"/>
        <w:autoSpaceDN w:val="0"/>
        <w:adjustRightInd w:val="0"/>
        <w:spacing w:line="440" w:lineRule="atLeast"/>
        <w:ind w:firstLine="448" w:firstLineChars="201"/>
        <w:rPr>
          <w:rFonts w:ascii="宋体"/>
          <w:color w:val="auto"/>
          <w:sz w:val="22"/>
          <w:lang w:val="zh-CN"/>
        </w:rPr>
      </w:pPr>
      <w:r>
        <w:rPr>
          <w:rFonts w:ascii="宋体"/>
          <w:color w:val="auto"/>
          <w:sz w:val="22"/>
        </w:rPr>
        <w:t>7</w:t>
      </w:r>
      <w:r>
        <w:rPr>
          <w:rFonts w:hint="eastAsia" w:ascii="宋体"/>
          <w:color w:val="auto"/>
          <w:sz w:val="22"/>
        </w:rPr>
        <w:t>、我公司没有被各级、各地财政监管部门限制参加政府采购活动，且在限制期内。</w:t>
      </w:r>
    </w:p>
    <w:p>
      <w:pPr>
        <w:autoSpaceDE w:val="0"/>
        <w:autoSpaceDN w:val="0"/>
        <w:adjustRightInd w:val="0"/>
        <w:spacing w:line="440" w:lineRule="atLeast"/>
        <w:ind w:firstLine="448" w:firstLineChars="201"/>
        <w:rPr>
          <w:rFonts w:ascii="宋体"/>
          <w:color w:val="auto"/>
          <w:sz w:val="22"/>
          <w:lang w:val="zh-CN"/>
        </w:rPr>
      </w:pPr>
      <w:r>
        <w:rPr>
          <w:rFonts w:ascii="宋体"/>
          <w:color w:val="auto"/>
          <w:sz w:val="22"/>
          <w:lang w:val="zh-CN"/>
        </w:rPr>
        <w:t>8</w:t>
      </w:r>
      <w:r>
        <w:rPr>
          <w:rFonts w:hint="eastAsia" w:ascii="宋体"/>
          <w:color w:val="auto"/>
          <w:sz w:val="22"/>
          <w:lang w:val="zh-CN"/>
        </w:rPr>
        <w:t>、愿意向贵方提供任何与该项投标有关的数据、情况和技术资料，完全理解贵方不一定接受最低价的投标或收到的任何投标。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8" w:firstLineChars="201"/>
        <w:rPr>
          <w:rFonts w:ascii="宋体"/>
          <w:color w:val="auto"/>
          <w:sz w:val="22"/>
          <w:lang w:val="zh-CN"/>
        </w:rPr>
      </w:pPr>
      <w:r>
        <w:rPr>
          <w:rFonts w:ascii="宋体"/>
          <w:color w:val="auto"/>
          <w:sz w:val="22"/>
          <w:lang w:val="zh-CN"/>
        </w:rPr>
        <w:t>9</w:t>
      </w:r>
      <w:r>
        <w:rPr>
          <w:rFonts w:hint="eastAsia" w:ascii="宋体"/>
          <w:color w:val="auto"/>
          <w:sz w:val="22"/>
          <w:lang w:val="zh-CN"/>
        </w:rPr>
        <w:t>、本投标自开标之日起</w:t>
      </w:r>
      <w:r>
        <w:rPr>
          <w:rFonts w:ascii="宋体"/>
          <w:color w:val="auto"/>
          <w:sz w:val="22"/>
          <w:lang w:val="zh-CN"/>
        </w:rPr>
        <w:t>90</w:t>
      </w:r>
      <w:r>
        <w:rPr>
          <w:rFonts w:hint="eastAsia" w:ascii="宋体"/>
          <w:color w:val="auto"/>
          <w:sz w:val="22"/>
          <w:lang w:val="zh-CN"/>
        </w:rPr>
        <w:t>天内有效。</w:t>
      </w:r>
    </w:p>
    <w:p>
      <w:pPr>
        <w:autoSpaceDE w:val="0"/>
        <w:autoSpaceDN w:val="0"/>
        <w:adjustRightInd w:val="0"/>
        <w:spacing w:line="440" w:lineRule="atLeast"/>
        <w:ind w:firstLine="448" w:firstLineChars="201"/>
        <w:rPr>
          <w:rFonts w:ascii="宋体"/>
          <w:color w:val="auto"/>
          <w:sz w:val="22"/>
          <w:lang w:val="zh-CN"/>
        </w:rPr>
      </w:pPr>
      <w:r>
        <w:rPr>
          <w:rFonts w:ascii="宋体"/>
          <w:color w:val="auto"/>
          <w:sz w:val="22"/>
          <w:lang w:val="zh-CN"/>
        </w:rPr>
        <w:t>10</w:t>
      </w:r>
      <w:r>
        <w:rPr>
          <w:rFonts w:hint="eastAsia" w:ascii="宋体"/>
          <w:color w:val="auto"/>
          <w:sz w:val="22"/>
          <w:lang w:val="zh-CN"/>
        </w:rPr>
        <w:t>、与本投标有关的一切往来通讯请寄：</w:t>
      </w:r>
    </w:p>
    <w:p>
      <w:pPr>
        <w:autoSpaceDE w:val="0"/>
        <w:autoSpaceDN w:val="0"/>
        <w:adjustRightInd w:val="0"/>
        <w:spacing w:line="440" w:lineRule="atLeast"/>
        <w:ind w:firstLine="448" w:firstLineChars="201"/>
        <w:rPr>
          <w:rFonts w:ascii="宋体"/>
          <w:color w:val="auto"/>
          <w:sz w:val="22"/>
          <w:u w:val="single"/>
        </w:rPr>
      </w:pPr>
      <w:r>
        <w:rPr>
          <w:rFonts w:hint="eastAsia" w:ascii="宋体"/>
          <w:color w:val="auto"/>
          <w:sz w:val="22"/>
          <w:lang w:val="zh-CN"/>
        </w:rPr>
        <w:t>地址：</w:t>
      </w:r>
      <w:r>
        <w:rPr>
          <w:rFonts w:hint="eastAsia" w:ascii="宋体"/>
          <w:color w:val="auto"/>
          <w:sz w:val="22"/>
          <w:u w:val="single"/>
        </w:rPr>
        <w:t xml:space="preserve">                     </w:t>
      </w:r>
      <w:r>
        <w:rPr>
          <w:rFonts w:hint="eastAsia" w:ascii="宋体"/>
          <w:color w:val="auto"/>
          <w:sz w:val="22"/>
          <w:lang w:val="zh-CN"/>
        </w:rPr>
        <w:t>邮编：</w:t>
      </w:r>
      <w:r>
        <w:rPr>
          <w:rFonts w:hint="eastAsia" w:ascii="宋体"/>
          <w:color w:val="auto"/>
          <w:sz w:val="22"/>
          <w:u w:val="single"/>
        </w:rPr>
        <w:t xml:space="preserve">                     </w:t>
      </w:r>
    </w:p>
    <w:p>
      <w:pPr>
        <w:autoSpaceDE w:val="0"/>
        <w:autoSpaceDN w:val="0"/>
        <w:adjustRightInd w:val="0"/>
        <w:spacing w:line="440" w:lineRule="atLeast"/>
        <w:ind w:firstLine="448" w:firstLineChars="201"/>
        <w:rPr>
          <w:rFonts w:ascii="宋体"/>
          <w:color w:val="auto"/>
          <w:sz w:val="22"/>
          <w:lang w:val="zh-CN"/>
        </w:rPr>
      </w:pPr>
      <w:r>
        <w:rPr>
          <w:rFonts w:hint="eastAsia" w:ascii="宋体"/>
          <w:color w:val="auto"/>
          <w:sz w:val="22"/>
          <w:lang w:val="zh-CN"/>
        </w:rPr>
        <w:t>电话：</w:t>
      </w:r>
      <w:r>
        <w:rPr>
          <w:rFonts w:hint="eastAsia" w:ascii="宋体"/>
          <w:color w:val="auto"/>
          <w:sz w:val="22"/>
          <w:u w:val="single"/>
        </w:rPr>
        <w:t xml:space="preserve">                     </w:t>
      </w:r>
      <w:r>
        <w:rPr>
          <w:rFonts w:hint="eastAsia" w:ascii="宋体"/>
          <w:color w:val="auto"/>
          <w:sz w:val="22"/>
          <w:lang w:val="zh-CN"/>
        </w:rPr>
        <w:t>传真：</w:t>
      </w:r>
      <w:r>
        <w:rPr>
          <w:rFonts w:hint="eastAsia" w:ascii="宋体"/>
          <w:color w:val="auto"/>
          <w:sz w:val="22"/>
          <w:u w:val="single"/>
        </w:rPr>
        <w:t xml:space="preserve">                     </w:t>
      </w:r>
    </w:p>
    <w:p>
      <w:pPr>
        <w:pStyle w:val="12"/>
        <w:spacing w:line="440" w:lineRule="atLeast"/>
        <w:rPr>
          <w:rFonts w:hAnsi="宋体"/>
          <w:b/>
          <w:color w:val="auto"/>
          <w:sz w:val="22"/>
        </w:rPr>
      </w:pPr>
      <w:r>
        <w:rPr>
          <w:rFonts w:hint="eastAsia" w:hAnsi="宋体"/>
          <w:color w:val="auto"/>
          <w:sz w:val="22"/>
        </w:rPr>
        <w:t>供应商全称：（盖章）</w:t>
      </w:r>
    </w:p>
    <w:p>
      <w:pPr>
        <w:pStyle w:val="12"/>
        <w:spacing w:line="440" w:lineRule="atLeast"/>
        <w:rPr>
          <w:rFonts w:hAnsi="宋体"/>
          <w:b/>
          <w:color w:val="auto"/>
          <w:sz w:val="22"/>
          <w:lang w:val="zh-CN"/>
        </w:rPr>
      </w:pPr>
      <w:r>
        <w:rPr>
          <w:rFonts w:hint="eastAsia" w:hAnsi="宋体"/>
          <w:color w:val="auto"/>
          <w:sz w:val="22"/>
        </w:rPr>
        <w:t>法定代表人（签字或盖章）或</w:t>
      </w:r>
      <w:r>
        <w:rPr>
          <w:rFonts w:hint="eastAsia" w:hAnsi="宋体"/>
          <w:color w:val="auto"/>
          <w:sz w:val="22"/>
          <w:lang w:val="zh-CN"/>
        </w:rPr>
        <w:t>授权代表（签字）：</w:t>
      </w:r>
    </w:p>
    <w:p>
      <w:pPr>
        <w:pStyle w:val="12"/>
        <w:spacing w:line="440" w:lineRule="atLeast"/>
        <w:rPr>
          <w:rFonts w:hAnsi="宋体"/>
          <w:b/>
          <w:color w:val="auto"/>
          <w:sz w:val="22"/>
          <w:lang w:val="zh-CN"/>
        </w:rPr>
      </w:pPr>
      <w:r>
        <w:rPr>
          <w:rFonts w:hint="eastAsia" w:hAnsi="宋体"/>
          <w:color w:val="auto"/>
          <w:sz w:val="22"/>
        </w:rPr>
        <w:t>日期：</w:t>
      </w:r>
    </w:p>
    <w:p>
      <w:pPr>
        <w:spacing w:line="360" w:lineRule="exact"/>
        <w:jc w:val="left"/>
        <w:rPr>
          <w:rFonts w:ascii="宋体"/>
          <w:color w:val="auto"/>
          <w:sz w:val="22"/>
        </w:rPr>
      </w:pPr>
    </w:p>
    <w:p>
      <w:pPr>
        <w:spacing w:line="360" w:lineRule="exact"/>
        <w:jc w:val="left"/>
        <w:rPr>
          <w:rFonts w:ascii="宋体"/>
          <w:color w:val="auto"/>
          <w:sz w:val="22"/>
        </w:rPr>
      </w:pPr>
    </w:p>
    <w:p>
      <w:pPr>
        <w:spacing w:line="360" w:lineRule="exact"/>
        <w:jc w:val="left"/>
        <w:rPr>
          <w:rFonts w:hint="eastAsia" w:ascii="宋体" w:eastAsia="宋体"/>
          <w:color w:val="auto"/>
          <w:sz w:val="22"/>
          <w:lang w:val="en-US" w:eastAsia="zh-CN"/>
        </w:rPr>
      </w:pPr>
      <w:r>
        <w:rPr>
          <w:rFonts w:hint="eastAsia"/>
          <w:b/>
          <w:bCs/>
          <w:color w:val="auto"/>
          <w:sz w:val="30"/>
        </w:rPr>
        <w:t>附件</w:t>
      </w:r>
      <w:r>
        <w:rPr>
          <w:rFonts w:hint="eastAsia"/>
          <w:b/>
          <w:bCs/>
          <w:color w:val="auto"/>
          <w:sz w:val="30"/>
          <w:lang w:val="en-US" w:eastAsia="zh-CN"/>
        </w:rPr>
        <w:t>九</w:t>
      </w:r>
    </w:p>
    <w:p>
      <w:pPr>
        <w:spacing w:line="360" w:lineRule="exact"/>
        <w:jc w:val="center"/>
        <w:rPr>
          <w:rFonts w:hint="eastAsia"/>
          <w:b/>
          <w:bCs/>
          <w:color w:val="auto"/>
          <w:sz w:val="30"/>
          <w:lang w:val="zh-CN"/>
        </w:rPr>
      </w:pPr>
      <w:bookmarkStart w:id="168" w:name="_Toc15399_WPSOffice_Level3"/>
      <w:r>
        <w:rPr>
          <w:rFonts w:hint="eastAsia"/>
          <w:b/>
          <w:bCs/>
          <w:color w:val="auto"/>
          <w:sz w:val="30"/>
          <w:lang w:val="zh-CN"/>
        </w:rPr>
        <w:t>供应商参与政府采购活动投标资格声明函</w:t>
      </w:r>
      <w:bookmarkEnd w:id="168"/>
    </w:p>
    <w:tbl>
      <w:tblPr>
        <w:tblStyle w:val="21"/>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2"/>
              <w:adjustRightInd w:val="0"/>
              <w:snapToGrid w:val="0"/>
              <w:spacing w:line="400" w:lineRule="exact"/>
              <w:rPr>
                <w:rFonts w:hAnsi="宋体" w:cs="宋体"/>
                <w:color w:val="auto"/>
                <w:kern w:val="2"/>
                <w:sz w:val="22"/>
                <w:szCs w:val="22"/>
              </w:rPr>
            </w:pPr>
            <w:r>
              <w:rPr>
                <w:rFonts w:hint="eastAsia" w:hAnsi="宋体" w:cs="宋体"/>
                <w:color w:val="auto"/>
                <w:kern w:val="2"/>
                <w:sz w:val="22"/>
                <w:szCs w:val="22"/>
              </w:rPr>
              <w:t>项目名称</w:t>
            </w:r>
          </w:p>
        </w:tc>
        <w:tc>
          <w:tcPr>
            <w:tcW w:w="7992" w:type="dxa"/>
            <w:noWrap w:val="0"/>
            <w:vAlign w:val="top"/>
          </w:tcPr>
          <w:p>
            <w:pPr>
              <w:pStyle w:val="12"/>
              <w:adjustRightInd w:val="0"/>
              <w:snapToGrid w:val="0"/>
              <w:spacing w:line="400" w:lineRule="exact"/>
              <w:jc w:val="center"/>
              <w:rPr>
                <w:rFonts w:hint="eastAsia" w:hAnsi="宋体" w:eastAsia="宋体" w:cs="宋体"/>
                <w:color w:val="auto"/>
                <w:kern w:val="2"/>
                <w:sz w:val="22"/>
                <w:szCs w:val="22"/>
                <w:lang w:eastAsia="zh-CN"/>
              </w:rPr>
            </w:pPr>
            <w:r>
              <w:rPr>
                <w:rFonts w:hint="eastAsia" w:hAnsi="宋体" w:cs="宋体"/>
                <w:color w:val="auto"/>
                <w:kern w:val="2"/>
                <w:sz w:val="22"/>
                <w:szCs w:val="22"/>
                <w:lang w:eastAsia="zh-CN"/>
              </w:rPr>
              <w:t>泰顺县水利工程可视化项目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2"/>
              <w:adjustRightInd w:val="0"/>
              <w:snapToGrid w:val="0"/>
              <w:spacing w:line="400" w:lineRule="exact"/>
              <w:rPr>
                <w:rFonts w:hAnsi="宋体" w:cs="宋体"/>
                <w:color w:val="auto"/>
                <w:kern w:val="2"/>
                <w:sz w:val="22"/>
                <w:szCs w:val="22"/>
              </w:rPr>
            </w:pPr>
            <w:r>
              <w:rPr>
                <w:rFonts w:hint="eastAsia" w:hAnsi="宋体" w:cs="宋体"/>
                <w:color w:val="auto"/>
                <w:kern w:val="2"/>
                <w:sz w:val="22"/>
                <w:szCs w:val="22"/>
              </w:rPr>
              <w:t>项目采购编号</w:t>
            </w:r>
          </w:p>
        </w:tc>
        <w:tc>
          <w:tcPr>
            <w:tcW w:w="7992" w:type="dxa"/>
            <w:noWrap w:val="0"/>
            <w:vAlign w:val="top"/>
          </w:tcPr>
          <w:p>
            <w:pPr>
              <w:pStyle w:val="12"/>
              <w:adjustRightInd w:val="0"/>
              <w:snapToGrid w:val="0"/>
              <w:spacing w:line="400" w:lineRule="exact"/>
              <w:jc w:val="center"/>
              <w:rPr>
                <w:rFonts w:hint="eastAsia" w:hAnsi="宋体" w:eastAsia="宋体" w:cs="宋体"/>
                <w:color w:val="auto"/>
                <w:kern w:val="2"/>
                <w:sz w:val="22"/>
                <w:szCs w:val="22"/>
                <w:lang w:eastAsia="zh-CN"/>
              </w:rPr>
            </w:pPr>
            <w:r>
              <w:rPr>
                <w:rFonts w:hint="eastAsia" w:hAnsi="宋体" w:cs="宋体"/>
                <w:color w:val="auto"/>
                <w:kern w:val="2"/>
                <w:sz w:val="22"/>
                <w:szCs w:val="22"/>
                <w:lang w:eastAsia="zh-CN"/>
              </w:rPr>
              <w:t>TSCG202004003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2"/>
              <w:adjustRightInd w:val="0"/>
              <w:snapToGrid w:val="0"/>
              <w:spacing w:line="400" w:lineRule="exact"/>
              <w:rPr>
                <w:rFonts w:hAnsi="宋体" w:cs="宋体"/>
                <w:color w:val="auto"/>
                <w:kern w:val="2"/>
                <w:sz w:val="22"/>
                <w:szCs w:val="22"/>
              </w:rPr>
            </w:pPr>
            <w:r>
              <w:rPr>
                <w:rFonts w:hint="eastAsia" w:hAnsi="宋体" w:cs="宋体"/>
                <w:color w:val="auto"/>
                <w:kern w:val="2"/>
                <w:sz w:val="22"/>
                <w:szCs w:val="22"/>
              </w:rPr>
              <w:t>时间</w:t>
            </w:r>
          </w:p>
        </w:tc>
        <w:tc>
          <w:tcPr>
            <w:tcW w:w="7992" w:type="dxa"/>
            <w:noWrap w:val="0"/>
            <w:vAlign w:val="top"/>
          </w:tcPr>
          <w:p>
            <w:pPr>
              <w:pStyle w:val="12"/>
              <w:adjustRightInd w:val="0"/>
              <w:snapToGrid w:val="0"/>
              <w:spacing w:line="400" w:lineRule="exact"/>
              <w:jc w:val="center"/>
              <w:rPr>
                <w:rFonts w:hint="eastAsia" w:hAnsi="宋体" w:eastAsia="宋体" w:cs="宋体"/>
                <w:color w:val="auto"/>
                <w:kern w:val="2"/>
                <w:sz w:val="22"/>
                <w:szCs w:val="22"/>
                <w:lang w:eastAsia="zh-CN"/>
              </w:rPr>
            </w:pPr>
            <w:r>
              <w:rPr>
                <w:rFonts w:hint="eastAsia" w:hAnsi="宋体" w:cs="宋体"/>
                <w:color w:val="auto"/>
                <w:kern w:val="2"/>
                <w:sz w:val="22"/>
                <w:szCs w:val="22"/>
                <w:lang w:val="en-US" w:eastAsia="zh-CN"/>
              </w:rPr>
              <w:t>本项目</w:t>
            </w:r>
            <w:r>
              <w:rPr>
                <w:rFonts w:hint="eastAsia" w:hAnsi="宋体" w:cs="宋体"/>
                <w:color w:val="auto"/>
                <w:kern w:val="2"/>
                <w:sz w:val="22"/>
                <w:szCs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12"/>
              <w:adjustRightInd w:val="0"/>
              <w:snapToGrid w:val="0"/>
              <w:spacing w:line="400" w:lineRule="exact"/>
              <w:ind w:firstLine="450"/>
              <w:rPr>
                <w:rFonts w:hAnsi="宋体" w:cs="宋体"/>
                <w:color w:val="auto"/>
                <w:kern w:val="2"/>
              </w:rPr>
            </w:pPr>
            <w:r>
              <w:rPr>
                <w:rFonts w:hAnsi="宋体" w:cs="宋体"/>
                <w:color w:val="auto"/>
                <w:kern w:val="2"/>
              </w:rPr>
              <w:t>1</w:t>
            </w:r>
            <w:r>
              <w:rPr>
                <w:rFonts w:hint="eastAsia" w:hAnsi="宋体" w:cs="宋体"/>
                <w:color w:val="auto"/>
                <w:kern w:val="2"/>
              </w:rPr>
              <w:t>、根据政府采购法第二十二条规定，我单位满足以下条件，并已经在技术资信部分</w:t>
            </w:r>
            <w:r>
              <w:rPr>
                <w:rFonts w:hint="eastAsia" w:hAnsi="宋体" w:cs="宋体"/>
                <w:color w:val="auto"/>
                <w:kern w:val="2"/>
                <w:lang w:eastAsia="zh-CN"/>
              </w:rPr>
              <w:t>投标文件</w:t>
            </w:r>
            <w:r>
              <w:rPr>
                <w:rFonts w:hint="eastAsia" w:hAnsi="宋体" w:cs="宋体"/>
                <w:color w:val="auto"/>
                <w:kern w:val="2"/>
              </w:rPr>
              <w:t>中提供了相应的证明材料：</w:t>
            </w:r>
          </w:p>
          <w:p>
            <w:pPr>
              <w:pStyle w:val="12"/>
              <w:adjustRightInd w:val="0"/>
              <w:snapToGrid w:val="0"/>
              <w:spacing w:line="400" w:lineRule="exact"/>
              <w:ind w:firstLine="450"/>
              <w:rPr>
                <w:rFonts w:hAnsi="宋体" w:cs="宋体"/>
                <w:color w:val="auto"/>
                <w:kern w:val="2"/>
              </w:rPr>
            </w:pPr>
            <w:r>
              <w:rPr>
                <w:rFonts w:hint="eastAsia" w:hAnsi="宋体" w:cs="宋体"/>
                <w:color w:val="auto"/>
                <w:kern w:val="2"/>
              </w:rPr>
              <w:t>（一）具有独立承担民事责任的能力；</w:t>
            </w:r>
            <w:r>
              <w:rPr>
                <w:rFonts w:hAnsi="宋体" w:cs="宋体"/>
                <w:color w:val="auto"/>
                <w:kern w:val="2"/>
              </w:rPr>
              <w:br w:type="textWrapping"/>
            </w:r>
            <w:r>
              <w:rPr>
                <w:rFonts w:hint="eastAsia" w:hAnsi="宋体" w:cs="宋体"/>
                <w:color w:val="auto"/>
                <w:kern w:val="2"/>
              </w:rPr>
              <w:t>　　（二）具有良好的商业信誉和健全的财务会计制度；</w:t>
            </w:r>
            <w:r>
              <w:rPr>
                <w:rFonts w:hAnsi="宋体" w:cs="宋体"/>
                <w:color w:val="auto"/>
                <w:kern w:val="2"/>
              </w:rPr>
              <w:br w:type="textWrapping"/>
            </w:r>
            <w:r>
              <w:rPr>
                <w:rFonts w:hint="eastAsia" w:hAnsi="宋体" w:cs="宋体"/>
                <w:color w:val="auto"/>
                <w:kern w:val="2"/>
              </w:rPr>
              <w:t>　　（三）具有履行合同所必需的设备和专业技术能力；</w:t>
            </w:r>
            <w:r>
              <w:rPr>
                <w:rFonts w:hAnsi="宋体" w:cs="宋体"/>
                <w:color w:val="auto"/>
                <w:kern w:val="2"/>
              </w:rPr>
              <w:br w:type="textWrapping"/>
            </w:r>
            <w:r>
              <w:rPr>
                <w:rFonts w:hint="eastAsia" w:hAnsi="宋体" w:cs="宋体"/>
                <w:color w:val="auto"/>
                <w:kern w:val="2"/>
              </w:rPr>
              <w:t>　　（四）有依法缴纳税收和社会保障资金的良好记录；</w:t>
            </w:r>
            <w:r>
              <w:rPr>
                <w:rFonts w:hAnsi="宋体" w:cs="宋体"/>
                <w:color w:val="auto"/>
                <w:kern w:val="2"/>
              </w:rPr>
              <w:br w:type="textWrapping"/>
            </w:r>
            <w:r>
              <w:rPr>
                <w:rFonts w:hint="eastAsia" w:hAnsi="宋体" w:cs="宋体"/>
                <w:color w:val="auto"/>
                <w:kern w:val="2"/>
              </w:rPr>
              <w:t>　　（五）参加政府采购活动前三年内，在经营活动中没有重大违法记录；</w:t>
            </w:r>
            <w:r>
              <w:rPr>
                <w:rFonts w:hAnsi="宋体" w:cs="宋体"/>
                <w:color w:val="auto"/>
                <w:kern w:val="2"/>
              </w:rPr>
              <w:br w:type="textWrapping"/>
            </w:r>
            <w:r>
              <w:rPr>
                <w:rFonts w:hint="eastAsia" w:hAnsi="宋体" w:cs="宋体"/>
                <w:color w:val="auto"/>
                <w:kern w:val="2"/>
              </w:rPr>
              <w:t>　　（六）法律、行政法规规定的其他条件。</w:t>
            </w:r>
          </w:p>
          <w:p>
            <w:pPr>
              <w:pStyle w:val="12"/>
              <w:adjustRightInd w:val="0"/>
              <w:snapToGrid w:val="0"/>
              <w:spacing w:line="400" w:lineRule="exact"/>
              <w:ind w:firstLine="450"/>
              <w:rPr>
                <w:rFonts w:hAnsi="宋体" w:cs="宋体"/>
                <w:color w:val="auto"/>
                <w:kern w:val="2"/>
              </w:rPr>
            </w:pPr>
            <w:r>
              <w:rPr>
                <w:rFonts w:hAnsi="宋体" w:cs="宋体"/>
                <w:color w:val="auto"/>
                <w:kern w:val="2"/>
              </w:rPr>
              <w:t>2</w:t>
            </w:r>
            <w:r>
              <w:rPr>
                <w:rFonts w:hint="eastAsia" w:hAnsi="宋体" w:cs="宋体"/>
                <w:color w:val="auto"/>
                <w:kern w:val="2"/>
              </w:rPr>
              <w:t>、根据财政部与有关部门联合签署了《关于对重大税收违法案件当事人实施联合惩戒措施的合作备忘录》</w:t>
            </w:r>
            <w:r>
              <w:rPr>
                <w:rFonts w:hAnsi="宋体" w:cs="宋体"/>
                <w:color w:val="auto"/>
                <w:kern w:val="2"/>
              </w:rPr>
              <w:t>(</w:t>
            </w:r>
            <w:r>
              <w:rPr>
                <w:rFonts w:hint="eastAsia" w:hAnsi="宋体" w:cs="宋体"/>
                <w:color w:val="auto"/>
                <w:kern w:val="2"/>
              </w:rPr>
              <w:t>发改财金〔</w:t>
            </w:r>
            <w:r>
              <w:rPr>
                <w:rFonts w:hAnsi="宋体" w:cs="宋体"/>
                <w:color w:val="auto"/>
                <w:kern w:val="2"/>
              </w:rPr>
              <w:t>2014</w:t>
            </w:r>
            <w:r>
              <w:rPr>
                <w:rFonts w:hint="eastAsia" w:hAnsi="宋体" w:cs="宋体"/>
                <w:color w:val="auto"/>
                <w:kern w:val="2"/>
              </w:rPr>
              <w:t>〕</w:t>
            </w:r>
            <w:r>
              <w:rPr>
                <w:rFonts w:hAnsi="宋体" w:cs="宋体"/>
                <w:color w:val="auto"/>
                <w:kern w:val="2"/>
              </w:rPr>
              <w:t>3062</w:t>
            </w:r>
            <w:r>
              <w:rPr>
                <w:rFonts w:hint="eastAsia" w:hAnsi="宋体" w:cs="宋体"/>
                <w:color w:val="auto"/>
                <w:kern w:val="2"/>
              </w:rPr>
              <w:t>号</w:t>
            </w:r>
            <w:r>
              <w:rPr>
                <w:rFonts w:hAnsi="宋体" w:cs="宋体"/>
                <w:color w:val="auto"/>
                <w:kern w:val="2"/>
              </w:rPr>
              <w:t>)</w:t>
            </w:r>
            <w:r>
              <w:rPr>
                <w:rFonts w:hint="eastAsia" w:hAnsi="宋体" w:cs="宋体"/>
                <w:color w:val="auto"/>
                <w:kern w:val="2"/>
              </w:rPr>
              <w:t>、《失信企业协同监管和联合惩戒合作备忘录》</w:t>
            </w:r>
            <w:r>
              <w:rPr>
                <w:rFonts w:hAnsi="宋体" w:cs="宋体"/>
                <w:color w:val="auto"/>
                <w:kern w:val="2"/>
              </w:rPr>
              <w:t>(</w:t>
            </w:r>
            <w:r>
              <w:rPr>
                <w:rFonts w:hint="eastAsia" w:hAnsi="宋体" w:cs="宋体"/>
                <w:color w:val="auto"/>
                <w:kern w:val="2"/>
              </w:rPr>
              <w:t>发改财金〔</w:t>
            </w:r>
            <w:r>
              <w:rPr>
                <w:rFonts w:hAnsi="宋体" w:cs="宋体"/>
                <w:color w:val="auto"/>
                <w:kern w:val="2"/>
              </w:rPr>
              <w:t>2015</w:t>
            </w:r>
            <w:r>
              <w:rPr>
                <w:rFonts w:hint="eastAsia" w:hAnsi="宋体" w:cs="宋体"/>
                <w:color w:val="auto"/>
                <w:kern w:val="2"/>
              </w:rPr>
              <w:t>〕</w:t>
            </w:r>
            <w:r>
              <w:rPr>
                <w:rFonts w:hAnsi="宋体" w:cs="宋体"/>
                <w:color w:val="auto"/>
                <w:kern w:val="2"/>
              </w:rPr>
              <w:t>2045</w:t>
            </w:r>
            <w:r>
              <w:rPr>
                <w:rFonts w:hint="eastAsia" w:hAnsi="宋体" w:cs="宋体"/>
                <w:color w:val="auto"/>
                <w:kern w:val="2"/>
              </w:rPr>
              <w:t>号</w:t>
            </w:r>
            <w:r>
              <w:rPr>
                <w:rFonts w:hAnsi="宋体" w:cs="宋体"/>
                <w:color w:val="auto"/>
                <w:kern w:val="2"/>
              </w:rPr>
              <w:t>)</w:t>
            </w:r>
            <w:r>
              <w:rPr>
                <w:rFonts w:hint="eastAsia" w:hAnsi="宋体" w:cs="宋体"/>
                <w:color w:val="auto"/>
                <w:kern w:val="2"/>
              </w:rPr>
              <w:t>、《关于对违法失信上市公司相关责任主体实施联合惩戒的合作备忘录》</w:t>
            </w:r>
            <w:r>
              <w:rPr>
                <w:rFonts w:hAnsi="宋体" w:cs="宋体"/>
                <w:color w:val="auto"/>
                <w:kern w:val="2"/>
              </w:rPr>
              <w:t>(</w:t>
            </w:r>
            <w:r>
              <w:rPr>
                <w:rFonts w:hint="eastAsia" w:hAnsi="宋体" w:cs="宋体"/>
                <w:color w:val="auto"/>
                <w:kern w:val="2"/>
              </w:rPr>
              <w:t>发改财金〔</w:t>
            </w:r>
            <w:r>
              <w:rPr>
                <w:rFonts w:hAnsi="宋体" w:cs="宋体"/>
                <w:color w:val="auto"/>
                <w:kern w:val="2"/>
              </w:rPr>
              <w:t>2015</w:t>
            </w:r>
            <w:r>
              <w:rPr>
                <w:rFonts w:hint="eastAsia" w:hAnsi="宋体" w:cs="宋体"/>
                <w:color w:val="auto"/>
                <w:kern w:val="2"/>
              </w:rPr>
              <w:t>〕</w:t>
            </w:r>
            <w:r>
              <w:rPr>
                <w:rFonts w:hAnsi="宋体" w:cs="宋体"/>
                <w:color w:val="auto"/>
                <w:kern w:val="2"/>
              </w:rPr>
              <w:t>3062</w:t>
            </w:r>
            <w:r>
              <w:rPr>
                <w:rFonts w:hint="eastAsia" w:hAnsi="宋体" w:cs="宋体"/>
                <w:color w:val="auto"/>
                <w:kern w:val="2"/>
              </w:rPr>
              <w:t>号</w:t>
            </w:r>
            <w:r>
              <w:rPr>
                <w:rFonts w:hAnsi="宋体" w:cs="宋体"/>
                <w:color w:val="auto"/>
                <w:kern w:val="2"/>
              </w:rPr>
              <w:t>)</w:t>
            </w:r>
            <w:r>
              <w:rPr>
                <w:rFonts w:hint="eastAsia" w:hAnsi="宋体" w:cs="宋体"/>
                <w:color w:val="auto"/>
                <w:kern w:val="2"/>
              </w:rPr>
              <w:t>、《关于对失信被执行人实施联合惩戒的合作备忘录》</w:t>
            </w:r>
            <w:r>
              <w:rPr>
                <w:rFonts w:hAnsi="宋体" w:cs="宋体"/>
                <w:color w:val="auto"/>
                <w:kern w:val="2"/>
              </w:rPr>
              <w:t>(</w:t>
            </w:r>
            <w:r>
              <w:rPr>
                <w:rFonts w:hint="eastAsia" w:hAnsi="宋体" w:cs="宋体"/>
                <w:color w:val="auto"/>
                <w:kern w:val="2"/>
              </w:rPr>
              <w:t>发改财金〔</w:t>
            </w:r>
            <w:r>
              <w:rPr>
                <w:rFonts w:hAnsi="宋体" w:cs="宋体"/>
                <w:color w:val="auto"/>
                <w:kern w:val="2"/>
              </w:rPr>
              <w:t>2016</w:t>
            </w:r>
            <w:r>
              <w:rPr>
                <w:rFonts w:hint="eastAsia" w:hAnsi="宋体" w:cs="宋体"/>
                <w:color w:val="auto"/>
                <w:kern w:val="2"/>
              </w:rPr>
              <w:t>〕</w:t>
            </w:r>
            <w:r>
              <w:rPr>
                <w:rFonts w:hAnsi="宋体" w:cs="宋体"/>
                <w:color w:val="auto"/>
                <w:kern w:val="2"/>
              </w:rPr>
              <w:t>141</w:t>
            </w:r>
            <w:r>
              <w:rPr>
                <w:rFonts w:hint="eastAsia" w:hAnsi="宋体" w:cs="宋体"/>
                <w:color w:val="auto"/>
                <w:kern w:val="2"/>
              </w:rPr>
              <w:t>号</w:t>
            </w:r>
            <w:r>
              <w:rPr>
                <w:rFonts w:hAnsi="宋体" w:cs="宋体"/>
                <w:color w:val="auto"/>
                <w:kern w:val="2"/>
              </w:rPr>
              <w:t>)</w:t>
            </w:r>
            <w:r>
              <w:rPr>
                <w:rFonts w:hint="eastAsia" w:hAnsi="宋体" w:cs="宋体"/>
                <w:color w:val="auto"/>
                <w:kern w:val="2"/>
              </w:rPr>
              <w:t>、《关于对安全生产领域失信生产经营单位及其有关人员开展联合惩戒的合作备忘录》</w:t>
            </w:r>
            <w:r>
              <w:rPr>
                <w:rFonts w:hAnsi="宋体" w:cs="宋体"/>
                <w:color w:val="auto"/>
                <w:kern w:val="2"/>
              </w:rPr>
              <w:t>(</w:t>
            </w:r>
            <w:r>
              <w:rPr>
                <w:rFonts w:hint="eastAsia" w:hAnsi="宋体" w:cs="宋体"/>
                <w:color w:val="auto"/>
                <w:kern w:val="2"/>
              </w:rPr>
              <w:t>发改财金〔</w:t>
            </w:r>
            <w:r>
              <w:rPr>
                <w:rFonts w:hAnsi="宋体" w:cs="宋体"/>
                <w:color w:val="auto"/>
                <w:kern w:val="2"/>
              </w:rPr>
              <w:t>2016</w:t>
            </w:r>
            <w:r>
              <w:rPr>
                <w:rFonts w:hint="eastAsia" w:hAnsi="宋体" w:cs="宋体"/>
                <w:color w:val="auto"/>
                <w:kern w:val="2"/>
              </w:rPr>
              <w:t>〕</w:t>
            </w:r>
            <w:r>
              <w:rPr>
                <w:rFonts w:hAnsi="宋体" w:cs="宋体"/>
                <w:color w:val="auto"/>
                <w:kern w:val="2"/>
              </w:rPr>
              <w:t>1001</w:t>
            </w:r>
            <w:r>
              <w:rPr>
                <w:rFonts w:hint="eastAsia" w:hAnsi="宋体" w:cs="宋体"/>
                <w:color w:val="auto"/>
                <w:kern w:val="2"/>
              </w:rPr>
              <w:t>号</w:t>
            </w:r>
            <w:r>
              <w:rPr>
                <w:rFonts w:hAnsi="宋体" w:cs="宋体"/>
                <w:color w:val="auto"/>
                <w:kern w:val="2"/>
              </w:rPr>
              <w:t>)</w:t>
            </w:r>
            <w:r>
              <w:rPr>
                <w:rFonts w:hint="eastAsia" w:hAnsi="宋体" w:cs="宋体"/>
                <w:color w:val="auto"/>
                <w:kern w:val="2"/>
              </w:rPr>
              <w:t>，依法限制相关失信主体参与政府采购活动。我单位不存在上述文件规定依法限制参与政府采购的情况，并提供“信用中国”、“中国政府采购网”查询网页截图（公告发布之日至投标截止时间）。</w:t>
            </w:r>
          </w:p>
          <w:p>
            <w:pPr>
              <w:pStyle w:val="12"/>
              <w:adjustRightInd w:val="0"/>
              <w:snapToGrid w:val="0"/>
              <w:spacing w:line="400" w:lineRule="exact"/>
              <w:ind w:firstLine="450"/>
              <w:rPr>
                <w:rFonts w:eastAsia="Times New Roman" w:cs="宋体"/>
                <w:color w:val="auto"/>
                <w:kern w:val="2"/>
              </w:rPr>
            </w:pPr>
            <w:r>
              <w:rPr>
                <w:rFonts w:hAnsi="宋体" w:cs="宋体"/>
                <w:color w:val="auto"/>
                <w:kern w:val="2"/>
              </w:rPr>
              <w:t>3</w:t>
            </w:r>
            <w:r>
              <w:rPr>
                <w:rFonts w:hint="eastAsia" w:hAnsi="宋体" w:cs="宋体"/>
                <w:color w:val="auto"/>
                <w:kern w:val="2"/>
              </w:rPr>
              <w:t>、我单位没有</w:t>
            </w:r>
            <w:r>
              <w:rPr>
                <w:rFonts w:hint="eastAsia" w:cs="宋体"/>
                <w:color w:val="auto"/>
                <w:kern w:val="2"/>
              </w:rPr>
              <w:t>被各地、各级财政部门限制参加政府采购活动，且在限制期内：</w:t>
            </w:r>
          </w:p>
          <w:p>
            <w:pPr>
              <w:tabs>
                <w:tab w:val="center" w:pos="4483"/>
              </w:tabs>
              <w:adjustRightInd w:val="0"/>
              <w:spacing w:line="360" w:lineRule="auto"/>
              <w:ind w:firstLine="400"/>
              <w:rPr>
                <w:rFonts w:ascii="宋体"/>
                <w:color w:val="auto"/>
                <w:szCs w:val="21"/>
              </w:rPr>
            </w:pPr>
            <w:r>
              <w:rPr>
                <w:rFonts w:ascii="宋体"/>
                <w:color w:val="auto"/>
                <w:szCs w:val="21"/>
              </w:rPr>
              <w:t>4</w:t>
            </w:r>
            <w:r>
              <w:rPr>
                <w:rFonts w:hint="eastAsia" w:ascii="宋体"/>
                <w:color w:val="auto"/>
                <w:szCs w:val="21"/>
              </w:rPr>
              <w:t>、我单位参与本项目政府采购活动</w:t>
            </w:r>
            <w:r>
              <w:rPr>
                <w:rFonts w:ascii="宋体"/>
                <w:color w:val="auto"/>
                <w:szCs w:val="21"/>
              </w:rPr>
              <w:t>3</w:t>
            </w:r>
            <w:r>
              <w:rPr>
                <w:rFonts w:hint="eastAsia" w:ascii="宋体"/>
                <w:color w:val="auto"/>
                <w:szCs w:val="21"/>
              </w:rPr>
              <w:t>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color w:val="auto"/>
                <w:szCs w:val="21"/>
                <w:u w:val="single"/>
              </w:rPr>
            </w:pPr>
          </w:p>
          <w:p>
            <w:pPr>
              <w:tabs>
                <w:tab w:val="center" w:pos="4483"/>
              </w:tabs>
              <w:adjustRightInd w:val="0"/>
              <w:spacing w:line="360" w:lineRule="auto"/>
              <w:ind w:firstLine="400"/>
              <w:rPr>
                <w:rFonts w:ascii="宋体"/>
                <w:color w:val="auto"/>
                <w:szCs w:val="21"/>
                <w:u w:val="none"/>
              </w:rPr>
            </w:pPr>
            <w:r>
              <w:rPr>
                <w:rFonts w:ascii="宋体"/>
                <w:color w:val="auto"/>
                <w:szCs w:val="21"/>
                <w:u w:val="none"/>
              </w:rPr>
              <w:t>5</w:t>
            </w:r>
            <w:r>
              <w:rPr>
                <w:rFonts w:hint="eastAsia" w:ascii="宋体"/>
                <w:color w:val="auto"/>
                <w:szCs w:val="21"/>
                <w:u w:val="none"/>
              </w:rPr>
              <w:t>、我单位符合本项目特定资格条件：</w:t>
            </w:r>
            <w:r>
              <w:rPr>
                <w:rFonts w:hint="eastAsia" w:ascii="宋体"/>
                <w:color w:val="auto"/>
                <w:szCs w:val="21"/>
                <w:u w:val="single"/>
                <w:lang w:val="en-US" w:eastAsia="zh-CN"/>
              </w:rPr>
              <w:t xml:space="preserve">   </w:t>
            </w:r>
            <w:r>
              <w:rPr>
                <w:rFonts w:hint="eastAsia" w:ascii="宋体"/>
                <w:color w:val="auto"/>
                <w:szCs w:val="21"/>
                <w:u w:val="none"/>
              </w:rPr>
              <w:t>的要求，并在</w:t>
            </w:r>
            <w:r>
              <w:rPr>
                <w:rFonts w:hint="eastAsia"/>
                <w:color w:val="auto"/>
                <w:szCs w:val="21"/>
                <w:u w:val="none"/>
              </w:rPr>
              <w:t>技术资信部分</w:t>
            </w:r>
            <w:r>
              <w:rPr>
                <w:rFonts w:hint="eastAsia"/>
                <w:color w:val="auto"/>
                <w:szCs w:val="21"/>
                <w:u w:val="none"/>
                <w:lang w:eastAsia="zh-CN"/>
              </w:rPr>
              <w:t>投标文件</w:t>
            </w:r>
            <w:r>
              <w:rPr>
                <w:rFonts w:hint="eastAsia"/>
                <w:color w:val="auto"/>
                <w:szCs w:val="21"/>
                <w:u w:val="none"/>
              </w:rPr>
              <w:t>中提供了相应的证明材料</w:t>
            </w:r>
            <w:r>
              <w:rPr>
                <w:rFonts w:hint="eastAsia" w:ascii="宋体"/>
                <w:color w:val="auto"/>
                <w:szCs w:val="21"/>
                <w:u w:val="none"/>
              </w:rPr>
              <w:t>（</w:t>
            </w:r>
            <w:r>
              <w:rPr>
                <w:rFonts w:hint="eastAsia" w:ascii="宋体"/>
                <w:color w:val="auto"/>
                <w:szCs w:val="21"/>
                <w:u w:val="none"/>
                <w:lang w:eastAsia="zh-CN"/>
              </w:rPr>
              <w:t>招标文件规范要求</w:t>
            </w:r>
            <w:r>
              <w:rPr>
                <w:rFonts w:hint="eastAsia" w:ascii="宋体"/>
                <w:color w:val="auto"/>
                <w:szCs w:val="21"/>
                <w:u w:val="none"/>
              </w:rPr>
              <w:t>没有要求特定资格条件的，本条款空格处可以空白）</w:t>
            </w:r>
          </w:p>
          <w:p>
            <w:pPr>
              <w:tabs>
                <w:tab w:val="center" w:pos="4483"/>
              </w:tabs>
              <w:adjustRightInd w:val="0"/>
              <w:spacing w:line="360" w:lineRule="auto"/>
              <w:ind w:firstLine="426" w:firstLineChars="200"/>
              <w:rPr>
                <w:rFonts w:ascii="宋体"/>
                <w:color w:val="auto"/>
                <w:sz w:val="20"/>
              </w:rPr>
            </w:pPr>
            <w:r>
              <w:rPr>
                <w:rFonts w:hint="eastAsia" w:ascii="宋体"/>
                <w:color w:val="auto"/>
                <w:szCs w:val="21"/>
                <w:u w:val="non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12"/>
              <w:adjustRightInd w:val="0"/>
              <w:snapToGrid w:val="0"/>
              <w:spacing w:line="400" w:lineRule="exact"/>
              <w:ind w:left="422" w:firstLine="331"/>
              <w:rPr>
                <w:rFonts w:hint="eastAsia" w:hAnsi="宋体" w:cs="宋体"/>
                <w:color w:val="auto"/>
                <w:kern w:val="2"/>
                <w:sz w:val="22"/>
                <w:szCs w:val="22"/>
              </w:rPr>
            </w:pPr>
            <w:r>
              <w:rPr>
                <w:rFonts w:hint="eastAsia" w:hAnsi="宋体" w:cs="宋体"/>
                <w:color w:val="auto"/>
                <w:kern w:val="2"/>
                <w:sz w:val="22"/>
                <w:szCs w:val="22"/>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12"/>
              <w:adjustRightInd w:val="0"/>
              <w:snapToGrid w:val="0"/>
              <w:spacing w:line="400" w:lineRule="exact"/>
              <w:ind w:left="422" w:firstLine="331"/>
              <w:rPr>
                <w:rFonts w:hint="eastAsia" w:hAnsi="宋体" w:cs="宋体"/>
                <w:color w:val="auto"/>
                <w:kern w:val="2"/>
                <w:sz w:val="22"/>
                <w:szCs w:val="22"/>
              </w:rPr>
            </w:pPr>
            <w:r>
              <w:rPr>
                <w:rFonts w:hint="eastAsia" w:hAnsi="宋体" w:cs="宋体"/>
                <w:color w:val="auto"/>
                <w:kern w:val="2"/>
                <w:sz w:val="22"/>
                <w:szCs w:val="22"/>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12"/>
              <w:adjustRightInd w:val="0"/>
              <w:snapToGrid w:val="0"/>
              <w:spacing w:line="400" w:lineRule="exact"/>
              <w:ind w:left="422" w:firstLine="331"/>
              <w:rPr>
                <w:rFonts w:hint="eastAsia" w:hAnsi="宋体" w:cs="宋体"/>
                <w:color w:val="auto"/>
                <w:kern w:val="2"/>
                <w:sz w:val="22"/>
                <w:szCs w:val="22"/>
              </w:rPr>
            </w:pPr>
            <w:r>
              <w:rPr>
                <w:rFonts w:hint="eastAsia" w:hAnsi="宋体" w:cs="宋体"/>
                <w:color w:val="auto"/>
                <w:kern w:val="2"/>
                <w:sz w:val="22"/>
                <w:szCs w:val="22"/>
              </w:rPr>
              <w:t>签署日期：</w:t>
            </w:r>
          </w:p>
        </w:tc>
      </w:tr>
    </w:tbl>
    <w:p>
      <w:pPr>
        <w:spacing w:line="360" w:lineRule="exact"/>
        <w:jc w:val="left"/>
        <w:rPr>
          <w:rFonts w:ascii="宋体"/>
          <w:bCs/>
          <w:color w:val="auto"/>
          <w:sz w:val="22"/>
          <w:u w:val="single"/>
        </w:rPr>
      </w:pPr>
    </w:p>
    <w:p>
      <w:pPr>
        <w:spacing w:line="360" w:lineRule="exact"/>
        <w:jc w:val="left"/>
        <w:rPr>
          <w:rFonts w:ascii="宋体"/>
          <w:bCs/>
          <w:color w:val="auto"/>
          <w:sz w:val="22"/>
          <w:u w:val="single"/>
        </w:rPr>
      </w:pPr>
      <w:r>
        <w:rPr>
          <w:rFonts w:hint="eastAsia" w:ascii="宋体"/>
          <w:bCs/>
          <w:color w:val="auto"/>
          <w:sz w:val="22"/>
          <w:u w:val="single"/>
        </w:rPr>
        <w:t>备注：</w:t>
      </w:r>
      <w:r>
        <w:rPr>
          <w:rFonts w:hint="eastAsia" w:ascii="仿宋" w:hAnsi="仿宋" w:eastAsia="仿宋"/>
          <w:bCs/>
          <w:color w:val="auto"/>
          <w:sz w:val="22"/>
          <w:u w:val="single"/>
        </w:rPr>
        <w:t>▲</w:t>
      </w:r>
      <w:r>
        <w:rPr>
          <w:rFonts w:hint="eastAsia" w:ascii="宋体"/>
          <w:bCs/>
          <w:color w:val="auto"/>
          <w:sz w:val="22"/>
          <w:u w:val="single"/>
        </w:rPr>
        <w:t>投标供应商必须按要求提供本声明，不提供按无效投标处理。</w:t>
      </w:r>
    </w:p>
    <w:p>
      <w:pPr>
        <w:spacing w:line="360" w:lineRule="exact"/>
        <w:jc w:val="left"/>
        <w:rPr>
          <w:rFonts w:hint="eastAsia"/>
          <w:b/>
          <w:bCs/>
          <w:color w:val="auto"/>
          <w:sz w:val="32"/>
          <w:szCs w:val="32"/>
        </w:rPr>
      </w:pPr>
    </w:p>
    <w:p>
      <w:pPr>
        <w:spacing w:line="360" w:lineRule="exact"/>
        <w:jc w:val="left"/>
        <w:rPr>
          <w:rFonts w:hint="eastAsia" w:ascii="宋体"/>
          <w:b/>
          <w:bCs/>
          <w:color w:val="auto"/>
          <w:sz w:val="32"/>
          <w:szCs w:val="32"/>
        </w:rPr>
      </w:pPr>
      <w:r>
        <w:rPr>
          <w:rFonts w:hint="eastAsia"/>
          <w:b/>
          <w:bCs/>
          <w:color w:val="auto"/>
          <w:sz w:val="32"/>
          <w:szCs w:val="32"/>
        </w:rPr>
        <w:t>附件十</w:t>
      </w:r>
    </w:p>
    <w:p>
      <w:pPr>
        <w:jc w:val="center"/>
        <w:rPr>
          <w:rFonts w:ascii="宋体"/>
          <w:b/>
          <w:bCs/>
          <w:color w:val="auto"/>
          <w:sz w:val="32"/>
          <w:szCs w:val="32"/>
        </w:rPr>
      </w:pPr>
      <w:bookmarkStart w:id="169" w:name="_Toc7010_WPSOffice_Level3"/>
      <w:r>
        <w:rPr>
          <w:rFonts w:hint="eastAsia" w:ascii="宋体"/>
          <w:b/>
          <w:bCs/>
          <w:color w:val="auto"/>
          <w:sz w:val="32"/>
          <w:szCs w:val="32"/>
        </w:rPr>
        <w:t>法定代表人诚信投标承诺书</w:t>
      </w:r>
      <w:bookmarkEnd w:id="169"/>
    </w:p>
    <w:p>
      <w:pPr>
        <w:spacing w:line="360" w:lineRule="auto"/>
        <w:jc w:val="left"/>
        <w:rPr>
          <w:rFonts w:ascii="宋体"/>
          <w:color w:val="auto"/>
          <w:sz w:val="24"/>
        </w:rPr>
      </w:pPr>
    </w:p>
    <w:p>
      <w:pPr>
        <w:spacing w:line="460" w:lineRule="atLeast"/>
        <w:jc w:val="left"/>
        <w:rPr>
          <w:rFonts w:ascii="宋体"/>
          <w:color w:val="auto"/>
          <w:sz w:val="22"/>
        </w:rPr>
      </w:pPr>
      <w:r>
        <w:rPr>
          <w:rFonts w:hint="eastAsia" w:ascii="宋体"/>
          <w:color w:val="auto"/>
          <w:sz w:val="22"/>
        </w:rPr>
        <w:t>本人以企业法定代表人的身份郑重承诺：</w:t>
      </w:r>
    </w:p>
    <w:p>
      <w:pPr>
        <w:spacing w:line="460" w:lineRule="atLeast"/>
        <w:ind w:firstLine="446" w:firstLineChars="200"/>
        <w:jc w:val="left"/>
        <w:rPr>
          <w:rFonts w:ascii="宋体"/>
          <w:color w:val="auto"/>
          <w:sz w:val="22"/>
        </w:rPr>
      </w:pPr>
      <w:r>
        <w:rPr>
          <w:rFonts w:hint="eastAsia" w:ascii="宋体"/>
          <w:color w:val="auto"/>
          <w:sz w:val="22"/>
        </w:rPr>
        <w:t>将遵循公开、公平、公正和诚信信用的原则参加</w:t>
      </w:r>
      <w:r>
        <w:rPr>
          <w:rFonts w:hint="eastAsia" w:hAnsi="宋体"/>
          <w:color w:val="auto"/>
          <w:sz w:val="22"/>
          <w:u w:val="single"/>
          <w:lang w:eastAsia="zh-CN"/>
        </w:rPr>
        <w:t>泰顺县水利工程可视化项目</w:t>
      </w:r>
      <w:r>
        <w:rPr>
          <w:rFonts w:hint="eastAsia" w:ascii="宋体" w:cs="楷体_GB2312"/>
          <w:color w:val="auto"/>
          <w:sz w:val="22"/>
          <w:u w:val="single"/>
        </w:rPr>
        <w:t>（采购编号：</w:t>
      </w:r>
      <w:r>
        <w:rPr>
          <w:rFonts w:hint="eastAsia" w:ascii="宋体" w:cs="楷体_GB2312"/>
          <w:color w:val="auto"/>
          <w:sz w:val="22"/>
          <w:u w:val="single"/>
          <w:lang w:eastAsia="zh-CN"/>
        </w:rPr>
        <w:t>TSCG202004003</w:t>
      </w:r>
      <w:r>
        <w:rPr>
          <w:rFonts w:hint="eastAsia" w:ascii="宋体" w:cs="楷体_GB2312"/>
          <w:color w:val="auto"/>
          <w:sz w:val="22"/>
          <w:u w:val="single"/>
        </w:rPr>
        <w:t>）</w:t>
      </w:r>
      <w:r>
        <w:rPr>
          <w:rFonts w:hint="eastAsia" w:ascii="宋体"/>
          <w:color w:val="auto"/>
          <w:sz w:val="22"/>
        </w:rPr>
        <w:t>的投标；</w:t>
      </w:r>
    </w:p>
    <w:p>
      <w:pPr>
        <w:spacing w:line="460" w:lineRule="atLeast"/>
        <w:ind w:firstLine="446" w:firstLineChars="200"/>
        <w:jc w:val="left"/>
        <w:rPr>
          <w:rFonts w:ascii="宋体"/>
          <w:color w:val="auto"/>
          <w:sz w:val="22"/>
          <w:u w:val="single"/>
        </w:rPr>
      </w:pPr>
      <w:r>
        <w:rPr>
          <w:rFonts w:hint="eastAsia" w:ascii="宋体"/>
          <w:color w:val="auto"/>
          <w:sz w:val="22"/>
        </w:rPr>
        <w:t>一、杜绝以收取管理费等形式的一切挂靠、违法转包、分包行为；并选派有丰富经验、无不良行为记录的在项目管理人员、技术人员，严格按</w:t>
      </w:r>
      <w:r>
        <w:rPr>
          <w:rFonts w:hint="eastAsia" w:ascii="宋体"/>
          <w:color w:val="auto"/>
          <w:sz w:val="22"/>
          <w:lang w:eastAsia="zh-CN"/>
        </w:rPr>
        <w:t>招标文件规范要求</w:t>
      </w:r>
      <w:r>
        <w:rPr>
          <w:rFonts w:hint="eastAsia" w:ascii="宋体"/>
          <w:color w:val="auto"/>
          <w:sz w:val="22"/>
        </w:rPr>
        <w:t>、</w:t>
      </w:r>
      <w:r>
        <w:rPr>
          <w:rFonts w:hint="eastAsia" w:ascii="宋体"/>
          <w:color w:val="auto"/>
          <w:sz w:val="22"/>
          <w:lang w:eastAsia="zh-CN"/>
        </w:rPr>
        <w:t>投标文件</w:t>
      </w:r>
      <w:r>
        <w:rPr>
          <w:rFonts w:hint="eastAsia" w:ascii="宋体"/>
          <w:color w:val="auto"/>
          <w:sz w:val="22"/>
        </w:rPr>
        <w:t>及合同等要求保证拟派人员的到岗率。</w:t>
      </w:r>
    </w:p>
    <w:p>
      <w:pPr>
        <w:spacing w:line="460" w:lineRule="atLeast"/>
        <w:ind w:firstLine="446" w:firstLineChars="200"/>
        <w:jc w:val="left"/>
        <w:rPr>
          <w:rFonts w:ascii="宋体"/>
          <w:color w:val="auto"/>
          <w:sz w:val="22"/>
        </w:rPr>
      </w:pPr>
      <w:r>
        <w:rPr>
          <w:rFonts w:hint="eastAsia" w:ascii="宋体"/>
          <w:color w:val="auto"/>
          <w:sz w:val="22"/>
        </w:rPr>
        <w:t>二、</w:t>
      </w:r>
      <w:r>
        <w:rPr>
          <w:rFonts w:hint="eastAsia" w:ascii="宋体"/>
          <w:color w:val="auto"/>
          <w:sz w:val="22"/>
          <w:lang w:eastAsia="zh-CN"/>
        </w:rPr>
        <w:t>投标文件</w:t>
      </w:r>
      <w:r>
        <w:rPr>
          <w:rFonts w:hint="eastAsia" w:ascii="宋体"/>
          <w:color w:val="auto"/>
          <w:sz w:val="22"/>
        </w:rPr>
        <w:t>所提供的一切材料都是真实、有效、合法的。</w:t>
      </w:r>
    </w:p>
    <w:p>
      <w:pPr>
        <w:spacing w:line="460" w:lineRule="atLeast"/>
        <w:ind w:firstLine="446" w:firstLineChars="200"/>
        <w:jc w:val="left"/>
        <w:rPr>
          <w:rFonts w:ascii="宋体"/>
          <w:color w:val="auto"/>
          <w:sz w:val="22"/>
        </w:rPr>
      </w:pPr>
      <w:r>
        <w:rPr>
          <w:rFonts w:hint="eastAsia" w:ascii="宋体"/>
          <w:color w:val="auto"/>
          <w:sz w:val="22"/>
        </w:rPr>
        <w:t>三、不与其他投标人相互串通投标报价，不排挤其他投标人的公平竞争，不损害招标人或其他投标人的合法权益。</w:t>
      </w:r>
    </w:p>
    <w:p>
      <w:pPr>
        <w:spacing w:line="460" w:lineRule="atLeast"/>
        <w:ind w:firstLine="446" w:firstLineChars="200"/>
        <w:jc w:val="left"/>
        <w:rPr>
          <w:rFonts w:ascii="宋体"/>
          <w:color w:val="auto"/>
          <w:sz w:val="22"/>
        </w:rPr>
      </w:pPr>
      <w:r>
        <w:rPr>
          <w:rFonts w:hint="eastAsia" w:ascii="宋体"/>
          <w:color w:val="auto"/>
          <w:sz w:val="22"/>
        </w:rPr>
        <w:t>四、不与采购人或招标代理机构串通投标，不损害国家利益，社会公共利益或其他人的合法权益。</w:t>
      </w:r>
    </w:p>
    <w:p>
      <w:pPr>
        <w:spacing w:line="460" w:lineRule="atLeast"/>
        <w:ind w:firstLine="446" w:firstLineChars="200"/>
        <w:jc w:val="left"/>
        <w:rPr>
          <w:rFonts w:ascii="宋体"/>
          <w:color w:val="auto"/>
          <w:sz w:val="22"/>
        </w:rPr>
      </w:pPr>
      <w:r>
        <w:rPr>
          <w:rFonts w:hint="eastAsia" w:ascii="宋体"/>
          <w:color w:val="auto"/>
          <w:sz w:val="22"/>
        </w:rPr>
        <w:t>五、不向采购人或者评审小组成员行贿以牟取中标(成交)。</w:t>
      </w:r>
    </w:p>
    <w:p>
      <w:pPr>
        <w:spacing w:line="460" w:lineRule="atLeast"/>
        <w:ind w:firstLine="446" w:firstLineChars="200"/>
        <w:jc w:val="left"/>
        <w:rPr>
          <w:rFonts w:ascii="宋体"/>
          <w:color w:val="auto"/>
          <w:sz w:val="22"/>
        </w:rPr>
      </w:pPr>
      <w:r>
        <w:rPr>
          <w:rFonts w:hint="eastAsia" w:ascii="宋体"/>
          <w:color w:val="auto"/>
          <w:sz w:val="22"/>
        </w:rPr>
        <w:t>六、不以其他人名义投标或者以其他方式弄虚作假，骗取中标(成交)。</w:t>
      </w:r>
    </w:p>
    <w:p>
      <w:pPr>
        <w:spacing w:line="460" w:lineRule="atLeast"/>
        <w:ind w:firstLine="446" w:firstLineChars="200"/>
        <w:jc w:val="left"/>
        <w:rPr>
          <w:rFonts w:ascii="宋体"/>
          <w:color w:val="auto"/>
          <w:sz w:val="22"/>
        </w:rPr>
      </w:pPr>
      <w:r>
        <w:rPr>
          <w:rFonts w:hint="eastAsia" w:ascii="宋体"/>
          <w:color w:val="auto"/>
          <w:sz w:val="22"/>
        </w:rPr>
        <w:t>七、不在开标后进行虚假恶意投诉。</w:t>
      </w:r>
    </w:p>
    <w:p>
      <w:pPr>
        <w:spacing w:line="460" w:lineRule="atLeast"/>
        <w:ind w:firstLine="446" w:firstLineChars="200"/>
        <w:jc w:val="left"/>
        <w:rPr>
          <w:rFonts w:ascii="宋体"/>
          <w:color w:val="auto"/>
          <w:sz w:val="22"/>
        </w:rPr>
      </w:pPr>
      <w:r>
        <w:rPr>
          <w:rFonts w:hint="eastAsia" w:ascii="宋体"/>
          <w:color w:val="auto"/>
          <w:sz w:val="22"/>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6" w:firstLineChars="200"/>
        <w:jc w:val="left"/>
        <w:rPr>
          <w:rFonts w:ascii="宋体"/>
          <w:color w:val="auto"/>
          <w:sz w:val="22"/>
        </w:rPr>
      </w:pPr>
      <w:r>
        <w:rPr>
          <w:rFonts w:hint="eastAsia" w:ascii="宋体"/>
          <w:color w:val="auto"/>
          <w:sz w:val="22"/>
        </w:rPr>
        <w:t>九、没有被各地、各级财政部门禁止参加政府采购活动，且在限制期限内：</w:t>
      </w:r>
    </w:p>
    <w:p>
      <w:pPr>
        <w:spacing w:line="460" w:lineRule="atLeast"/>
        <w:ind w:firstLine="446" w:firstLineChars="200"/>
        <w:jc w:val="left"/>
        <w:rPr>
          <w:rFonts w:ascii="宋体"/>
          <w:color w:val="auto"/>
          <w:sz w:val="22"/>
        </w:rPr>
      </w:pPr>
      <w:r>
        <w:rPr>
          <w:rFonts w:hint="eastAsia" w:ascii="宋体"/>
          <w:color w:val="auto"/>
          <w:sz w:val="22"/>
        </w:rPr>
        <w:t>十、参与本项目政府采购活动</w:t>
      </w:r>
      <w:r>
        <w:rPr>
          <w:rFonts w:ascii="宋体"/>
          <w:color w:val="auto"/>
          <w:sz w:val="22"/>
        </w:rPr>
        <w:t>3</w:t>
      </w:r>
      <w:r>
        <w:rPr>
          <w:rFonts w:hint="eastAsia" w:ascii="宋体"/>
          <w:color w:val="auto"/>
          <w:sz w:val="22"/>
        </w:rPr>
        <w:t>年内没有重大违法记录情况。</w:t>
      </w:r>
    </w:p>
    <w:p>
      <w:pPr>
        <w:spacing w:line="460" w:lineRule="atLeast"/>
        <w:ind w:firstLine="446" w:firstLineChars="200"/>
        <w:rPr>
          <w:rFonts w:ascii="宋体"/>
          <w:color w:val="auto"/>
          <w:sz w:val="22"/>
        </w:rPr>
      </w:pPr>
      <w:r>
        <w:rPr>
          <w:rFonts w:hint="eastAsia" w:ascii="宋体"/>
          <w:color w:val="auto"/>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3010" w:firstLineChars="1350"/>
        <w:rPr>
          <w:rFonts w:ascii="宋体"/>
          <w:color w:val="auto"/>
          <w:sz w:val="22"/>
        </w:rPr>
      </w:pPr>
      <w:r>
        <w:rPr>
          <w:rFonts w:hint="eastAsia" w:ascii="宋体"/>
          <w:b/>
          <w:bCs/>
          <w:color w:val="auto"/>
          <w:sz w:val="22"/>
        </w:rPr>
        <w:t>法定代表人（签字或签章）</w:t>
      </w:r>
      <w:r>
        <w:rPr>
          <w:rFonts w:hint="eastAsia" w:ascii="宋体"/>
          <w:color w:val="auto"/>
          <w:sz w:val="22"/>
        </w:rPr>
        <w:t>：</w:t>
      </w:r>
    </w:p>
    <w:p>
      <w:pPr>
        <w:spacing w:line="460" w:lineRule="atLeast"/>
        <w:ind w:right="1120" w:firstLine="3010" w:firstLineChars="1350"/>
        <w:rPr>
          <w:rFonts w:ascii="宋体"/>
          <w:color w:val="auto"/>
          <w:sz w:val="22"/>
        </w:rPr>
      </w:pPr>
      <w:r>
        <w:rPr>
          <w:rFonts w:hint="eastAsia" w:ascii="宋体"/>
          <w:color w:val="auto"/>
          <w:sz w:val="22"/>
        </w:rPr>
        <w:t>投标供应商（盖章）</w:t>
      </w:r>
    </w:p>
    <w:p>
      <w:pPr>
        <w:spacing w:line="460" w:lineRule="atLeast"/>
        <w:ind w:right="1120" w:firstLine="3122" w:firstLineChars="1400"/>
        <w:rPr>
          <w:rFonts w:ascii="宋体" w:cs="宋体"/>
          <w:color w:val="auto"/>
          <w:szCs w:val="21"/>
        </w:rPr>
      </w:pPr>
      <w:r>
        <w:rPr>
          <w:rFonts w:hint="eastAsia" w:ascii="宋体"/>
          <w:color w:val="auto"/>
          <w:sz w:val="22"/>
        </w:rPr>
        <w:t>承诺书签署日期：年月日</w:t>
      </w:r>
    </w:p>
    <w:p>
      <w:pPr>
        <w:spacing w:line="360" w:lineRule="exact"/>
        <w:jc w:val="left"/>
        <w:rPr>
          <w:color w:val="auto"/>
          <w:sz w:val="30"/>
        </w:rPr>
      </w:pPr>
      <w:r>
        <w:rPr>
          <w:rFonts w:hint="eastAsia" w:ascii="宋体"/>
          <w:bCs/>
          <w:color w:val="auto"/>
          <w:sz w:val="22"/>
          <w:u w:val="single"/>
        </w:rPr>
        <w:t>备注：</w:t>
      </w:r>
      <w:r>
        <w:rPr>
          <w:rFonts w:hint="eastAsia" w:ascii="仿宋" w:hAnsi="仿宋" w:eastAsia="仿宋"/>
          <w:bCs/>
          <w:color w:val="auto"/>
          <w:sz w:val="22"/>
          <w:u w:val="single"/>
        </w:rPr>
        <w:t>▲</w:t>
      </w:r>
      <w:r>
        <w:rPr>
          <w:rFonts w:hint="eastAsia" w:ascii="宋体"/>
          <w:bCs/>
          <w:color w:val="auto"/>
          <w:sz w:val="22"/>
          <w:u w:val="single"/>
        </w:rPr>
        <w:t>投标供应商必须提供本承诺书，不提供按无效投标处理。</w:t>
      </w:r>
    </w:p>
    <w:p>
      <w:pPr>
        <w:pStyle w:val="12"/>
        <w:spacing w:line="360" w:lineRule="exact"/>
        <w:jc w:val="center"/>
        <w:rPr>
          <w:rFonts w:hAnsi="宋体"/>
          <w:color w:val="auto"/>
          <w:sz w:val="32"/>
        </w:rPr>
      </w:pPr>
    </w:p>
    <w:p>
      <w:pPr>
        <w:spacing w:line="360" w:lineRule="exact"/>
        <w:jc w:val="left"/>
        <w:rPr>
          <w:color w:val="auto"/>
          <w:sz w:val="30"/>
        </w:rPr>
      </w:pPr>
    </w:p>
    <w:p>
      <w:pPr>
        <w:spacing w:line="360" w:lineRule="exact"/>
        <w:jc w:val="left"/>
        <w:rPr>
          <w:color w:val="auto"/>
          <w:sz w:val="30"/>
        </w:rPr>
      </w:pPr>
    </w:p>
    <w:p>
      <w:pPr>
        <w:spacing w:line="360" w:lineRule="exact"/>
        <w:jc w:val="left"/>
        <w:rPr>
          <w:rFonts w:hint="eastAsia" w:ascii="宋体" w:eastAsia="宋体" w:cs="宋体"/>
          <w:b/>
          <w:bCs/>
          <w:color w:val="auto"/>
          <w:szCs w:val="21"/>
          <w:lang w:val="en-US" w:eastAsia="zh-CN"/>
        </w:rPr>
      </w:pPr>
      <w:r>
        <w:rPr>
          <w:rFonts w:hint="eastAsia"/>
          <w:b/>
          <w:bCs/>
          <w:color w:val="auto"/>
          <w:sz w:val="30"/>
        </w:rPr>
        <w:t>附件十</w:t>
      </w:r>
      <w:r>
        <w:rPr>
          <w:rFonts w:hint="eastAsia"/>
          <w:b/>
          <w:bCs/>
          <w:color w:val="auto"/>
          <w:sz w:val="30"/>
          <w:lang w:val="en-US" w:eastAsia="zh-CN"/>
        </w:rPr>
        <w:t>一</w:t>
      </w:r>
    </w:p>
    <w:p>
      <w:pPr>
        <w:autoSpaceDE w:val="0"/>
        <w:autoSpaceDN w:val="0"/>
        <w:adjustRightInd w:val="0"/>
        <w:spacing w:line="500" w:lineRule="atLeast"/>
        <w:jc w:val="center"/>
        <w:rPr>
          <w:rFonts w:hAnsi="宋体"/>
          <w:b/>
          <w:bCs/>
          <w:color w:val="auto"/>
          <w:sz w:val="32"/>
        </w:rPr>
      </w:pPr>
      <w:bookmarkStart w:id="170" w:name="_Toc28287_WPSOffice_Level3"/>
      <w:r>
        <w:rPr>
          <w:rFonts w:hint="eastAsia" w:hAnsi="宋体"/>
          <w:b/>
          <w:bCs/>
          <w:color w:val="auto"/>
          <w:sz w:val="32"/>
        </w:rPr>
        <w:t>供应商项目业绩清单</w:t>
      </w:r>
      <w:bookmarkEnd w:id="170"/>
    </w:p>
    <w:p>
      <w:pPr>
        <w:pStyle w:val="12"/>
        <w:spacing w:line="360" w:lineRule="exact"/>
        <w:jc w:val="center"/>
        <w:rPr>
          <w:rFonts w:hAnsi="宋体"/>
          <w:color w:val="auto"/>
          <w:sz w:val="22"/>
        </w:rPr>
      </w:pPr>
    </w:p>
    <w:tbl>
      <w:tblPr>
        <w:tblStyle w:val="21"/>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noWrap w:val="0"/>
            <w:vAlign w:val="top"/>
          </w:tcPr>
          <w:p>
            <w:pPr>
              <w:tabs>
                <w:tab w:val="left" w:pos="4140"/>
              </w:tabs>
              <w:adjustRightInd w:val="0"/>
              <w:snapToGrid w:val="0"/>
              <w:spacing w:line="320" w:lineRule="atLeast"/>
              <w:jc w:val="center"/>
              <w:rPr>
                <w:rFonts w:ascii="宋体"/>
                <w:caps/>
                <w:color w:val="auto"/>
                <w:spacing w:val="20"/>
                <w:sz w:val="22"/>
              </w:rPr>
            </w:pPr>
            <w:r>
              <w:rPr>
                <w:rFonts w:hint="eastAsia" w:ascii="宋体"/>
                <w:caps/>
                <w:color w:val="auto"/>
                <w:spacing w:val="20"/>
                <w:sz w:val="22"/>
              </w:rPr>
              <w:t>序号</w:t>
            </w:r>
          </w:p>
        </w:tc>
        <w:tc>
          <w:tcPr>
            <w:tcW w:w="1153" w:type="dxa"/>
            <w:tcBorders>
              <w:top w:val="double" w:color="000000" w:sz="6" w:space="0"/>
            </w:tcBorders>
            <w:noWrap w:val="0"/>
            <w:vAlign w:val="top"/>
          </w:tcPr>
          <w:p>
            <w:pPr>
              <w:tabs>
                <w:tab w:val="left" w:pos="4140"/>
              </w:tabs>
              <w:adjustRightInd w:val="0"/>
              <w:snapToGrid w:val="0"/>
              <w:spacing w:line="320" w:lineRule="atLeast"/>
              <w:jc w:val="center"/>
              <w:rPr>
                <w:rFonts w:ascii="宋体"/>
                <w:color w:val="auto"/>
                <w:spacing w:val="20"/>
                <w:sz w:val="22"/>
              </w:rPr>
            </w:pPr>
            <w:r>
              <w:rPr>
                <w:rFonts w:hint="eastAsia" w:ascii="宋体"/>
                <w:color w:val="auto"/>
                <w:spacing w:val="20"/>
                <w:sz w:val="22"/>
              </w:rPr>
              <w:t>采购</w:t>
            </w:r>
          </w:p>
          <w:p>
            <w:pPr>
              <w:tabs>
                <w:tab w:val="left" w:pos="4140"/>
              </w:tabs>
              <w:adjustRightInd w:val="0"/>
              <w:snapToGrid w:val="0"/>
              <w:spacing w:line="320" w:lineRule="atLeast"/>
              <w:jc w:val="center"/>
              <w:rPr>
                <w:rFonts w:ascii="宋体"/>
                <w:caps/>
                <w:color w:val="auto"/>
                <w:spacing w:val="20"/>
                <w:sz w:val="22"/>
              </w:rPr>
            </w:pPr>
            <w:r>
              <w:rPr>
                <w:rFonts w:hint="eastAsia" w:ascii="宋体"/>
                <w:color w:val="auto"/>
                <w:spacing w:val="20"/>
                <w:sz w:val="22"/>
              </w:rPr>
              <w:t>单位</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ascii="宋体"/>
                <w:caps/>
                <w:color w:val="auto"/>
                <w:spacing w:val="20"/>
                <w:sz w:val="22"/>
              </w:rPr>
            </w:pPr>
            <w:r>
              <w:rPr>
                <w:rFonts w:hint="eastAsia" w:ascii="宋体"/>
                <w:caps/>
                <w:color w:val="auto"/>
                <w:spacing w:val="20"/>
                <w:sz w:val="22"/>
              </w:rPr>
              <w:t>项目</w:t>
            </w:r>
          </w:p>
          <w:p>
            <w:pPr>
              <w:tabs>
                <w:tab w:val="left" w:pos="4140"/>
              </w:tabs>
              <w:adjustRightInd w:val="0"/>
              <w:snapToGrid w:val="0"/>
              <w:spacing w:line="320" w:lineRule="atLeast"/>
              <w:jc w:val="center"/>
              <w:rPr>
                <w:rFonts w:ascii="宋体"/>
                <w:caps/>
                <w:color w:val="auto"/>
                <w:spacing w:val="20"/>
                <w:sz w:val="22"/>
              </w:rPr>
            </w:pPr>
            <w:r>
              <w:rPr>
                <w:rFonts w:hint="eastAsia" w:ascii="宋体"/>
                <w:caps/>
                <w:color w:val="auto"/>
                <w:spacing w:val="20"/>
                <w:sz w:val="22"/>
              </w:rPr>
              <w:t>名称</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ascii="宋体"/>
                <w:caps/>
                <w:color w:val="auto"/>
                <w:spacing w:val="20"/>
                <w:sz w:val="22"/>
              </w:rPr>
            </w:pPr>
            <w:r>
              <w:rPr>
                <w:rFonts w:hint="eastAsia" w:ascii="宋体"/>
                <w:caps/>
                <w:color w:val="auto"/>
                <w:spacing w:val="20"/>
                <w:sz w:val="22"/>
              </w:rPr>
              <w:t>数量</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ascii="宋体"/>
                <w:caps/>
                <w:color w:val="auto"/>
                <w:spacing w:val="20"/>
                <w:sz w:val="22"/>
              </w:rPr>
            </w:pPr>
            <w:r>
              <w:rPr>
                <w:rFonts w:hint="eastAsia" w:ascii="宋体"/>
                <w:caps/>
                <w:color w:val="auto"/>
                <w:spacing w:val="20"/>
                <w:sz w:val="22"/>
              </w:rPr>
              <w:t>合同</w:t>
            </w:r>
          </w:p>
          <w:p>
            <w:pPr>
              <w:tabs>
                <w:tab w:val="left" w:pos="4140"/>
              </w:tabs>
              <w:adjustRightInd w:val="0"/>
              <w:snapToGrid w:val="0"/>
              <w:spacing w:line="320" w:lineRule="atLeast"/>
              <w:jc w:val="center"/>
              <w:rPr>
                <w:rFonts w:ascii="宋体"/>
                <w:caps/>
                <w:color w:val="auto"/>
                <w:spacing w:val="20"/>
                <w:sz w:val="22"/>
              </w:rPr>
            </w:pPr>
            <w:r>
              <w:rPr>
                <w:rFonts w:hint="eastAsia" w:ascii="宋体"/>
                <w:caps/>
                <w:color w:val="auto"/>
                <w:spacing w:val="20"/>
                <w:sz w:val="22"/>
              </w:rPr>
              <w:t>金额</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ascii="宋体"/>
                <w:color w:val="auto"/>
                <w:spacing w:val="20"/>
                <w:sz w:val="22"/>
              </w:rPr>
            </w:pPr>
            <w:r>
              <w:rPr>
                <w:rFonts w:hint="eastAsia" w:ascii="宋体"/>
                <w:color w:val="auto"/>
                <w:spacing w:val="20"/>
                <w:sz w:val="22"/>
              </w:rPr>
              <w:t>签约</w:t>
            </w:r>
          </w:p>
          <w:p>
            <w:pPr>
              <w:tabs>
                <w:tab w:val="left" w:pos="4140"/>
              </w:tabs>
              <w:adjustRightInd w:val="0"/>
              <w:snapToGrid w:val="0"/>
              <w:spacing w:line="320" w:lineRule="atLeast"/>
              <w:jc w:val="center"/>
              <w:rPr>
                <w:rFonts w:ascii="宋体"/>
                <w:caps/>
                <w:color w:val="auto"/>
                <w:spacing w:val="20"/>
                <w:sz w:val="22"/>
              </w:rPr>
            </w:pPr>
            <w:r>
              <w:rPr>
                <w:rFonts w:hint="eastAsia" w:ascii="宋体"/>
                <w:color w:val="auto"/>
                <w:spacing w:val="20"/>
                <w:sz w:val="22"/>
              </w:rPr>
              <w:t>日期</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ascii="宋体"/>
                <w:color w:val="auto"/>
                <w:spacing w:val="20"/>
                <w:sz w:val="22"/>
              </w:rPr>
            </w:pPr>
            <w:r>
              <w:rPr>
                <w:rFonts w:hint="eastAsia" w:ascii="宋体"/>
                <w:color w:val="auto"/>
                <w:spacing w:val="20"/>
                <w:sz w:val="22"/>
              </w:rPr>
              <w:t>联系人</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ascii="宋体"/>
                <w:color w:val="auto"/>
                <w:spacing w:val="20"/>
                <w:sz w:val="22"/>
              </w:rPr>
            </w:pPr>
            <w:r>
              <w:rPr>
                <w:rFonts w:hint="eastAsia" w:ascii="宋体"/>
                <w:color w:val="auto"/>
                <w:spacing w:val="20"/>
                <w:sz w:val="22"/>
              </w:rPr>
              <w:t>联系</w:t>
            </w:r>
          </w:p>
          <w:p>
            <w:pPr>
              <w:tabs>
                <w:tab w:val="left" w:pos="4140"/>
              </w:tabs>
              <w:adjustRightInd w:val="0"/>
              <w:snapToGrid w:val="0"/>
              <w:spacing w:line="320" w:lineRule="atLeast"/>
              <w:jc w:val="center"/>
              <w:rPr>
                <w:rFonts w:ascii="宋体"/>
                <w:color w:val="auto"/>
                <w:spacing w:val="20"/>
                <w:sz w:val="22"/>
              </w:rPr>
            </w:pPr>
            <w:r>
              <w:rPr>
                <w:rFonts w:hint="eastAsia" w:ascii="宋体"/>
                <w:color w:val="auto"/>
                <w:spacing w:val="20"/>
                <w:sz w:val="22"/>
              </w:rPr>
              <w:t>电话</w:t>
            </w:r>
          </w:p>
        </w:tc>
        <w:tc>
          <w:tcPr>
            <w:tcW w:w="770" w:type="dxa"/>
            <w:tcBorders>
              <w:top w:val="double" w:color="000000" w:sz="6" w:space="0"/>
            </w:tcBorders>
            <w:noWrap w:val="0"/>
            <w:vAlign w:val="top"/>
          </w:tcPr>
          <w:p>
            <w:pPr>
              <w:tabs>
                <w:tab w:val="left" w:pos="4140"/>
              </w:tabs>
              <w:adjustRightInd w:val="0"/>
              <w:snapToGrid w:val="0"/>
              <w:spacing w:line="320" w:lineRule="atLeast"/>
              <w:jc w:val="center"/>
              <w:rPr>
                <w:rFonts w:ascii="宋体"/>
                <w:color w:val="auto"/>
                <w:spacing w:val="20"/>
                <w:sz w:val="22"/>
              </w:rPr>
            </w:pPr>
            <w:r>
              <w:rPr>
                <w:rFonts w:hint="eastAsia" w:ascii="宋体"/>
                <w:color w:val="auto"/>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ascii="宋体"/>
                <w:color w:val="auto"/>
                <w:spacing w:val="20"/>
                <w:sz w:val="22"/>
              </w:rPr>
            </w:pPr>
          </w:p>
        </w:tc>
        <w:tc>
          <w:tcPr>
            <w:tcW w:w="1153"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1154" w:type="dxa"/>
            <w:noWrap w:val="0"/>
            <w:vAlign w:val="top"/>
          </w:tcPr>
          <w:p>
            <w:pPr>
              <w:tabs>
                <w:tab w:val="left" w:pos="4140"/>
              </w:tabs>
              <w:adjustRightInd w:val="0"/>
              <w:snapToGrid w:val="0"/>
              <w:spacing w:line="320" w:lineRule="atLeast"/>
              <w:rPr>
                <w:rFonts w:ascii="宋体"/>
                <w:color w:val="auto"/>
                <w:spacing w:val="20"/>
                <w:sz w:val="22"/>
              </w:rPr>
            </w:pPr>
          </w:p>
        </w:tc>
        <w:tc>
          <w:tcPr>
            <w:tcW w:w="770" w:type="dxa"/>
            <w:noWrap w:val="0"/>
            <w:vAlign w:val="top"/>
          </w:tcPr>
          <w:p>
            <w:pPr>
              <w:tabs>
                <w:tab w:val="left" w:pos="4140"/>
              </w:tabs>
              <w:adjustRightInd w:val="0"/>
              <w:snapToGrid w:val="0"/>
              <w:spacing w:line="320" w:lineRule="atLeast"/>
              <w:rPr>
                <w:rFonts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rPr>
            </w:pPr>
          </w:p>
        </w:tc>
        <w:tc>
          <w:tcPr>
            <w:tcW w:w="1153"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rPr>
            </w:pPr>
          </w:p>
        </w:tc>
        <w:tc>
          <w:tcPr>
            <w:tcW w:w="770" w:type="dxa"/>
            <w:tcBorders>
              <w:bottom w:val="double" w:color="000000" w:sz="6" w:space="0"/>
            </w:tcBorders>
            <w:noWrap w:val="0"/>
            <w:vAlign w:val="top"/>
          </w:tcPr>
          <w:p>
            <w:pPr>
              <w:tabs>
                <w:tab w:val="left" w:pos="4140"/>
              </w:tabs>
              <w:adjustRightInd w:val="0"/>
              <w:snapToGrid w:val="0"/>
              <w:spacing w:line="320" w:lineRule="atLeast"/>
              <w:rPr>
                <w:rFonts w:ascii="宋体"/>
                <w:color w:val="auto"/>
                <w:spacing w:val="20"/>
                <w:sz w:val="22"/>
              </w:rPr>
            </w:pPr>
          </w:p>
        </w:tc>
      </w:tr>
    </w:tbl>
    <w:p>
      <w:pPr>
        <w:pStyle w:val="12"/>
        <w:spacing w:line="360" w:lineRule="exact"/>
        <w:rPr>
          <w:rFonts w:hAnsi="宋体"/>
          <w:b/>
          <w:bCs/>
          <w:color w:val="auto"/>
          <w:sz w:val="32"/>
        </w:rPr>
      </w:pPr>
      <w:r>
        <w:rPr>
          <w:rFonts w:hint="eastAsia" w:hAnsi="宋体"/>
          <w:color w:val="auto"/>
          <w:sz w:val="22"/>
        </w:rPr>
        <w:t>本表后附相关证明材料，证明材料以第七部分评审细则中的要求为准。</w:t>
      </w:r>
    </w:p>
    <w:p>
      <w:pPr>
        <w:rPr>
          <w:rFonts w:ascii="宋体"/>
          <w:color w:val="auto"/>
          <w:spacing w:val="20"/>
          <w:sz w:val="22"/>
        </w:rPr>
      </w:pPr>
    </w:p>
    <w:p>
      <w:pPr>
        <w:rPr>
          <w:color w:val="auto"/>
          <w:sz w:val="36"/>
          <w:szCs w:val="36"/>
        </w:rPr>
      </w:pPr>
      <w:r>
        <w:rPr>
          <w:rFonts w:hint="eastAsia" w:ascii="宋体"/>
          <w:color w:val="auto"/>
          <w:spacing w:val="20"/>
          <w:sz w:val="22"/>
        </w:rPr>
        <w:t>供应商盖章：</w:t>
      </w:r>
    </w:p>
    <w:p>
      <w:pPr>
        <w:pStyle w:val="12"/>
        <w:spacing w:line="360" w:lineRule="exact"/>
        <w:rPr>
          <w:rFonts w:ascii="??_GB2312" w:hAnsi="宋体"/>
          <w:color w:val="auto"/>
          <w:sz w:val="36"/>
          <w:szCs w:val="36"/>
        </w:rPr>
      </w:pPr>
    </w:p>
    <w:p>
      <w:pPr>
        <w:pStyle w:val="12"/>
        <w:spacing w:line="360" w:lineRule="exact"/>
        <w:rPr>
          <w:rFonts w:ascii="??_GB2312" w:hAnsi="宋体"/>
          <w:color w:val="auto"/>
          <w:sz w:val="36"/>
          <w:szCs w:val="36"/>
        </w:rPr>
      </w:pPr>
    </w:p>
    <w:p>
      <w:pPr>
        <w:spacing w:line="360" w:lineRule="exact"/>
        <w:jc w:val="left"/>
        <w:rPr>
          <w:color w:val="auto"/>
          <w:sz w:val="30"/>
        </w:rPr>
      </w:pPr>
    </w:p>
    <w:p>
      <w:pPr>
        <w:spacing w:line="360" w:lineRule="exact"/>
        <w:jc w:val="left"/>
        <w:rPr>
          <w:color w:val="auto"/>
          <w:sz w:val="30"/>
        </w:rPr>
      </w:pPr>
    </w:p>
    <w:p>
      <w:pPr>
        <w:spacing w:line="360" w:lineRule="exact"/>
        <w:jc w:val="left"/>
        <w:rPr>
          <w:color w:val="auto"/>
          <w:sz w:val="30"/>
        </w:rPr>
      </w:pPr>
    </w:p>
    <w:p>
      <w:pPr>
        <w:autoSpaceDE w:val="0"/>
        <w:autoSpaceDN w:val="0"/>
        <w:adjustRightInd w:val="0"/>
        <w:spacing w:line="360" w:lineRule="exact"/>
        <w:jc w:val="left"/>
        <w:rPr>
          <w:rFonts w:ascii="宋体"/>
          <w:color w:val="auto"/>
          <w:sz w:val="32"/>
          <w:lang w:val="zh-CN"/>
        </w:rPr>
      </w:pPr>
    </w:p>
    <w:p>
      <w:pPr>
        <w:pStyle w:val="12"/>
        <w:spacing w:line="360" w:lineRule="exact"/>
        <w:jc w:val="left"/>
        <w:rPr>
          <w:rFonts w:hint="eastAsia" w:eastAsia="宋体"/>
          <w:b/>
          <w:bCs/>
          <w:color w:val="auto"/>
          <w:sz w:val="32"/>
          <w:lang w:eastAsia="zh-CN"/>
        </w:rPr>
      </w:pPr>
      <w:r>
        <w:rPr>
          <w:b/>
          <w:bCs/>
          <w:color w:val="auto"/>
          <w:sz w:val="32"/>
          <w:lang w:val="zh-CN"/>
        </w:rPr>
        <w:t>附件</w:t>
      </w:r>
      <w:r>
        <w:rPr>
          <w:rFonts w:hint="eastAsia"/>
          <w:b/>
          <w:bCs/>
          <w:color w:val="auto"/>
          <w:sz w:val="32"/>
        </w:rPr>
        <w:t>十</w:t>
      </w:r>
      <w:r>
        <w:rPr>
          <w:rFonts w:hint="eastAsia"/>
          <w:b/>
          <w:bCs/>
          <w:color w:val="auto"/>
          <w:sz w:val="32"/>
          <w:lang w:val="en-US" w:eastAsia="zh-CN"/>
        </w:rPr>
        <w:t>二</w:t>
      </w:r>
    </w:p>
    <w:p>
      <w:pPr>
        <w:pStyle w:val="12"/>
        <w:spacing w:line="360" w:lineRule="exact"/>
        <w:jc w:val="center"/>
        <w:rPr>
          <w:b/>
          <w:bCs/>
          <w:color w:val="auto"/>
          <w:sz w:val="32"/>
          <w:lang w:val="zh-CN"/>
        </w:rPr>
      </w:pPr>
      <w:bookmarkStart w:id="171" w:name="_Toc18541_WPSOffice_Level3"/>
      <w:r>
        <w:rPr>
          <w:b/>
          <w:bCs/>
          <w:color w:val="auto"/>
          <w:sz w:val="32"/>
          <w:lang w:val="zh-CN"/>
        </w:rPr>
        <w:t>（一）商务偏离表</w:t>
      </w:r>
      <w:bookmarkEnd w:id="171"/>
    </w:p>
    <w:p>
      <w:pPr>
        <w:autoSpaceDE w:val="0"/>
        <w:autoSpaceDN w:val="0"/>
        <w:adjustRightInd w:val="0"/>
        <w:spacing w:line="360" w:lineRule="exact"/>
        <w:jc w:val="center"/>
        <w:rPr>
          <w:rFonts w:ascii="宋体"/>
          <w:color w:val="auto"/>
          <w:sz w:val="32"/>
          <w:lang w:val="zh-CN"/>
        </w:rPr>
      </w:pPr>
    </w:p>
    <w:tbl>
      <w:tblPr>
        <w:tblStyle w:val="21"/>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ascii="宋体"/>
                <w:color w:val="auto"/>
                <w:sz w:val="24"/>
              </w:rPr>
            </w:pPr>
            <w:r>
              <w:rPr>
                <w:rFonts w:hint="eastAsia" w:ascii="宋体"/>
                <w:color w:val="auto"/>
                <w:sz w:val="24"/>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4"/>
                <w:lang w:val="zh-CN"/>
              </w:rPr>
            </w:pPr>
            <w:r>
              <w:rPr>
                <w:rFonts w:hint="eastAsia" w:ascii="宋体"/>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4"/>
                <w:lang w:val="zh-CN"/>
              </w:rPr>
            </w:pPr>
            <w:r>
              <w:rPr>
                <w:rFonts w:hint="eastAsia" w:ascii="宋体"/>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4"/>
                <w:lang w:val="zh-CN"/>
              </w:rPr>
            </w:pPr>
            <w:r>
              <w:rPr>
                <w:rFonts w:hint="eastAsia" w:ascii="宋体"/>
                <w:color w:val="auto"/>
                <w:sz w:val="24"/>
                <w:lang w:val="zh-CN"/>
              </w:rPr>
              <w:t>投标文件</w:t>
            </w:r>
          </w:p>
          <w:p>
            <w:pPr>
              <w:autoSpaceDE w:val="0"/>
              <w:autoSpaceDN w:val="0"/>
              <w:adjustRightInd w:val="0"/>
              <w:spacing w:line="360" w:lineRule="exact"/>
              <w:jc w:val="center"/>
              <w:rPr>
                <w:rFonts w:ascii="宋体"/>
                <w:color w:val="auto"/>
                <w:sz w:val="24"/>
                <w:lang w:val="zh-CN"/>
              </w:rPr>
            </w:pPr>
            <w:r>
              <w:rPr>
                <w:rFonts w:hint="eastAsia" w:ascii="宋体"/>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4"/>
                <w:lang w:val="zh-CN"/>
              </w:rPr>
            </w:pPr>
            <w:r>
              <w:rPr>
                <w:rFonts w:hint="eastAsia" w:ascii="宋体"/>
                <w:color w:val="auto"/>
                <w:sz w:val="24"/>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4"/>
                <w:lang w:val="zh-CN"/>
              </w:rPr>
            </w:pPr>
          </w:p>
        </w:tc>
      </w:tr>
    </w:tbl>
    <w:p>
      <w:pPr>
        <w:autoSpaceDE w:val="0"/>
        <w:autoSpaceDN w:val="0"/>
        <w:adjustRightInd w:val="0"/>
        <w:spacing w:line="360" w:lineRule="exact"/>
        <w:rPr>
          <w:rFonts w:ascii="宋体"/>
          <w:color w:val="auto"/>
          <w:sz w:val="24"/>
          <w:lang w:val="zh-CN"/>
        </w:rPr>
      </w:pPr>
      <w:r>
        <w:rPr>
          <w:rFonts w:hint="eastAsia" w:ascii="宋体"/>
          <w:color w:val="auto"/>
          <w:sz w:val="24"/>
          <w:lang w:val="zh-CN"/>
        </w:rPr>
        <w:t>供应商盖章：</w:t>
      </w:r>
    </w:p>
    <w:p>
      <w:pPr>
        <w:autoSpaceDE w:val="0"/>
        <w:autoSpaceDN w:val="0"/>
        <w:adjustRightInd w:val="0"/>
        <w:spacing w:line="360" w:lineRule="exact"/>
        <w:rPr>
          <w:rFonts w:ascii="宋体"/>
          <w:color w:val="auto"/>
          <w:sz w:val="32"/>
          <w:lang w:val="zh-CN"/>
        </w:rPr>
      </w:pPr>
    </w:p>
    <w:p>
      <w:pPr>
        <w:pStyle w:val="12"/>
        <w:spacing w:line="360" w:lineRule="exact"/>
        <w:jc w:val="center"/>
        <w:rPr>
          <w:b/>
          <w:bCs/>
          <w:color w:val="auto"/>
          <w:sz w:val="32"/>
          <w:lang w:val="zh-CN"/>
        </w:rPr>
      </w:pPr>
      <w:bookmarkStart w:id="172" w:name="_Toc4031_WPSOffice_Level3"/>
      <w:r>
        <w:rPr>
          <w:b/>
          <w:bCs/>
          <w:color w:val="auto"/>
          <w:sz w:val="32"/>
          <w:lang w:val="zh-CN"/>
        </w:rPr>
        <w:t>（二）技术偏离表</w:t>
      </w:r>
      <w:bookmarkEnd w:id="172"/>
    </w:p>
    <w:tbl>
      <w:tblPr>
        <w:tblStyle w:val="21"/>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2"/>
                <w:lang w:val="zh-CN"/>
              </w:rPr>
            </w:pPr>
            <w:r>
              <w:rPr>
                <w:rFonts w:hint="eastAsia" w:ascii="宋体"/>
                <w:color w:val="auto"/>
                <w:sz w:val="22"/>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2"/>
                <w:lang w:val="zh-CN"/>
              </w:rPr>
            </w:pPr>
            <w:r>
              <w:rPr>
                <w:rFonts w:hint="eastAsia" w:ascii="宋体"/>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2"/>
                <w:lang w:val="zh-CN"/>
              </w:rPr>
            </w:pPr>
            <w:r>
              <w:rPr>
                <w:rFonts w:hint="eastAsia" w:ascii="宋体"/>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2"/>
                <w:lang w:val="zh-CN"/>
              </w:rPr>
            </w:pPr>
            <w:r>
              <w:rPr>
                <w:rFonts w:hint="eastAsia" w:ascii="宋体"/>
                <w:color w:val="auto"/>
                <w:sz w:val="22"/>
                <w:lang w:val="zh-CN"/>
              </w:rPr>
              <w:t>投标文件</w:t>
            </w:r>
          </w:p>
          <w:p>
            <w:pPr>
              <w:autoSpaceDE w:val="0"/>
              <w:autoSpaceDN w:val="0"/>
              <w:adjustRightInd w:val="0"/>
              <w:spacing w:line="360" w:lineRule="exact"/>
              <w:jc w:val="center"/>
              <w:rPr>
                <w:rFonts w:ascii="宋体"/>
                <w:color w:val="auto"/>
                <w:sz w:val="22"/>
                <w:lang w:val="zh-CN"/>
              </w:rPr>
            </w:pPr>
            <w:r>
              <w:rPr>
                <w:rFonts w:hint="eastAsia" w:ascii="宋体"/>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color w:val="auto"/>
                <w:sz w:val="22"/>
                <w:lang w:val="zh-CN"/>
              </w:rPr>
            </w:pPr>
            <w:r>
              <w:rPr>
                <w:rFonts w:hint="eastAsia" w:ascii="宋体"/>
                <w:color w:val="auto"/>
                <w:sz w:val="22"/>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ascii="宋体"/>
                <w:color w:val="auto"/>
                <w:sz w:val="22"/>
                <w:lang w:val="zh-CN"/>
              </w:rPr>
            </w:pPr>
          </w:p>
        </w:tc>
      </w:tr>
    </w:tbl>
    <w:p>
      <w:pPr>
        <w:spacing w:line="360" w:lineRule="exact"/>
        <w:rPr>
          <w:rFonts w:ascii="宋体"/>
          <w:color w:val="auto"/>
          <w:spacing w:val="20"/>
          <w:sz w:val="22"/>
        </w:rPr>
      </w:pPr>
      <w:r>
        <w:rPr>
          <w:rFonts w:hint="eastAsia" w:ascii="宋体"/>
          <w:color w:val="auto"/>
          <w:sz w:val="22"/>
          <w:lang w:val="zh-CN"/>
        </w:rPr>
        <w:t>供应商盖章：</w:t>
      </w:r>
    </w:p>
    <w:p>
      <w:pPr>
        <w:rPr>
          <w:color w:val="auto"/>
        </w:rPr>
      </w:pPr>
      <w:bookmarkStart w:id="173" w:name="_Toc30988_WPSOffice_Level2"/>
      <w:r>
        <w:rPr>
          <w:rFonts w:hint="eastAsia"/>
          <w:color w:val="auto"/>
        </w:rPr>
        <w:t>备注：表格可以延续</w:t>
      </w:r>
      <w:bookmarkEnd w:id="173"/>
    </w:p>
    <w:p>
      <w:pPr>
        <w:pStyle w:val="12"/>
        <w:spacing w:line="360" w:lineRule="exact"/>
        <w:rPr>
          <w:rFonts w:hAnsi="宋体"/>
          <w:color w:val="auto"/>
          <w:sz w:val="22"/>
        </w:rPr>
      </w:pPr>
    </w:p>
    <w:p>
      <w:pPr>
        <w:rPr>
          <w:rFonts w:hint="eastAsia" w:ascii="宋体"/>
          <w:b/>
          <w:bCs/>
          <w:color w:val="auto"/>
          <w:sz w:val="32"/>
          <w:szCs w:val="32"/>
        </w:rPr>
        <w:sectPr>
          <w:footerReference r:id="rId8" w:type="first"/>
          <w:footerReference r:id="rId7" w:type="default"/>
          <w:pgSz w:w="11906" w:h="16838"/>
          <w:pgMar w:top="1440" w:right="1247" w:bottom="1440" w:left="1247" w:header="851" w:footer="992" w:gutter="0"/>
          <w:pgNumType w:fmt="numberInDash" w:start="1"/>
          <w:cols w:space="720" w:num="1"/>
          <w:titlePg/>
          <w:docGrid w:type="linesAndChars" w:linePitch="313" w:charSpace="800"/>
        </w:sectPr>
      </w:pPr>
    </w:p>
    <w:p>
      <w:pPr>
        <w:pStyle w:val="9"/>
        <w:rPr>
          <w:rFonts w:hint="eastAsia"/>
          <w:color w:val="auto"/>
        </w:rPr>
      </w:pPr>
    </w:p>
    <w:p>
      <w:pPr>
        <w:pStyle w:val="12"/>
        <w:spacing w:line="360" w:lineRule="exact"/>
        <w:rPr>
          <w:rFonts w:hint="eastAsia" w:hAnsi="宋体" w:eastAsia="宋体"/>
          <w:b/>
          <w:bCs/>
          <w:color w:val="auto"/>
          <w:sz w:val="32"/>
          <w:szCs w:val="32"/>
          <w:lang w:eastAsia="zh-CN"/>
        </w:rPr>
      </w:pPr>
      <w:r>
        <w:rPr>
          <w:rFonts w:hint="eastAsia" w:hAnsi="宋体"/>
          <w:b/>
          <w:bCs/>
          <w:color w:val="auto"/>
          <w:sz w:val="32"/>
          <w:szCs w:val="32"/>
        </w:rPr>
        <w:t>附件十</w:t>
      </w:r>
      <w:r>
        <w:rPr>
          <w:rFonts w:hint="eastAsia" w:hAnsi="宋体"/>
          <w:b/>
          <w:bCs/>
          <w:color w:val="auto"/>
          <w:sz w:val="32"/>
          <w:szCs w:val="32"/>
          <w:lang w:val="en-US" w:eastAsia="zh-CN"/>
        </w:rPr>
        <w:t>三</w:t>
      </w:r>
    </w:p>
    <w:p>
      <w:pPr>
        <w:spacing w:line="360" w:lineRule="exact"/>
        <w:jc w:val="center"/>
        <w:rPr>
          <w:rFonts w:ascii="宋体"/>
          <w:b/>
          <w:bCs/>
          <w:color w:val="auto"/>
          <w:sz w:val="32"/>
          <w:szCs w:val="32"/>
          <w:lang w:val="zh-CN"/>
        </w:rPr>
      </w:pPr>
      <w:r>
        <w:rPr>
          <w:rFonts w:hint="eastAsia" w:ascii="宋体"/>
          <w:b/>
          <w:bCs/>
          <w:color w:val="auto"/>
          <w:sz w:val="32"/>
          <w:szCs w:val="32"/>
          <w:lang w:val="zh-CN"/>
        </w:rPr>
        <w:t>针对本项目配备的产品清单</w:t>
      </w:r>
    </w:p>
    <w:p>
      <w:pPr>
        <w:spacing w:line="360" w:lineRule="exact"/>
        <w:rPr>
          <w:rFonts w:hint="eastAsia" w:ascii="宋体" w:eastAsia="宋体" w:cs="楷体_GB2312"/>
          <w:color w:val="auto"/>
          <w:spacing w:val="20"/>
          <w:sz w:val="22"/>
          <w:u w:val="single"/>
          <w:lang w:eastAsia="zh-CN"/>
        </w:rPr>
      </w:pPr>
      <w:r>
        <w:rPr>
          <w:rFonts w:hint="eastAsia" w:ascii="宋体"/>
          <w:color w:val="auto"/>
          <w:spacing w:val="20"/>
          <w:sz w:val="22"/>
        </w:rPr>
        <w:t>项目名称：</w:t>
      </w:r>
      <w:r>
        <w:rPr>
          <w:rFonts w:hint="eastAsia" w:hAnsi="宋体"/>
          <w:color w:val="auto"/>
          <w:sz w:val="22"/>
          <w:u w:val="single"/>
          <w:lang w:eastAsia="zh-CN"/>
        </w:rPr>
        <w:t>泰顺县水利工程可视化项目</w:t>
      </w:r>
      <w:r>
        <w:rPr>
          <w:rFonts w:hint="eastAsia" w:ascii="宋体" w:cs="楷体_GB2312"/>
          <w:color w:val="auto"/>
          <w:sz w:val="22"/>
        </w:rPr>
        <w:t xml:space="preserve">               </w:t>
      </w:r>
      <w:r>
        <w:rPr>
          <w:rFonts w:hint="eastAsia" w:ascii="宋体"/>
          <w:color w:val="auto"/>
          <w:spacing w:val="20"/>
          <w:sz w:val="22"/>
        </w:rPr>
        <w:t>采购编号：</w:t>
      </w:r>
      <w:r>
        <w:rPr>
          <w:rFonts w:hint="eastAsia" w:ascii="宋体" w:cs="楷体_GB2312"/>
          <w:color w:val="auto"/>
          <w:sz w:val="22"/>
          <w:u w:val="single"/>
          <w:lang w:eastAsia="zh-CN"/>
        </w:rPr>
        <w:t>TSCG202004003</w:t>
      </w:r>
    </w:p>
    <w:tbl>
      <w:tblPr>
        <w:tblStyle w:val="21"/>
        <w:tblW w:w="140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noWrap w:val="0"/>
            <w:vAlign w:val="center"/>
          </w:tcPr>
          <w:p>
            <w:pPr>
              <w:adjustRightInd w:val="0"/>
              <w:snapToGrid w:val="0"/>
              <w:spacing w:line="460" w:lineRule="atLeast"/>
              <w:jc w:val="center"/>
              <w:rPr>
                <w:rFonts w:ascii="宋体"/>
                <w:color w:val="auto"/>
                <w:spacing w:val="20"/>
                <w:sz w:val="22"/>
              </w:rPr>
            </w:pPr>
            <w:r>
              <w:rPr>
                <w:rFonts w:hint="eastAsia" w:ascii="宋体"/>
                <w:color w:val="auto"/>
                <w:spacing w:val="20"/>
                <w:sz w:val="22"/>
              </w:rPr>
              <w:t>序号</w:t>
            </w:r>
          </w:p>
        </w:tc>
        <w:tc>
          <w:tcPr>
            <w:tcW w:w="2171" w:type="dxa"/>
            <w:tcBorders>
              <w:top w:val="double" w:color="auto" w:sz="4" w:space="0"/>
            </w:tcBorders>
            <w:noWrap w:val="0"/>
            <w:vAlign w:val="center"/>
          </w:tcPr>
          <w:p>
            <w:pPr>
              <w:adjustRightInd w:val="0"/>
              <w:snapToGrid w:val="0"/>
              <w:spacing w:line="460" w:lineRule="atLeast"/>
              <w:jc w:val="center"/>
              <w:rPr>
                <w:rFonts w:ascii="宋体"/>
                <w:color w:val="auto"/>
                <w:spacing w:val="20"/>
                <w:sz w:val="22"/>
              </w:rPr>
            </w:pPr>
            <w:r>
              <w:rPr>
                <w:rFonts w:hint="eastAsia" w:ascii="宋体"/>
                <w:color w:val="auto"/>
                <w:spacing w:val="20"/>
                <w:sz w:val="22"/>
              </w:rPr>
              <w:t>名称</w:t>
            </w:r>
          </w:p>
        </w:tc>
        <w:tc>
          <w:tcPr>
            <w:tcW w:w="1687" w:type="dxa"/>
            <w:tcBorders>
              <w:top w:val="double" w:color="auto" w:sz="4" w:space="0"/>
            </w:tcBorders>
            <w:noWrap w:val="0"/>
            <w:vAlign w:val="center"/>
          </w:tcPr>
          <w:p>
            <w:pPr>
              <w:adjustRightInd w:val="0"/>
              <w:snapToGrid w:val="0"/>
              <w:spacing w:line="460" w:lineRule="atLeast"/>
              <w:jc w:val="center"/>
              <w:rPr>
                <w:rFonts w:ascii="宋体"/>
                <w:color w:val="auto"/>
                <w:spacing w:val="20"/>
                <w:sz w:val="22"/>
              </w:rPr>
            </w:pPr>
            <w:r>
              <w:rPr>
                <w:rFonts w:hint="eastAsia" w:ascii="宋体"/>
                <w:color w:val="auto"/>
                <w:spacing w:val="20"/>
                <w:sz w:val="22"/>
              </w:rPr>
              <w:t>型号</w:t>
            </w:r>
          </w:p>
        </w:tc>
        <w:tc>
          <w:tcPr>
            <w:tcW w:w="1580" w:type="dxa"/>
            <w:tcBorders>
              <w:top w:val="double" w:color="auto" w:sz="4" w:space="0"/>
            </w:tcBorders>
            <w:noWrap w:val="0"/>
            <w:vAlign w:val="center"/>
          </w:tcPr>
          <w:p>
            <w:pPr>
              <w:adjustRightInd w:val="0"/>
              <w:snapToGrid w:val="0"/>
              <w:spacing w:line="460" w:lineRule="atLeast"/>
              <w:jc w:val="center"/>
              <w:rPr>
                <w:rFonts w:ascii="宋体"/>
                <w:color w:val="auto"/>
                <w:spacing w:val="20"/>
                <w:sz w:val="22"/>
              </w:rPr>
            </w:pPr>
            <w:r>
              <w:rPr>
                <w:rFonts w:hint="eastAsia" w:ascii="宋体"/>
                <w:color w:val="auto"/>
                <w:spacing w:val="20"/>
                <w:sz w:val="22"/>
              </w:rPr>
              <w:t>品牌、产地</w:t>
            </w:r>
          </w:p>
        </w:tc>
        <w:tc>
          <w:tcPr>
            <w:tcW w:w="2984" w:type="dxa"/>
            <w:tcBorders>
              <w:top w:val="double" w:color="auto" w:sz="4" w:space="0"/>
            </w:tcBorders>
            <w:noWrap w:val="0"/>
            <w:vAlign w:val="center"/>
          </w:tcPr>
          <w:p>
            <w:pPr>
              <w:adjustRightInd w:val="0"/>
              <w:snapToGrid w:val="0"/>
              <w:spacing w:line="460" w:lineRule="atLeast"/>
              <w:jc w:val="center"/>
              <w:rPr>
                <w:rFonts w:ascii="宋体"/>
                <w:color w:val="auto"/>
                <w:spacing w:val="20"/>
                <w:sz w:val="22"/>
              </w:rPr>
            </w:pPr>
            <w:r>
              <w:rPr>
                <w:rFonts w:hint="eastAsia" w:ascii="宋体"/>
                <w:color w:val="auto"/>
                <w:spacing w:val="20"/>
                <w:sz w:val="22"/>
              </w:rPr>
              <w:t>主要规格</w:t>
            </w:r>
          </w:p>
        </w:tc>
        <w:tc>
          <w:tcPr>
            <w:tcW w:w="855" w:type="dxa"/>
            <w:tcBorders>
              <w:top w:val="double" w:color="auto" w:sz="4" w:space="0"/>
            </w:tcBorders>
            <w:noWrap w:val="0"/>
            <w:vAlign w:val="center"/>
          </w:tcPr>
          <w:p>
            <w:pPr>
              <w:adjustRightInd w:val="0"/>
              <w:snapToGrid w:val="0"/>
              <w:spacing w:line="460" w:lineRule="atLeast"/>
              <w:jc w:val="center"/>
              <w:rPr>
                <w:rFonts w:ascii="宋体"/>
                <w:color w:val="auto"/>
                <w:spacing w:val="20"/>
                <w:sz w:val="22"/>
              </w:rPr>
            </w:pPr>
            <w:r>
              <w:rPr>
                <w:rFonts w:hint="eastAsia" w:ascii="宋体"/>
                <w:color w:val="auto"/>
                <w:spacing w:val="20"/>
                <w:sz w:val="22"/>
              </w:rPr>
              <w:t>数量</w:t>
            </w:r>
          </w:p>
        </w:tc>
        <w:tc>
          <w:tcPr>
            <w:tcW w:w="1636" w:type="dxa"/>
            <w:tcBorders>
              <w:top w:val="double" w:color="auto" w:sz="4" w:space="0"/>
              <w:right w:val="single" w:color="auto" w:sz="4" w:space="0"/>
            </w:tcBorders>
            <w:noWrap w:val="0"/>
            <w:vAlign w:val="center"/>
          </w:tcPr>
          <w:p>
            <w:pPr>
              <w:adjustRightInd w:val="0"/>
              <w:snapToGrid w:val="0"/>
              <w:spacing w:line="460" w:lineRule="atLeast"/>
              <w:jc w:val="center"/>
              <w:rPr>
                <w:rFonts w:ascii="宋体"/>
                <w:color w:val="auto"/>
                <w:spacing w:val="20"/>
                <w:sz w:val="22"/>
              </w:rPr>
            </w:pPr>
            <w:r>
              <w:rPr>
                <w:rFonts w:hint="eastAsia" w:ascii="宋体"/>
                <w:color w:val="auto"/>
                <w:spacing w:val="20"/>
                <w:sz w:val="22"/>
              </w:rPr>
              <w:t>备注</w:t>
            </w:r>
          </w:p>
        </w:tc>
        <w:tc>
          <w:tcPr>
            <w:tcW w:w="1916" w:type="dxa"/>
            <w:tcBorders>
              <w:top w:val="double" w:color="auto" w:sz="4" w:space="0"/>
              <w:left w:val="single" w:color="auto" w:sz="4" w:space="0"/>
            </w:tcBorders>
            <w:noWrap w:val="0"/>
            <w:vAlign w:val="center"/>
          </w:tcPr>
          <w:p>
            <w:pPr>
              <w:adjustRightInd w:val="0"/>
              <w:snapToGrid w:val="0"/>
              <w:spacing w:line="460" w:lineRule="atLeast"/>
              <w:jc w:val="center"/>
              <w:rPr>
                <w:rFonts w:ascii="宋体"/>
                <w:color w:val="auto"/>
                <w:spacing w:val="20"/>
                <w:sz w:val="22"/>
              </w:rPr>
            </w:pPr>
            <w:r>
              <w:rPr>
                <w:rFonts w:hint="eastAsia" w:ascii="宋体"/>
                <w:color w:val="auto"/>
                <w:spacing w:val="20"/>
                <w:sz w:val="22"/>
              </w:rPr>
              <w:t>实物图片</w:t>
            </w:r>
          </w:p>
          <w:p>
            <w:pPr>
              <w:adjustRightInd w:val="0"/>
              <w:snapToGrid w:val="0"/>
              <w:spacing w:line="460" w:lineRule="atLeast"/>
              <w:jc w:val="center"/>
              <w:rPr>
                <w:rFonts w:ascii="宋体"/>
                <w:color w:val="auto"/>
                <w:spacing w:val="20"/>
                <w:sz w:val="22"/>
              </w:rPr>
            </w:pPr>
            <w:r>
              <w:rPr>
                <w:rFonts w:hint="eastAsia" w:ascii="宋体"/>
                <w:color w:val="auto"/>
                <w:spacing w:val="20"/>
                <w:sz w:val="22"/>
              </w:rPr>
              <w:t>（如有）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rPr>
            </w:pPr>
          </w:p>
        </w:tc>
        <w:tc>
          <w:tcPr>
            <w:tcW w:w="2171" w:type="dxa"/>
            <w:noWrap w:val="0"/>
            <w:vAlign w:val="center"/>
          </w:tcPr>
          <w:p>
            <w:pPr>
              <w:adjustRightInd w:val="0"/>
              <w:snapToGrid w:val="0"/>
              <w:spacing w:line="460" w:lineRule="atLeast"/>
              <w:jc w:val="center"/>
              <w:rPr>
                <w:rFonts w:ascii="宋体"/>
                <w:color w:val="auto"/>
                <w:spacing w:val="20"/>
                <w:sz w:val="22"/>
              </w:rPr>
            </w:pPr>
          </w:p>
        </w:tc>
        <w:tc>
          <w:tcPr>
            <w:tcW w:w="1687" w:type="dxa"/>
            <w:noWrap w:val="0"/>
            <w:vAlign w:val="center"/>
          </w:tcPr>
          <w:p>
            <w:pPr>
              <w:adjustRightInd w:val="0"/>
              <w:snapToGrid w:val="0"/>
              <w:spacing w:line="460" w:lineRule="atLeast"/>
              <w:jc w:val="center"/>
              <w:rPr>
                <w:rFonts w:ascii="宋体"/>
                <w:color w:val="auto"/>
                <w:spacing w:val="20"/>
                <w:sz w:val="22"/>
              </w:rPr>
            </w:pPr>
          </w:p>
        </w:tc>
        <w:tc>
          <w:tcPr>
            <w:tcW w:w="1580" w:type="dxa"/>
            <w:noWrap w:val="0"/>
            <w:vAlign w:val="center"/>
          </w:tcPr>
          <w:p>
            <w:pPr>
              <w:adjustRightInd w:val="0"/>
              <w:snapToGrid w:val="0"/>
              <w:spacing w:line="460" w:lineRule="atLeast"/>
              <w:jc w:val="center"/>
              <w:rPr>
                <w:rFonts w:ascii="宋体"/>
                <w:color w:val="auto"/>
                <w:spacing w:val="20"/>
                <w:sz w:val="22"/>
              </w:rPr>
            </w:pPr>
          </w:p>
        </w:tc>
        <w:tc>
          <w:tcPr>
            <w:tcW w:w="2984" w:type="dxa"/>
            <w:noWrap w:val="0"/>
            <w:vAlign w:val="center"/>
          </w:tcPr>
          <w:p>
            <w:pPr>
              <w:adjustRightInd w:val="0"/>
              <w:snapToGrid w:val="0"/>
              <w:spacing w:line="460" w:lineRule="atLeast"/>
              <w:jc w:val="center"/>
              <w:rPr>
                <w:rFonts w:ascii="宋体"/>
                <w:color w:val="auto"/>
                <w:spacing w:val="20"/>
                <w:sz w:val="22"/>
              </w:rPr>
            </w:pPr>
          </w:p>
        </w:tc>
        <w:tc>
          <w:tcPr>
            <w:tcW w:w="855" w:type="dxa"/>
            <w:noWrap w:val="0"/>
            <w:vAlign w:val="center"/>
          </w:tcPr>
          <w:p>
            <w:pPr>
              <w:adjustRightInd w:val="0"/>
              <w:snapToGrid w:val="0"/>
              <w:spacing w:line="460" w:lineRule="atLeast"/>
              <w:jc w:val="center"/>
              <w:rPr>
                <w:rFonts w:ascii="宋体"/>
                <w:color w:val="auto"/>
                <w:spacing w:val="20"/>
                <w:sz w:val="22"/>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rPr>
            </w:pPr>
          </w:p>
        </w:tc>
        <w:tc>
          <w:tcPr>
            <w:tcW w:w="2171" w:type="dxa"/>
            <w:noWrap w:val="0"/>
            <w:vAlign w:val="center"/>
          </w:tcPr>
          <w:p>
            <w:pPr>
              <w:adjustRightInd w:val="0"/>
              <w:snapToGrid w:val="0"/>
              <w:spacing w:line="460" w:lineRule="atLeast"/>
              <w:jc w:val="center"/>
              <w:rPr>
                <w:rFonts w:ascii="宋体"/>
                <w:color w:val="auto"/>
                <w:spacing w:val="20"/>
                <w:sz w:val="22"/>
              </w:rPr>
            </w:pPr>
          </w:p>
        </w:tc>
        <w:tc>
          <w:tcPr>
            <w:tcW w:w="1687" w:type="dxa"/>
            <w:noWrap w:val="0"/>
            <w:vAlign w:val="center"/>
          </w:tcPr>
          <w:p>
            <w:pPr>
              <w:adjustRightInd w:val="0"/>
              <w:snapToGrid w:val="0"/>
              <w:spacing w:line="460" w:lineRule="atLeast"/>
              <w:jc w:val="center"/>
              <w:rPr>
                <w:rFonts w:ascii="宋体"/>
                <w:color w:val="auto"/>
                <w:spacing w:val="20"/>
                <w:sz w:val="22"/>
              </w:rPr>
            </w:pPr>
          </w:p>
        </w:tc>
        <w:tc>
          <w:tcPr>
            <w:tcW w:w="1580" w:type="dxa"/>
            <w:noWrap w:val="0"/>
            <w:vAlign w:val="center"/>
          </w:tcPr>
          <w:p>
            <w:pPr>
              <w:adjustRightInd w:val="0"/>
              <w:snapToGrid w:val="0"/>
              <w:spacing w:line="460" w:lineRule="atLeast"/>
              <w:jc w:val="center"/>
              <w:rPr>
                <w:rFonts w:ascii="宋体"/>
                <w:color w:val="auto"/>
                <w:spacing w:val="20"/>
                <w:sz w:val="22"/>
              </w:rPr>
            </w:pPr>
          </w:p>
        </w:tc>
        <w:tc>
          <w:tcPr>
            <w:tcW w:w="2984" w:type="dxa"/>
            <w:noWrap w:val="0"/>
            <w:vAlign w:val="center"/>
          </w:tcPr>
          <w:p>
            <w:pPr>
              <w:adjustRightInd w:val="0"/>
              <w:snapToGrid w:val="0"/>
              <w:spacing w:line="460" w:lineRule="atLeast"/>
              <w:jc w:val="center"/>
              <w:rPr>
                <w:rFonts w:ascii="宋体"/>
                <w:color w:val="auto"/>
                <w:spacing w:val="20"/>
                <w:sz w:val="22"/>
              </w:rPr>
            </w:pPr>
          </w:p>
        </w:tc>
        <w:tc>
          <w:tcPr>
            <w:tcW w:w="855" w:type="dxa"/>
            <w:noWrap w:val="0"/>
            <w:vAlign w:val="center"/>
          </w:tcPr>
          <w:p>
            <w:pPr>
              <w:adjustRightInd w:val="0"/>
              <w:snapToGrid w:val="0"/>
              <w:spacing w:line="460" w:lineRule="atLeast"/>
              <w:jc w:val="center"/>
              <w:rPr>
                <w:rFonts w:ascii="宋体"/>
                <w:color w:val="auto"/>
                <w:spacing w:val="20"/>
                <w:sz w:val="22"/>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rPr>
            </w:pPr>
          </w:p>
        </w:tc>
        <w:tc>
          <w:tcPr>
            <w:tcW w:w="2171" w:type="dxa"/>
            <w:noWrap w:val="0"/>
            <w:vAlign w:val="center"/>
          </w:tcPr>
          <w:p>
            <w:pPr>
              <w:adjustRightInd w:val="0"/>
              <w:snapToGrid w:val="0"/>
              <w:spacing w:line="460" w:lineRule="atLeast"/>
              <w:jc w:val="center"/>
              <w:rPr>
                <w:rFonts w:ascii="宋体"/>
                <w:color w:val="auto"/>
                <w:spacing w:val="20"/>
                <w:sz w:val="22"/>
              </w:rPr>
            </w:pPr>
          </w:p>
        </w:tc>
        <w:tc>
          <w:tcPr>
            <w:tcW w:w="1687" w:type="dxa"/>
            <w:noWrap w:val="0"/>
            <w:vAlign w:val="center"/>
          </w:tcPr>
          <w:p>
            <w:pPr>
              <w:adjustRightInd w:val="0"/>
              <w:snapToGrid w:val="0"/>
              <w:spacing w:line="460" w:lineRule="atLeast"/>
              <w:jc w:val="center"/>
              <w:rPr>
                <w:rFonts w:ascii="宋体"/>
                <w:color w:val="auto"/>
                <w:spacing w:val="20"/>
                <w:sz w:val="22"/>
              </w:rPr>
            </w:pPr>
          </w:p>
        </w:tc>
        <w:tc>
          <w:tcPr>
            <w:tcW w:w="1580" w:type="dxa"/>
            <w:noWrap w:val="0"/>
            <w:vAlign w:val="center"/>
          </w:tcPr>
          <w:p>
            <w:pPr>
              <w:adjustRightInd w:val="0"/>
              <w:snapToGrid w:val="0"/>
              <w:spacing w:line="460" w:lineRule="atLeast"/>
              <w:jc w:val="center"/>
              <w:rPr>
                <w:rFonts w:ascii="宋体"/>
                <w:color w:val="auto"/>
                <w:spacing w:val="20"/>
                <w:sz w:val="22"/>
              </w:rPr>
            </w:pPr>
          </w:p>
        </w:tc>
        <w:tc>
          <w:tcPr>
            <w:tcW w:w="2984" w:type="dxa"/>
            <w:noWrap w:val="0"/>
            <w:vAlign w:val="center"/>
          </w:tcPr>
          <w:p>
            <w:pPr>
              <w:adjustRightInd w:val="0"/>
              <w:snapToGrid w:val="0"/>
              <w:spacing w:line="460" w:lineRule="atLeast"/>
              <w:jc w:val="center"/>
              <w:rPr>
                <w:rFonts w:ascii="宋体"/>
                <w:color w:val="auto"/>
                <w:spacing w:val="20"/>
                <w:sz w:val="22"/>
              </w:rPr>
            </w:pPr>
          </w:p>
        </w:tc>
        <w:tc>
          <w:tcPr>
            <w:tcW w:w="855" w:type="dxa"/>
            <w:noWrap w:val="0"/>
            <w:vAlign w:val="center"/>
          </w:tcPr>
          <w:p>
            <w:pPr>
              <w:adjustRightInd w:val="0"/>
              <w:snapToGrid w:val="0"/>
              <w:spacing w:line="460" w:lineRule="atLeast"/>
              <w:jc w:val="center"/>
              <w:rPr>
                <w:rFonts w:ascii="宋体"/>
                <w:color w:val="auto"/>
                <w:spacing w:val="20"/>
                <w:sz w:val="22"/>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rPr>
            </w:pPr>
          </w:p>
        </w:tc>
        <w:tc>
          <w:tcPr>
            <w:tcW w:w="2171" w:type="dxa"/>
            <w:noWrap w:val="0"/>
            <w:vAlign w:val="center"/>
          </w:tcPr>
          <w:p>
            <w:pPr>
              <w:adjustRightInd w:val="0"/>
              <w:snapToGrid w:val="0"/>
              <w:spacing w:line="460" w:lineRule="atLeast"/>
              <w:jc w:val="center"/>
              <w:rPr>
                <w:rFonts w:ascii="宋体"/>
                <w:color w:val="auto"/>
                <w:spacing w:val="20"/>
                <w:sz w:val="22"/>
              </w:rPr>
            </w:pPr>
          </w:p>
        </w:tc>
        <w:tc>
          <w:tcPr>
            <w:tcW w:w="1687" w:type="dxa"/>
            <w:noWrap w:val="0"/>
            <w:vAlign w:val="center"/>
          </w:tcPr>
          <w:p>
            <w:pPr>
              <w:adjustRightInd w:val="0"/>
              <w:snapToGrid w:val="0"/>
              <w:spacing w:line="460" w:lineRule="atLeast"/>
              <w:jc w:val="center"/>
              <w:rPr>
                <w:rFonts w:ascii="宋体"/>
                <w:color w:val="auto"/>
                <w:spacing w:val="20"/>
                <w:sz w:val="22"/>
              </w:rPr>
            </w:pPr>
          </w:p>
        </w:tc>
        <w:tc>
          <w:tcPr>
            <w:tcW w:w="1580" w:type="dxa"/>
            <w:noWrap w:val="0"/>
            <w:vAlign w:val="center"/>
          </w:tcPr>
          <w:p>
            <w:pPr>
              <w:adjustRightInd w:val="0"/>
              <w:snapToGrid w:val="0"/>
              <w:spacing w:line="460" w:lineRule="atLeast"/>
              <w:jc w:val="center"/>
              <w:rPr>
                <w:rFonts w:ascii="宋体"/>
                <w:color w:val="auto"/>
                <w:spacing w:val="20"/>
                <w:sz w:val="22"/>
              </w:rPr>
            </w:pPr>
          </w:p>
        </w:tc>
        <w:tc>
          <w:tcPr>
            <w:tcW w:w="2984" w:type="dxa"/>
            <w:noWrap w:val="0"/>
            <w:vAlign w:val="center"/>
          </w:tcPr>
          <w:p>
            <w:pPr>
              <w:adjustRightInd w:val="0"/>
              <w:snapToGrid w:val="0"/>
              <w:spacing w:line="460" w:lineRule="atLeast"/>
              <w:jc w:val="center"/>
              <w:rPr>
                <w:rFonts w:ascii="宋体"/>
                <w:color w:val="auto"/>
                <w:spacing w:val="20"/>
                <w:sz w:val="22"/>
              </w:rPr>
            </w:pPr>
          </w:p>
        </w:tc>
        <w:tc>
          <w:tcPr>
            <w:tcW w:w="855" w:type="dxa"/>
            <w:noWrap w:val="0"/>
            <w:vAlign w:val="center"/>
          </w:tcPr>
          <w:p>
            <w:pPr>
              <w:adjustRightInd w:val="0"/>
              <w:snapToGrid w:val="0"/>
              <w:spacing w:line="460" w:lineRule="atLeast"/>
              <w:jc w:val="center"/>
              <w:rPr>
                <w:rFonts w:ascii="宋体"/>
                <w:color w:val="auto"/>
                <w:spacing w:val="20"/>
                <w:sz w:val="22"/>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rPr>
            </w:pPr>
          </w:p>
        </w:tc>
        <w:tc>
          <w:tcPr>
            <w:tcW w:w="2171" w:type="dxa"/>
            <w:noWrap w:val="0"/>
            <w:vAlign w:val="center"/>
          </w:tcPr>
          <w:p>
            <w:pPr>
              <w:adjustRightInd w:val="0"/>
              <w:snapToGrid w:val="0"/>
              <w:spacing w:line="460" w:lineRule="atLeast"/>
              <w:jc w:val="center"/>
              <w:rPr>
                <w:rFonts w:ascii="宋体"/>
                <w:color w:val="auto"/>
                <w:spacing w:val="20"/>
                <w:sz w:val="22"/>
              </w:rPr>
            </w:pPr>
          </w:p>
        </w:tc>
        <w:tc>
          <w:tcPr>
            <w:tcW w:w="1687" w:type="dxa"/>
            <w:noWrap w:val="0"/>
            <w:vAlign w:val="center"/>
          </w:tcPr>
          <w:p>
            <w:pPr>
              <w:adjustRightInd w:val="0"/>
              <w:snapToGrid w:val="0"/>
              <w:spacing w:line="460" w:lineRule="atLeast"/>
              <w:jc w:val="center"/>
              <w:rPr>
                <w:rFonts w:ascii="宋体"/>
                <w:color w:val="auto"/>
                <w:spacing w:val="20"/>
                <w:sz w:val="22"/>
              </w:rPr>
            </w:pPr>
          </w:p>
        </w:tc>
        <w:tc>
          <w:tcPr>
            <w:tcW w:w="1580" w:type="dxa"/>
            <w:noWrap w:val="0"/>
            <w:vAlign w:val="center"/>
          </w:tcPr>
          <w:p>
            <w:pPr>
              <w:adjustRightInd w:val="0"/>
              <w:snapToGrid w:val="0"/>
              <w:spacing w:line="460" w:lineRule="atLeast"/>
              <w:jc w:val="center"/>
              <w:rPr>
                <w:rFonts w:ascii="宋体"/>
                <w:color w:val="auto"/>
                <w:spacing w:val="20"/>
                <w:sz w:val="22"/>
              </w:rPr>
            </w:pPr>
          </w:p>
        </w:tc>
        <w:tc>
          <w:tcPr>
            <w:tcW w:w="2984" w:type="dxa"/>
            <w:noWrap w:val="0"/>
            <w:vAlign w:val="center"/>
          </w:tcPr>
          <w:p>
            <w:pPr>
              <w:adjustRightInd w:val="0"/>
              <w:snapToGrid w:val="0"/>
              <w:spacing w:line="460" w:lineRule="atLeast"/>
              <w:jc w:val="center"/>
              <w:rPr>
                <w:rFonts w:ascii="宋体"/>
                <w:color w:val="auto"/>
                <w:spacing w:val="20"/>
                <w:sz w:val="22"/>
              </w:rPr>
            </w:pPr>
          </w:p>
        </w:tc>
        <w:tc>
          <w:tcPr>
            <w:tcW w:w="855" w:type="dxa"/>
            <w:noWrap w:val="0"/>
            <w:vAlign w:val="center"/>
          </w:tcPr>
          <w:p>
            <w:pPr>
              <w:adjustRightInd w:val="0"/>
              <w:snapToGrid w:val="0"/>
              <w:spacing w:line="460" w:lineRule="atLeast"/>
              <w:jc w:val="center"/>
              <w:rPr>
                <w:rFonts w:ascii="宋体"/>
                <w:color w:val="auto"/>
                <w:spacing w:val="20"/>
                <w:sz w:val="22"/>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rPr>
            </w:pPr>
          </w:p>
        </w:tc>
        <w:tc>
          <w:tcPr>
            <w:tcW w:w="2171" w:type="dxa"/>
            <w:noWrap w:val="0"/>
            <w:vAlign w:val="center"/>
          </w:tcPr>
          <w:p>
            <w:pPr>
              <w:adjustRightInd w:val="0"/>
              <w:snapToGrid w:val="0"/>
              <w:spacing w:line="460" w:lineRule="atLeast"/>
              <w:jc w:val="center"/>
              <w:rPr>
                <w:rFonts w:ascii="宋体"/>
                <w:color w:val="auto"/>
                <w:spacing w:val="20"/>
                <w:sz w:val="22"/>
              </w:rPr>
            </w:pPr>
          </w:p>
        </w:tc>
        <w:tc>
          <w:tcPr>
            <w:tcW w:w="1687" w:type="dxa"/>
            <w:noWrap w:val="0"/>
            <w:vAlign w:val="center"/>
          </w:tcPr>
          <w:p>
            <w:pPr>
              <w:adjustRightInd w:val="0"/>
              <w:snapToGrid w:val="0"/>
              <w:spacing w:line="460" w:lineRule="atLeast"/>
              <w:jc w:val="center"/>
              <w:rPr>
                <w:rFonts w:ascii="宋体"/>
                <w:color w:val="auto"/>
                <w:spacing w:val="20"/>
                <w:sz w:val="22"/>
              </w:rPr>
            </w:pPr>
          </w:p>
        </w:tc>
        <w:tc>
          <w:tcPr>
            <w:tcW w:w="1580" w:type="dxa"/>
            <w:noWrap w:val="0"/>
            <w:vAlign w:val="center"/>
          </w:tcPr>
          <w:p>
            <w:pPr>
              <w:adjustRightInd w:val="0"/>
              <w:snapToGrid w:val="0"/>
              <w:spacing w:line="460" w:lineRule="atLeast"/>
              <w:jc w:val="center"/>
              <w:rPr>
                <w:rFonts w:ascii="宋体"/>
                <w:color w:val="auto"/>
                <w:spacing w:val="20"/>
                <w:sz w:val="22"/>
              </w:rPr>
            </w:pPr>
          </w:p>
        </w:tc>
        <w:tc>
          <w:tcPr>
            <w:tcW w:w="2984" w:type="dxa"/>
            <w:noWrap w:val="0"/>
            <w:vAlign w:val="center"/>
          </w:tcPr>
          <w:p>
            <w:pPr>
              <w:adjustRightInd w:val="0"/>
              <w:snapToGrid w:val="0"/>
              <w:spacing w:line="460" w:lineRule="atLeast"/>
              <w:jc w:val="center"/>
              <w:rPr>
                <w:rFonts w:ascii="宋体"/>
                <w:color w:val="auto"/>
                <w:spacing w:val="20"/>
                <w:sz w:val="22"/>
              </w:rPr>
            </w:pPr>
          </w:p>
        </w:tc>
        <w:tc>
          <w:tcPr>
            <w:tcW w:w="855" w:type="dxa"/>
            <w:noWrap w:val="0"/>
            <w:vAlign w:val="center"/>
          </w:tcPr>
          <w:p>
            <w:pPr>
              <w:adjustRightInd w:val="0"/>
              <w:snapToGrid w:val="0"/>
              <w:spacing w:line="460" w:lineRule="atLeast"/>
              <w:jc w:val="center"/>
              <w:rPr>
                <w:rFonts w:ascii="宋体"/>
                <w:color w:val="auto"/>
                <w:spacing w:val="20"/>
                <w:sz w:val="22"/>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rPr>
            </w:pPr>
          </w:p>
        </w:tc>
        <w:tc>
          <w:tcPr>
            <w:tcW w:w="2171" w:type="dxa"/>
            <w:noWrap w:val="0"/>
            <w:vAlign w:val="center"/>
          </w:tcPr>
          <w:p>
            <w:pPr>
              <w:adjustRightInd w:val="0"/>
              <w:snapToGrid w:val="0"/>
              <w:spacing w:line="460" w:lineRule="atLeast"/>
              <w:jc w:val="center"/>
              <w:rPr>
                <w:rFonts w:ascii="宋体"/>
                <w:color w:val="auto"/>
                <w:spacing w:val="20"/>
                <w:sz w:val="22"/>
              </w:rPr>
            </w:pPr>
          </w:p>
        </w:tc>
        <w:tc>
          <w:tcPr>
            <w:tcW w:w="1687" w:type="dxa"/>
            <w:noWrap w:val="0"/>
            <w:vAlign w:val="center"/>
          </w:tcPr>
          <w:p>
            <w:pPr>
              <w:adjustRightInd w:val="0"/>
              <w:snapToGrid w:val="0"/>
              <w:spacing w:line="460" w:lineRule="atLeast"/>
              <w:jc w:val="center"/>
              <w:rPr>
                <w:rFonts w:ascii="宋体"/>
                <w:color w:val="auto"/>
                <w:spacing w:val="20"/>
                <w:sz w:val="22"/>
              </w:rPr>
            </w:pPr>
          </w:p>
        </w:tc>
        <w:tc>
          <w:tcPr>
            <w:tcW w:w="1580" w:type="dxa"/>
            <w:noWrap w:val="0"/>
            <w:vAlign w:val="center"/>
          </w:tcPr>
          <w:p>
            <w:pPr>
              <w:adjustRightInd w:val="0"/>
              <w:snapToGrid w:val="0"/>
              <w:spacing w:line="460" w:lineRule="atLeast"/>
              <w:jc w:val="center"/>
              <w:rPr>
                <w:rFonts w:ascii="宋体"/>
                <w:color w:val="auto"/>
                <w:spacing w:val="20"/>
                <w:sz w:val="22"/>
              </w:rPr>
            </w:pPr>
          </w:p>
        </w:tc>
        <w:tc>
          <w:tcPr>
            <w:tcW w:w="2984" w:type="dxa"/>
            <w:noWrap w:val="0"/>
            <w:vAlign w:val="center"/>
          </w:tcPr>
          <w:p>
            <w:pPr>
              <w:adjustRightInd w:val="0"/>
              <w:snapToGrid w:val="0"/>
              <w:spacing w:line="460" w:lineRule="atLeast"/>
              <w:jc w:val="center"/>
              <w:rPr>
                <w:rFonts w:ascii="宋体"/>
                <w:color w:val="auto"/>
                <w:spacing w:val="20"/>
                <w:sz w:val="22"/>
              </w:rPr>
            </w:pPr>
          </w:p>
        </w:tc>
        <w:tc>
          <w:tcPr>
            <w:tcW w:w="855" w:type="dxa"/>
            <w:noWrap w:val="0"/>
            <w:vAlign w:val="center"/>
          </w:tcPr>
          <w:p>
            <w:pPr>
              <w:adjustRightInd w:val="0"/>
              <w:snapToGrid w:val="0"/>
              <w:spacing w:line="460" w:lineRule="atLeast"/>
              <w:jc w:val="center"/>
              <w:rPr>
                <w:rFonts w:ascii="宋体"/>
                <w:color w:val="auto"/>
                <w:spacing w:val="20"/>
                <w:sz w:val="22"/>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rPr>
            </w:pPr>
          </w:p>
        </w:tc>
        <w:tc>
          <w:tcPr>
            <w:tcW w:w="2171" w:type="dxa"/>
            <w:noWrap w:val="0"/>
            <w:vAlign w:val="center"/>
          </w:tcPr>
          <w:p>
            <w:pPr>
              <w:adjustRightInd w:val="0"/>
              <w:snapToGrid w:val="0"/>
              <w:spacing w:line="460" w:lineRule="atLeast"/>
              <w:jc w:val="center"/>
              <w:rPr>
                <w:rFonts w:ascii="宋体"/>
                <w:color w:val="auto"/>
                <w:spacing w:val="20"/>
                <w:sz w:val="22"/>
              </w:rPr>
            </w:pPr>
          </w:p>
        </w:tc>
        <w:tc>
          <w:tcPr>
            <w:tcW w:w="1687" w:type="dxa"/>
            <w:noWrap w:val="0"/>
            <w:vAlign w:val="center"/>
          </w:tcPr>
          <w:p>
            <w:pPr>
              <w:adjustRightInd w:val="0"/>
              <w:snapToGrid w:val="0"/>
              <w:spacing w:line="460" w:lineRule="atLeast"/>
              <w:jc w:val="center"/>
              <w:rPr>
                <w:rFonts w:ascii="宋体"/>
                <w:color w:val="auto"/>
                <w:spacing w:val="20"/>
                <w:sz w:val="22"/>
              </w:rPr>
            </w:pPr>
          </w:p>
        </w:tc>
        <w:tc>
          <w:tcPr>
            <w:tcW w:w="1580" w:type="dxa"/>
            <w:noWrap w:val="0"/>
            <w:vAlign w:val="center"/>
          </w:tcPr>
          <w:p>
            <w:pPr>
              <w:adjustRightInd w:val="0"/>
              <w:snapToGrid w:val="0"/>
              <w:spacing w:line="460" w:lineRule="atLeast"/>
              <w:jc w:val="center"/>
              <w:rPr>
                <w:rFonts w:ascii="宋体"/>
                <w:color w:val="auto"/>
                <w:spacing w:val="20"/>
                <w:sz w:val="22"/>
              </w:rPr>
            </w:pPr>
          </w:p>
        </w:tc>
        <w:tc>
          <w:tcPr>
            <w:tcW w:w="2984" w:type="dxa"/>
            <w:noWrap w:val="0"/>
            <w:vAlign w:val="center"/>
          </w:tcPr>
          <w:p>
            <w:pPr>
              <w:adjustRightInd w:val="0"/>
              <w:snapToGrid w:val="0"/>
              <w:spacing w:line="460" w:lineRule="atLeast"/>
              <w:jc w:val="center"/>
              <w:rPr>
                <w:rFonts w:ascii="宋体"/>
                <w:color w:val="auto"/>
                <w:spacing w:val="20"/>
                <w:sz w:val="22"/>
              </w:rPr>
            </w:pPr>
          </w:p>
        </w:tc>
        <w:tc>
          <w:tcPr>
            <w:tcW w:w="855" w:type="dxa"/>
            <w:noWrap w:val="0"/>
            <w:vAlign w:val="center"/>
          </w:tcPr>
          <w:p>
            <w:pPr>
              <w:adjustRightInd w:val="0"/>
              <w:snapToGrid w:val="0"/>
              <w:spacing w:line="460" w:lineRule="atLeast"/>
              <w:jc w:val="center"/>
              <w:rPr>
                <w:rFonts w:ascii="宋体"/>
                <w:color w:val="auto"/>
                <w:spacing w:val="20"/>
                <w:sz w:val="22"/>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rPr>
            </w:pPr>
          </w:p>
        </w:tc>
        <w:tc>
          <w:tcPr>
            <w:tcW w:w="2171" w:type="dxa"/>
            <w:noWrap w:val="0"/>
            <w:vAlign w:val="center"/>
          </w:tcPr>
          <w:p>
            <w:pPr>
              <w:adjustRightInd w:val="0"/>
              <w:snapToGrid w:val="0"/>
              <w:spacing w:line="460" w:lineRule="atLeast"/>
              <w:jc w:val="center"/>
              <w:rPr>
                <w:rFonts w:ascii="宋体"/>
                <w:color w:val="auto"/>
                <w:spacing w:val="20"/>
                <w:sz w:val="22"/>
              </w:rPr>
            </w:pPr>
          </w:p>
        </w:tc>
        <w:tc>
          <w:tcPr>
            <w:tcW w:w="1687" w:type="dxa"/>
            <w:noWrap w:val="0"/>
            <w:vAlign w:val="center"/>
          </w:tcPr>
          <w:p>
            <w:pPr>
              <w:adjustRightInd w:val="0"/>
              <w:snapToGrid w:val="0"/>
              <w:spacing w:line="460" w:lineRule="atLeast"/>
              <w:jc w:val="center"/>
              <w:rPr>
                <w:rFonts w:ascii="宋体"/>
                <w:color w:val="auto"/>
                <w:spacing w:val="20"/>
                <w:sz w:val="22"/>
              </w:rPr>
            </w:pPr>
          </w:p>
        </w:tc>
        <w:tc>
          <w:tcPr>
            <w:tcW w:w="1580" w:type="dxa"/>
            <w:noWrap w:val="0"/>
            <w:vAlign w:val="center"/>
          </w:tcPr>
          <w:p>
            <w:pPr>
              <w:adjustRightInd w:val="0"/>
              <w:snapToGrid w:val="0"/>
              <w:spacing w:line="460" w:lineRule="atLeast"/>
              <w:jc w:val="center"/>
              <w:rPr>
                <w:rFonts w:ascii="宋体"/>
                <w:color w:val="auto"/>
                <w:spacing w:val="20"/>
                <w:sz w:val="22"/>
              </w:rPr>
            </w:pPr>
          </w:p>
        </w:tc>
        <w:tc>
          <w:tcPr>
            <w:tcW w:w="2984" w:type="dxa"/>
            <w:noWrap w:val="0"/>
            <w:vAlign w:val="center"/>
          </w:tcPr>
          <w:p>
            <w:pPr>
              <w:adjustRightInd w:val="0"/>
              <w:snapToGrid w:val="0"/>
              <w:spacing w:line="460" w:lineRule="atLeast"/>
              <w:jc w:val="center"/>
              <w:rPr>
                <w:rFonts w:ascii="宋体"/>
                <w:color w:val="auto"/>
                <w:spacing w:val="20"/>
                <w:sz w:val="22"/>
              </w:rPr>
            </w:pPr>
          </w:p>
        </w:tc>
        <w:tc>
          <w:tcPr>
            <w:tcW w:w="855" w:type="dxa"/>
            <w:noWrap w:val="0"/>
            <w:vAlign w:val="center"/>
          </w:tcPr>
          <w:p>
            <w:pPr>
              <w:adjustRightInd w:val="0"/>
              <w:snapToGrid w:val="0"/>
              <w:spacing w:line="460" w:lineRule="atLeast"/>
              <w:jc w:val="center"/>
              <w:rPr>
                <w:rFonts w:ascii="宋体"/>
                <w:color w:val="auto"/>
                <w:spacing w:val="20"/>
                <w:sz w:val="22"/>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ascii="宋体"/>
                <w:color w:val="auto"/>
                <w:spacing w:val="20"/>
                <w:sz w:val="22"/>
              </w:rPr>
            </w:pPr>
          </w:p>
        </w:tc>
        <w:tc>
          <w:tcPr>
            <w:tcW w:w="2171" w:type="dxa"/>
            <w:noWrap w:val="0"/>
            <w:vAlign w:val="center"/>
          </w:tcPr>
          <w:p>
            <w:pPr>
              <w:adjustRightInd w:val="0"/>
              <w:snapToGrid w:val="0"/>
              <w:spacing w:line="460" w:lineRule="atLeast"/>
              <w:jc w:val="center"/>
              <w:rPr>
                <w:rFonts w:ascii="宋体"/>
                <w:color w:val="auto"/>
                <w:spacing w:val="20"/>
                <w:sz w:val="22"/>
              </w:rPr>
            </w:pPr>
          </w:p>
        </w:tc>
        <w:tc>
          <w:tcPr>
            <w:tcW w:w="1687" w:type="dxa"/>
            <w:noWrap w:val="0"/>
            <w:vAlign w:val="center"/>
          </w:tcPr>
          <w:p>
            <w:pPr>
              <w:adjustRightInd w:val="0"/>
              <w:snapToGrid w:val="0"/>
              <w:spacing w:line="460" w:lineRule="atLeast"/>
              <w:jc w:val="center"/>
              <w:rPr>
                <w:rFonts w:ascii="宋体"/>
                <w:color w:val="auto"/>
                <w:spacing w:val="20"/>
                <w:sz w:val="22"/>
              </w:rPr>
            </w:pPr>
          </w:p>
        </w:tc>
        <w:tc>
          <w:tcPr>
            <w:tcW w:w="1580" w:type="dxa"/>
            <w:noWrap w:val="0"/>
            <w:vAlign w:val="center"/>
          </w:tcPr>
          <w:p>
            <w:pPr>
              <w:adjustRightInd w:val="0"/>
              <w:snapToGrid w:val="0"/>
              <w:spacing w:line="460" w:lineRule="atLeast"/>
              <w:jc w:val="center"/>
              <w:rPr>
                <w:rFonts w:ascii="宋体"/>
                <w:color w:val="auto"/>
                <w:spacing w:val="20"/>
                <w:sz w:val="22"/>
              </w:rPr>
            </w:pPr>
          </w:p>
        </w:tc>
        <w:tc>
          <w:tcPr>
            <w:tcW w:w="2984" w:type="dxa"/>
            <w:noWrap w:val="0"/>
            <w:vAlign w:val="center"/>
          </w:tcPr>
          <w:p>
            <w:pPr>
              <w:adjustRightInd w:val="0"/>
              <w:snapToGrid w:val="0"/>
              <w:spacing w:line="460" w:lineRule="atLeast"/>
              <w:jc w:val="center"/>
              <w:rPr>
                <w:rFonts w:ascii="宋体"/>
                <w:color w:val="auto"/>
                <w:spacing w:val="20"/>
                <w:sz w:val="22"/>
              </w:rPr>
            </w:pPr>
          </w:p>
        </w:tc>
        <w:tc>
          <w:tcPr>
            <w:tcW w:w="855" w:type="dxa"/>
            <w:noWrap w:val="0"/>
            <w:vAlign w:val="center"/>
          </w:tcPr>
          <w:p>
            <w:pPr>
              <w:adjustRightInd w:val="0"/>
              <w:snapToGrid w:val="0"/>
              <w:spacing w:line="460" w:lineRule="atLeast"/>
              <w:jc w:val="center"/>
              <w:rPr>
                <w:rFonts w:ascii="宋体"/>
                <w:color w:val="auto"/>
                <w:spacing w:val="20"/>
                <w:sz w:val="22"/>
              </w:rPr>
            </w:pPr>
          </w:p>
        </w:tc>
        <w:tc>
          <w:tcPr>
            <w:tcW w:w="1636" w:type="dxa"/>
            <w:tcBorders>
              <w:right w:val="single" w:color="auto" w:sz="4" w:space="0"/>
            </w:tcBorders>
            <w:noWrap w:val="0"/>
            <w:vAlign w:val="center"/>
          </w:tcPr>
          <w:p>
            <w:pPr>
              <w:adjustRightInd w:val="0"/>
              <w:snapToGrid w:val="0"/>
              <w:spacing w:line="460" w:lineRule="atLeast"/>
              <w:jc w:val="center"/>
              <w:rPr>
                <w:rFonts w:ascii="宋体"/>
                <w:color w:val="auto"/>
                <w:spacing w:val="20"/>
                <w:sz w:val="22"/>
              </w:rPr>
            </w:pPr>
          </w:p>
        </w:tc>
        <w:tc>
          <w:tcPr>
            <w:tcW w:w="1916" w:type="dxa"/>
            <w:tcBorders>
              <w:left w:val="single" w:color="auto" w:sz="4" w:space="0"/>
            </w:tcBorders>
            <w:noWrap w:val="0"/>
            <w:vAlign w:val="center"/>
          </w:tcPr>
          <w:p>
            <w:pPr>
              <w:adjustRightInd w:val="0"/>
              <w:snapToGrid w:val="0"/>
              <w:spacing w:line="460" w:lineRule="atLeast"/>
              <w:jc w:val="center"/>
              <w:rPr>
                <w:rFonts w:ascii="宋体"/>
                <w:color w:val="auto"/>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noWrap w:val="0"/>
            <w:vAlign w:val="center"/>
          </w:tcPr>
          <w:p>
            <w:pPr>
              <w:adjustRightInd w:val="0"/>
              <w:snapToGrid w:val="0"/>
              <w:spacing w:line="460" w:lineRule="atLeast"/>
              <w:jc w:val="center"/>
              <w:rPr>
                <w:rFonts w:ascii="宋体"/>
                <w:color w:val="auto"/>
                <w:spacing w:val="20"/>
                <w:sz w:val="22"/>
              </w:rPr>
            </w:pPr>
          </w:p>
        </w:tc>
        <w:tc>
          <w:tcPr>
            <w:tcW w:w="2171" w:type="dxa"/>
            <w:tcBorders>
              <w:bottom w:val="double" w:color="auto" w:sz="4" w:space="0"/>
            </w:tcBorders>
            <w:noWrap w:val="0"/>
            <w:vAlign w:val="center"/>
          </w:tcPr>
          <w:p>
            <w:pPr>
              <w:adjustRightInd w:val="0"/>
              <w:snapToGrid w:val="0"/>
              <w:spacing w:line="460" w:lineRule="atLeast"/>
              <w:jc w:val="center"/>
              <w:rPr>
                <w:rFonts w:ascii="宋体"/>
                <w:color w:val="auto"/>
                <w:spacing w:val="20"/>
                <w:sz w:val="22"/>
              </w:rPr>
            </w:pPr>
          </w:p>
        </w:tc>
        <w:tc>
          <w:tcPr>
            <w:tcW w:w="1687" w:type="dxa"/>
            <w:tcBorders>
              <w:bottom w:val="double" w:color="auto" w:sz="4" w:space="0"/>
            </w:tcBorders>
            <w:noWrap w:val="0"/>
            <w:vAlign w:val="center"/>
          </w:tcPr>
          <w:p>
            <w:pPr>
              <w:adjustRightInd w:val="0"/>
              <w:snapToGrid w:val="0"/>
              <w:spacing w:line="460" w:lineRule="atLeast"/>
              <w:jc w:val="center"/>
              <w:rPr>
                <w:rFonts w:ascii="宋体"/>
                <w:color w:val="auto"/>
                <w:spacing w:val="20"/>
                <w:sz w:val="22"/>
              </w:rPr>
            </w:pPr>
          </w:p>
        </w:tc>
        <w:tc>
          <w:tcPr>
            <w:tcW w:w="1580" w:type="dxa"/>
            <w:tcBorders>
              <w:bottom w:val="double" w:color="auto" w:sz="4" w:space="0"/>
            </w:tcBorders>
            <w:noWrap w:val="0"/>
            <w:vAlign w:val="center"/>
          </w:tcPr>
          <w:p>
            <w:pPr>
              <w:adjustRightInd w:val="0"/>
              <w:snapToGrid w:val="0"/>
              <w:spacing w:line="460" w:lineRule="atLeast"/>
              <w:jc w:val="center"/>
              <w:rPr>
                <w:rFonts w:ascii="宋体"/>
                <w:color w:val="auto"/>
                <w:spacing w:val="20"/>
                <w:sz w:val="22"/>
              </w:rPr>
            </w:pPr>
          </w:p>
        </w:tc>
        <w:tc>
          <w:tcPr>
            <w:tcW w:w="2984" w:type="dxa"/>
            <w:tcBorders>
              <w:bottom w:val="double" w:color="auto" w:sz="4" w:space="0"/>
            </w:tcBorders>
            <w:noWrap w:val="0"/>
            <w:vAlign w:val="center"/>
          </w:tcPr>
          <w:p>
            <w:pPr>
              <w:adjustRightInd w:val="0"/>
              <w:snapToGrid w:val="0"/>
              <w:spacing w:line="460" w:lineRule="atLeast"/>
              <w:jc w:val="center"/>
              <w:rPr>
                <w:rFonts w:ascii="宋体"/>
                <w:color w:val="auto"/>
                <w:spacing w:val="20"/>
                <w:sz w:val="22"/>
              </w:rPr>
            </w:pPr>
          </w:p>
        </w:tc>
        <w:tc>
          <w:tcPr>
            <w:tcW w:w="855" w:type="dxa"/>
            <w:tcBorders>
              <w:bottom w:val="double" w:color="auto" w:sz="4" w:space="0"/>
            </w:tcBorders>
            <w:noWrap w:val="0"/>
            <w:vAlign w:val="center"/>
          </w:tcPr>
          <w:p>
            <w:pPr>
              <w:adjustRightInd w:val="0"/>
              <w:snapToGrid w:val="0"/>
              <w:spacing w:line="460" w:lineRule="atLeast"/>
              <w:jc w:val="center"/>
              <w:rPr>
                <w:rFonts w:ascii="宋体"/>
                <w:color w:val="auto"/>
                <w:spacing w:val="20"/>
                <w:sz w:val="22"/>
              </w:rPr>
            </w:pPr>
          </w:p>
        </w:tc>
        <w:tc>
          <w:tcPr>
            <w:tcW w:w="1636" w:type="dxa"/>
            <w:tcBorders>
              <w:bottom w:val="double" w:color="auto" w:sz="4" w:space="0"/>
              <w:right w:val="single" w:color="auto" w:sz="4" w:space="0"/>
            </w:tcBorders>
            <w:noWrap w:val="0"/>
            <w:vAlign w:val="center"/>
          </w:tcPr>
          <w:p>
            <w:pPr>
              <w:adjustRightInd w:val="0"/>
              <w:snapToGrid w:val="0"/>
              <w:spacing w:line="460" w:lineRule="atLeast"/>
              <w:jc w:val="center"/>
              <w:rPr>
                <w:rFonts w:ascii="宋体"/>
                <w:color w:val="auto"/>
                <w:spacing w:val="20"/>
                <w:sz w:val="22"/>
              </w:rPr>
            </w:pPr>
          </w:p>
        </w:tc>
        <w:tc>
          <w:tcPr>
            <w:tcW w:w="1916" w:type="dxa"/>
            <w:tcBorders>
              <w:left w:val="single" w:color="auto" w:sz="4" w:space="0"/>
              <w:bottom w:val="double" w:color="auto" w:sz="4" w:space="0"/>
            </w:tcBorders>
            <w:noWrap w:val="0"/>
            <w:vAlign w:val="center"/>
          </w:tcPr>
          <w:p>
            <w:pPr>
              <w:adjustRightInd w:val="0"/>
              <w:snapToGrid w:val="0"/>
              <w:spacing w:line="460" w:lineRule="atLeast"/>
              <w:jc w:val="center"/>
              <w:rPr>
                <w:rFonts w:ascii="宋体"/>
                <w:color w:val="auto"/>
                <w:spacing w:val="20"/>
                <w:sz w:val="22"/>
              </w:rPr>
            </w:pPr>
          </w:p>
        </w:tc>
      </w:tr>
    </w:tbl>
    <w:p>
      <w:pPr>
        <w:spacing w:line="360" w:lineRule="exact"/>
        <w:rPr>
          <w:rFonts w:ascii="宋体"/>
          <w:color w:val="auto"/>
          <w:spacing w:val="20"/>
          <w:sz w:val="22"/>
        </w:rPr>
      </w:pPr>
      <w:r>
        <w:rPr>
          <w:rFonts w:hint="eastAsia" w:ascii="宋体"/>
          <w:color w:val="auto"/>
          <w:spacing w:val="20"/>
          <w:sz w:val="22"/>
        </w:rPr>
        <w:t>供应商盖章：</w:t>
      </w:r>
    </w:p>
    <w:p>
      <w:pPr>
        <w:numPr>
          <w:ilvl w:val="0"/>
          <w:numId w:val="38"/>
        </w:numPr>
        <w:spacing w:line="360" w:lineRule="auto"/>
        <w:rPr>
          <w:rFonts w:ascii="宋体"/>
          <w:color w:val="auto"/>
          <w:spacing w:val="20"/>
          <w:sz w:val="22"/>
        </w:rPr>
      </w:pPr>
      <w:r>
        <w:rPr>
          <w:rFonts w:hint="eastAsia" w:ascii="宋体"/>
          <w:color w:val="auto"/>
          <w:spacing w:val="20"/>
          <w:sz w:val="22"/>
        </w:rPr>
        <w:t>注：</w:t>
      </w:r>
      <w:r>
        <w:rPr>
          <w:rFonts w:ascii="宋体"/>
          <w:color w:val="auto"/>
          <w:spacing w:val="20"/>
          <w:sz w:val="22"/>
        </w:rPr>
        <w:t>1</w:t>
      </w:r>
      <w:r>
        <w:rPr>
          <w:rFonts w:hint="eastAsia" w:ascii="宋体"/>
          <w:color w:val="auto"/>
          <w:spacing w:val="20"/>
          <w:sz w:val="22"/>
        </w:rPr>
        <w:t>、放置技术资信标中。本表相当于不带价格的明细报价表。</w:t>
      </w:r>
    </w:p>
    <w:p>
      <w:pPr>
        <w:spacing w:line="360" w:lineRule="auto"/>
        <w:ind w:firstLine="920" w:firstLineChars="350"/>
        <w:rPr>
          <w:rFonts w:hint="eastAsia" w:ascii="宋体"/>
          <w:b w:val="0"/>
          <w:bCs w:val="0"/>
          <w:color w:val="auto"/>
          <w:spacing w:val="20"/>
          <w:sz w:val="22"/>
          <w:u w:val="none"/>
        </w:rPr>
        <w:sectPr>
          <w:pgSz w:w="16838" w:h="11906" w:orient="landscape"/>
          <w:pgMar w:top="1247" w:right="1440" w:bottom="1247" w:left="1440" w:header="851" w:footer="992" w:gutter="0"/>
          <w:pgNumType w:fmt="numberInDash"/>
          <w:cols w:space="720" w:num="1"/>
          <w:titlePg/>
          <w:docGrid w:type="linesAndChars" w:linePitch="313" w:charSpace="800"/>
        </w:sectPr>
      </w:pPr>
      <w:bookmarkStart w:id="174" w:name="_Toc24259_WPSOffice_Level3"/>
      <w:r>
        <w:rPr>
          <w:rFonts w:ascii="宋体"/>
          <w:color w:val="auto"/>
          <w:spacing w:val="20"/>
          <w:sz w:val="22"/>
        </w:rPr>
        <w:t>2</w:t>
      </w:r>
      <w:r>
        <w:rPr>
          <w:rFonts w:hint="eastAsia" w:ascii="宋体"/>
          <w:b w:val="0"/>
          <w:bCs w:val="0"/>
          <w:color w:val="auto"/>
          <w:spacing w:val="20"/>
          <w:sz w:val="22"/>
          <w:u w:val="none"/>
        </w:rPr>
        <w:t>、产品详细配置、技术应另页描述。</w:t>
      </w:r>
      <w:bookmarkEnd w:id="174"/>
    </w:p>
    <w:p>
      <w:pPr>
        <w:rPr>
          <w:rFonts w:hint="eastAsia" w:ascii="宋体" w:eastAsia="宋体"/>
          <w:b/>
          <w:bCs/>
          <w:color w:val="auto"/>
          <w:sz w:val="32"/>
          <w:szCs w:val="32"/>
          <w:lang w:eastAsia="zh-CN"/>
        </w:rPr>
      </w:pPr>
      <w:r>
        <w:rPr>
          <w:rFonts w:hint="eastAsia" w:ascii="宋体"/>
          <w:b/>
          <w:bCs/>
          <w:color w:val="auto"/>
          <w:sz w:val="32"/>
          <w:szCs w:val="32"/>
        </w:rPr>
        <w:t>附件十</w:t>
      </w:r>
      <w:r>
        <w:rPr>
          <w:rFonts w:hint="eastAsia" w:ascii="宋体"/>
          <w:b/>
          <w:bCs/>
          <w:color w:val="auto"/>
          <w:sz w:val="32"/>
          <w:szCs w:val="32"/>
          <w:lang w:val="en-US" w:eastAsia="zh-CN"/>
        </w:rPr>
        <w:t>四</w:t>
      </w:r>
    </w:p>
    <w:p>
      <w:pPr>
        <w:jc w:val="center"/>
        <w:rPr>
          <w:rFonts w:ascii="宋体"/>
          <w:b/>
          <w:bCs/>
          <w:color w:val="auto"/>
          <w:sz w:val="32"/>
          <w:szCs w:val="32"/>
        </w:rPr>
      </w:pPr>
      <w:r>
        <w:rPr>
          <w:rFonts w:hint="eastAsia" w:ascii="宋体"/>
          <w:b/>
          <w:bCs/>
          <w:color w:val="auto"/>
          <w:sz w:val="32"/>
          <w:szCs w:val="32"/>
        </w:rPr>
        <w:t>供应商项目服务人员汇总表</w:t>
      </w:r>
    </w:p>
    <w:p>
      <w:pPr>
        <w:spacing w:line="360" w:lineRule="auto"/>
        <w:rPr>
          <w:rFonts w:ascii="宋体"/>
          <w:color w:val="auto"/>
          <w:sz w:val="22"/>
        </w:rPr>
      </w:pPr>
      <w:r>
        <w:rPr>
          <w:rFonts w:hint="eastAsia" w:ascii="宋体"/>
          <w:color w:val="auto"/>
          <w:sz w:val="22"/>
        </w:rPr>
        <w:t>项目名称：</w:t>
      </w:r>
      <w:r>
        <w:rPr>
          <w:rFonts w:hint="eastAsia" w:ascii="宋体"/>
          <w:color w:val="auto"/>
          <w:sz w:val="22"/>
          <w:u w:val="single"/>
          <w:lang w:val="zh-CN"/>
        </w:rPr>
        <w:t>泰顺县水利工程可视化项目</w:t>
      </w:r>
    </w:p>
    <w:p>
      <w:pPr>
        <w:spacing w:line="360" w:lineRule="auto"/>
        <w:rPr>
          <w:rFonts w:ascii="宋体"/>
          <w:bCs/>
          <w:color w:val="auto"/>
          <w:sz w:val="22"/>
        </w:rPr>
      </w:pPr>
      <w:r>
        <w:rPr>
          <w:rFonts w:hint="eastAsia" w:ascii="宋体"/>
          <w:color w:val="auto"/>
          <w:sz w:val="22"/>
        </w:rPr>
        <w:t>招标编号：</w:t>
      </w:r>
      <w:r>
        <w:rPr>
          <w:rFonts w:hint="eastAsia" w:ascii="宋体"/>
          <w:color w:val="auto"/>
          <w:sz w:val="22"/>
          <w:u w:val="single"/>
          <w:lang w:val="zh-CN"/>
        </w:rPr>
        <w:t>TSCG202004003</w:t>
      </w:r>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jc w:val="center"/>
              <w:rPr>
                <w:rFonts w:ascii="宋体"/>
                <w:bCs/>
                <w:color w:val="auto"/>
                <w:sz w:val="22"/>
              </w:rPr>
            </w:pPr>
            <w:r>
              <w:rPr>
                <w:rFonts w:hint="eastAsia" w:ascii="宋体"/>
                <w:bCs/>
                <w:color w:val="auto"/>
                <w:sz w:val="22"/>
              </w:rPr>
              <w:t>姓名</w:t>
            </w:r>
          </w:p>
        </w:tc>
        <w:tc>
          <w:tcPr>
            <w:tcW w:w="2520" w:type="dxa"/>
            <w:noWrap w:val="0"/>
            <w:vAlign w:val="center"/>
          </w:tcPr>
          <w:p>
            <w:pPr>
              <w:jc w:val="center"/>
              <w:rPr>
                <w:rFonts w:ascii="宋体"/>
                <w:bCs/>
                <w:color w:val="auto"/>
                <w:sz w:val="22"/>
              </w:rPr>
            </w:pPr>
            <w:r>
              <w:rPr>
                <w:rFonts w:hint="eastAsia" w:ascii="宋体"/>
                <w:bCs/>
                <w:color w:val="auto"/>
                <w:sz w:val="22"/>
              </w:rPr>
              <w:t>本项目主要工作</w:t>
            </w:r>
          </w:p>
        </w:tc>
        <w:tc>
          <w:tcPr>
            <w:tcW w:w="720" w:type="dxa"/>
            <w:noWrap w:val="0"/>
            <w:vAlign w:val="center"/>
          </w:tcPr>
          <w:p>
            <w:pPr>
              <w:jc w:val="center"/>
              <w:rPr>
                <w:rFonts w:ascii="宋体"/>
                <w:bCs/>
                <w:color w:val="auto"/>
                <w:sz w:val="22"/>
              </w:rPr>
            </w:pPr>
            <w:r>
              <w:rPr>
                <w:rFonts w:hint="eastAsia" w:ascii="宋体"/>
                <w:bCs/>
                <w:color w:val="auto"/>
                <w:sz w:val="22"/>
              </w:rPr>
              <w:t>年龄</w:t>
            </w:r>
          </w:p>
        </w:tc>
        <w:tc>
          <w:tcPr>
            <w:tcW w:w="720" w:type="dxa"/>
            <w:noWrap w:val="0"/>
            <w:vAlign w:val="center"/>
          </w:tcPr>
          <w:p>
            <w:pPr>
              <w:jc w:val="center"/>
              <w:rPr>
                <w:rFonts w:ascii="宋体"/>
                <w:bCs/>
                <w:color w:val="auto"/>
                <w:sz w:val="22"/>
              </w:rPr>
            </w:pPr>
            <w:r>
              <w:rPr>
                <w:rFonts w:hint="eastAsia" w:ascii="宋体"/>
                <w:bCs/>
                <w:color w:val="auto"/>
                <w:sz w:val="22"/>
              </w:rPr>
              <w:t>性别</w:t>
            </w:r>
          </w:p>
        </w:tc>
        <w:tc>
          <w:tcPr>
            <w:tcW w:w="720" w:type="dxa"/>
            <w:noWrap w:val="0"/>
            <w:vAlign w:val="center"/>
          </w:tcPr>
          <w:p>
            <w:pPr>
              <w:jc w:val="center"/>
              <w:rPr>
                <w:rFonts w:ascii="宋体"/>
                <w:bCs/>
                <w:color w:val="auto"/>
                <w:sz w:val="22"/>
              </w:rPr>
            </w:pPr>
            <w:r>
              <w:rPr>
                <w:rFonts w:hint="eastAsia" w:ascii="宋体"/>
                <w:bCs/>
                <w:color w:val="auto"/>
                <w:sz w:val="22"/>
              </w:rPr>
              <w:t>专业</w:t>
            </w:r>
          </w:p>
        </w:tc>
        <w:tc>
          <w:tcPr>
            <w:tcW w:w="1080" w:type="dxa"/>
            <w:noWrap w:val="0"/>
            <w:vAlign w:val="center"/>
          </w:tcPr>
          <w:p>
            <w:pPr>
              <w:jc w:val="center"/>
              <w:rPr>
                <w:rFonts w:ascii="宋体"/>
                <w:bCs/>
                <w:color w:val="auto"/>
                <w:sz w:val="22"/>
              </w:rPr>
            </w:pPr>
            <w:r>
              <w:rPr>
                <w:rFonts w:hint="eastAsia" w:ascii="宋体"/>
                <w:bCs/>
                <w:color w:val="auto"/>
                <w:sz w:val="22"/>
              </w:rPr>
              <w:t>专业</w:t>
            </w:r>
          </w:p>
          <w:p>
            <w:pPr>
              <w:jc w:val="center"/>
              <w:rPr>
                <w:rFonts w:ascii="宋体"/>
                <w:bCs/>
                <w:color w:val="auto"/>
                <w:sz w:val="22"/>
              </w:rPr>
            </w:pPr>
            <w:r>
              <w:rPr>
                <w:rFonts w:hint="eastAsia" w:ascii="宋体"/>
                <w:bCs/>
                <w:color w:val="auto"/>
                <w:sz w:val="22"/>
              </w:rPr>
              <w:t>年限</w:t>
            </w:r>
          </w:p>
        </w:tc>
        <w:tc>
          <w:tcPr>
            <w:tcW w:w="1458" w:type="dxa"/>
            <w:noWrap w:val="0"/>
            <w:vAlign w:val="center"/>
          </w:tcPr>
          <w:p>
            <w:pPr>
              <w:jc w:val="center"/>
              <w:rPr>
                <w:rFonts w:ascii="宋体"/>
                <w:bCs/>
                <w:color w:val="auto"/>
                <w:sz w:val="22"/>
              </w:rPr>
            </w:pPr>
            <w:r>
              <w:rPr>
                <w:rFonts w:hint="eastAsia" w:ascii="宋体"/>
                <w:bCs/>
                <w:color w:val="auto"/>
                <w:sz w:val="22"/>
              </w:rPr>
              <w:t>职务</w:t>
            </w:r>
          </w:p>
          <w:p>
            <w:pPr>
              <w:jc w:val="center"/>
              <w:rPr>
                <w:rFonts w:ascii="宋体"/>
                <w:bCs/>
                <w:color w:val="auto"/>
                <w:sz w:val="22"/>
              </w:rPr>
            </w:pPr>
            <w:r>
              <w:rPr>
                <w:rFonts w:hint="eastAsia" w:ascii="宋体"/>
                <w:bCs/>
                <w:color w:val="auto"/>
                <w:sz w:val="22"/>
              </w:rPr>
              <w:t>和职称</w:t>
            </w:r>
            <w:r>
              <w:rPr>
                <w:rFonts w:ascii="宋体"/>
                <w:bCs/>
                <w:color w:val="auto"/>
                <w:sz w:val="22"/>
              </w:rPr>
              <w:t>/</w:t>
            </w:r>
            <w:r>
              <w:rPr>
                <w:rFonts w:hint="eastAsia" w:ascii="宋体"/>
                <w:bCs/>
                <w:color w:val="auto"/>
                <w:sz w:val="22"/>
              </w:rPr>
              <w:t>认证</w:t>
            </w:r>
          </w:p>
        </w:tc>
        <w:tc>
          <w:tcPr>
            <w:tcW w:w="1560" w:type="dxa"/>
            <w:noWrap w:val="0"/>
            <w:vAlign w:val="center"/>
          </w:tcPr>
          <w:p>
            <w:pPr>
              <w:jc w:val="center"/>
              <w:rPr>
                <w:rFonts w:ascii="宋体"/>
                <w:bCs/>
                <w:color w:val="auto"/>
                <w:sz w:val="22"/>
              </w:rPr>
            </w:pPr>
            <w:r>
              <w:rPr>
                <w:rFonts w:hint="eastAsia" w:ascii="宋体"/>
                <w:bCs/>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ind w:left="5250"/>
              <w:rPr>
                <w:rFonts w:ascii="宋体"/>
                <w:color w:val="auto"/>
                <w:spacing w:val="12"/>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ind w:left="5250"/>
              <w:rPr>
                <w:rFonts w:ascii="宋体"/>
                <w:color w:val="auto"/>
                <w:spacing w:val="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ascii="宋体"/>
                <w:color w:val="auto"/>
                <w:sz w:val="22"/>
              </w:rPr>
            </w:pPr>
          </w:p>
        </w:tc>
        <w:tc>
          <w:tcPr>
            <w:tcW w:w="25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720" w:type="dxa"/>
            <w:noWrap w:val="0"/>
            <w:vAlign w:val="center"/>
          </w:tcPr>
          <w:p>
            <w:pPr>
              <w:spacing w:line="360" w:lineRule="auto"/>
              <w:rPr>
                <w:rFonts w:ascii="宋体"/>
                <w:color w:val="auto"/>
                <w:sz w:val="22"/>
              </w:rPr>
            </w:pPr>
          </w:p>
        </w:tc>
        <w:tc>
          <w:tcPr>
            <w:tcW w:w="1080" w:type="dxa"/>
            <w:noWrap w:val="0"/>
            <w:vAlign w:val="center"/>
          </w:tcPr>
          <w:p>
            <w:pPr>
              <w:spacing w:line="360" w:lineRule="auto"/>
              <w:rPr>
                <w:rFonts w:ascii="宋体"/>
                <w:color w:val="auto"/>
                <w:sz w:val="22"/>
              </w:rPr>
            </w:pPr>
          </w:p>
        </w:tc>
        <w:tc>
          <w:tcPr>
            <w:tcW w:w="1458" w:type="dxa"/>
            <w:noWrap w:val="0"/>
            <w:vAlign w:val="center"/>
          </w:tcPr>
          <w:p>
            <w:pPr>
              <w:spacing w:line="360" w:lineRule="auto"/>
              <w:rPr>
                <w:rFonts w:ascii="宋体"/>
                <w:color w:val="auto"/>
                <w:sz w:val="22"/>
              </w:rPr>
            </w:pPr>
          </w:p>
        </w:tc>
        <w:tc>
          <w:tcPr>
            <w:tcW w:w="1560" w:type="dxa"/>
            <w:noWrap w:val="0"/>
            <w:vAlign w:val="center"/>
          </w:tcPr>
          <w:p>
            <w:pPr>
              <w:spacing w:line="360" w:lineRule="auto"/>
              <w:rPr>
                <w:rFonts w:ascii="宋体"/>
                <w:color w:val="auto"/>
                <w:sz w:val="22"/>
              </w:rPr>
            </w:pPr>
          </w:p>
        </w:tc>
      </w:tr>
    </w:tbl>
    <w:p>
      <w:pPr>
        <w:spacing w:line="360" w:lineRule="exact"/>
        <w:ind w:left="985" w:hanging="1029" w:hangingChars="440"/>
        <w:rPr>
          <w:rFonts w:ascii="宋体" w:cs="Arial"/>
          <w:color w:val="auto"/>
          <w:sz w:val="22"/>
        </w:rPr>
      </w:pPr>
      <w:r>
        <w:rPr>
          <w:rFonts w:hint="eastAsia" w:ascii="宋体" w:cs="Arial"/>
          <w:color w:val="auto"/>
          <w:sz w:val="22"/>
        </w:rPr>
        <w:t xml:space="preserve">注：  </w:t>
      </w:r>
      <w:r>
        <w:rPr>
          <w:rFonts w:ascii="宋体" w:cs="Arial"/>
          <w:color w:val="auto"/>
          <w:sz w:val="22"/>
        </w:rPr>
        <w:t xml:space="preserve">1. </w:t>
      </w:r>
      <w:r>
        <w:rPr>
          <w:rFonts w:hint="eastAsia" w:ascii="宋体" w:cs="Arial"/>
          <w:color w:val="auto"/>
          <w:sz w:val="22"/>
        </w:rPr>
        <w:t>项目负责人及其他服务人员均应列入；</w:t>
      </w:r>
    </w:p>
    <w:p>
      <w:pPr>
        <w:spacing w:line="360" w:lineRule="exact"/>
        <w:ind w:left="765" w:leftChars="321" w:hanging="46" w:hangingChars="20"/>
        <w:rPr>
          <w:rFonts w:ascii="宋体" w:cs="Arial"/>
          <w:color w:val="auto"/>
          <w:sz w:val="22"/>
        </w:rPr>
      </w:pPr>
      <w:r>
        <w:rPr>
          <w:rFonts w:ascii="宋体" w:cs="Arial"/>
          <w:color w:val="auto"/>
          <w:sz w:val="22"/>
        </w:rPr>
        <w:t xml:space="preserve">2. </w:t>
      </w:r>
      <w:r>
        <w:rPr>
          <w:rFonts w:hint="eastAsia" w:ascii="宋体" w:cs="Arial"/>
          <w:color w:val="auto"/>
          <w:sz w:val="22"/>
        </w:rPr>
        <w:t>列入本表人员如要更换，需经采购人同意，擅自更换或不到位属违约行为；</w:t>
      </w:r>
    </w:p>
    <w:p>
      <w:pPr>
        <w:spacing w:line="360" w:lineRule="exact"/>
        <w:ind w:left="765" w:leftChars="321" w:hanging="46" w:hangingChars="20"/>
        <w:rPr>
          <w:rFonts w:ascii="宋体" w:cs="Arial"/>
          <w:color w:val="auto"/>
          <w:sz w:val="22"/>
        </w:rPr>
      </w:pPr>
      <w:r>
        <w:rPr>
          <w:rFonts w:ascii="宋体" w:cs="Arial"/>
          <w:color w:val="auto"/>
          <w:sz w:val="22"/>
        </w:rPr>
        <w:t>3.</w:t>
      </w:r>
      <w:r>
        <w:rPr>
          <w:rFonts w:hint="eastAsia" w:ascii="宋体" w:cs="Arial"/>
          <w:color w:val="auto"/>
          <w:sz w:val="22"/>
        </w:rPr>
        <w:t>资质证书等人员证件复印件应附后。</w:t>
      </w:r>
    </w:p>
    <w:p>
      <w:pPr>
        <w:spacing w:line="360" w:lineRule="exact"/>
        <w:ind w:left="765" w:leftChars="321" w:hanging="46" w:hangingChars="20"/>
        <w:rPr>
          <w:rFonts w:ascii="宋体" w:cs="Arial"/>
          <w:color w:val="auto"/>
          <w:sz w:val="22"/>
        </w:rPr>
      </w:pPr>
      <w:r>
        <w:rPr>
          <w:rFonts w:ascii="宋体" w:cs="Arial"/>
          <w:color w:val="auto"/>
          <w:sz w:val="22"/>
        </w:rPr>
        <w:t xml:space="preserve">4. </w:t>
      </w:r>
      <w:r>
        <w:rPr>
          <w:rFonts w:hint="eastAsia" w:ascii="宋体" w:cs="Arial"/>
          <w:color w:val="auto"/>
          <w:sz w:val="22"/>
        </w:rPr>
        <w:t>表格可以延续。</w:t>
      </w:r>
    </w:p>
    <w:p>
      <w:pPr>
        <w:pStyle w:val="12"/>
        <w:spacing w:line="440" w:lineRule="atLeast"/>
        <w:rPr>
          <w:rFonts w:hAnsi="宋体"/>
          <w:color w:val="auto"/>
          <w:sz w:val="22"/>
          <w:szCs w:val="22"/>
        </w:rPr>
      </w:pPr>
      <w:r>
        <w:rPr>
          <w:rFonts w:hint="eastAsia" w:hAnsi="宋体"/>
          <w:color w:val="auto"/>
          <w:sz w:val="22"/>
          <w:szCs w:val="22"/>
        </w:rPr>
        <w:t>供应商全称：（盖章）</w:t>
      </w:r>
    </w:p>
    <w:p>
      <w:pPr>
        <w:pStyle w:val="12"/>
        <w:spacing w:line="440" w:lineRule="atLeast"/>
        <w:rPr>
          <w:rFonts w:hAnsi="宋体"/>
          <w:color w:val="auto"/>
          <w:sz w:val="22"/>
          <w:szCs w:val="22"/>
          <w:lang w:val="zh-CN"/>
        </w:rPr>
      </w:pPr>
      <w:r>
        <w:rPr>
          <w:rFonts w:hint="eastAsia" w:hAnsi="宋体"/>
          <w:color w:val="auto"/>
          <w:sz w:val="22"/>
          <w:szCs w:val="22"/>
        </w:rPr>
        <w:t>法定代表人（签字或盖章）或</w:t>
      </w:r>
      <w:r>
        <w:rPr>
          <w:rFonts w:hint="eastAsia" w:hAnsi="宋体"/>
          <w:color w:val="auto"/>
          <w:sz w:val="22"/>
          <w:szCs w:val="22"/>
          <w:lang w:val="zh-CN"/>
        </w:rPr>
        <w:t>授权代表（签字）：</w:t>
      </w:r>
    </w:p>
    <w:p>
      <w:pPr>
        <w:autoSpaceDE w:val="0"/>
        <w:autoSpaceDN w:val="0"/>
        <w:adjustRightInd w:val="0"/>
        <w:spacing w:line="360" w:lineRule="exact"/>
        <w:rPr>
          <w:rFonts w:hint="eastAsia" w:hAnsi="宋体"/>
          <w:color w:val="auto"/>
          <w:sz w:val="22"/>
        </w:rPr>
      </w:pPr>
      <w:r>
        <w:rPr>
          <w:rFonts w:hint="eastAsia" w:hAnsi="宋体"/>
          <w:color w:val="auto"/>
          <w:sz w:val="22"/>
        </w:rPr>
        <w:t>日期：</w:t>
      </w:r>
      <w:r>
        <w:rPr>
          <w:rFonts w:hint="eastAsia" w:hAnsi="宋体"/>
          <w:color w:val="auto"/>
          <w:sz w:val="22"/>
        </w:rPr>
        <w:br w:type="textWrapping"/>
      </w:r>
    </w:p>
    <w:p>
      <w:pPr>
        <w:autoSpaceDE w:val="0"/>
        <w:autoSpaceDN w:val="0"/>
        <w:adjustRightInd w:val="0"/>
        <w:spacing w:line="360" w:lineRule="exact"/>
        <w:rPr>
          <w:rFonts w:hint="eastAsia" w:ascii="宋体" w:eastAsia="宋体"/>
          <w:b/>
          <w:bCs/>
          <w:color w:val="auto"/>
          <w:sz w:val="32"/>
          <w:lang w:eastAsia="zh-CN"/>
        </w:rPr>
      </w:pPr>
      <w:r>
        <w:rPr>
          <w:rFonts w:hint="eastAsia" w:ascii="宋体"/>
          <w:b/>
          <w:bCs/>
          <w:color w:val="auto"/>
          <w:sz w:val="32"/>
          <w:lang w:val="zh-CN"/>
        </w:rPr>
        <w:t>附件十</w:t>
      </w:r>
      <w:r>
        <w:rPr>
          <w:rFonts w:hint="eastAsia" w:ascii="宋体"/>
          <w:b/>
          <w:bCs/>
          <w:color w:val="auto"/>
          <w:sz w:val="32"/>
          <w:lang w:val="en-US" w:eastAsia="zh-CN"/>
        </w:rPr>
        <w:t>五</w:t>
      </w:r>
    </w:p>
    <w:p>
      <w:pPr>
        <w:spacing w:line="360" w:lineRule="auto"/>
        <w:jc w:val="center"/>
        <w:rPr>
          <w:rFonts w:ascii="宋体" w:cs="Arial"/>
          <w:bCs/>
          <w:color w:val="auto"/>
          <w:sz w:val="32"/>
          <w:szCs w:val="32"/>
          <w:u w:val="single"/>
        </w:rPr>
      </w:pPr>
      <w:bookmarkStart w:id="175" w:name="_Toc30629_WPSOffice_Level3"/>
      <w:r>
        <w:rPr>
          <w:rFonts w:hint="eastAsia" w:ascii="宋体"/>
          <w:b/>
          <w:bCs/>
          <w:color w:val="auto"/>
          <w:sz w:val="32"/>
          <w:szCs w:val="32"/>
        </w:rPr>
        <w:t>节能环保产品声明函</w:t>
      </w:r>
      <w:bookmarkEnd w:id="175"/>
    </w:p>
    <w:p>
      <w:pPr>
        <w:spacing w:line="460" w:lineRule="atLeast"/>
        <w:ind w:firstLine="468" w:firstLineChars="200"/>
        <w:rPr>
          <w:rFonts w:ascii="宋体"/>
          <w:color w:val="auto"/>
          <w:sz w:val="22"/>
        </w:rPr>
      </w:pPr>
      <w:r>
        <w:rPr>
          <w:rFonts w:hint="eastAsia" w:ascii="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color w:val="auto"/>
          <w:sz w:val="22"/>
        </w:rPr>
        <w:t>2019〕9号）</w:t>
      </w:r>
      <w:r>
        <w:rPr>
          <w:rFonts w:hint="eastAsia" w:ascii="宋体"/>
          <w:color w:val="auto"/>
          <w:sz w:val="22"/>
        </w:rPr>
        <w:t>、《关于印发节能产品政府采购品目清单的通知》（财库〔</w:t>
      </w:r>
      <w:r>
        <w:rPr>
          <w:rFonts w:ascii="宋体"/>
          <w:color w:val="auto"/>
          <w:sz w:val="22"/>
        </w:rPr>
        <w:t>2019〕19号）</w:t>
      </w:r>
      <w:r>
        <w:rPr>
          <w:rFonts w:hint="eastAsia" w:ascii="宋体"/>
          <w:color w:val="auto"/>
          <w:sz w:val="22"/>
        </w:rPr>
        <w:t>、《关于印发环境标志产品政府采购品目清单的通知》（财库〔</w:t>
      </w:r>
      <w:r>
        <w:rPr>
          <w:rFonts w:ascii="宋体"/>
          <w:color w:val="auto"/>
          <w:sz w:val="22"/>
        </w:rPr>
        <w:t>2019〕18号）</w:t>
      </w:r>
      <w:r>
        <w:rPr>
          <w:rFonts w:hint="eastAsia" w:ascii="宋体"/>
          <w:color w:val="auto"/>
          <w:sz w:val="22"/>
        </w:rPr>
        <w:t>的规定，本公司声明如下：</w:t>
      </w:r>
    </w:p>
    <w:p>
      <w:pPr>
        <w:spacing w:line="460" w:lineRule="atLeast"/>
        <w:ind w:firstLine="468" w:firstLineChars="200"/>
        <w:rPr>
          <w:rFonts w:ascii="宋体"/>
          <w:color w:val="auto"/>
          <w:sz w:val="22"/>
        </w:rPr>
      </w:pPr>
      <w:r>
        <w:rPr>
          <w:rFonts w:hint="eastAsia" w:ascii="宋体"/>
          <w:color w:val="auto"/>
          <w:sz w:val="22"/>
        </w:rPr>
        <w:t>1.本公司参加</w:t>
      </w:r>
      <w:r>
        <w:rPr>
          <w:rFonts w:hint="eastAsia" w:ascii="宋体"/>
          <w:color w:val="auto"/>
          <w:sz w:val="22"/>
          <w:u w:val="single"/>
        </w:rPr>
        <w:t>（招标项目名称，招标编号）</w:t>
      </w:r>
      <w:r>
        <w:rPr>
          <w:rFonts w:hint="eastAsia" w:ascii="宋体"/>
          <w:color w:val="auto"/>
          <w:sz w:val="22"/>
        </w:rPr>
        <w:t>的采购活动提供的</w:t>
      </w:r>
      <w:r>
        <w:rPr>
          <w:rFonts w:hint="eastAsia" w:ascii="宋体"/>
          <w:color w:val="auto"/>
          <w:sz w:val="22"/>
          <w:u w:val="single"/>
        </w:rPr>
        <w:t xml:space="preserve">      </w:t>
      </w:r>
      <w:r>
        <w:rPr>
          <w:rFonts w:hint="eastAsia" w:ascii="宋体"/>
          <w:color w:val="auto"/>
          <w:sz w:val="22"/>
        </w:rPr>
        <w:t>产品已列入《节能产品政府采购品目清单》。</w:t>
      </w:r>
    </w:p>
    <w:p>
      <w:pPr>
        <w:spacing w:line="460" w:lineRule="atLeast"/>
        <w:ind w:firstLine="468" w:firstLineChars="200"/>
        <w:rPr>
          <w:rFonts w:ascii="宋体"/>
          <w:color w:val="auto"/>
          <w:sz w:val="22"/>
        </w:rPr>
      </w:pPr>
      <w:r>
        <w:rPr>
          <w:rFonts w:hint="eastAsia" w:ascii="宋体"/>
          <w:color w:val="auto"/>
          <w:sz w:val="22"/>
        </w:rPr>
        <w:t>2.本公司参加</w:t>
      </w:r>
      <w:r>
        <w:rPr>
          <w:rFonts w:hint="eastAsia" w:ascii="宋体"/>
          <w:color w:val="auto"/>
          <w:sz w:val="22"/>
          <w:u w:val="single"/>
        </w:rPr>
        <w:t>（招标项目名称，招标编号）</w:t>
      </w:r>
      <w:r>
        <w:rPr>
          <w:rFonts w:hint="eastAsia" w:ascii="宋体"/>
          <w:color w:val="auto"/>
          <w:sz w:val="22"/>
        </w:rPr>
        <w:t>的采购活动提供的</w:t>
      </w:r>
      <w:r>
        <w:rPr>
          <w:rFonts w:hint="eastAsia" w:ascii="宋体"/>
          <w:color w:val="auto"/>
          <w:sz w:val="22"/>
          <w:u w:val="single"/>
        </w:rPr>
        <w:t xml:space="preserve">      </w:t>
      </w:r>
      <w:r>
        <w:rPr>
          <w:rFonts w:hint="eastAsia" w:ascii="宋体"/>
          <w:color w:val="auto"/>
          <w:sz w:val="22"/>
        </w:rPr>
        <w:t>产品已列入《环境标志产品政府采购品目清单》。</w:t>
      </w:r>
    </w:p>
    <w:p>
      <w:pPr>
        <w:spacing w:line="460" w:lineRule="atLeast"/>
        <w:ind w:firstLine="468" w:firstLineChars="200"/>
        <w:rPr>
          <w:rFonts w:ascii="宋体"/>
          <w:color w:val="auto"/>
          <w:sz w:val="22"/>
        </w:rPr>
      </w:pPr>
      <w:r>
        <w:rPr>
          <w:rFonts w:hint="eastAsia" w:ascii="宋体"/>
          <w:color w:val="auto"/>
          <w:sz w:val="22"/>
        </w:rPr>
        <w:t>本公司对上述声明的真实性负责。如有虚假，将依法承担相应法律责任。</w:t>
      </w:r>
    </w:p>
    <w:p>
      <w:pPr>
        <w:spacing w:line="460" w:lineRule="atLeast"/>
        <w:rPr>
          <w:rFonts w:ascii="宋体"/>
          <w:color w:val="auto"/>
          <w:sz w:val="22"/>
        </w:rPr>
      </w:pPr>
    </w:p>
    <w:p>
      <w:pPr>
        <w:autoSpaceDE w:val="0"/>
        <w:autoSpaceDN w:val="0"/>
        <w:adjustRightInd w:val="0"/>
        <w:spacing w:line="460" w:lineRule="atLeast"/>
        <w:rPr>
          <w:rFonts w:ascii="宋体" w:cs="Arial"/>
          <w:color w:val="auto"/>
          <w:sz w:val="22"/>
          <w:lang w:val="zh-CN"/>
        </w:rPr>
      </w:pPr>
      <w:r>
        <w:rPr>
          <w:rFonts w:hint="eastAsia" w:ascii="宋体" w:cs="Arial"/>
          <w:color w:val="auto"/>
          <w:sz w:val="22"/>
          <w:lang w:val="zh-CN"/>
        </w:rPr>
        <w:t xml:space="preserve">投标供应商盖章：        </w:t>
      </w:r>
    </w:p>
    <w:p>
      <w:pPr>
        <w:spacing w:line="460" w:lineRule="atLeast"/>
        <w:rPr>
          <w:rFonts w:ascii="宋体"/>
          <w:color w:val="auto"/>
          <w:sz w:val="28"/>
          <w:szCs w:val="28"/>
        </w:rPr>
      </w:pPr>
      <w:r>
        <w:rPr>
          <w:rFonts w:hint="eastAsia" w:ascii="宋体"/>
          <w:color w:val="auto"/>
          <w:sz w:val="22"/>
        </w:rPr>
        <w:t xml:space="preserve">日 期：                  </w:t>
      </w:r>
    </w:p>
    <w:p>
      <w:pPr>
        <w:autoSpaceDE w:val="0"/>
        <w:autoSpaceDN w:val="0"/>
        <w:adjustRightInd w:val="0"/>
        <w:spacing w:line="460" w:lineRule="atLeast"/>
        <w:rPr>
          <w:rFonts w:hint="eastAsia" w:ascii="宋体" w:eastAsia="宋体"/>
          <w:b/>
          <w:bCs/>
          <w:color w:val="auto"/>
          <w:sz w:val="32"/>
          <w:szCs w:val="32"/>
          <w:lang w:eastAsia="zh-CN"/>
        </w:rPr>
      </w:pPr>
      <w:r>
        <w:rPr>
          <w:rFonts w:ascii="宋体"/>
          <w:color w:val="auto"/>
          <w:sz w:val="28"/>
          <w:szCs w:val="28"/>
        </w:rPr>
        <w:br w:type="page"/>
      </w:r>
      <w:r>
        <w:rPr>
          <w:rFonts w:hint="eastAsia" w:ascii="宋体"/>
          <w:b/>
          <w:bCs/>
          <w:color w:val="auto"/>
          <w:sz w:val="32"/>
          <w:szCs w:val="32"/>
        </w:rPr>
        <w:t>附件十</w:t>
      </w:r>
      <w:r>
        <w:rPr>
          <w:rFonts w:hint="eastAsia" w:ascii="宋体"/>
          <w:b/>
          <w:bCs/>
          <w:color w:val="auto"/>
          <w:sz w:val="32"/>
          <w:szCs w:val="32"/>
          <w:lang w:val="en-US" w:eastAsia="zh-CN"/>
        </w:rPr>
        <w:t>六</w:t>
      </w:r>
    </w:p>
    <w:p>
      <w:pPr>
        <w:autoSpaceDE w:val="0"/>
        <w:autoSpaceDN w:val="0"/>
        <w:adjustRightInd w:val="0"/>
        <w:spacing w:line="460" w:lineRule="atLeast"/>
        <w:jc w:val="center"/>
        <w:rPr>
          <w:rFonts w:ascii="宋体"/>
          <w:b/>
          <w:bCs/>
          <w:color w:val="auto"/>
          <w:sz w:val="32"/>
          <w:szCs w:val="32"/>
          <w:lang w:val="zh-CN"/>
        </w:rPr>
      </w:pPr>
      <w:r>
        <w:rPr>
          <w:rFonts w:hint="eastAsia" w:ascii="宋体"/>
          <w:b/>
          <w:bCs/>
          <w:color w:val="auto"/>
          <w:sz w:val="32"/>
          <w:szCs w:val="32"/>
          <w:lang w:val="zh-CN"/>
        </w:rPr>
        <w:t>节能（环保）产品清单</w:t>
      </w:r>
    </w:p>
    <w:p>
      <w:pPr>
        <w:autoSpaceDE w:val="0"/>
        <w:autoSpaceDN w:val="0"/>
        <w:adjustRightInd w:val="0"/>
        <w:spacing w:line="460" w:lineRule="atLeast"/>
        <w:jc w:val="center"/>
        <w:rPr>
          <w:rFonts w:ascii="宋体"/>
          <w:color w:val="auto"/>
          <w:sz w:val="36"/>
          <w:lang w:val="zh-CN"/>
        </w:rPr>
      </w:pPr>
      <w:r>
        <w:rPr>
          <w:rFonts w:hint="eastAsia" w:ascii="宋体"/>
          <w:color w:val="auto"/>
          <w:sz w:val="22"/>
        </w:rPr>
        <w:t>(如有则提供)</w:t>
      </w:r>
    </w:p>
    <w:p>
      <w:pPr>
        <w:rPr>
          <w:rFonts w:ascii="宋体"/>
          <w:color w:val="auto"/>
          <w:sz w:val="22"/>
        </w:rPr>
      </w:pPr>
      <w:r>
        <w:rPr>
          <w:rFonts w:hint="eastAsia" w:ascii="宋体"/>
          <w:color w:val="auto"/>
          <w:sz w:val="22"/>
        </w:rPr>
        <w:t>（1）投标产品中已列入《节能产品政府采购品目清单》明细</w:t>
      </w:r>
    </w:p>
    <w:tbl>
      <w:tblPr>
        <w:tblStyle w:val="21"/>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hint="eastAsia" w:ascii="宋体"/>
                <w:color w:val="auto"/>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hint="eastAsia" w:ascii="宋体"/>
                <w:color w:val="auto"/>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hint="eastAsia" w:ascii="宋体"/>
                <w:color w:val="auto"/>
                <w:sz w:val="22"/>
              </w:rPr>
              <w:t>产品名称、</w:t>
            </w:r>
          </w:p>
          <w:p>
            <w:pPr>
              <w:spacing w:line="460" w:lineRule="exact"/>
              <w:jc w:val="center"/>
              <w:rPr>
                <w:rFonts w:ascii="宋体"/>
                <w:color w:val="auto"/>
                <w:sz w:val="22"/>
              </w:rPr>
            </w:pPr>
            <w:r>
              <w:rPr>
                <w:rFonts w:hint="eastAsia" w:ascii="宋体"/>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hint="eastAsia" w:ascii="宋体"/>
                <w:color w:val="auto"/>
                <w:sz w:val="22"/>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hint="eastAsia" w:ascii="宋体"/>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hint="eastAsia" w:ascii="宋体"/>
                <w:color w:val="auto"/>
                <w:sz w:val="22"/>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ascii="宋体"/>
                <w:color w:val="auto"/>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p>
            <w:pPr>
              <w:spacing w:line="460" w:lineRule="exact"/>
              <w:rPr>
                <w:rFonts w:ascii="宋体"/>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r>
    </w:tbl>
    <w:p>
      <w:pPr>
        <w:spacing w:line="460" w:lineRule="exact"/>
        <w:rPr>
          <w:rFonts w:ascii="宋体"/>
          <w:color w:val="auto"/>
          <w:sz w:val="22"/>
        </w:rPr>
      </w:pPr>
      <w:r>
        <w:rPr>
          <w:rFonts w:hint="eastAsia" w:ascii="宋体"/>
          <w:color w:val="auto"/>
          <w:sz w:val="22"/>
        </w:rPr>
        <w:t>（2）投标产品中已列入《环境标志产品政府采购品目清单》明细</w:t>
      </w:r>
    </w:p>
    <w:tbl>
      <w:tblPr>
        <w:tblStyle w:val="21"/>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hint="eastAsia" w:ascii="宋体"/>
                <w:color w:val="auto"/>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hint="eastAsia" w:ascii="宋体"/>
                <w:color w:val="auto"/>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hint="eastAsia" w:ascii="宋体"/>
                <w:color w:val="auto"/>
                <w:sz w:val="22"/>
              </w:rPr>
              <w:t>产品名称、</w:t>
            </w:r>
          </w:p>
          <w:p>
            <w:pPr>
              <w:spacing w:line="460" w:lineRule="exact"/>
              <w:jc w:val="center"/>
              <w:rPr>
                <w:rFonts w:ascii="宋体"/>
                <w:color w:val="auto"/>
                <w:sz w:val="22"/>
              </w:rPr>
            </w:pPr>
            <w:r>
              <w:rPr>
                <w:rFonts w:hint="eastAsia" w:ascii="宋体"/>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hint="eastAsia" w:ascii="宋体"/>
                <w:color w:val="auto"/>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hint="eastAsia" w:ascii="宋体"/>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hint="eastAsia" w:ascii="宋体"/>
                <w:color w:val="auto"/>
                <w:sz w:val="22"/>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color w:val="auto"/>
                <w:sz w:val="22"/>
              </w:rPr>
            </w:pPr>
            <w:r>
              <w:rPr>
                <w:rFonts w:ascii="宋体"/>
                <w:color w:val="auto"/>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color w:val="auto"/>
                <w:sz w:val="22"/>
              </w:rPr>
            </w:pPr>
          </w:p>
        </w:tc>
      </w:tr>
    </w:tbl>
    <w:p>
      <w:pPr>
        <w:spacing w:line="460" w:lineRule="exact"/>
        <w:rPr>
          <w:rFonts w:ascii="宋体"/>
          <w:color w:val="auto"/>
          <w:sz w:val="22"/>
        </w:rPr>
      </w:pPr>
      <w:r>
        <w:rPr>
          <w:rFonts w:hint="eastAsia" w:ascii="宋体"/>
          <w:color w:val="auto"/>
          <w:sz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w:t>
      </w:r>
      <w:r>
        <w:rPr>
          <w:rFonts w:ascii="宋体"/>
          <w:color w:val="auto"/>
          <w:sz w:val="22"/>
        </w:rPr>
        <w:t>2019〕19号）</w:t>
      </w:r>
      <w:r>
        <w:rPr>
          <w:rFonts w:hint="eastAsia" w:ascii="宋体" w:cs="Arial"/>
          <w:color w:val="auto"/>
          <w:sz w:val="22"/>
        </w:rPr>
        <w:t>。</w:t>
      </w:r>
      <w:r>
        <w:rPr>
          <w:rFonts w:hint="eastAsia" w:ascii="宋体" w:cs="Arial"/>
          <w:color w:val="auto"/>
          <w:sz w:val="22"/>
          <w:lang w:eastAsia="zh-CN"/>
        </w:rPr>
        <w:t>投标文件</w:t>
      </w:r>
      <w:r>
        <w:rPr>
          <w:rFonts w:hint="eastAsia" w:ascii="宋体" w:cs="Arial"/>
          <w:color w:val="auto"/>
          <w:sz w:val="22"/>
        </w:rPr>
        <w:t>中必须提供</w:t>
      </w:r>
      <w:r>
        <w:rPr>
          <w:rFonts w:ascii="宋体"/>
          <w:color w:val="auto"/>
          <w:sz w:val="22"/>
        </w:rPr>
        <w:t>属于政府强制采购的节能产品</w:t>
      </w:r>
      <w:r>
        <w:rPr>
          <w:rFonts w:hint="eastAsia" w:ascii="宋体" w:cs="Arial"/>
          <w:color w:val="auto"/>
          <w:sz w:val="22"/>
        </w:rPr>
        <w:t>的认证证书复印件，否则按无效投标处理。</w:t>
      </w:r>
    </w:p>
    <w:p>
      <w:pPr>
        <w:spacing w:line="460" w:lineRule="exact"/>
        <w:ind w:firstLine="702" w:firstLineChars="300"/>
        <w:rPr>
          <w:rFonts w:ascii="宋体"/>
          <w:color w:val="auto"/>
          <w:sz w:val="22"/>
        </w:rPr>
      </w:pPr>
      <w:r>
        <w:rPr>
          <w:rFonts w:hint="eastAsia" w:ascii="宋体"/>
          <w:color w:val="auto"/>
          <w:sz w:val="22"/>
        </w:rPr>
        <w:t>2、表格可以延续。</w:t>
      </w:r>
    </w:p>
    <w:p>
      <w:pPr>
        <w:autoSpaceDE w:val="0"/>
        <w:autoSpaceDN w:val="0"/>
        <w:adjustRightInd w:val="0"/>
        <w:spacing w:line="460" w:lineRule="atLeast"/>
        <w:rPr>
          <w:rFonts w:ascii="宋体" w:cs="Arial"/>
          <w:color w:val="auto"/>
          <w:sz w:val="22"/>
          <w:lang w:val="zh-CN"/>
        </w:rPr>
      </w:pPr>
      <w:r>
        <w:rPr>
          <w:rFonts w:hint="eastAsia" w:ascii="宋体" w:cs="Arial"/>
          <w:color w:val="auto"/>
          <w:sz w:val="22"/>
          <w:lang w:val="zh-CN"/>
        </w:rPr>
        <w:t xml:space="preserve">投标供应商盖章：   </w:t>
      </w:r>
    </w:p>
    <w:p>
      <w:pPr>
        <w:rPr>
          <w:rFonts w:ascii="宋体"/>
          <w:color w:val="auto"/>
          <w:sz w:val="22"/>
        </w:rPr>
      </w:pPr>
      <w:r>
        <w:rPr>
          <w:rFonts w:hint="eastAsia" w:ascii="宋体"/>
          <w:color w:val="auto"/>
          <w:sz w:val="22"/>
        </w:rPr>
        <w:t xml:space="preserve">日 期：          </w:t>
      </w:r>
    </w:p>
    <w:p>
      <w:pPr>
        <w:pStyle w:val="30"/>
        <w:spacing w:line="440" w:lineRule="atLeast"/>
        <w:rPr>
          <w:rFonts w:cs="Arial"/>
          <w:b/>
          <w:bCs/>
          <w:color w:val="auto"/>
          <w:sz w:val="32"/>
          <w:szCs w:val="32"/>
          <w:highlight w:val="none"/>
        </w:rPr>
      </w:pPr>
      <w:r>
        <w:rPr>
          <w:rFonts w:cs="Arial"/>
          <w:b/>
          <w:bCs/>
          <w:color w:val="auto"/>
          <w:sz w:val="32"/>
          <w:szCs w:val="32"/>
          <w:highlight w:val="none"/>
        </w:rPr>
        <w:t xml:space="preserve">                </w:t>
      </w:r>
    </w:p>
    <w:p>
      <w:pPr>
        <w:pStyle w:val="30"/>
        <w:spacing w:line="440" w:lineRule="atLeast"/>
        <w:rPr>
          <w:b/>
          <w:bCs/>
          <w:color w:val="auto"/>
          <w:sz w:val="32"/>
          <w:szCs w:val="32"/>
        </w:rPr>
      </w:pPr>
      <w:r>
        <w:rPr>
          <w:rFonts w:cs="Arial"/>
          <w:b/>
          <w:bCs/>
          <w:color w:val="auto"/>
          <w:sz w:val="32"/>
          <w:szCs w:val="32"/>
        </w:rPr>
        <w:t xml:space="preserve">                 </w:t>
      </w:r>
      <w:r>
        <w:rPr>
          <w:rFonts w:hint="eastAsia"/>
          <w:b/>
          <w:bCs/>
          <w:color w:val="auto"/>
          <w:sz w:val="32"/>
          <w:szCs w:val="32"/>
        </w:rPr>
        <w:t>第七部分</w:t>
      </w:r>
      <w:r>
        <w:rPr>
          <w:b/>
          <w:bCs/>
          <w:color w:val="auto"/>
          <w:sz w:val="32"/>
          <w:szCs w:val="32"/>
        </w:rPr>
        <w:t xml:space="preserve">    </w:t>
      </w:r>
      <w:r>
        <w:rPr>
          <w:rFonts w:hint="eastAsia"/>
          <w:b/>
          <w:bCs/>
          <w:color w:val="auto"/>
          <w:sz w:val="32"/>
          <w:szCs w:val="32"/>
        </w:rPr>
        <w:t>评标办法</w:t>
      </w:r>
    </w:p>
    <w:p>
      <w:pPr>
        <w:tabs>
          <w:tab w:val="left" w:pos="8820"/>
        </w:tabs>
        <w:adjustRightInd w:val="0"/>
        <w:snapToGrid w:val="0"/>
        <w:spacing w:before="100" w:line="380" w:lineRule="exact"/>
        <w:ind w:firstLine="468" w:firstLineChars="200"/>
        <w:rPr>
          <w:rFonts w:ascii="宋体"/>
          <w:color w:val="auto"/>
          <w:sz w:val="22"/>
          <w:szCs w:val="22"/>
        </w:rPr>
      </w:pPr>
      <w:r>
        <w:rPr>
          <w:rFonts w:hint="eastAsia" w:ascii="宋体"/>
          <w:color w:val="auto"/>
          <w:sz w:val="22"/>
          <w:szCs w:val="22"/>
        </w:rPr>
        <w:t>根据《中华人民共和国政府采购法》等有关政府采购法规，结合本次所要采购项目的实际，按照公平、公正、科学、择优的原则选择</w:t>
      </w:r>
      <w:r>
        <w:rPr>
          <w:rFonts w:hint="eastAsia" w:ascii="宋体" w:cs="宋体"/>
          <w:color w:val="auto"/>
          <w:sz w:val="22"/>
          <w:szCs w:val="22"/>
        </w:rPr>
        <w:t>中标方</w:t>
      </w:r>
      <w:r>
        <w:rPr>
          <w:rFonts w:hint="eastAsia" w:ascii="宋体"/>
          <w:color w:val="auto"/>
          <w:sz w:val="22"/>
          <w:szCs w:val="22"/>
        </w:rPr>
        <w:t>，特制定本评标办法。</w:t>
      </w:r>
    </w:p>
    <w:p>
      <w:pPr>
        <w:adjustRightInd w:val="0"/>
        <w:snapToGrid w:val="0"/>
        <w:spacing w:before="156" w:beforeLines="50" w:line="380" w:lineRule="exact"/>
        <w:jc w:val="center"/>
        <w:rPr>
          <w:rFonts w:ascii="宋体"/>
          <w:b/>
          <w:color w:val="auto"/>
          <w:sz w:val="22"/>
          <w:szCs w:val="22"/>
        </w:rPr>
      </w:pPr>
      <w:r>
        <w:rPr>
          <w:rFonts w:hint="eastAsia" w:ascii="宋体"/>
          <w:b/>
          <w:color w:val="auto"/>
          <w:sz w:val="22"/>
          <w:szCs w:val="22"/>
        </w:rPr>
        <w:t>一、总则</w:t>
      </w:r>
    </w:p>
    <w:p>
      <w:pPr>
        <w:pStyle w:val="29"/>
        <w:adjustRightInd w:val="0"/>
        <w:snapToGrid w:val="0"/>
        <w:spacing w:before="100" w:line="380" w:lineRule="exact"/>
        <w:rPr>
          <w:color w:val="auto"/>
          <w:sz w:val="22"/>
          <w:szCs w:val="22"/>
        </w:rPr>
      </w:pPr>
      <w:r>
        <w:rPr>
          <w:rFonts w:hint="eastAsia"/>
          <w:color w:val="auto"/>
          <w:sz w:val="22"/>
          <w:szCs w:val="22"/>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line="380" w:lineRule="exact"/>
        <w:jc w:val="center"/>
        <w:rPr>
          <w:rFonts w:ascii="宋体"/>
          <w:b/>
          <w:color w:val="auto"/>
          <w:sz w:val="22"/>
          <w:szCs w:val="22"/>
        </w:rPr>
      </w:pPr>
      <w:r>
        <w:rPr>
          <w:rFonts w:hint="eastAsia" w:ascii="宋体"/>
          <w:b/>
          <w:color w:val="auto"/>
          <w:sz w:val="22"/>
          <w:szCs w:val="22"/>
        </w:rPr>
        <w:t>二、评标组织</w:t>
      </w:r>
    </w:p>
    <w:p>
      <w:pPr>
        <w:pStyle w:val="29"/>
        <w:adjustRightInd w:val="0"/>
        <w:snapToGrid w:val="0"/>
        <w:spacing w:before="100" w:line="380" w:lineRule="exact"/>
        <w:rPr>
          <w:color w:val="auto"/>
          <w:sz w:val="22"/>
          <w:szCs w:val="22"/>
        </w:rPr>
      </w:pPr>
      <w:r>
        <w:rPr>
          <w:rFonts w:hint="eastAsia"/>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32"/>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rPr>
      </w:pPr>
      <w:r>
        <w:rPr>
          <w:rFonts w:hint="eastAsia" w:ascii="宋体" w:hAnsi="宋体"/>
          <w:bCs w:val="0"/>
          <w:color w:val="auto"/>
          <w:kern w:val="2"/>
          <w:sz w:val="22"/>
          <w:szCs w:val="22"/>
        </w:rPr>
        <w:t>三、评审办法</w:t>
      </w:r>
    </w:p>
    <w:p>
      <w:pPr>
        <w:pStyle w:val="33"/>
        <w:adjustRightInd w:val="0"/>
        <w:snapToGrid w:val="0"/>
        <w:spacing w:before="156" w:beforeLines="50" w:line="380" w:lineRule="exact"/>
        <w:ind w:firstLine="468"/>
        <w:rPr>
          <w:rFonts w:ascii="宋体"/>
          <w:color w:val="auto"/>
          <w:sz w:val="22"/>
          <w:szCs w:val="22"/>
        </w:rPr>
      </w:pPr>
      <w:r>
        <w:rPr>
          <w:rFonts w:hint="eastAsia"/>
          <w:color w:val="auto"/>
          <w:sz w:val="22"/>
          <w:szCs w:val="22"/>
        </w:rPr>
        <w:t>采购人或</w:t>
      </w:r>
      <w:r>
        <w:rPr>
          <w:rFonts w:hint="eastAsia" w:hAnsi="宋体"/>
          <w:color w:val="auto"/>
          <w:sz w:val="22"/>
          <w:szCs w:val="22"/>
        </w:rPr>
        <w:t>招标代理机构对各投标供应商资格进行审查。评标委员会根据评审原则和评审办法，对各投标供应商的资信、技术部分投标进行评审并打分，</w:t>
      </w:r>
      <w:r>
        <w:rPr>
          <w:rFonts w:hint="eastAsia" w:ascii="宋体"/>
          <w:color w:val="auto"/>
          <w:sz w:val="22"/>
          <w:szCs w:val="22"/>
        </w:rPr>
        <w:t>以技术资信标和商务报价标合计分值由高到低的顺序推荐候选供应商名单，并提交书面评审报告</w:t>
      </w:r>
      <w:r>
        <w:rPr>
          <w:rFonts w:hint="eastAsia" w:ascii="宋体"/>
          <w:color w:val="auto"/>
          <w:sz w:val="22"/>
          <w:szCs w:val="22"/>
          <w:lang w:eastAsia="zh-CN"/>
        </w:rPr>
        <w:t>，</w:t>
      </w:r>
      <w:r>
        <w:rPr>
          <w:rFonts w:hint="eastAsia" w:ascii="宋体"/>
          <w:color w:val="auto"/>
          <w:sz w:val="22"/>
          <w:szCs w:val="22"/>
        </w:rPr>
        <w:t>推荐综合得分第一名的供应商为中标方。</w:t>
      </w:r>
      <w:r>
        <w:rPr>
          <w:rFonts w:hint="eastAsia" w:ascii="宋体"/>
          <w:color w:val="auto"/>
          <w:sz w:val="22"/>
          <w:szCs w:val="22"/>
          <w:lang w:val="en-US" w:eastAsia="zh-CN"/>
        </w:rPr>
        <w:t>如果</w:t>
      </w:r>
      <w:r>
        <w:rPr>
          <w:rFonts w:hint="eastAsia" w:ascii="宋体"/>
          <w:color w:val="auto"/>
          <w:sz w:val="22"/>
          <w:szCs w:val="22"/>
        </w:rPr>
        <w:t>得分相同的，按投标报价由低到高顺序排列，得分且报价均相同的，按技术标得分由高到低排列</w:t>
      </w:r>
      <w:r>
        <w:rPr>
          <w:rFonts w:hint="eastAsia" w:ascii="宋体"/>
          <w:color w:val="auto"/>
          <w:sz w:val="22"/>
          <w:szCs w:val="22"/>
          <w:lang w:eastAsia="zh-CN"/>
        </w:rPr>
        <w:t>，</w:t>
      </w:r>
      <w:r>
        <w:rPr>
          <w:rFonts w:hint="eastAsia" w:ascii="宋体"/>
          <w:color w:val="auto"/>
          <w:sz w:val="22"/>
          <w:szCs w:val="22"/>
          <w:lang w:val="en-US" w:eastAsia="zh-CN"/>
        </w:rPr>
        <w:t>均相同者，则由采购人现场抽签决定</w:t>
      </w:r>
      <w:r>
        <w:rPr>
          <w:rFonts w:hint="eastAsia" w:ascii="宋体"/>
          <w:color w:val="auto"/>
          <w:sz w:val="22"/>
          <w:szCs w:val="22"/>
        </w:rPr>
        <w:t>。</w:t>
      </w:r>
    </w:p>
    <w:p>
      <w:pPr>
        <w:pStyle w:val="33"/>
        <w:adjustRightInd w:val="0"/>
        <w:snapToGrid w:val="0"/>
        <w:spacing w:before="156" w:beforeLines="50" w:line="380" w:lineRule="exact"/>
        <w:ind w:firstLine="468"/>
        <w:rPr>
          <w:rFonts w:ascii="宋体"/>
          <w:color w:val="auto"/>
          <w:sz w:val="22"/>
          <w:szCs w:val="22"/>
        </w:rPr>
      </w:pPr>
      <w:r>
        <w:rPr>
          <w:rFonts w:hint="eastAsia" w:ascii="宋体"/>
          <w:color w:val="auto"/>
          <w:sz w:val="22"/>
          <w:szCs w:val="22"/>
        </w:rPr>
        <w:t>中标方放弃中标，或者因不可抗力提出不能履行合同，或者招标文件规定应当提交履约保证金、签订合同而在规定的期限内未能提交、签订合同的，采购人可以取消其中标资格。并按供应商评标排序从高到低排序依次确定新的中标方或重新组织采购。</w:t>
      </w:r>
      <w:r>
        <w:rPr>
          <w:rFonts w:ascii="宋体"/>
          <w:color w:val="auto"/>
          <w:sz w:val="22"/>
          <w:szCs w:val="22"/>
        </w:rPr>
        <w:t xml:space="preserve"> </w:t>
      </w:r>
    </w:p>
    <w:p>
      <w:pPr>
        <w:pStyle w:val="33"/>
        <w:adjustRightInd w:val="0"/>
        <w:snapToGrid w:val="0"/>
        <w:spacing w:before="156" w:beforeLines="50" w:line="380" w:lineRule="exact"/>
        <w:ind w:firstLine="468"/>
        <w:rPr>
          <w:rFonts w:ascii="宋体"/>
          <w:color w:val="auto"/>
          <w:sz w:val="22"/>
          <w:szCs w:val="22"/>
        </w:rPr>
      </w:pPr>
      <w:r>
        <w:rPr>
          <w:rFonts w:hint="eastAsia" w:ascii="宋体"/>
          <w:color w:val="auto"/>
          <w:sz w:val="22"/>
          <w:szCs w:val="22"/>
        </w:rPr>
        <w:t>如果无候选供应商，或者侯选供应商因前款规定的同样原因不能签订合同的，本次采购失败，重新组织采购。其它参见本招标文件第三部分：“供应商须知”</w:t>
      </w:r>
      <w:r>
        <w:rPr>
          <w:rFonts w:ascii="宋体"/>
          <w:color w:val="auto"/>
          <w:sz w:val="22"/>
          <w:szCs w:val="22"/>
        </w:rPr>
        <w:t xml:space="preserve"> </w:t>
      </w:r>
      <w:r>
        <w:rPr>
          <w:rFonts w:hint="eastAsia" w:ascii="宋体"/>
          <w:color w:val="auto"/>
          <w:sz w:val="22"/>
          <w:szCs w:val="22"/>
        </w:rPr>
        <w:t>中的相关内容。</w:t>
      </w:r>
    </w:p>
    <w:p>
      <w:pPr>
        <w:pStyle w:val="32"/>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ascii="宋体"/>
          <w:color w:val="auto"/>
          <w:kern w:val="2"/>
          <w:sz w:val="22"/>
          <w:szCs w:val="22"/>
        </w:rPr>
      </w:pPr>
      <w:r>
        <w:rPr>
          <w:rFonts w:hint="eastAsia" w:ascii="宋体" w:hAnsi="宋体"/>
          <w:color w:val="auto"/>
          <w:kern w:val="2"/>
          <w:sz w:val="22"/>
          <w:szCs w:val="22"/>
        </w:rPr>
        <w:t>四、评标细则</w:t>
      </w:r>
    </w:p>
    <w:p>
      <w:pPr>
        <w:pStyle w:val="30"/>
        <w:adjustRightInd w:val="0"/>
        <w:snapToGrid w:val="0"/>
        <w:spacing w:line="380" w:lineRule="exact"/>
        <w:ind w:firstLine="468" w:firstLineChars="200"/>
        <w:rPr>
          <w:rFonts w:ascii="Calibri" w:hAnsi="Calibri"/>
          <w:color w:val="auto"/>
          <w:sz w:val="22"/>
          <w:szCs w:val="22"/>
        </w:rPr>
      </w:pPr>
      <w:r>
        <w:rPr>
          <w:rFonts w:hint="eastAsia" w:ascii="Calibri" w:hAnsi="Calibri"/>
          <w:color w:val="auto"/>
          <w:sz w:val="22"/>
          <w:szCs w:val="22"/>
        </w:rPr>
        <w:t>（一）商务报价评分（满分</w:t>
      </w:r>
      <w:r>
        <w:rPr>
          <w:rFonts w:hint="eastAsia" w:ascii="Calibri" w:hAnsi="Calibri"/>
          <w:color w:val="auto"/>
          <w:sz w:val="22"/>
          <w:szCs w:val="22"/>
          <w:lang w:val="en-US" w:eastAsia="zh-CN"/>
        </w:rPr>
        <w:t>3</w:t>
      </w:r>
      <w:r>
        <w:rPr>
          <w:rFonts w:hint="eastAsia" w:ascii="Calibri" w:hAnsi="Calibri"/>
          <w:color w:val="auto"/>
          <w:sz w:val="22"/>
          <w:szCs w:val="22"/>
        </w:rPr>
        <w:t>0分）</w:t>
      </w:r>
    </w:p>
    <w:p>
      <w:pPr>
        <w:pStyle w:val="12"/>
        <w:adjustRightInd w:val="0"/>
        <w:snapToGrid w:val="0"/>
        <w:spacing w:line="380" w:lineRule="exact"/>
        <w:ind w:firstLine="450"/>
        <w:rPr>
          <w:rFonts w:hAnsi="宋体"/>
          <w:b/>
          <w:color w:val="auto"/>
          <w:sz w:val="22"/>
        </w:rPr>
      </w:pPr>
      <w:r>
        <w:rPr>
          <w:color w:val="auto"/>
          <w:sz w:val="22"/>
          <w:szCs w:val="22"/>
        </w:rPr>
        <w:t>1</w:t>
      </w:r>
      <w:r>
        <w:rPr>
          <w:rFonts w:hint="eastAsia"/>
          <w:color w:val="auto"/>
          <w:sz w:val="22"/>
          <w:szCs w:val="22"/>
        </w:rPr>
        <w:t>、</w:t>
      </w:r>
      <w:r>
        <w:rPr>
          <w:rFonts w:hint="eastAsia" w:hAnsi="宋体"/>
          <w:color w:val="auto"/>
          <w:sz w:val="22"/>
        </w:rPr>
        <w:t>以满足招标文件要求且最后报价最低的有效供应商的价格为投标基准价，其价格分为满分。其他供应商的价格分统一按照下列公式计算：</w:t>
      </w:r>
    </w:p>
    <w:p>
      <w:pPr>
        <w:pStyle w:val="12"/>
        <w:adjustRightInd w:val="0"/>
        <w:snapToGrid w:val="0"/>
        <w:spacing w:line="380" w:lineRule="exact"/>
        <w:ind w:firstLine="450"/>
        <w:rPr>
          <w:rFonts w:hAnsi="宋体"/>
          <w:color w:val="auto"/>
          <w:sz w:val="22"/>
        </w:rPr>
      </w:pPr>
      <w:r>
        <w:rPr>
          <w:rFonts w:hint="eastAsia" w:hAnsi="宋体"/>
          <w:color w:val="auto"/>
          <w:sz w:val="22"/>
        </w:rPr>
        <w:t>商务报价得分</w:t>
      </w:r>
      <w:r>
        <w:rPr>
          <w:rFonts w:hAnsi="宋体"/>
          <w:color w:val="auto"/>
          <w:sz w:val="22"/>
        </w:rPr>
        <w:t>=</w:t>
      </w:r>
      <w:r>
        <w:rPr>
          <w:rFonts w:hint="eastAsia" w:hAnsi="宋体"/>
          <w:color w:val="auto"/>
          <w:sz w:val="22"/>
        </w:rPr>
        <w:t>（投标基准价</w:t>
      </w:r>
      <w:r>
        <w:rPr>
          <w:rFonts w:hAnsi="宋体"/>
          <w:color w:val="auto"/>
          <w:sz w:val="22"/>
        </w:rPr>
        <w:t>/</w:t>
      </w:r>
      <w:r>
        <w:rPr>
          <w:rFonts w:hint="eastAsia" w:hAnsi="宋体"/>
          <w:color w:val="auto"/>
          <w:sz w:val="22"/>
        </w:rPr>
        <w:t>投标报价）×</w:t>
      </w:r>
      <w:r>
        <w:rPr>
          <w:rFonts w:hint="eastAsia" w:hAnsi="宋体"/>
          <w:color w:val="auto"/>
          <w:sz w:val="22"/>
          <w:lang w:val="en-US" w:eastAsia="zh-CN"/>
        </w:rPr>
        <w:t>3</w:t>
      </w:r>
      <w:r>
        <w:rPr>
          <w:rFonts w:hint="eastAsia" w:hAnsi="宋体"/>
          <w:color w:val="auto"/>
          <w:sz w:val="22"/>
        </w:rPr>
        <w:t>0</w:t>
      </w:r>
      <w:r>
        <w:rPr>
          <w:rFonts w:hAnsi="宋体"/>
          <w:color w:val="auto"/>
          <w:sz w:val="22"/>
        </w:rPr>
        <w:t>%</w:t>
      </w:r>
      <w:r>
        <w:rPr>
          <w:rFonts w:hint="eastAsia" w:hAnsi="宋体"/>
          <w:color w:val="auto"/>
          <w:sz w:val="22"/>
        </w:rPr>
        <w:t>×</w:t>
      </w:r>
      <w:r>
        <w:rPr>
          <w:rFonts w:hAnsi="宋体"/>
          <w:color w:val="auto"/>
          <w:sz w:val="22"/>
        </w:rPr>
        <w:t>100</w:t>
      </w:r>
      <w:r>
        <w:rPr>
          <w:rFonts w:hint="eastAsia" w:hAnsi="宋体"/>
          <w:color w:val="auto"/>
          <w:sz w:val="22"/>
        </w:rPr>
        <w:t>。</w:t>
      </w:r>
    </w:p>
    <w:p>
      <w:pPr>
        <w:snapToGrid w:val="0"/>
        <w:spacing w:line="380" w:lineRule="exact"/>
        <w:ind w:firstLine="468" w:firstLineChars="200"/>
        <w:rPr>
          <w:color w:val="auto"/>
          <w:sz w:val="22"/>
          <w:szCs w:val="22"/>
        </w:rPr>
      </w:pPr>
      <w:r>
        <w:rPr>
          <w:color w:val="auto"/>
          <w:sz w:val="22"/>
          <w:szCs w:val="22"/>
        </w:rPr>
        <w:t>2</w:t>
      </w:r>
      <w:r>
        <w:rPr>
          <w:rFonts w:hint="eastAsia"/>
          <w:color w:val="auto"/>
          <w:sz w:val="22"/>
          <w:szCs w:val="22"/>
        </w:rPr>
        <w:t>、本项目根据《政府采购促进中小企业发展暂行办法》（财库〔</w:t>
      </w:r>
      <w:r>
        <w:rPr>
          <w:color w:val="auto"/>
          <w:sz w:val="22"/>
          <w:szCs w:val="22"/>
        </w:rPr>
        <w:t>2011</w:t>
      </w:r>
      <w:r>
        <w:rPr>
          <w:rFonts w:hint="eastAsia"/>
          <w:color w:val="auto"/>
          <w:sz w:val="22"/>
          <w:szCs w:val="22"/>
        </w:rPr>
        <w:t>〕</w:t>
      </w:r>
      <w:r>
        <w:rPr>
          <w:color w:val="auto"/>
          <w:sz w:val="22"/>
          <w:szCs w:val="22"/>
        </w:rPr>
        <w:t>181</w:t>
      </w:r>
      <w:r>
        <w:rPr>
          <w:rFonts w:hint="eastAsia"/>
          <w:color w:val="auto"/>
          <w:sz w:val="22"/>
          <w:szCs w:val="22"/>
        </w:rPr>
        <w:t>号）第五条的规定；财政部、司法部《关于政府采购支持监狱企业发展有关问题的通知》（财库〔</w:t>
      </w:r>
      <w:r>
        <w:rPr>
          <w:color w:val="auto"/>
          <w:sz w:val="22"/>
          <w:szCs w:val="22"/>
        </w:rPr>
        <w:t>2014</w:t>
      </w:r>
      <w:r>
        <w:rPr>
          <w:rFonts w:hint="eastAsia"/>
          <w:color w:val="auto"/>
          <w:sz w:val="22"/>
          <w:szCs w:val="22"/>
        </w:rPr>
        <w:t>〕</w:t>
      </w:r>
      <w:r>
        <w:rPr>
          <w:color w:val="auto"/>
          <w:sz w:val="22"/>
          <w:szCs w:val="22"/>
        </w:rPr>
        <w:t>68</w:t>
      </w:r>
      <w:r>
        <w:rPr>
          <w:rFonts w:hint="eastAsia"/>
          <w:color w:val="auto"/>
          <w:sz w:val="22"/>
          <w:szCs w:val="22"/>
        </w:rPr>
        <w:t>号）的规定：对小微企业（含监狱企业、</w:t>
      </w:r>
      <w:r>
        <w:rPr>
          <w:rFonts w:hint="eastAsia" w:ascii="宋体"/>
          <w:color w:val="auto"/>
          <w:sz w:val="22"/>
          <w:szCs w:val="22"/>
        </w:rPr>
        <w:t>残疾人福利性单位</w:t>
      </w:r>
      <w:r>
        <w:rPr>
          <w:rFonts w:hint="eastAsia"/>
          <w:color w:val="auto"/>
          <w:sz w:val="22"/>
          <w:szCs w:val="22"/>
        </w:rPr>
        <w:t>）投标产品给予</w:t>
      </w:r>
      <w:r>
        <w:rPr>
          <w:color w:val="auto"/>
          <w:sz w:val="22"/>
          <w:szCs w:val="22"/>
        </w:rPr>
        <w:t>6%</w:t>
      </w:r>
      <w:r>
        <w:rPr>
          <w:rFonts w:hint="eastAsia"/>
          <w:color w:val="auto"/>
          <w:sz w:val="22"/>
          <w:szCs w:val="22"/>
        </w:rPr>
        <w:t>的评标价格扣除。（说明：标价格折扣计算以元人民币为单位，保留两位小数，第三位四舍五入进位。</w:t>
      </w:r>
    </w:p>
    <w:p>
      <w:pPr>
        <w:pStyle w:val="34"/>
        <w:snapToGrid w:val="0"/>
        <w:spacing w:line="380" w:lineRule="exact"/>
        <w:ind w:firstLine="468"/>
        <w:rPr>
          <w:rFonts w:ascii="宋体" w:hAnsi="宋体" w:eastAsia="宋体"/>
          <w:b/>
          <w:bCs/>
          <w:color w:val="auto"/>
          <w:sz w:val="22"/>
          <w:szCs w:val="22"/>
        </w:rPr>
      </w:pPr>
      <w:r>
        <w:rPr>
          <w:rFonts w:hint="eastAsia" w:ascii="宋体" w:hAnsi="宋体" w:eastAsia="宋体"/>
          <w:color w:val="auto"/>
          <w:sz w:val="22"/>
          <w:szCs w:val="22"/>
        </w:rPr>
        <w:t>（二）</w:t>
      </w:r>
      <w:r>
        <w:rPr>
          <w:rFonts w:hint="eastAsia" w:eastAsia="宋体"/>
          <w:color w:val="auto"/>
          <w:sz w:val="22"/>
          <w:szCs w:val="22"/>
        </w:rPr>
        <w:t>技术资信部分的评分标准</w:t>
      </w:r>
      <w:r>
        <w:rPr>
          <w:rFonts w:hint="eastAsia" w:ascii="宋体" w:hAnsi="宋体" w:eastAsia="宋体"/>
          <w:b/>
          <w:bCs/>
          <w:color w:val="auto"/>
          <w:sz w:val="22"/>
          <w:szCs w:val="22"/>
        </w:rPr>
        <w:t>（满分</w:t>
      </w:r>
      <w:r>
        <w:rPr>
          <w:rFonts w:hint="eastAsia" w:ascii="宋体" w:hAnsi="宋体" w:eastAsia="宋体"/>
          <w:b/>
          <w:bCs/>
          <w:color w:val="auto"/>
          <w:sz w:val="22"/>
          <w:szCs w:val="22"/>
          <w:lang w:val="en-US" w:eastAsia="zh-CN"/>
        </w:rPr>
        <w:t>7</w:t>
      </w:r>
      <w:r>
        <w:rPr>
          <w:rFonts w:hint="eastAsia" w:ascii="宋体" w:hAnsi="宋体" w:eastAsia="宋体"/>
          <w:b/>
          <w:bCs/>
          <w:color w:val="auto"/>
          <w:sz w:val="22"/>
          <w:szCs w:val="22"/>
        </w:rPr>
        <w:t>0分）</w:t>
      </w:r>
    </w:p>
    <w:tbl>
      <w:tblPr>
        <w:tblStyle w:val="21"/>
        <w:tblpPr w:leftFromText="180" w:rightFromText="180" w:vertAnchor="text" w:horzAnchor="page" w:tblpX="1377" w:tblpY="437"/>
        <w:tblOverlap w:val="never"/>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59"/>
        <w:gridCol w:w="851"/>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b/>
                <w:color w:val="auto"/>
                <w:sz w:val="22"/>
                <w:szCs w:val="22"/>
              </w:rPr>
              <w:t>评审内容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b/>
                <w:color w:val="auto"/>
                <w:sz w:val="22"/>
                <w:szCs w:val="22"/>
              </w:rPr>
              <w:t>分值</w:t>
            </w:r>
          </w:p>
        </w:tc>
        <w:tc>
          <w:tcPr>
            <w:tcW w:w="6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val="en-US" w:eastAsia="zh-CN"/>
              </w:rPr>
              <w:t>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针对本项目配备的产品</w:t>
            </w:r>
          </w:p>
          <w:p>
            <w:pPr>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rPr>
              <w:t>参数</w:t>
            </w:r>
            <w:r>
              <w:rPr>
                <w:rFonts w:hint="eastAsia" w:asciiTheme="majorEastAsia" w:hAnsiTheme="majorEastAsia" w:eastAsiaTheme="majorEastAsia" w:cstheme="majorEastAsia"/>
                <w:color w:val="auto"/>
                <w:sz w:val="22"/>
                <w:szCs w:val="22"/>
                <w:highlight w:val="none"/>
                <w:lang w:val="en-US" w:eastAsia="zh-CN"/>
              </w:rPr>
              <w:t>情况</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20</w:t>
            </w:r>
            <w:r>
              <w:rPr>
                <w:rFonts w:hint="eastAsia" w:asciiTheme="majorEastAsia" w:hAnsiTheme="majorEastAsia" w:eastAsiaTheme="majorEastAsia" w:cstheme="majorEastAsia"/>
                <w:color w:val="auto"/>
                <w:sz w:val="22"/>
                <w:szCs w:val="22"/>
                <w:highlight w:val="none"/>
              </w:rPr>
              <w:t>分</w:t>
            </w:r>
          </w:p>
        </w:tc>
        <w:tc>
          <w:tcPr>
            <w:tcW w:w="6376"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根据</w:t>
            </w:r>
            <w:r>
              <w:rPr>
                <w:rFonts w:hint="eastAsia" w:asciiTheme="majorEastAsia" w:hAnsiTheme="majorEastAsia" w:eastAsiaTheme="majorEastAsia" w:cstheme="majorEastAsia"/>
                <w:color w:val="auto"/>
                <w:sz w:val="22"/>
                <w:szCs w:val="22"/>
                <w:highlight w:val="none"/>
                <w:lang w:val="en-US" w:eastAsia="zh-CN"/>
              </w:rPr>
              <w:t>投标供应商针对本项目配备的产品</w:t>
            </w:r>
            <w:r>
              <w:rPr>
                <w:rFonts w:hint="eastAsia" w:asciiTheme="majorEastAsia" w:hAnsiTheme="majorEastAsia" w:eastAsiaTheme="majorEastAsia" w:cstheme="majorEastAsia"/>
                <w:color w:val="auto"/>
                <w:sz w:val="22"/>
                <w:szCs w:val="22"/>
                <w:highlight w:val="none"/>
              </w:rPr>
              <w:t>及技术参数</w:t>
            </w:r>
            <w:r>
              <w:rPr>
                <w:rFonts w:hint="eastAsia" w:asciiTheme="majorEastAsia" w:hAnsiTheme="majorEastAsia" w:eastAsiaTheme="majorEastAsia" w:cstheme="majorEastAsia"/>
                <w:color w:val="auto"/>
                <w:sz w:val="22"/>
                <w:szCs w:val="22"/>
                <w:highlight w:val="none"/>
                <w:lang w:val="en-US" w:eastAsia="zh-CN"/>
              </w:rPr>
              <w:t>情况</w:t>
            </w:r>
            <w:r>
              <w:rPr>
                <w:rFonts w:hint="eastAsia" w:asciiTheme="majorEastAsia" w:hAnsiTheme="majorEastAsia" w:eastAsiaTheme="majorEastAsia" w:cstheme="majorEastAsia"/>
                <w:color w:val="auto"/>
                <w:sz w:val="22"/>
                <w:szCs w:val="22"/>
                <w:highlight w:val="none"/>
              </w:rPr>
              <w:t>打分，</w:t>
            </w:r>
            <w:r>
              <w:rPr>
                <w:rFonts w:hint="eastAsia" w:asciiTheme="majorEastAsia" w:hAnsiTheme="majorEastAsia" w:eastAsiaTheme="majorEastAsia" w:cstheme="majorEastAsia"/>
                <w:b/>
                <w:bCs/>
                <w:color w:val="auto"/>
                <w:sz w:val="22"/>
                <w:szCs w:val="22"/>
                <w:highlight w:val="none"/>
              </w:rPr>
              <w:t>需提供参数说明材料</w:t>
            </w:r>
            <w:r>
              <w:rPr>
                <w:rFonts w:hint="eastAsia" w:asciiTheme="majorEastAsia" w:hAnsiTheme="majorEastAsia" w:eastAsiaTheme="majorEastAsia" w:cstheme="majorEastAsia"/>
                <w:color w:val="auto"/>
                <w:sz w:val="22"/>
                <w:szCs w:val="22"/>
                <w:highlight w:val="none"/>
              </w:rPr>
              <w:t>。</w:t>
            </w:r>
          </w:p>
          <w:p>
            <w:pP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技术参数完全满足招标要求的得</w:t>
            </w:r>
            <w:r>
              <w:rPr>
                <w:rFonts w:hint="eastAsia" w:asciiTheme="majorEastAsia" w:hAnsiTheme="majorEastAsia" w:eastAsiaTheme="majorEastAsia" w:cstheme="majorEastAsia"/>
                <w:color w:val="auto"/>
                <w:sz w:val="22"/>
                <w:szCs w:val="22"/>
                <w:highlight w:val="none"/>
                <w:lang w:val="en-US" w:eastAsia="zh-CN"/>
              </w:rPr>
              <w:t>15</w:t>
            </w:r>
            <w:r>
              <w:rPr>
                <w:rFonts w:hint="eastAsia" w:asciiTheme="majorEastAsia" w:hAnsiTheme="majorEastAsia" w:eastAsiaTheme="majorEastAsia" w:cstheme="majorEastAsia"/>
                <w:color w:val="auto"/>
                <w:sz w:val="22"/>
                <w:szCs w:val="22"/>
                <w:highlight w:val="none"/>
              </w:rPr>
              <w:t>分</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rPr>
              <w:t>技术参数</w:t>
            </w:r>
            <w:r>
              <w:rPr>
                <w:rFonts w:hint="eastAsia" w:ascii="宋体" w:eastAsia="宋体" w:cs="宋体"/>
                <w:b w:val="0"/>
                <w:color w:val="auto"/>
                <w:sz w:val="22"/>
                <w:szCs w:val="22"/>
                <w:highlight w:val="none"/>
              </w:rPr>
              <w:t>负偏离一项扣</w:t>
            </w:r>
            <w:r>
              <w:rPr>
                <w:rFonts w:hint="eastAsia" w:ascii="宋体" w:cs="宋体"/>
                <w:b w:val="0"/>
                <w:color w:val="auto"/>
                <w:sz w:val="22"/>
                <w:szCs w:val="22"/>
                <w:highlight w:val="none"/>
                <w:lang w:val="en-US" w:eastAsia="zh-CN"/>
              </w:rPr>
              <w:t>0.5</w:t>
            </w:r>
            <w:r>
              <w:rPr>
                <w:rFonts w:hint="eastAsia" w:ascii="宋体" w:eastAsia="宋体" w:cs="宋体"/>
                <w:b w:val="0"/>
                <w:color w:val="auto"/>
                <w:sz w:val="22"/>
                <w:szCs w:val="22"/>
                <w:highlight w:val="none"/>
              </w:rPr>
              <w:t>分</w:t>
            </w:r>
            <w:r>
              <w:rPr>
                <w:rFonts w:hint="eastAsia" w:asciiTheme="majorEastAsia" w:hAnsiTheme="majorEastAsia" w:eastAsiaTheme="majorEastAsia" w:cstheme="majorEastAsia"/>
                <w:color w:val="auto"/>
                <w:sz w:val="22"/>
                <w:szCs w:val="22"/>
                <w:highlight w:val="none"/>
              </w:rPr>
              <w:t>，</w:t>
            </w:r>
            <w:r>
              <w:rPr>
                <w:rFonts w:hint="eastAsia" w:asciiTheme="majorEastAsia" w:hAnsiTheme="majorEastAsia" w:eastAsiaTheme="majorEastAsia" w:cstheme="majorEastAsia"/>
                <w:color w:val="auto"/>
                <w:sz w:val="22"/>
                <w:szCs w:val="22"/>
                <w:highlight w:val="none"/>
                <w:lang w:val="en-US" w:eastAsia="zh-CN"/>
              </w:rPr>
              <w:t>扣完为止，每正偏离一项加0.7分，最高得5分</w:t>
            </w:r>
            <w:r>
              <w:rPr>
                <w:rFonts w:hint="eastAsia" w:asciiTheme="majorEastAsia" w:hAnsiTheme="majorEastAsia" w:eastAsiaTheme="majorEastAsia" w:cstheme="majorEastAsia"/>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2</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highlight w:val="none"/>
                <w:lang w:val="en-US" w:eastAsia="zh-CN"/>
              </w:rPr>
              <w:t>针对本项目配备的产品</w:t>
            </w:r>
            <w:r>
              <w:rPr>
                <w:rFonts w:hint="eastAsia" w:asciiTheme="majorEastAsia" w:hAnsiTheme="majorEastAsia" w:eastAsiaTheme="majorEastAsia" w:cstheme="majorEastAsia"/>
                <w:color w:val="auto"/>
                <w:sz w:val="22"/>
                <w:szCs w:val="22"/>
              </w:rPr>
              <w:t>厂家综合实力</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3分</w:t>
            </w:r>
          </w:p>
        </w:tc>
        <w:tc>
          <w:tcPr>
            <w:tcW w:w="6376" w:type="dxa"/>
            <w:tcBorders>
              <w:top w:val="single" w:color="auto" w:sz="4" w:space="0"/>
              <w:left w:val="single" w:color="auto" w:sz="4" w:space="0"/>
              <w:bottom w:val="single" w:color="auto" w:sz="4" w:space="0"/>
              <w:right w:val="single" w:color="auto" w:sz="4" w:space="0"/>
            </w:tcBorders>
            <w:vAlign w:val="center"/>
          </w:tcPr>
          <w:p>
            <w:pPr>
              <w:pStyle w:val="8"/>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lang w:val="en-US" w:eastAsia="zh-CN"/>
              </w:rPr>
              <w:t>根据</w:t>
            </w:r>
            <w:r>
              <w:rPr>
                <w:rFonts w:hint="eastAsia" w:asciiTheme="majorEastAsia" w:hAnsiTheme="majorEastAsia" w:eastAsiaTheme="majorEastAsia" w:cstheme="majorEastAsia"/>
                <w:color w:val="auto"/>
                <w:sz w:val="22"/>
                <w:szCs w:val="22"/>
                <w:highlight w:val="none"/>
                <w:lang w:val="en-US" w:eastAsia="zh-CN"/>
              </w:rPr>
              <w:t>针对本项目配备的主要产品</w:t>
            </w:r>
            <w:r>
              <w:rPr>
                <w:rFonts w:hint="eastAsia" w:asciiTheme="majorEastAsia" w:hAnsiTheme="majorEastAsia" w:eastAsiaTheme="majorEastAsia" w:cstheme="majorEastAsia"/>
                <w:color w:val="auto"/>
                <w:sz w:val="22"/>
                <w:szCs w:val="22"/>
                <w:lang w:eastAsia="zh-CN"/>
              </w:rPr>
              <w:t>（</w:t>
            </w:r>
            <w:r>
              <w:rPr>
                <w:rFonts w:hint="eastAsia" w:asciiTheme="majorEastAsia" w:hAnsiTheme="majorEastAsia" w:eastAsiaTheme="majorEastAsia" w:cstheme="majorEastAsia"/>
                <w:color w:val="auto"/>
                <w:sz w:val="22"/>
                <w:szCs w:val="22"/>
                <w:lang w:val="en-US" w:eastAsia="zh-CN"/>
              </w:rPr>
              <w:t>视频监控</w:t>
            </w:r>
            <w:r>
              <w:rPr>
                <w:rFonts w:hint="eastAsia" w:asciiTheme="majorEastAsia" w:hAnsiTheme="majorEastAsia" w:eastAsiaTheme="majorEastAsia" w:cstheme="majorEastAsia"/>
                <w:color w:val="auto"/>
                <w:sz w:val="22"/>
                <w:szCs w:val="22"/>
                <w:lang w:eastAsia="zh-CN"/>
              </w:rPr>
              <w:t>）</w:t>
            </w:r>
            <w:r>
              <w:rPr>
                <w:rFonts w:hint="eastAsia" w:asciiTheme="majorEastAsia" w:hAnsiTheme="majorEastAsia" w:eastAsiaTheme="majorEastAsia" w:cstheme="majorEastAsia"/>
                <w:color w:val="auto"/>
                <w:sz w:val="22"/>
                <w:szCs w:val="22"/>
              </w:rPr>
              <w:t>厂家具有标准化良好行为证书3A得1分，4A得2分，5A得3分，提供证书复印件</w:t>
            </w:r>
            <w:r>
              <w:rPr>
                <w:rFonts w:hint="eastAsia" w:asciiTheme="majorEastAsia" w:hAnsiTheme="majorEastAsia" w:eastAsiaTheme="majorEastAsia" w:cstheme="majorEastAsia"/>
                <w:color w:val="auto"/>
                <w:sz w:val="22"/>
                <w:szCs w:val="22"/>
                <w:lang w:eastAsia="zh-CN"/>
              </w:rPr>
              <w:t>。</w:t>
            </w:r>
          </w:p>
          <w:p>
            <w:pPr>
              <w:pStyle w:val="8"/>
              <w:rPr>
                <w:rFonts w:hint="default"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主要设备为：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6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3</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2"/>
                <w:sz w:val="22"/>
                <w:szCs w:val="22"/>
                <w:lang w:val="en-US" w:eastAsia="zh-CN" w:bidi="ar-SA"/>
              </w:rPr>
            </w:pPr>
            <w:r>
              <w:rPr>
                <w:rFonts w:hint="eastAsia" w:asciiTheme="majorEastAsia" w:hAnsiTheme="majorEastAsia" w:eastAsiaTheme="majorEastAsia" w:cstheme="majorEastAsia"/>
                <w:color w:val="auto"/>
                <w:sz w:val="22"/>
                <w:szCs w:val="22"/>
              </w:rPr>
              <w:t>项目技术、实施方案</w:t>
            </w:r>
          </w:p>
          <w:p>
            <w:pPr>
              <w:rPr>
                <w:rFonts w:hint="eastAsia" w:asciiTheme="majorEastAsia" w:hAnsiTheme="majorEastAsia" w:eastAsiaTheme="majorEastAsia" w:cstheme="majorEastAsia"/>
                <w:color w:val="auto"/>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kern w:val="2"/>
                <w:sz w:val="22"/>
                <w:szCs w:val="22"/>
                <w:lang w:val="en-US" w:eastAsia="zh-CN" w:bidi="ar-SA"/>
              </w:rPr>
            </w:pPr>
            <w:r>
              <w:rPr>
                <w:rFonts w:hint="eastAsia" w:asciiTheme="majorEastAsia" w:hAnsiTheme="majorEastAsia" w:eastAsiaTheme="majorEastAsia" w:cstheme="majorEastAsia"/>
                <w:color w:val="auto"/>
                <w:sz w:val="22"/>
                <w:szCs w:val="22"/>
              </w:rPr>
              <w:t>6分</w:t>
            </w:r>
          </w:p>
        </w:tc>
        <w:tc>
          <w:tcPr>
            <w:tcW w:w="6376" w:type="dxa"/>
            <w:tcBorders>
              <w:top w:val="single" w:color="auto" w:sz="4" w:space="0"/>
              <w:left w:val="single" w:color="auto" w:sz="4" w:space="0"/>
              <w:bottom w:val="single" w:color="auto" w:sz="4" w:space="0"/>
              <w:right w:val="single" w:color="auto" w:sz="4" w:space="0"/>
            </w:tcBorders>
            <w:vAlign w:val="top"/>
          </w:tcPr>
          <w:p>
            <w:pPr>
              <w:jc w:val="left"/>
              <w:rPr>
                <w:rFonts w:hint="default" w:asciiTheme="majorEastAsia" w:hAnsiTheme="majorEastAsia" w:eastAsiaTheme="majorEastAsia" w:cstheme="majorEastAsia"/>
                <w:color w:val="auto"/>
                <w:kern w:val="2"/>
                <w:sz w:val="22"/>
                <w:szCs w:val="22"/>
                <w:lang w:val="en-US" w:eastAsia="zh-CN" w:bidi="ar-SA"/>
              </w:rPr>
            </w:pPr>
            <w:r>
              <w:rPr>
                <w:rFonts w:hint="eastAsia" w:asciiTheme="majorEastAsia" w:hAnsiTheme="majorEastAsia" w:eastAsiaTheme="majorEastAsia" w:cstheme="majorEastAsia"/>
                <w:color w:val="auto"/>
                <w:sz w:val="22"/>
                <w:szCs w:val="22"/>
              </w:rPr>
              <w:t>根据投标人对用户需求的理解程度,技术方案的科学性、先进性、可靠性、成熟性、合理性、完整性和扩展性,技术方案的功能实现与项目对应需求的满足程度等，由评委综合评分。</w:t>
            </w:r>
            <w:r>
              <w:rPr>
                <w:rFonts w:hint="eastAsia" w:asciiTheme="majorEastAsia" w:hAnsiTheme="majorEastAsia" w:eastAsiaTheme="majorEastAsia" w:cstheme="majorEastAsia"/>
                <w:color w:val="auto"/>
                <w:sz w:val="22"/>
                <w:szCs w:val="22"/>
              </w:rPr>
              <w:br w:type="textWrapping"/>
            </w:r>
            <w:r>
              <w:rPr>
                <w:rFonts w:hint="eastAsia" w:asciiTheme="majorEastAsia" w:hAnsiTheme="majorEastAsia" w:eastAsiaTheme="majorEastAsia" w:cstheme="majorEastAsia"/>
                <w:color w:val="auto"/>
                <w:sz w:val="22"/>
                <w:szCs w:val="22"/>
                <w:lang w:val="en-US" w:eastAsia="zh-CN"/>
              </w:rPr>
              <w:t>方案完全合理的得6-5分，基本合理的得5-3分，部分可行的得3-0分。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6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2"/>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2"/>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kern w:val="2"/>
                <w:sz w:val="22"/>
                <w:szCs w:val="22"/>
                <w:lang w:val="en-US" w:eastAsia="zh-CN" w:bidi="ar-SA"/>
              </w:rPr>
            </w:pPr>
            <w:r>
              <w:rPr>
                <w:rFonts w:hint="eastAsia" w:asciiTheme="majorEastAsia" w:hAnsiTheme="majorEastAsia" w:eastAsiaTheme="majorEastAsia" w:cstheme="majorEastAsia"/>
                <w:color w:val="auto"/>
                <w:sz w:val="22"/>
                <w:szCs w:val="22"/>
              </w:rPr>
              <w:t>3分</w:t>
            </w:r>
          </w:p>
        </w:tc>
        <w:tc>
          <w:tcPr>
            <w:tcW w:w="6376" w:type="dxa"/>
            <w:tcBorders>
              <w:top w:val="single" w:color="auto" w:sz="4" w:space="0"/>
              <w:left w:val="single" w:color="auto" w:sz="4" w:space="0"/>
              <w:bottom w:val="single" w:color="auto" w:sz="4" w:space="0"/>
              <w:right w:val="single" w:color="auto" w:sz="4" w:space="0"/>
            </w:tcBorders>
            <w:vAlign w:val="top"/>
          </w:tcPr>
          <w:p>
            <w:pPr>
              <w:jc w:val="left"/>
              <w:rPr>
                <w:rFonts w:hint="eastAsia" w:asciiTheme="majorEastAsia" w:hAnsiTheme="majorEastAsia" w:eastAsiaTheme="majorEastAsia" w:cstheme="majorEastAsia"/>
                <w:color w:val="auto"/>
                <w:kern w:val="2"/>
                <w:sz w:val="22"/>
                <w:szCs w:val="22"/>
                <w:lang w:val="en-US" w:eastAsia="zh-CN" w:bidi="ar-SA"/>
              </w:rPr>
            </w:pPr>
            <w:r>
              <w:rPr>
                <w:rFonts w:hint="eastAsia" w:asciiTheme="majorEastAsia" w:hAnsiTheme="majorEastAsia" w:eastAsiaTheme="majorEastAsia" w:cstheme="majorEastAsia"/>
                <w:color w:val="auto"/>
                <w:sz w:val="22"/>
                <w:szCs w:val="22"/>
              </w:rPr>
              <w:t>根据提供的实施方案（包含实施计划、质量管理、测试验收等内容）的完整性、合理性和科学性，由评委综合评分。</w:t>
            </w:r>
            <w:r>
              <w:rPr>
                <w:rFonts w:hint="eastAsia" w:asciiTheme="majorEastAsia" w:hAnsiTheme="majorEastAsia" w:eastAsiaTheme="majorEastAsia" w:cstheme="majorEastAsia"/>
                <w:color w:val="auto"/>
                <w:sz w:val="22"/>
                <w:szCs w:val="22"/>
              </w:rPr>
              <w:br w:type="textWrapping"/>
            </w:r>
            <w:r>
              <w:rPr>
                <w:rFonts w:hint="eastAsia" w:asciiTheme="majorEastAsia" w:hAnsiTheme="majorEastAsia" w:eastAsiaTheme="majorEastAsia" w:cstheme="majorEastAsia"/>
                <w:color w:val="auto"/>
                <w:sz w:val="22"/>
                <w:szCs w:val="22"/>
                <w:lang w:val="en-US" w:eastAsia="zh-CN"/>
              </w:rPr>
              <w:t>方案完全合理的得3-2分，基本合理的得2-1分，部分可行的得1-0分。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kern w:val="2"/>
                <w:sz w:val="22"/>
                <w:szCs w:val="22"/>
                <w:lang w:val="en-US" w:eastAsia="zh-CN" w:bidi="ar-SA"/>
              </w:rPr>
            </w:pPr>
            <w:r>
              <w:rPr>
                <w:rFonts w:hint="eastAsia" w:asciiTheme="majorEastAsia" w:hAnsiTheme="majorEastAsia" w:eastAsiaTheme="majorEastAsia" w:cstheme="majorEastAsia"/>
                <w:color w:val="auto"/>
                <w:sz w:val="22"/>
                <w:szCs w:val="22"/>
                <w:lang w:val="en-US" w:eastAsia="zh-CN"/>
              </w:rPr>
              <w:t>4</w:t>
            </w:r>
          </w:p>
        </w:tc>
        <w:tc>
          <w:tcPr>
            <w:tcW w:w="1559" w:type="dxa"/>
            <w:tcBorders>
              <w:top w:val="single" w:color="auto" w:sz="4" w:space="0"/>
              <w:left w:val="single" w:color="auto" w:sz="4" w:space="0"/>
              <w:bottom w:val="single" w:color="auto" w:sz="4" w:space="0"/>
              <w:right w:val="single" w:color="auto" w:sz="4" w:space="0"/>
            </w:tcBorders>
            <w:vAlign w:val="center"/>
          </w:tcPr>
          <w:p>
            <w:pPr>
              <w:rPr>
                <w:rFonts w:hint="default" w:asciiTheme="majorEastAsia" w:hAnsiTheme="majorEastAsia" w:eastAsiaTheme="majorEastAsia" w:cstheme="majorEastAsia"/>
                <w:color w:val="auto"/>
                <w:kern w:val="2"/>
                <w:sz w:val="22"/>
                <w:szCs w:val="22"/>
                <w:lang w:val="en-US" w:eastAsia="zh-CN"/>
              </w:rPr>
            </w:pPr>
            <w:r>
              <w:rPr>
                <w:rFonts w:hint="eastAsia" w:asciiTheme="majorEastAsia" w:hAnsiTheme="majorEastAsia" w:eastAsiaTheme="majorEastAsia" w:cstheme="majorEastAsia"/>
                <w:color w:val="auto"/>
                <w:kern w:val="2"/>
                <w:sz w:val="22"/>
                <w:szCs w:val="22"/>
                <w:lang w:val="en-US" w:eastAsia="zh-CN"/>
              </w:rPr>
              <w:t>项目运维方案</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6分</w:t>
            </w:r>
          </w:p>
        </w:tc>
        <w:tc>
          <w:tcPr>
            <w:tcW w:w="6376" w:type="dxa"/>
            <w:tcBorders>
              <w:top w:val="single" w:color="auto" w:sz="4" w:space="0"/>
              <w:left w:val="single" w:color="auto" w:sz="4" w:space="0"/>
              <w:bottom w:val="single" w:color="auto" w:sz="4" w:space="0"/>
              <w:right w:val="single" w:color="auto" w:sz="4" w:space="0"/>
            </w:tcBorders>
          </w:tcPr>
          <w:p>
            <w:pPr>
              <w:jc w:val="left"/>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根据提供的</w:t>
            </w:r>
            <w:r>
              <w:rPr>
                <w:rFonts w:hint="eastAsia" w:asciiTheme="majorEastAsia" w:hAnsiTheme="majorEastAsia" w:eastAsiaTheme="majorEastAsia" w:cstheme="majorEastAsia"/>
                <w:color w:val="auto"/>
                <w:sz w:val="22"/>
                <w:szCs w:val="22"/>
                <w:lang w:val="en-US" w:eastAsia="zh-CN"/>
              </w:rPr>
              <w:t>项目运维</w:t>
            </w:r>
            <w:r>
              <w:rPr>
                <w:rFonts w:hint="eastAsia" w:asciiTheme="majorEastAsia" w:hAnsiTheme="majorEastAsia" w:eastAsiaTheme="majorEastAsia" w:cstheme="majorEastAsia"/>
                <w:color w:val="auto"/>
                <w:sz w:val="22"/>
                <w:szCs w:val="22"/>
              </w:rPr>
              <w:t>方案的完整性、合理性和科学性，由评委综合评分。</w:t>
            </w:r>
            <w:r>
              <w:rPr>
                <w:rFonts w:hint="eastAsia" w:asciiTheme="majorEastAsia" w:hAnsiTheme="majorEastAsia" w:eastAsiaTheme="majorEastAsia" w:cstheme="majorEastAsia"/>
                <w:color w:val="auto"/>
                <w:sz w:val="22"/>
                <w:szCs w:val="22"/>
              </w:rPr>
              <w:br w:type="textWrapping"/>
            </w:r>
            <w:r>
              <w:rPr>
                <w:rFonts w:hint="eastAsia" w:asciiTheme="majorEastAsia" w:hAnsiTheme="majorEastAsia" w:eastAsiaTheme="majorEastAsia" w:cstheme="majorEastAsia"/>
                <w:color w:val="auto"/>
                <w:sz w:val="22"/>
                <w:szCs w:val="22"/>
                <w:lang w:val="en-US" w:eastAsia="zh-CN"/>
              </w:rPr>
              <w:t>方案完全合理的得6-5分，基本合理的得5-3分，部分可行的得3-0分。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5</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项目团队成员技术实力</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lang w:val="en-US" w:eastAsia="zh-CN"/>
              </w:rPr>
              <w:t>3</w:t>
            </w:r>
            <w:r>
              <w:rPr>
                <w:rFonts w:hint="eastAsia" w:asciiTheme="majorEastAsia" w:hAnsiTheme="majorEastAsia" w:eastAsiaTheme="majorEastAsia" w:cstheme="majorEastAsia"/>
                <w:color w:val="auto"/>
                <w:sz w:val="22"/>
                <w:szCs w:val="22"/>
              </w:rPr>
              <w:t>分</w:t>
            </w:r>
          </w:p>
        </w:tc>
        <w:tc>
          <w:tcPr>
            <w:tcW w:w="6376" w:type="dxa"/>
            <w:tcBorders>
              <w:top w:val="single" w:color="auto" w:sz="4" w:space="0"/>
              <w:left w:val="single" w:color="auto" w:sz="4" w:space="0"/>
              <w:bottom w:val="single" w:color="auto" w:sz="4" w:space="0"/>
              <w:right w:val="single" w:color="auto" w:sz="4" w:space="0"/>
            </w:tcBorders>
          </w:tcPr>
          <w:p>
            <w:pP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供应商需要针对本项目配备专职的项目经理，提供人员资历材料、相关证书和</w:t>
            </w:r>
            <w:r>
              <w:rPr>
                <w:rFonts w:hint="eastAsia" w:asciiTheme="majorEastAsia" w:hAnsiTheme="majorEastAsia" w:eastAsiaTheme="majorEastAsia" w:cstheme="majorEastAsia"/>
                <w:color w:val="auto"/>
                <w:sz w:val="22"/>
                <w:szCs w:val="22"/>
                <w:lang w:val="en-US" w:eastAsia="zh-CN"/>
              </w:rPr>
              <w:t>3个月</w:t>
            </w:r>
            <w:r>
              <w:rPr>
                <w:rFonts w:hint="eastAsia" w:asciiTheme="majorEastAsia" w:hAnsiTheme="majorEastAsia" w:eastAsiaTheme="majorEastAsia" w:cstheme="majorEastAsia"/>
                <w:color w:val="auto"/>
                <w:sz w:val="22"/>
                <w:szCs w:val="22"/>
              </w:rPr>
              <w:t>以上社保证明材料。</w:t>
            </w:r>
          </w:p>
          <w:p>
            <w:pP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1.项目经理具有信息系统集成及服务类的高级项目经理证书</w:t>
            </w:r>
            <w:r>
              <w:rPr>
                <w:rFonts w:hint="eastAsia" w:asciiTheme="majorEastAsia" w:hAnsiTheme="majorEastAsia" w:eastAsiaTheme="majorEastAsia" w:cstheme="majorEastAsia"/>
                <w:color w:val="auto"/>
                <w:sz w:val="22"/>
                <w:szCs w:val="22"/>
                <w:lang w:eastAsia="zh-CN"/>
              </w:rPr>
              <w:t>，</w:t>
            </w:r>
            <w:r>
              <w:rPr>
                <w:rFonts w:hint="eastAsia" w:asciiTheme="majorEastAsia" w:hAnsiTheme="majorEastAsia" w:eastAsiaTheme="majorEastAsia" w:cstheme="majorEastAsia"/>
                <w:color w:val="auto"/>
                <w:sz w:val="22"/>
                <w:szCs w:val="22"/>
                <w:lang w:val="en-US" w:eastAsia="zh-CN"/>
              </w:rPr>
              <w:t>每具有一个得1.5分</w:t>
            </w:r>
            <w:r>
              <w:rPr>
                <w:rFonts w:hint="eastAsia" w:asciiTheme="majorEastAsia" w:hAnsiTheme="majorEastAsia" w:eastAsiaTheme="majorEastAsia" w:cstheme="majorEastAsia"/>
                <w:color w:val="auto"/>
                <w:sz w:val="22"/>
                <w:szCs w:val="22"/>
              </w:rPr>
              <w:t>；</w:t>
            </w:r>
          </w:p>
          <w:p>
            <w:pP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2.项目经理具有一级建造师资格（机电工程专业</w:t>
            </w:r>
            <w:r>
              <w:rPr>
                <w:rFonts w:hint="eastAsia" w:asciiTheme="majorEastAsia" w:hAnsiTheme="majorEastAsia" w:eastAsiaTheme="majorEastAsia" w:cstheme="majorEastAsia"/>
                <w:color w:val="auto"/>
                <w:sz w:val="22"/>
                <w:szCs w:val="22"/>
                <w:lang w:eastAsia="zh-CN"/>
              </w:rPr>
              <w:t>或</w:t>
            </w:r>
            <w:r>
              <w:rPr>
                <w:rFonts w:ascii="宋体" w:eastAsia="宋体" w:cs="宋体"/>
                <w:b w:val="0"/>
                <w:color w:val="auto"/>
                <w:sz w:val="22"/>
                <w:szCs w:val="22"/>
              </w:rPr>
              <w:t>通信与广电工程</w:t>
            </w:r>
            <w:r>
              <w:rPr>
                <w:rFonts w:hint="eastAsia" w:asciiTheme="majorEastAsia" w:hAnsiTheme="majorEastAsia" w:eastAsiaTheme="majorEastAsia" w:cstheme="majorEastAsia"/>
                <w:color w:val="auto"/>
                <w:sz w:val="22"/>
                <w:szCs w:val="22"/>
              </w:rPr>
              <w:t>）</w:t>
            </w:r>
            <w:r>
              <w:rPr>
                <w:rFonts w:hint="eastAsia" w:asciiTheme="majorEastAsia" w:hAnsiTheme="majorEastAsia" w:eastAsiaTheme="majorEastAsia" w:cstheme="majorEastAsia"/>
                <w:color w:val="auto"/>
                <w:sz w:val="22"/>
                <w:szCs w:val="22"/>
                <w:lang w:eastAsia="zh-CN"/>
              </w:rPr>
              <w:t>，</w:t>
            </w:r>
            <w:r>
              <w:rPr>
                <w:rFonts w:hint="eastAsia" w:asciiTheme="majorEastAsia" w:hAnsiTheme="majorEastAsia" w:eastAsiaTheme="majorEastAsia" w:cstheme="majorEastAsia"/>
                <w:color w:val="auto"/>
                <w:sz w:val="22"/>
                <w:szCs w:val="22"/>
                <w:lang w:val="en-US" w:eastAsia="zh-CN"/>
              </w:rPr>
              <w:t>每具有一个得1.5分</w:t>
            </w:r>
            <w:r>
              <w:rPr>
                <w:rFonts w:hint="eastAsia" w:asciiTheme="majorEastAsia" w:hAnsiTheme="majorEastAsia" w:eastAsiaTheme="majorEastAsia" w:cstheme="majorEastAsia"/>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66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2"/>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2"/>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lang w:val="en-US" w:eastAsia="zh-CN"/>
              </w:rPr>
              <w:t>10</w:t>
            </w:r>
            <w:r>
              <w:rPr>
                <w:rFonts w:hint="eastAsia" w:asciiTheme="majorEastAsia" w:hAnsiTheme="majorEastAsia" w:eastAsiaTheme="majorEastAsia" w:cstheme="majorEastAsia"/>
                <w:color w:val="auto"/>
                <w:sz w:val="22"/>
                <w:szCs w:val="22"/>
              </w:rPr>
              <w:t>分</w:t>
            </w:r>
          </w:p>
        </w:tc>
        <w:tc>
          <w:tcPr>
            <w:tcW w:w="6376" w:type="dxa"/>
            <w:tcBorders>
              <w:top w:val="single" w:color="auto" w:sz="4" w:space="0"/>
              <w:left w:val="single" w:color="auto" w:sz="4" w:space="0"/>
              <w:bottom w:val="single" w:color="auto" w:sz="4" w:space="0"/>
              <w:right w:val="single" w:color="auto" w:sz="4" w:space="0"/>
            </w:tcBorders>
          </w:tcPr>
          <w:p>
            <w:pPr>
              <w:jc w:val="left"/>
              <w:rPr>
                <w:rFonts w:hint="default"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A.</w:t>
            </w:r>
            <w:r>
              <w:rPr>
                <w:rFonts w:hint="eastAsia" w:asciiTheme="majorEastAsia" w:hAnsiTheme="majorEastAsia" w:eastAsiaTheme="majorEastAsia" w:cstheme="majorEastAsia"/>
                <w:color w:val="auto"/>
                <w:sz w:val="22"/>
                <w:szCs w:val="22"/>
              </w:rPr>
              <w:t>根据供应商提供的除项目负责人以外的</w:t>
            </w:r>
            <w:r>
              <w:rPr>
                <w:rFonts w:hint="eastAsia" w:asciiTheme="majorEastAsia" w:hAnsiTheme="majorEastAsia" w:eastAsiaTheme="majorEastAsia" w:cstheme="majorEastAsia"/>
                <w:b/>
                <w:bCs/>
                <w:color w:val="auto"/>
                <w:sz w:val="22"/>
                <w:szCs w:val="22"/>
                <w:lang w:val="en-US" w:eastAsia="zh-CN"/>
              </w:rPr>
              <w:t>安装、技术实施</w:t>
            </w:r>
            <w:r>
              <w:rPr>
                <w:rFonts w:hint="eastAsia" w:asciiTheme="majorEastAsia" w:hAnsiTheme="majorEastAsia" w:eastAsiaTheme="majorEastAsia" w:cstheme="majorEastAsia"/>
                <w:b/>
                <w:bCs/>
                <w:color w:val="auto"/>
                <w:sz w:val="22"/>
                <w:szCs w:val="22"/>
              </w:rPr>
              <w:t>人员</w:t>
            </w:r>
            <w:r>
              <w:rPr>
                <w:rFonts w:hint="eastAsia" w:asciiTheme="majorEastAsia" w:hAnsiTheme="majorEastAsia" w:eastAsiaTheme="majorEastAsia" w:cstheme="majorEastAsia"/>
                <w:color w:val="auto"/>
                <w:sz w:val="22"/>
                <w:szCs w:val="22"/>
              </w:rPr>
              <w:t>配备综合情况，根据其人员资质、经验等打分。</w:t>
            </w:r>
            <w:r>
              <w:rPr>
                <w:rFonts w:hint="eastAsia" w:asciiTheme="majorEastAsia" w:hAnsiTheme="majorEastAsia" w:eastAsiaTheme="majorEastAsia" w:cstheme="majorEastAsia"/>
                <w:color w:val="auto"/>
                <w:sz w:val="22"/>
                <w:szCs w:val="22"/>
              </w:rPr>
              <w:br w:type="textWrapping"/>
            </w:r>
            <w:r>
              <w:rPr>
                <w:rFonts w:hint="eastAsia" w:asciiTheme="majorEastAsia" w:hAnsiTheme="majorEastAsia" w:eastAsiaTheme="majorEastAsia" w:cstheme="majorEastAsia"/>
                <w:color w:val="auto"/>
                <w:sz w:val="22"/>
                <w:szCs w:val="22"/>
                <w:lang w:val="en-US" w:eastAsia="zh-CN"/>
              </w:rPr>
              <w:t>配备完全合理的得4-3分，基本合理的得3-2分，部分可行的得2-0分。</w:t>
            </w:r>
            <w:r>
              <w:rPr>
                <w:rFonts w:hint="eastAsia" w:asciiTheme="majorEastAsia" w:hAnsiTheme="majorEastAsia" w:eastAsiaTheme="majorEastAsia" w:cstheme="majorEastAsia"/>
                <w:color w:val="auto"/>
                <w:sz w:val="22"/>
                <w:szCs w:val="22"/>
                <w:lang w:val="en-US" w:eastAsia="zh-CN"/>
              </w:rPr>
              <w:br w:type="textWrapping"/>
            </w:r>
            <w:r>
              <w:rPr>
                <w:rFonts w:hint="eastAsia" w:asciiTheme="majorEastAsia" w:hAnsiTheme="majorEastAsia" w:eastAsiaTheme="majorEastAsia" w:cstheme="majorEastAsia"/>
                <w:color w:val="auto"/>
                <w:sz w:val="22"/>
                <w:szCs w:val="22"/>
                <w:lang w:val="en-US" w:eastAsia="zh-CN"/>
              </w:rPr>
              <w:t>B.</w:t>
            </w:r>
            <w:r>
              <w:rPr>
                <w:rFonts w:hint="eastAsia" w:asciiTheme="majorEastAsia" w:hAnsiTheme="majorEastAsia" w:eastAsiaTheme="majorEastAsia" w:cstheme="majorEastAsia"/>
                <w:color w:val="auto"/>
                <w:sz w:val="22"/>
                <w:szCs w:val="22"/>
              </w:rPr>
              <w:t>根据供应商提供的除项目负责人以外的</w:t>
            </w:r>
            <w:r>
              <w:rPr>
                <w:rFonts w:hint="eastAsia" w:asciiTheme="majorEastAsia" w:hAnsiTheme="majorEastAsia" w:eastAsiaTheme="majorEastAsia" w:cstheme="majorEastAsia"/>
                <w:b/>
                <w:bCs/>
                <w:color w:val="auto"/>
                <w:sz w:val="22"/>
                <w:szCs w:val="22"/>
                <w:lang w:val="en-US" w:eastAsia="zh-CN"/>
              </w:rPr>
              <w:t>项目维护人员</w:t>
            </w:r>
            <w:r>
              <w:rPr>
                <w:rFonts w:hint="eastAsia" w:asciiTheme="majorEastAsia" w:hAnsiTheme="majorEastAsia" w:eastAsiaTheme="majorEastAsia" w:cstheme="majorEastAsia"/>
                <w:color w:val="auto"/>
                <w:sz w:val="22"/>
                <w:szCs w:val="22"/>
              </w:rPr>
              <w:t>配备综合情况，根据其人员资质、经验等打分。</w:t>
            </w:r>
            <w:r>
              <w:rPr>
                <w:rFonts w:hint="eastAsia" w:asciiTheme="majorEastAsia" w:hAnsiTheme="majorEastAsia" w:eastAsiaTheme="majorEastAsia" w:cstheme="majorEastAsia"/>
                <w:color w:val="auto"/>
                <w:sz w:val="22"/>
                <w:szCs w:val="22"/>
              </w:rPr>
              <w:br w:type="textWrapping"/>
            </w:r>
            <w:r>
              <w:rPr>
                <w:rFonts w:hint="eastAsia" w:asciiTheme="majorEastAsia" w:hAnsiTheme="majorEastAsia" w:eastAsiaTheme="majorEastAsia" w:cstheme="majorEastAsia"/>
                <w:color w:val="auto"/>
                <w:sz w:val="22"/>
                <w:szCs w:val="22"/>
                <w:lang w:val="en-US" w:eastAsia="zh-CN"/>
              </w:rPr>
              <w:t>配备完全合理的得6-5分，基本合理的得5-3分，部分可行的得3-0分。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kern w:val="2"/>
                <w:sz w:val="22"/>
                <w:szCs w:val="22"/>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2"/>
                <w:sz w:val="22"/>
                <w:szCs w:val="22"/>
              </w:rPr>
            </w:pPr>
          </w:p>
        </w:tc>
        <w:tc>
          <w:tcPr>
            <w:tcW w:w="722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b/>
                <w:bCs/>
                <w:color w:val="auto"/>
                <w:sz w:val="22"/>
                <w:szCs w:val="22"/>
              </w:rPr>
              <w:t>注：</w:t>
            </w:r>
            <w:r>
              <w:rPr>
                <w:rFonts w:hint="eastAsia" w:asciiTheme="majorEastAsia" w:hAnsiTheme="majorEastAsia" w:eastAsiaTheme="majorEastAsia" w:cstheme="majorEastAsia"/>
                <w:b/>
                <w:bCs/>
                <w:color w:val="auto"/>
                <w:sz w:val="22"/>
                <w:szCs w:val="22"/>
                <w:lang w:val="zh-CN"/>
              </w:rPr>
              <w:t>上述全部人员投标单位均需提供2020年内连续缴纳</w:t>
            </w:r>
            <w:r>
              <w:rPr>
                <w:rFonts w:hint="eastAsia" w:asciiTheme="majorEastAsia" w:hAnsiTheme="majorEastAsia" w:eastAsiaTheme="majorEastAsia" w:cstheme="majorEastAsia"/>
                <w:b/>
                <w:bCs/>
                <w:color w:val="auto"/>
                <w:sz w:val="22"/>
                <w:szCs w:val="22"/>
                <w:lang w:val="en-US" w:eastAsia="zh-CN"/>
              </w:rPr>
              <w:t>3</w:t>
            </w:r>
            <w:r>
              <w:rPr>
                <w:rFonts w:hint="eastAsia" w:asciiTheme="majorEastAsia" w:hAnsiTheme="majorEastAsia" w:eastAsiaTheme="majorEastAsia" w:cstheme="majorEastAsia"/>
                <w:b/>
                <w:bCs/>
                <w:color w:val="auto"/>
                <w:sz w:val="22"/>
                <w:szCs w:val="22"/>
                <w:lang w:val="zh-CN"/>
              </w:rPr>
              <w:t>个月社保证明及资质证书复印件并加盖公章。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6</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售后服务承诺与保证措施</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lang w:val="en-US" w:eastAsia="zh-CN"/>
              </w:rPr>
              <w:t>4</w:t>
            </w:r>
            <w:r>
              <w:rPr>
                <w:rFonts w:hint="eastAsia" w:asciiTheme="majorEastAsia" w:hAnsiTheme="majorEastAsia" w:eastAsiaTheme="majorEastAsia" w:cstheme="majorEastAsia"/>
                <w:color w:val="auto"/>
                <w:sz w:val="22"/>
                <w:szCs w:val="22"/>
              </w:rPr>
              <w:t>分</w:t>
            </w:r>
          </w:p>
        </w:tc>
        <w:tc>
          <w:tcPr>
            <w:tcW w:w="6376" w:type="dxa"/>
            <w:tcBorders>
              <w:top w:val="single" w:color="auto" w:sz="4" w:space="0"/>
              <w:left w:val="single" w:color="auto" w:sz="4" w:space="0"/>
              <w:bottom w:val="single" w:color="auto" w:sz="4" w:space="0"/>
              <w:right w:val="single" w:color="auto" w:sz="4" w:space="0"/>
            </w:tcBorders>
          </w:tcPr>
          <w:p>
            <w:pPr>
              <w:jc w:val="left"/>
              <w:rPr>
                <w:rFonts w:hint="eastAsia" w:asciiTheme="majorEastAsia" w:hAnsiTheme="majorEastAsia" w:eastAsiaTheme="majorEastAsia" w:cstheme="majorEastAsia"/>
                <w:color w:val="auto"/>
                <w:sz w:val="22"/>
                <w:szCs w:val="22"/>
                <w:lang w:eastAsia="zh-CN"/>
              </w:rPr>
            </w:pPr>
            <w:r>
              <w:rPr>
                <w:rFonts w:hint="eastAsia" w:asciiTheme="majorEastAsia" w:hAnsiTheme="majorEastAsia" w:eastAsiaTheme="majorEastAsia" w:cstheme="majorEastAsia"/>
                <w:color w:val="auto"/>
                <w:sz w:val="22"/>
                <w:szCs w:val="22"/>
              </w:rPr>
              <w:t>在满足招标文件要求的基础上，根据技术支持、售后服务响应时间，出现质量问题的处理，日常检测及保养，故障处理效率，应急维修承诺等的具体方案，由评委综合评分</w:t>
            </w:r>
            <w:r>
              <w:rPr>
                <w:rFonts w:hint="eastAsia" w:asciiTheme="majorEastAsia" w:hAnsiTheme="majorEastAsia" w:eastAsiaTheme="majorEastAsia" w:cstheme="majorEastAsia"/>
                <w:color w:val="auto"/>
                <w:sz w:val="22"/>
                <w:szCs w:val="22"/>
                <w:lang w:eastAsia="zh-CN"/>
              </w:rPr>
              <w:t>。</w:t>
            </w:r>
            <w:r>
              <w:rPr>
                <w:rFonts w:hint="eastAsia" w:asciiTheme="majorEastAsia" w:hAnsiTheme="majorEastAsia" w:eastAsiaTheme="majorEastAsia" w:cstheme="majorEastAsia"/>
                <w:color w:val="auto"/>
                <w:sz w:val="22"/>
                <w:szCs w:val="22"/>
                <w:lang w:eastAsia="zh-CN"/>
              </w:rPr>
              <w:br w:type="textWrapping"/>
            </w:r>
            <w:r>
              <w:rPr>
                <w:rFonts w:hint="eastAsia" w:asciiTheme="majorEastAsia" w:hAnsiTheme="majorEastAsia" w:eastAsiaTheme="majorEastAsia" w:cstheme="majorEastAsia"/>
                <w:color w:val="auto"/>
                <w:sz w:val="22"/>
                <w:szCs w:val="22"/>
                <w:lang w:val="en-US" w:eastAsia="zh-CN"/>
              </w:rPr>
              <w:t>方案完全合理的得4-3分，基本合理的得3-2分，部分可行的得2-1分。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6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2"/>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2"/>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3分</w:t>
            </w:r>
          </w:p>
        </w:tc>
        <w:tc>
          <w:tcPr>
            <w:tcW w:w="637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根据供应商售后网络便利性及分布情况。</w:t>
            </w:r>
            <w:r>
              <w:rPr>
                <w:rFonts w:hint="eastAsia" w:asciiTheme="majorEastAsia" w:hAnsiTheme="majorEastAsia" w:eastAsiaTheme="majorEastAsia" w:cstheme="majorEastAsia"/>
                <w:color w:val="auto"/>
                <w:sz w:val="22"/>
                <w:szCs w:val="22"/>
              </w:rPr>
              <w:br w:type="textWrapping"/>
            </w:r>
            <w:r>
              <w:rPr>
                <w:rFonts w:hint="eastAsia" w:asciiTheme="majorEastAsia" w:hAnsiTheme="majorEastAsia" w:eastAsiaTheme="majorEastAsia" w:cstheme="majorEastAsia"/>
                <w:color w:val="auto"/>
                <w:sz w:val="22"/>
                <w:szCs w:val="22"/>
                <w:lang w:val="en-US" w:eastAsia="zh-CN"/>
              </w:rPr>
              <w:t>配备较好的得3-2分，配备一般的得2-0分。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kern w:val="2"/>
                <w:sz w:val="22"/>
                <w:szCs w:val="22"/>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2"/>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lang w:val="en-US" w:eastAsia="zh-CN"/>
              </w:rPr>
              <w:t>2</w:t>
            </w:r>
            <w:r>
              <w:rPr>
                <w:rFonts w:hint="eastAsia" w:asciiTheme="majorEastAsia" w:hAnsiTheme="majorEastAsia" w:eastAsiaTheme="majorEastAsia" w:cstheme="majorEastAsia"/>
                <w:color w:val="auto"/>
                <w:sz w:val="22"/>
                <w:szCs w:val="22"/>
              </w:rPr>
              <w:t>分</w:t>
            </w:r>
          </w:p>
        </w:tc>
        <w:tc>
          <w:tcPr>
            <w:tcW w:w="6376" w:type="dxa"/>
            <w:tcBorders>
              <w:top w:val="single" w:color="auto" w:sz="4" w:space="0"/>
              <w:left w:val="single" w:color="auto" w:sz="4" w:space="0"/>
              <w:bottom w:val="single" w:color="auto" w:sz="4" w:space="0"/>
              <w:right w:val="single" w:color="auto" w:sz="4" w:space="0"/>
            </w:tcBorders>
          </w:tcPr>
          <w:p>
            <w:pPr>
              <w:jc w:val="left"/>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根据供应商车辆配备（提供车辆登记证明）情况、备品备件配备情况等情况，提供相关售后服务证明材料。</w:t>
            </w:r>
            <w:r>
              <w:rPr>
                <w:rFonts w:hint="eastAsia" w:asciiTheme="majorEastAsia" w:hAnsiTheme="majorEastAsia" w:eastAsiaTheme="majorEastAsia" w:cstheme="majorEastAsia"/>
                <w:color w:val="auto"/>
                <w:sz w:val="22"/>
                <w:szCs w:val="22"/>
              </w:rPr>
              <w:br w:type="textWrapping"/>
            </w:r>
            <w:r>
              <w:rPr>
                <w:rFonts w:hint="eastAsia" w:asciiTheme="majorEastAsia" w:hAnsiTheme="majorEastAsia" w:eastAsiaTheme="majorEastAsia" w:cstheme="majorEastAsia"/>
                <w:color w:val="auto"/>
                <w:sz w:val="22"/>
                <w:szCs w:val="22"/>
                <w:lang w:val="en-US" w:eastAsia="zh-CN"/>
              </w:rPr>
              <w:t>配备较好的得2-1分，配备一般的得1-0分。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kern w:val="2"/>
                <w:sz w:val="22"/>
                <w:szCs w:val="22"/>
                <w:lang w:val="en-US" w:eastAsia="zh-CN" w:bidi="ar-SA"/>
              </w:rPr>
            </w:pPr>
            <w:r>
              <w:rPr>
                <w:rFonts w:hint="eastAsia" w:asciiTheme="majorEastAsia" w:hAnsiTheme="majorEastAsia" w:eastAsiaTheme="majorEastAsia" w:cstheme="majorEastAsia"/>
                <w:color w:val="auto"/>
                <w:sz w:val="22"/>
                <w:szCs w:val="22"/>
                <w:lang w:val="en-US" w:eastAsia="zh-CN"/>
              </w:rPr>
              <w:t>7</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投标供应商</w:t>
            </w:r>
          </w:p>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业绩</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6分</w:t>
            </w:r>
          </w:p>
        </w:tc>
        <w:tc>
          <w:tcPr>
            <w:tcW w:w="6376"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提供2017年以来同类监控项目业绩</w:t>
            </w:r>
            <w:r>
              <w:rPr>
                <w:rFonts w:hint="eastAsia" w:asciiTheme="majorEastAsia" w:hAnsiTheme="majorEastAsia" w:eastAsiaTheme="majorEastAsia" w:cstheme="majorEastAsia"/>
                <w:color w:val="auto"/>
                <w:sz w:val="22"/>
                <w:szCs w:val="22"/>
                <w:lang w:eastAsia="zh-CN"/>
              </w:rPr>
              <w:t>，</w:t>
            </w:r>
            <w:r>
              <w:rPr>
                <w:rFonts w:hint="eastAsia" w:asciiTheme="majorEastAsia" w:hAnsiTheme="majorEastAsia" w:eastAsiaTheme="majorEastAsia" w:cstheme="majorEastAsia"/>
                <w:color w:val="auto"/>
                <w:sz w:val="22"/>
                <w:szCs w:val="22"/>
              </w:rPr>
              <w:t>每个得1分，最高得4分；</w:t>
            </w:r>
          </w:p>
          <w:p>
            <w:pP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提供2017年以来</w:t>
            </w:r>
            <w:r>
              <w:rPr>
                <w:rFonts w:hint="eastAsia" w:asciiTheme="majorEastAsia" w:hAnsiTheme="majorEastAsia" w:eastAsiaTheme="majorEastAsia" w:cstheme="majorEastAsia"/>
                <w:color w:val="auto"/>
                <w:sz w:val="22"/>
                <w:szCs w:val="22"/>
                <w:lang w:val="en-US" w:eastAsia="zh-CN"/>
              </w:rPr>
              <w:t>包含</w:t>
            </w:r>
            <w:r>
              <w:rPr>
                <w:rFonts w:hint="eastAsia" w:asciiTheme="majorEastAsia" w:hAnsiTheme="majorEastAsia" w:eastAsiaTheme="majorEastAsia" w:cstheme="majorEastAsia"/>
                <w:color w:val="auto"/>
                <w:sz w:val="22"/>
                <w:szCs w:val="22"/>
              </w:rPr>
              <w:t>IP方式语音播报系统</w:t>
            </w:r>
            <w:r>
              <w:rPr>
                <w:rFonts w:hint="eastAsia" w:asciiTheme="majorEastAsia" w:hAnsiTheme="majorEastAsia" w:eastAsiaTheme="majorEastAsia" w:cstheme="majorEastAsia"/>
                <w:color w:val="auto"/>
                <w:sz w:val="22"/>
                <w:szCs w:val="22"/>
                <w:lang w:eastAsia="zh-CN"/>
              </w:rPr>
              <w:t>（</w:t>
            </w:r>
            <w:r>
              <w:rPr>
                <w:rFonts w:hint="eastAsia" w:asciiTheme="majorEastAsia" w:hAnsiTheme="majorEastAsia" w:eastAsiaTheme="majorEastAsia" w:cstheme="majorEastAsia"/>
                <w:color w:val="auto"/>
                <w:sz w:val="22"/>
                <w:szCs w:val="22"/>
                <w:lang w:val="en-US" w:eastAsia="zh-CN"/>
              </w:rPr>
              <w:t>有包含均可</w:t>
            </w:r>
            <w:r>
              <w:rPr>
                <w:rFonts w:hint="eastAsia" w:asciiTheme="majorEastAsia" w:hAnsiTheme="majorEastAsia" w:eastAsiaTheme="majorEastAsia" w:cstheme="majorEastAsia"/>
                <w:color w:val="auto"/>
                <w:sz w:val="22"/>
                <w:szCs w:val="22"/>
                <w:lang w:eastAsia="zh-CN"/>
              </w:rPr>
              <w:t>）</w:t>
            </w:r>
            <w:r>
              <w:rPr>
                <w:rFonts w:hint="eastAsia" w:asciiTheme="majorEastAsia" w:hAnsiTheme="majorEastAsia" w:eastAsiaTheme="majorEastAsia" w:cstheme="majorEastAsia"/>
                <w:color w:val="auto"/>
                <w:sz w:val="22"/>
                <w:szCs w:val="22"/>
              </w:rPr>
              <w:t>项目业绩</w:t>
            </w:r>
            <w:r>
              <w:rPr>
                <w:rFonts w:hint="eastAsia" w:asciiTheme="majorEastAsia" w:hAnsiTheme="majorEastAsia" w:eastAsiaTheme="majorEastAsia" w:cstheme="majorEastAsia"/>
                <w:color w:val="auto"/>
                <w:sz w:val="22"/>
                <w:szCs w:val="22"/>
                <w:lang w:eastAsia="zh-CN"/>
              </w:rPr>
              <w:t>，</w:t>
            </w:r>
            <w:r>
              <w:rPr>
                <w:rFonts w:hint="eastAsia" w:asciiTheme="majorEastAsia" w:hAnsiTheme="majorEastAsia" w:eastAsiaTheme="majorEastAsia" w:cstheme="majorEastAsia"/>
                <w:color w:val="auto"/>
                <w:sz w:val="22"/>
                <w:szCs w:val="22"/>
              </w:rPr>
              <w:t>每个得2分。</w:t>
            </w:r>
          </w:p>
          <w:p>
            <w:pP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lang w:val="en-US" w:eastAsia="zh-CN"/>
              </w:rPr>
              <w:t>注：以上须</w:t>
            </w:r>
            <w:r>
              <w:rPr>
                <w:rFonts w:hint="eastAsia" w:asciiTheme="majorEastAsia" w:hAnsiTheme="majorEastAsia" w:eastAsiaTheme="majorEastAsia" w:cstheme="majorEastAsia"/>
                <w:color w:val="auto"/>
                <w:sz w:val="22"/>
                <w:szCs w:val="22"/>
              </w:rPr>
              <w:t>提供中标通知书及合同复印件（提供不全不得分）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kern w:val="2"/>
                <w:sz w:val="22"/>
                <w:szCs w:val="22"/>
                <w:lang w:val="en-US" w:eastAsia="zh-CN" w:bidi="ar-SA"/>
              </w:rPr>
            </w:pPr>
            <w:r>
              <w:rPr>
                <w:rFonts w:hint="eastAsia" w:asciiTheme="majorEastAsia" w:hAnsiTheme="majorEastAsia" w:eastAsiaTheme="majorEastAsia" w:cstheme="majorEastAsia"/>
                <w:color w:val="auto"/>
                <w:sz w:val="22"/>
                <w:szCs w:val="22"/>
                <w:lang w:val="en-US" w:eastAsia="zh-CN"/>
              </w:rPr>
              <w:t>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培训计划</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2分</w:t>
            </w:r>
          </w:p>
        </w:tc>
        <w:tc>
          <w:tcPr>
            <w:tcW w:w="637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rPr>
              <w:t>根据培训计划由评委综合评分</w:t>
            </w:r>
            <w:r>
              <w:rPr>
                <w:rFonts w:hint="eastAsia" w:asciiTheme="majorEastAsia" w:hAnsiTheme="majorEastAsia" w:eastAsiaTheme="majorEastAsia" w:cstheme="majorEastAsia"/>
                <w:color w:val="auto"/>
                <w:sz w:val="22"/>
                <w:szCs w:val="22"/>
                <w:lang w:val="en-US" w:eastAsia="zh-CN"/>
              </w:rPr>
              <w:t>,计划完全合理的得2-1.5分，基本合理的得1.5-0.8分，部分可行的得0.8-0分。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lang w:val="en-US" w:eastAsia="zh-CN"/>
              </w:rPr>
              <w:t>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优惠条件</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lang w:val="en-US" w:eastAsia="zh-CN"/>
              </w:rPr>
              <w:t>2</w:t>
            </w:r>
            <w:r>
              <w:rPr>
                <w:rFonts w:hint="eastAsia" w:asciiTheme="majorEastAsia" w:hAnsiTheme="majorEastAsia" w:eastAsiaTheme="majorEastAsia" w:cstheme="majorEastAsia"/>
                <w:color w:val="auto"/>
                <w:sz w:val="22"/>
                <w:szCs w:val="22"/>
              </w:rPr>
              <w:t>分</w:t>
            </w:r>
          </w:p>
        </w:tc>
        <w:tc>
          <w:tcPr>
            <w:tcW w:w="6376" w:type="dxa"/>
            <w:tcBorders>
              <w:top w:val="single" w:color="auto" w:sz="4" w:space="0"/>
              <w:left w:val="single" w:color="auto" w:sz="4" w:space="0"/>
              <w:bottom w:val="single" w:color="auto" w:sz="4" w:space="0"/>
              <w:right w:val="single" w:color="auto" w:sz="4" w:space="0"/>
            </w:tcBorders>
            <w:vAlign w:val="center"/>
          </w:tcPr>
          <w:p>
            <w:pPr>
              <w:jc w:val="left"/>
              <w:rPr>
                <w:rFonts w:hint="default"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rPr>
              <w:t>供应商提供的有利于业主开展水利工程管理的实质性优惠条件，由评委综合评分，配备较好的得2分，配备一般的得1分。</w:t>
            </w:r>
          </w:p>
        </w:tc>
      </w:tr>
    </w:tbl>
    <w:p>
      <w:pPr>
        <w:pStyle w:val="34"/>
        <w:snapToGrid w:val="0"/>
        <w:spacing w:line="380" w:lineRule="exact"/>
        <w:ind w:firstLine="468"/>
        <w:rPr>
          <w:rFonts w:ascii="宋体" w:hAnsi="宋体" w:eastAsia="宋体"/>
          <w:color w:val="auto"/>
          <w:sz w:val="22"/>
          <w:szCs w:val="22"/>
        </w:rPr>
      </w:pPr>
    </w:p>
    <w:p>
      <w:pPr>
        <w:adjustRightInd w:val="0"/>
        <w:snapToGrid w:val="0"/>
        <w:spacing w:before="100" w:after="50" w:line="400" w:lineRule="atLeast"/>
        <w:ind w:firstLine="458" w:firstLineChars="196"/>
        <w:jc w:val="center"/>
        <w:rPr>
          <w:rFonts w:ascii="宋体"/>
          <w:b/>
          <w:bCs/>
          <w:color w:val="auto"/>
          <w:sz w:val="22"/>
          <w:szCs w:val="22"/>
        </w:rPr>
      </w:pPr>
      <w:r>
        <w:rPr>
          <w:rFonts w:hint="eastAsia" w:ascii="宋体"/>
          <w:b/>
          <w:bCs/>
          <w:color w:val="auto"/>
          <w:sz w:val="22"/>
          <w:szCs w:val="22"/>
        </w:rPr>
        <w:t>五、说明</w:t>
      </w:r>
    </w:p>
    <w:p>
      <w:pPr>
        <w:pStyle w:val="29"/>
        <w:adjustRightInd w:val="0"/>
        <w:snapToGrid w:val="0"/>
        <w:spacing w:before="100" w:after="50" w:line="360" w:lineRule="atLeast"/>
        <w:rPr>
          <w:color w:val="auto"/>
          <w:sz w:val="22"/>
          <w:szCs w:val="22"/>
        </w:rPr>
      </w:pPr>
      <w:r>
        <w:rPr>
          <w:color w:val="auto"/>
          <w:sz w:val="22"/>
          <w:szCs w:val="22"/>
        </w:rPr>
        <w:t>1</w:t>
      </w:r>
      <w:r>
        <w:rPr>
          <w:rFonts w:hint="eastAsia"/>
          <w:color w:val="auto"/>
          <w:sz w:val="22"/>
          <w:szCs w:val="22"/>
        </w:rPr>
        <w:t>、每个</w:t>
      </w:r>
      <w:r>
        <w:rPr>
          <w:rFonts w:hint="eastAsia" w:hAnsi="宋体" w:cs="宋体"/>
          <w:color w:val="auto"/>
          <w:sz w:val="22"/>
          <w:szCs w:val="22"/>
        </w:rPr>
        <w:t>投标供应商</w:t>
      </w:r>
      <w:r>
        <w:rPr>
          <w:rFonts w:hint="eastAsia"/>
          <w:color w:val="auto"/>
          <w:sz w:val="22"/>
          <w:szCs w:val="22"/>
        </w:rPr>
        <w:t>最终得分</w:t>
      </w:r>
      <w:r>
        <w:rPr>
          <w:color w:val="auto"/>
          <w:sz w:val="22"/>
          <w:szCs w:val="22"/>
        </w:rPr>
        <w:t>=</w:t>
      </w:r>
      <w:r>
        <w:rPr>
          <w:rFonts w:hint="eastAsia"/>
          <w:color w:val="auto"/>
          <w:sz w:val="22"/>
          <w:szCs w:val="22"/>
        </w:rPr>
        <w:t>技术资信部分分值（所有评标委员会成员打分的算术平均值）＋商务报价部分分值。</w:t>
      </w:r>
    </w:p>
    <w:p>
      <w:pPr>
        <w:pStyle w:val="29"/>
        <w:adjustRightInd w:val="0"/>
        <w:snapToGrid w:val="0"/>
        <w:spacing w:before="100" w:after="50" w:line="360" w:lineRule="atLeast"/>
        <w:rPr>
          <w:color w:val="auto"/>
          <w:sz w:val="22"/>
          <w:szCs w:val="22"/>
        </w:rPr>
      </w:pPr>
      <w:r>
        <w:rPr>
          <w:color w:val="auto"/>
          <w:sz w:val="22"/>
          <w:szCs w:val="22"/>
        </w:rPr>
        <w:t>2</w:t>
      </w:r>
      <w:r>
        <w:rPr>
          <w:rFonts w:hint="eastAsia"/>
          <w:color w:val="auto"/>
          <w:sz w:val="22"/>
          <w:szCs w:val="22"/>
        </w:rPr>
        <w:t>、所有分值计算保留小数点后二位，小数点后三位四舍五入。</w:t>
      </w:r>
    </w:p>
    <w:p>
      <w:pPr>
        <w:pStyle w:val="29"/>
        <w:adjustRightInd w:val="0"/>
        <w:snapToGrid w:val="0"/>
        <w:spacing w:before="100" w:after="50" w:line="360" w:lineRule="atLeast"/>
        <w:rPr>
          <w:color w:val="auto"/>
          <w:sz w:val="22"/>
          <w:szCs w:val="22"/>
        </w:rPr>
      </w:pPr>
      <w:r>
        <w:rPr>
          <w:rFonts w:hint="eastAsia"/>
          <w:color w:val="auto"/>
          <w:sz w:val="22"/>
          <w:szCs w:val="22"/>
        </w:rPr>
        <w:t>参见本招标文件第三部分：“投标供应商须知”</w:t>
      </w:r>
      <w:r>
        <w:rPr>
          <w:color w:val="auto"/>
          <w:sz w:val="22"/>
          <w:szCs w:val="22"/>
        </w:rPr>
        <w:t xml:space="preserve"> </w:t>
      </w:r>
      <w:r>
        <w:rPr>
          <w:rFonts w:hint="eastAsia"/>
          <w:color w:val="auto"/>
          <w:sz w:val="22"/>
          <w:szCs w:val="22"/>
        </w:rPr>
        <w:t>中的相关内容，未尽事宜按有关法律规定处理。</w:t>
      </w:r>
    </w:p>
    <w:p>
      <w:pPr>
        <w:spacing w:line="360" w:lineRule="auto"/>
        <w:jc w:val="center"/>
        <w:rPr>
          <w:rFonts w:ascii="宋体"/>
          <w:b/>
          <w:bCs/>
          <w:color w:val="auto"/>
          <w:spacing w:val="-30"/>
          <w:sz w:val="36"/>
        </w:rPr>
      </w:pPr>
    </w:p>
    <w:p>
      <w:pPr>
        <w:rPr>
          <w:color w:val="auto"/>
        </w:rPr>
      </w:pPr>
    </w:p>
    <w:sectPr>
      <w:headerReference r:id="rId10" w:type="first"/>
      <w:footerReference r:id="rId12" w:type="first"/>
      <w:headerReference r:id="rId9" w:type="default"/>
      <w:footerReference r:id="rId11" w:type="default"/>
      <w:pgSz w:w="11906" w:h="16838"/>
      <w:pgMar w:top="1440" w:right="1247" w:bottom="1440" w:left="1247" w:header="851" w:footer="1020" w:gutter="0"/>
      <w:pgBorders>
        <w:top w:val="none" w:sz="0" w:space="0"/>
        <w:left w:val="none" w:sz="0" w:space="0"/>
        <w:bottom w:val="none" w:sz="0" w:space="0"/>
        <w:right w:val="none" w:sz="0" w:space="0"/>
      </w:pgBorders>
      <w:pgNumType w:fmt="numberInDash"/>
      <w:cols w:space="0" w:num="1"/>
      <w:titlePg/>
      <w:docGrid w:type="linesAndChars" w:linePitch="313" w:charSpace="2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Microsoft JhengHei Light">
    <w:panose1 w:val="020B0304030504040204"/>
    <w:charset w:val="88"/>
    <w:family w:val="swiss"/>
    <w:pitch w:val="default"/>
    <w:sig w:usb0="8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sz w:val="20"/>
        <w:szCs w:val="20"/>
      </w:rPr>
      <w:t>泰顺县政府采购</w:t>
    </w:r>
    <w:r>
      <w:rPr>
        <w:sz w:val="20"/>
        <w:szCs w:val="20"/>
      </w:rPr>
      <w:t>-----</w:t>
    </w:r>
    <w:r>
      <w:rPr>
        <w:rFonts w:hint="eastAsia"/>
        <w:sz w:val="20"/>
        <w:szCs w:val="20"/>
      </w:rPr>
      <w:t>招标文件</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宋体"/>
        <w:bCs/>
      </w:rPr>
    </w:pPr>
    <w:r>
      <w:rPr>
        <w:rFonts w:hint="eastAsia" w:ascii="宋体"/>
        <w:bCs/>
      </w:rPr>
      <w:t>泰顺县政府采购招标文件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A3A58"/>
    <w:multiLevelType w:val="singleLevel"/>
    <w:tmpl w:val="812A3A58"/>
    <w:lvl w:ilvl="0" w:tentative="0">
      <w:start w:val="1"/>
      <w:numFmt w:val="decimal"/>
      <w:suff w:val="space"/>
      <w:lvlText w:val="%1."/>
      <w:lvlJc w:val="left"/>
    </w:lvl>
  </w:abstractNum>
  <w:abstractNum w:abstractNumId="1">
    <w:nsid w:val="859EC262"/>
    <w:multiLevelType w:val="singleLevel"/>
    <w:tmpl w:val="859EC262"/>
    <w:lvl w:ilvl="0" w:tentative="0">
      <w:start w:val="1"/>
      <w:numFmt w:val="decimal"/>
      <w:suff w:val="space"/>
      <w:lvlText w:val="%1."/>
      <w:lvlJc w:val="left"/>
    </w:lvl>
  </w:abstractNum>
  <w:abstractNum w:abstractNumId="2">
    <w:nsid w:val="8D35A3BD"/>
    <w:multiLevelType w:val="singleLevel"/>
    <w:tmpl w:val="8D35A3BD"/>
    <w:lvl w:ilvl="0" w:tentative="0">
      <w:start w:val="1"/>
      <w:numFmt w:val="decimalEnclosedCircleChinese"/>
      <w:suff w:val="nothing"/>
      <w:lvlText w:val="%1　"/>
      <w:lvlJc w:val="left"/>
      <w:pPr>
        <w:ind w:left="0" w:firstLine="400"/>
      </w:pPr>
      <w:rPr>
        <w:rFonts w:hint="eastAsia"/>
      </w:rPr>
    </w:lvl>
  </w:abstractNum>
  <w:abstractNum w:abstractNumId="3">
    <w:nsid w:val="944D769C"/>
    <w:multiLevelType w:val="singleLevel"/>
    <w:tmpl w:val="944D769C"/>
    <w:lvl w:ilvl="0" w:tentative="0">
      <w:start w:val="1"/>
      <w:numFmt w:val="bullet"/>
      <w:lvlText w:val=""/>
      <w:lvlJc w:val="left"/>
      <w:pPr>
        <w:ind w:left="420" w:hanging="420"/>
      </w:pPr>
      <w:rPr>
        <w:rFonts w:hint="default" w:ascii="Wingdings" w:hAnsi="Wingdings"/>
      </w:rPr>
    </w:lvl>
  </w:abstractNum>
  <w:abstractNum w:abstractNumId="4">
    <w:nsid w:val="95453DCE"/>
    <w:multiLevelType w:val="singleLevel"/>
    <w:tmpl w:val="95453DCE"/>
    <w:lvl w:ilvl="0" w:tentative="0">
      <w:start w:val="1"/>
      <w:numFmt w:val="decimalEnclosedCircleChinese"/>
      <w:suff w:val="nothing"/>
      <w:lvlText w:val="%1　"/>
      <w:lvlJc w:val="left"/>
      <w:pPr>
        <w:ind w:left="0" w:firstLine="400"/>
      </w:pPr>
      <w:rPr>
        <w:rFonts w:hint="eastAsia"/>
      </w:rPr>
    </w:lvl>
  </w:abstractNum>
  <w:abstractNum w:abstractNumId="5">
    <w:nsid w:val="A9F8EFBC"/>
    <w:multiLevelType w:val="singleLevel"/>
    <w:tmpl w:val="A9F8EFBC"/>
    <w:lvl w:ilvl="0" w:tentative="0">
      <w:start w:val="1"/>
      <w:numFmt w:val="bullet"/>
      <w:lvlText w:val=""/>
      <w:lvlJc w:val="left"/>
      <w:pPr>
        <w:ind w:left="420" w:hanging="420"/>
      </w:pPr>
      <w:rPr>
        <w:rFonts w:hint="default" w:ascii="Wingdings" w:hAnsi="Wingdings"/>
      </w:rPr>
    </w:lvl>
  </w:abstractNum>
  <w:abstractNum w:abstractNumId="6">
    <w:nsid w:val="B5A68E8D"/>
    <w:multiLevelType w:val="singleLevel"/>
    <w:tmpl w:val="B5A68E8D"/>
    <w:lvl w:ilvl="0" w:tentative="0">
      <w:start w:val="1"/>
      <w:numFmt w:val="bullet"/>
      <w:lvlText w:val=""/>
      <w:lvlJc w:val="left"/>
      <w:pPr>
        <w:ind w:left="420" w:hanging="420"/>
      </w:pPr>
      <w:rPr>
        <w:rFonts w:hint="default" w:ascii="Wingdings" w:hAnsi="Wingdings"/>
      </w:rPr>
    </w:lvl>
  </w:abstractNum>
  <w:abstractNum w:abstractNumId="7">
    <w:nsid w:val="B5F65B18"/>
    <w:multiLevelType w:val="singleLevel"/>
    <w:tmpl w:val="B5F65B18"/>
    <w:lvl w:ilvl="0" w:tentative="0">
      <w:start w:val="2"/>
      <w:numFmt w:val="decimal"/>
      <w:suff w:val="nothing"/>
      <w:lvlText w:val="（%1）"/>
      <w:lvlJc w:val="left"/>
    </w:lvl>
  </w:abstractNum>
  <w:abstractNum w:abstractNumId="8">
    <w:nsid w:val="CEC0065F"/>
    <w:multiLevelType w:val="singleLevel"/>
    <w:tmpl w:val="CEC0065F"/>
    <w:lvl w:ilvl="0" w:tentative="0">
      <w:start w:val="1"/>
      <w:numFmt w:val="bullet"/>
      <w:lvlText w:val=""/>
      <w:lvlJc w:val="left"/>
      <w:pPr>
        <w:ind w:left="420" w:hanging="420"/>
      </w:pPr>
      <w:rPr>
        <w:rFonts w:hint="default" w:ascii="Wingdings" w:hAnsi="Wingdings"/>
      </w:rPr>
    </w:lvl>
  </w:abstractNum>
  <w:abstractNum w:abstractNumId="9">
    <w:nsid w:val="DDC374CF"/>
    <w:multiLevelType w:val="singleLevel"/>
    <w:tmpl w:val="DDC374CF"/>
    <w:lvl w:ilvl="0" w:tentative="0">
      <w:start w:val="1"/>
      <w:numFmt w:val="decimal"/>
      <w:lvlText w:val="%1."/>
      <w:lvlJc w:val="left"/>
      <w:pPr>
        <w:ind w:left="425" w:hanging="425"/>
      </w:pPr>
      <w:rPr>
        <w:rFonts w:hint="default"/>
      </w:rPr>
    </w:lvl>
  </w:abstractNum>
  <w:abstractNum w:abstractNumId="10">
    <w:nsid w:val="E156D5D4"/>
    <w:multiLevelType w:val="singleLevel"/>
    <w:tmpl w:val="E156D5D4"/>
    <w:lvl w:ilvl="0" w:tentative="0">
      <w:start w:val="1"/>
      <w:numFmt w:val="bullet"/>
      <w:lvlText w:val=""/>
      <w:lvlJc w:val="left"/>
      <w:pPr>
        <w:ind w:left="420" w:hanging="420"/>
      </w:pPr>
      <w:rPr>
        <w:rFonts w:hint="default" w:ascii="Wingdings" w:hAnsi="Wingdings"/>
      </w:rPr>
    </w:lvl>
  </w:abstractNum>
  <w:abstractNum w:abstractNumId="11">
    <w:nsid w:val="EAD29DD8"/>
    <w:multiLevelType w:val="singleLevel"/>
    <w:tmpl w:val="EAD29DD8"/>
    <w:lvl w:ilvl="0" w:tentative="0">
      <w:start w:val="1"/>
      <w:numFmt w:val="bullet"/>
      <w:lvlText w:val=""/>
      <w:lvlJc w:val="left"/>
      <w:pPr>
        <w:ind w:left="420" w:hanging="420"/>
      </w:pPr>
      <w:rPr>
        <w:rFonts w:hint="default" w:ascii="Wingdings" w:hAnsi="Wingdings"/>
      </w:rPr>
    </w:lvl>
  </w:abstractNum>
  <w:abstractNum w:abstractNumId="12">
    <w:nsid w:val="FC4BDFBA"/>
    <w:multiLevelType w:val="singleLevel"/>
    <w:tmpl w:val="FC4BDFBA"/>
    <w:lvl w:ilvl="0" w:tentative="0">
      <w:start w:val="1"/>
      <w:numFmt w:val="decimalEnclosedCircleChinese"/>
      <w:suff w:val="nothing"/>
      <w:lvlText w:val="%1　"/>
      <w:lvlJc w:val="left"/>
      <w:pPr>
        <w:ind w:left="0" w:firstLine="400"/>
      </w:pPr>
      <w:rPr>
        <w:rFonts w:hint="eastAsia"/>
      </w:rPr>
    </w:lvl>
  </w:abstractNum>
  <w:abstractNum w:abstractNumId="13">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4">
    <w:nsid w:val="0A0E7515"/>
    <w:multiLevelType w:val="multilevel"/>
    <w:tmpl w:val="0A0E75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D924E9C"/>
    <w:multiLevelType w:val="multilevel"/>
    <w:tmpl w:val="0D924E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0F4D920"/>
    <w:multiLevelType w:val="singleLevel"/>
    <w:tmpl w:val="10F4D920"/>
    <w:lvl w:ilvl="0" w:tentative="0">
      <w:start w:val="1"/>
      <w:numFmt w:val="bullet"/>
      <w:lvlText w:val=""/>
      <w:lvlJc w:val="left"/>
      <w:pPr>
        <w:ind w:left="420" w:hanging="420"/>
      </w:pPr>
      <w:rPr>
        <w:rFonts w:hint="default" w:ascii="Wingdings" w:hAnsi="Wingdings"/>
      </w:rPr>
    </w:lvl>
  </w:abstractNum>
  <w:abstractNum w:abstractNumId="17">
    <w:nsid w:val="13EF60D8"/>
    <w:multiLevelType w:val="singleLevel"/>
    <w:tmpl w:val="13EF60D8"/>
    <w:lvl w:ilvl="0" w:tentative="0">
      <w:start w:val="1"/>
      <w:numFmt w:val="decimalEnclosedCircleChinese"/>
      <w:suff w:val="nothing"/>
      <w:lvlText w:val="%1　"/>
      <w:lvlJc w:val="left"/>
      <w:pPr>
        <w:ind w:left="0" w:firstLine="400"/>
      </w:pPr>
      <w:rPr>
        <w:rFonts w:hint="eastAsia"/>
      </w:rPr>
    </w:lvl>
  </w:abstractNum>
  <w:abstractNum w:abstractNumId="18">
    <w:nsid w:val="1B0C1DA5"/>
    <w:multiLevelType w:val="singleLevel"/>
    <w:tmpl w:val="1B0C1DA5"/>
    <w:lvl w:ilvl="0" w:tentative="0">
      <w:start w:val="1"/>
      <w:numFmt w:val="bullet"/>
      <w:lvlText w:val=""/>
      <w:lvlJc w:val="left"/>
      <w:pPr>
        <w:ind w:left="420" w:hanging="420"/>
      </w:pPr>
      <w:rPr>
        <w:rFonts w:hint="default" w:ascii="Wingdings" w:hAnsi="Wingdings"/>
      </w:rPr>
    </w:lvl>
  </w:abstractNum>
  <w:abstractNum w:abstractNumId="19">
    <w:nsid w:val="1F65324E"/>
    <w:multiLevelType w:val="singleLevel"/>
    <w:tmpl w:val="1F65324E"/>
    <w:lvl w:ilvl="0" w:tentative="0">
      <w:start w:val="1"/>
      <w:numFmt w:val="decimalEnclosedCircleChinese"/>
      <w:suff w:val="nothing"/>
      <w:lvlText w:val="%1　"/>
      <w:lvlJc w:val="left"/>
      <w:pPr>
        <w:ind w:left="0" w:firstLine="400"/>
      </w:pPr>
      <w:rPr>
        <w:rFonts w:hint="eastAsia"/>
      </w:rPr>
    </w:lvl>
  </w:abstractNum>
  <w:abstractNum w:abstractNumId="20">
    <w:nsid w:val="27C02E97"/>
    <w:multiLevelType w:val="multilevel"/>
    <w:tmpl w:val="27C02E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AFAD35F"/>
    <w:multiLevelType w:val="singleLevel"/>
    <w:tmpl w:val="2AFAD35F"/>
    <w:lvl w:ilvl="0" w:tentative="0">
      <w:start w:val="1"/>
      <w:numFmt w:val="bullet"/>
      <w:lvlText w:val=""/>
      <w:lvlJc w:val="left"/>
      <w:pPr>
        <w:ind w:left="420" w:hanging="420"/>
      </w:pPr>
      <w:rPr>
        <w:rFonts w:hint="default" w:ascii="Wingdings" w:hAnsi="Wingdings"/>
      </w:rPr>
    </w:lvl>
  </w:abstractNum>
  <w:abstractNum w:abstractNumId="22">
    <w:nsid w:val="2BA75346"/>
    <w:multiLevelType w:val="multilevel"/>
    <w:tmpl w:val="2BA75346"/>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31A960A5"/>
    <w:multiLevelType w:val="multilevel"/>
    <w:tmpl w:val="31A960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B363D98"/>
    <w:multiLevelType w:val="multilevel"/>
    <w:tmpl w:val="3B363D98"/>
    <w:lvl w:ilvl="0" w:tentative="0">
      <w:start w:val="1"/>
      <w:numFmt w:val="decimal"/>
      <w:pStyle w:val="7"/>
      <w:suff w:val="space"/>
      <w:lvlText w:val="图%1."/>
      <w:lvlJc w:val="left"/>
      <w:pPr>
        <w:ind w:left="2263" w:hanging="420"/>
      </w:pPr>
      <w:rPr>
        <w:rFonts w:hint="default" w:asciiTheme="minorEastAsia" w:hAnsiTheme="minorEastAsia" w:eastAsiaTheme="minorEastAsia"/>
        <w:b w:val="0"/>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5">
    <w:nsid w:val="3D06CA1B"/>
    <w:multiLevelType w:val="multilevel"/>
    <w:tmpl w:val="3D06CA1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6">
    <w:nsid w:val="3EC255CE"/>
    <w:multiLevelType w:val="multilevel"/>
    <w:tmpl w:val="3EC255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4DD23F9"/>
    <w:multiLevelType w:val="multilevel"/>
    <w:tmpl w:val="44DD23F9"/>
    <w:lvl w:ilvl="0" w:tentative="0">
      <w:start w:val="1"/>
      <w:numFmt w:val="bullet"/>
      <w:pStyle w:val="46"/>
      <w:lvlText w:val=""/>
      <w:lvlJc w:val="left"/>
      <w:pPr>
        <w:ind w:left="704"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8">
    <w:nsid w:val="46A292B7"/>
    <w:multiLevelType w:val="singleLevel"/>
    <w:tmpl w:val="46A292B7"/>
    <w:lvl w:ilvl="0" w:tentative="0">
      <w:start w:val="1"/>
      <w:numFmt w:val="bullet"/>
      <w:lvlText w:val=""/>
      <w:lvlJc w:val="left"/>
      <w:pPr>
        <w:ind w:left="420" w:hanging="420"/>
      </w:pPr>
      <w:rPr>
        <w:rFonts w:hint="default" w:ascii="Wingdings" w:hAnsi="Wingdings"/>
      </w:rPr>
    </w:lvl>
  </w:abstractNum>
  <w:abstractNum w:abstractNumId="29">
    <w:nsid w:val="508B4EE9"/>
    <w:multiLevelType w:val="singleLevel"/>
    <w:tmpl w:val="508B4EE9"/>
    <w:lvl w:ilvl="0" w:tentative="0">
      <w:start w:val="1"/>
      <w:numFmt w:val="bullet"/>
      <w:lvlText w:val=""/>
      <w:lvlJc w:val="left"/>
      <w:pPr>
        <w:ind w:left="420" w:hanging="420"/>
      </w:pPr>
      <w:rPr>
        <w:rFonts w:hint="default" w:ascii="Wingdings" w:hAnsi="Wingdings"/>
      </w:rPr>
    </w:lvl>
  </w:abstractNum>
  <w:abstractNum w:abstractNumId="30">
    <w:nsid w:val="52170D45"/>
    <w:multiLevelType w:val="multilevel"/>
    <w:tmpl w:val="52170D45"/>
    <w:lvl w:ilvl="0" w:tentative="0">
      <w:start w:val="1"/>
      <w:numFmt w:val="decimal"/>
      <w:pStyle w:val="53"/>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1">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32">
    <w:nsid w:val="5BE64A6E"/>
    <w:multiLevelType w:val="multilevel"/>
    <w:tmpl w:val="5BE64A6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6008A2EB"/>
    <w:multiLevelType w:val="singleLevel"/>
    <w:tmpl w:val="6008A2EB"/>
    <w:lvl w:ilvl="0" w:tentative="0">
      <w:start w:val="6"/>
      <w:numFmt w:val="chineseCounting"/>
      <w:suff w:val="nothing"/>
      <w:lvlText w:val="（%1）"/>
      <w:lvlJc w:val="left"/>
      <w:rPr>
        <w:rFonts w:hint="eastAsia"/>
      </w:rPr>
    </w:lvl>
  </w:abstractNum>
  <w:abstractNum w:abstractNumId="34">
    <w:nsid w:val="68BE0708"/>
    <w:multiLevelType w:val="multilevel"/>
    <w:tmpl w:val="68BE070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5">
    <w:nsid w:val="6AC07889"/>
    <w:multiLevelType w:val="singleLevel"/>
    <w:tmpl w:val="6AC07889"/>
    <w:lvl w:ilvl="0" w:tentative="0">
      <w:start w:val="1"/>
      <w:numFmt w:val="decimalEnclosedCircleChinese"/>
      <w:suff w:val="nothing"/>
      <w:lvlText w:val="%1　"/>
      <w:lvlJc w:val="left"/>
      <w:pPr>
        <w:ind w:left="0" w:firstLine="400"/>
      </w:pPr>
      <w:rPr>
        <w:rFonts w:hint="eastAsia"/>
      </w:rPr>
    </w:lvl>
  </w:abstractNum>
  <w:abstractNum w:abstractNumId="36">
    <w:nsid w:val="7E1B30FA"/>
    <w:multiLevelType w:val="multilevel"/>
    <w:tmpl w:val="7E1B30FA"/>
    <w:lvl w:ilvl="0" w:tentative="0">
      <w:start w:val="1"/>
      <w:numFmt w:val="decimal"/>
      <w:lvlText w:val="第%1章"/>
      <w:lvlJc w:val="left"/>
      <w:pPr>
        <w:ind w:left="0" w:firstLine="0"/>
      </w:pPr>
      <w:rPr>
        <w:rFonts w:hint="eastAsia"/>
      </w:rPr>
    </w:lvl>
    <w:lvl w:ilvl="1" w:tentative="0">
      <w:start w:val="1"/>
      <w:numFmt w:val="decimal"/>
      <w:lvlText w:val="%1.%2"/>
      <w:lvlJc w:val="left"/>
      <w:pPr>
        <w:ind w:left="284" w:firstLine="141"/>
      </w:pPr>
      <w:rPr>
        <w:rFonts w:hint="eastAsia"/>
      </w:rPr>
    </w:lvl>
    <w:lvl w:ilvl="2" w:tentative="0">
      <w:start w:val="1"/>
      <w:numFmt w:val="decimal"/>
      <w:lvlText w:val="%1.%2.%3"/>
      <w:lvlJc w:val="left"/>
      <w:pPr>
        <w:ind w:left="454" w:firstLine="397"/>
      </w:pPr>
      <w:rPr>
        <w:rFonts w:hint="eastAsia"/>
      </w:rPr>
    </w:lvl>
    <w:lvl w:ilvl="3" w:tentative="0">
      <w:start w:val="1"/>
      <w:numFmt w:val="decimal"/>
      <w:lvlText w:val="%1.%2.%3.%4"/>
      <w:lvlJc w:val="left"/>
      <w:pPr>
        <w:ind w:left="567" w:firstLine="709"/>
      </w:pPr>
      <w:rPr>
        <w:rFonts w:hint="eastAsia"/>
      </w:rPr>
    </w:lvl>
    <w:lvl w:ilvl="4" w:tentative="0">
      <w:start w:val="1"/>
      <w:numFmt w:val="decimal"/>
      <w:pStyle w:val="47"/>
      <w:lvlText w:val="%1.%2.%3.%4.%5"/>
      <w:lvlJc w:val="left"/>
      <w:pPr>
        <w:ind w:left="737" w:firstLine="964"/>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5"/>
  </w:num>
  <w:num w:numId="2">
    <w:abstractNumId w:val="24"/>
  </w:num>
  <w:num w:numId="3">
    <w:abstractNumId w:val="27"/>
  </w:num>
  <w:num w:numId="4">
    <w:abstractNumId w:val="36"/>
  </w:num>
  <w:num w:numId="5">
    <w:abstractNumId w:val="30"/>
  </w:num>
  <w:num w:numId="6">
    <w:abstractNumId w:val="13"/>
  </w:num>
  <w:num w:numId="7">
    <w:abstractNumId w:val="29"/>
  </w:num>
  <w:num w:numId="8">
    <w:abstractNumId w:val="11"/>
  </w:num>
  <w:num w:numId="9">
    <w:abstractNumId w:val="6"/>
  </w:num>
  <w:num w:numId="10">
    <w:abstractNumId w:val="5"/>
  </w:num>
  <w:num w:numId="11">
    <w:abstractNumId w:val="3"/>
  </w:num>
  <w:num w:numId="12">
    <w:abstractNumId w:val="21"/>
  </w:num>
  <w:num w:numId="13">
    <w:abstractNumId w:val="28"/>
  </w:num>
  <w:num w:numId="14">
    <w:abstractNumId w:val="8"/>
  </w:num>
  <w:num w:numId="15">
    <w:abstractNumId w:val="16"/>
  </w:num>
  <w:num w:numId="16">
    <w:abstractNumId w:val="12"/>
  </w:num>
  <w:num w:numId="17">
    <w:abstractNumId w:val="18"/>
  </w:num>
  <w:num w:numId="18">
    <w:abstractNumId w:val="2"/>
  </w:num>
  <w:num w:numId="19">
    <w:abstractNumId w:val="10"/>
  </w:num>
  <w:num w:numId="20">
    <w:abstractNumId w:val="35"/>
  </w:num>
  <w:num w:numId="21">
    <w:abstractNumId w:val="4"/>
  </w:num>
  <w:num w:numId="22">
    <w:abstractNumId w:val="19"/>
  </w:num>
  <w:num w:numId="23">
    <w:abstractNumId w:val="34"/>
  </w:num>
  <w:num w:numId="24">
    <w:abstractNumId w:val="30"/>
    <w:lvlOverride w:ilvl="0">
      <w:startOverride w:val="1"/>
    </w:lvlOverride>
  </w:num>
  <w:num w:numId="25">
    <w:abstractNumId w:val="32"/>
  </w:num>
  <w:num w:numId="26">
    <w:abstractNumId w:val="33"/>
  </w:num>
  <w:num w:numId="27">
    <w:abstractNumId w:val="1"/>
  </w:num>
  <w:num w:numId="28">
    <w:abstractNumId w:val="31"/>
  </w:num>
  <w:num w:numId="29">
    <w:abstractNumId w:val="9"/>
  </w:num>
  <w:num w:numId="30">
    <w:abstractNumId w:val="17"/>
  </w:num>
  <w:num w:numId="31">
    <w:abstractNumId w:val="7"/>
  </w:num>
  <w:num w:numId="32">
    <w:abstractNumId w:val="14"/>
  </w:num>
  <w:num w:numId="33">
    <w:abstractNumId w:val="23"/>
  </w:num>
  <w:num w:numId="34">
    <w:abstractNumId w:val="15"/>
  </w:num>
  <w:num w:numId="35">
    <w:abstractNumId w:val="26"/>
  </w:num>
  <w:num w:numId="36">
    <w:abstractNumId w:val="20"/>
  </w:num>
  <w:num w:numId="37">
    <w:abstractNumId w:val="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dit="forms" w:formatting="1" w:enforcement="1" w:cryptProviderType="rsaFull" w:cryptAlgorithmClass="hash" w:cryptAlgorithmType="typeAny" w:cryptAlgorithmSid="4" w:cryptSpinCount="0" w:hash="fa6kioORB2O5cirPGhW8QXObrow=" w:salt="3GJ1fiuVam1cmMjPN9cWkQ=="/>
  <w:defaultTabStop w:val="420"/>
  <w:drawingGridHorizontalSpacing w:val="11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34"/>
    <w:rsid w:val="00304715"/>
    <w:rsid w:val="00313114"/>
    <w:rsid w:val="0049417E"/>
    <w:rsid w:val="004D18E1"/>
    <w:rsid w:val="005B01E6"/>
    <w:rsid w:val="006A0CAB"/>
    <w:rsid w:val="00746EEB"/>
    <w:rsid w:val="00863399"/>
    <w:rsid w:val="009226B3"/>
    <w:rsid w:val="00A31FA8"/>
    <w:rsid w:val="00A93A34"/>
    <w:rsid w:val="00E32034"/>
    <w:rsid w:val="00EA2F3E"/>
    <w:rsid w:val="01971D57"/>
    <w:rsid w:val="020E5F18"/>
    <w:rsid w:val="05C078DC"/>
    <w:rsid w:val="05F256ED"/>
    <w:rsid w:val="09C72936"/>
    <w:rsid w:val="0A392BB3"/>
    <w:rsid w:val="0DA70CBA"/>
    <w:rsid w:val="0E212F0B"/>
    <w:rsid w:val="0EC0292C"/>
    <w:rsid w:val="0F9839E3"/>
    <w:rsid w:val="0FC31AEF"/>
    <w:rsid w:val="10B4594F"/>
    <w:rsid w:val="112D4C12"/>
    <w:rsid w:val="11775760"/>
    <w:rsid w:val="11A275F0"/>
    <w:rsid w:val="11A60C03"/>
    <w:rsid w:val="120C2D43"/>
    <w:rsid w:val="141B28C9"/>
    <w:rsid w:val="14ED1898"/>
    <w:rsid w:val="15217A9E"/>
    <w:rsid w:val="17016379"/>
    <w:rsid w:val="18164071"/>
    <w:rsid w:val="18823D6A"/>
    <w:rsid w:val="18A63A64"/>
    <w:rsid w:val="18CD01D8"/>
    <w:rsid w:val="1950523A"/>
    <w:rsid w:val="1A2B408A"/>
    <w:rsid w:val="1A404D26"/>
    <w:rsid w:val="1AC814CF"/>
    <w:rsid w:val="1B9D0F80"/>
    <w:rsid w:val="1CFF3808"/>
    <w:rsid w:val="1D3C37A9"/>
    <w:rsid w:val="1D52370D"/>
    <w:rsid w:val="1D934707"/>
    <w:rsid w:val="1D9A3D75"/>
    <w:rsid w:val="1DE801E4"/>
    <w:rsid w:val="1F2062E7"/>
    <w:rsid w:val="1F9E5DD8"/>
    <w:rsid w:val="1FF411BE"/>
    <w:rsid w:val="21124257"/>
    <w:rsid w:val="21CB1851"/>
    <w:rsid w:val="21F66548"/>
    <w:rsid w:val="22244CD7"/>
    <w:rsid w:val="236C4582"/>
    <w:rsid w:val="23955E35"/>
    <w:rsid w:val="249365D1"/>
    <w:rsid w:val="252F223E"/>
    <w:rsid w:val="26EA59AA"/>
    <w:rsid w:val="27575E29"/>
    <w:rsid w:val="27CF4621"/>
    <w:rsid w:val="27E0008C"/>
    <w:rsid w:val="29093A18"/>
    <w:rsid w:val="29DA6134"/>
    <w:rsid w:val="29F13158"/>
    <w:rsid w:val="29F573D4"/>
    <w:rsid w:val="2A0F0B76"/>
    <w:rsid w:val="2A1D247F"/>
    <w:rsid w:val="2AF31A43"/>
    <w:rsid w:val="2D6E249B"/>
    <w:rsid w:val="2EF75802"/>
    <w:rsid w:val="2FEA0BDB"/>
    <w:rsid w:val="3033227E"/>
    <w:rsid w:val="31BC3435"/>
    <w:rsid w:val="34094CBA"/>
    <w:rsid w:val="34C05636"/>
    <w:rsid w:val="34D14765"/>
    <w:rsid w:val="35BA0401"/>
    <w:rsid w:val="36194DAD"/>
    <w:rsid w:val="368475AB"/>
    <w:rsid w:val="36952A73"/>
    <w:rsid w:val="36E07977"/>
    <w:rsid w:val="37104D78"/>
    <w:rsid w:val="37D87406"/>
    <w:rsid w:val="38A910BA"/>
    <w:rsid w:val="38EA7DDC"/>
    <w:rsid w:val="39E90129"/>
    <w:rsid w:val="39F24B8B"/>
    <w:rsid w:val="3A0A287C"/>
    <w:rsid w:val="3A5267F7"/>
    <w:rsid w:val="3B07722A"/>
    <w:rsid w:val="3C5D5594"/>
    <w:rsid w:val="3DE1179D"/>
    <w:rsid w:val="3FAC0B12"/>
    <w:rsid w:val="40573F7E"/>
    <w:rsid w:val="40A627E1"/>
    <w:rsid w:val="424322C4"/>
    <w:rsid w:val="42A778A8"/>
    <w:rsid w:val="434555E7"/>
    <w:rsid w:val="435076C6"/>
    <w:rsid w:val="43787BA4"/>
    <w:rsid w:val="44096126"/>
    <w:rsid w:val="4583114E"/>
    <w:rsid w:val="4676352A"/>
    <w:rsid w:val="472C61FD"/>
    <w:rsid w:val="48E53927"/>
    <w:rsid w:val="49271765"/>
    <w:rsid w:val="4C460A53"/>
    <w:rsid w:val="4C7B4B11"/>
    <w:rsid w:val="4DF207D3"/>
    <w:rsid w:val="50235340"/>
    <w:rsid w:val="504B6D2F"/>
    <w:rsid w:val="50F07E78"/>
    <w:rsid w:val="51522B01"/>
    <w:rsid w:val="521A35C2"/>
    <w:rsid w:val="524A61C0"/>
    <w:rsid w:val="53617FDD"/>
    <w:rsid w:val="53BF68CF"/>
    <w:rsid w:val="53D456F6"/>
    <w:rsid w:val="54A23B9E"/>
    <w:rsid w:val="56FE71BD"/>
    <w:rsid w:val="5754014C"/>
    <w:rsid w:val="57AE34B1"/>
    <w:rsid w:val="58C24AEE"/>
    <w:rsid w:val="58E10713"/>
    <w:rsid w:val="5938062E"/>
    <w:rsid w:val="5CD6119F"/>
    <w:rsid w:val="5DA971E9"/>
    <w:rsid w:val="5DFB3B3A"/>
    <w:rsid w:val="5EA239A4"/>
    <w:rsid w:val="5ECC1817"/>
    <w:rsid w:val="61323A96"/>
    <w:rsid w:val="616F7343"/>
    <w:rsid w:val="62146AD0"/>
    <w:rsid w:val="6443107F"/>
    <w:rsid w:val="647677F4"/>
    <w:rsid w:val="64835AE5"/>
    <w:rsid w:val="65061414"/>
    <w:rsid w:val="665172BE"/>
    <w:rsid w:val="665F5347"/>
    <w:rsid w:val="67AC2F64"/>
    <w:rsid w:val="67E63EA4"/>
    <w:rsid w:val="68302D7A"/>
    <w:rsid w:val="6A5C5FC7"/>
    <w:rsid w:val="6C2C495A"/>
    <w:rsid w:val="6CBB4588"/>
    <w:rsid w:val="6E654E40"/>
    <w:rsid w:val="6EE9509A"/>
    <w:rsid w:val="6F116913"/>
    <w:rsid w:val="70517BA3"/>
    <w:rsid w:val="707D2270"/>
    <w:rsid w:val="70BB6AB4"/>
    <w:rsid w:val="71B97380"/>
    <w:rsid w:val="72847C62"/>
    <w:rsid w:val="7373139E"/>
    <w:rsid w:val="749D632F"/>
    <w:rsid w:val="75241AB9"/>
    <w:rsid w:val="76DF722C"/>
    <w:rsid w:val="798877AC"/>
    <w:rsid w:val="7B054BE1"/>
    <w:rsid w:val="7C3D0929"/>
    <w:rsid w:val="7C901658"/>
    <w:rsid w:val="7CD21DA7"/>
    <w:rsid w:val="7D2D60B4"/>
    <w:rsid w:val="7E57765B"/>
    <w:rsid w:val="7E73538F"/>
    <w:rsid w:val="7E880C06"/>
    <w:rsid w:val="7EFB1D10"/>
    <w:rsid w:val="7FAD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numPr>
        <w:ilvl w:val="2"/>
        <w:numId w:val="1"/>
      </w:numPr>
      <w:tabs>
        <w:tab w:val="left" w:pos="0"/>
      </w:tabs>
      <w:spacing w:line="360" w:lineRule="auto"/>
      <w:outlineLvl w:val="2"/>
    </w:pPr>
    <w:rPr>
      <w:b/>
      <w:bCs/>
      <w:kern w:val="28"/>
      <w:szCs w:val="28"/>
    </w:rPr>
  </w:style>
  <w:style w:type="paragraph" w:styleId="5">
    <w:name w:val="heading 4"/>
    <w:basedOn w:val="1"/>
    <w:next w:val="1"/>
    <w:unhideWhenUsed/>
    <w:qFormat/>
    <w:uiPriority w:val="9"/>
    <w:pPr>
      <w:keepNext/>
      <w:keepLines/>
      <w:numPr>
        <w:ilvl w:val="3"/>
        <w:numId w:val="1"/>
      </w:numPr>
      <w:tabs>
        <w:tab w:val="left" w:pos="850"/>
      </w:tabs>
      <w:spacing w:line="360" w:lineRule="auto"/>
      <w:jc w:val="left"/>
      <w:outlineLvl w:val="3"/>
    </w:pPr>
    <w:rPr>
      <w:rFonts w:ascii="Arial" w:hAnsi="Arial"/>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7">
    <w:name w:val="caption"/>
    <w:basedOn w:val="1"/>
    <w:next w:val="1"/>
    <w:unhideWhenUsed/>
    <w:qFormat/>
    <w:uiPriority w:val="35"/>
    <w:pPr>
      <w:numPr>
        <w:ilvl w:val="0"/>
        <w:numId w:val="2"/>
      </w:numPr>
      <w:ind w:firstLine="0" w:firstLineChars="0"/>
      <w:jc w:val="center"/>
    </w:pPr>
    <w:rPr>
      <w:rFonts w:cs="宋体" w:asciiTheme="minorEastAsia" w:hAnsiTheme="minorEastAsia"/>
      <w:sz w:val="21"/>
      <w:szCs w:val="20"/>
    </w:rPr>
  </w:style>
  <w:style w:type="paragraph" w:styleId="8">
    <w:name w:val="annotation text"/>
    <w:basedOn w:val="1"/>
    <w:link w:val="42"/>
    <w:qFormat/>
    <w:uiPriority w:val="0"/>
    <w:pPr>
      <w:jc w:val="left"/>
    </w:pPr>
  </w:style>
  <w:style w:type="paragraph" w:styleId="9">
    <w:name w:val="Body Text"/>
    <w:basedOn w:val="1"/>
    <w:qFormat/>
    <w:uiPriority w:val="0"/>
  </w:style>
  <w:style w:type="paragraph" w:styleId="10">
    <w:name w:val="Body Text Indent"/>
    <w:basedOn w:val="1"/>
    <w:next w:val="11"/>
    <w:qFormat/>
    <w:uiPriority w:val="0"/>
    <w:pPr>
      <w:spacing w:after="120"/>
      <w:ind w:left="420" w:leftChars="200"/>
    </w:pPr>
  </w:style>
  <w:style w:type="paragraph" w:styleId="11">
    <w:name w:val="Body Text First Indent 2"/>
    <w:basedOn w:val="10"/>
    <w:unhideWhenUsed/>
    <w:qFormat/>
    <w:uiPriority w:val="99"/>
    <w:pPr>
      <w:ind w:firstLine="420" w:firstLineChars="200"/>
    </w:pPr>
  </w:style>
  <w:style w:type="paragraph" w:styleId="12">
    <w:name w:val="Plain Text"/>
    <w:basedOn w:val="1"/>
    <w:qFormat/>
    <w:uiPriority w:val="0"/>
    <w:rPr>
      <w:rFonts w:ascii="宋体" w:hAnsi="Courier New"/>
      <w:kern w:val="0"/>
      <w:sz w:val="20"/>
      <w:szCs w:val="21"/>
    </w:rPr>
  </w:style>
  <w:style w:type="paragraph" w:styleId="13">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118"/>
      </w:tabs>
      <w:spacing w:line="400" w:lineRule="exact"/>
      <w:jc w:val="center"/>
    </w:pPr>
    <w:rPr>
      <w:szCs w:val="20"/>
    </w:rPr>
  </w:style>
  <w:style w:type="paragraph" w:styleId="18">
    <w:name w:val="Normal (Web)"/>
    <w:basedOn w:val="1"/>
    <w:qFormat/>
    <w:uiPriority w:val="99"/>
    <w:pPr>
      <w:spacing w:beforeAutospacing="1" w:afterAutospacing="1"/>
      <w:jc w:val="left"/>
    </w:pPr>
    <w:rPr>
      <w:kern w:val="0"/>
      <w:sz w:val="24"/>
    </w:rPr>
  </w:style>
  <w:style w:type="paragraph" w:styleId="19">
    <w:name w:val="annotation subject"/>
    <w:basedOn w:val="8"/>
    <w:next w:val="8"/>
    <w:link w:val="43"/>
    <w:qFormat/>
    <w:uiPriority w:val="0"/>
    <w:rPr>
      <w:b/>
      <w:bCs/>
    </w:rPr>
  </w:style>
  <w:style w:type="paragraph" w:styleId="20">
    <w:name w:val="Body Text First Indent"/>
    <w:basedOn w:val="9"/>
    <w:qFormat/>
    <w:uiPriority w:val="0"/>
    <w:pPr>
      <w:spacing w:line="312" w:lineRule="auto"/>
      <w:ind w:firstLine="420"/>
    </w:pPr>
    <w:rPr>
      <w:szCs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rPr>
      <w:rFonts w:cs="Times New Roman"/>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表格文字"/>
    <w:basedOn w:val="12"/>
    <w:next w:val="9"/>
    <w:qFormat/>
    <w:uiPriority w:val="0"/>
    <w:pPr>
      <w:adjustRightInd w:val="0"/>
      <w:spacing w:line="420" w:lineRule="atLeast"/>
      <w:jc w:val="left"/>
      <w:textAlignment w:val="baseline"/>
    </w:pPr>
    <w:rPr>
      <w:rFonts w:ascii="Times New Roman" w:hAnsi="Times New Roman"/>
      <w:szCs w:val="24"/>
    </w:rPr>
  </w:style>
  <w:style w:type="paragraph" w:customStyle="1" w:styleId="29">
    <w:name w:val="Body Text Indent 21"/>
    <w:basedOn w:val="1"/>
    <w:qFormat/>
    <w:uiPriority w:val="0"/>
    <w:pPr>
      <w:widowControl/>
      <w:spacing w:line="480" w:lineRule="atLeast"/>
      <w:ind w:firstLine="480"/>
    </w:pPr>
    <w:rPr>
      <w:rFonts w:ascii="宋体"/>
      <w:kern w:val="0"/>
      <w:sz w:val="24"/>
      <w:szCs w:val="20"/>
    </w:rPr>
  </w:style>
  <w:style w:type="paragraph" w:customStyle="1" w:styleId="30">
    <w:name w:val="Plain Text1"/>
    <w:basedOn w:val="1"/>
    <w:qFormat/>
    <w:uiPriority w:val="0"/>
    <w:rPr>
      <w:rFonts w:ascii="宋体" w:hAnsi="Courier New"/>
      <w:szCs w:val="20"/>
    </w:rPr>
  </w:style>
  <w:style w:type="paragraph" w:customStyle="1" w:styleId="31">
    <w:name w:val="正文2"/>
    <w:basedOn w:val="1"/>
    <w:qFormat/>
    <w:uiPriority w:val="0"/>
    <w:pPr>
      <w:spacing w:line="360" w:lineRule="auto"/>
      <w:ind w:firstLine="510" w:firstLineChars="200"/>
    </w:pPr>
    <w:rPr>
      <w:sz w:val="24"/>
      <w:szCs w:val="20"/>
    </w:rPr>
  </w:style>
  <w:style w:type="paragraph" w:customStyle="1" w:styleId="3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3">
    <w:name w:val="Normal Indent1"/>
    <w:basedOn w:val="1"/>
    <w:qFormat/>
    <w:uiPriority w:val="0"/>
    <w:pPr>
      <w:ind w:firstLine="420" w:firstLineChars="200"/>
    </w:pPr>
  </w:style>
  <w:style w:type="paragraph" w:customStyle="1" w:styleId="34">
    <w:name w:val="Body Text Indent 31"/>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customStyle="1" w:styleId="35">
    <w:name w:val="无间隔1"/>
    <w:qFormat/>
    <w:uiPriority w:val="0"/>
    <w:pPr>
      <w:widowControl w:val="0"/>
      <w:spacing w:line="300" w:lineRule="auto"/>
    </w:pPr>
    <w:rPr>
      <w:rFonts w:ascii="楷体_GB2312" w:hAnsi="宋体" w:eastAsia="楷体_GB2312" w:cstheme="minorBidi"/>
      <w:bCs/>
      <w:kern w:val="2"/>
      <w:sz w:val="24"/>
      <w:szCs w:val="24"/>
      <w:u w:val="single"/>
      <w:lang w:val="en-US" w:eastAsia="zh-CN" w:bidi="ar-SA"/>
    </w:rPr>
  </w:style>
  <w:style w:type="paragraph" w:styleId="36">
    <w:name w:val="List Paragraph"/>
    <w:basedOn w:val="1"/>
    <w:qFormat/>
    <w:uiPriority w:val="34"/>
    <w:pPr>
      <w:ind w:firstLine="420" w:firstLineChars="200"/>
    </w:pPr>
    <w:rPr>
      <w:rFonts w:ascii="Times New Roman" w:hAnsi="Times New Roman"/>
    </w:rPr>
  </w:style>
  <w:style w:type="paragraph" w:customStyle="1" w:styleId="37">
    <w:name w:val="列出段落1"/>
    <w:basedOn w:val="1"/>
    <w:qFormat/>
    <w:uiPriority w:val="34"/>
    <w:pPr>
      <w:ind w:firstLine="420" w:firstLineChars="200"/>
    </w:pPr>
    <w:rPr>
      <w:szCs w:val="22"/>
    </w:rPr>
  </w:style>
  <w:style w:type="paragraph" w:customStyle="1" w:styleId="38">
    <w:name w:val="彩色列表 - 强调文字颜色 11"/>
    <w:basedOn w:val="1"/>
    <w:qFormat/>
    <w:uiPriority w:val="34"/>
    <w:pPr>
      <w:spacing w:line="480" w:lineRule="auto"/>
      <w:ind w:firstLine="420" w:firstLineChars="200"/>
      <w:jc w:val="left"/>
    </w:pPr>
    <w:rPr>
      <w:sz w:val="24"/>
      <w:lang w:eastAsia="zh-TW"/>
    </w:rPr>
  </w:style>
  <w:style w:type="paragraph" w:customStyle="1" w:styleId="39">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4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41">
    <w:name w:val="※正文"/>
    <w:basedOn w:val="1"/>
    <w:next w:val="1"/>
    <w:qFormat/>
    <w:uiPriority w:val="0"/>
    <w:pPr>
      <w:widowControl/>
      <w:wordWrap w:val="0"/>
      <w:spacing w:line="400" w:lineRule="exact"/>
    </w:pPr>
    <w:rPr>
      <w:rFonts w:ascii="Calibri Light" w:hAnsi="Calibri Light" w:eastAsia="华文仿宋" w:cstheme="minorBidi"/>
      <w:sz w:val="28"/>
      <w:szCs w:val="28"/>
    </w:rPr>
  </w:style>
  <w:style w:type="character" w:customStyle="1" w:styleId="42">
    <w:name w:val="批注文字 Char"/>
    <w:basedOn w:val="23"/>
    <w:link w:val="8"/>
    <w:qFormat/>
    <w:uiPriority w:val="0"/>
    <w:rPr>
      <w:rFonts w:ascii="Calibri" w:hAnsi="Calibri" w:eastAsia="宋体" w:cs="黑体"/>
      <w:kern w:val="2"/>
      <w:sz w:val="21"/>
      <w:szCs w:val="24"/>
    </w:rPr>
  </w:style>
  <w:style w:type="character" w:customStyle="1" w:styleId="43">
    <w:name w:val="批注主题 Char"/>
    <w:basedOn w:val="42"/>
    <w:link w:val="19"/>
    <w:qFormat/>
    <w:uiPriority w:val="0"/>
    <w:rPr>
      <w:rFonts w:ascii="Calibri" w:hAnsi="Calibri" w:eastAsia="宋体" w:cs="黑体"/>
      <w:b/>
      <w:bCs/>
      <w:kern w:val="2"/>
      <w:sz w:val="21"/>
      <w:szCs w:val="24"/>
    </w:rPr>
  </w:style>
  <w:style w:type="character" w:customStyle="1" w:styleId="44">
    <w:name w:val="批注框文本 Char"/>
    <w:basedOn w:val="23"/>
    <w:link w:val="14"/>
    <w:qFormat/>
    <w:uiPriority w:val="0"/>
    <w:rPr>
      <w:rFonts w:ascii="Calibri" w:hAnsi="Calibri" w:eastAsia="宋体" w:cs="黑体"/>
      <w:kern w:val="2"/>
      <w:sz w:val="18"/>
      <w:szCs w:val="18"/>
    </w:rPr>
  </w:style>
  <w:style w:type="paragraph" w:customStyle="1" w:styleId="45">
    <w:name w:val="正文首行缩进2字符"/>
    <w:basedOn w:val="1"/>
    <w:qFormat/>
    <w:uiPriority w:val="0"/>
    <w:pPr>
      <w:spacing w:before="60" w:after="60"/>
      <w:ind w:firstLine="482" w:firstLineChars="0"/>
      <w:jc w:val="left"/>
    </w:pPr>
    <w:rPr>
      <w:rFonts w:ascii="Times New Roman" w:hAnsi="Times New Roman" w:eastAsia="宋体" w:cs="Times New Roman"/>
      <w:iCs/>
      <w:kern w:val="0"/>
    </w:rPr>
  </w:style>
  <w:style w:type="paragraph" w:customStyle="1" w:styleId="46">
    <w:name w:val="标识2"/>
    <w:basedOn w:val="1"/>
    <w:qFormat/>
    <w:uiPriority w:val="0"/>
    <w:pPr>
      <w:numPr>
        <w:ilvl w:val="0"/>
        <w:numId w:val="3"/>
      </w:numPr>
      <w:ind w:left="278" w:hanging="193" w:firstLineChars="0"/>
      <w:jc w:val="left"/>
    </w:pPr>
    <w:rPr>
      <w:rFonts w:ascii="Times New Roman" w:hAnsi="Times New Roman" w:eastAsia="宋体"/>
      <w:kern w:val="0"/>
    </w:rPr>
  </w:style>
  <w:style w:type="paragraph" w:customStyle="1" w:styleId="47">
    <w:name w:val="编号1"/>
    <w:basedOn w:val="1"/>
    <w:qFormat/>
    <w:uiPriority w:val="0"/>
    <w:pPr>
      <w:numPr>
        <w:ilvl w:val="4"/>
        <w:numId w:val="4"/>
      </w:numPr>
      <w:spacing w:before="120" w:after="120"/>
      <w:ind w:firstLine="0" w:firstLineChars="0"/>
    </w:pPr>
    <w:rPr>
      <w:rFonts w:ascii="Times New Roman" w:hAnsi="Times New Roman" w:eastAsia="宋体"/>
      <w:b/>
      <w:color w:val="000000"/>
      <w:szCs w:val="21"/>
    </w:rPr>
  </w:style>
  <w:style w:type="paragraph" w:customStyle="1" w:styleId="48">
    <w:name w:val="标准正文"/>
    <w:basedOn w:val="1"/>
    <w:qFormat/>
    <w:uiPriority w:val="0"/>
    <w:pPr>
      <w:spacing w:before="156" w:after="156"/>
      <w:ind w:firstLine="480"/>
    </w:pPr>
    <w:rPr>
      <w:rFonts w:ascii="Times New Roman" w:hAnsi="Times New Roman" w:eastAsia="宋体" w:cs="宋体"/>
      <w:szCs w:val="20"/>
    </w:rPr>
  </w:style>
  <w:style w:type="paragraph" w:customStyle="1" w:styleId="49">
    <w:name w:val="a14"/>
    <w:basedOn w:val="1"/>
    <w:qFormat/>
    <w:uiPriority w:val="0"/>
    <w:pPr>
      <w:widowControl/>
      <w:spacing w:before="100" w:beforeAutospacing="1" w:after="100" w:afterAutospacing="1" w:line="335" w:lineRule="atLeast"/>
      <w:ind w:firstLine="419" w:firstLineChars="0"/>
      <w:jc w:val="left"/>
    </w:pPr>
    <w:rPr>
      <w:rFonts w:ascii="宋体" w:hAnsi="宋体" w:eastAsia="宋体" w:cs="宋体"/>
      <w:kern w:val="0"/>
      <w:sz w:val="23"/>
      <w:szCs w:val="23"/>
    </w:rPr>
  </w:style>
  <w:style w:type="paragraph" w:customStyle="1" w:styleId="50">
    <w:name w:val="表格标题"/>
    <w:basedOn w:val="1"/>
    <w:qFormat/>
    <w:uiPriority w:val="0"/>
    <w:pPr>
      <w:spacing w:line="240" w:lineRule="auto"/>
      <w:ind w:firstLine="0" w:firstLineChars="0"/>
      <w:jc w:val="center"/>
    </w:pPr>
    <w:rPr>
      <w:rFonts w:ascii="Times New Roman" w:hAnsi="Times New Roman" w:eastAsia="宋体" w:cs="Microsoft JhengHei Light"/>
      <w:b/>
      <w:kern w:val="0"/>
      <w:sz w:val="18"/>
      <w:szCs w:val="24"/>
      <w:lang w:val="zh-CN" w:bidi="zh-CN"/>
    </w:rPr>
  </w:style>
  <w:style w:type="paragraph" w:customStyle="1" w:styleId="51">
    <w:name w:val="表格正文"/>
    <w:basedOn w:val="1"/>
    <w:qFormat/>
    <w:uiPriority w:val="0"/>
    <w:pPr>
      <w:spacing w:line="240" w:lineRule="auto"/>
      <w:ind w:firstLine="0" w:firstLineChars="0"/>
      <w:jc w:val="left"/>
    </w:pPr>
    <w:rPr>
      <w:rFonts w:ascii="Times New Roman" w:hAnsi="Times New Roman" w:eastAsia="宋体"/>
      <w:kern w:val="0"/>
      <w:sz w:val="21"/>
    </w:rPr>
  </w:style>
  <w:style w:type="paragraph" w:customStyle="1" w:styleId="52">
    <w:name w:val="DH 正文"/>
    <w:basedOn w:val="1"/>
    <w:qFormat/>
    <w:uiPriority w:val="99"/>
    <w:rPr>
      <w:rFonts w:ascii="宋体" w:hAnsi="Times New Roman" w:eastAsia="宋体" w:cs="宋体"/>
      <w:szCs w:val="24"/>
    </w:rPr>
  </w:style>
  <w:style w:type="paragraph" w:customStyle="1" w:styleId="53">
    <w:name w:val="编号2"/>
    <w:basedOn w:val="1"/>
    <w:qFormat/>
    <w:uiPriority w:val="0"/>
    <w:pPr>
      <w:numPr>
        <w:ilvl w:val="0"/>
        <w:numId w:val="5"/>
      </w:numPr>
      <w:ind w:firstLine="0" w:firstLineChars="0"/>
      <w:jc w:val="left"/>
    </w:pPr>
    <w:rPr>
      <w:rFonts w:ascii="Times New Roman" w:hAnsi="Times New Roman" w:eastAsia="宋体" w:cs="Arial"/>
      <w:kern w:val="0"/>
    </w:rPr>
  </w:style>
  <w:style w:type="paragraph" w:customStyle="1" w:styleId="54">
    <w:name w:val="样式 首行缩进:  0 字符"/>
    <w:basedOn w:val="1"/>
    <w:qFormat/>
    <w:uiPriority w:val="0"/>
    <w:rPr>
      <w:rFonts w:ascii="Times New Roman" w:hAnsi="Times New Roman" w:eastAsia="宋体" w:cs="宋体"/>
      <w:szCs w:val="20"/>
    </w:rPr>
  </w:style>
  <w:style w:type="paragraph" w:customStyle="1" w:styleId="55">
    <w:name w:val="[Normal]"/>
    <w:qFormat/>
    <w:uiPriority w:val="0"/>
    <w:rPr>
      <w:rFonts w:ascii="宋体" w:hAnsi="宋体" w:eastAsia="Calibri"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8150</Words>
  <Characters>46461</Characters>
  <Lines>387</Lines>
  <Paragraphs>109</Paragraphs>
  <TotalTime>11</TotalTime>
  <ScaleCrop>false</ScaleCrop>
  <LinksUpToDate>false</LinksUpToDate>
  <CharactersWithSpaces>54502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dc:creator>
  <cp:lastModifiedBy>☆壞壞ㄣ娃</cp:lastModifiedBy>
  <dcterms:modified xsi:type="dcterms:W3CDTF">2020-04-30T10:08:46Z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