
<file path=[Content_Types].xml><?xml version="1.0" encoding="utf-8"?>
<Types xmlns="http://schemas.openxmlformats.org/package/2006/content-types">
  <Default ContentType="image/jpeg" Extension="jpeg"/>
  <Default ContentType="image/.jp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eastAsia="仿宋_GB2312"/>
        </w:rPr>
      </w:pPr>
      <w:bookmarkStart w:id="593" w:name="_GoBack"/>
      <w:bookmarkEnd w:id="593"/>
    </w:p>
    <w:p>
      <w:pPr>
        <w:jc w:val="center"/>
        <w:rPr>
          <w:rFonts w:hint="eastAsia" w:ascii="仿宋_GB2312" w:eastAsia="仿宋_GB2312"/>
        </w:rPr>
      </w:pPr>
    </w:p>
    <w:p>
      <w:pPr>
        <w:jc w:val="center"/>
        <w:rPr>
          <w:rFonts w:hint="eastAsia" w:ascii="仿宋_GB2312" w:eastAsia="仿宋_GB2312"/>
        </w:rPr>
      </w:pPr>
    </w:p>
    <w:p>
      <w:pPr>
        <w:jc w:val="center"/>
        <w:rPr>
          <w:rFonts w:hint="eastAsia" w:ascii="仿宋_GB2312" w:eastAsia="仿宋_GB2312"/>
        </w:rPr>
      </w:pPr>
    </w:p>
    <w:p>
      <w:pPr>
        <w:jc w:val="center"/>
        <w:rPr>
          <w:rFonts w:hint="eastAsia" w:ascii="仿宋_GB2312" w:hAnsi="仿宋_GB2312" w:eastAsia="仿宋_GB2312"/>
          <w:b/>
          <w:sz w:val="36"/>
          <w:szCs w:val="36"/>
        </w:rPr>
      </w:pPr>
      <w:r>
        <w:rPr>
          <w:rFonts w:hint="eastAsia" w:ascii="仿宋_GB2312" w:eastAsia="仿宋_GB2312"/>
          <w:b/>
          <w:sz w:val="36"/>
          <w:szCs w:val="36"/>
        </w:rPr>
        <w:t>安防监控系统改造、监控设备项目</w:t>
      </w:r>
    </w:p>
    <w:p>
      <w:pPr>
        <w:jc w:val="center"/>
        <w:rPr>
          <w:rFonts w:hint="eastAsia" w:ascii="仿宋_GB2312" w:hAnsi="仿宋_GB2312" w:eastAsia="仿宋_GB2312"/>
          <w:b/>
          <w:sz w:val="44"/>
        </w:rPr>
      </w:pPr>
    </w:p>
    <w:p>
      <w:pPr>
        <w:jc w:val="center"/>
        <w:rPr>
          <w:rFonts w:hint="eastAsia" w:ascii="仿宋_GB2312" w:hAnsi="仿宋_GB2312" w:eastAsia="仿宋_GB2312"/>
          <w:b/>
          <w:sz w:val="44"/>
        </w:rPr>
      </w:pPr>
    </w:p>
    <w:p>
      <w:pPr>
        <w:jc w:val="center"/>
        <w:rPr>
          <w:rFonts w:hint="eastAsia" w:ascii="仿宋_GB2312" w:hAnsi="仿宋_GB2312" w:eastAsia="仿宋_GB2312"/>
          <w:b/>
          <w:sz w:val="44"/>
        </w:rPr>
      </w:pPr>
      <w:r>
        <w:rPr>
          <w:rFonts w:hint="eastAsia" w:ascii="仿宋_GB2312" w:hAnsi="仿宋_GB2312" w:eastAsia="仿宋_GB2312"/>
          <w:b/>
          <w:sz w:val="44"/>
        </w:rPr>
        <w:t>招标文件</w:t>
      </w:r>
    </w:p>
    <w:p>
      <w:pPr>
        <w:jc w:val="center"/>
        <w:rPr>
          <w:rFonts w:hint="eastAsia" w:ascii="仿宋_GB2312" w:hAnsi="仿宋_GB2312" w:eastAsia="仿宋_GB2312"/>
          <w:b/>
          <w:sz w:val="44"/>
        </w:rPr>
      </w:pPr>
    </w:p>
    <w:p>
      <w:pPr>
        <w:pStyle w:val="26"/>
        <w:jc w:val="center"/>
        <w:rPr>
          <w:rFonts w:hint="eastAsia" w:ascii="仿宋_GB2312" w:eastAsia="仿宋_GB2312"/>
          <w:sz w:val="32"/>
        </w:rPr>
      </w:pPr>
      <w:r>
        <w:rPr>
          <w:rFonts w:hint="eastAsia" w:ascii="仿宋_GB2312" w:eastAsia="仿宋_GB2312"/>
          <w:sz w:val="32"/>
        </w:rPr>
        <w:t>编号：</w:t>
      </w:r>
      <w:r>
        <w:rPr>
          <w:rFonts w:hint="eastAsia" w:ascii="仿宋_GB2312" w:eastAsia="仿宋_GB2312"/>
          <w:sz w:val="32"/>
          <w:szCs w:val="32"/>
        </w:rPr>
        <w:t>HJZCD-2019-035</w:t>
      </w:r>
    </w:p>
    <w:p>
      <w:pPr>
        <w:spacing w:line="360" w:lineRule="auto"/>
        <w:jc w:val="center"/>
        <w:rPr>
          <w:rFonts w:hint="eastAsia" w:ascii="仿宋_GB2312" w:eastAsia="仿宋_GB2312"/>
          <w:b/>
          <w:sz w:val="28"/>
        </w:rPr>
      </w:pPr>
    </w:p>
    <w:p>
      <w:pPr>
        <w:spacing w:line="360" w:lineRule="auto"/>
        <w:jc w:val="center"/>
        <w:rPr>
          <w:rFonts w:hint="eastAsia" w:ascii="仿宋_GB2312" w:eastAsia="仿宋_GB2312"/>
          <w:b/>
          <w:sz w:val="28"/>
        </w:rPr>
      </w:pPr>
    </w:p>
    <w:p>
      <w:pPr>
        <w:spacing w:line="360" w:lineRule="auto"/>
        <w:jc w:val="center"/>
        <w:rPr>
          <w:rFonts w:hint="eastAsia" w:ascii="仿宋_GB2312" w:eastAsia="仿宋_GB2312"/>
          <w:b/>
          <w:sz w:val="28"/>
        </w:rPr>
      </w:pPr>
    </w:p>
    <w:p>
      <w:pPr>
        <w:spacing w:line="360" w:lineRule="auto"/>
        <w:rPr>
          <w:rFonts w:hint="eastAsia" w:ascii="仿宋_GB2312" w:eastAsia="仿宋_GB2312"/>
          <w:b/>
          <w:sz w:val="28"/>
        </w:rPr>
      </w:pPr>
    </w:p>
    <w:p>
      <w:pPr>
        <w:spacing w:line="360" w:lineRule="auto"/>
        <w:rPr>
          <w:rFonts w:hint="eastAsia" w:ascii="仿宋_GB2312" w:eastAsia="仿宋_GB2312"/>
          <w:b/>
          <w:sz w:val="28"/>
        </w:rPr>
      </w:pPr>
    </w:p>
    <w:p>
      <w:pPr>
        <w:spacing w:line="360" w:lineRule="auto"/>
        <w:rPr>
          <w:rFonts w:hint="eastAsia" w:ascii="仿宋_GB2312" w:eastAsia="仿宋_GB2312"/>
          <w:b/>
          <w:sz w:val="28"/>
        </w:rPr>
      </w:pPr>
    </w:p>
    <w:p>
      <w:pPr>
        <w:spacing w:line="360" w:lineRule="auto"/>
        <w:jc w:val="center"/>
        <w:rPr>
          <w:rFonts w:hint="eastAsia" w:ascii="仿宋_GB2312" w:eastAsia="仿宋_GB2312"/>
          <w:sz w:val="32"/>
        </w:rPr>
      </w:pPr>
      <w:r>
        <w:rPr>
          <w:rFonts w:hint="eastAsia" w:ascii="仿宋_GB2312" w:eastAsia="仿宋_GB2312"/>
          <w:sz w:val="32"/>
        </w:rPr>
        <w:t>浙江省杭州学军中学、浙江省杭州高级中学、杭州市电子信息职业学校</w:t>
      </w:r>
    </w:p>
    <w:p>
      <w:pPr>
        <w:spacing w:line="360" w:lineRule="auto"/>
        <w:jc w:val="center"/>
        <w:rPr>
          <w:rFonts w:hint="eastAsia" w:ascii="仿宋_GB2312" w:eastAsia="仿宋_GB2312"/>
          <w:sz w:val="32"/>
          <w:shd w:val="pct10" w:color="auto" w:fill="FFFFFF"/>
        </w:rPr>
      </w:pPr>
      <w:r>
        <w:rPr>
          <w:rFonts w:hint="eastAsia" w:ascii="仿宋_GB2312" w:eastAsia="仿宋_GB2312"/>
          <w:sz w:val="32"/>
        </w:rPr>
        <w:t>杭州市教育技术中心</w:t>
      </w:r>
    </w:p>
    <w:p>
      <w:pPr>
        <w:pStyle w:val="44"/>
        <w:jc w:val="center"/>
        <w:rPr>
          <w:rFonts w:hint="eastAsia" w:ascii="仿宋_GB2312" w:eastAsia="仿宋_GB2312"/>
          <w:b w:val="0"/>
          <w:sz w:val="32"/>
        </w:rPr>
      </w:pPr>
      <w:r>
        <w:rPr>
          <w:rFonts w:hint="eastAsia" w:ascii="仿宋_GB2312" w:eastAsia="仿宋_GB2312"/>
          <w:b w:val="0"/>
          <w:caps w:val="0"/>
          <w:sz w:val="32"/>
          <w:szCs w:val="32"/>
        </w:rPr>
        <w:t>2019年6月6日</w:t>
      </w:r>
    </w:p>
    <w:p>
      <w:pPr>
        <w:pStyle w:val="254"/>
        <w:spacing w:before="0"/>
        <w:ind w:firstLine="0" w:firstLineChars="0"/>
        <w:rPr>
          <w:rFonts w:hint="eastAsia" w:ascii="仿宋_GB2312" w:hAnsi="仿宋_GB2312" w:eastAsia="仿宋_GB2312"/>
          <w:sz w:val="32"/>
        </w:rPr>
      </w:pPr>
    </w:p>
    <w:p>
      <w:pPr>
        <w:spacing w:line="360" w:lineRule="auto"/>
        <w:jc w:val="center"/>
        <w:rPr>
          <w:rFonts w:hint="eastAsia" w:ascii="仿宋_GB2312" w:eastAsia="仿宋_GB2312"/>
          <w:b/>
          <w:sz w:val="44"/>
        </w:rPr>
      </w:pPr>
    </w:p>
    <w:p>
      <w:pPr>
        <w:spacing w:line="360" w:lineRule="auto"/>
        <w:jc w:val="center"/>
        <w:rPr>
          <w:rFonts w:hint="eastAsia" w:ascii="仿宋_GB2312" w:eastAsia="仿宋_GB2312"/>
          <w:b/>
          <w:sz w:val="44"/>
        </w:rPr>
      </w:pPr>
      <w:r>
        <w:rPr>
          <w:rFonts w:hint="eastAsia" w:ascii="仿宋_GB2312" w:eastAsia="仿宋_GB2312"/>
          <w:b/>
          <w:sz w:val="44"/>
        </w:rPr>
        <w:br w:type="page"/>
      </w:r>
    </w:p>
    <w:p>
      <w:pPr>
        <w:spacing w:line="600" w:lineRule="exact"/>
        <w:jc w:val="center"/>
        <w:rPr>
          <w:rFonts w:hint="eastAsia" w:ascii="仿宋_GB2312" w:eastAsia="仿宋_GB2312"/>
          <w:b/>
          <w:sz w:val="44"/>
        </w:rPr>
      </w:pPr>
      <w:r>
        <w:rPr>
          <w:rFonts w:hint="eastAsia" w:ascii="仿宋_GB2312" w:eastAsia="仿宋_GB2312"/>
          <w:b/>
          <w:sz w:val="44"/>
        </w:rPr>
        <w:t>特别提示</w:t>
      </w:r>
    </w:p>
    <w:p>
      <w:pPr>
        <w:spacing w:line="600" w:lineRule="exact"/>
        <w:jc w:val="center"/>
        <w:rPr>
          <w:rFonts w:hint="eastAsia" w:ascii="仿宋_GB2312" w:eastAsia="仿宋_GB2312"/>
          <w:b/>
          <w:sz w:val="44"/>
        </w:rPr>
      </w:pPr>
    </w:p>
    <w:p>
      <w:pPr>
        <w:spacing w:line="600" w:lineRule="exact"/>
        <w:ind w:firstLine="1044" w:firstLineChars="200"/>
        <w:rPr>
          <w:rFonts w:hint="eastAsia" w:ascii="仿宋_GB2312" w:eastAsia="仿宋_GB2312"/>
          <w:b/>
          <w:sz w:val="52"/>
          <w:szCs w:val="52"/>
        </w:rPr>
      </w:pPr>
      <w:r>
        <w:rPr>
          <w:rFonts w:hint="eastAsia" w:ascii="仿宋_GB2312" w:eastAsia="仿宋_GB2312"/>
          <w:b/>
          <w:sz w:val="52"/>
          <w:szCs w:val="52"/>
        </w:rPr>
        <w:t>各投标人注意，请认真阅读本招标文件第四部分</w:t>
      </w:r>
      <w:r>
        <w:rPr>
          <w:rFonts w:hint="eastAsia" w:ascii="仿宋_GB2312" w:eastAsia="仿宋_GB2312"/>
          <w:sz w:val="52"/>
          <w:szCs w:val="52"/>
        </w:rPr>
        <w:t>13</w:t>
      </w:r>
      <w:r>
        <w:rPr>
          <w:rFonts w:hint="eastAsia" w:ascii="仿宋_GB2312" w:eastAsia="仿宋_GB2312"/>
          <w:b/>
          <w:sz w:val="52"/>
          <w:szCs w:val="52"/>
        </w:rPr>
        <w:t>无效投标条款。</w:t>
      </w:r>
    </w:p>
    <w:p>
      <w:pPr>
        <w:spacing w:line="600" w:lineRule="exact"/>
        <w:ind w:firstLine="1044" w:firstLineChars="200"/>
        <w:rPr>
          <w:rFonts w:hint="eastAsia" w:ascii="仿宋_GB2312" w:eastAsia="仿宋_GB2312"/>
          <w:b/>
          <w:sz w:val="52"/>
          <w:szCs w:val="52"/>
        </w:rPr>
      </w:pPr>
      <w:r>
        <w:rPr>
          <w:rFonts w:hint="eastAsia" w:ascii="仿宋_GB2312" w:eastAsia="仿宋_GB2312"/>
          <w:b/>
          <w:sz w:val="52"/>
          <w:szCs w:val="52"/>
        </w:rPr>
        <w:t>投标人递交投标文件的同时，应出示身份证原件，递交身份证复印件、授权委托书。</w:t>
      </w:r>
    </w:p>
    <w:p>
      <w:pPr>
        <w:spacing w:line="600" w:lineRule="exact"/>
        <w:ind w:firstLine="1044" w:firstLineChars="200"/>
        <w:rPr>
          <w:rFonts w:hint="eastAsia" w:ascii="仿宋_GB2312" w:eastAsia="仿宋_GB2312"/>
          <w:b/>
          <w:sz w:val="52"/>
          <w:szCs w:val="52"/>
        </w:rPr>
      </w:pPr>
      <w:r>
        <w:rPr>
          <w:rFonts w:hint="eastAsia" w:ascii="仿宋_GB2312" w:eastAsia="仿宋_GB2312"/>
          <w:b/>
          <w:sz w:val="52"/>
          <w:szCs w:val="52"/>
        </w:rPr>
        <w:t>投标文件提倡双面打印。</w:t>
      </w:r>
    </w:p>
    <w:p>
      <w:pPr>
        <w:spacing w:line="360" w:lineRule="auto"/>
        <w:rPr>
          <w:rFonts w:hint="eastAsia" w:ascii="仿宋_GB2312" w:eastAsia="仿宋_GB2312"/>
          <w:b/>
          <w:sz w:val="44"/>
        </w:rPr>
      </w:pPr>
    </w:p>
    <w:p>
      <w:pPr>
        <w:spacing w:line="360" w:lineRule="auto"/>
        <w:jc w:val="center"/>
        <w:rPr>
          <w:rFonts w:hint="eastAsia" w:ascii="仿宋_GB2312" w:eastAsia="仿宋_GB2312"/>
          <w:b/>
          <w:sz w:val="44"/>
        </w:rPr>
      </w:pPr>
      <w:r>
        <w:rPr>
          <w:rFonts w:hint="eastAsia" w:ascii="仿宋_GB2312" w:eastAsia="仿宋_GB2312"/>
          <w:b/>
          <w:sz w:val="44"/>
        </w:rPr>
        <w:br w:type="page"/>
      </w:r>
    </w:p>
    <w:p>
      <w:pPr>
        <w:spacing w:line="360" w:lineRule="auto"/>
        <w:jc w:val="center"/>
        <w:rPr>
          <w:rFonts w:hint="eastAsia" w:ascii="仿宋_GB2312" w:eastAsia="仿宋_GB2312"/>
          <w:b/>
          <w:sz w:val="44"/>
        </w:rPr>
      </w:pPr>
    </w:p>
    <w:p>
      <w:pPr>
        <w:spacing w:line="360" w:lineRule="auto"/>
        <w:jc w:val="center"/>
        <w:rPr>
          <w:rFonts w:hint="eastAsia" w:ascii="仿宋_GB2312" w:eastAsia="仿宋_GB2312"/>
          <w:b/>
          <w:sz w:val="44"/>
        </w:rPr>
      </w:pPr>
      <w:r>
        <w:rPr>
          <w:rFonts w:hint="eastAsia" w:ascii="仿宋_GB2312" w:eastAsia="仿宋_GB2312"/>
          <w:b/>
          <w:sz w:val="44"/>
        </w:rPr>
        <w:t>目  录</w:t>
      </w:r>
    </w:p>
    <w:p>
      <w:pPr>
        <w:spacing w:line="360" w:lineRule="auto"/>
        <w:rPr>
          <w:rFonts w:hint="eastAsia" w:ascii="仿宋_GB2312" w:eastAsia="仿宋_GB2312"/>
          <w:sz w:val="28"/>
        </w:rPr>
      </w:pPr>
    </w:p>
    <w:p>
      <w:pPr>
        <w:spacing w:line="360" w:lineRule="auto"/>
        <w:ind w:firstLine="1280" w:firstLineChars="400"/>
        <w:rPr>
          <w:rFonts w:hint="eastAsia" w:ascii="仿宋_GB2312" w:eastAsia="仿宋_GB2312"/>
          <w:sz w:val="32"/>
        </w:rPr>
      </w:pPr>
      <w:r>
        <w:rPr>
          <w:rFonts w:hint="eastAsia" w:ascii="仿宋_GB2312" w:eastAsia="仿宋_GB2312"/>
          <w:sz w:val="32"/>
        </w:rPr>
        <w:t>第一部分      招标公告</w:t>
      </w:r>
    </w:p>
    <w:p>
      <w:pPr>
        <w:spacing w:line="360" w:lineRule="auto"/>
        <w:ind w:firstLine="1280" w:firstLineChars="400"/>
        <w:rPr>
          <w:rFonts w:hint="eastAsia" w:ascii="仿宋_GB2312" w:eastAsia="仿宋_GB2312"/>
          <w:sz w:val="32"/>
        </w:rPr>
      </w:pPr>
      <w:r>
        <w:rPr>
          <w:rFonts w:hint="eastAsia" w:ascii="仿宋_GB2312" w:eastAsia="仿宋_GB2312"/>
          <w:sz w:val="32"/>
        </w:rPr>
        <w:t>第二部分      投标人须知</w:t>
      </w:r>
    </w:p>
    <w:p>
      <w:pPr>
        <w:spacing w:line="360" w:lineRule="auto"/>
        <w:ind w:firstLine="1280" w:firstLineChars="400"/>
        <w:rPr>
          <w:rFonts w:hint="eastAsia" w:ascii="仿宋_GB2312" w:eastAsia="仿宋_GB2312"/>
          <w:sz w:val="32"/>
        </w:rPr>
      </w:pPr>
      <w:r>
        <w:rPr>
          <w:rFonts w:hint="eastAsia" w:ascii="仿宋_GB2312" w:eastAsia="仿宋_GB2312"/>
          <w:sz w:val="32"/>
        </w:rPr>
        <w:t>第三部分　　　采购需求</w:t>
      </w:r>
    </w:p>
    <w:p>
      <w:pPr>
        <w:spacing w:line="360" w:lineRule="auto"/>
        <w:ind w:firstLine="1280" w:firstLineChars="400"/>
        <w:rPr>
          <w:rFonts w:hint="eastAsia" w:ascii="仿宋_GB2312" w:eastAsia="仿宋_GB2312"/>
          <w:sz w:val="32"/>
        </w:rPr>
      </w:pPr>
      <w:r>
        <w:rPr>
          <w:rFonts w:hint="eastAsia" w:ascii="仿宋_GB2312" w:eastAsia="仿宋_GB2312"/>
          <w:sz w:val="32"/>
        </w:rPr>
        <w:t>第四部分      评标办法及评分标准</w:t>
      </w:r>
    </w:p>
    <w:p>
      <w:pPr>
        <w:spacing w:line="360" w:lineRule="auto"/>
        <w:ind w:firstLine="1280" w:firstLineChars="400"/>
        <w:rPr>
          <w:rFonts w:hint="eastAsia" w:ascii="仿宋_GB2312" w:eastAsia="仿宋_GB2312"/>
          <w:sz w:val="32"/>
        </w:rPr>
      </w:pPr>
      <w:r>
        <w:rPr>
          <w:rFonts w:hint="eastAsia" w:ascii="仿宋_GB2312" w:eastAsia="仿宋_GB2312"/>
          <w:sz w:val="32"/>
        </w:rPr>
        <w:t>第五部分      拟签订的合同范本</w:t>
      </w:r>
    </w:p>
    <w:p>
      <w:pPr>
        <w:spacing w:line="360" w:lineRule="auto"/>
        <w:ind w:firstLine="1280" w:firstLineChars="400"/>
        <w:rPr>
          <w:rFonts w:hint="eastAsia" w:ascii="仿宋_GB2312" w:eastAsia="仿宋_GB2312"/>
          <w:sz w:val="32"/>
        </w:rPr>
      </w:pPr>
      <w:r>
        <w:rPr>
          <w:rFonts w:hint="eastAsia" w:ascii="仿宋_GB2312" w:eastAsia="仿宋_GB2312"/>
          <w:sz w:val="32"/>
        </w:rPr>
        <w:t xml:space="preserve">第六部分      </w:t>
      </w:r>
      <w:bookmarkStart w:id="0" w:name="_Hlt91233176"/>
      <w:bookmarkEnd w:id="0"/>
      <w:r>
        <w:rPr>
          <w:rFonts w:hint="eastAsia" w:ascii="仿宋_GB2312" w:eastAsia="仿宋_GB2312"/>
          <w:sz w:val="32"/>
        </w:rPr>
        <w:t>应提交的有关格式范例</w:t>
      </w:r>
    </w:p>
    <w:p>
      <w:pPr>
        <w:pStyle w:val="2"/>
        <w:keepNext w:val="0"/>
        <w:numPr>
          <w:ilvl w:val="0"/>
          <w:numId w:val="0"/>
        </w:numPr>
        <w:spacing w:line="460" w:lineRule="exact"/>
        <w:rPr>
          <w:rFonts w:hint="eastAsia"/>
          <w:color w:val="auto"/>
        </w:rPr>
      </w:pPr>
      <w:r>
        <w:rPr>
          <w:rFonts w:hint="eastAsia"/>
          <w:color w:val="auto"/>
        </w:rPr>
        <w:br w:type="page"/>
      </w:r>
      <w:bookmarkStart w:id="1" w:name="_Toc110672985"/>
      <w:bookmarkStart w:id="2" w:name="_Toc98493480"/>
      <w:r>
        <w:rPr>
          <w:rFonts w:hint="eastAsia"/>
          <w:color w:val="auto"/>
        </w:rPr>
        <w:t>第一部分  招标公告</w:t>
      </w:r>
      <w:bookmarkEnd w:id="1"/>
      <w:bookmarkEnd w:id="2"/>
    </w:p>
    <w:p>
      <w:pPr>
        <w:rPr>
          <w:rFonts w:hint="eastAsia" w:ascii="仿宋_GB2312" w:eastAsia="仿宋_GB2312"/>
        </w:rPr>
      </w:pPr>
      <w:r>
        <w:rPr>
          <w:rFonts w:hint="eastAsia" w:ascii="仿宋_GB2312" w:eastAsia="仿宋_GB2312"/>
        </w:rPr>
        <w:t xml:space="preserve"> </w:t>
      </w:r>
    </w:p>
    <w:p>
      <w:pPr>
        <w:autoSpaceDE w:val="0"/>
        <w:autoSpaceDN w:val="0"/>
        <w:adjustRightInd w:val="0"/>
        <w:spacing w:line="360" w:lineRule="exact"/>
        <w:ind w:firstLine="600" w:firstLineChars="250"/>
        <w:rPr>
          <w:rFonts w:hint="eastAsia" w:ascii="仿宋_GB2312" w:hAnsi="仿宋_GB2312" w:eastAsia="仿宋_GB2312" w:cs="仿宋_GB2312"/>
          <w:sz w:val="24"/>
        </w:rPr>
      </w:pPr>
      <w:r>
        <w:rPr>
          <w:rFonts w:hint="eastAsia" w:ascii="仿宋_GB2312" w:hAnsi="仿宋_GB2312" w:eastAsia="仿宋_GB2312" w:cs="仿宋_GB2312"/>
          <w:sz w:val="24"/>
        </w:rPr>
        <w:t>杭州市教育技术中心作为部门集中采购机构（以下简称采购机构）受委托，就“安防监控系统改造、监控设备项目”进行公开招标采购，欢迎国内合格的供应商前来投标。</w:t>
      </w:r>
    </w:p>
    <w:p>
      <w:pPr>
        <w:spacing w:line="360" w:lineRule="exact"/>
        <w:ind w:firstLine="480"/>
        <w:rPr>
          <w:rFonts w:hint="eastAsia" w:ascii="仿宋_GB2312" w:hAnsi="仿宋_GB2312" w:eastAsia="仿宋_GB2312" w:cs="仿宋_GB2312"/>
          <w:b/>
          <w:sz w:val="24"/>
        </w:rPr>
      </w:pPr>
      <w:r>
        <w:rPr>
          <w:rFonts w:hint="eastAsia" w:ascii="仿宋_GB2312" w:hAnsi="仿宋_GB2312" w:eastAsia="仿宋_GB2312" w:cs="仿宋_GB2312"/>
          <w:b/>
          <w:sz w:val="24"/>
        </w:rPr>
        <w:t>一、招标项目编号：</w:t>
      </w:r>
      <w:r>
        <w:rPr>
          <w:rFonts w:hint="eastAsia" w:ascii="仿宋_GB2312" w:hAnsi="仿宋_GB2312" w:eastAsia="仿宋_GB2312" w:cs="仿宋_GB2312"/>
          <w:sz w:val="24"/>
        </w:rPr>
        <w:t>HJZCD-2019-035</w:t>
      </w:r>
    </w:p>
    <w:p>
      <w:pPr>
        <w:autoSpaceDE w:val="0"/>
        <w:autoSpaceDN w:val="0"/>
        <w:adjustRightInd w:val="0"/>
        <w:spacing w:line="360" w:lineRule="exact"/>
        <w:ind w:firstLine="480"/>
        <w:rPr>
          <w:rFonts w:hint="eastAsia" w:ascii="仿宋_GB2312" w:hAnsi="仿宋_GB2312" w:eastAsia="仿宋_GB2312" w:cs="仿宋_GB2312"/>
          <w:sz w:val="24"/>
        </w:rPr>
      </w:pPr>
      <w:r>
        <w:rPr>
          <w:rFonts w:hint="eastAsia" w:ascii="仿宋_GB2312" w:hAnsi="仿宋_GB2312" w:eastAsia="仿宋_GB2312" w:cs="仿宋_GB2312"/>
          <w:b/>
          <w:sz w:val="24"/>
        </w:rPr>
        <w:t>二、采购人的采购需求：</w:t>
      </w:r>
      <w:r>
        <w:rPr>
          <w:rFonts w:hint="eastAsia" w:ascii="仿宋_GB2312" w:hAnsi="仿宋_GB2312" w:eastAsia="仿宋_GB2312" w:cs="仿宋_GB2312"/>
          <w:sz w:val="24"/>
        </w:rPr>
        <w:t xml:space="preserve"> </w:t>
      </w:r>
    </w:p>
    <w:p>
      <w:pPr>
        <w:autoSpaceDE w:val="0"/>
        <w:autoSpaceDN w:val="0"/>
        <w:adjustRightInd w:val="0"/>
        <w:spacing w:line="360" w:lineRule="exact"/>
        <w:ind w:firstLine="480"/>
        <w:rPr>
          <w:rFonts w:hint="eastAsia" w:ascii="仿宋_GB2312" w:hAnsi="仿宋_GB2312" w:eastAsia="仿宋_GB2312" w:cs="仿宋_GB2312"/>
          <w:sz w:val="24"/>
        </w:rPr>
      </w:pPr>
      <w:r>
        <w:rPr>
          <w:rFonts w:hint="eastAsia" w:ascii="仿宋_GB2312" w:hAnsi="仿宋_GB2312" w:eastAsia="仿宋_GB2312" w:cs="仿宋_GB2312"/>
          <w:sz w:val="24"/>
        </w:rPr>
        <w:t>安防监控系统改造、监控设备项目,</w:t>
      </w:r>
      <w:r>
        <w:rPr>
          <w:rFonts w:hint="eastAsia" w:ascii="仿宋_GB2312" w:eastAsia="仿宋_GB2312"/>
        </w:rPr>
        <w:t xml:space="preserve"> </w:t>
      </w:r>
      <w:r>
        <w:rPr>
          <w:rFonts w:hint="eastAsia" w:ascii="仿宋_GB2312" w:hAnsi="仿宋_GB2312" w:eastAsia="仿宋_GB2312" w:cs="仿宋_GB2312"/>
          <w:sz w:val="24"/>
        </w:rPr>
        <w:t>共分三个标项。</w:t>
      </w:r>
    </w:p>
    <w:p>
      <w:pPr>
        <w:autoSpaceDE w:val="0"/>
        <w:autoSpaceDN w:val="0"/>
        <w:adjustRightInd w:val="0"/>
        <w:spacing w:line="360" w:lineRule="exact"/>
        <w:ind w:firstLine="480"/>
        <w:rPr>
          <w:rFonts w:hint="eastAsia" w:ascii="仿宋_GB2312" w:hAnsi="仿宋_GB2312" w:eastAsia="仿宋_GB2312" w:cs="仿宋_GB2312"/>
          <w:sz w:val="24"/>
        </w:rPr>
      </w:pPr>
      <w:r>
        <w:rPr>
          <w:rFonts w:hint="eastAsia" w:ascii="仿宋_GB2312" w:hAnsi="仿宋_GB2312" w:eastAsia="仿宋_GB2312" w:cs="仿宋_GB2312"/>
          <w:sz w:val="24"/>
        </w:rPr>
        <w:t>第一标项：浙江省杭州学军中学西溪校区安防监控系统改造</w:t>
      </w:r>
    </w:p>
    <w:p>
      <w:pPr>
        <w:autoSpaceDE w:val="0"/>
        <w:autoSpaceDN w:val="0"/>
        <w:adjustRightInd w:val="0"/>
        <w:spacing w:line="360" w:lineRule="exact"/>
        <w:ind w:firstLine="480"/>
        <w:rPr>
          <w:rFonts w:hint="eastAsia" w:ascii="仿宋_GB2312" w:hAnsi="仿宋_GB2312" w:eastAsia="仿宋_GB2312" w:cs="仿宋_GB2312"/>
          <w:sz w:val="24"/>
        </w:rPr>
      </w:pPr>
      <w:r>
        <w:rPr>
          <w:rFonts w:hint="eastAsia" w:ascii="仿宋_GB2312" w:hAnsi="仿宋_GB2312" w:eastAsia="仿宋_GB2312" w:cs="仿宋_GB2312"/>
          <w:sz w:val="24"/>
        </w:rPr>
        <w:t>第二标项：浙江省杭州高级中学贡院校区监控设备</w:t>
      </w:r>
    </w:p>
    <w:p>
      <w:pPr>
        <w:autoSpaceDE w:val="0"/>
        <w:autoSpaceDN w:val="0"/>
        <w:adjustRightInd w:val="0"/>
        <w:spacing w:line="360" w:lineRule="exact"/>
        <w:ind w:firstLine="480"/>
        <w:rPr>
          <w:rFonts w:hint="eastAsia" w:ascii="仿宋_GB2312" w:hAnsi="仿宋_GB2312" w:eastAsia="仿宋_GB2312" w:cs="仿宋_GB2312"/>
          <w:sz w:val="24"/>
        </w:rPr>
      </w:pPr>
      <w:r>
        <w:rPr>
          <w:rFonts w:hint="eastAsia" w:ascii="仿宋_GB2312" w:hAnsi="仿宋_GB2312" w:eastAsia="仿宋_GB2312" w:cs="仿宋_GB2312"/>
          <w:sz w:val="24"/>
        </w:rPr>
        <w:t>第三标项：杭州市电子信息职业学校丁桥校区安防监控系统改造项目</w:t>
      </w:r>
    </w:p>
    <w:p>
      <w:pPr>
        <w:autoSpaceDE w:val="0"/>
        <w:autoSpaceDN w:val="0"/>
        <w:adjustRightInd w:val="0"/>
        <w:spacing w:line="360" w:lineRule="exact"/>
        <w:ind w:firstLine="480"/>
        <w:rPr>
          <w:rFonts w:hint="eastAsia" w:ascii="仿宋_GB2312" w:hAnsi="仿宋_GB2312" w:eastAsia="仿宋_GB2312" w:cs="仿宋_GB2312"/>
          <w:sz w:val="24"/>
          <w:lang w:val="zh-CN"/>
        </w:rPr>
      </w:pPr>
      <w:r>
        <w:rPr>
          <w:rFonts w:hint="eastAsia" w:ascii="仿宋_GB2312" w:hAnsi="仿宋_GB2312" w:eastAsia="仿宋_GB2312" w:cs="仿宋_GB2312"/>
          <w:sz w:val="24"/>
        </w:rPr>
        <w:t>具体包括：软硬件供货、安装调试、系统集成、运行维护、项目验收以及技术培训和不少于三年免费设备保修和售后现场技术服务。详见招标文件。投标人可以就上述项目的一个直至全部标项进行投标。</w:t>
      </w:r>
    </w:p>
    <w:p>
      <w:pPr>
        <w:spacing w:line="360" w:lineRule="exact"/>
        <w:ind w:firstLine="480"/>
        <w:rPr>
          <w:rFonts w:hint="eastAsia" w:ascii="仿宋_GB2312" w:hAnsi="仿宋_GB2312" w:eastAsia="仿宋_GB2312" w:cs="仿宋_GB2312"/>
          <w:b/>
          <w:sz w:val="24"/>
        </w:rPr>
      </w:pPr>
      <w:r>
        <w:rPr>
          <w:rFonts w:hint="eastAsia" w:ascii="仿宋_GB2312" w:hAnsi="仿宋_GB2312" w:eastAsia="仿宋_GB2312" w:cs="仿宋_GB2312"/>
          <w:b/>
          <w:sz w:val="24"/>
        </w:rPr>
        <w:t>三、合格的投标人应具备的资格要求：</w:t>
      </w:r>
    </w:p>
    <w:p>
      <w:pPr>
        <w:autoSpaceDE w:val="0"/>
        <w:autoSpaceDN w:val="0"/>
        <w:adjustRightInd w:val="0"/>
        <w:spacing w:line="360" w:lineRule="exact"/>
        <w:ind w:firstLine="480"/>
        <w:rPr>
          <w:rFonts w:hint="eastAsia" w:ascii="仿宋_GB2312" w:hAnsi="仿宋_GB2312" w:eastAsia="仿宋_GB2312" w:cs="仿宋_GB2312"/>
          <w:sz w:val="24"/>
        </w:rPr>
      </w:pPr>
      <w:r>
        <w:rPr>
          <w:rFonts w:hint="eastAsia" w:ascii="仿宋_GB2312" w:hAnsi="仿宋_GB2312" w:eastAsia="仿宋_GB2312" w:cs="仿宋_GB2312"/>
          <w:sz w:val="24"/>
        </w:rPr>
        <w:t>1、基本资格条件：</w:t>
      </w:r>
      <w:r>
        <w:rPr>
          <w:rFonts w:hint="eastAsia" w:ascii="仿宋_GB2312" w:hAnsi="仿宋_GB2312" w:eastAsia="仿宋_GB2312" w:cs="仿宋_GB2312"/>
          <w:sz w:val="24"/>
          <w:lang w:val="zh-CN"/>
        </w:rPr>
        <w:t>符合《中华人民共和国政府采购法》第二十二条的规定</w:t>
      </w:r>
      <w:r>
        <w:rPr>
          <w:rFonts w:hint="eastAsia" w:ascii="仿宋_GB2312" w:hAnsi="仿宋_GB2312" w:eastAsia="仿宋_GB2312" w:cs="仿宋_GB2312"/>
          <w:sz w:val="24"/>
        </w:rPr>
        <w:t xml:space="preserve">； </w:t>
      </w:r>
    </w:p>
    <w:p>
      <w:pPr>
        <w:autoSpaceDE w:val="0"/>
        <w:autoSpaceDN w:val="0"/>
        <w:adjustRightInd w:val="0"/>
        <w:spacing w:line="3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宋体" w:eastAsia="仿宋_GB2312" w:cs="Vrinda"/>
          <w:sz w:val="24"/>
        </w:rPr>
        <w:t>特定资格条件：</w:t>
      </w:r>
      <w:r>
        <w:rPr>
          <w:rFonts w:hint="eastAsia" w:ascii="仿宋_GB2312" w:hAnsi="宋体" w:eastAsia="仿宋_GB2312"/>
          <w:b/>
          <w:sz w:val="24"/>
        </w:rPr>
        <w:t>无。</w:t>
      </w:r>
    </w:p>
    <w:p>
      <w:pPr>
        <w:autoSpaceDE w:val="0"/>
        <w:autoSpaceDN w:val="0"/>
        <w:adjustRightInd w:val="0"/>
        <w:spacing w:line="360" w:lineRule="exact"/>
        <w:ind w:firstLine="482" w:firstLineChars="200"/>
        <w:rPr>
          <w:rFonts w:hint="eastAsia" w:ascii="仿宋_GB2312" w:hAnsi="仿宋_GB2312" w:eastAsia="仿宋_GB2312" w:cs="仿宋_GB2312"/>
          <w:b/>
          <w:sz w:val="24"/>
        </w:rPr>
      </w:pPr>
      <w:r>
        <w:rPr>
          <w:rFonts w:hint="eastAsia" w:ascii="仿宋_GB2312" w:hAnsi="仿宋_GB2312" w:eastAsia="仿宋_GB2312" w:cs="仿宋_GB2312"/>
          <w:b/>
          <w:sz w:val="24"/>
        </w:rPr>
        <w:t>四、供应商报名时间及地点等：</w:t>
      </w:r>
    </w:p>
    <w:p>
      <w:pPr>
        <w:autoSpaceDE w:val="0"/>
        <w:autoSpaceDN w:val="0"/>
        <w:adjustRightInd w:val="0"/>
        <w:spacing w:line="360" w:lineRule="exact"/>
        <w:ind w:firstLine="482" w:firstLineChars="200"/>
        <w:rPr>
          <w:rFonts w:hint="eastAsia" w:ascii="仿宋_GB2312" w:hAnsi="仿宋_GB2312" w:eastAsia="仿宋_GB2312" w:cs="仿宋_GB2312"/>
          <w:b/>
          <w:sz w:val="24"/>
        </w:rPr>
      </w:pPr>
      <w:r>
        <w:rPr>
          <w:rFonts w:hint="eastAsia" w:ascii="仿宋_GB2312" w:hAnsi="仿宋_GB2312" w:eastAsia="仿宋_GB2312" w:cs="仿宋_GB2312"/>
          <w:b/>
          <w:sz w:val="24"/>
        </w:rPr>
        <w:t>时间：2019年6月6日</w:t>
      </w:r>
      <w:r>
        <w:rPr>
          <w:rFonts w:hint="eastAsia" w:ascii="仿宋_GB2312" w:hAnsi="仿宋_GB2312" w:eastAsia="仿宋_GB2312" w:cs="仿宋_GB2312"/>
          <w:sz w:val="24"/>
        </w:rPr>
        <w:t>至</w:t>
      </w:r>
      <w:r>
        <w:rPr>
          <w:rFonts w:hint="eastAsia" w:ascii="仿宋_GB2312" w:hAnsi="仿宋_GB2312" w:eastAsia="仿宋_GB2312" w:cs="仿宋_GB2312"/>
          <w:b/>
          <w:sz w:val="24"/>
        </w:rPr>
        <w:t>2019年6月18日（双休日及法定节假日除外）</w:t>
      </w:r>
    </w:p>
    <w:p>
      <w:pPr>
        <w:autoSpaceDE w:val="0"/>
        <w:autoSpaceDN w:val="0"/>
        <w:adjustRightInd w:val="0"/>
        <w:spacing w:line="3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上午：8：30-11：30</w:t>
      </w:r>
    </w:p>
    <w:p>
      <w:pPr>
        <w:autoSpaceDE w:val="0"/>
        <w:autoSpaceDN w:val="0"/>
        <w:adjustRightInd w:val="0"/>
        <w:spacing w:line="3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下午：13：30-16：30</w:t>
      </w:r>
    </w:p>
    <w:p>
      <w:pPr>
        <w:autoSpaceDE w:val="0"/>
        <w:autoSpaceDN w:val="0"/>
        <w:adjustRightInd w:val="0"/>
        <w:spacing w:line="3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bCs/>
          <w:sz w:val="24"/>
        </w:rPr>
        <w:t>地点：杭</w:t>
      </w:r>
      <w:r>
        <w:rPr>
          <w:rFonts w:hint="eastAsia" w:ascii="仿宋_GB2312" w:hAnsi="仿宋_GB2312" w:eastAsia="仿宋_GB2312" w:cs="仿宋_GB2312"/>
          <w:sz w:val="24"/>
        </w:rPr>
        <w:t>州市教育技术综合楼九楼技术装备科一（杭州市下城区东新路重机巷56号）。</w:t>
      </w:r>
    </w:p>
    <w:p>
      <w:pPr>
        <w:autoSpaceDE w:val="0"/>
        <w:autoSpaceDN w:val="0"/>
        <w:adjustRightInd w:val="0"/>
        <w:spacing w:line="3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投标文件售价：免费领取</w:t>
      </w:r>
    </w:p>
    <w:p>
      <w:pPr>
        <w:autoSpaceDE w:val="0"/>
        <w:autoSpaceDN w:val="0"/>
        <w:adjustRightInd w:val="0"/>
        <w:spacing w:line="360" w:lineRule="exact"/>
        <w:ind w:firstLine="482" w:firstLineChars="200"/>
        <w:rPr>
          <w:rFonts w:hint="eastAsia" w:ascii="仿宋_GB2312" w:hAnsi="仿宋_GB2312" w:eastAsia="仿宋_GB2312" w:cs="仿宋_GB2312"/>
          <w:b/>
          <w:sz w:val="24"/>
        </w:rPr>
      </w:pPr>
      <w:r>
        <w:rPr>
          <w:rFonts w:hint="eastAsia" w:ascii="仿宋_GB2312" w:hAnsi="仿宋_GB2312" w:eastAsia="仿宋_GB2312" w:cs="仿宋_GB2312"/>
          <w:b/>
          <w:sz w:val="24"/>
        </w:rPr>
        <w:t>五、投标截止时间：2019年6月27日9:00</w:t>
      </w:r>
    </w:p>
    <w:p>
      <w:pPr>
        <w:spacing w:line="360" w:lineRule="exact"/>
        <w:ind w:firstLine="482" w:firstLineChars="200"/>
        <w:rPr>
          <w:rFonts w:hint="eastAsia" w:ascii="仿宋_GB2312" w:hAnsi="仿宋_GB2312" w:eastAsia="仿宋_GB2312" w:cs="仿宋_GB2312"/>
          <w:kern w:val="0"/>
          <w:sz w:val="15"/>
          <w:szCs w:val="15"/>
        </w:rPr>
      </w:pPr>
      <w:r>
        <w:rPr>
          <w:rFonts w:hint="eastAsia" w:ascii="仿宋_GB2312" w:hAnsi="仿宋_GB2312" w:eastAsia="仿宋_GB2312" w:cs="仿宋_GB2312"/>
          <w:b/>
          <w:sz w:val="24"/>
        </w:rPr>
        <w:t>六、投标地点：</w:t>
      </w:r>
      <w:r>
        <w:rPr>
          <w:rFonts w:hint="eastAsia" w:ascii="仿宋_GB2312" w:hAnsi="仿宋_GB2312" w:eastAsia="仿宋_GB2312" w:cs="仿宋_GB2312"/>
          <w:sz w:val="24"/>
        </w:rPr>
        <w:t>杭州市教育技术综合楼十楼开标室（杭州市下城区东新路重机巷56号）。</w:t>
      </w:r>
    </w:p>
    <w:p>
      <w:pPr>
        <w:spacing w:line="360" w:lineRule="exact"/>
        <w:ind w:firstLine="482" w:firstLineChars="200"/>
        <w:rPr>
          <w:rFonts w:hint="eastAsia" w:ascii="仿宋_GB2312" w:hAnsi="仿宋_GB2312" w:eastAsia="仿宋_GB2312" w:cs="仿宋_GB2312"/>
          <w:b/>
          <w:sz w:val="24"/>
        </w:rPr>
      </w:pPr>
      <w:r>
        <w:rPr>
          <w:rFonts w:hint="eastAsia" w:ascii="仿宋_GB2312" w:hAnsi="仿宋_GB2312" w:eastAsia="仿宋_GB2312" w:cs="仿宋_GB2312"/>
          <w:b/>
          <w:sz w:val="24"/>
        </w:rPr>
        <w:t>七、开标时间：2019年6月27日9:00</w:t>
      </w:r>
    </w:p>
    <w:p>
      <w:pPr>
        <w:spacing w:line="360" w:lineRule="exact"/>
        <w:ind w:firstLine="482" w:firstLineChars="200"/>
        <w:rPr>
          <w:rFonts w:hint="eastAsia" w:ascii="仿宋_GB2312" w:hAnsi="仿宋_GB2312" w:eastAsia="仿宋_GB2312" w:cs="仿宋_GB2312"/>
          <w:sz w:val="24"/>
        </w:rPr>
      </w:pPr>
      <w:r>
        <w:rPr>
          <w:rFonts w:hint="eastAsia" w:ascii="仿宋_GB2312" w:hAnsi="仿宋_GB2312" w:eastAsia="仿宋_GB2312" w:cs="仿宋_GB2312"/>
          <w:b/>
          <w:sz w:val="24"/>
        </w:rPr>
        <w:t>八、开标地点：</w:t>
      </w:r>
      <w:r>
        <w:rPr>
          <w:rFonts w:hint="eastAsia" w:ascii="仿宋_GB2312" w:hAnsi="仿宋_GB2312" w:eastAsia="仿宋_GB2312" w:cs="仿宋_GB2312"/>
          <w:sz w:val="24"/>
        </w:rPr>
        <w:t>杭州市教育技术综合楼十楼开标室（杭州市下城区东新路重机巷56号）</w:t>
      </w:r>
    </w:p>
    <w:p>
      <w:pPr>
        <w:spacing w:line="360" w:lineRule="exact"/>
        <w:ind w:firstLine="472" w:firstLineChars="196"/>
        <w:rPr>
          <w:rFonts w:hint="eastAsia" w:ascii="仿宋_GB2312" w:hAnsi="Courier New" w:eastAsia="仿宋_GB2312"/>
          <w:b/>
          <w:sz w:val="24"/>
          <w:szCs w:val="24"/>
          <w:lang w:val="zh-CN"/>
        </w:rPr>
      </w:pPr>
      <w:r>
        <w:rPr>
          <w:rFonts w:hint="eastAsia" w:ascii="仿宋_GB2312" w:hAnsi="Courier New" w:eastAsia="仿宋_GB2312"/>
          <w:b/>
          <w:sz w:val="24"/>
          <w:szCs w:val="24"/>
          <w:lang w:val="zh-CN"/>
        </w:rPr>
        <w:t>九、采购预算：</w:t>
      </w:r>
    </w:p>
    <w:p>
      <w:pPr>
        <w:spacing w:line="360" w:lineRule="exact"/>
        <w:ind w:firstLine="482" w:firstLineChars="200"/>
        <w:rPr>
          <w:rFonts w:hint="eastAsia" w:ascii="仿宋_GB2312" w:eastAsia="仿宋_GB2312"/>
          <w:b/>
          <w:sz w:val="24"/>
          <w:szCs w:val="24"/>
          <w:lang w:val="zh-CN"/>
        </w:rPr>
      </w:pPr>
      <w:r>
        <w:rPr>
          <w:rFonts w:hint="eastAsia" w:ascii="仿宋_GB2312" w:eastAsia="仿宋_GB2312"/>
          <w:b/>
          <w:sz w:val="24"/>
          <w:szCs w:val="24"/>
          <w:lang w:val="zh-CN"/>
        </w:rPr>
        <w:t xml:space="preserve">第一标项采购预算不超过人民币280万元 </w:t>
      </w:r>
    </w:p>
    <w:p>
      <w:pPr>
        <w:spacing w:line="360" w:lineRule="exact"/>
        <w:ind w:firstLine="482" w:firstLineChars="200"/>
        <w:rPr>
          <w:rFonts w:hint="eastAsia" w:ascii="仿宋_GB2312" w:eastAsia="仿宋_GB2312"/>
          <w:b/>
          <w:sz w:val="24"/>
          <w:szCs w:val="24"/>
          <w:lang w:val="zh-CN"/>
        </w:rPr>
      </w:pPr>
      <w:r>
        <w:rPr>
          <w:rFonts w:hint="eastAsia" w:ascii="仿宋_GB2312" w:eastAsia="仿宋_GB2312"/>
          <w:b/>
          <w:sz w:val="24"/>
          <w:szCs w:val="24"/>
          <w:lang w:val="zh-CN"/>
        </w:rPr>
        <w:t xml:space="preserve">第二标项采购预算不超过人民币89万元 </w:t>
      </w:r>
    </w:p>
    <w:p>
      <w:pPr>
        <w:spacing w:line="360" w:lineRule="exact"/>
        <w:ind w:firstLine="482" w:firstLineChars="200"/>
        <w:rPr>
          <w:rFonts w:hint="eastAsia" w:ascii="仿宋_GB2312" w:eastAsia="仿宋_GB2312"/>
          <w:b/>
          <w:sz w:val="24"/>
          <w:szCs w:val="24"/>
          <w:lang w:val="zh-CN"/>
        </w:rPr>
      </w:pPr>
      <w:r>
        <w:rPr>
          <w:rFonts w:hint="eastAsia" w:ascii="仿宋_GB2312" w:eastAsia="仿宋_GB2312"/>
          <w:b/>
          <w:sz w:val="24"/>
          <w:szCs w:val="24"/>
          <w:lang w:val="zh-CN"/>
        </w:rPr>
        <w:t xml:space="preserve">第三标项采购预算不超过人民币170.56万元 </w:t>
      </w:r>
    </w:p>
    <w:p>
      <w:pPr>
        <w:spacing w:line="360" w:lineRule="exact"/>
        <w:ind w:firstLine="482" w:firstLineChars="200"/>
        <w:rPr>
          <w:rFonts w:hint="eastAsia" w:ascii="仿宋_GB2312" w:hAnsi="仿宋_GB2312" w:eastAsia="仿宋_GB2312" w:cs="仿宋_GB2312"/>
          <w:b/>
          <w:sz w:val="24"/>
        </w:rPr>
      </w:pPr>
      <w:r>
        <w:rPr>
          <w:rFonts w:hint="eastAsia" w:ascii="仿宋_GB2312" w:hAnsi="仿宋_GB2312" w:eastAsia="仿宋_GB2312" w:cs="仿宋_GB2312"/>
          <w:b/>
          <w:sz w:val="24"/>
        </w:rPr>
        <w:t>十、其他事项：</w:t>
      </w:r>
    </w:p>
    <w:p>
      <w:pPr>
        <w:autoSpaceDE w:val="0"/>
        <w:autoSpaceDN w:val="0"/>
        <w:adjustRightInd w:val="0"/>
        <w:spacing w:line="360" w:lineRule="exact"/>
        <w:ind w:firstLine="482" w:firstLineChars="200"/>
        <w:rPr>
          <w:rFonts w:hint="eastAsia" w:ascii="仿宋_GB2312" w:hAnsi="仿宋_GB2312" w:eastAsia="仿宋_GB2312" w:cs="仿宋_GB2312"/>
          <w:sz w:val="24"/>
        </w:rPr>
      </w:pPr>
      <w:r>
        <w:rPr>
          <w:rFonts w:hint="eastAsia" w:ascii="仿宋_GB2312" w:hAnsi="仿宋_GB2312" w:eastAsia="仿宋_GB2312" w:cs="仿宋_GB2312"/>
          <w:b/>
          <w:sz w:val="24"/>
          <w:szCs w:val="24"/>
        </w:rPr>
        <w:t>1.本项目接受联合体投标。</w:t>
      </w:r>
    </w:p>
    <w:p>
      <w:pPr>
        <w:autoSpaceDE w:val="0"/>
        <w:autoSpaceDN w:val="0"/>
        <w:adjustRightInd w:val="0"/>
        <w:spacing w:line="360" w:lineRule="exact"/>
        <w:ind w:firstLine="480" w:firstLineChars="200"/>
        <w:rPr>
          <w:rFonts w:hint="eastAsia" w:ascii="仿宋_GB2312" w:eastAsia="仿宋_GB2312"/>
          <w:sz w:val="24"/>
        </w:rPr>
      </w:pPr>
      <w:r>
        <w:rPr>
          <w:rFonts w:hint="eastAsia" w:ascii="仿宋_GB2312" w:eastAsia="仿宋_GB2312"/>
          <w:sz w:val="24"/>
        </w:rPr>
        <w:t>2.采购人联系方式：</w:t>
      </w:r>
    </w:p>
    <w:p>
      <w:pPr>
        <w:ind w:firstLine="360" w:firstLineChars="150"/>
        <w:rPr>
          <w:rFonts w:hint="eastAsia" w:ascii="仿宋_GB2312" w:eastAsia="仿宋_GB2312"/>
          <w:sz w:val="24"/>
        </w:rPr>
      </w:pPr>
      <w:r>
        <w:rPr>
          <w:rFonts w:hint="eastAsia" w:ascii="仿宋_GB2312" w:eastAsia="仿宋_GB2312"/>
          <w:sz w:val="24"/>
        </w:rPr>
        <w:t>浙江省杭州学军中学，联系人：高老师，联系电话：13157125558</w:t>
      </w:r>
    </w:p>
    <w:p>
      <w:pPr>
        <w:ind w:firstLine="360" w:firstLineChars="150"/>
        <w:rPr>
          <w:rFonts w:hint="eastAsia" w:ascii="仿宋_GB2312" w:eastAsia="仿宋_GB2312"/>
          <w:sz w:val="24"/>
        </w:rPr>
      </w:pPr>
      <w:r>
        <w:rPr>
          <w:rFonts w:hint="eastAsia" w:ascii="仿宋_GB2312" w:hAnsi="仿宋_GB2312" w:eastAsia="仿宋_GB2312" w:cs="仿宋_GB2312"/>
          <w:sz w:val="24"/>
        </w:rPr>
        <w:t>浙江省杭州高级中学</w:t>
      </w:r>
      <w:r>
        <w:rPr>
          <w:rFonts w:hint="eastAsia" w:ascii="仿宋_GB2312" w:eastAsia="仿宋_GB2312"/>
          <w:sz w:val="24"/>
        </w:rPr>
        <w:t>，联系人：何老师，联系电话：18957123993</w:t>
      </w:r>
    </w:p>
    <w:p>
      <w:pPr>
        <w:ind w:firstLine="360" w:firstLineChars="150"/>
        <w:rPr>
          <w:rFonts w:hint="eastAsia" w:ascii="仿宋_GB2312" w:eastAsia="仿宋_GB2312"/>
          <w:sz w:val="24"/>
        </w:rPr>
      </w:pPr>
      <w:r>
        <w:rPr>
          <w:rFonts w:hint="eastAsia" w:ascii="仿宋_GB2312" w:eastAsia="仿宋_GB2312"/>
          <w:sz w:val="24"/>
        </w:rPr>
        <w:t>杭州市电子信息职业学校，联系人：曾老师，联系电话：18958078252</w:t>
      </w:r>
    </w:p>
    <w:p>
      <w:pPr>
        <w:autoSpaceDE w:val="0"/>
        <w:autoSpaceDN w:val="0"/>
        <w:adjustRightInd w:val="0"/>
        <w:spacing w:line="360" w:lineRule="exact"/>
        <w:ind w:firstLine="480" w:firstLineChars="200"/>
        <w:rPr>
          <w:rFonts w:hint="eastAsia" w:ascii="仿宋_GB2312" w:eastAsia="仿宋_GB2312"/>
          <w:sz w:val="24"/>
        </w:rPr>
      </w:pPr>
      <w:r>
        <w:rPr>
          <w:rFonts w:hint="eastAsia" w:ascii="仿宋_GB2312" w:eastAsia="仿宋_GB2312"/>
          <w:sz w:val="24"/>
        </w:rPr>
        <w:t>3.网上在线报名：网上报名网站为浙江政府采购云平台，网址</w:t>
      </w:r>
      <w:r>
        <w:rPr>
          <w:rFonts w:hint="eastAsia" w:ascii="仿宋_GB2312" w:eastAsia="仿宋_GB2312"/>
          <w:sz w:val="24"/>
        </w:rPr>
        <w:fldChar w:fldCharType="begin"/>
      </w:r>
      <w:r>
        <w:rPr>
          <w:rFonts w:hint="eastAsia" w:ascii="仿宋_GB2312" w:eastAsia="仿宋_GB2312"/>
          <w:sz w:val="24"/>
        </w:rPr>
        <w:instrText xml:space="preserve"> HYPERLINK "http://zcy.gov.cn/" </w:instrText>
      </w:r>
      <w:r>
        <w:rPr>
          <w:rFonts w:hint="eastAsia" w:ascii="仿宋_GB2312" w:eastAsia="仿宋_GB2312"/>
          <w:sz w:val="24"/>
        </w:rPr>
        <w:fldChar w:fldCharType="separate"/>
      </w:r>
      <w:r>
        <w:rPr>
          <w:rFonts w:hint="eastAsia" w:ascii="仿宋_GB2312" w:eastAsia="仿宋_GB2312"/>
          <w:sz w:val="24"/>
        </w:rPr>
        <w:t>http://zcy.gov.cn/</w:t>
      </w:r>
      <w:r>
        <w:rPr>
          <w:rFonts w:hint="eastAsia" w:ascii="仿宋_GB2312" w:eastAsia="仿宋_GB2312"/>
          <w:sz w:val="24"/>
        </w:rPr>
        <w:fldChar w:fldCharType="end"/>
      </w:r>
      <w:r>
        <w:rPr>
          <w:rFonts w:hint="eastAsia" w:ascii="仿宋_GB2312" w:eastAsia="仿宋_GB2312"/>
          <w:sz w:val="24"/>
        </w:rPr>
        <w:t>。</w:t>
      </w:r>
    </w:p>
    <w:p>
      <w:pPr>
        <w:autoSpaceDE w:val="0"/>
        <w:autoSpaceDN w:val="0"/>
        <w:adjustRightInd w:val="0"/>
        <w:spacing w:line="360" w:lineRule="exact"/>
        <w:ind w:firstLine="480" w:firstLineChars="200"/>
        <w:rPr>
          <w:rFonts w:hint="eastAsia" w:ascii="仿宋_GB2312" w:eastAsia="仿宋_GB2312"/>
          <w:sz w:val="24"/>
        </w:rPr>
      </w:pPr>
      <w:r>
        <w:rPr>
          <w:rFonts w:hint="eastAsia" w:ascii="仿宋_GB2312" w:eastAsia="仿宋_GB2312"/>
          <w:sz w:val="24"/>
        </w:rPr>
        <w:t>4.招标文件领取截止时间之后有潜在供应商提出要求获取招标文件的，采购机构将允许其获取，但该供应商如对招标文件有异议的，应于自招标文件领取截止时间之日起七个工作日内以书面形式向采购机构提出。</w:t>
      </w:r>
    </w:p>
    <w:p>
      <w:pPr>
        <w:autoSpaceDE w:val="0"/>
        <w:autoSpaceDN w:val="0"/>
        <w:adjustRightInd w:val="0"/>
        <w:spacing w:line="360" w:lineRule="exact"/>
        <w:ind w:firstLine="480" w:firstLineChars="200"/>
        <w:rPr>
          <w:rFonts w:hint="eastAsia" w:ascii="仿宋_GB2312" w:eastAsia="仿宋_GB2312"/>
          <w:sz w:val="24"/>
        </w:rPr>
      </w:pPr>
      <w:r>
        <w:rPr>
          <w:rFonts w:hint="eastAsia" w:ascii="仿宋_GB2312" w:eastAsia="仿宋_GB2312"/>
          <w:sz w:val="24"/>
        </w:rPr>
        <w:t>5.供应商认为招标文件、采购过程和中标、成交结果使自己的权益受到损害的，可以在知道或者应知其权益受到损害之日起七个工作日内，以书面形式向采购机构提出质疑。</w:t>
      </w:r>
    </w:p>
    <w:p>
      <w:pPr>
        <w:autoSpaceDE w:val="0"/>
        <w:autoSpaceDN w:val="0"/>
        <w:adjustRightInd w:val="0"/>
        <w:spacing w:line="360" w:lineRule="exact"/>
        <w:ind w:firstLine="480" w:firstLineChars="200"/>
        <w:rPr>
          <w:rFonts w:hint="eastAsia" w:ascii="仿宋_GB2312" w:eastAsia="仿宋_GB2312"/>
          <w:sz w:val="24"/>
        </w:rPr>
      </w:pPr>
      <w:r>
        <w:rPr>
          <w:rFonts w:hint="eastAsia" w:ascii="仿宋_GB2312" w:eastAsia="仿宋_GB2312"/>
          <w:sz w:val="24"/>
        </w:rPr>
        <w:t>6.供应商对采购机构的质疑答复不满意或者采购机构未在规定时间内作出答复的，可以在答复期满后十五个工作日内向同级政府采购监督管理部门投诉。</w:t>
      </w:r>
    </w:p>
    <w:p>
      <w:pPr>
        <w:autoSpaceDE w:val="0"/>
        <w:autoSpaceDN w:val="0"/>
        <w:adjustRightInd w:val="0"/>
        <w:spacing w:line="360" w:lineRule="exact"/>
        <w:ind w:firstLine="480" w:firstLineChars="200"/>
        <w:rPr>
          <w:rFonts w:hint="eastAsia" w:ascii="仿宋_GB2312" w:eastAsia="仿宋_GB2312"/>
          <w:sz w:val="24"/>
        </w:rPr>
      </w:pPr>
      <w:r>
        <w:rPr>
          <w:rFonts w:hint="eastAsia" w:ascii="仿宋_GB2312" w:eastAsia="仿宋_GB2312"/>
          <w:sz w:val="24"/>
        </w:rPr>
        <w:t>7.质疑受理地点：杭州市教育技术综合楼九楼技术装备科一（杭州市下城区东新路重机巷56号）；联系人：吴老师；联系电话：0571-85886279。</w:t>
      </w:r>
    </w:p>
    <w:p>
      <w:pPr>
        <w:autoSpaceDE w:val="0"/>
        <w:autoSpaceDN w:val="0"/>
        <w:adjustRightInd w:val="0"/>
        <w:spacing w:line="360" w:lineRule="exact"/>
        <w:ind w:firstLine="480" w:firstLineChars="200"/>
        <w:rPr>
          <w:rFonts w:hint="eastAsia" w:ascii="仿宋_GB2312" w:eastAsia="仿宋_GB2312"/>
          <w:sz w:val="24"/>
        </w:rPr>
      </w:pPr>
      <w:r>
        <w:rPr>
          <w:rFonts w:hint="eastAsia" w:ascii="仿宋_GB2312" w:eastAsia="仿宋_GB2312"/>
          <w:sz w:val="24"/>
        </w:rPr>
        <w:t>8.同级政府采购监督管理部门：杭州市财政局，监督电话：0571－87715261。</w:t>
      </w:r>
    </w:p>
    <w:p>
      <w:pPr>
        <w:autoSpaceDE w:val="0"/>
        <w:autoSpaceDN w:val="0"/>
        <w:adjustRightInd w:val="0"/>
        <w:spacing w:line="360" w:lineRule="exact"/>
        <w:ind w:firstLine="482" w:firstLineChars="200"/>
        <w:rPr>
          <w:rFonts w:hint="eastAsia" w:ascii="仿宋_GB2312" w:hAnsi="仿宋_GB2312" w:eastAsia="仿宋_GB2312" w:cs="仿宋_GB2312"/>
          <w:sz w:val="24"/>
        </w:rPr>
      </w:pPr>
      <w:r>
        <w:rPr>
          <w:rFonts w:hint="eastAsia" w:ascii="仿宋_GB2312" w:hAnsi="仿宋_GB2312" w:eastAsia="仿宋_GB2312" w:cs="仿宋_GB2312"/>
          <w:b/>
          <w:sz w:val="24"/>
        </w:rPr>
        <w:t>十一、联系方式：</w:t>
      </w:r>
    </w:p>
    <w:p>
      <w:pPr>
        <w:autoSpaceDE w:val="0"/>
        <w:autoSpaceDN w:val="0"/>
        <w:adjustRightInd w:val="0"/>
        <w:spacing w:line="3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采购代理机构名称：杭州市教育技术中心</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　　地点：杭州市下城区东新路重机巷56号</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　　联系人：杨老师</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　　联系电话：0571-85886279</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 xml:space="preserve">　　传真：0571-85886270 </w:t>
      </w:r>
    </w:p>
    <w:p>
      <w:pPr>
        <w:spacing w:line="360" w:lineRule="exact"/>
        <w:ind w:right="360" w:firstLine="480"/>
        <w:jc w:val="right"/>
        <w:rPr>
          <w:rFonts w:hint="eastAsia" w:ascii="仿宋_GB2312" w:hAnsi="仿宋_GB2312" w:eastAsia="仿宋_GB2312" w:cs="仿宋_GB2312"/>
          <w:sz w:val="24"/>
        </w:rPr>
      </w:pPr>
    </w:p>
    <w:p>
      <w:pPr>
        <w:spacing w:line="360" w:lineRule="exact"/>
        <w:ind w:right="360" w:firstLine="480"/>
        <w:jc w:val="right"/>
        <w:rPr>
          <w:rFonts w:hint="eastAsia" w:ascii="仿宋_GB2312" w:hAnsi="仿宋_GB2312" w:eastAsia="仿宋_GB2312" w:cs="仿宋_GB2312"/>
          <w:sz w:val="24"/>
        </w:rPr>
      </w:pPr>
      <w:r>
        <w:rPr>
          <w:rFonts w:hint="eastAsia" w:ascii="仿宋_GB2312" w:hAnsi="仿宋_GB2312" w:eastAsia="仿宋_GB2312" w:cs="仿宋_GB2312"/>
          <w:sz w:val="24"/>
        </w:rPr>
        <w:t>杭州市教育技术中心</w:t>
      </w:r>
    </w:p>
    <w:p>
      <w:pPr>
        <w:wordWrap w:val="0"/>
        <w:spacing w:line="360" w:lineRule="exact"/>
        <w:ind w:right="240" w:firstLine="480"/>
        <w:jc w:val="right"/>
        <w:rPr>
          <w:rFonts w:hint="eastAsia" w:ascii="仿宋_GB2312" w:hAnsi="仿宋_GB2312" w:eastAsia="仿宋_GB2312" w:cs="仿宋_GB2312"/>
          <w:sz w:val="24"/>
        </w:rPr>
      </w:pPr>
      <w:r>
        <w:rPr>
          <w:rFonts w:hint="eastAsia" w:ascii="仿宋_GB2312" w:hAnsi="仿宋_GB2312" w:eastAsia="仿宋_GB2312" w:cs="仿宋_GB2312"/>
          <w:sz w:val="24"/>
        </w:rPr>
        <w:t xml:space="preserve">2019年6月6日 </w:t>
      </w:r>
    </w:p>
    <w:p>
      <w:pPr>
        <w:spacing w:line="360" w:lineRule="exact"/>
        <w:ind w:right="240" w:firstLine="480"/>
        <w:jc w:val="right"/>
        <w:rPr>
          <w:rFonts w:hint="eastAsia" w:ascii="仿宋_GB2312" w:eastAsia="仿宋_GB2312"/>
          <w:sz w:val="24"/>
        </w:rPr>
      </w:pPr>
      <w:r>
        <w:rPr>
          <w:rFonts w:hint="eastAsia" w:ascii="仿宋_GB2312" w:hAnsi="仿宋_GB2312" w:eastAsia="仿宋_GB2312" w:cs="仿宋_GB2312"/>
          <w:sz w:val="24"/>
        </w:rPr>
        <w:t xml:space="preserve"> </w:t>
      </w:r>
      <w:r>
        <w:rPr>
          <w:rFonts w:hint="eastAsia" w:ascii="仿宋_GB2312" w:eastAsia="仿宋_GB2312"/>
          <w:sz w:val="24"/>
        </w:rPr>
        <w:t xml:space="preserve"> </w:t>
      </w:r>
    </w:p>
    <w:p>
      <w:pPr>
        <w:jc w:val="center"/>
        <w:rPr>
          <w:rFonts w:hint="eastAsia" w:ascii="仿宋_GB2312" w:eastAsia="仿宋_GB2312"/>
          <w:b/>
          <w:sz w:val="36"/>
        </w:rPr>
      </w:pPr>
      <w:r>
        <w:rPr>
          <w:rFonts w:hint="eastAsia" w:ascii="仿宋_GB2312" w:eastAsia="仿宋_GB2312"/>
        </w:rPr>
        <w:br w:type="page"/>
      </w:r>
      <w:bookmarkStart w:id="3" w:name="_Toc80157758"/>
      <w:bookmarkStart w:id="4" w:name="_Toc81372946"/>
      <w:bookmarkStart w:id="5" w:name="_Toc81372984"/>
      <w:bookmarkStart w:id="6" w:name="_Toc81372769"/>
    </w:p>
    <w:p>
      <w:pPr>
        <w:pStyle w:val="34"/>
        <w:spacing w:line="360" w:lineRule="auto"/>
        <w:jc w:val="center"/>
        <w:rPr>
          <w:rFonts w:hint="eastAsia" w:ascii="仿宋_GB2312" w:hAnsi="仿宋" w:eastAsia="仿宋_GB2312" w:cs="仿宋_GB2312"/>
          <w:b/>
          <w:sz w:val="36"/>
        </w:rPr>
      </w:pPr>
      <w:r>
        <w:rPr>
          <w:rFonts w:hint="eastAsia" w:ascii="仿宋_GB2312" w:hAnsi="仿宋" w:eastAsia="仿宋_GB2312" w:cs="仿宋_GB2312"/>
          <w:b/>
          <w:sz w:val="36"/>
        </w:rPr>
        <w:t>第二部分 投标人须知</w:t>
      </w:r>
      <w:bookmarkEnd w:id="3"/>
      <w:bookmarkEnd w:id="4"/>
      <w:bookmarkEnd w:id="5"/>
      <w:bookmarkEnd w:id="6"/>
    </w:p>
    <w:p>
      <w:pPr>
        <w:pStyle w:val="34"/>
        <w:spacing w:line="360" w:lineRule="auto"/>
        <w:jc w:val="center"/>
        <w:rPr>
          <w:rFonts w:hint="eastAsia" w:ascii="仿宋_GB2312" w:eastAsia="仿宋_GB2312"/>
          <w:b/>
          <w:sz w:val="28"/>
        </w:rPr>
      </w:pPr>
      <w:r>
        <w:rPr>
          <w:rFonts w:hint="eastAsia" w:ascii="仿宋_GB2312" w:eastAsia="仿宋_GB2312"/>
          <w:b/>
          <w:sz w:val="28"/>
        </w:rPr>
        <w:t>前 附 表</w:t>
      </w:r>
    </w:p>
    <w:p>
      <w:pPr>
        <w:pStyle w:val="3"/>
        <w:keepNext w:val="0"/>
        <w:numPr>
          <w:ilvl w:val="0"/>
          <w:numId w:val="0"/>
        </w:numPr>
        <w:spacing w:line="460" w:lineRule="exact"/>
        <w:ind w:left="3119"/>
        <w:jc w:val="center"/>
        <w:rPr>
          <w:rFonts w:hint="eastAsia"/>
          <w:b/>
          <w:sz w:val="32"/>
        </w:rPr>
      </w:pPr>
      <w:bookmarkStart w:id="7" w:name="_Toc81372770"/>
      <w:bookmarkStart w:id="8" w:name="_Toc80157759"/>
      <w:bookmarkStart w:id="9" w:name="_Toc81372947"/>
      <w:bookmarkStart w:id="10" w:name="_Toc81372985"/>
    </w:p>
    <w:tbl>
      <w:tblPr>
        <w:tblStyle w:val="64"/>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37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wBefore w:w="0" w:type="dxa"/>
          <w:wAfter w:w="0" w:type="dxa"/>
          <w:trHeight w:val="97" w:hRule="atLeast"/>
          <w:tblHeader/>
        </w:trPr>
        <w:tc>
          <w:tcPr>
            <w:tcW w:w="629" w:type="dxa"/>
            <w:tcBorders>
              <w:top w:val="single" w:color="auto" w:sz="4" w:space="0"/>
              <w:left w:val="single" w:color="auto" w:sz="4" w:space="0"/>
              <w:bottom w:val="single" w:color="auto" w:sz="4" w:space="0"/>
              <w:right w:val="single" w:color="auto" w:sz="4" w:space="0"/>
            </w:tcBorders>
            <w:noWrap w:val="0"/>
            <w:vAlign w:val="top"/>
          </w:tcPr>
          <w:p>
            <w:pPr>
              <w:widowControl w:val="0"/>
              <w:adjustRightInd w:val="0"/>
              <w:snapToGrid w:val="0"/>
              <w:spacing w:line="360" w:lineRule="auto"/>
              <w:jc w:val="center"/>
              <w:rPr>
                <w:rFonts w:hint="eastAsia" w:ascii="仿宋_GB2312" w:hAnsi="仿宋" w:eastAsia="仿宋_GB2312" w:cs="仿宋_GB2312"/>
                <w:b/>
                <w:sz w:val="24"/>
                <w:szCs w:val="24"/>
              </w:rPr>
            </w:pPr>
            <w:r>
              <w:rPr>
                <w:rFonts w:hint="eastAsia" w:ascii="仿宋_GB2312" w:hAnsi="仿宋" w:eastAsia="仿宋_GB2312" w:cs="仿宋_GB2312"/>
                <w:b/>
                <w:sz w:val="24"/>
                <w:szCs w:val="24"/>
              </w:rPr>
              <w:t>序号</w:t>
            </w:r>
          </w:p>
        </w:tc>
        <w:tc>
          <w:tcPr>
            <w:tcW w:w="1843" w:type="dxa"/>
            <w:tcBorders>
              <w:top w:val="single" w:color="000000" w:sz="8" w:space="0"/>
              <w:left w:val="single" w:color="auto" w:sz="4" w:space="0"/>
              <w:bottom w:val="single" w:color="000000" w:sz="8" w:space="0"/>
              <w:right w:val="single" w:color="000000" w:sz="8" w:space="0"/>
            </w:tcBorders>
            <w:noWrap w:val="0"/>
            <w:vAlign w:val="center"/>
          </w:tcPr>
          <w:p>
            <w:pPr>
              <w:widowControl w:val="0"/>
              <w:adjustRightInd w:val="0"/>
              <w:snapToGrid w:val="0"/>
              <w:spacing w:line="360" w:lineRule="auto"/>
              <w:jc w:val="center"/>
              <w:rPr>
                <w:rFonts w:hint="eastAsia" w:ascii="仿宋_GB2312" w:hAnsi="仿宋" w:eastAsia="仿宋_GB2312" w:cs="仿宋_GB2312"/>
                <w:b/>
                <w:sz w:val="24"/>
                <w:szCs w:val="24"/>
              </w:rPr>
            </w:pPr>
            <w:r>
              <w:rPr>
                <w:rFonts w:hint="eastAsia" w:ascii="仿宋_GB2312" w:hAnsi="仿宋" w:eastAsia="仿宋_GB2312" w:cs="仿宋_GB2312"/>
                <w:b/>
                <w:sz w:val="24"/>
                <w:szCs w:val="24"/>
              </w:rPr>
              <w:t>事项</w:t>
            </w:r>
          </w:p>
        </w:tc>
        <w:tc>
          <w:tcPr>
            <w:tcW w:w="6379" w:type="dxa"/>
            <w:tcBorders>
              <w:top w:val="single" w:color="000000" w:sz="8" w:space="0"/>
              <w:left w:val="single" w:color="000000" w:sz="2" w:space="0"/>
              <w:bottom w:val="single" w:color="000000" w:sz="8" w:space="0"/>
              <w:right w:val="single" w:color="000000" w:sz="8" w:space="0"/>
            </w:tcBorders>
            <w:noWrap w:val="0"/>
            <w:vAlign w:val="center"/>
          </w:tcPr>
          <w:p>
            <w:pPr>
              <w:widowControl w:val="0"/>
              <w:adjustRightInd w:val="0"/>
              <w:snapToGrid w:val="0"/>
              <w:spacing w:line="360" w:lineRule="auto"/>
              <w:jc w:val="center"/>
              <w:rPr>
                <w:rFonts w:hint="eastAsia" w:ascii="仿宋_GB2312" w:hAnsi="仿宋" w:eastAsia="仿宋_GB2312" w:cs="仿宋_GB2312"/>
                <w:b/>
                <w:sz w:val="24"/>
                <w:szCs w:val="24"/>
              </w:rPr>
            </w:pPr>
            <w:r>
              <w:rPr>
                <w:rFonts w:hint="eastAsia" w:ascii="仿宋_GB2312" w:hAnsi="仿宋" w:eastAsia="仿宋_GB2312" w:cs="仿宋_GB2312"/>
                <w:b/>
                <w:sz w:val="24"/>
                <w:szCs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wBefore w:w="0" w:type="dxa"/>
          <w:wAfter w:w="0" w:type="dxa"/>
          <w:trHeight w:val="7118" w:hRule="atLeast"/>
          <w:tblHeader/>
        </w:trPr>
        <w:tc>
          <w:tcPr>
            <w:tcW w:w="629" w:type="dxa"/>
            <w:tcBorders>
              <w:top w:val="single" w:color="auto" w:sz="4" w:space="0"/>
              <w:left w:val="single" w:color="auto" w:sz="4" w:space="0"/>
              <w:bottom w:val="single" w:color="auto" w:sz="4" w:space="0"/>
              <w:right w:val="single" w:color="auto" w:sz="4" w:space="0"/>
            </w:tcBorders>
            <w:noWrap w:val="0"/>
            <w:vAlign w:val="top"/>
          </w:tcPr>
          <w:p>
            <w:pPr>
              <w:widowControl w:val="0"/>
              <w:adjustRightInd w:val="0"/>
              <w:snapToGrid w:val="0"/>
              <w:spacing w:line="360" w:lineRule="auto"/>
              <w:jc w:val="center"/>
              <w:rPr>
                <w:rFonts w:hint="eastAsia" w:ascii="仿宋_GB2312" w:hAnsi="仿宋" w:eastAsia="仿宋_GB2312" w:cs="仿宋_GB2312"/>
                <w:sz w:val="24"/>
                <w:szCs w:val="24"/>
              </w:rPr>
            </w:pPr>
          </w:p>
          <w:p>
            <w:pPr>
              <w:widowControl w:val="0"/>
              <w:adjustRightInd w:val="0"/>
              <w:snapToGrid w:val="0"/>
              <w:spacing w:line="360" w:lineRule="auto"/>
              <w:jc w:val="center"/>
              <w:rPr>
                <w:rFonts w:hint="eastAsia" w:ascii="仿宋_GB2312" w:hAnsi="仿宋" w:eastAsia="仿宋_GB2312" w:cs="仿宋_GB2312"/>
                <w:sz w:val="24"/>
                <w:szCs w:val="24"/>
              </w:rPr>
            </w:pPr>
          </w:p>
          <w:p>
            <w:pPr>
              <w:widowControl w:val="0"/>
              <w:adjustRightInd w:val="0"/>
              <w:snapToGrid w:val="0"/>
              <w:spacing w:line="360" w:lineRule="auto"/>
              <w:jc w:val="center"/>
              <w:rPr>
                <w:rFonts w:hint="eastAsia" w:ascii="仿宋_GB2312" w:hAnsi="仿宋" w:eastAsia="仿宋_GB2312" w:cs="仿宋_GB2312"/>
                <w:sz w:val="24"/>
                <w:szCs w:val="24"/>
              </w:rPr>
            </w:pPr>
          </w:p>
          <w:p>
            <w:pPr>
              <w:widowControl w:val="0"/>
              <w:adjustRightInd w:val="0"/>
              <w:snapToGrid w:val="0"/>
              <w:spacing w:line="360" w:lineRule="auto"/>
              <w:jc w:val="center"/>
              <w:rPr>
                <w:rFonts w:hint="eastAsia" w:ascii="仿宋_GB2312" w:hAnsi="仿宋" w:eastAsia="仿宋_GB2312" w:cs="仿宋_GB2312"/>
                <w:sz w:val="24"/>
                <w:szCs w:val="24"/>
              </w:rPr>
            </w:pPr>
          </w:p>
          <w:p>
            <w:pPr>
              <w:widowControl w:val="0"/>
              <w:adjustRightInd w:val="0"/>
              <w:snapToGrid w:val="0"/>
              <w:spacing w:line="360" w:lineRule="auto"/>
              <w:jc w:val="center"/>
              <w:rPr>
                <w:rFonts w:hint="eastAsia" w:ascii="仿宋_GB2312" w:hAnsi="仿宋" w:eastAsia="仿宋_GB2312" w:cs="仿宋_GB2312"/>
                <w:sz w:val="24"/>
                <w:szCs w:val="24"/>
              </w:rPr>
            </w:pPr>
          </w:p>
          <w:p>
            <w:pPr>
              <w:widowControl w:val="0"/>
              <w:adjustRightInd w:val="0"/>
              <w:snapToGrid w:val="0"/>
              <w:spacing w:line="360" w:lineRule="auto"/>
              <w:jc w:val="center"/>
              <w:rPr>
                <w:rFonts w:hint="eastAsia" w:ascii="仿宋_GB2312" w:hAnsi="仿宋" w:eastAsia="仿宋_GB2312" w:cs="仿宋_GB2312"/>
                <w:sz w:val="24"/>
                <w:szCs w:val="24"/>
              </w:rPr>
            </w:pPr>
          </w:p>
          <w:p>
            <w:pPr>
              <w:widowControl w:val="0"/>
              <w:adjustRightInd w:val="0"/>
              <w:snapToGrid w:val="0"/>
              <w:spacing w:line="360" w:lineRule="auto"/>
              <w:jc w:val="center"/>
              <w:rPr>
                <w:rFonts w:hint="eastAsia" w:ascii="仿宋_GB2312" w:hAnsi="仿宋" w:eastAsia="仿宋_GB2312" w:cs="仿宋_GB2312"/>
                <w:sz w:val="24"/>
                <w:szCs w:val="24"/>
              </w:rPr>
            </w:pPr>
          </w:p>
          <w:p>
            <w:pPr>
              <w:widowControl w:val="0"/>
              <w:adjustRightInd w:val="0"/>
              <w:snapToGrid w:val="0"/>
              <w:spacing w:line="360" w:lineRule="auto"/>
              <w:jc w:val="center"/>
              <w:rPr>
                <w:rFonts w:hint="eastAsia" w:ascii="仿宋_GB2312" w:hAnsi="仿宋" w:eastAsia="仿宋_GB2312" w:cs="仿宋_GB2312"/>
                <w:sz w:val="24"/>
                <w:szCs w:val="24"/>
              </w:rPr>
            </w:pPr>
            <w:r>
              <w:rPr>
                <w:rFonts w:hint="eastAsia" w:ascii="仿宋_GB2312" w:hAnsi="仿宋" w:eastAsia="仿宋_GB2312" w:cs="仿宋_GB2312"/>
                <w:sz w:val="24"/>
                <w:szCs w:val="24"/>
              </w:rPr>
              <w:t>1</w:t>
            </w:r>
          </w:p>
        </w:tc>
        <w:tc>
          <w:tcPr>
            <w:tcW w:w="1843" w:type="dxa"/>
            <w:tcBorders>
              <w:top w:val="single" w:color="000000" w:sz="8" w:space="0"/>
              <w:left w:val="single" w:color="auto" w:sz="4" w:space="0"/>
              <w:bottom w:val="single" w:color="000000" w:sz="8" w:space="0"/>
              <w:right w:val="single" w:color="000000" w:sz="8" w:space="0"/>
            </w:tcBorders>
            <w:noWrap w:val="0"/>
            <w:vAlign w:val="center"/>
          </w:tcPr>
          <w:p>
            <w:pPr>
              <w:widowControl w:val="0"/>
              <w:adjustRightInd w:val="0"/>
              <w:snapToGrid w:val="0"/>
              <w:spacing w:line="360" w:lineRule="auto"/>
              <w:jc w:val="center"/>
              <w:rPr>
                <w:rFonts w:hint="eastAsia" w:ascii="仿宋_GB2312" w:hAnsi="仿宋" w:eastAsia="仿宋_GB2312" w:cs="仿宋_GB2312"/>
                <w:b/>
                <w:sz w:val="24"/>
                <w:szCs w:val="24"/>
              </w:rPr>
            </w:pPr>
            <w:r>
              <w:rPr>
                <w:rFonts w:hint="eastAsia" w:ascii="仿宋_GB2312" w:hAnsi="仿宋" w:eastAsia="仿宋_GB2312" w:cs="仿宋_GB2312"/>
                <w:b/>
                <w:sz w:val="24"/>
                <w:szCs w:val="24"/>
              </w:rPr>
              <w:t>报价要求</w:t>
            </w:r>
          </w:p>
        </w:tc>
        <w:tc>
          <w:tcPr>
            <w:tcW w:w="6379" w:type="dxa"/>
            <w:tcBorders>
              <w:top w:val="single" w:color="000000" w:sz="8" w:space="0"/>
              <w:left w:val="single" w:color="000000" w:sz="2" w:space="0"/>
              <w:bottom w:val="single" w:color="000000" w:sz="8" w:space="0"/>
              <w:right w:val="single" w:color="000000" w:sz="8" w:space="0"/>
            </w:tcBorders>
            <w:noWrap w:val="0"/>
            <w:vAlign w:val="center"/>
          </w:tcPr>
          <w:p>
            <w:pPr>
              <w:widowControl w:val="0"/>
              <w:adjustRightInd w:val="0"/>
              <w:snapToGrid w:val="0"/>
              <w:spacing w:line="360" w:lineRule="auto"/>
              <w:rPr>
                <w:rFonts w:hint="eastAsia" w:ascii="仿宋_GB2312" w:hAnsi="仿宋" w:eastAsia="仿宋_GB2312" w:cs="仿宋_GB2312"/>
                <w:kern w:val="0"/>
                <w:sz w:val="24"/>
                <w:szCs w:val="24"/>
                <w:lang w:val="zh-CN"/>
              </w:rPr>
            </w:pPr>
            <w:r>
              <w:rPr>
                <w:rFonts w:hint="eastAsia" w:ascii="仿宋_GB2312" w:hAnsi="仿宋_GB2312" w:eastAsia="仿宋_GB2312" w:cs="仿宋_GB2312"/>
                <w:kern w:val="0"/>
                <w:sz w:val="24"/>
                <w:szCs w:val="24"/>
                <w:lang w:val="zh-CN"/>
              </w:rPr>
              <w:t>有关本项目建设所需的技术方案编写、设备购置费、安装调试和系统集成费、验收、质保期运行维护、技术支持、测试费、培训费、售后服务和税金等费用均计入报价。</w:t>
            </w:r>
            <w:r>
              <w:rPr>
                <w:rFonts w:hint="eastAsia" w:ascii="仿宋_GB2312" w:hAnsi="仿宋_GB2312" w:eastAsia="仿宋_GB2312" w:cs="仿宋_GB2312"/>
                <w:b/>
                <w:sz w:val="24"/>
                <w:szCs w:val="24"/>
              </w:rPr>
              <w:t>《投标（开标）一览表》是报价的唯一载体</w:t>
            </w:r>
            <w:r>
              <w:rPr>
                <w:rFonts w:hint="eastAsia" w:ascii="仿宋_GB2312" w:hAnsi="仿宋_GB2312" w:eastAsia="仿宋_GB2312" w:cs="仿宋_GB2312"/>
                <w:sz w:val="24"/>
                <w:szCs w:val="24"/>
              </w:rPr>
              <w:t>。</w:t>
            </w:r>
            <w:r>
              <w:rPr>
                <w:rFonts w:hint="eastAsia" w:ascii="仿宋_GB2312" w:hAnsi="仿宋" w:eastAsia="仿宋_GB2312" w:cs="仿宋_GB2312"/>
                <w:kern w:val="0"/>
                <w:sz w:val="24"/>
                <w:szCs w:val="24"/>
                <w:lang w:val="zh-CN"/>
              </w:rPr>
              <w:t>投标文件中价格全部采用人民币报价。招标文件未列明，而投标人认为必需的费用也需列入报价。</w:t>
            </w:r>
          </w:p>
          <w:p>
            <w:pPr>
              <w:widowControl w:val="0"/>
              <w:adjustRightInd w:val="0"/>
              <w:snapToGrid w:val="0"/>
              <w:spacing w:line="360" w:lineRule="auto"/>
              <w:rPr>
                <w:rFonts w:hint="eastAsia" w:ascii="仿宋_GB2312" w:hAnsi="仿宋" w:eastAsia="仿宋_GB2312" w:cs="仿宋_GB2312"/>
                <w:kern w:val="0"/>
                <w:sz w:val="24"/>
                <w:szCs w:val="24"/>
                <w:lang w:val="zh-CN"/>
              </w:rPr>
            </w:pPr>
            <w:r>
              <w:rPr>
                <w:rFonts w:hint="eastAsia" w:ascii="仿宋_GB2312" w:hAnsi="仿宋" w:eastAsia="仿宋_GB2312" w:cs="仿宋_GB2312"/>
                <w:kern w:val="0"/>
                <w:sz w:val="24"/>
                <w:szCs w:val="24"/>
                <w:lang w:val="zh-CN"/>
              </w:rPr>
              <w:t>投标报价出现下列情形的，投标无效：</w:t>
            </w:r>
          </w:p>
          <w:p>
            <w:pPr>
              <w:widowControl w:val="0"/>
              <w:adjustRightInd w:val="0"/>
              <w:snapToGrid w:val="0"/>
              <w:spacing w:line="360" w:lineRule="auto"/>
              <w:rPr>
                <w:rFonts w:hint="eastAsia" w:ascii="仿宋_GB2312" w:hAnsi="仿宋" w:eastAsia="仿宋_GB2312" w:cs="仿宋_GB2312"/>
                <w:b/>
                <w:kern w:val="0"/>
                <w:sz w:val="24"/>
                <w:szCs w:val="24"/>
                <w:lang w:val="zh-CN"/>
              </w:rPr>
            </w:pPr>
            <w:r>
              <w:rPr>
                <w:rFonts w:hint="eastAsia" w:ascii="仿宋_GB2312" w:hAnsi="仿宋" w:eastAsia="仿宋_GB2312"/>
                <w:b/>
                <w:sz w:val="24"/>
                <w:szCs w:val="24"/>
              </w:rPr>
              <w:t>▲</w:t>
            </w:r>
            <w:r>
              <w:rPr>
                <w:rFonts w:hint="eastAsia" w:ascii="仿宋_GB2312" w:hAnsi="仿宋" w:eastAsia="仿宋_GB2312" w:cs="仿宋_GB2312"/>
                <w:b/>
                <w:sz w:val="24"/>
                <w:szCs w:val="24"/>
              </w:rPr>
              <w:t>投标文件出现不是</w:t>
            </w:r>
            <w:r>
              <w:rPr>
                <w:rFonts w:hint="eastAsia" w:ascii="仿宋_GB2312" w:hAnsi="仿宋" w:eastAsia="仿宋_GB2312" w:cs="仿宋_GB2312"/>
                <w:b/>
                <w:kern w:val="0"/>
                <w:sz w:val="24"/>
                <w:szCs w:val="24"/>
                <w:lang w:val="zh-CN"/>
              </w:rPr>
              <w:t>唯一的、有选择性投标报价的；</w:t>
            </w:r>
          </w:p>
          <w:p>
            <w:pPr>
              <w:widowControl w:val="0"/>
              <w:adjustRightInd w:val="0"/>
              <w:snapToGrid w:val="0"/>
              <w:spacing w:line="360" w:lineRule="auto"/>
              <w:rPr>
                <w:rFonts w:hint="eastAsia" w:ascii="仿宋_GB2312" w:hAnsi="仿宋" w:eastAsia="仿宋_GB2312" w:cs="仿宋_GB2312"/>
                <w:kern w:val="0"/>
                <w:sz w:val="24"/>
                <w:szCs w:val="24"/>
                <w:lang w:val="zh-CN"/>
              </w:rPr>
            </w:pPr>
            <w:r>
              <w:rPr>
                <w:rFonts w:hint="eastAsia" w:ascii="仿宋_GB2312" w:hAnsi="仿宋" w:eastAsia="仿宋_GB2312"/>
                <w:b/>
                <w:sz w:val="24"/>
                <w:szCs w:val="24"/>
              </w:rPr>
              <w:t>▲</w:t>
            </w:r>
            <w:r>
              <w:rPr>
                <w:rFonts w:hint="eastAsia" w:ascii="仿宋_GB2312" w:hAnsi="仿宋" w:eastAsia="仿宋_GB2312" w:cs="仿宋_GB2312"/>
                <w:b/>
                <w:sz w:val="24"/>
                <w:szCs w:val="24"/>
              </w:rPr>
              <w:t>投标报价高于本项目采购预算或者最高限价的;</w:t>
            </w:r>
          </w:p>
          <w:p>
            <w:pPr>
              <w:widowControl w:val="0"/>
              <w:adjustRightInd w:val="0"/>
              <w:spacing w:line="360" w:lineRule="auto"/>
              <w:jc w:val="both"/>
              <w:rPr>
                <w:rFonts w:hint="eastAsia" w:ascii="仿宋_GB2312" w:hAnsi="仿宋" w:eastAsia="仿宋_GB2312" w:cs="仿宋_GB2312"/>
                <w:b/>
                <w:sz w:val="24"/>
                <w:szCs w:val="24"/>
              </w:rPr>
            </w:pPr>
            <w:r>
              <w:rPr>
                <w:rFonts w:hint="eastAsia" w:ascii="仿宋_GB2312" w:hAnsi="仿宋" w:eastAsia="仿宋_GB2312"/>
                <w:b/>
                <w:sz w:val="24"/>
                <w:szCs w:val="24"/>
              </w:rPr>
              <w:t>▲</w:t>
            </w:r>
            <w:r>
              <w:rPr>
                <w:rFonts w:hint="eastAsia" w:ascii="仿宋_GB2312" w:hAnsi="仿宋" w:eastAsia="仿宋_GB2312" w:cs="Arial"/>
                <w:b/>
                <w:kern w:val="0"/>
                <w:sz w:val="24"/>
                <w:szCs w:val="24"/>
              </w:rPr>
              <w:t>报价明显低于其他通过符合性审查投标人的报价，有可能影响产品质量或者不能诚信履约的，未能按要求提供书面说明或者提交相关证明材料，不能证明其报价合理性的</w:t>
            </w:r>
            <w:r>
              <w:rPr>
                <w:rFonts w:hint="eastAsia" w:ascii="仿宋_GB2312" w:hAnsi="仿宋" w:eastAsia="仿宋_GB2312" w:cs="仿宋_GB2312"/>
                <w:b/>
                <w:sz w:val="24"/>
                <w:szCs w:val="21"/>
              </w:rPr>
              <w:t>;</w:t>
            </w:r>
          </w:p>
          <w:p>
            <w:pPr>
              <w:widowControl w:val="0"/>
              <w:adjustRightInd w:val="0"/>
              <w:spacing w:line="360" w:lineRule="auto"/>
              <w:jc w:val="both"/>
              <w:rPr>
                <w:rFonts w:hint="eastAsia" w:ascii="仿宋_GB2312" w:hAnsi="仿宋" w:eastAsia="仿宋_GB2312" w:cs="仿宋_GB2312"/>
                <w:sz w:val="24"/>
                <w:szCs w:val="21"/>
              </w:rPr>
            </w:pPr>
            <w:r>
              <w:rPr>
                <w:rFonts w:hint="eastAsia" w:ascii="仿宋_GB2312" w:hAnsi="仿宋" w:eastAsia="仿宋_GB2312"/>
                <w:b/>
                <w:sz w:val="24"/>
                <w:szCs w:val="24"/>
              </w:rPr>
              <w:t>▲《投标（开标）一览表》填写不完整或字迹不能辨认或有漏项的；</w:t>
            </w:r>
          </w:p>
          <w:p>
            <w:pPr>
              <w:widowControl w:val="0"/>
              <w:adjustRightInd w:val="0"/>
              <w:spacing w:line="360" w:lineRule="auto"/>
              <w:jc w:val="both"/>
              <w:rPr>
                <w:rFonts w:hint="eastAsia" w:ascii="仿宋_GB2312" w:hAnsi="仿宋" w:eastAsia="仿宋_GB2312"/>
                <w:sz w:val="24"/>
                <w:szCs w:val="24"/>
              </w:rPr>
            </w:pPr>
            <w:r>
              <w:rPr>
                <w:rFonts w:hint="eastAsia" w:ascii="仿宋_GB2312" w:hAnsi="仿宋" w:eastAsia="仿宋_GB2312" w:cs="Arial"/>
                <w:b/>
                <w:kern w:val="0"/>
                <w:sz w:val="24"/>
                <w:szCs w:val="24"/>
              </w:rPr>
              <w:t>▲投标人对根据修正原则修正后的报价不确认的</w:t>
            </w:r>
            <w:r>
              <w:rPr>
                <w:rFonts w:hint="eastAsia" w:ascii="仿宋_GB2312" w:hAnsi="仿宋" w:eastAsia="仿宋_GB2312"/>
                <w:b/>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wBefore w:w="0" w:type="dxa"/>
          <w:wAfter w:w="0" w:type="dxa"/>
          <w:trHeight w:val="1342" w:hRule="atLeast"/>
          <w:tblHeader/>
        </w:trPr>
        <w:tc>
          <w:tcPr>
            <w:tcW w:w="629"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napToGrid w:val="0"/>
              <w:spacing w:line="360" w:lineRule="auto"/>
              <w:jc w:val="center"/>
              <w:rPr>
                <w:rFonts w:hint="eastAsia" w:ascii="仿宋_GB2312" w:hAnsi="仿宋" w:eastAsia="仿宋_GB2312" w:cs="仿宋_GB2312"/>
                <w:sz w:val="24"/>
                <w:szCs w:val="24"/>
              </w:rPr>
            </w:pPr>
            <w:r>
              <w:rPr>
                <w:rFonts w:hint="eastAsia" w:ascii="仿宋_GB2312" w:hAnsi="仿宋" w:eastAsia="仿宋_GB2312" w:cs="仿宋_GB2312"/>
                <w:sz w:val="24"/>
                <w:szCs w:val="24"/>
              </w:rPr>
              <w:t>2</w:t>
            </w:r>
          </w:p>
        </w:tc>
        <w:tc>
          <w:tcPr>
            <w:tcW w:w="1843" w:type="dxa"/>
            <w:tcBorders>
              <w:top w:val="single" w:color="000000" w:sz="8" w:space="0"/>
              <w:left w:val="single" w:color="auto" w:sz="4" w:space="0"/>
              <w:bottom w:val="single" w:color="000000" w:sz="8" w:space="0"/>
              <w:right w:val="single" w:color="000000" w:sz="8" w:space="0"/>
            </w:tcBorders>
            <w:noWrap w:val="0"/>
            <w:vAlign w:val="center"/>
          </w:tcPr>
          <w:p>
            <w:pPr>
              <w:widowControl w:val="0"/>
              <w:adjustRightInd w:val="0"/>
              <w:snapToGrid w:val="0"/>
              <w:spacing w:line="360" w:lineRule="auto"/>
              <w:jc w:val="both"/>
              <w:rPr>
                <w:rFonts w:hint="eastAsia" w:ascii="仿宋_GB2312" w:hAnsi="仿宋" w:eastAsia="仿宋_GB2312" w:cs="仿宋_GB2312"/>
                <w:b/>
                <w:sz w:val="24"/>
                <w:szCs w:val="24"/>
              </w:rPr>
            </w:pPr>
            <w:r>
              <w:rPr>
                <w:rFonts w:hint="eastAsia" w:ascii="仿宋_GB2312" w:hAnsi="仿宋" w:eastAsia="仿宋_GB2312" w:cs="仿宋_GB2312"/>
                <w:b/>
                <w:sz w:val="24"/>
                <w:szCs w:val="24"/>
              </w:rPr>
              <w:t>分包或转包</w:t>
            </w:r>
          </w:p>
        </w:tc>
        <w:tc>
          <w:tcPr>
            <w:tcW w:w="6379" w:type="dxa"/>
            <w:tcBorders>
              <w:top w:val="single" w:color="000000" w:sz="8" w:space="0"/>
              <w:left w:val="single" w:color="000000" w:sz="2" w:space="0"/>
              <w:bottom w:val="single" w:color="000000" w:sz="8" w:space="0"/>
              <w:right w:val="single" w:color="000000" w:sz="8" w:space="0"/>
            </w:tcBorders>
            <w:noWrap w:val="0"/>
            <w:vAlign w:val="center"/>
          </w:tcPr>
          <w:p>
            <w:pPr>
              <w:widowControl w:val="0"/>
              <w:adjustRightInd w:val="0"/>
              <w:snapToGrid w:val="0"/>
              <w:spacing w:line="360" w:lineRule="auto"/>
              <w:jc w:val="both"/>
              <w:rPr>
                <w:rFonts w:hint="eastAsia" w:ascii="仿宋_GB2312" w:hAnsi="仿宋" w:eastAsia="仿宋_GB2312" w:cs="仿宋_GB2312"/>
                <w:sz w:val="24"/>
                <w:szCs w:val="24"/>
              </w:rPr>
            </w:pPr>
            <w:r>
              <w:rPr>
                <w:rFonts w:hint="eastAsia" w:ascii="仿宋_GB2312" w:hAnsi="仿宋" w:eastAsia="仿宋_GB2312" w:cs="仿宋_GB2312"/>
                <w:sz w:val="24"/>
                <w:szCs w:val="24"/>
              </w:rPr>
              <w:t>（1）采购人</w:t>
            </w:r>
            <w:r>
              <w:rPr>
                <w:rFonts w:hint="eastAsia" w:ascii="仿宋_GB2312" w:hAnsi="仿宋" w:eastAsia="仿宋_GB2312" w:cs="仿宋_GB2312"/>
                <w:b/>
                <w:sz w:val="24"/>
                <w:szCs w:val="24"/>
              </w:rPr>
              <w:t>不同意</w:t>
            </w:r>
            <w:r>
              <w:rPr>
                <w:rFonts w:hint="eastAsia" w:ascii="仿宋_GB2312" w:hAnsi="仿宋" w:eastAsia="仿宋_GB2312" w:cs="仿宋_GB2312"/>
                <w:sz w:val="24"/>
                <w:szCs w:val="24"/>
              </w:rPr>
              <w:t>分包。</w:t>
            </w:r>
          </w:p>
          <w:p>
            <w:pPr>
              <w:widowControl w:val="0"/>
              <w:adjustRightInd w:val="0"/>
              <w:snapToGrid w:val="0"/>
              <w:spacing w:line="360" w:lineRule="auto"/>
              <w:jc w:val="both"/>
              <w:rPr>
                <w:rFonts w:hint="eastAsia" w:ascii="仿宋_GB2312" w:hAnsi="仿宋" w:eastAsia="仿宋_GB2312" w:cs="仿宋_GB2312"/>
                <w:sz w:val="24"/>
                <w:szCs w:val="24"/>
              </w:rPr>
            </w:pPr>
            <w:r>
              <w:rPr>
                <w:rFonts w:hint="eastAsia" w:ascii="仿宋_GB2312" w:hAnsi="仿宋" w:eastAsia="仿宋_GB2312" w:cs="仿宋_GB2312"/>
                <w:sz w:val="24"/>
                <w:szCs w:val="24"/>
              </w:rPr>
              <w:t>（2）本项目不得转包。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wBefore w:w="0" w:type="dxa"/>
          <w:wAfter w:w="0" w:type="dxa"/>
          <w:trHeight w:val="2157" w:hRule="atLeast"/>
          <w:tblHeader/>
        </w:trPr>
        <w:tc>
          <w:tcPr>
            <w:tcW w:w="629" w:type="dxa"/>
            <w:tcBorders>
              <w:top w:val="single" w:color="auto" w:sz="4" w:space="0"/>
              <w:left w:val="single" w:color="auto" w:sz="4" w:space="0"/>
              <w:bottom w:val="single" w:color="auto" w:sz="4" w:space="0"/>
              <w:right w:val="single" w:color="auto" w:sz="4" w:space="0"/>
            </w:tcBorders>
            <w:noWrap w:val="0"/>
            <w:vAlign w:val="top"/>
          </w:tcPr>
          <w:p>
            <w:pPr>
              <w:widowControl w:val="0"/>
              <w:adjustRightInd w:val="0"/>
              <w:snapToGrid w:val="0"/>
              <w:spacing w:line="360" w:lineRule="auto"/>
              <w:jc w:val="center"/>
              <w:rPr>
                <w:rFonts w:hint="eastAsia" w:ascii="仿宋_GB2312" w:hAnsi="仿宋" w:eastAsia="仿宋_GB2312" w:cs="仿宋_GB2312"/>
                <w:sz w:val="24"/>
                <w:szCs w:val="24"/>
              </w:rPr>
            </w:pPr>
          </w:p>
          <w:p>
            <w:pPr>
              <w:widowControl w:val="0"/>
              <w:adjustRightInd w:val="0"/>
              <w:snapToGrid w:val="0"/>
              <w:spacing w:line="360" w:lineRule="auto"/>
              <w:jc w:val="center"/>
              <w:rPr>
                <w:rFonts w:hint="eastAsia" w:ascii="仿宋_GB2312" w:hAnsi="仿宋" w:eastAsia="仿宋_GB2312" w:cs="仿宋_GB2312"/>
                <w:sz w:val="24"/>
                <w:szCs w:val="24"/>
              </w:rPr>
            </w:pPr>
          </w:p>
          <w:p>
            <w:pPr>
              <w:widowControl w:val="0"/>
              <w:adjustRightInd w:val="0"/>
              <w:snapToGrid w:val="0"/>
              <w:spacing w:line="360" w:lineRule="auto"/>
              <w:jc w:val="center"/>
              <w:rPr>
                <w:rFonts w:hint="eastAsia" w:ascii="仿宋_GB2312" w:hAnsi="仿宋" w:eastAsia="仿宋_GB2312" w:cs="仿宋_GB2312"/>
                <w:sz w:val="24"/>
                <w:szCs w:val="24"/>
              </w:rPr>
            </w:pPr>
            <w:r>
              <w:rPr>
                <w:rFonts w:hint="eastAsia" w:ascii="仿宋_GB2312" w:hAnsi="仿宋" w:eastAsia="仿宋_GB2312" w:cs="仿宋_GB2312"/>
                <w:sz w:val="24"/>
                <w:szCs w:val="24"/>
              </w:rPr>
              <w:t>3</w:t>
            </w:r>
          </w:p>
        </w:tc>
        <w:tc>
          <w:tcPr>
            <w:tcW w:w="1843" w:type="dxa"/>
            <w:tcBorders>
              <w:top w:val="single" w:color="000000" w:sz="8" w:space="0"/>
              <w:left w:val="single" w:color="auto" w:sz="4" w:space="0"/>
              <w:bottom w:val="single" w:color="000000" w:sz="8" w:space="0"/>
              <w:right w:val="single" w:color="000000" w:sz="8" w:space="0"/>
            </w:tcBorders>
            <w:noWrap w:val="0"/>
            <w:vAlign w:val="center"/>
          </w:tcPr>
          <w:p>
            <w:pPr>
              <w:widowControl w:val="0"/>
              <w:adjustRightInd w:val="0"/>
              <w:snapToGrid w:val="0"/>
              <w:spacing w:line="360" w:lineRule="auto"/>
              <w:jc w:val="center"/>
              <w:rPr>
                <w:rFonts w:hint="eastAsia" w:ascii="仿宋_GB2312" w:hAnsi="仿宋" w:eastAsia="仿宋_GB2312" w:cs="仿宋_GB2312"/>
                <w:b/>
                <w:sz w:val="24"/>
                <w:szCs w:val="24"/>
              </w:rPr>
            </w:pPr>
            <w:r>
              <w:rPr>
                <w:rFonts w:hint="eastAsia" w:ascii="仿宋_GB2312" w:hAnsi="仿宋" w:eastAsia="仿宋_GB2312" w:cs="仿宋_GB2312"/>
                <w:b/>
                <w:sz w:val="24"/>
                <w:szCs w:val="24"/>
              </w:rPr>
              <w:t>投标人应当提供的资格、资信证明文件</w:t>
            </w:r>
          </w:p>
        </w:tc>
        <w:tc>
          <w:tcPr>
            <w:tcW w:w="6379" w:type="dxa"/>
            <w:tcBorders>
              <w:top w:val="single" w:color="000000" w:sz="8" w:space="0"/>
              <w:left w:val="single" w:color="000000" w:sz="2" w:space="0"/>
              <w:bottom w:val="single" w:color="000000" w:sz="8" w:space="0"/>
              <w:right w:val="single" w:color="000000" w:sz="8" w:space="0"/>
            </w:tcBorders>
            <w:noWrap w:val="0"/>
            <w:vAlign w:val="center"/>
          </w:tcPr>
          <w:p>
            <w:pPr>
              <w:widowControl w:val="0"/>
              <w:adjustRightInd w:val="0"/>
              <w:spacing w:line="360" w:lineRule="auto"/>
              <w:jc w:val="both"/>
              <w:rPr>
                <w:rFonts w:hint="eastAsia" w:ascii="仿宋_GB2312" w:hAnsi="仿宋" w:eastAsia="仿宋_GB2312"/>
                <w:sz w:val="24"/>
                <w:szCs w:val="24"/>
              </w:rPr>
            </w:pPr>
            <w:r>
              <w:rPr>
                <w:rFonts w:hint="eastAsia" w:ascii="仿宋_GB2312" w:hAnsi="仿宋" w:eastAsia="仿宋_GB2312"/>
                <w:sz w:val="24"/>
                <w:szCs w:val="24"/>
              </w:rPr>
              <w:t>（1）资格证明文件：</w:t>
            </w:r>
          </w:p>
          <w:p>
            <w:pPr>
              <w:widowControl w:val="0"/>
              <w:numPr>
                <w:ilvl w:val="0"/>
                <w:numId w:val="14"/>
              </w:numPr>
              <w:adjustRightInd w:val="0"/>
              <w:snapToGrid w:val="0"/>
              <w:spacing w:line="360" w:lineRule="auto"/>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营业执照(或事业法人登记证或其他工商 等登记证明材料)复印件；</w:t>
            </w:r>
          </w:p>
          <w:p>
            <w:pPr>
              <w:widowControl w:val="0"/>
              <w:numPr>
                <w:ilvl w:val="0"/>
                <w:numId w:val="14"/>
              </w:numPr>
              <w:adjustRightInd w:val="0"/>
              <w:snapToGrid w:val="0"/>
              <w:spacing w:line="360" w:lineRule="auto"/>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税务登记证(或其它缴纳证明材料)复印件；</w:t>
            </w:r>
          </w:p>
          <w:p>
            <w:pPr>
              <w:widowControl w:val="0"/>
              <w:numPr>
                <w:ilvl w:val="0"/>
                <w:numId w:val="14"/>
              </w:numPr>
              <w:adjustRightInd w:val="0"/>
              <w:snapToGrid w:val="0"/>
              <w:spacing w:line="360" w:lineRule="auto"/>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社保登记证（或其它缴纳证明材料）复印件；</w:t>
            </w:r>
          </w:p>
          <w:p>
            <w:pPr>
              <w:widowControl w:val="0"/>
              <w:numPr>
                <w:ilvl w:val="0"/>
                <w:numId w:val="14"/>
              </w:numPr>
              <w:adjustRightInd w:val="0"/>
              <w:snapToGrid w:val="0"/>
              <w:spacing w:line="360" w:lineRule="auto"/>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2018年度资产负债表等财务报表资料文件(新成立的公司，提供情况说明)；</w:t>
            </w:r>
          </w:p>
          <w:p>
            <w:pPr>
              <w:widowControl w:val="0"/>
              <w:numPr>
                <w:ilvl w:val="0"/>
                <w:numId w:val="14"/>
              </w:numPr>
              <w:adjustRightInd w:val="0"/>
              <w:snapToGrid w:val="0"/>
              <w:spacing w:line="360" w:lineRule="auto"/>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具有履行合同所必需的设备和专业技术能力的承诺函；</w:t>
            </w:r>
          </w:p>
          <w:p>
            <w:pPr>
              <w:widowControl w:val="0"/>
              <w:numPr>
                <w:ilvl w:val="0"/>
                <w:numId w:val="14"/>
              </w:numPr>
              <w:adjustRightInd w:val="0"/>
              <w:snapToGrid w:val="0"/>
              <w:spacing w:line="360" w:lineRule="auto"/>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参加政府采购活动前三年内在经营活动中没有重大违法记录的声明；</w:t>
            </w:r>
          </w:p>
          <w:p>
            <w:pPr>
              <w:widowControl w:val="0"/>
              <w:numPr>
                <w:ilvl w:val="0"/>
                <w:numId w:val="14"/>
              </w:numPr>
              <w:adjustRightInd w:val="0"/>
              <w:snapToGrid w:val="0"/>
              <w:spacing w:line="360" w:lineRule="auto"/>
              <w:jc w:val="both"/>
              <w:rPr>
                <w:rFonts w:hint="eastAsia" w:ascii="仿宋_GB2312" w:hAnsi="仿宋" w:eastAsia="仿宋_GB2312"/>
                <w:sz w:val="24"/>
                <w:szCs w:val="24"/>
              </w:rPr>
            </w:pPr>
            <w:r>
              <w:rPr>
                <w:rFonts w:hint="eastAsia" w:ascii="仿宋_GB2312" w:hAnsi="仿宋_GB2312" w:eastAsia="仿宋_GB2312" w:cs="仿宋_GB2312"/>
                <w:sz w:val="24"/>
                <w:szCs w:val="24"/>
              </w:rPr>
              <w:t>符合特定资格条件（如果项目要求）的有关证明材料（复印件）。</w:t>
            </w:r>
          </w:p>
          <w:p>
            <w:pPr>
              <w:widowControl w:val="0"/>
              <w:adjustRightInd w:val="0"/>
              <w:spacing w:line="360" w:lineRule="auto"/>
              <w:jc w:val="both"/>
              <w:rPr>
                <w:rFonts w:hint="eastAsia" w:ascii="仿宋_GB2312" w:hAnsi="仿宋" w:eastAsia="仿宋_GB2312"/>
                <w:sz w:val="24"/>
                <w:szCs w:val="24"/>
              </w:rPr>
            </w:pPr>
            <w:r>
              <w:rPr>
                <w:rFonts w:hint="eastAsia" w:ascii="仿宋_GB2312" w:hAnsi="仿宋" w:eastAsia="仿宋_GB2312"/>
                <w:sz w:val="24"/>
                <w:szCs w:val="24"/>
              </w:rPr>
              <w:t>（2）资信证明文件：不提供。</w:t>
            </w:r>
          </w:p>
          <w:p>
            <w:pPr>
              <w:widowControl w:val="0"/>
              <w:adjustRightInd w:val="0"/>
              <w:spacing w:line="360" w:lineRule="auto"/>
              <w:jc w:val="both"/>
              <w:rPr>
                <w:rFonts w:hint="eastAsia" w:ascii="仿宋_GB2312" w:hAnsi="仿宋" w:eastAsia="仿宋_GB2312"/>
                <w:kern w:val="0"/>
                <w:sz w:val="24"/>
                <w:szCs w:val="24"/>
              </w:rPr>
            </w:pPr>
            <w:r>
              <w:rPr>
                <w:rFonts w:hint="eastAsia" w:ascii="仿宋_GB2312" w:hAnsi="仿宋" w:eastAsia="仿宋_GB2312"/>
                <w:sz w:val="24"/>
                <w:szCs w:val="24"/>
              </w:rPr>
              <w:t>▲</w:t>
            </w:r>
            <w:r>
              <w:rPr>
                <w:rFonts w:hint="eastAsia" w:ascii="仿宋_GB2312" w:hAnsi="仿宋" w:eastAsia="仿宋_GB2312" w:cs="仿宋_GB2312"/>
                <w:b/>
                <w:sz w:val="24"/>
                <w:szCs w:val="24"/>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wBefore w:w="0" w:type="dxa"/>
          <w:wAfter w:w="0" w:type="dxa"/>
          <w:trHeight w:val="97" w:hRule="atLeast"/>
          <w:tblHeader/>
        </w:trPr>
        <w:tc>
          <w:tcPr>
            <w:tcW w:w="629" w:type="dxa"/>
            <w:tcBorders>
              <w:top w:val="single" w:color="auto" w:sz="4" w:space="0"/>
              <w:left w:val="single" w:color="auto" w:sz="4" w:space="0"/>
              <w:bottom w:val="single" w:color="auto" w:sz="4" w:space="0"/>
              <w:right w:val="single" w:color="auto" w:sz="4" w:space="0"/>
            </w:tcBorders>
            <w:noWrap w:val="0"/>
            <w:vAlign w:val="top"/>
          </w:tcPr>
          <w:p>
            <w:pPr>
              <w:widowControl w:val="0"/>
              <w:adjustRightInd w:val="0"/>
              <w:snapToGrid w:val="0"/>
              <w:spacing w:line="360" w:lineRule="auto"/>
              <w:jc w:val="center"/>
              <w:rPr>
                <w:rFonts w:hint="eastAsia" w:ascii="仿宋_GB2312" w:hAnsi="仿宋" w:eastAsia="仿宋_GB2312" w:cs="仿宋_GB2312"/>
                <w:sz w:val="24"/>
                <w:szCs w:val="24"/>
              </w:rPr>
            </w:pPr>
          </w:p>
          <w:p>
            <w:pPr>
              <w:widowControl w:val="0"/>
              <w:adjustRightInd w:val="0"/>
              <w:snapToGrid w:val="0"/>
              <w:spacing w:line="360" w:lineRule="auto"/>
              <w:jc w:val="center"/>
              <w:rPr>
                <w:rFonts w:hint="eastAsia" w:ascii="仿宋_GB2312" w:hAnsi="仿宋" w:eastAsia="仿宋_GB2312" w:cs="仿宋_GB2312"/>
                <w:sz w:val="24"/>
                <w:szCs w:val="24"/>
              </w:rPr>
            </w:pPr>
            <w:r>
              <w:rPr>
                <w:rFonts w:hint="eastAsia" w:ascii="仿宋_GB2312" w:hAnsi="仿宋" w:eastAsia="仿宋_GB2312" w:cs="仿宋_GB2312"/>
                <w:sz w:val="24"/>
                <w:szCs w:val="24"/>
              </w:rPr>
              <w:t>4</w:t>
            </w:r>
          </w:p>
          <w:p>
            <w:pPr>
              <w:widowControl w:val="0"/>
              <w:adjustRightInd w:val="0"/>
              <w:snapToGrid w:val="0"/>
              <w:spacing w:line="360" w:lineRule="auto"/>
              <w:jc w:val="center"/>
              <w:rPr>
                <w:rFonts w:hint="eastAsia" w:ascii="仿宋_GB2312" w:hAnsi="仿宋" w:eastAsia="仿宋_GB2312" w:cs="仿宋_GB2312"/>
                <w:sz w:val="24"/>
                <w:szCs w:val="24"/>
              </w:rPr>
            </w:pPr>
          </w:p>
        </w:tc>
        <w:tc>
          <w:tcPr>
            <w:tcW w:w="1843" w:type="dxa"/>
            <w:tcBorders>
              <w:top w:val="single" w:color="000000" w:sz="8" w:space="0"/>
              <w:left w:val="single" w:color="auto" w:sz="4" w:space="0"/>
              <w:bottom w:val="single" w:color="000000" w:sz="8" w:space="0"/>
              <w:right w:val="single" w:color="000000" w:sz="8" w:space="0"/>
            </w:tcBorders>
            <w:noWrap w:val="0"/>
            <w:vAlign w:val="center"/>
          </w:tcPr>
          <w:p>
            <w:pPr>
              <w:widowControl w:val="0"/>
              <w:adjustRightInd w:val="0"/>
              <w:snapToGrid w:val="0"/>
              <w:spacing w:line="360" w:lineRule="auto"/>
              <w:jc w:val="center"/>
              <w:rPr>
                <w:rFonts w:hint="eastAsia" w:ascii="仿宋_GB2312" w:hAnsi="仿宋" w:eastAsia="仿宋_GB2312" w:cs="仿宋_GB2312"/>
                <w:b/>
                <w:sz w:val="24"/>
                <w:szCs w:val="24"/>
              </w:rPr>
            </w:pPr>
            <w:r>
              <w:rPr>
                <w:rFonts w:hint="eastAsia" w:ascii="仿宋_GB2312" w:hAnsi="仿宋" w:eastAsia="仿宋_GB2312" w:cs="仿宋_GB2312"/>
                <w:b/>
                <w:sz w:val="24"/>
                <w:szCs w:val="24"/>
              </w:rPr>
              <w:t>投标文件的份数</w:t>
            </w:r>
          </w:p>
        </w:tc>
        <w:tc>
          <w:tcPr>
            <w:tcW w:w="6379" w:type="dxa"/>
            <w:tcBorders>
              <w:top w:val="single" w:color="000000" w:sz="8" w:space="0"/>
              <w:left w:val="single" w:color="000000" w:sz="2" w:space="0"/>
              <w:bottom w:val="single" w:color="000000" w:sz="8" w:space="0"/>
              <w:right w:val="single" w:color="000000" w:sz="8" w:space="0"/>
            </w:tcBorders>
            <w:noWrap w:val="0"/>
            <w:vAlign w:val="center"/>
          </w:tcPr>
          <w:p>
            <w:pPr>
              <w:widowControl w:val="0"/>
              <w:adjustRightInd w:val="0"/>
              <w:spacing w:line="360" w:lineRule="auto"/>
              <w:jc w:val="both"/>
              <w:rPr>
                <w:rFonts w:hint="eastAsia" w:ascii="仿宋_GB2312" w:hAnsi="仿宋" w:eastAsia="仿宋_GB2312"/>
                <w:sz w:val="24"/>
                <w:szCs w:val="24"/>
              </w:rPr>
            </w:pPr>
            <w:r>
              <w:rPr>
                <w:rFonts w:hint="eastAsia" w:ascii="仿宋_GB2312" w:hAnsi="仿宋" w:eastAsia="仿宋_GB2312"/>
                <w:sz w:val="24"/>
                <w:szCs w:val="24"/>
              </w:rPr>
              <w:t xml:space="preserve">资格文件正本1份，副本无需提供；报价文件正本1份，副本 </w:t>
            </w:r>
            <w:r>
              <w:rPr>
                <w:rFonts w:hint="eastAsia" w:ascii="仿宋_GB2312" w:hAnsi="仿宋" w:eastAsia="仿宋_GB2312"/>
                <w:sz w:val="24"/>
                <w:szCs w:val="24"/>
                <w:u w:val="single"/>
              </w:rPr>
              <w:t xml:space="preserve"> 5   </w:t>
            </w:r>
            <w:r>
              <w:rPr>
                <w:rFonts w:hint="eastAsia" w:ascii="仿宋_GB2312" w:hAnsi="仿宋" w:eastAsia="仿宋_GB2312"/>
                <w:sz w:val="24"/>
                <w:szCs w:val="24"/>
              </w:rPr>
              <w:t>份；商务技术文件正本1份，副本</w:t>
            </w:r>
            <w:r>
              <w:rPr>
                <w:rFonts w:hint="eastAsia" w:ascii="仿宋_GB2312" w:hAnsi="仿宋" w:eastAsia="仿宋_GB2312"/>
                <w:sz w:val="24"/>
                <w:szCs w:val="24"/>
                <w:u w:val="single"/>
              </w:rPr>
              <w:t xml:space="preserve">  5   </w:t>
            </w:r>
            <w:r>
              <w:rPr>
                <w:rFonts w:hint="eastAsia" w:ascii="仿宋_GB2312" w:hAnsi="仿宋" w:eastAsia="仿宋_GB2312"/>
                <w:sz w:val="24"/>
                <w:szCs w:val="24"/>
              </w:rPr>
              <w:t>份。</w:t>
            </w:r>
          </w:p>
          <w:p>
            <w:pPr>
              <w:widowControl w:val="0"/>
              <w:adjustRightInd w:val="0"/>
              <w:spacing w:line="360" w:lineRule="auto"/>
              <w:jc w:val="both"/>
              <w:rPr>
                <w:rFonts w:hint="eastAsia" w:ascii="仿宋_GB2312" w:hAnsi="仿宋" w:eastAsia="仿宋_GB2312" w:cs="仿宋_GB2312"/>
                <w:sz w:val="24"/>
                <w:szCs w:val="24"/>
              </w:rPr>
            </w:pPr>
            <w:r>
              <w:rPr>
                <w:rFonts w:hint="eastAsia" w:ascii="仿宋_GB2312" w:hAnsi="仿宋" w:eastAsia="仿宋_GB2312"/>
                <w:b/>
                <w:sz w:val="24"/>
                <w:szCs w:val="24"/>
              </w:rPr>
              <w:t>▲</w:t>
            </w:r>
            <w:r>
              <w:rPr>
                <w:rFonts w:hint="eastAsia" w:ascii="仿宋_GB2312" w:hAnsi="仿宋" w:eastAsia="仿宋_GB2312" w:cs="仿宋_GB2312"/>
                <w:b/>
                <w:sz w:val="24"/>
                <w:szCs w:val="24"/>
              </w:rPr>
              <w:t>投标文件正、副本份数不足，投标无效。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wBefore w:w="0" w:type="dxa"/>
          <w:wAfter w:w="0" w:type="dxa"/>
          <w:trHeight w:val="97" w:hRule="atLeast"/>
          <w:tblHeader/>
        </w:trPr>
        <w:tc>
          <w:tcPr>
            <w:tcW w:w="629" w:type="dxa"/>
            <w:tcBorders>
              <w:top w:val="single" w:color="auto" w:sz="4" w:space="0"/>
              <w:left w:val="single" w:color="auto" w:sz="4" w:space="0"/>
              <w:bottom w:val="single" w:color="auto" w:sz="4" w:space="0"/>
              <w:right w:val="single" w:color="auto" w:sz="4" w:space="0"/>
            </w:tcBorders>
            <w:noWrap w:val="0"/>
            <w:vAlign w:val="top"/>
          </w:tcPr>
          <w:p>
            <w:pPr>
              <w:widowControl w:val="0"/>
              <w:adjustRightInd w:val="0"/>
              <w:snapToGrid w:val="0"/>
              <w:spacing w:line="360" w:lineRule="auto"/>
              <w:jc w:val="center"/>
              <w:rPr>
                <w:rFonts w:hint="eastAsia" w:ascii="仿宋_GB2312" w:hAnsi="仿宋" w:eastAsia="仿宋_GB2312" w:cs="仿宋_GB2312"/>
                <w:sz w:val="24"/>
                <w:szCs w:val="24"/>
              </w:rPr>
            </w:pPr>
          </w:p>
          <w:p>
            <w:pPr>
              <w:widowControl w:val="0"/>
              <w:adjustRightInd w:val="0"/>
              <w:snapToGrid w:val="0"/>
              <w:spacing w:line="360" w:lineRule="auto"/>
              <w:jc w:val="center"/>
              <w:rPr>
                <w:rFonts w:hint="eastAsia" w:ascii="仿宋_GB2312" w:hAnsi="仿宋" w:eastAsia="仿宋_GB2312" w:cs="仿宋_GB2312"/>
                <w:sz w:val="24"/>
                <w:szCs w:val="24"/>
              </w:rPr>
            </w:pPr>
            <w:r>
              <w:rPr>
                <w:rFonts w:hint="eastAsia" w:ascii="仿宋_GB2312" w:hAnsi="仿宋" w:eastAsia="仿宋_GB2312" w:cs="仿宋_GB2312"/>
                <w:sz w:val="24"/>
                <w:szCs w:val="24"/>
              </w:rPr>
              <w:t>5</w:t>
            </w:r>
          </w:p>
        </w:tc>
        <w:tc>
          <w:tcPr>
            <w:tcW w:w="1843" w:type="dxa"/>
            <w:tcBorders>
              <w:top w:val="single" w:color="000000" w:sz="8" w:space="0"/>
              <w:left w:val="single" w:color="auto" w:sz="4" w:space="0"/>
              <w:bottom w:val="single" w:color="000000" w:sz="8" w:space="0"/>
              <w:right w:val="single" w:color="000000" w:sz="8" w:space="0"/>
            </w:tcBorders>
            <w:noWrap w:val="0"/>
            <w:vAlign w:val="center"/>
          </w:tcPr>
          <w:p>
            <w:pPr>
              <w:widowControl w:val="0"/>
              <w:adjustRightInd w:val="0"/>
              <w:snapToGrid w:val="0"/>
              <w:spacing w:line="360" w:lineRule="auto"/>
              <w:jc w:val="center"/>
              <w:rPr>
                <w:rFonts w:hint="eastAsia" w:ascii="仿宋_GB2312" w:hAnsi="仿宋" w:eastAsia="仿宋_GB2312" w:cs="仿宋_GB2312"/>
                <w:b/>
                <w:sz w:val="24"/>
                <w:szCs w:val="24"/>
              </w:rPr>
            </w:pPr>
            <w:r>
              <w:rPr>
                <w:rFonts w:hint="eastAsia" w:ascii="仿宋_GB2312" w:hAnsi="仿宋" w:eastAsia="仿宋_GB2312" w:cs="仿宋_GB2312"/>
                <w:b/>
                <w:sz w:val="24"/>
                <w:szCs w:val="24"/>
              </w:rPr>
              <w:t>开标前答疑会或现场考察</w:t>
            </w:r>
          </w:p>
        </w:tc>
        <w:tc>
          <w:tcPr>
            <w:tcW w:w="6379" w:type="dxa"/>
            <w:tcBorders>
              <w:top w:val="single" w:color="000000" w:sz="8" w:space="0"/>
              <w:left w:val="single" w:color="000000" w:sz="2" w:space="0"/>
              <w:bottom w:val="single" w:color="000000" w:sz="8" w:space="0"/>
              <w:right w:val="single" w:color="000000" w:sz="8" w:space="0"/>
            </w:tcBorders>
            <w:noWrap w:val="0"/>
            <w:vAlign w:val="center"/>
          </w:tcPr>
          <w:p>
            <w:pPr>
              <w:widowControl w:val="0"/>
              <w:adjustRightInd w:val="0"/>
              <w:spacing w:line="360" w:lineRule="auto"/>
              <w:jc w:val="both"/>
              <w:rPr>
                <w:rFonts w:hint="eastAsia" w:ascii="仿宋_GB2312" w:hAnsi="仿宋" w:eastAsia="仿宋_GB2312"/>
                <w:sz w:val="24"/>
              </w:rPr>
            </w:pPr>
            <w:r>
              <w:rPr>
                <w:rFonts w:hint="eastAsia" w:ascii="仿宋_GB2312" w:hAnsi="仿宋" w:eastAsia="仿宋_GB2312"/>
                <w:sz w:val="24"/>
              </w:rPr>
              <w:t>探勘现场时间安排：</w:t>
            </w:r>
          </w:p>
          <w:p>
            <w:pPr>
              <w:widowControl w:val="0"/>
              <w:adjustRightInd w:val="0"/>
              <w:spacing w:line="360" w:lineRule="auto"/>
              <w:jc w:val="both"/>
              <w:rPr>
                <w:rFonts w:hint="eastAsia" w:ascii="仿宋_GB2312" w:hAnsi="仿宋" w:eastAsia="仿宋_GB2312"/>
                <w:sz w:val="24"/>
              </w:rPr>
            </w:pPr>
            <w:r>
              <w:rPr>
                <w:rFonts w:hint="eastAsia" w:ascii="仿宋_GB2312" w:hAnsi="仿宋" w:eastAsia="仿宋_GB2312"/>
                <w:sz w:val="24"/>
              </w:rPr>
              <w:t>6月19日上午9点整 浙江省杭州学军中学西溪校区（杭州市西湖区文三路188号）</w:t>
            </w:r>
          </w:p>
          <w:p>
            <w:pPr>
              <w:widowControl w:val="0"/>
              <w:adjustRightInd w:val="0"/>
              <w:spacing w:line="360" w:lineRule="auto"/>
              <w:jc w:val="both"/>
              <w:rPr>
                <w:rFonts w:hint="eastAsia" w:ascii="仿宋_GB2312" w:hAnsi="仿宋" w:eastAsia="仿宋_GB2312"/>
                <w:sz w:val="24"/>
              </w:rPr>
            </w:pPr>
            <w:r>
              <w:rPr>
                <w:rFonts w:hint="eastAsia" w:ascii="仿宋_GB2312" w:hAnsi="仿宋" w:eastAsia="仿宋_GB2312"/>
                <w:sz w:val="24"/>
              </w:rPr>
              <w:t>联系人：高老师</w:t>
            </w:r>
          </w:p>
          <w:p>
            <w:pPr>
              <w:widowControl w:val="0"/>
              <w:adjustRightInd w:val="0"/>
              <w:spacing w:line="360" w:lineRule="auto"/>
              <w:jc w:val="both"/>
              <w:rPr>
                <w:rFonts w:hint="eastAsia" w:ascii="仿宋_GB2312" w:hAnsi="仿宋" w:eastAsia="仿宋_GB2312"/>
                <w:sz w:val="24"/>
              </w:rPr>
            </w:pPr>
            <w:r>
              <w:rPr>
                <w:rFonts w:hint="eastAsia" w:ascii="仿宋_GB2312" w:hAnsi="仿宋" w:eastAsia="仿宋_GB2312"/>
                <w:sz w:val="24"/>
              </w:rPr>
              <w:t>联系电话：</w:t>
            </w:r>
            <w:r>
              <w:rPr>
                <w:rFonts w:ascii="仿宋_GB2312" w:hAnsi="仿宋" w:eastAsia="仿宋_GB2312"/>
                <w:sz w:val="24"/>
              </w:rPr>
              <w:t>13157125558</w:t>
            </w:r>
          </w:p>
          <w:p>
            <w:pPr>
              <w:widowControl w:val="0"/>
              <w:adjustRightInd w:val="0"/>
              <w:spacing w:line="360" w:lineRule="auto"/>
              <w:jc w:val="both"/>
              <w:rPr>
                <w:rFonts w:hint="eastAsia" w:ascii="仿宋_GB2312" w:hAnsi="仿宋" w:eastAsia="仿宋_GB2312"/>
                <w:sz w:val="24"/>
              </w:rPr>
            </w:pPr>
            <w:r>
              <w:rPr>
                <w:rFonts w:hint="eastAsia" w:ascii="仿宋_GB2312" w:hAnsi="仿宋" w:eastAsia="仿宋_GB2312"/>
                <w:sz w:val="24"/>
              </w:rPr>
              <w:t>6月19日上午10点30分 浙江省杭州高级中学贡院校区（杭州市下城区凤起路238号）</w:t>
            </w:r>
          </w:p>
          <w:p>
            <w:pPr>
              <w:widowControl w:val="0"/>
              <w:adjustRightInd w:val="0"/>
              <w:spacing w:line="360" w:lineRule="auto"/>
              <w:jc w:val="both"/>
              <w:rPr>
                <w:rFonts w:hint="eastAsia" w:ascii="仿宋_GB2312" w:hAnsi="仿宋" w:eastAsia="仿宋_GB2312"/>
                <w:sz w:val="24"/>
              </w:rPr>
            </w:pPr>
            <w:r>
              <w:rPr>
                <w:rFonts w:hint="eastAsia" w:ascii="仿宋_GB2312" w:hAnsi="仿宋" w:eastAsia="仿宋_GB2312"/>
                <w:sz w:val="24"/>
              </w:rPr>
              <w:t>联系人：何老师</w:t>
            </w:r>
          </w:p>
          <w:p>
            <w:pPr>
              <w:widowControl w:val="0"/>
              <w:adjustRightInd w:val="0"/>
              <w:spacing w:line="360" w:lineRule="auto"/>
              <w:jc w:val="both"/>
              <w:rPr>
                <w:rFonts w:hint="eastAsia" w:ascii="仿宋_GB2312" w:hAnsi="仿宋" w:eastAsia="仿宋_GB2312"/>
                <w:sz w:val="24"/>
              </w:rPr>
            </w:pPr>
            <w:r>
              <w:rPr>
                <w:rFonts w:hint="eastAsia" w:ascii="仿宋_GB2312" w:hAnsi="仿宋" w:eastAsia="仿宋_GB2312"/>
                <w:sz w:val="24"/>
              </w:rPr>
              <w:t>联系电话：</w:t>
            </w:r>
            <w:r>
              <w:rPr>
                <w:rFonts w:ascii="仿宋_GB2312" w:hAnsi="仿宋" w:eastAsia="仿宋_GB2312"/>
                <w:sz w:val="24"/>
              </w:rPr>
              <w:t>18957123993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wBefore w:w="0" w:type="dxa"/>
          <w:wAfter w:w="0" w:type="dxa"/>
          <w:trHeight w:val="97" w:hRule="atLeast"/>
          <w:tblHeader/>
        </w:trPr>
        <w:tc>
          <w:tcPr>
            <w:tcW w:w="629" w:type="dxa"/>
            <w:tcBorders>
              <w:top w:val="single" w:color="auto" w:sz="4" w:space="0"/>
              <w:left w:val="single" w:color="auto" w:sz="4" w:space="0"/>
              <w:bottom w:val="single" w:color="auto" w:sz="4" w:space="0"/>
              <w:right w:val="single" w:color="auto" w:sz="4" w:space="0"/>
            </w:tcBorders>
            <w:noWrap w:val="0"/>
            <w:vAlign w:val="top"/>
          </w:tcPr>
          <w:p>
            <w:pPr>
              <w:widowControl w:val="0"/>
              <w:adjustRightInd w:val="0"/>
              <w:snapToGrid w:val="0"/>
              <w:spacing w:line="360" w:lineRule="auto"/>
              <w:jc w:val="center"/>
              <w:rPr>
                <w:rFonts w:hint="eastAsia" w:ascii="仿宋_GB2312" w:hAnsi="仿宋" w:eastAsia="仿宋_GB2312" w:cs="仿宋_GB2312"/>
                <w:sz w:val="24"/>
                <w:szCs w:val="24"/>
              </w:rPr>
            </w:pPr>
            <w:r>
              <w:rPr>
                <w:rFonts w:hint="eastAsia" w:ascii="仿宋_GB2312" w:hAnsi="仿宋" w:eastAsia="仿宋_GB2312" w:cs="仿宋_GB2312"/>
                <w:sz w:val="24"/>
                <w:szCs w:val="24"/>
              </w:rPr>
              <w:t>6</w:t>
            </w:r>
          </w:p>
        </w:tc>
        <w:tc>
          <w:tcPr>
            <w:tcW w:w="1843" w:type="dxa"/>
            <w:tcBorders>
              <w:top w:val="single" w:color="000000" w:sz="8" w:space="0"/>
              <w:left w:val="single" w:color="auto" w:sz="4" w:space="0"/>
              <w:bottom w:val="single" w:color="000000" w:sz="8" w:space="0"/>
              <w:right w:val="single" w:color="000000" w:sz="8" w:space="0"/>
            </w:tcBorders>
            <w:noWrap w:val="0"/>
            <w:vAlign w:val="center"/>
          </w:tcPr>
          <w:p>
            <w:pPr>
              <w:widowControl w:val="0"/>
              <w:adjustRightInd w:val="0"/>
              <w:snapToGrid w:val="0"/>
              <w:spacing w:line="360" w:lineRule="auto"/>
              <w:jc w:val="center"/>
              <w:rPr>
                <w:rFonts w:hint="eastAsia" w:ascii="仿宋_GB2312" w:hAnsi="仿宋" w:eastAsia="仿宋_GB2312" w:cs="仿宋_GB2312"/>
                <w:b/>
                <w:sz w:val="24"/>
                <w:szCs w:val="24"/>
              </w:rPr>
            </w:pPr>
            <w:r>
              <w:rPr>
                <w:rFonts w:hint="eastAsia" w:ascii="仿宋_GB2312" w:hAnsi="仿宋" w:eastAsia="仿宋_GB2312" w:cs="仿宋_GB2312"/>
                <w:b/>
                <w:sz w:val="24"/>
                <w:szCs w:val="24"/>
              </w:rPr>
              <w:t>样品提供及演示</w:t>
            </w:r>
          </w:p>
        </w:tc>
        <w:tc>
          <w:tcPr>
            <w:tcW w:w="6379" w:type="dxa"/>
            <w:tcBorders>
              <w:top w:val="single" w:color="000000" w:sz="8" w:space="0"/>
              <w:left w:val="single" w:color="000000" w:sz="2" w:space="0"/>
              <w:bottom w:val="single" w:color="000000" w:sz="8" w:space="0"/>
              <w:right w:val="single" w:color="000000" w:sz="8" w:space="0"/>
            </w:tcBorders>
            <w:noWrap w:val="0"/>
            <w:vAlign w:val="center"/>
          </w:tcPr>
          <w:p>
            <w:pPr>
              <w:widowControl w:val="0"/>
              <w:adjustRightInd w:val="0"/>
              <w:spacing w:line="360" w:lineRule="auto"/>
              <w:contextualSpacing/>
              <w:jc w:val="both"/>
              <w:rPr>
                <w:rFonts w:hint="eastAsia" w:ascii="仿宋_GB2312" w:hAnsi="仿宋" w:eastAsia="仿宋_GB2312"/>
                <w:snapToGrid w:val="0"/>
                <w:kern w:val="28"/>
                <w:sz w:val="24"/>
                <w:szCs w:val="24"/>
              </w:rPr>
            </w:pPr>
            <w:r>
              <w:rPr>
                <w:rFonts w:hint="eastAsia" w:ascii="仿宋_GB2312" w:hAnsi="仿宋" w:eastAsia="仿宋_GB2312"/>
                <w:snapToGrid w:val="0"/>
                <w:kern w:val="28"/>
                <w:sz w:val="24"/>
                <w:szCs w:val="24"/>
              </w:rPr>
              <w:t>第一标项需提供样品演示</w:t>
            </w:r>
          </w:p>
          <w:p>
            <w:pPr>
              <w:widowControl w:val="0"/>
              <w:adjustRightInd w:val="0"/>
              <w:spacing w:line="360" w:lineRule="auto"/>
              <w:contextualSpacing/>
              <w:jc w:val="both"/>
              <w:rPr>
                <w:rFonts w:hint="eastAsia" w:ascii="仿宋_GB2312" w:hAnsi="仿宋" w:eastAsia="仿宋_GB2312"/>
                <w:snapToGrid w:val="0"/>
                <w:kern w:val="28"/>
                <w:sz w:val="24"/>
                <w:szCs w:val="24"/>
              </w:rPr>
            </w:pPr>
            <w:r>
              <w:rPr>
                <w:rFonts w:hint="eastAsia" w:ascii="仿宋_GB2312" w:hAnsi="仿宋" w:eastAsia="仿宋_GB2312"/>
                <w:snapToGrid w:val="0"/>
                <w:kern w:val="28"/>
                <w:sz w:val="24"/>
                <w:szCs w:val="24"/>
              </w:rPr>
              <w:t>（1）按采购需求规定的制作标准和要求提供演示样品（用户权限控制，宿舍考勤报表），与招标规格要求一致。评标委员会将根据评标方法及评分标准的规定对样品的进行评审。</w:t>
            </w:r>
          </w:p>
          <w:p>
            <w:pPr>
              <w:widowControl w:val="0"/>
              <w:adjustRightInd w:val="0"/>
              <w:spacing w:line="360" w:lineRule="auto"/>
              <w:contextualSpacing/>
              <w:jc w:val="both"/>
              <w:rPr>
                <w:rFonts w:hint="eastAsia" w:ascii="仿宋_GB2312" w:hAnsi="仿宋" w:eastAsia="仿宋_GB2312"/>
                <w:snapToGrid w:val="0"/>
                <w:kern w:val="28"/>
                <w:sz w:val="24"/>
                <w:szCs w:val="24"/>
              </w:rPr>
            </w:pPr>
            <w:r>
              <w:rPr>
                <w:rFonts w:hint="eastAsia" w:ascii="仿宋_GB2312" w:hAnsi="仿宋" w:eastAsia="仿宋_GB2312"/>
                <w:snapToGrid w:val="0"/>
                <w:kern w:val="28"/>
                <w:sz w:val="24"/>
                <w:szCs w:val="24"/>
              </w:rPr>
              <w:t>（2）样品展示（现场演示）：</w:t>
            </w:r>
          </w:p>
          <w:p>
            <w:pPr>
              <w:widowControl w:val="0"/>
              <w:adjustRightInd w:val="0"/>
              <w:spacing w:line="360" w:lineRule="auto"/>
              <w:contextualSpacing/>
              <w:jc w:val="both"/>
              <w:rPr>
                <w:rFonts w:hint="eastAsia" w:ascii="仿宋_GB2312" w:hAnsi="仿宋" w:eastAsia="仿宋_GB2312"/>
                <w:snapToGrid w:val="0"/>
                <w:kern w:val="28"/>
                <w:sz w:val="24"/>
                <w:szCs w:val="24"/>
              </w:rPr>
            </w:pPr>
            <w:r>
              <w:rPr>
                <w:rFonts w:hint="eastAsia" w:ascii="仿宋_GB2312" w:hAnsi="仿宋" w:eastAsia="仿宋_GB2312"/>
                <w:snapToGrid w:val="0"/>
                <w:kern w:val="28"/>
                <w:sz w:val="24"/>
                <w:szCs w:val="24"/>
              </w:rPr>
              <w:t>现场演示内容：根据招标文件的技术要求进行现场实物演示。</w:t>
            </w:r>
          </w:p>
          <w:p>
            <w:pPr>
              <w:widowControl w:val="0"/>
              <w:adjustRightInd w:val="0"/>
              <w:spacing w:line="360" w:lineRule="auto"/>
              <w:contextualSpacing/>
              <w:jc w:val="both"/>
              <w:rPr>
                <w:rFonts w:hint="eastAsia" w:ascii="仿宋_GB2312" w:hAnsi="仿宋" w:eastAsia="仿宋_GB2312"/>
                <w:snapToGrid w:val="0"/>
                <w:kern w:val="28"/>
                <w:sz w:val="24"/>
                <w:szCs w:val="24"/>
              </w:rPr>
            </w:pPr>
            <w:r>
              <w:rPr>
                <w:rFonts w:hint="eastAsia" w:ascii="仿宋_GB2312" w:hAnsi="仿宋" w:eastAsia="仿宋_GB2312"/>
                <w:snapToGrid w:val="0"/>
                <w:kern w:val="28"/>
                <w:sz w:val="24"/>
                <w:szCs w:val="24"/>
              </w:rPr>
              <w:t>现场演示时间：原则上现场演示时间为15分钟，具体以开标结束后采购机构工作人员现场通知为准。</w:t>
            </w:r>
          </w:p>
          <w:p>
            <w:pPr>
              <w:widowControl w:val="0"/>
              <w:adjustRightInd w:val="0"/>
              <w:spacing w:line="360" w:lineRule="auto"/>
              <w:contextualSpacing/>
              <w:jc w:val="both"/>
              <w:rPr>
                <w:rFonts w:hint="eastAsia" w:ascii="仿宋_GB2312" w:hAnsi="仿宋" w:eastAsia="仿宋_GB2312"/>
                <w:snapToGrid w:val="0"/>
                <w:kern w:val="28"/>
                <w:sz w:val="24"/>
                <w:szCs w:val="24"/>
              </w:rPr>
            </w:pPr>
            <w:r>
              <w:rPr>
                <w:rFonts w:hint="eastAsia" w:ascii="仿宋_GB2312" w:hAnsi="仿宋" w:eastAsia="仿宋_GB2312"/>
                <w:snapToGrid w:val="0"/>
                <w:kern w:val="28"/>
                <w:sz w:val="24"/>
                <w:szCs w:val="24"/>
              </w:rPr>
              <w:t>其他要求：所有投标人需登记确认展示样品。投标人根据采购机构通知自行取回投标样品，有关样品展示所发生的一切费用由投标人自行承担。</w:t>
            </w:r>
          </w:p>
          <w:p>
            <w:pPr>
              <w:widowControl w:val="0"/>
              <w:adjustRightInd w:val="0"/>
              <w:spacing w:line="360" w:lineRule="auto"/>
              <w:contextualSpacing/>
              <w:jc w:val="both"/>
              <w:rPr>
                <w:rFonts w:hint="eastAsia" w:ascii="仿宋_GB2312" w:hAnsi="仿宋" w:eastAsia="仿宋_GB2312"/>
                <w:snapToGrid w:val="0"/>
                <w:kern w:val="28"/>
                <w:sz w:val="24"/>
                <w:szCs w:val="24"/>
              </w:rPr>
            </w:pPr>
            <w:r>
              <w:rPr>
                <w:rFonts w:hint="eastAsia" w:ascii="仿宋_GB2312" w:hAnsi="仿宋" w:eastAsia="仿宋_GB2312"/>
                <w:snapToGrid w:val="0"/>
                <w:kern w:val="28"/>
                <w:sz w:val="24"/>
                <w:szCs w:val="24"/>
              </w:rPr>
              <w:t>特别说明：投标人需自备足够长度接线板。杭州市教育技术中心仅提供演示场地及220V电源，其他现场演示所需要的材料、设备等均由投标人自行提供。”</w:t>
            </w:r>
          </w:p>
          <w:p>
            <w:pPr>
              <w:widowControl w:val="0"/>
              <w:adjustRightInd w:val="0"/>
              <w:spacing w:line="360" w:lineRule="auto"/>
              <w:contextualSpacing/>
              <w:jc w:val="both"/>
              <w:rPr>
                <w:rFonts w:hint="eastAsia" w:ascii="仿宋_GB2312" w:hAnsi="仿宋" w:eastAsia="仿宋_GB2312"/>
                <w:snapToGrid w:val="0"/>
                <w:kern w:val="28"/>
                <w:sz w:val="24"/>
                <w:szCs w:val="24"/>
              </w:rPr>
            </w:pPr>
            <w:r>
              <w:rPr>
                <w:rFonts w:hint="eastAsia" w:ascii="仿宋_GB2312" w:hAnsi="仿宋" w:eastAsia="仿宋_GB2312"/>
                <w:snapToGrid w:val="0"/>
                <w:kern w:val="28"/>
                <w:sz w:val="24"/>
                <w:szCs w:val="24"/>
              </w:rPr>
              <w:t>（3）提供样品的时间：2019年6月27日上午8时整起至6月27日上午9时整止；地点：杭州市教育技术综合楼一楼。</w:t>
            </w:r>
          </w:p>
          <w:p>
            <w:pPr>
              <w:widowControl w:val="0"/>
              <w:adjustRightInd w:val="0"/>
              <w:spacing w:line="360" w:lineRule="auto"/>
              <w:contextualSpacing/>
              <w:jc w:val="both"/>
              <w:rPr>
                <w:rFonts w:hint="eastAsia" w:ascii="仿宋_GB2312" w:hAnsi="仿宋" w:eastAsia="仿宋_GB2312"/>
                <w:snapToGrid w:val="0"/>
                <w:kern w:val="28"/>
                <w:sz w:val="24"/>
                <w:szCs w:val="24"/>
              </w:rPr>
            </w:pPr>
            <w:r>
              <w:rPr>
                <w:rFonts w:hint="eastAsia" w:ascii="仿宋_GB2312" w:hAnsi="仿宋" w:eastAsia="仿宋_GB2312"/>
                <w:snapToGrid w:val="0"/>
                <w:kern w:val="28"/>
                <w:sz w:val="24"/>
                <w:szCs w:val="24"/>
              </w:rPr>
              <w:t>(4)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widowControl w:val="0"/>
              <w:adjustRightInd w:val="0"/>
              <w:spacing w:line="360" w:lineRule="auto"/>
              <w:contextualSpacing/>
              <w:jc w:val="both"/>
              <w:rPr>
                <w:rFonts w:hint="eastAsia" w:ascii="仿宋_GB2312" w:hAnsi="仿宋" w:eastAsia="仿宋_GB2312"/>
                <w:snapToGrid w:val="0"/>
                <w:kern w:val="28"/>
                <w:sz w:val="24"/>
                <w:szCs w:val="24"/>
              </w:rPr>
            </w:pPr>
            <w:r>
              <w:rPr>
                <w:rFonts w:hint="eastAsia" w:ascii="仿宋_GB2312" w:hAnsi="仿宋" w:eastAsia="仿宋_GB2312"/>
                <w:snapToGrid w:val="0"/>
                <w:kern w:val="28"/>
                <w:sz w:val="24"/>
                <w:szCs w:val="24"/>
              </w:rPr>
              <w:t>（5）制作、运输、安装和保管样品所发生的一切费用由投标人自理。</w:t>
            </w:r>
          </w:p>
          <w:p>
            <w:pPr>
              <w:widowControl w:val="0"/>
              <w:adjustRightInd w:val="0"/>
              <w:spacing w:line="360" w:lineRule="auto"/>
              <w:contextualSpacing/>
              <w:jc w:val="both"/>
              <w:rPr>
                <w:rFonts w:hint="eastAsia" w:ascii="仿宋_GB2312" w:hAnsi="仿宋" w:eastAsia="仿宋_GB2312"/>
                <w:snapToGrid w:val="0"/>
                <w:kern w:val="28"/>
                <w:sz w:val="24"/>
                <w:szCs w:val="24"/>
              </w:rPr>
            </w:pPr>
            <w:r>
              <w:rPr>
                <w:rFonts w:hint="eastAsia" w:ascii="仿宋_GB2312" w:hAnsi="仿宋" w:eastAsia="仿宋_GB2312"/>
                <w:snapToGrid w:val="0"/>
                <w:kern w:val="28"/>
                <w:sz w:val="24"/>
                <w:szCs w:val="24"/>
              </w:rPr>
              <w:t>▲</w:t>
            </w:r>
            <w:r>
              <w:rPr>
                <w:rFonts w:hint="eastAsia" w:ascii="仿宋_GB2312" w:hAnsi="仿宋" w:eastAsia="仿宋_GB2312"/>
                <w:b/>
                <w:snapToGrid w:val="0"/>
                <w:kern w:val="28"/>
                <w:sz w:val="24"/>
                <w:szCs w:val="24"/>
              </w:rPr>
              <w:t>招标文件要求提供样品，投标人提供非投标产品样品或没有提供样品的，投标无效。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wBefore w:w="0" w:type="dxa"/>
          <w:wAfter w:w="0" w:type="dxa"/>
          <w:trHeight w:val="1936" w:hRule="atLeast"/>
          <w:tblHeader/>
        </w:trPr>
        <w:tc>
          <w:tcPr>
            <w:tcW w:w="629" w:type="dxa"/>
            <w:tcBorders>
              <w:top w:val="single" w:color="auto" w:sz="4" w:space="0"/>
              <w:left w:val="single" w:color="auto" w:sz="4" w:space="0"/>
              <w:bottom w:val="single" w:color="auto" w:sz="4" w:space="0"/>
              <w:right w:val="single" w:color="auto" w:sz="4" w:space="0"/>
            </w:tcBorders>
            <w:noWrap w:val="0"/>
            <w:vAlign w:val="top"/>
          </w:tcPr>
          <w:p>
            <w:pPr>
              <w:widowControl w:val="0"/>
              <w:adjustRightInd w:val="0"/>
              <w:snapToGrid w:val="0"/>
              <w:spacing w:line="360" w:lineRule="auto"/>
              <w:jc w:val="center"/>
              <w:rPr>
                <w:rFonts w:hint="eastAsia" w:ascii="仿宋_GB2312" w:hAnsi="仿宋" w:eastAsia="仿宋_GB2312" w:cs="仿宋_GB2312"/>
                <w:sz w:val="24"/>
                <w:szCs w:val="24"/>
              </w:rPr>
            </w:pPr>
          </w:p>
          <w:p>
            <w:pPr>
              <w:widowControl w:val="0"/>
              <w:adjustRightInd w:val="0"/>
              <w:snapToGrid w:val="0"/>
              <w:spacing w:line="360" w:lineRule="auto"/>
              <w:jc w:val="center"/>
              <w:rPr>
                <w:rFonts w:hint="eastAsia" w:ascii="仿宋_GB2312" w:hAnsi="仿宋" w:eastAsia="仿宋_GB2312" w:cs="仿宋_GB2312"/>
                <w:sz w:val="24"/>
                <w:szCs w:val="24"/>
              </w:rPr>
            </w:pPr>
            <w:r>
              <w:rPr>
                <w:rFonts w:hint="eastAsia" w:ascii="仿宋_GB2312" w:hAnsi="仿宋" w:eastAsia="仿宋_GB2312" w:cs="仿宋_GB2312"/>
                <w:sz w:val="24"/>
                <w:szCs w:val="24"/>
              </w:rPr>
              <w:t>7</w:t>
            </w:r>
          </w:p>
        </w:tc>
        <w:tc>
          <w:tcPr>
            <w:tcW w:w="1843" w:type="dxa"/>
            <w:tcBorders>
              <w:top w:val="single" w:color="000000" w:sz="8" w:space="0"/>
              <w:left w:val="single" w:color="auto" w:sz="4" w:space="0"/>
              <w:bottom w:val="single" w:color="000000" w:sz="8" w:space="0"/>
              <w:right w:val="single" w:color="000000" w:sz="8" w:space="0"/>
            </w:tcBorders>
            <w:noWrap w:val="0"/>
            <w:vAlign w:val="center"/>
          </w:tcPr>
          <w:p>
            <w:pPr>
              <w:widowControl w:val="0"/>
              <w:adjustRightInd w:val="0"/>
              <w:snapToGrid w:val="0"/>
              <w:spacing w:line="360" w:lineRule="auto"/>
              <w:jc w:val="center"/>
              <w:rPr>
                <w:rFonts w:hint="eastAsia" w:ascii="仿宋_GB2312" w:hAnsi="仿宋" w:eastAsia="仿宋_GB2312" w:cs="仿宋_GB2312"/>
                <w:b/>
                <w:sz w:val="24"/>
                <w:szCs w:val="24"/>
              </w:rPr>
            </w:pPr>
            <w:r>
              <w:rPr>
                <w:rFonts w:hint="eastAsia" w:ascii="仿宋_GB2312" w:hAnsi="仿宋" w:eastAsia="仿宋_GB2312" w:cs="仿宋_GB2312"/>
                <w:b/>
                <w:sz w:val="24"/>
                <w:szCs w:val="24"/>
              </w:rPr>
              <w:t>现场演示</w:t>
            </w:r>
          </w:p>
        </w:tc>
        <w:tc>
          <w:tcPr>
            <w:tcW w:w="6379" w:type="dxa"/>
            <w:tcBorders>
              <w:top w:val="single" w:color="000000" w:sz="8" w:space="0"/>
              <w:left w:val="single" w:color="000000" w:sz="2" w:space="0"/>
              <w:bottom w:val="single" w:color="000000" w:sz="8" w:space="0"/>
              <w:right w:val="single" w:color="000000" w:sz="8" w:space="0"/>
            </w:tcBorders>
            <w:noWrap w:val="0"/>
            <w:vAlign w:val="center"/>
          </w:tcPr>
          <w:p>
            <w:pPr>
              <w:adjustRightInd w:val="0"/>
              <w:spacing w:before="100" w:beforeAutospacing="1" w:after="240"/>
              <w:contextualSpacing/>
              <w:rPr>
                <w:rFonts w:hint="eastAsia" w:ascii="仿宋_GB2312" w:hAnsi="仿宋" w:eastAsia="仿宋_GB2312"/>
                <w:snapToGrid w:val="0"/>
                <w:kern w:val="28"/>
                <w:sz w:val="24"/>
                <w:szCs w:val="24"/>
              </w:rPr>
            </w:pPr>
            <w:r>
              <w:rPr>
                <w:rFonts w:hint="eastAsia" w:ascii="仿宋_GB2312" w:hAnsi="仿宋" w:eastAsia="仿宋_GB2312"/>
                <w:snapToGrid w:val="0"/>
                <w:kern w:val="28"/>
                <w:sz w:val="24"/>
                <w:szCs w:val="24"/>
              </w:rPr>
              <w:t>第一标项投标产品讲解安排：在评标时将安排每个投标人讲解投标方案，每个投标人时间不超过15分钟。讲标次序以投标登记次序为准。讲标进场人员须为投标人所属固定职员，</w:t>
            </w:r>
            <w:r>
              <w:rPr>
                <w:rFonts w:hint="eastAsia" w:ascii="仿宋_GB2312" w:hAnsi="仿宋_GB2312" w:eastAsia="仿宋_GB2312" w:cs="仿宋_GB2312"/>
                <w:b/>
                <w:kern w:val="10"/>
                <w:sz w:val="24"/>
              </w:rPr>
              <w:t>除授权代表外其他人员</w:t>
            </w:r>
            <w:r>
              <w:rPr>
                <w:rFonts w:hint="eastAsia" w:ascii="仿宋_GB2312" w:hAnsi="仿宋" w:eastAsia="仿宋_GB2312"/>
                <w:snapToGrid w:val="0"/>
                <w:kern w:val="28"/>
                <w:sz w:val="24"/>
                <w:szCs w:val="24"/>
              </w:rPr>
              <w:t>需携带身份证和提供投标人</w:t>
            </w:r>
            <w:r>
              <w:rPr>
                <w:rFonts w:hint="eastAsia" w:ascii="仿宋_GB2312" w:hAnsi="仿宋" w:eastAsia="仿宋_GB2312"/>
                <w:b/>
                <w:snapToGrid w:val="0"/>
                <w:kern w:val="28"/>
                <w:sz w:val="24"/>
                <w:szCs w:val="24"/>
              </w:rPr>
              <w:t>出具的在职证明（注明姓名，身份证）</w:t>
            </w:r>
            <w:r>
              <w:rPr>
                <w:rFonts w:hint="eastAsia" w:ascii="仿宋_GB2312" w:hAnsi="仿宋" w:eastAsia="仿宋_GB2312"/>
                <w:snapToGrid w:val="0"/>
                <w:kern w:val="28"/>
                <w:sz w:val="24"/>
                <w:szCs w:val="24"/>
              </w:rPr>
              <w:t>，否则不得进场讲标。讲标结束后由投标人解答评标委员会的提问。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wBefore w:w="0" w:type="dxa"/>
          <w:wAfter w:w="0" w:type="dxa"/>
          <w:trHeight w:val="1626" w:hRule="atLeast"/>
          <w:tblHeader/>
        </w:trPr>
        <w:tc>
          <w:tcPr>
            <w:tcW w:w="629" w:type="dxa"/>
            <w:tcBorders>
              <w:top w:val="single" w:color="auto" w:sz="4" w:space="0"/>
              <w:left w:val="single" w:color="000000" w:sz="8" w:space="0"/>
              <w:bottom w:val="single" w:color="000000" w:sz="8" w:space="0"/>
              <w:right w:val="single" w:color="000000" w:sz="2" w:space="0"/>
            </w:tcBorders>
            <w:noWrap w:val="0"/>
            <w:vAlign w:val="top"/>
          </w:tcPr>
          <w:p>
            <w:pPr>
              <w:widowControl w:val="0"/>
              <w:adjustRightInd w:val="0"/>
              <w:snapToGrid w:val="0"/>
              <w:spacing w:line="360" w:lineRule="auto"/>
              <w:jc w:val="center"/>
              <w:rPr>
                <w:rFonts w:hint="eastAsia" w:ascii="仿宋_GB2312" w:hAnsi="仿宋" w:eastAsia="仿宋_GB2312" w:cs="仿宋_GB2312"/>
                <w:sz w:val="24"/>
                <w:szCs w:val="24"/>
              </w:rPr>
            </w:pPr>
          </w:p>
          <w:p>
            <w:pPr>
              <w:widowControl w:val="0"/>
              <w:adjustRightInd w:val="0"/>
              <w:snapToGrid w:val="0"/>
              <w:spacing w:line="360" w:lineRule="auto"/>
              <w:jc w:val="center"/>
              <w:rPr>
                <w:rFonts w:hint="eastAsia" w:ascii="仿宋_GB2312" w:hAnsi="仿宋" w:eastAsia="仿宋_GB2312" w:cs="仿宋_GB2312"/>
                <w:sz w:val="24"/>
                <w:szCs w:val="24"/>
              </w:rPr>
            </w:pPr>
            <w:r>
              <w:rPr>
                <w:rFonts w:hint="eastAsia" w:ascii="仿宋_GB2312" w:hAnsi="仿宋" w:eastAsia="仿宋_GB2312" w:cs="仿宋_GB2312"/>
                <w:sz w:val="24"/>
                <w:szCs w:val="24"/>
              </w:rPr>
              <w:t>8</w:t>
            </w:r>
          </w:p>
        </w:tc>
        <w:tc>
          <w:tcPr>
            <w:tcW w:w="1843" w:type="dxa"/>
            <w:tcBorders>
              <w:top w:val="single" w:color="000000" w:sz="8" w:space="0"/>
              <w:left w:val="single" w:color="000000" w:sz="2" w:space="0"/>
              <w:bottom w:val="single" w:color="000000" w:sz="8" w:space="0"/>
              <w:right w:val="single" w:color="000000" w:sz="8" w:space="0"/>
            </w:tcBorders>
            <w:noWrap w:val="0"/>
            <w:vAlign w:val="center"/>
          </w:tcPr>
          <w:p>
            <w:pPr>
              <w:widowControl w:val="0"/>
              <w:adjustRightInd w:val="0"/>
              <w:snapToGrid w:val="0"/>
              <w:spacing w:line="360" w:lineRule="auto"/>
              <w:jc w:val="center"/>
              <w:rPr>
                <w:rFonts w:hint="eastAsia" w:ascii="仿宋_GB2312" w:hAnsi="仿宋" w:eastAsia="仿宋_GB2312" w:cs="仿宋_GB2312"/>
                <w:b/>
                <w:sz w:val="24"/>
                <w:szCs w:val="24"/>
              </w:rPr>
            </w:pPr>
            <w:r>
              <w:rPr>
                <w:rFonts w:hint="eastAsia" w:ascii="仿宋_GB2312" w:hAnsi="仿宋" w:eastAsia="仿宋_GB2312" w:cs="仿宋_GB2312"/>
                <w:b/>
                <w:sz w:val="24"/>
                <w:szCs w:val="24"/>
              </w:rPr>
              <w:t>采购机构代理费用</w:t>
            </w:r>
          </w:p>
        </w:tc>
        <w:tc>
          <w:tcPr>
            <w:tcW w:w="6379" w:type="dxa"/>
            <w:tcBorders>
              <w:top w:val="single" w:color="000000" w:sz="8" w:space="0"/>
              <w:left w:val="single" w:color="000000" w:sz="2" w:space="0"/>
              <w:bottom w:val="single" w:color="000000" w:sz="8" w:space="0"/>
              <w:right w:val="single" w:color="000000" w:sz="8" w:space="0"/>
            </w:tcBorders>
            <w:noWrap w:val="0"/>
            <w:vAlign w:val="center"/>
          </w:tcPr>
          <w:p>
            <w:pPr>
              <w:widowControl w:val="0"/>
              <w:adjustRightInd w:val="0"/>
              <w:snapToGrid w:val="0"/>
              <w:spacing w:line="360" w:lineRule="auto"/>
              <w:jc w:val="both"/>
              <w:rPr>
                <w:rFonts w:hint="eastAsia" w:ascii="仿宋_GB2312" w:hAnsi="仿宋" w:eastAsia="仿宋_GB2312"/>
                <w:sz w:val="24"/>
                <w:szCs w:val="24"/>
              </w:rPr>
            </w:pPr>
            <w:r>
              <w:rPr>
                <w:rFonts w:hint="eastAsia" w:ascii="仿宋_GB2312" w:hAnsi="仿宋" w:eastAsia="仿宋_GB2312"/>
                <w:sz w:val="24"/>
                <w:szCs w:val="24"/>
              </w:rPr>
              <w:t>无。</w:t>
            </w:r>
          </w:p>
        </w:tc>
      </w:tr>
    </w:tbl>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pStyle w:val="3"/>
        <w:keepNext w:val="0"/>
        <w:numPr>
          <w:ilvl w:val="0"/>
          <w:numId w:val="0"/>
        </w:numPr>
        <w:spacing w:line="460" w:lineRule="exact"/>
        <w:jc w:val="center"/>
        <w:rPr>
          <w:rFonts w:hint="eastAsia"/>
          <w:b/>
          <w:sz w:val="32"/>
        </w:rPr>
      </w:pPr>
      <w:r>
        <w:rPr>
          <w:rFonts w:hint="eastAsia"/>
          <w:b/>
          <w:sz w:val="32"/>
        </w:rPr>
        <w:t>一 、</w:t>
      </w:r>
      <w:bookmarkEnd w:id="7"/>
      <w:bookmarkEnd w:id="8"/>
      <w:bookmarkEnd w:id="9"/>
      <w:bookmarkEnd w:id="10"/>
      <w:r>
        <w:rPr>
          <w:rFonts w:hint="eastAsia"/>
          <w:b/>
          <w:sz w:val="32"/>
        </w:rPr>
        <w:t>总则</w:t>
      </w:r>
    </w:p>
    <w:p>
      <w:pPr>
        <w:widowControl w:val="0"/>
        <w:adjustRightInd w:val="0"/>
        <w:snapToGrid w:val="0"/>
        <w:spacing w:line="360" w:lineRule="auto"/>
        <w:ind w:firstLine="361" w:firstLineChars="150"/>
        <w:outlineLvl w:val="1"/>
        <w:rPr>
          <w:rFonts w:hint="eastAsia" w:ascii="仿宋_GB2312" w:hAnsi="仿宋" w:eastAsia="仿宋_GB2312"/>
          <w:b/>
          <w:sz w:val="24"/>
          <w:szCs w:val="24"/>
        </w:rPr>
      </w:pPr>
      <w:r>
        <w:rPr>
          <w:rFonts w:hint="eastAsia" w:ascii="仿宋_GB2312" w:hAnsi="仿宋" w:eastAsia="仿宋_GB2312"/>
          <w:b/>
          <w:sz w:val="24"/>
          <w:szCs w:val="24"/>
        </w:rPr>
        <w:t>1. 适用范围</w:t>
      </w:r>
    </w:p>
    <w:p>
      <w:pPr>
        <w:widowControl w:val="0"/>
        <w:adjustRightInd w:val="0"/>
        <w:snapToGrid w:val="0"/>
        <w:spacing w:line="360" w:lineRule="auto"/>
        <w:ind w:firstLine="480" w:firstLineChars="200"/>
        <w:rPr>
          <w:rFonts w:hint="eastAsia" w:ascii="仿宋_GB2312" w:hAnsi="仿宋" w:eastAsia="仿宋_GB2312"/>
          <w:sz w:val="24"/>
          <w:szCs w:val="24"/>
        </w:rPr>
      </w:pPr>
      <w:r>
        <w:rPr>
          <w:rFonts w:hint="eastAsia" w:ascii="仿宋_GB2312" w:hAnsi="仿宋" w:eastAsia="仿宋_GB2312"/>
          <w:sz w:val="24"/>
          <w:szCs w:val="24"/>
        </w:rPr>
        <w:t>本招标文件适用于该项目的招标、投标、开标、资格审查及信用信息查询、评标、定标、合同、验收等行为（法律、法规另有规定的，从其规定）。</w:t>
      </w:r>
    </w:p>
    <w:p>
      <w:pPr>
        <w:widowControl w:val="0"/>
        <w:spacing w:line="360" w:lineRule="auto"/>
        <w:jc w:val="both"/>
        <w:outlineLvl w:val="0"/>
        <w:rPr>
          <w:rFonts w:hint="eastAsia" w:ascii="仿宋_GB2312" w:hAnsi="仿宋" w:eastAsia="仿宋_GB2312" w:cs="仿宋_GB2312"/>
          <w:b/>
          <w:sz w:val="24"/>
          <w:szCs w:val="24"/>
        </w:rPr>
      </w:pPr>
      <w:r>
        <w:rPr>
          <w:rFonts w:hint="eastAsia" w:ascii="仿宋_GB2312" w:hAnsi="仿宋" w:eastAsia="仿宋_GB2312" w:cs="仿宋_GB2312"/>
          <w:b/>
          <w:sz w:val="24"/>
          <w:szCs w:val="24"/>
        </w:rPr>
        <w:t xml:space="preserve">   2.定义</w:t>
      </w:r>
    </w:p>
    <w:p>
      <w:pPr>
        <w:widowControl w:val="0"/>
        <w:adjustRightInd w:val="0"/>
        <w:spacing w:line="360" w:lineRule="auto"/>
        <w:ind w:firstLine="480" w:firstLineChars="200"/>
        <w:jc w:val="both"/>
        <w:rPr>
          <w:rFonts w:hint="eastAsia" w:ascii="仿宋_GB2312" w:hAnsi="仿宋" w:eastAsia="仿宋_GB2312"/>
          <w:sz w:val="24"/>
          <w:szCs w:val="24"/>
        </w:rPr>
      </w:pPr>
      <w:r>
        <w:rPr>
          <w:rFonts w:hint="eastAsia" w:ascii="仿宋_GB2312" w:hAnsi="仿宋" w:eastAsia="仿宋_GB2312"/>
          <w:sz w:val="24"/>
          <w:szCs w:val="24"/>
        </w:rPr>
        <w:t>2.1 “采购人”系指招标公告中载明的本项目的采购人。</w:t>
      </w:r>
    </w:p>
    <w:p>
      <w:pPr>
        <w:widowControl w:val="0"/>
        <w:adjustRightInd w:val="0"/>
        <w:spacing w:line="360" w:lineRule="auto"/>
        <w:ind w:firstLine="480" w:firstLineChars="200"/>
        <w:jc w:val="both"/>
        <w:rPr>
          <w:rFonts w:hint="eastAsia" w:ascii="仿宋_GB2312" w:hAnsi="仿宋" w:eastAsia="仿宋_GB2312"/>
          <w:sz w:val="24"/>
          <w:szCs w:val="24"/>
        </w:rPr>
      </w:pPr>
      <w:r>
        <w:rPr>
          <w:rFonts w:hint="eastAsia" w:ascii="仿宋_GB2312" w:hAnsi="仿宋" w:eastAsia="仿宋_GB2312"/>
          <w:sz w:val="24"/>
          <w:szCs w:val="24"/>
        </w:rPr>
        <w:t>2.2 “采购机构”系指招标公告中载明的本项目的采购机构。</w:t>
      </w:r>
    </w:p>
    <w:p>
      <w:pPr>
        <w:widowControl w:val="0"/>
        <w:adjustRightInd w:val="0"/>
        <w:spacing w:line="360" w:lineRule="auto"/>
        <w:ind w:firstLine="480" w:firstLineChars="200"/>
        <w:jc w:val="both"/>
        <w:rPr>
          <w:rFonts w:hint="eastAsia" w:ascii="仿宋_GB2312" w:hAnsi="仿宋" w:eastAsia="仿宋_GB2312"/>
          <w:sz w:val="24"/>
          <w:szCs w:val="24"/>
        </w:rPr>
      </w:pPr>
      <w:r>
        <w:rPr>
          <w:rFonts w:hint="eastAsia" w:ascii="仿宋_GB2312" w:hAnsi="仿宋" w:eastAsia="仿宋_GB2312"/>
          <w:sz w:val="24"/>
          <w:szCs w:val="24"/>
        </w:rPr>
        <w:t>2.3 “投标人”系指是指响应招标、参加投标竞争的法人、其他组织或者自然人。。</w:t>
      </w:r>
    </w:p>
    <w:p>
      <w:pPr>
        <w:widowControl w:val="0"/>
        <w:adjustRightInd w:val="0"/>
        <w:spacing w:line="360" w:lineRule="auto"/>
        <w:ind w:firstLine="480" w:firstLineChars="200"/>
        <w:jc w:val="both"/>
        <w:rPr>
          <w:rFonts w:hint="eastAsia" w:ascii="仿宋_GB2312" w:hAnsi="仿宋" w:eastAsia="仿宋_GB2312"/>
          <w:sz w:val="24"/>
          <w:szCs w:val="24"/>
        </w:rPr>
      </w:pPr>
      <w:r>
        <w:rPr>
          <w:rFonts w:hint="eastAsia" w:ascii="仿宋_GB2312" w:hAnsi="仿宋" w:eastAsia="仿宋_GB2312"/>
          <w:sz w:val="24"/>
          <w:szCs w:val="24"/>
        </w:rPr>
        <w:t>2.4 “负责人”系指法人企业的法定负责人，或其他组织为法律、行政法规规定代表单位行使职权的主要负责人，或自然人本人。</w:t>
      </w:r>
    </w:p>
    <w:p>
      <w:pPr>
        <w:widowControl w:val="0"/>
        <w:adjustRightInd w:val="0"/>
        <w:spacing w:line="360" w:lineRule="auto"/>
        <w:ind w:firstLine="480" w:firstLineChars="200"/>
        <w:jc w:val="both"/>
        <w:rPr>
          <w:rFonts w:hint="eastAsia" w:ascii="仿宋_GB2312" w:hAnsi="仿宋" w:eastAsia="仿宋_GB2312"/>
          <w:sz w:val="24"/>
          <w:szCs w:val="24"/>
        </w:rPr>
      </w:pPr>
      <w:r>
        <w:rPr>
          <w:rFonts w:hint="eastAsia" w:ascii="仿宋_GB2312" w:hAnsi="仿宋" w:eastAsia="仿宋_GB2312"/>
          <w:sz w:val="24"/>
          <w:szCs w:val="24"/>
        </w:rPr>
        <w:t>2.5 “▲” 系指实质性要求条款，“★”系产品采购项目中单一产品或核心产品。</w:t>
      </w:r>
    </w:p>
    <w:p>
      <w:pPr>
        <w:widowControl w:val="0"/>
        <w:adjustRightInd w:val="0"/>
        <w:spacing w:line="360" w:lineRule="auto"/>
        <w:ind w:firstLine="241" w:firstLineChars="100"/>
        <w:jc w:val="both"/>
        <w:rPr>
          <w:rFonts w:hint="eastAsia" w:ascii="仿宋_GB2312" w:hAnsi="仿宋" w:eastAsia="仿宋_GB2312"/>
          <w:b/>
          <w:sz w:val="24"/>
          <w:szCs w:val="24"/>
        </w:rPr>
      </w:pPr>
      <w:r>
        <w:rPr>
          <w:rFonts w:hint="eastAsia" w:ascii="仿宋_GB2312" w:hAnsi="仿宋" w:eastAsia="仿宋_GB2312"/>
          <w:b/>
          <w:sz w:val="24"/>
          <w:szCs w:val="24"/>
        </w:rPr>
        <w:t>3.</w:t>
      </w:r>
      <w:r>
        <w:rPr>
          <w:rFonts w:hint="eastAsia" w:ascii="仿宋_GB2312" w:hAnsi="仿宋" w:eastAsia="仿宋_GB2312"/>
          <w:szCs w:val="24"/>
        </w:rPr>
        <w:t xml:space="preserve"> </w:t>
      </w:r>
      <w:r>
        <w:rPr>
          <w:rFonts w:hint="eastAsia" w:ascii="仿宋_GB2312" w:hAnsi="仿宋" w:eastAsia="仿宋_GB2312"/>
          <w:b/>
          <w:sz w:val="24"/>
          <w:szCs w:val="24"/>
        </w:rPr>
        <w:t>采购项目需要落实的政府采购政策</w:t>
      </w:r>
    </w:p>
    <w:p>
      <w:pPr>
        <w:widowControl w:val="0"/>
        <w:adjustRightInd w:val="0"/>
        <w:spacing w:line="360" w:lineRule="auto"/>
        <w:ind w:firstLine="240" w:firstLineChars="100"/>
        <w:jc w:val="both"/>
        <w:rPr>
          <w:rFonts w:hint="eastAsia" w:ascii="仿宋_GB2312" w:hAnsi="仿宋" w:eastAsia="仿宋_GB2312"/>
          <w:sz w:val="24"/>
          <w:szCs w:val="24"/>
        </w:rPr>
      </w:pPr>
      <w:r>
        <w:rPr>
          <w:rFonts w:hint="eastAsia" w:ascii="仿宋_GB2312" w:hAnsi="仿宋" w:eastAsia="仿宋_GB2312"/>
          <w:sz w:val="24"/>
          <w:szCs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widowControl w:val="0"/>
        <w:adjustRightInd w:val="0"/>
        <w:spacing w:line="360" w:lineRule="auto"/>
        <w:ind w:firstLine="240" w:firstLineChars="100"/>
        <w:jc w:val="both"/>
        <w:rPr>
          <w:rFonts w:hint="eastAsia" w:ascii="仿宋_GB2312" w:hAnsi="仿宋" w:eastAsia="仿宋_GB2312"/>
          <w:sz w:val="24"/>
          <w:szCs w:val="24"/>
        </w:rPr>
      </w:pPr>
      <w:r>
        <w:rPr>
          <w:rFonts w:hint="eastAsia" w:ascii="仿宋_GB2312" w:hAnsi="仿宋" w:eastAsia="仿宋_GB2312"/>
          <w:sz w:val="24"/>
          <w:szCs w:val="24"/>
        </w:rPr>
        <w:t>3.2 节能环保要求</w:t>
      </w:r>
    </w:p>
    <w:p>
      <w:pPr>
        <w:widowControl w:val="0"/>
        <w:adjustRightInd w:val="0"/>
        <w:spacing w:line="360" w:lineRule="auto"/>
        <w:ind w:firstLine="480" w:firstLineChars="200"/>
        <w:jc w:val="both"/>
        <w:rPr>
          <w:rFonts w:hint="eastAsia" w:ascii="仿宋_GB2312" w:hAnsi="仿宋" w:eastAsia="仿宋_GB2312"/>
          <w:sz w:val="24"/>
          <w:szCs w:val="24"/>
        </w:rPr>
      </w:pPr>
      <w:r>
        <w:rPr>
          <w:rFonts w:hint="eastAsia" w:ascii="仿宋_GB2312" w:hAnsi="仿宋" w:eastAsia="仿宋_GB2312"/>
          <w:sz w:val="24"/>
          <w:szCs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widowControl w:val="0"/>
        <w:adjustRightInd w:val="0"/>
        <w:spacing w:line="360" w:lineRule="auto"/>
        <w:ind w:firstLine="480" w:firstLineChars="200"/>
        <w:jc w:val="both"/>
        <w:rPr>
          <w:rFonts w:hint="eastAsia" w:ascii="仿宋_GB2312" w:hAnsi="仿宋" w:eastAsia="仿宋_GB2312"/>
          <w:sz w:val="24"/>
          <w:szCs w:val="24"/>
        </w:rPr>
      </w:pPr>
      <w:r>
        <w:rPr>
          <w:rFonts w:hint="eastAsia" w:ascii="仿宋_GB2312" w:hAnsi="仿宋" w:eastAsia="仿宋_GB2312"/>
          <w:sz w:val="24"/>
          <w:szCs w:val="24"/>
        </w:rPr>
        <w:t>3.2.2采购人拟采购的产品属于政府强制采购的节能产品品目清单范围的，投标人未按招标文件要求提供国家确定的认证机构出具的、处于有效期之内的节能产品认证证书，投标无效。</w:t>
      </w:r>
    </w:p>
    <w:p>
      <w:pPr>
        <w:widowControl w:val="0"/>
        <w:adjustRightInd w:val="0"/>
        <w:spacing w:line="360" w:lineRule="auto"/>
        <w:ind w:firstLine="480" w:firstLineChars="200"/>
        <w:jc w:val="both"/>
        <w:rPr>
          <w:rFonts w:hint="eastAsia" w:ascii="仿宋_GB2312" w:hAnsi="仿宋" w:eastAsia="仿宋_GB2312"/>
          <w:sz w:val="24"/>
          <w:szCs w:val="24"/>
        </w:rPr>
      </w:pPr>
      <w:r>
        <w:rPr>
          <w:rFonts w:hint="eastAsia" w:ascii="仿宋_GB2312" w:hAnsi="仿宋" w:eastAsia="仿宋_GB2312"/>
          <w:sz w:val="24"/>
          <w:szCs w:val="24"/>
        </w:rPr>
        <w:t>3.3</w:t>
      </w:r>
      <w:r>
        <w:rPr>
          <w:rFonts w:hint="eastAsia" w:ascii="仿宋_GB2312" w:eastAsia="仿宋_GB2312"/>
          <w:bCs/>
          <w:sz w:val="24"/>
          <w:szCs w:val="24"/>
        </w:rPr>
        <w:t>小型、微型</w:t>
      </w:r>
      <w:r>
        <w:rPr>
          <w:rFonts w:hint="eastAsia" w:ascii="仿宋_GB2312" w:hAnsi="仿宋" w:eastAsia="仿宋_GB2312"/>
          <w:sz w:val="24"/>
          <w:szCs w:val="24"/>
        </w:rPr>
        <w:t>企业价格扣除。</w:t>
      </w:r>
    </w:p>
    <w:p>
      <w:pPr>
        <w:widowControl w:val="0"/>
        <w:adjustRightInd w:val="0"/>
        <w:spacing w:line="360" w:lineRule="auto"/>
        <w:ind w:firstLine="480" w:firstLineChars="200"/>
        <w:jc w:val="both"/>
        <w:rPr>
          <w:rFonts w:hint="eastAsia" w:ascii="仿宋_GB2312" w:eastAsia="仿宋_GB2312"/>
          <w:bCs/>
          <w:sz w:val="24"/>
          <w:szCs w:val="24"/>
        </w:rPr>
      </w:pPr>
      <w:r>
        <w:rPr>
          <w:rFonts w:hint="eastAsia" w:ascii="仿宋_GB2312" w:hAnsi="仿宋" w:eastAsia="仿宋_GB2312"/>
          <w:sz w:val="24"/>
          <w:szCs w:val="24"/>
        </w:rPr>
        <w:t>3.3.1</w:t>
      </w:r>
      <w:r>
        <w:rPr>
          <w:rFonts w:hint="eastAsia" w:ascii="仿宋_GB2312" w:eastAsia="仿宋_GB2312"/>
          <w:bCs/>
          <w:sz w:val="24"/>
          <w:szCs w:val="24"/>
        </w:rPr>
        <w:t>小型、微型企业应当同时符合以下条件：</w:t>
      </w:r>
    </w:p>
    <w:p>
      <w:pPr>
        <w:widowControl w:val="0"/>
        <w:adjustRightInd w:val="0"/>
        <w:spacing w:line="360" w:lineRule="auto"/>
        <w:ind w:firstLine="480" w:firstLineChars="200"/>
        <w:jc w:val="both"/>
        <w:rPr>
          <w:rFonts w:hint="eastAsia" w:ascii="仿宋_GB2312" w:eastAsia="仿宋_GB2312"/>
          <w:bCs/>
          <w:sz w:val="24"/>
          <w:szCs w:val="24"/>
        </w:rPr>
      </w:pPr>
      <w:r>
        <w:rPr>
          <w:rFonts w:hint="eastAsia" w:ascii="仿宋_GB2312" w:eastAsia="仿宋_GB2312"/>
          <w:bCs/>
          <w:sz w:val="24"/>
          <w:szCs w:val="24"/>
        </w:rPr>
        <w:t>（1）符合中小企业划分标准；</w:t>
      </w:r>
    </w:p>
    <w:p>
      <w:pPr>
        <w:widowControl w:val="0"/>
        <w:adjustRightInd w:val="0"/>
        <w:spacing w:line="360" w:lineRule="auto"/>
        <w:ind w:firstLine="480" w:firstLineChars="200"/>
        <w:jc w:val="both"/>
        <w:rPr>
          <w:rFonts w:hint="eastAsia" w:ascii="仿宋_GB2312" w:eastAsia="仿宋_GB2312"/>
          <w:bCs/>
          <w:sz w:val="24"/>
          <w:szCs w:val="24"/>
        </w:rPr>
      </w:pPr>
      <w:r>
        <w:rPr>
          <w:rFonts w:hint="eastAsia" w:ascii="仿宋_GB2312" w:eastAsia="仿宋_GB2312"/>
          <w:bCs/>
          <w:sz w:val="24"/>
          <w:szCs w:val="24"/>
        </w:rPr>
        <w:t>（2）</w:t>
      </w:r>
      <w:r>
        <w:rPr>
          <w:rFonts w:hint="eastAsia" w:ascii="仿宋_GB2312" w:eastAsia="仿宋_GB2312"/>
          <w:b/>
          <w:bCs/>
          <w:sz w:val="24"/>
          <w:szCs w:val="24"/>
        </w:rPr>
        <w:t>提供本企业制造的货物、承担的工程或者服务，或者提供其他小型、微型企业制造的货物。本项所称货物不包括使用大型企业注册商标的货物。小型、微型企业提供中型企业制造的货物的，视同为中型企业。</w:t>
      </w:r>
    </w:p>
    <w:p>
      <w:pPr>
        <w:widowControl w:val="0"/>
        <w:adjustRightInd w:val="0"/>
        <w:spacing w:line="360" w:lineRule="auto"/>
        <w:ind w:firstLine="480" w:firstLineChars="200"/>
        <w:jc w:val="both"/>
        <w:rPr>
          <w:rFonts w:hint="eastAsia" w:ascii="仿宋_GB2312" w:hAnsi="仿宋" w:eastAsia="仿宋_GB2312"/>
          <w:sz w:val="24"/>
          <w:szCs w:val="24"/>
        </w:rPr>
      </w:pPr>
      <w:r>
        <w:rPr>
          <w:rFonts w:hint="eastAsia" w:ascii="仿宋_GB2312" w:hAnsi="仿宋" w:eastAsia="仿宋_GB2312"/>
          <w:sz w:val="24"/>
          <w:szCs w:val="24"/>
        </w:rPr>
        <w:t>3.3.2小型、微型企业应按照招标文件格式要求提供《中小企业声明函》。</w:t>
      </w:r>
    </w:p>
    <w:p>
      <w:pPr>
        <w:widowControl w:val="0"/>
        <w:adjustRightInd w:val="0"/>
        <w:spacing w:line="360" w:lineRule="auto"/>
        <w:ind w:firstLine="480" w:firstLineChars="200"/>
        <w:jc w:val="both"/>
        <w:rPr>
          <w:rFonts w:hint="eastAsia" w:ascii="仿宋_GB2312" w:hAnsi="仿宋" w:eastAsia="仿宋_GB2312"/>
          <w:sz w:val="24"/>
          <w:szCs w:val="24"/>
        </w:rPr>
      </w:pPr>
      <w:r>
        <w:rPr>
          <w:rFonts w:hint="eastAsia" w:ascii="仿宋_GB2312" w:hAnsi="仿宋" w:eastAsia="仿宋_GB2312"/>
          <w:sz w:val="24"/>
          <w:szCs w:val="24"/>
        </w:rPr>
        <w:t>3.3.3对于非专门面向此类企业的项目，对小型和微型企业产品的投标价格给予6 %的扣除，用扣除后的价格参与评审。</w:t>
      </w:r>
    </w:p>
    <w:p>
      <w:pPr>
        <w:widowControl w:val="0"/>
        <w:adjustRightInd w:val="0"/>
        <w:spacing w:line="360" w:lineRule="auto"/>
        <w:ind w:firstLine="480" w:firstLineChars="200"/>
        <w:jc w:val="both"/>
        <w:rPr>
          <w:rFonts w:hint="eastAsia" w:ascii="仿宋_GB2312" w:hAnsi="仿宋" w:eastAsia="仿宋_GB2312"/>
          <w:sz w:val="24"/>
          <w:szCs w:val="24"/>
        </w:rPr>
      </w:pPr>
      <w:r>
        <w:rPr>
          <w:rFonts w:hint="eastAsia" w:ascii="仿宋_GB2312" w:hAnsi="仿宋" w:eastAsia="仿宋_GB2312"/>
          <w:sz w:val="24"/>
          <w:szCs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pPr>
        <w:widowControl w:val="0"/>
        <w:adjustRightInd w:val="0"/>
        <w:spacing w:line="360" w:lineRule="auto"/>
        <w:ind w:firstLine="480" w:firstLineChars="200"/>
        <w:jc w:val="both"/>
        <w:rPr>
          <w:rFonts w:hint="eastAsia" w:ascii="仿宋_GB2312" w:hAnsi="仿宋" w:eastAsia="仿宋_GB2312"/>
          <w:sz w:val="24"/>
          <w:szCs w:val="24"/>
        </w:rPr>
      </w:pPr>
      <w:r>
        <w:rPr>
          <w:rFonts w:hint="eastAsia" w:ascii="仿宋_GB2312" w:hAnsi="仿宋" w:eastAsia="仿宋_GB2312"/>
          <w:sz w:val="24"/>
          <w:szCs w:val="24"/>
        </w:rPr>
        <w:t>联合体各方均为小型、微型企业的，联合体视同为小型、微型企业。</w:t>
      </w:r>
    </w:p>
    <w:p>
      <w:pPr>
        <w:widowControl w:val="0"/>
        <w:adjustRightInd w:val="0"/>
        <w:spacing w:line="360" w:lineRule="auto"/>
        <w:ind w:firstLine="480" w:firstLineChars="200"/>
        <w:jc w:val="both"/>
        <w:rPr>
          <w:rFonts w:hint="eastAsia" w:ascii="仿宋_GB2312" w:hAnsi="仿宋" w:eastAsia="仿宋_GB2312"/>
          <w:sz w:val="24"/>
          <w:szCs w:val="24"/>
        </w:rPr>
      </w:pPr>
      <w:r>
        <w:rPr>
          <w:rFonts w:hint="eastAsia" w:ascii="仿宋_GB2312" w:hAnsi="仿宋" w:eastAsia="仿宋_GB2312"/>
          <w:sz w:val="24"/>
          <w:szCs w:val="24"/>
        </w:rPr>
        <w:t xml:space="preserve">3.3.5符合《关于促进残疾人就业政府采购政策的通知》（财库〔2017〕141号）规定的条件并提供《残疾人福利性单位声明函》（附件1）的残疾人福利性单位视同小型、微型企业； </w:t>
      </w:r>
    </w:p>
    <w:p>
      <w:pPr>
        <w:widowControl w:val="0"/>
        <w:adjustRightInd w:val="0"/>
        <w:spacing w:line="360" w:lineRule="auto"/>
        <w:ind w:firstLine="480" w:firstLineChars="200"/>
        <w:jc w:val="both"/>
        <w:rPr>
          <w:rFonts w:hint="eastAsia" w:ascii="仿宋_GB2312" w:hAnsi="仿宋" w:eastAsia="仿宋_GB2312"/>
          <w:sz w:val="24"/>
          <w:szCs w:val="24"/>
        </w:rPr>
      </w:pPr>
      <w:r>
        <w:rPr>
          <w:rFonts w:hint="eastAsia" w:ascii="仿宋_GB2312" w:hAnsi="仿宋" w:eastAsia="仿宋_GB2312"/>
          <w:sz w:val="24"/>
          <w:szCs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pPr>
        <w:widowControl w:val="0"/>
        <w:adjustRightInd w:val="0"/>
        <w:spacing w:line="360" w:lineRule="auto"/>
        <w:ind w:firstLine="240" w:firstLineChars="100"/>
        <w:jc w:val="both"/>
        <w:rPr>
          <w:rFonts w:hint="eastAsia" w:ascii="仿宋_GB2312" w:hAnsi="仿宋" w:eastAsia="仿宋_GB2312"/>
          <w:b/>
          <w:sz w:val="24"/>
          <w:szCs w:val="24"/>
        </w:rPr>
      </w:pPr>
      <w:r>
        <w:rPr>
          <w:rFonts w:hint="eastAsia" w:ascii="仿宋_GB2312" w:hAnsi="仿宋" w:eastAsia="仿宋_GB2312"/>
          <w:sz w:val="24"/>
          <w:szCs w:val="24"/>
        </w:rPr>
        <w:t>3.4企业信用融资：为支持和促进中小企业发展，进一步发挥政府采购政策功能，杭</w:t>
      </w:r>
      <w:r>
        <w:rPr>
          <w:rFonts w:hint="eastAsia" w:ascii="仿宋_GB2312" w:hAnsi="仿宋" w:eastAsia="仿宋_GB2312"/>
          <w:sz w:val="24"/>
        </w:rPr>
        <w:t>州市财政局与省银监局、市金融办、市经信委共同出台了《杭州市政府采购支持中小企业信用融资暂行办法》，供应商若有融资意向，详见本招标文件尾页《政府采购支持中</w:t>
      </w:r>
      <w:r>
        <w:rPr>
          <w:rFonts w:hint="eastAsia" w:ascii="仿宋_GB2312" w:hAnsi="仿宋" w:eastAsia="仿宋_GB2312"/>
          <w:sz w:val="24"/>
          <w:szCs w:val="24"/>
        </w:rPr>
        <w:t>小企业信用融资相关事项通知》，或登陆杭州市政府采购网（http://cg.hzft.gov.cn）“中小企业信用融资”专栏，查看信用融资政策文件及各相关银行服务方案。</w:t>
      </w:r>
      <w:r>
        <w:rPr>
          <w:rFonts w:hint="eastAsia" w:ascii="仿宋_GB2312" w:hAnsi="仿宋" w:eastAsia="仿宋_GB2312"/>
          <w:sz w:val="24"/>
          <w:szCs w:val="24"/>
        </w:rPr>
        <w:cr/>
      </w:r>
      <w:r>
        <w:rPr>
          <w:rFonts w:hint="eastAsia" w:ascii="仿宋_GB2312" w:hAnsi="仿宋" w:eastAsia="仿宋_GB2312"/>
          <w:b/>
          <w:sz w:val="24"/>
          <w:szCs w:val="24"/>
        </w:rPr>
        <w:t>4. 询问、质疑、投诉</w:t>
      </w:r>
    </w:p>
    <w:p>
      <w:pPr>
        <w:widowControl w:val="0"/>
        <w:autoSpaceDE w:val="0"/>
        <w:autoSpaceDN w:val="0"/>
        <w:adjustRightInd w:val="0"/>
        <w:spacing w:line="360" w:lineRule="auto"/>
        <w:ind w:firstLine="240" w:firstLineChars="100"/>
        <w:rPr>
          <w:rFonts w:hint="eastAsia" w:ascii="仿宋_GB2312" w:hAnsi="仿宋" w:eastAsia="仿宋_GB2312" w:cs="微软雅黑"/>
          <w:kern w:val="0"/>
          <w:sz w:val="24"/>
          <w:szCs w:val="24"/>
          <w:lang w:val="zh-CN"/>
        </w:rPr>
      </w:pPr>
      <w:r>
        <w:rPr>
          <w:rFonts w:hint="eastAsia" w:ascii="仿宋_GB2312" w:hAnsi="仿宋" w:eastAsia="仿宋_GB2312" w:cs="微软雅黑"/>
          <w:kern w:val="0"/>
          <w:sz w:val="24"/>
          <w:szCs w:val="24"/>
          <w:lang w:val="zh-CN"/>
        </w:rPr>
        <w:t>4.1供应商询问</w:t>
      </w:r>
    </w:p>
    <w:p>
      <w:pPr>
        <w:widowControl w:val="0"/>
        <w:adjustRightInd w:val="0"/>
        <w:spacing w:line="360" w:lineRule="auto"/>
        <w:ind w:firstLine="480" w:firstLineChars="200"/>
        <w:jc w:val="both"/>
        <w:rPr>
          <w:rFonts w:hint="eastAsia" w:ascii="仿宋_GB2312" w:hAnsi="仿宋" w:eastAsia="仿宋_GB2312" w:cs="Arial"/>
          <w:snapToGrid w:val="0"/>
          <w:sz w:val="24"/>
          <w:szCs w:val="21"/>
        </w:rPr>
      </w:pPr>
      <w:r>
        <w:rPr>
          <w:rFonts w:hint="eastAsia" w:ascii="仿宋_GB2312" w:hAnsi="仿宋" w:eastAsia="仿宋_GB2312" w:cs="Arial"/>
          <w:snapToGrid w:val="0"/>
          <w:sz w:val="24"/>
          <w:szCs w:val="21"/>
        </w:rPr>
        <w:t>根据采购人与采购机构签订的《杭州市集中采购委托协议》的规定：供应商可以就采购文件中特定资格条件、采购需求、评分办法及采购过程中有关现场考察或开标前答疑会事项向采购人提出询问，采购人将对此作出答复；供应商可以就采购活动中的其它事项向采购机构提出询问，采购机构将对此作出答复。答复的内容不得涉及商业秘密。</w:t>
      </w:r>
    </w:p>
    <w:p>
      <w:pPr>
        <w:widowControl w:val="0"/>
        <w:autoSpaceDE w:val="0"/>
        <w:autoSpaceDN w:val="0"/>
        <w:adjustRightInd w:val="0"/>
        <w:spacing w:line="360" w:lineRule="auto"/>
        <w:ind w:firstLine="240" w:firstLineChars="100"/>
        <w:rPr>
          <w:rFonts w:hint="eastAsia" w:ascii="仿宋_GB2312" w:hAnsi="仿宋" w:eastAsia="仿宋_GB2312" w:cs="微软雅黑"/>
          <w:kern w:val="0"/>
          <w:sz w:val="24"/>
          <w:szCs w:val="24"/>
          <w:lang w:val="zh-CN"/>
        </w:rPr>
      </w:pPr>
      <w:r>
        <w:rPr>
          <w:rFonts w:hint="eastAsia" w:ascii="仿宋_GB2312" w:hAnsi="仿宋" w:eastAsia="仿宋_GB2312" w:cs="微软雅黑"/>
          <w:kern w:val="0"/>
          <w:sz w:val="24"/>
          <w:szCs w:val="24"/>
          <w:lang w:val="zh-CN"/>
        </w:rPr>
        <w:t>4.2供应商质疑</w:t>
      </w:r>
    </w:p>
    <w:p>
      <w:pPr>
        <w:widowControl w:val="0"/>
        <w:adjustRightInd w:val="0"/>
        <w:spacing w:line="360" w:lineRule="auto"/>
        <w:ind w:firstLine="480" w:firstLineChars="200"/>
        <w:jc w:val="both"/>
        <w:rPr>
          <w:rFonts w:hint="eastAsia" w:ascii="仿宋_GB2312" w:hAnsi="仿宋" w:eastAsia="仿宋_GB2312" w:cs="Arial"/>
          <w:snapToGrid w:val="0"/>
          <w:sz w:val="24"/>
          <w:szCs w:val="21"/>
        </w:rPr>
      </w:pPr>
      <w:r>
        <w:rPr>
          <w:rFonts w:hint="eastAsia" w:ascii="仿宋_GB2312" w:hAnsi="仿宋" w:eastAsia="仿宋_GB2312" w:cs="微软雅黑"/>
          <w:snapToGrid w:val="0"/>
          <w:kern w:val="0"/>
          <w:sz w:val="24"/>
          <w:szCs w:val="21"/>
          <w:lang w:val="zh-CN"/>
        </w:rPr>
        <w:t>4.2</w:t>
      </w:r>
      <w:r>
        <w:rPr>
          <w:rFonts w:hint="eastAsia" w:ascii="仿宋_GB2312" w:hAnsi="仿宋" w:eastAsia="仿宋_GB2312" w:cs="Arial"/>
          <w:snapToGrid w:val="0"/>
          <w:sz w:val="24"/>
          <w:szCs w:val="21"/>
        </w:rPr>
        <w:t>.1提出质疑的供应商应当是参与所质疑项目采购活动的供应商。潜在供应商已依法获取其可质疑的采购文件的，可以对该文件提出质疑。</w:t>
      </w:r>
    </w:p>
    <w:p>
      <w:pPr>
        <w:widowControl w:val="0"/>
        <w:adjustRightInd w:val="0"/>
        <w:spacing w:line="360" w:lineRule="auto"/>
        <w:ind w:firstLine="480" w:firstLineChars="200"/>
        <w:jc w:val="both"/>
        <w:rPr>
          <w:rFonts w:hint="eastAsia" w:ascii="仿宋_GB2312" w:hAnsi="仿宋" w:eastAsia="仿宋_GB2312" w:cs="Arial"/>
          <w:snapToGrid w:val="0"/>
          <w:sz w:val="24"/>
          <w:szCs w:val="21"/>
        </w:rPr>
      </w:pPr>
      <w:r>
        <w:rPr>
          <w:rFonts w:hint="eastAsia" w:ascii="仿宋_GB2312" w:hAnsi="仿宋" w:eastAsia="仿宋_GB2312" w:cs="微软雅黑"/>
          <w:snapToGrid w:val="0"/>
          <w:kern w:val="0"/>
          <w:sz w:val="24"/>
          <w:szCs w:val="21"/>
          <w:lang w:val="zh-CN"/>
        </w:rPr>
        <w:t>4.2</w:t>
      </w:r>
      <w:r>
        <w:rPr>
          <w:rFonts w:hint="eastAsia" w:ascii="仿宋_GB2312" w:hAnsi="仿宋" w:eastAsia="仿宋_GB2312" w:cs="Arial"/>
          <w:snapToGrid w:val="0"/>
          <w:sz w:val="24"/>
          <w:szCs w:val="21"/>
        </w:rPr>
        <w:t>.2供应商认为采购文件、采购过程和成交结果使自己的权益受到损害的，可以在知道或者应知其权益受到损害之日起七个工作日内，以书面形式向采购人或者采购机构提出质疑，否则，采购人或者采购机构不予受理：</w:t>
      </w:r>
    </w:p>
    <w:p>
      <w:pPr>
        <w:adjustRightInd w:val="0"/>
        <w:snapToGrid w:val="0"/>
        <w:spacing w:line="360" w:lineRule="auto"/>
        <w:ind w:firstLine="434" w:firstLineChars="181"/>
        <w:jc w:val="both"/>
        <w:rPr>
          <w:rFonts w:hint="eastAsia" w:ascii="仿宋_GB2312" w:hAnsi="仿宋" w:eastAsia="仿宋_GB2312"/>
          <w:sz w:val="24"/>
        </w:rPr>
      </w:pPr>
      <w:r>
        <w:rPr>
          <w:rFonts w:hint="eastAsia" w:ascii="仿宋_GB2312" w:hAnsi="仿宋" w:eastAsia="仿宋_GB2312"/>
          <w:sz w:val="24"/>
        </w:rPr>
        <w:t>（1）对采购文件提出质疑的，质疑期限为供应商获得采购文件之日或者采购文件公告期限届满之日起计算。采购文件在获取截止之日后获得的，应当自采购文件公告期限届满之日起计算，且应当在采购响应截止时间之前提出。根据采购人与采购机构签订的《杭州市集中采购委托协议》的规定：对采购文件中特定资格条件、采购需求、评分办法提出的质疑，原则上由采购人负责答复；对采购文件中其他内容提出的质疑，原则上由采购机构负责答复。</w:t>
      </w:r>
    </w:p>
    <w:p>
      <w:pPr>
        <w:widowControl w:val="0"/>
        <w:adjustRightInd w:val="0"/>
        <w:spacing w:line="360" w:lineRule="auto"/>
        <w:ind w:firstLine="480" w:firstLineChars="200"/>
        <w:jc w:val="both"/>
        <w:rPr>
          <w:rFonts w:hint="eastAsia" w:ascii="仿宋_GB2312" w:hAnsi="仿宋" w:eastAsia="仿宋_GB2312" w:cs="Arial"/>
          <w:snapToGrid w:val="0"/>
          <w:sz w:val="24"/>
          <w:szCs w:val="21"/>
        </w:rPr>
      </w:pPr>
      <w:r>
        <w:rPr>
          <w:rFonts w:hint="eastAsia" w:ascii="仿宋_GB2312" w:hAnsi="仿宋" w:eastAsia="仿宋_GB2312" w:cs="Arial"/>
          <w:snapToGrid w:val="0"/>
          <w:sz w:val="24"/>
          <w:szCs w:val="21"/>
        </w:rPr>
        <w:t>（2）对采购过程提出质疑的，质疑期限为各采购程序环节结束之日起计算。对同一采购程序环节的质疑，供应商须一次性提出。根据采购人与采购机构签订的《杭州市集中采购委托协议》的规定：对采购过程中有关现场考察或开标前答疑会事项提出的质疑，原则上由采购人负责答复；对采购过程中其它事项提出的质疑，原则上由采购机构负责答复。</w:t>
      </w:r>
    </w:p>
    <w:p>
      <w:pPr>
        <w:widowControl w:val="0"/>
        <w:adjustRightInd w:val="0"/>
        <w:spacing w:line="360" w:lineRule="auto"/>
        <w:ind w:firstLine="480" w:firstLineChars="200"/>
        <w:jc w:val="both"/>
        <w:rPr>
          <w:rFonts w:hint="eastAsia" w:ascii="仿宋_GB2312" w:hAnsi="仿宋" w:eastAsia="仿宋_GB2312" w:cs="Arial"/>
          <w:snapToGrid w:val="0"/>
          <w:sz w:val="24"/>
          <w:szCs w:val="21"/>
        </w:rPr>
      </w:pPr>
      <w:r>
        <w:rPr>
          <w:rFonts w:hint="eastAsia" w:ascii="仿宋_GB2312" w:hAnsi="仿宋" w:eastAsia="仿宋_GB2312" w:cs="Arial"/>
          <w:snapToGrid w:val="0"/>
          <w:sz w:val="24"/>
          <w:szCs w:val="21"/>
        </w:rPr>
        <w:t>（3）对采购结果提出质疑的，质疑期限自采购结果公告期限届满之日起计算。对采购结果提出质疑的，采购机构负责答复。</w:t>
      </w:r>
    </w:p>
    <w:p>
      <w:pPr>
        <w:widowControl w:val="0"/>
        <w:adjustRightInd w:val="0"/>
        <w:spacing w:line="360" w:lineRule="auto"/>
        <w:ind w:firstLine="480" w:firstLineChars="200"/>
        <w:jc w:val="both"/>
        <w:rPr>
          <w:rFonts w:hint="eastAsia" w:ascii="仿宋_GB2312" w:hAnsi="仿宋" w:eastAsia="仿宋_GB2312" w:cs="Arial"/>
          <w:snapToGrid w:val="0"/>
          <w:sz w:val="24"/>
          <w:szCs w:val="21"/>
        </w:rPr>
      </w:pPr>
      <w:r>
        <w:rPr>
          <w:rFonts w:hint="eastAsia" w:ascii="仿宋_GB2312" w:hAnsi="仿宋" w:eastAsia="仿宋_GB2312" w:cs="Arial"/>
          <w:snapToGrid w:val="0"/>
          <w:sz w:val="24"/>
          <w:szCs w:val="21"/>
        </w:rPr>
        <w:t>4.2.3供应商提出质疑应当提交质疑函和必要的证明材料。质疑函应当包括下列内容：</w:t>
      </w:r>
    </w:p>
    <w:p>
      <w:pPr>
        <w:widowControl w:val="0"/>
        <w:adjustRightInd w:val="0"/>
        <w:spacing w:line="360" w:lineRule="auto"/>
        <w:ind w:firstLine="480" w:firstLineChars="200"/>
        <w:jc w:val="both"/>
        <w:rPr>
          <w:rFonts w:hint="eastAsia" w:ascii="仿宋_GB2312" w:hAnsi="仿宋" w:eastAsia="仿宋_GB2312" w:cs="Arial"/>
          <w:snapToGrid w:val="0"/>
          <w:sz w:val="24"/>
          <w:szCs w:val="21"/>
        </w:rPr>
      </w:pPr>
      <w:r>
        <w:rPr>
          <w:rFonts w:hint="eastAsia" w:ascii="仿宋_GB2312" w:hAnsi="仿宋" w:eastAsia="仿宋_GB2312" w:cs="Arial"/>
          <w:snapToGrid w:val="0"/>
          <w:sz w:val="24"/>
          <w:szCs w:val="21"/>
        </w:rPr>
        <w:t>　4.2.3.1供应商的姓名或者名称、地址、邮编、联系人及联系电话；</w:t>
      </w:r>
    </w:p>
    <w:p>
      <w:pPr>
        <w:widowControl w:val="0"/>
        <w:adjustRightInd w:val="0"/>
        <w:spacing w:line="360" w:lineRule="auto"/>
        <w:ind w:firstLine="480" w:firstLineChars="200"/>
        <w:jc w:val="both"/>
        <w:rPr>
          <w:rFonts w:hint="eastAsia" w:ascii="仿宋_GB2312" w:hAnsi="仿宋" w:eastAsia="仿宋_GB2312" w:cs="Arial"/>
          <w:snapToGrid w:val="0"/>
          <w:sz w:val="24"/>
          <w:szCs w:val="21"/>
        </w:rPr>
      </w:pPr>
      <w:r>
        <w:rPr>
          <w:rFonts w:hint="eastAsia" w:ascii="仿宋_GB2312" w:hAnsi="仿宋" w:eastAsia="仿宋_GB2312" w:cs="Arial"/>
          <w:snapToGrid w:val="0"/>
          <w:sz w:val="24"/>
          <w:szCs w:val="21"/>
        </w:rPr>
        <w:t>　4.2.3.2质疑项目的名称、编号；</w:t>
      </w:r>
    </w:p>
    <w:p>
      <w:pPr>
        <w:widowControl w:val="0"/>
        <w:adjustRightInd w:val="0"/>
        <w:spacing w:line="360" w:lineRule="auto"/>
        <w:ind w:firstLine="480" w:firstLineChars="200"/>
        <w:jc w:val="both"/>
        <w:rPr>
          <w:rFonts w:hint="eastAsia" w:ascii="仿宋_GB2312" w:hAnsi="仿宋" w:eastAsia="仿宋_GB2312" w:cs="Arial"/>
          <w:snapToGrid w:val="0"/>
          <w:sz w:val="24"/>
          <w:szCs w:val="21"/>
        </w:rPr>
      </w:pPr>
      <w:r>
        <w:rPr>
          <w:rFonts w:hint="eastAsia" w:ascii="仿宋_GB2312" w:hAnsi="仿宋" w:eastAsia="仿宋_GB2312" w:cs="Arial"/>
          <w:snapToGrid w:val="0"/>
          <w:sz w:val="24"/>
          <w:szCs w:val="21"/>
        </w:rPr>
        <w:t>　4.2.3.3具体、明确的质疑事项和与质疑事项相关的请求；</w:t>
      </w:r>
    </w:p>
    <w:p>
      <w:pPr>
        <w:widowControl w:val="0"/>
        <w:adjustRightInd w:val="0"/>
        <w:spacing w:line="360" w:lineRule="auto"/>
        <w:ind w:firstLine="480" w:firstLineChars="200"/>
        <w:jc w:val="both"/>
        <w:rPr>
          <w:rFonts w:hint="eastAsia" w:ascii="仿宋_GB2312" w:hAnsi="仿宋" w:eastAsia="仿宋_GB2312" w:cs="Arial"/>
          <w:snapToGrid w:val="0"/>
          <w:sz w:val="24"/>
          <w:szCs w:val="21"/>
        </w:rPr>
      </w:pPr>
      <w:r>
        <w:rPr>
          <w:rFonts w:hint="eastAsia" w:ascii="仿宋_GB2312" w:hAnsi="仿宋" w:eastAsia="仿宋_GB2312" w:cs="Arial"/>
          <w:snapToGrid w:val="0"/>
          <w:sz w:val="24"/>
          <w:szCs w:val="21"/>
        </w:rPr>
        <w:t>　4.2.3.4事实依据；</w:t>
      </w:r>
    </w:p>
    <w:p>
      <w:pPr>
        <w:widowControl w:val="0"/>
        <w:adjustRightInd w:val="0"/>
        <w:spacing w:line="360" w:lineRule="auto"/>
        <w:ind w:firstLine="480" w:firstLineChars="200"/>
        <w:jc w:val="both"/>
        <w:rPr>
          <w:rFonts w:hint="eastAsia" w:ascii="仿宋_GB2312" w:hAnsi="仿宋" w:eastAsia="仿宋_GB2312" w:cs="Arial"/>
          <w:snapToGrid w:val="0"/>
          <w:sz w:val="24"/>
          <w:szCs w:val="21"/>
        </w:rPr>
      </w:pPr>
      <w:r>
        <w:rPr>
          <w:rFonts w:hint="eastAsia" w:ascii="仿宋_GB2312" w:hAnsi="仿宋" w:eastAsia="仿宋_GB2312" w:cs="Arial"/>
          <w:snapToGrid w:val="0"/>
          <w:sz w:val="24"/>
          <w:szCs w:val="21"/>
        </w:rPr>
        <w:t>　4.2.3.5必要的法律依据；</w:t>
      </w:r>
    </w:p>
    <w:p>
      <w:pPr>
        <w:widowControl w:val="0"/>
        <w:adjustRightInd w:val="0"/>
        <w:spacing w:line="360" w:lineRule="auto"/>
        <w:ind w:firstLine="480" w:firstLineChars="200"/>
        <w:jc w:val="both"/>
        <w:rPr>
          <w:rFonts w:hint="eastAsia" w:ascii="仿宋_GB2312" w:hAnsi="仿宋" w:eastAsia="仿宋_GB2312" w:cs="Arial"/>
          <w:snapToGrid w:val="0"/>
          <w:sz w:val="24"/>
          <w:szCs w:val="21"/>
        </w:rPr>
      </w:pPr>
      <w:r>
        <w:rPr>
          <w:rFonts w:hint="eastAsia" w:ascii="仿宋_GB2312" w:hAnsi="仿宋" w:eastAsia="仿宋_GB2312" w:cs="Arial"/>
          <w:snapToGrid w:val="0"/>
          <w:sz w:val="24"/>
          <w:szCs w:val="21"/>
        </w:rPr>
        <w:t>　4.2.3.6提出质疑的日期。</w:t>
      </w:r>
    </w:p>
    <w:p>
      <w:pPr>
        <w:widowControl w:val="0"/>
        <w:adjustRightInd w:val="0"/>
        <w:spacing w:line="360" w:lineRule="auto"/>
        <w:ind w:firstLine="480" w:firstLineChars="200"/>
        <w:jc w:val="both"/>
        <w:rPr>
          <w:rFonts w:hint="eastAsia" w:ascii="仿宋_GB2312" w:hAnsi="仿宋" w:eastAsia="仿宋_GB2312" w:cs="Arial"/>
          <w:snapToGrid w:val="0"/>
          <w:sz w:val="24"/>
          <w:szCs w:val="21"/>
        </w:rPr>
      </w:pPr>
      <w:r>
        <w:rPr>
          <w:rFonts w:hint="eastAsia" w:ascii="仿宋_GB2312" w:hAnsi="仿宋" w:eastAsia="仿宋_GB2312" w:cs="Arial"/>
          <w:snapToGrid w:val="0"/>
          <w:sz w:val="24"/>
          <w:szCs w:val="21"/>
        </w:rPr>
        <w:t>供应商提交的质疑函需一式三份。供应商为自然人的，应当由本人签字；供应商为法人或者其他组织的，应当由法定代表人、主要负责人，或者其授权代表签字或者盖章，并加盖公章。</w:t>
      </w:r>
    </w:p>
    <w:p>
      <w:pPr>
        <w:widowControl w:val="0"/>
        <w:adjustRightInd w:val="0"/>
        <w:spacing w:line="360" w:lineRule="auto"/>
        <w:ind w:firstLine="480" w:firstLineChars="200"/>
        <w:jc w:val="both"/>
        <w:rPr>
          <w:rFonts w:hint="eastAsia" w:ascii="仿宋_GB2312" w:hAnsi="仿宋" w:eastAsia="仿宋_GB2312" w:cs="Arial"/>
          <w:snapToGrid w:val="0"/>
          <w:sz w:val="24"/>
          <w:szCs w:val="21"/>
        </w:rPr>
      </w:pPr>
      <w:r>
        <w:rPr>
          <w:rFonts w:hint="eastAsia" w:ascii="仿宋_GB2312" w:hAnsi="仿宋" w:eastAsia="仿宋_GB2312" w:cs="Arial"/>
          <w:snapToGrid w:val="0"/>
          <w:sz w:val="24"/>
          <w:szCs w:val="21"/>
        </w:rPr>
        <w:t>质疑函范本及制作说明详见附件3。</w:t>
      </w:r>
    </w:p>
    <w:p>
      <w:pPr>
        <w:widowControl w:val="0"/>
        <w:adjustRightInd w:val="0"/>
        <w:spacing w:line="360" w:lineRule="auto"/>
        <w:ind w:firstLine="480" w:firstLineChars="200"/>
        <w:jc w:val="both"/>
        <w:rPr>
          <w:rFonts w:hint="eastAsia" w:ascii="仿宋_GB2312" w:hAnsi="仿宋" w:eastAsia="仿宋_GB2312" w:cs="Arial"/>
          <w:snapToGrid w:val="0"/>
          <w:sz w:val="24"/>
          <w:szCs w:val="21"/>
        </w:rPr>
      </w:pPr>
      <w:r>
        <w:rPr>
          <w:rFonts w:hint="eastAsia" w:ascii="仿宋_GB2312" w:hAnsi="仿宋" w:eastAsia="仿宋_GB2312" w:cs="微软雅黑"/>
          <w:snapToGrid w:val="0"/>
          <w:kern w:val="0"/>
          <w:sz w:val="24"/>
          <w:szCs w:val="21"/>
          <w:lang w:val="zh-CN"/>
        </w:rPr>
        <w:t>4.2</w:t>
      </w:r>
      <w:r>
        <w:rPr>
          <w:rFonts w:hint="eastAsia" w:ascii="仿宋_GB2312" w:hAnsi="仿宋" w:eastAsia="仿宋_GB2312" w:cs="Arial"/>
          <w:snapToGrid w:val="0"/>
          <w:sz w:val="24"/>
          <w:szCs w:val="21"/>
        </w:rPr>
        <w:t>.4采购人或者采购机构应当在收到供应商的书面质疑后七个工作日内作出答复，并以书面形式通知质疑供应商和其他与质疑处理结果有利害关系的政府采购当事人，但答复的内容不得涉及商业秘密。</w:t>
      </w:r>
    </w:p>
    <w:p>
      <w:pPr>
        <w:widowControl w:val="0"/>
        <w:adjustRightInd w:val="0"/>
        <w:spacing w:line="360" w:lineRule="auto"/>
        <w:ind w:firstLine="480" w:firstLineChars="200"/>
        <w:jc w:val="both"/>
        <w:rPr>
          <w:rFonts w:hint="eastAsia" w:ascii="仿宋_GB2312" w:hAnsi="仿宋" w:eastAsia="仿宋_GB2312" w:cs="Arial"/>
          <w:snapToGrid w:val="0"/>
          <w:sz w:val="24"/>
          <w:szCs w:val="21"/>
        </w:rPr>
      </w:pPr>
      <w:r>
        <w:rPr>
          <w:rFonts w:hint="eastAsia" w:ascii="仿宋_GB2312" w:hAnsi="仿宋" w:eastAsia="仿宋_GB2312" w:cs="微软雅黑"/>
          <w:snapToGrid w:val="0"/>
          <w:kern w:val="0"/>
          <w:sz w:val="24"/>
          <w:szCs w:val="21"/>
          <w:lang w:val="zh-CN"/>
        </w:rPr>
        <w:t>4.2</w:t>
      </w:r>
      <w:r>
        <w:rPr>
          <w:rFonts w:hint="eastAsia" w:ascii="仿宋_GB2312" w:hAnsi="仿宋" w:eastAsia="仿宋_GB2312" w:cs="Arial"/>
          <w:snapToGrid w:val="0"/>
          <w:sz w:val="24"/>
          <w:szCs w:val="21"/>
        </w:rPr>
        <w:t>.5询问或者质疑事项可能影响采购结果的，采购人应当暂停签订合同，已经签订合同的，应当中止履行合同。</w:t>
      </w:r>
    </w:p>
    <w:p>
      <w:pPr>
        <w:adjustRightInd w:val="0"/>
        <w:snapToGrid w:val="0"/>
        <w:spacing w:line="360" w:lineRule="auto"/>
        <w:ind w:firstLine="434" w:firstLineChars="181"/>
        <w:jc w:val="both"/>
        <w:rPr>
          <w:rFonts w:hint="eastAsia" w:ascii="仿宋_GB2312" w:hAnsi="仿宋" w:eastAsia="仿宋_GB2312"/>
          <w:sz w:val="24"/>
        </w:rPr>
      </w:pPr>
      <w:r>
        <w:rPr>
          <w:rFonts w:hint="eastAsia" w:ascii="仿宋_GB2312" w:hAnsi="仿宋" w:eastAsia="仿宋_GB2312"/>
          <w:sz w:val="24"/>
        </w:rPr>
        <w:t>4.2.6质疑接收人：吴老师；联系电话：0571-85886279 ，传真：0571-85886270；地址：</w:t>
      </w:r>
      <w:r>
        <w:rPr>
          <w:rFonts w:hint="eastAsia" w:ascii="仿宋_GB2312" w:eastAsia="仿宋_GB2312"/>
          <w:sz w:val="24"/>
        </w:rPr>
        <w:t>杭州市教育技术综合楼九楼技术装备科一（杭州市下城区东新路重机巷56号）</w:t>
      </w:r>
      <w:r>
        <w:rPr>
          <w:rFonts w:hint="eastAsia" w:ascii="仿宋_GB2312" w:hAnsi="仿宋" w:eastAsia="仿宋_GB2312"/>
          <w:sz w:val="24"/>
        </w:rPr>
        <w:t>。</w:t>
      </w:r>
    </w:p>
    <w:p>
      <w:pPr>
        <w:widowControl w:val="0"/>
        <w:adjustRightInd w:val="0"/>
        <w:spacing w:line="360" w:lineRule="auto"/>
        <w:ind w:firstLine="240" w:firstLineChars="100"/>
        <w:jc w:val="both"/>
        <w:rPr>
          <w:rFonts w:hint="eastAsia" w:ascii="仿宋_GB2312" w:hAnsi="仿宋" w:eastAsia="仿宋_GB2312" w:cs="微软雅黑"/>
          <w:snapToGrid w:val="0"/>
          <w:kern w:val="0"/>
          <w:sz w:val="24"/>
          <w:szCs w:val="24"/>
          <w:lang w:val="zh-CN"/>
        </w:rPr>
      </w:pPr>
      <w:r>
        <w:rPr>
          <w:rFonts w:hint="eastAsia" w:ascii="仿宋_GB2312" w:hAnsi="仿宋" w:eastAsia="仿宋_GB2312" w:cs="微软雅黑"/>
          <w:snapToGrid w:val="0"/>
          <w:kern w:val="0"/>
          <w:sz w:val="24"/>
          <w:szCs w:val="24"/>
          <w:lang w:val="zh-CN"/>
        </w:rPr>
        <w:t>4.3供应商投诉</w:t>
      </w:r>
    </w:p>
    <w:p>
      <w:pPr>
        <w:widowControl w:val="0"/>
        <w:adjustRightInd w:val="0"/>
        <w:snapToGrid w:val="0"/>
        <w:spacing w:line="460" w:lineRule="exact"/>
        <w:ind w:firstLine="480" w:firstLineChars="200"/>
        <w:jc w:val="both"/>
        <w:rPr>
          <w:rFonts w:hint="eastAsia" w:ascii="仿宋_GB2312" w:hAnsi="仿宋" w:eastAsia="仿宋_GB2312" w:cs="仿宋_GB2312"/>
          <w:sz w:val="24"/>
        </w:rPr>
      </w:pPr>
      <w:r>
        <w:rPr>
          <w:rFonts w:hint="eastAsia" w:ascii="仿宋_GB2312" w:hAnsi="仿宋" w:eastAsia="仿宋_GB2312"/>
          <w:sz w:val="24"/>
        </w:rPr>
        <w:t>4.3.1质疑供应商对采购人、采购机构的答复不满意或者采购人、采购机构未在规定的时间内作出答复的，可以在答复期满后十五个工作日内向同级政府采购监督管理部门提出投诉。</w:t>
      </w:r>
    </w:p>
    <w:p>
      <w:pPr>
        <w:widowControl w:val="0"/>
        <w:adjustRightInd w:val="0"/>
        <w:spacing w:line="360" w:lineRule="auto"/>
        <w:ind w:firstLine="480" w:firstLineChars="200"/>
        <w:jc w:val="both"/>
        <w:rPr>
          <w:rFonts w:hint="eastAsia" w:ascii="仿宋_GB2312" w:hAnsi="仿宋" w:eastAsia="仿宋_GB2312" w:cs="微软雅黑"/>
          <w:b/>
          <w:snapToGrid w:val="0"/>
          <w:kern w:val="0"/>
          <w:sz w:val="24"/>
          <w:szCs w:val="24"/>
          <w:lang w:val="zh-CN"/>
        </w:rPr>
      </w:pPr>
      <w:r>
        <w:rPr>
          <w:rFonts w:hint="eastAsia" w:ascii="仿宋_GB2312" w:hAnsi="仿宋" w:eastAsia="仿宋_GB2312" w:cs="Arial"/>
          <w:snapToGrid w:val="0"/>
          <w:sz w:val="24"/>
          <w:szCs w:val="21"/>
        </w:rPr>
        <w:t>4.3.</w:t>
      </w:r>
      <w:r>
        <w:rPr>
          <w:rFonts w:hint="eastAsia" w:ascii="仿宋_GB2312" w:hAnsi="仿宋" w:eastAsia="仿宋_GB2312" w:cs="微软雅黑"/>
          <w:snapToGrid w:val="0"/>
          <w:kern w:val="0"/>
          <w:sz w:val="24"/>
          <w:szCs w:val="24"/>
          <w:lang w:val="zh-CN"/>
        </w:rPr>
        <w:t>2</w:t>
      </w:r>
      <w:r>
        <w:rPr>
          <w:rFonts w:hint="eastAsia" w:ascii="仿宋_GB2312" w:hAnsi="仿宋" w:eastAsia="仿宋_GB2312" w:cs="Arial"/>
          <w:snapToGrid w:val="0"/>
          <w:sz w:val="24"/>
          <w:szCs w:val="21"/>
        </w:rPr>
        <w:t>供应商投诉的事项不得超出已质疑事项的范围，基于质疑答复内容提出的投诉事项除外。</w:t>
      </w:r>
    </w:p>
    <w:p>
      <w:pPr>
        <w:widowControl w:val="0"/>
        <w:adjustRightInd w:val="0"/>
        <w:spacing w:line="360" w:lineRule="auto"/>
        <w:ind w:firstLine="480" w:firstLineChars="200"/>
        <w:jc w:val="both"/>
        <w:rPr>
          <w:rFonts w:hint="eastAsia" w:ascii="仿宋_GB2312" w:hAnsi="仿宋" w:eastAsia="仿宋_GB2312" w:cs="Arial"/>
          <w:snapToGrid w:val="0"/>
          <w:sz w:val="24"/>
          <w:szCs w:val="21"/>
        </w:rPr>
      </w:pPr>
      <w:r>
        <w:rPr>
          <w:rFonts w:hint="eastAsia" w:ascii="仿宋_GB2312" w:hAnsi="仿宋" w:eastAsia="仿宋_GB2312" w:cs="Arial"/>
          <w:snapToGrid w:val="0"/>
          <w:sz w:val="24"/>
          <w:szCs w:val="21"/>
        </w:rPr>
        <w:t>4.3.3供应商投诉应当有明确的请求和必要的证明材料。投诉书范本及制作说明详见附件4.</w:t>
      </w:r>
    </w:p>
    <w:p>
      <w:pPr>
        <w:widowControl w:val="0"/>
        <w:adjustRightInd w:val="0"/>
        <w:spacing w:line="360" w:lineRule="auto"/>
        <w:ind w:firstLine="480" w:firstLineChars="200"/>
        <w:jc w:val="both"/>
        <w:rPr>
          <w:rFonts w:hint="eastAsia" w:ascii="仿宋_GB2312" w:hAnsi="仿宋" w:eastAsia="仿宋_GB2312" w:cs="Arial"/>
          <w:snapToGrid w:val="0"/>
          <w:sz w:val="24"/>
          <w:szCs w:val="21"/>
        </w:rPr>
      </w:pPr>
      <w:r>
        <w:rPr>
          <w:rFonts w:hint="eastAsia" w:ascii="仿宋_GB2312" w:hAnsi="仿宋" w:eastAsia="仿宋_GB2312" w:cs="Arial"/>
          <w:snapToGrid w:val="0"/>
          <w:sz w:val="24"/>
          <w:szCs w:val="21"/>
        </w:rPr>
        <w:t>4.3.5 以联合体形式参加政府采购活动的，其投诉应当由组成联合体的所有供应商共同提出。</w:t>
      </w:r>
    </w:p>
    <w:p>
      <w:pPr>
        <w:shd w:val="clear" w:color="auto" w:fill="FFFFFF"/>
        <w:snapToGrid w:val="0"/>
        <w:spacing w:before="100" w:beforeAutospacing="1" w:after="240" w:line="360" w:lineRule="auto"/>
        <w:ind w:firstLine="480"/>
        <w:contextualSpacing/>
        <w:rPr>
          <w:rFonts w:hint="eastAsia" w:ascii="仿宋_GB2312" w:hAnsi="仿宋" w:eastAsia="仿宋_GB2312" w:cs="宋体"/>
          <w:kern w:val="0"/>
          <w:sz w:val="24"/>
          <w:szCs w:val="24"/>
        </w:rPr>
      </w:pPr>
      <w:r>
        <w:rPr>
          <w:rFonts w:hint="eastAsia" w:ascii="仿宋_GB2312" w:hAnsi="仿宋" w:eastAsia="仿宋_GB2312" w:cs="宋体"/>
          <w:kern w:val="0"/>
          <w:sz w:val="24"/>
          <w:szCs w:val="24"/>
        </w:rPr>
        <w:t>投诉书范本及制作说明详见附件3。</w:t>
      </w:r>
    </w:p>
    <w:p>
      <w:pPr>
        <w:pStyle w:val="34"/>
        <w:spacing w:line="460" w:lineRule="exact"/>
        <w:ind w:firstLine="480"/>
        <w:rPr>
          <w:rFonts w:hint="eastAsia" w:ascii="仿宋_GB2312" w:eastAsia="仿宋_GB2312"/>
        </w:rPr>
      </w:pPr>
    </w:p>
    <w:p>
      <w:pPr>
        <w:widowControl w:val="0"/>
        <w:spacing w:line="360" w:lineRule="auto"/>
        <w:jc w:val="center"/>
        <w:outlineLvl w:val="0"/>
        <w:rPr>
          <w:rFonts w:hint="eastAsia" w:ascii="仿宋_GB2312" w:hAnsi="仿宋" w:eastAsia="仿宋_GB2312" w:cs="仿宋_GB2312"/>
          <w:b/>
          <w:sz w:val="32"/>
        </w:rPr>
      </w:pPr>
      <w:bookmarkStart w:id="11" w:name="_Toc91899879"/>
      <w:bookmarkStart w:id="12" w:name="_Toc81372771"/>
      <w:bookmarkStart w:id="13" w:name="_Toc81372948"/>
      <w:bookmarkStart w:id="14" w:name="_Toc80157760"/>
      <w:bookmarkStart w:id="15" w:name="_Toc81372986"/>
      <w:r>
        <w:rPr>
          <w:rFonts w:hint="eastAsia" w:ascii="仿宋_GB2312" w:hAnsi="仿宋" w:eastAsia="仿宋_GB2312" w:cs="仿宋_GB2312"/>
          <w:b/>
          <w:sz w:val="32"/>
        </w:rPr>
        <w:t>二、招标文件</w:t>
      </w:r>
      <w:bookmarkEnd w:id="11"/>
      <w:r>
        <w:rPr>
          <w:rFonts w:hint="eastAsia" w:ascii="仿宋_GB2312" w:hAnsi="仿宋" w:eastAsia="仿宋_GB2312" w:cs="仿宋_GB2312"/>
          <w:b/>
          <w:sz w:val="32"/>
        </w:rPr>
        <w:t>的构成、澄清、修改</w:t>
      </w:r>
    </w:p>
    <w:p>
      <w:pPr>
        <w:widowControl w:val="0"/>
        <w:adjustRightInd w:val="0"/>
        <w:spacing w:line="360" w:lineRule="auto"/>
        <w:jc w:val="both"/>
        <w:rPr>
          <w:rFonts w:hint="eastAsia" w:ascii="仿宋_GB2312" w:hAnsi="仿宋" w:eastAsia="仿宋_GB2312" w:cs="仿宋_GB2312"/>
          <w:b/>
          <w:snapToGrid w:val="0"/>
          <w:sz w:val="24"/>
          <w:szCs w:val="24"/>
        </w:rPr>
      </w:pPr>
      <w:bookmarkStart w:id="16" w:name="_Toc91899880"/>
      <w:bookmarkStart w:id="17" w:name="_Hlt74730307"/>
      <w:r>
        <w:rPr>
          <w:rFonts w:hint="eastAsia" w:ascii="仿宋_GB2312" w:hAnsi="仿宋" w:eastAsia="仿宋_GB2312" w:cs="仿宋_GB2312"/>
          <w:b/>
          <w:snapToGrid w:val="0"/>
          <w:sz w:val="24"/>
          <w:szCs w:val="24"/>
        </w:rPr>
        <w:t>5．招标文件的构成</w:t>
      </w:r>
      <w:bookmarkEnd w:id="16"/>
    </w:p>
    <w:bookmarkEnd w:id="17"/>
    <w:p>
      <w:pPr>
        <w:widowControl w:val="0"/>
        <w:adjustRightInd w:val="0"/>
        <w:spacing w:line="360" w:lineRule="auto"/>
        <w:ind w:firstLine="480" w:firstLineChars="200"/>
        <w:jc w:val="both"/>
        <w:rPr>
          <w:rFonts w:hint="eastAsia" w:ascii="仿宋_GB2312" w:hAnsi="仿宋" w:eastAsia="仿宋_GB2312" w:cs="仿宋_GB2312"/>
          <w:snapToGrid w:val="0"/>
          <w:sz w:val="24"/>
          <w:szCs w:val="24"/>
        </w:rPr>
      </w:pPr>
      <w:r>
        <w:rPr>
          <w:rFonts w:hint="eastAsia" w:ascii="仿宋_GB2312" w:hAnsi="仿宋" w:eastAsia="仿宋_GB2312" w:cs="仿宋_GB2312"/>
          <w:snapToGrid w:val="0"/>
          <w:sz w:val="24"/>
          <w:szCs w:val="24"/>
        </w:rPr>
        <w:t>5.1 招标文件包括下列文件及附件</w:t>
      </w:r>
    </w:p>
    <w:p>
      <w:pPr>
        <w:widowControl w:val="0"/>
        <w:numPr>
          <w:ilvl w:val="0"/>
          <w:numId w:val="15"/>
        </w:numPr>
        <w:adjustRightInd w:val="0"/>
        <w:spacing w:line="360" w:lineRule="auto"/>
        <w:ind w:left="839" w:firstLine="480" w:firstLineChars="200"/>
        <w:jc w:val="both"/>
        <w:rPr>
          <w:rFonts w:hint="eastAsia" w:ascii="仿宋_GB2312" w:hAnsi="仿宋" w:eastAsia="仿宋_GB2312" w:cs="仿宋_GB2312"/>
          <w:snapToGrid w:val="0"/>
          <w:sz w:val="24"/>
          <w:szCs w:val="24"/>
        </w:rPr>
      </w:pPr>
      <w:r>
        <w:rPr>
          <w:rFonts w:hint="eastAsia" w:ascii="仿宋_GB2312" w:hAnsi="仿宋" w:eastAsia="仿宋_GB2312" w:cs="仿宋_GB2312"/>
          <w:snapToGrid w:val="0"/>
          <w:sz w:val="24"/>
          <w:szCs w:val="24"/>
        </w:rPr>
        <w:t>第一部分 招标公告</w:t>
      </w:r>
    </w:p>
    <w:p>
      <w:pPr>
        <w:widowControl w:val="0"/>
        <w:numPr>
          <w:ilvl w:val="0"/>
          <w:numId w:val="15"/>
        </w:numPr>
        <w:adjustRightInd w:val="0"/>
        <w:spacing w:line="360" w:lineRule="auto"/>
        <w:ind w:left="839" w:firstLine="480" w:firstLineChars="200"/>
        <w:jc w:val="both"/>
        <w:rPr>
          <w:rFonts w:hint="eastAsia" w:ascii="仿宋_GB2312" w:hAnsi="仿宋" w:eastAsia="仿宋_GB2312" w:cs="仿宋_GB2312"/>
          <w:snapToGrid w:val="0"/>
          <w:sz w:val="24"/>
          <w:szCs w:val="24"/>
        </w:rPr>
      </w:pPr>
      <w:r>
        <w:rPr>
          <w:rFonts w:hint="eastAsia" w:ascii="仿宋_GB2312" w:hAnsi="仿宋" w:eastAsia="仿宋_GB2312" w:cs="仿宋_GB2312"/>
          <w:snapToGrid w:val="0"/>
          <w:sz w:val="24"/>
          <w:szCs w:val="24"/>
        </w:rPr>
        <w:t>第二部分 投标人须知</w:t>
      </w:r>
    </w:p>
    <w:p>
      <w:pPr>
        <w:widowControl w:val="0"/>
        <w:numPr>
          <w:ilvl w:val="0"/>
          <w:numId w:val="15"/>
        </w:numPr>
        <w:adjustRightInd w:val="0"/>
        <w:spacing w:line="360" w:lineRule="auto"/>
        <w:ind w:left="839" w:firstLine="480" w:firstLineChars="200"/>
        <w:jc w:val="both"/>
        <w:rPr>
          <w:rFonts w:hint="eastAsia" w:ascii="仿宋_GB2312" w:hAnsi="仿宋" w:eastAsia="仿宋_GB2312" w:cs="仿宋_GB2312"/>
          <w:snapToGrid w:val="0"/>
          <w:sz w:val="24"/>
          <w:szCs w:val="24"/>
        </w:rPr>
      </w:pPr>
      <w:r>
        <w:rPr>
          <w:rFonts w:hint="eastAsia" w:ascii="仿宋_GB2312" w:hAnsi="仿宋" w:eastAsia="仿宋_GB2312" w:cs="仿宋_GB2312"/>
          <w:snapToGrid w:val="0"/>
          <w:sz w:val="24"/>
          <w:szCs w:val="24"/>
        </w:rPr>
        <w:t>第三部分 采购需求</w:t>
      </w:r>
    </w:p>
    <w:p>
      <w:pPr>
        <w:widowControl w:val="0"/>
        <w:numPr>
          <w:ilvl w:val="0"/>
          <w:numId w:val="15"/>
        </w:numPr>
        <w:adjustRightInd w:val="0"/>
        <w:spacing w:line="360" w:lineRule="auto"/>
        <w:ind w:left="839" w:firstLine="480" w:firstLineChars="200"/>
        <w:jc w:val="both"/>
        <w:rPr>
          <w:rFonts w:hint="eastAsia" w:ascii="仿宋_GB2312" w:hAnsi="仿宋" w:eastAsia="仿宋_GB2312" w:cs="仿宋_GB2312"/>
          <w:snapToGrid w:val="0"/>
          <w:sz w:val="24"/>
          <w:szCs w:val="24"/>
        </w:rPr>
      </w:pPr>
      <w:r>
        <w:rPr>
          <w:rFonts w:hint="eastAsia" w:ascii="仿宋_GB2312" w:hAnsi="仿宋" w:eastAsia="仿宋_GB2312" w:cs="仿宋_GB2312"/>
          <w:snapToGrid w:val="0"/>
          <w:sz w:val="24"/>
          <w:szCs w:val="24"/>
        </w:rPr>
        <w:t>第四部分 评标方法及评分标准</w:t>
      </w:r>
    </w:p>
    <w:p>
      <w:pPr>
        <w:widowControl w:val="0"/>
        <w:numPr>
          <w:ilvl w:val="0"/>
          <w:numId w:val="15"/>
        </w:numPr>
        <w:adjustRightInd w:val="0"/>
        <w:spacing w:line="360" w:lineRule="auto"/>
        <w:ind w:left="839" w:firstLine="480" w:firstLineChars="200"/>
        <w:jc w:val="both"/>
        <w:rPr>
          <w:rFonts w:hint="eastAsia" w:ascii="仿宋_GB2312" w:hAnsi="仿宋" w:eastAsia="仿宋_GB2312" w:cs="仿宋_GB2312"/>
          <w:snapToGrid w:val="0"/>
          <w:sz w:val="24"/>
          <w:szCs w:val="24"/>
        </w:rPr>
      </w:pPr>
      <w:r>
        <w:rPr>
          <w:rFonts w:hint="eastAsia" w:ascii="仿宋_GB2312" w:hAnsi="仿宋" w:eastAsia="仿宋_GB2312" w:cs="仿宋_GB2312"/>
          <w:snapToGrid w:val="0"/>
          <w:sz w:val="24"/>
          <w:szCs w:val="24"/>
        </w:rPr>
        <w:t>第五部分 拟签订的合同文本</w:t>
      </w:r>
    </w:p>
    <w:p>
      <w:pPr>
        <w:widowControl w:val="0"/>
        <w:numPr>
          <w:ilvl w:val="0"/>
          <w:numId w:val="15"/>
        </w:numPr>
        <w:adjustRightInd w:val="0"/>
        <w:spacing w:line="360" w:lineRule="auto"/>
        <w:ind w:left="839" w:firstLine="480" w:firstLineChars="200"/>
        <w:jc w:val="both"/>
        <w:rPr>
          <w:rFonts w:hint="eastAsia" w:ascii="仿宋_GB2312" w:hAnsi="仿宋" w:eastAsia="仿宋_GB2312" w:cs="仿宋_GB2312"/>
          <w:snapToGrid w:val="0"/>
          <w:sz w:val="24"/>
          <w:szCs w:val="24"/>
        </w:rPr>
      </w:pPr>
      <w:r>
        <w:rPr>
          <w:rFonts w:hint="eastAsia" w:ascii="仿宋_GB2312" w:hAnsi="仿宋" w:eastAsia="仿宋_GB2312" w:cs="仿宋_GB2312"/>
          <w:snapToGrid w:val="0"/>
          <w:sz w:val="24"/>
          <w:szCs w:val="24"/>
        </w:rPr>
        <w:t>第六部分 应提交的有关格式范例</w:t>
      </w:r>
    </w:p>
    <w:p>
      <w:pPr>
        <w:widowControl w:val="0"/>
        <w:adjustRightInd w:val="0"/>
        <w:spacing w:line="360" w:lineRule="auto"/>
        <w:ind w:firstLine="480" w:firstLineChars="200"/>
        <w:jc w:val="both"/>
        <w:rPr>
          <w:rFonts w:hint="eastAsia" w:ascii="仿宋_GB2312" w:hAnsi="仿宋" w:eastAsia="仿宋_GB2312" w:cs="仿宋_GB2312"/>
          <w:sz w:val="24"/>
          <w:szCs w:val="24"/>
        </w:rPr>
      </w:pPr>
      <w:r>
        <w:rPr>
          <w:rFonts w:hint="eastAsia" w:ascii="仿宋_GB2312" w:hAnsi="仿宋" w:eastAsia="仿宋_GB2312"/>
          <w:sz w:val="24"/>
          <w:szCs w:val="24"/>
        </w:rPr>
        <w:t>5.2与本项目有关的</w:t>
      </w:r>
      <w:r>
        <w:rPr>
          <w:rFonts w:hint="eastAsia" w:ascii="仿宋_GB2312" w:hAnsi="仿宋" w:eastAsia="仿宋_GB2312"/>
          <w:bCs/>
          <w:sz w:val="24"/>
          <w:szCs w:val="24"/>
        </w:rPr>
        <w:t>澄清或者修改的内容为招标文件的组成部分</w:t>
      </w:r>
      <w:r>
        <w:rPr>
          <w:rFonts w:hint="eastAsia" w:ascii="仿宋_GB2312" w:hAnsi="仿宋" w:eastAsia="仿宋_GB2312" w:cs="仿宋_GB2312"/>
          <w:sz w:val="24"/>
          <w:szCs w:val="24"/>
        </w:rPr>
        <w:t>。</w:t>
      </w:r>
    </w:p>
    <w:p>
      <w:pPr>
        <w:widowControl w:val="0"/>
        <w:adjustRightInd w:val="0"/>
        <w:spacing w:line="360" w:lineRule="auto"/>
        <w:jc w:val="both"/>
        <w:rPr>
          <w:rFonts w:hint="eastAsia" w:ascii="仿宋_GB2312" w:hAnsi="仿宋" w:eastAsia="仿宋_GB2312" w:cs="仿宋_GB2312"/>
          <w:b/>
          <w:snapToGrid w:val="0"/>
          <w:sz w:val="24"/>
          <w:szCs w:val="24"/>
        </w:rPr>
      </w:pPr>
      <w:r>
        <w:rPr>
          <w:rFonts w:hint="eastAsia" w:ascii="仿宋_GB2312" w:hAnsi="仿宋" w:eastAsia="仿宋_GB2312" w:cs="仿宋_GB2312"/>
          <w:b/>
          <w:snapToGrid w:val="0"/>
          <w:sz w:val="24"/>
          <w:szCs w:val="24"/>
        </w:rPr>
        <w:t>6. 招标文件的澄清、修改</w:t>
      </w:r>
    </w:p>
    <w:p>
      <w:pPr>
        <w:widowControl w:val="0"/>
        <w:adjustRightInd w:val="0"/>
        <w:snapToGrid w:val="0"/>
        <w:spacing w:line="360" w:lineRule="auto"/>
        <w:ind w:firstLine="480" w:firstLineChars="200"/>
        <w:jc w:val="both"/>
        <w:rPr>
          <w:rFonts w:hint="eastAsia" w:ascii="仿宋_GB2312" w:hAnsi="仿宋" w:eastAsia="仿宋_GB2312" w:cs="仿宋_GB2312"/>
          <w:sz w:val="24"/>
        </w:rPr>
      </w:pPr>
      <w:r>
        <w:rPr>
          <w:rFonts w:hint="eastAsia" w:ascii="仿宋_GB2312" w:hAnsi="仿宋" w:eastAsia="仿宋_GB2312" w:cs="仿宋_GB2312"/>
          <w:sz w:val="24"/>
        </w:rPr>
        <w:t>6.1已获取招标文件的潜在投标人，若有问题需要澄清，应于投标截止时间前，以书面形式向采购机构提出，采购机构与采购人研究后，对认为有必要回答的问题，将以书面解答形式通知所有招标文件收受人。</w:t>
      </w:r>
    </w:p>
    <w:p>
      <w:pPr>
        <w:widowControl w:val="0"/>
        <w:adjustRightInd w:val="0"/>
        <w:snapToGrid w:val="0"/>
        <w:spacing w:line="360" w:lineRule="auto"/>
        <w:ind w:firstLine="480" w:firstLineChars="200"/>
        <w:jc w:val="both"/>
        <w:rPr>
          <w:rFonts w:hint="eastAsia" w:ascii="仿宋_GB2312" w:hAnsi="仿宋" w:eastAsia="仿宋_GB2312"/>
          <w:sz w:val="24"/>
        </w:rPr>
      </w:pPr>
      <w:r>
        <w:rPr>
          <w:rFonts w:hint="eastAsia" w:ascii="仿宋_GB2312" w:hAnsi="仿宋" w:eastAsia="仿宋_GB2312"/>
          <w:sz w:val="24"/>
        </w:rPr>
        <w:t>6.2采购机构如对已发出的招标文件进行必要澄清或者修改的，将在发布招标公告的网站上发布更正公告，同时视情况延长投标截止时间和开标时间。该澄清或者修改的内容为招标文件的组成部分。</w:t>
      </w:r>
    </w:p>
    <w:p>
      <w:pPr>
        <w:widowControl w:val="0"/>
        <w:adjustRightInd w:val="0"/>
        <w:spacing w:line="360" w:lineRule="auto"/>
        <w:ind w:firstLine="482" w:firstLineChars="200"/>
        <w:jc w:val="both"/>
        <w:rPr>
          <w:rFonts w:hint="eastAsia" w:ascii="仿宋_GB2312" w:hAnsi="仿宋" w:eastAsia="仿宋_GB2312" w:cs="仿宋_GB2312"/>
          <w:b/>
          <w:sz w:val="24"/>
          <w:szCs w:val="21"/>
        </w:rPr>
      </w:pPr>
      <w:r>
        <w:rPr>
          <w:rFonts w:hint="eastAsia" w:ascii="仿宋_GB2312" w:hAnsi="仿宋" w:eastAsia="仿宋_GB2312"/>
          <w:b/>
          <w:sz w:val="24"/>
          <w:szCs w:val="24"/>
        </w:rPr>
        <w:t>▲</w:t>
      </w:r>
      <w:r>
        <w:rPr>
          <w:rFonts w:hint="eastAsia" w:ascii="仿宋_GB2312" w:hAnsi="仿宋" w:eastAsia="仿宋_GB2312" w:cs="仿宋_GB2312"/>
          <w:b/>
          <w:sz w:val="24"/>
          <w:szCs w:val="21"/>
        </w:rPr>
        <w:t>投标文件未按招标文件的澄清、修改的内容编制，又不符合实质性要求的，投标无效。</w:t>
      </w:r>
    </w:p>
    <w:bookmarkEnd w:id="12"/>
    <w:bookmarkEnd w:id="13"/>
    <w:bookmarkEnd w:id="14"/>
    <w:bookmarkEnd w:id="15"/>
    <w:p>
      <w:pPr>
        <w:pStyle w:val="34"/>
        <w:spacing w:line="460" w:lineRule="exact"/>
        <w:ind w:firstLine="480"/>
        <w:rPr>
          <w:rFonts w:hint="eastAsia" w:ascii="仿宋_GB2312" w:eastAsia="仿宋_GB2312"/>
          <w:sz w:val="24"/>
        </w:rPr>
      </w:pPr>
    </w:p>
    <w:p>
      <w:pPr>
        <w:widowControl w:val="0"/>
        <w:spacing w:line="360" w:lineRule="auto"/>
        <w:jc w:val="center"/>
        <w:outlineLvl w:val="0"/>
        <w:rPr>
          <w:rFonts w:hint="eastAsia" w:ascii="仿宋_GB2312" w:hAnsi="仿宋" w:eastAsia="仿宋_GB2312" w:cs="仿宋_GB2312"/>
          <w:b/>
          <w:sz w:val="30"/>
        </w:rPr>
      </w:pPr>
      <w:bookmarkStart w:id="18" w:name="_Toc91899884"/>
      <w:r>
        <w:rPr>
          <w:rFonts w:hint="eastAsia" w:ascii="仿宋_GB2312" w:hAnsi="仿宋" w:eastAsia="仿宋_GB2312" w:cs="仿宋_GB2312"/>
          <w:b/>
          <w:sz w:val="30"/>
        </w:rPr>
        <w:t>三、投标</w:t>
      </w:r>
      <w:bookmarkEnd w:id="18"/>
    </w:p>
    <w:p>
      <w:pPr>
        <w:widowControl w:val="0"/>
        <w:adjustRightInd w:val="0"/>
        <w:spacing w:line="360" w:lineRule="auto"/>
        <w:jc w:val="both"/>
        <w:rPr>
          <w:rFonts w:hint="eastAsia" w:ascii="仿宋_GB2312" w:hAnsi="仿宋" w:eastAsia="仿宋_GB2312" w:cs="仿宋_GB2312"/>
          <w:b/>
          <w:snapToGrid w:val="0"/>
          <w:sz w:val="24"/>
          <w:szCs w:val="24"/>
        </w:rPr>
      </w:pPr>
      <w:r>
        <w:rPr>
          <w:rFonts w:hint="eastAsia" w:ascii="仿宋_GB2312" w:hAnsi="仿宋" w:eastAsia="仿宋_GB2312" w:cs="仿宋_GB2312"/>
          <w:b/>
          <w:snapToGrid w:val="0"/>
          <w:sz w:val="24"/>
          <w:szCs w:val="24"/>
        </w:rPr>
        <w:t>7. 招标文件的获取</w:t>
      </w:r>
    </w:p>
    <w:p>
      <w:pPr>
        <w:widowControl w:val="0"/>
        <w:adjustRightInd w:val="0"/>
        <w:spacing w:line="360" w:lineRule="auto"/>
        <w:jc w:val="both"/>
        <w:rPr>
          <w:rFonts w:hint="eastAsia" w:ascii="仿宋_GB2312" w:hAnsi="仿宋" w:eastAsia="仿宋_GB2312" w:cs="仿宋_GB2312"/>
          <w:snapToGrid w:val="0"/>
          <w:kern w:val="28"/>
          <w:sz w:val="24"/>
          <w:szCs w:val="24"/>
        </w:rPr>
      </w:pPr>
      <w:r>
        <w:rPr>
          <w:rFonts w:hint="eastAsia" w:ascii="仿宋_GB2312" w:hAnsi="仿宋" w:eastAsia="仿宋_GB2312" w:cs="仿宋_GB2312"/>
          <w:snapToGrid w:val="0"/>
          <w:kern w:val="28"/>
          <w:sz w:val="24"/>
          <w:szCs w:val="24"/>
        </w:rPr>
        <w:t>详见招标公告中获取招标文件的时间期限、地点、方式及招标文件售价。</w:t>
      </w:r>
    </w:p>
    <w:p>
      <w:pPr>
        <w:widowControl w:val="0"/>
        <w:adjustRightInd w:val="0"/>
        <w:spacing w:line="360" w:lineRule="auto"/>
        <w:jc w:val="both"/>
        <w:rPr>
          <w:rFonts w:hint="eastAsia" w:ascii="仿宋_GB2312" w:hAnsi="仿宋" w:eastAsia="仿宋_GB2312" w:cs="仿宋_GB2312"/>
          <w:b/>
          <w:snapToGrid w:val="0"/>
          <w:sz w:val="24"/>
          <w:szCs w:val="24"/>
        </w:rPr>
      </w:pPr>
      <w:r>
        <w:rPr>
          <w:rFonts w:hint="eastAsia" w:ascii="仿宋_GB2312" w:hAnsi="仿宋" w:eastAsia="仿宋_GB2312" w:cs="仿宋_GB2312"/>
          <w:b/>
          <w:snapToGrid w:val="0"/>
          <w:sz w:val="24"/>
          <w:szCs w:val="24"/>
        </w:rPr>
        <w:t>8.开标前答疑会或现场考察</w:t>
      </w:r>
    </w:p>
    <w:p>
      <w:pPr>
        <w:widowControl w:val="0"/>
        <w:adjustRightInd w:val="0"/>
        <w:spacing w:line="360" w:lineRule="auto"/>
        <w:ind w:firstLine="240" w:firstLineChars="100"/>
        <w:jc w:val="both"/>
        <w:rPr>
          <w:rFonts w:hint="eastAsia" w:ascii="仿宋_GB2312" w:hAnsi="仿宋" w:eastAsia="仿宋_GB2312" w:cs="Arial"/>
          <w:snapToGrid w:val="0"/>
          <w:sz w:val="24"/>
          <w:szCs w:val="24"/>
        </w:rPr>
      </w:pPr>
      <w:r>
        <w:rPr>
          <w:rFonts w:hint="eastAsia" w:ascii="仿宋_GB2312" w:hAnsi="仿宋" w:eastAsia="仿宋_GB2312" w:cs="Arial"/>
          <w:snapToGrid w:val="0"/>
          <w:sz w:val="24"/>
          <w:szCs w:val="24"/>
        </w:rPr>
        <w:t>采购人视采购项目的具体情况，如果采购人组织潜在投标人现场考察或者召开开标前答疑会的，潜在投标人按前附表的规定参加现场考察或者开标前答疑会。</w:t>
      </w:r>
      <w:r>
        <w:rPr>
          <w:rFonts w:hint="eastAsia" w:ascii="仿宋_GB2312" w:hAnsi="仿宋" w:eastAsia="仿宋_GB2312" w:cs="Arial"/>
          <w:b/>
          <w:snapToGrid w:val="0"/>
          <w:sz w:val="24"/>
          <w:szCs w:val="24"/>
        </w:rPr>
        <w:t>采购人不单独或分别组织只有一个供应商参加的现场考察和答疑会。</w:t>
      </w:r>
    </w:p>
    <w:p>
      <w:pPr>
        <w:widowControl w:val="0"/>
        <w:adjustRightInd w:val="0"/>
        <w:spacing w:line="360" w:lineRule="auto"/>
        <w:jc w:val="both"/>
        <w:rPr>
          <w:rFonts w:hint="eastAsia" w:ascii="仿宋_GB2312" w:hAnsi="仿宋" w:eastAsia="仿宋_GB2312" w:cs="仿宋_GB2312"/>
          <w:b/>
          <w:snapToGrid w:val="0"/>
          <w:sz w:val="24"/>
          <w:szCs w:val="24"/>
        </w:rPr>
      </w:pPr>
      <w:r>
        <w:rPr>
          <w:rFonts w:hint="eastAsia" w:ascii="仿宋_GB2312" w:hAnsi="仿宋" w:eastAsia="仿宋_GB2312" w:cs="仿宋_GB2312"/>
          <w:b/>
          <w:snapToGrid w:val="0"/>
          <w:sz w:val="24"/>
          <w:szCs w:val="24"/>
        </w:rPr>
        <w:t>9. 投标文件的语言</w:t>
      </w:r>
    </w:p>
    <w:p>
      <w:pPr>
        <w:widowControl w:val="0"/>
        <w:autoSpaceDE w:val="0"/>
        <w:autoSpaceDN w:val="0"/>
        <w:adjustRightInd w:val="0"/>
        <w:spacing w:line="360" w:lineRule="auto"/>
        <w:ind w:firstLine="480" w:firstLineChars="200"/>
        <w:jc w:val="both"/>
        <w:rPr>
          <w:rFonts w:hint="eastAsia" w:ascii="仿宋_GB2312" w:hAnsi="仿宋" w:eastAsia="仿宋_GB2312" w:cs="仿宋_GB2312"/>
          <w:sz w:val="24"/>
          <w:szCs w:val="24"/>
          <w:lang w:val="zh-CN"/>
        </w:rPr>
      </w:pPr>
      <w:r>
        <w:rPr>
          <w:rFonts w:hint="eastAsia" w:ascii="仿宋_GB2312" w:hAnsi="仿宋" w:eastAsia="仿宋_GB2312" w:cs="仿宋_GB2312"/>
          <w:sz w:val="24"/>
          <w:szCs w:val="24"/>
        </w:rPr>
        <w:t>投标文件及投标人与采购有关的来往通知、函件和文件均应使用中文。</w:t>
      </w:r>
    </w:p>
    <w:p>
      <w:pPr>
        <w:autoSpaceDE w:val="0"/>
        <w:autoSpaceDN w:val="0"/>
        <w:adjustRightInd w:val="0"/>
        <w:spacing w:line="460" w:lineRule="exact"/>
        <w:rPr>
          <w:rFonts w:hint="eastAsia" w:ascii="仿宋_GB2312" w:eastAsia="仿宋_GB2312"/>
          <w:b/>
          <w:sz w:val="24"/>
          <w:lang w:val="zh-CN"/>
        </w:rPr>
      </w:pPr>
      <w:r>
        <w:rPr>
          <w:rFonts w:hint="eastAsia" w:ascii="仿宋_GB2312" w:eastAsia="仿宋_GB2312"/>
          <w:b/>
          <w:sz w:val="24"/>
          <w:lang w:val="zh-CN"/>
        </w:rPr>
        <w:t>10．投标文件的组成</w:t>
      </w:r>
    </w:p>
    <w:p>
      <w:pPr>
        <w:snapToGrid w:val="0"/>
        <w:spacing w:line="440" w:lineRule="exact"/>
        <w:ind w:firstLine="480" w:firstLineChars="200"/>
        <w:rPr>
          <w:rFonts w:hint="eastAsia" w:ascii="仿宋_GB2312" w:eastAsia="仿宋_GB2312"/>
          <w:sz w:val="24"/>
        </w:rPr>
      </w:pPr>
      <w:r>
        <w:rPr>
          <w:rFonts w:hint="eastAsia" w:ascii="仿宋_GB2312" w:hAnsi="仿宋_GB2312" w:eastAsia="仿宋_GB2312" w:cs="仿宋_GB2312"/>
          <w:kern w:val="0"/>
          <w:sz w:val="24"/>
          <w:szCs w:val="24"/>
        </w:rPr>
        <w:t>投标文件应当包括以下主要内容：</w:t>
      </w:r>
      <w:r>
        <w:rPr>
          <w:rFonts w:hint="eastAsia" w:ascii="仿宋_GB2312" w:hAnsi="仿宋_GB2312" w:eastAsia="仿宋_GB2312" w:cs="仿宋_GB2312"/>
          <w:b/>
          <w:sz w:val="24"/>
          <w:szCs w:val="24"/>
        </w:rPr>
        <w:t>资格文件、报价文件、商务技术文件</w:t>
      </w:r>
      <w:r>
        <w:rPr>
          <w:rFonts w:hint="eastAsia" w:ascii="仿宋_GB2312" w:hAnsi="仿宋_GB2312" w:eastAsia="仿宋_GB2312" w:cs="仿宋_GB2312"/>
          <w:sz w:val="24"/>
          <w:szCs w:val="24"/>
        </w:rPr>
        <w:t>。</w:t>
      </w:r>
    </w:p>
    <w:p>
      <w:pPr>
        <w:snapToGrid w:val="0"/>
        <w:spacing w:line="360" w:lineRule="auto"/>
        <w:ind w:firstLine="480" w:firstLineChars="200"/>
        <w:rPr>
          <w:rFonts w:hint="eastAsia" w:ascii="仿宋_GB2312" w:hAnsi="Arial" w:eastAsia="仿宋_GB2312" w:cs="Arial"/>
          <w:kern w:val="0"/>
          <w:sz w:val="24"/>
        </w:rPr>
      </w:pPr>
      <w:r>
        <w:rPr>
          <w:rFonts w:hint="eastAsia" w:ascii="仿宋_GB2312" w:hAnsi="仿宋_GB2312" w:eastAsia="仿宋_GB2312" w:cs="仿宋_GB2312"/>
          <w:sz w:val="24"/>
        </w:rPr>
        <w:t>10.1</w:t>
      </w:r>
      <w:r>
        <w:rPr>
          <w:rFonts w:hint="eastAsia" w:ascii="仿宋_GB2312" w:hAnsi="仿宋_GB2312" w:eastAsia="仿宋_GB2312" w:cs="仿宋_GB2312"/>
          <w:b/>
          <w:sz w:val="24"/>
        </w:rPr>
        <w:t>资格文件</w:t>
      </w:r>
      <w:r>
        <w:rPr>
          <w:rFonts w:hint="eastAsia" w:ascii="仿宋_GB2312" w:hAnsi="仿宋_GB2312" w:eastAsia="仿宋_GB2312" w:cs="仿宋_GB2312"/>
          <w:sz w:val="24"/>
        </w:rPr>
        <w:t>应包括以下内容（均需加盖公章）：</w:t>
      </w:r>
      <w:r>
        <w:rPr>
          <w:rFonts w:hint="eastAsia" w:ascii="仿宋_GB2312" w:hAnsi="仿宋_GB2312" w:eastAsia="仿宋_GB2312" w:cs="仿宋_GB2312"/>
          <w:kern w:val="0"/>
          <w:sz w:val="24"/>
        </w:rPr>
        <w:t>证明其符合《中华人民共和国政府采购法》</w:t>
      </w:r>
      <w:r>
        <w:rPr>
          <w:rFonts w:hint="eastAsia" w:ascii="仿宋_GB2312" w:hAnsi="Arial" w:eastAsia="仿宋_GB2312" w:cs="Arial"/>
          <w:kern w:val="0"/>
          <w:sz w:val="24"/>
        </w:rPr>
        <w:t>规定的供应商基本条件和采购项目对供应商的特定要求</w:t>
      </w:r>
      <w:r>
        <w:rPr>
          <w:rFonts w:hint="eastAsia" w:ascii="仿宋_GB2312" w:hAnsi="仿宋_GB2312" w:eastAsia="仿宋_GB2312" w:cs="仿宋_GB2312"/>
          <w:sz w:val="24"/>
        </w:rPr>
        <w:t>（如果项目要求）</w:t>
      </w:r>
      <w:r>
        <w:rPr>
          <w:rFonts w:hint="eastAsia" w:ascii="仿宋_GB2312" w:hAnsi="仿宋_GB2312" w:eastAsia="仿宋_GB2312" w:cs="仿宋_GB2312"/>
          <w:kern w:val="0"/>
          <w:sz w:val="24"/>
        </w:rPr>
        <w:t>的有关资格证明文件。</w:t>
      </w:r>
      <w:r>
        <w:rPr>
          <w:rFonts w:hint="eastAsia" w:ascii="仿宋_GB2312" w:hAnsi="Arial" w:eastAsia="仿宋_GB2312" w:cs="Arial"/>
          <w:kern w:val="0"/>
          <w:sz w:val="24"/>
        </w:rPr>
        <w:t>以联合体形式进行政府采购的，联合体成员各方均应提供如下（1）、（2）、（3）、（4）的基本资格证明文件；承担需要具备</w:t>
      </w:r>
      <w:r>
        <w:rPr>
          <w:rFonts w:hint="eastAsia" w:ascii="仿宋_GB2312" w:hAnsi="仿宋_GB2312" w:eastAsia="仿宋_GB2312" w:cs="仿宋_GB2312"/>
          <w:sz w:val="24"/>
        </w:rPr>
        <w:t>特定资格条件（如果项目要求）的工作的联合体成员，提供其符合特定资格条件（如果项目要求）的有关资质证明材料，多方共同承担该工作的，均需提供其符合特定资格条件（如果项目要求）的有关证明材料</w:t>
      </w:r>
      <w:r>
        <w:rPr>
          <w:rFonts w:hint="eastAsia" w:ascii="仿宋_GB2312" w:hAnsi="Helvetica" w:eastAsia="仿宋_GB2312" w:cs="Helvetica"/>
          <w:kern w:val="0"/>
          <w:sz w:val="24"/>
        </w:rPr>
        <w:t>并按照资质等级较低的供应商确定该联合体的资质等级。</w:t>
      </w:r>
    </w:p>
    <w:p>
      <w:pPr>
        <w:pStyle w:val="34"/>
        <w:spacing w:line="360" w:lineRule="auto"/>
        <w:ind w:firstLine="480" w:firstLineChars="200"/>
        <w:rPr>
          <w:rFonts w:hint="eastAsia" w:ascii="仿宋_GB2312" w:hAnsi="仿宋" w:eastAsia="仿宋_GB2312"/>
          <w:sz w:val="24"/>
        </w:rPr>
      </w:pPr>
      <w:bookmarkStart w:id="19" w:name="_Hlt68072998"/>
      <w:bookmarkEnd w:id="19"/>
      <w:bookmarkStart w:id="20" w:name="_Hlt68073093"/>
      <w:bookmarkEnd w:id="20"/>
      <w:bookmarkStart w:id="21" w:name="_Hlt68403820"/>
      <w:bookmarkEnd w:id="21"/>
      <w:r>
        <w:rPr>
          <w:rFonts w:hint="eastAsia" w:ascii="仿宋_GB2312" w:hAnsi="仿宋" w:eastAsia="仿宋_GB2312"/>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34"/>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（2）2018年度资产负债表等财务报表资料文件(新成立的公司，必须提供情况说明)；</w:t>
      </w:r>
    </w:p>
    <w:p>
      <w:pPr>
        <w:pStyle w:val="34"/>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（3）具有履行合同所必需的设备和专业技术能力的承诺函；</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 xml:space="preserve">（4）参加政府采购活动前三年内，在经营活动中没有重大违法记录的声明（需要特别声明“没有因违反《浙江省政府采购供应商注册及诚信管理暂行办法》被列入‘黑名单’，在处罚有效期”）； </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（5）</w:t>
      </w:r>
      <w:r>
        <w:rPr>
          <w:rFonts w:hint="eastAsia" w:ascii="仿宋_GB2312" w:hAnsi="仿宋" w:eastAsia="仿宋_GB2312" w:cs="仿宋_GB2312"/>
          <w:sz w:val="24"/>
        </w:rPr>
        <w:t>具有良好商业信誉的特别声明；</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kern w:val="0"/>
          <w:sz w:val="24"/>
        </w:rPr>
        <w:t>(6</w:t>
      </w:r>
      <w:r>
        <w:rPr>
          <w:rFonts w:hint="eastAsia" w:ascii="仿宋_GB2312" w:hAnsi="仿宋_GB2312" w:eastAsia="仿宋_GB2312" w:cs="仿宋_GB2312"/>
          <w:sz w:val="24"/>
        </w:rPr>
        <w:t>)符合特定资格条件（如果项目要求）的有关证明材料（复印件）；</w:t>
      </w:r>
    </w:p>
    <w:p>
      <w:pPr>
        <w:snapToGrid w:val="0"/>
        <w:spacing w:line="440" w:lineRule="exact"/>
        <w:ind w:firstLine="480" w:firstLineChars="200"/>
        <w:rPr>
          <w:rFonts w:hint="eastAsia" w:ascii="仿宋_GB2312" w:hAnsi="宋体" w:eastAsia="仿宋_GB2312"/>
          <w:kern w:val="0"/>
          <w:sz w:val="24"/>
        </w:rPr>
      </w:pPr>
      <w:r>
        <w:rPr>
          <w:rFonts w:hint="eastAsia" w:ascii="仿宋_GB2312" w:hAnsi="仿宋_GB2312" w:eastAsia="仿宋_GB2312" w:cs="仿宋_GB2312"/>
          <w:sz w:val="24"/>
        </w:rPr>
        <w:t>（7）投标人</w:t>
      </w:r>
      <w:r>
        <w:rPr>
          <w:rFonts w:hint="eastAsia" w:ascii="仿宋_GB2312" w:eastAsia="仿宋_GB2312"/>
          <w:sz w:val="24"/>
        </w:rPr>
        <w:t>参与本次招标活动前三年内，在政府采购领域中，在项目招标、投标和合同履约期间是否存在不良行为记录和违法、违规行为（如果有）</w:t>
      </w:r>
      <w:r>
        <w:rPr>
          <w:rFonts w:hint="eastAsia" w:ascii="仿宋_GB2312" w:eastAsia="仿宋_GB2312"/>
          <w:b/>
          <w:sz w:val="24"/>
        </w:rPr>
        <w:t>；</w:t>
      </w:r>
    </w:p>
    <w:p>
      <w:pPr>
        <w:snapToGrid w:val="0"/>
        <w:spacing w:line="360" w:lineRule="auto"/>
        <w:ind w:firstLine="480" w:firstLineChars="200"/>
        <w:rPr>
          <w:rFonts w:hint="eastAsia" w:ascii="仿宋_GB2312" w:hAnsi="仿宋_GB2312" w:eastAsia="仿宋_GB2312" w:cs="仿宋_GB2312"/>
          <w:sz w:val="24"/>
        </w:rPr>
      </w:pPr>
    </w:p>
    <w:p>
      <w:pPr>
        <w:snapToGrid w:val="0"/>
        <w:spacing w:line="360" w:lineRule="auto"/>
        <w:ind w:firstLine="480" w:firstLineChars="200"/>
        <w:rPr>
          <w:rFonts w:hint="eastAsia" w:ascii="仿宋_GB2312" w:hAnsi="仿宋_GB2312" w:eastAsia="仿宋_GB2312" w:cs="仿宋_GB2312"/>
          <w:sz w:val="24"/>
          <w:u w:val="single"/>
          <w:lang w:val="zh-CN"/>
        </w:rPr>
      </w:pPr>
      <w:r>
        <w:rPr>
          <w:rFonts w:hint="eastAsia" w:ascii="仿宋_GB2312" w:hAnsi="仿宋_GB2312" w:eastAsia="仿宋_GB2312" w:cs="仿宋_GB2312"/>
          <w:kern w:val="0"/>
          <w:sz w:val="24"/>
          <w:lang w:val="zh-CN"/>
        </w:rPr>
        <w:t xml:space="preserve">10.2 </w:t>
      </w:r>
      <w:r>
        <w:rPr>
          <w:rFonts w:hint="eastAsia" w:ascii="仿宋_GB2312" w:hAnsi="仿宋_GB2312" w:eastAsia="仿宋_GB2312" w:cs="仿宋_GB2312"/>
          <w:sz w:val="24"/>
        </w:rPr>
        <w:t>投标人的</w:t>
      </w:r>
      <w:r>
        <w:rPr>
          <w:rFonts w:hint="eastAsia" w:ascii="仿宋_GB2312" w:hAnsi="仿宋_GB2312" w:eastAsia="仿宋_GB2312" w:cs="仿宋_GB2312"/>
          <w:b/>
          <w:sz w:val="24"/>
        </w:rPr>
        <w:t>报价文件</w:t>
      </w:r>
      <w:r>
        <w:rPr>
          <w:rFonts w:hint="eastAsia" w:ascii="仿宋_GB2312" w:hAnsi="仿宋_GB2312" w:eastAsia="仿宋_GB2312" w:cs="仿宋_GB2312"/>
          <w:sz w:val="24"/>
        </w:rPr>
        <w:t>应包括以下内容（均需加盖公章）：</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szCs w:val="24"/>
        </w:rPr>
        <w:t>（1）</w:t>
      </w:r>
      <w:r>
        <w:rPr>
          <w:rFonts w:hint="eastAsia" w:ascii="仿宋_GB2312" w:hAnsi="仿宋_GB2312" w:eastAsia="仿宋_GB2312" w:cs="仿宋_GB2312"/>
          <w:kern w:val="0"/>
          <w:sz w:val="24"/>
        </w:rPr>
        <w:t>投标响应函</w:t>
      </w:r>
      <w:r>
        <w:rPr>
          <w:rFonts w:hint="eastAsia" w:ascii="仿宋_GB2312" w:hAnsi="仿宋_GB2312" w:eastAsia="仿宋_GB2312" w:cs="仿宋_GB2312"/>
          <w:sz w:val="24"/>
        </w:rPr>
        <w:t>；</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szCs w:val="24"/>
        </w:rPr>
        <w:t>（2）投标(开标)一览表；</w:t>
      </w:r>
    </w:p>
    <w:p>
      <w:pPr>
        <w:snapToGrid w:val="0"/>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（3）投标设备参数清单。</w:t>
      </w:r>
    </w:p>
    <w:p>
      <w:pPr>
        <w:snapToGrid w:val="0"/>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r>
        <w:rPr>
          <w:rFonts w:hint="eastAsia" w:ascii="仿宋_GB2312" w:hAnsi="仿宋_GB2312" w:eastAsia="仿宋_GB2312" w:cs="仿宋_GB2312"/>
          <w:sz w:val="24"/>
        </w:rPr>
        <w:t>《中小企业声明函》、《中小企业资格确认意见书》、《残疾人福利性单位声明函》（如果有）</w:t>
      </w:r>
    </w:p>
    <w:p>
      <w:pPr>
        <w:pStyle w:val="34"/>
        <w:spacing w:line="440" w:lineRule="exact"/>
        <w:ind w:firstLine="480" w:firstLineChars="200"/>
        <w:rPr>
          <w:rFonts w:hint="eastAsia" w:ascii="仿宋_GB2312" w:eastAsia="仿宋_GB2312"/>
          <w:kern w:val="0"/>
          <w:sz w:val="24"/>
          <w:lang w:val="zh-CN"/>
        </w:rPr>
      </w:pPr>
      <w:r>
        <w:rPr>
          <w:rFonts w:hint="eastAsia" w:ascii="仿宋_GB2312" w:eastAsia="仿宋_GB2312"/>
          <w:kern w:val="0"/>
          <w:sz w:val="24"/>
          <w:lang w:val="zh-CN"/>
        </w:rPr>
        <w:t>10.3  投标人的</w:t>
      </w:r>
      <w:r>
        <w:rPr>
          <w:rFonts w:hint="eastAsia" w:ascii="仿宋_GB2312" w:hAnsi="仿宋_GB2312" w:eastAsia="仿宋_GB2312" w:cs="仿宋_GB2312"/>
          <w:b/>
          <w:sz w:val="24"/>
          <w:szCs w:val="24"/>
        </w:rPr>
        <w:t>商务技术</w:t>
      </w:r>
      <w:r>
        <w:rPr>
          <w:rFonts w:hint="eastAsia" w:ascii="仿宋_GB2312" w:hAnsi="仿宋_GB2312" w:eastAsia="仿宋_GB2312" w:cs="仿宋_GB2312"/>
          <w:b/>
          <w:kern w:val="0"/>
          <w:sz w:val="24"/>
          <w:szCs w:val="24"/>
          <w:lang w:val="zh-CN"/>
        </w:rPr>
        <w:t>文件</w:t>
      </w:r>
      <w:r>
        <w:rPr>
          <w:rFonts w:hint="eastAsia" w:ascii="仿宋_GB2312" w:eastAsia="仿宋_GB2312"/>
          <w:kern w:val="0"/>
          <w:sz w:val="24"/>
          <w:lang w:val="zh-CN"/>
        </w:rPr>
        <w:t>应包括：</w:t>
      </w:r>
      <w:r>
        <w:rPr>
          <w:rFonts w:hint="eastAsia" w:ascii="仿宋_GB2312" w:hAnsi="宋体" w:eastAsia="仿宋_GB2312"/>
          <w:kern w:val="0"/>
          <w:sz w:val="24"/>
        </w:rPr>
        <w:t>针对本项目的技术和服务响应方案、技术偏离说明表、招标文件要求提供的其他资料</w:t>
      </w:r>
      <w:r>
        <w:rPr>
          <w:rFonts w:hint="eastAsia" w:ascii="仿宋_GB2312" w:eastAsia="仿宋_GB2312"/>
          <w:kern w:val="0"/>
          <w:sz w:val="24"/>
          <w:lang w:val="zh-CN"/>
        </w:rPr>
        <w:t>等</w:t>
      </w:r>
      <w:r>
        <w:rPr>
          <w:rFonts w:hint="eastAsia" w:ascii="仿宋_GB2312" w:hAnsi="仿宋" w:eastAsia="仿宋_GB2312"/>
          <w:sz w:val="24"/>
          <w:szCs w:val="24"/>
        </w:rPr>
        <w:t>（均需加盖公章）</w:t>
      </w:r>
      <w:r>
        <w:rPr>
          <w:rFonts w:hint="eastAsia" w:ascii="仿宋_GB2312" w:eastAsia="仿宋_GB2312"/>
          <w:kern w:val="0"/>
          <w:sz w:val="24"/>
          <w:lang w:val="zh-CN"/>
        </w:rPr>
        <w:t>。</w:t>
      </w:r>
    </w:p>
    <w:p>
      <w:pPr>
        <w:pStyle w:val="34"/>
        <w:spacing w:line="360" w:lineRule="auto"/>
        <w:ind w:firstLine="480" w:firstLineChars="200"/>
        <w:rPr>
          <w:rFonts w:hint="eastAsia" w:ascii="仿宋_GB2312" w:eastAsia="仿宋_GB2312"/>
          <w:sz w:val="24"/>
        </w:rPr>
      </w:pPr>
      <w:r>
        <w:rPr>
          <w:rFonts w:hint="eastAsia" w:ascii="仿宋_GB2312" w:hAnsi="仿宋" w:eastAsia="仿宋_GB2312"/>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34"/>
        <w:spacing w:line="440" w:lineRule="exact"/>
        <w:ind w:firstLine="480" w:firstLineChars="200"/>
        <w:rPr>
          <w:rFonts w:hint="eastAsia" w:ascii="仿宋_GB2312" w:eastAsia="仿宋_GB2312"/>
          <w:sz w:val="24"/>
        </w:rPr>
      </w:pPr>
      <w:r>
        <w:rPr>
          <w:rFonts w:hint="eastAsia" w:ascii="仿宋_GB2312" w:eastAsia="仿宋_GB2312"/>
          <w:sz w:val="24"/>
        </w:rPr>
        <w:t>（2） 法人授权委托书、法定代表人的身份证（复印件）、授权委托人</w:t>
      </w:r>
      <w:r>
        <w:rPr>
          <w:rFonts w:hint="eastAsia" w:ascii="仿宋_GB2312" w:eastAsia="仿宋_GB2312"/>
          <w:sz w:val="24"/>
          <w:szCs w:val="24"/>
        </w:rPr>
        <w:t>的身份证和劳动合同和社保交纳记录（社保中心盖章）</w:t>
      </w:r>
      <w:r>
        <w:rPr>
          <w:rFonts w:hint="eastAsia" w:ascii="仿宋_GB2312" w:eastAsia="仿宋_GB2312"/>
          <w:sz w:val="24"/>
        </w:rPr>
        <w:t>（复印件）；</w:t>
      </w:r>
      <w:r>
        <w:rPr>
          <w:rFonts w:hint="eastAsia" w:ascii="仿宋_GB2312" w:hAnsi="仿宋" w:eastAsia="仿宋_GB2312"/>
          <w:sz w:val="24"/>
        </w:rPr>
        <w:t>如</w:t>
      </w:r>
      <w:r>
        <w:rPr>
          <w:rFonts w:hint="eastAsia" w:ascii="仿宋_GB2312" w:hAnsi="宋体" w:eastAsia="仿宋_GB2312"/>
          <w:sz w:val="24"/>
        </w:rPr>
        <w:t>法定代表人直接参加投标并对相应文件签字的，只需提供其</w:t>
      </w:r>
      <w:r>
        <w:rPr>
          <w:rFonts w:hint="eastAsia" w:ascii="仿宋_GB2312" w:hAnsi="仿宋" w:eastAsia="仿宋_GB2312"/>
          <w:sz w:val="24"/>
        </w:rPr>
        <w:t>身份证复印件；▲</w:t>
      </w:r>
      <w:r>
        <w:rPr>
          <w:rFonts w:hint="eastAsia" w:ascii="仿宋_GB2312" w:hAnsi="仿宋" w:eastAsia="仿宋_GB2312" w:cs="仿宋_GB2312"/>
          <w:b/>
          <w:sz w:val="24"/>
        </w:rPr>
        <w:t>投标文件中法定代表人授权书所载内容与本项目内容有异的，投标无效</w:t>
      </w:r>
    </w:p>
    <w:p>
      <w:pPr>
        <w:pStyle w:val="34"/>
        <w:spacing w:line="440" w:lineRule="exact"/>
        <w:ind w:firstLine="480" w:firstLineChars="200"/>
        <w:rPr>
          <w:rFonts w:hint="eastAsia" w:ascii="仿宋_GB2312" w:eastAsia="仿宋_GB2312"/>
          <w:sz w:val="24"/>
        </w:rPr>
      </w:pPr>
      <w:r>
        <w:rPr>
          <w:rFonts w:hint="eastAsia" w:ascii="仿宋_GB2312" w:eastAsia="仿宋_GB2312"/>
          <w:sz w:val="24"/>
        </w:rPr>
        <w:t>（3）声明书（须包含参加政府采购活动前3年内在经营活动中没有重大违法记录的书面声明）；</w:t>
      </w:r>
    </w:p>
    <w:p>
      <w:pPr>
        <w:pStyle w:val="34"/>
        <w:spacing w:line="440" w:lineRule="exact"/>
        <w:ind w:firstLine="480" w:firstLineChars="200"/>
        <w:rPr>
          <w:rFonts w:hint="eastAsia" w:ascii="仿宋_GB2312" w:eastAsia="仿宋_GB2312"/>
          <w:sz w:val="24"/>
        </w:rPr>
      </w:pPr>
      <w:r>
        <w:rPr>
          <w:rFonts w:hint="eastAsia" w:ascii="仿宋_GB2312" w:hAnsi="仿宋_GB2312" w:eastAsia="仿宋_GB2312" w:cs="仿宋_GB2312"/>
          <w:sz w:val="24"/>
        </w:rPr>
        <w:t>（4）</w:t>
      </w:r>
      <w:r>
        <w:rPr>
          <w:rFonts w:hint="eastAsia" w:ascii="仿宋_GB2312" w:hAnsi="宋体" w:eastAsia="仿宋_GB2312"/>
          <w:sz w:val="24"/>
        </w:rPr>
        <w:t>如以联合体形式参加政府采购活动的，</w:t>
      </w:r>
      <w:r>
        <w:rPr>
          <w:rFonts w:hint="eastAsia" w:ascii="仿宋_GB2312" w:hAnsi="仿宋" w:eastAsia="仿宋_GB2312" w:cs="Arial"/>
          <w:sz w:val="24"/>
          <w:szCs w:val="24"/>
        </w:rPr>
        <w:t>联合体各方应当指定牵头人，授权其代表所有联合体成员负责投标和合同实施阶段的主办、协调工作，并应当向采购机构提交由所有联合体成员各方法定代表人签署的授权书，同时</w:t>
      </w:r>
      <w:r>
        <w:rPr>
          <w:rFonts w:hint="eastAsia" w:ascii="仿宋_GB2312" w:hAnsi="宋体" w:eastAsia="仿宋_GB2312"/>
          <w:sz w:val="24"/>
        </w:rPr>
        <w:t>应当提交联合协议，载明联合体各方承担的工作和义务。联合体协议中应当注明由联合体各成员方共同与采购人签订合同，并就采购合同约定的事项对采购人承担连带责任。联合体协议中仅约定由牵头人或联合体成员中某一方与采购人签订合同的，或联合体协议中仅约定由牵头人或联合体成员中某一方就采购合同约定的事项对采购人承担责任的，视为联合体协议不成立，该联合体投标文件将被作无效投标文件处理；</w:t>
      </w:r>
      <w:r>
        <w:rPr>
          <w:rFonts w:hint="eastAsia" w:ascii="仿宋_GB2312" w:hAnsi="仿宋" w:eastAsia="仿宋_GB2312"/>
          <w:sz w:val="24"/>
        </w:rPr>
        <w:t>（</w:t>
      </w:r>
      <w:r>
        <w:rPr>
          <w:rFonts w:hint="eastAsia" w:ascii="仿宋_GB2312" w:hAnsi="仿宋" w:eastAsia="仿宋_GB2312"/>
          <w:b/>
          <w:sz w:val="24"/>
        </w:rPr>
        <w:t>▲如以联合体形式参加政府采购活动的，联合体协议不符合招标文件规定的联合体协议要求的，投标无效。</w:t>
      </w:r>
      <w:r>
        <w:rPr>
          <w:rFonts w:hint="eastAsia" w:ascii="仿宋_GB2312" w:hAnsi="仿宋" w:eastAsia="仿宋_GB2312"/>
          <w:sz w:val="24"/>
        </w:rPr>
        <w:t>）</w:t>
      </w:r>
    </w:p>
    <w:p>
      <w:pPr>
        <w:spacing w:line="440" w:lineRule="exact"/>
        <w:ind w:firstLine="480" w:firstLineChars="200"/>
        <w:rPr>
          <w:rFonts w:hint="eastAsia" w:ascii="仿宋_GB2312" w:eastAsia="仿宋_GB2312"/>
          <w:sz w:val="24"/>
        </w:rPr>
      </w:pPr>
      <w:r>
        <w:rPr>
          <w:rFonts w:hint="eastAsia" w:ascii="仿宋_GB2312" w:eastAsia="仿宋_GB2312"/>
          <w:sz w:val="24"/>
        </w:rPr>
        <w:t>（5）</w:t>
      </w:r>
      <w:r>
        <w:rPr>
          <w:rFonts w:hint="eastAsia" w:ascii="仿宋_GB2312" w:hAnsi="宋体" w:eastAsia="仿宋_GB2312"/>
          <w:snapToGrid w:val="0"/>
          <w:sz w:val="24"/>
        </w:rPr>
        <w:t>非本地投标人售后服务机构证明材料。非本地投标人</w:t>
      </w:r>
      <w:r>
        <w:rPr>
          <w:rFonts w:hint="eastAsia" w:ascii="仿宋_GB2312" w:hAnsi="宋体" w:eastAsia="仿宋_GB2312"/>
          <w:sz w:val="24"/>
          <w:lang w:val="zh-CN"/>
        </w:rPr>
        <w:t>在杭州的分公司</w:t>
      </w:r>
      <w:r>
        <w:rPr>
          <w:rFonts w:hint="eastAsia" w:ascii="仿宋_GB2312" w:hAnsi="宋体" w:eastAsia="仿宋_GB2312" w:cs="宋体"/>
          <w:kern w:val="0"/>
          <w:sz w:val="24"/>
        </w:rPr>
        <w:t>（</w:t>
      </w:r>
      <w:r>
        <w:rPr>
          <w:rFonts w:hint="eastAsia" w:ascii="仿宋_GB2312" w:eastAsia="仿宋_GB2312"/>
          <w:sz w:val="24"/>
          <w:lang w:val="zh-CN"/>
        </w:rPr>
        <w:t>需提供本地工商注册</w:t>
      </w:r>
      <w:r>
        <w:rPr>
          <w:rFonts w:hint="eastAsia" w:ascii="仿宋_GB2312" w:eastAsia="仿宋_GB2312"/>
          <w:sz w:val="24"/>
        </w:rPr>
        <w:t>登记</w:t>
      </w:r>
      <w:r>
        <w:rPr>
          <w:rFonts w:hint="eastAsia" w:ascii="仿宋_GB2312" w:eastAsia="仿宋_GB2312"/>
          <w:sz w:val="24"/>
          <w:lang w:val="zh-CN"/>
        </w:rPr>
        <w:t>资料）</w:t>
      </w:r>
      <w:r>
        <w:rPr>
          <w:rFonts w:hint="eastAsia" w:ascii="仿宋_GB2312" w:hAnsi="宋体" w:eastAsia="仿宋_GB2312"/>
          <w:sz w:val="24"/>
          <w:lang w:val="zh-CN"/>
        </w:rPr>
        <w:t>或办事处</w:t>
      </w:r>
      <w:r>
        <w:rPr>
          <w:rFonts w:hint="eastAsia" w:ascii="仿宋_GB2312" w:hAnsi="宋体" w:eastAsia="仿宋_GB2312" w:cs="宋体"/>
          <w:kern w:val="0"/>
          <w:sz w:val="24"/>
        </w:rPr>
        <w:t>（</w:t>
      </w:r>
      <w:r>
        <w:rPr>
          <w:rFonts w:hint="eastAsia" w:ascii="仿宋_GB2312" w:eastAsia="仿宋_GB2312"/>
          <w:sz w:val="24"/>
          <w:lang w:val="zh-CN"/>
        </w:rPr>
        <w:t>需提供本地国内经济合作办注册资料</w:t>
      </w:r>
      <w:r>
        <w:rPr>
          <w:rFonts w:hint="eastAsia" w:ascii="仿宋_GB2312" w:hAnsi="宋体" w:eastAsia="仿宋_GB2312" w:cs="宋体"/>
          <w:kern w:val="0"/>
          <w:sz w:val="24"/>
        </w:rPr>
        <w:t>）或符合本项目服务能力并签订合作协议的第三方机构或者在中标（成交）公示后在本地设立售后服务机构作</w:t>
      </w:r>
      <w:r>
        <w:rPr>
          <w:rFonts w:hint="eastAsia" w:ascii="仿宋_GB2312" w:hAnsi="宋体" w:eastAsia="仿宋_GB2312"/>
          <w:sz w:val="24"/>
          <w:lang w:val="zh-CN"/>
        </w:rPr>
        <w:t>为常驻服务和技术支持机构；</w:t>
      </w:r>
    </w:p>
    <w:p>
      <w:pPr>
        <w:spacing w:line="440" w:lineRule="exact"/>
        <w:ind w:firstLine="480" w:firstLineChars="200"/>
        <w:rPr>
          <w:rFonts w:hint="eastAsia" w:ascii="仿宋_GB2312" w:eastAsia="仿宋_GB2312"/>
          <w:sz w:val="24"/>
        </w:rPr>
      </w:pPr>
      <w:r>
        <w:rPr>
          <w:rFonts w:hint="eastAsia" w:ascii="仿宋_GB2312" w:eastAsia="仿宋_GB2312"/>
          <w:sz w:val="24"/>
        </w:rPr>
        <w:t>（6）</w:t>
      </w:r>
      <w:r>
        <w:rPr>
          <w:rFonts w:hint="eastAsia" w:ascii="仿宋_GB2312" w:hAnsi="仿宋_GB2312" w:eastAsia="仿宋_GB2312" w:cs="仿宋_GB2312"/>
          <w:sz w:val="24"/>
        </w:rPr>
        <w:t>与符合性审查有关的资信文件：</w:t>
      </w:r>
      <w:r>
        <w:rPr>
          <w:rFonts w:hint="eastAsia" w:ascii="仿宋_GB2312" w:eastAsia="仿宋_GB2312"/>
          <w:sz w:val="24"/>
        </w:rPr>
        <w:t>见投标须知前附表所述。</w:t>
      </w:r>
    </w:p>
    <w:p>
      <w:pPr>
        <w:snapToGrid w:val="0"/>
        <w:spacing w:line="440" w:lineRule="exact"/>
        <w:ind w:firstLine="480" w:firstLineChars="200"/>
        <w:rPr>
          <w:rFonts w:hint="eastAsia" w:ascii="仿宋_GB2312" w:hAnsi="宋体" w:eastAsia="仿宋_GB2312"/>
          <w:kern w:val="0"/>
          <w:sz w:val="24"/>
        </w:rPr>
      </w:pPr>
      <w:r>
        <w:rPr>
          <w:rFonts w:hint="eastAsia" w:ascii="仿宋_GB2312" w:hAnsi="宋体" w:eastAsia="仿宋_GB2312"/>
          <w:kern w:val="0"/>
          <w:sz w:val="24"/>
        </w:rPr>
        <w:t>（7）商务偏离说明表；</w:t>
      </w:r>
    </w:p>
    <w:p>
      <w:pPr>
        <w:snapToGrid w:val="0"/>
        <w:spacing w:line="440" w:lineRule="exact"/>
        <w:ind w:firstLine="480" w:firstLineChars="200"/>
        <w:rPr>
          <w:rFonts w:hint="eastAsia" w:ascii="仿宋_GB2312" w:hAnsi="仿宋_GB2312" w:eastAsia="仿宋_GB2312" w:cs="仿宋_GB2312"/>
          <w:sz w:val="24"/>
        </w:rPr>
      </w:pPr>
      <w:r>
        <w:rPr>
          <w:rFonts w:hint="eastAsia" w:ascii="仿宋_GB2312" w:hAnsi="宋体" w:eastAsia="仿宋_GB2312"/>
          <w:kern w:val="0"/>
          <w:sz w:val="24"/>
        </w:rPr>
        <w:t>（8）</w:t>
      </w:r>
      <w:r>
        <w:rPr>
          <w:rFonts w:hint="eastAsia" w:ascii="仿宋_GB2312" w:eastAsia="仿宋_GB2312"/>
          <w:kern w:val="0"/>
          <w:sz w:val="24"/>
          <w:lang w:val="zh-CN"/>
        </w:rPr>
        <w:t>投标人介绍及相关的主要业绩证明：</w:t>
      </w:r>
      <w:r>
        <w:rPr>
          <w:rFonts w:hint="eastAsia" w:ascii="仿宋_GB2312" w:eastAsia="仿宋_GB2312"/>
          <w:sz w:val="24"/>
        </w:rPr>
        <w:t>截止投标时间近三年以来投标人承担类似项目情况，</w:t>
      </w:r>
      <w:r>
        <w:rPr>
          <w:rFonts w:hint="eastAsia" w:ascii="仿宋_GB2312" w:eastAsia="仿宋_GB2312" w:cs="仿宋_GB2312"/>
          <w:bCs/>
          <w:kern w:val="0"/>
          <w:sz w:val="24"/>
          <w:lang w:val="zh-CN"/>
        </w:rPr>
        <w:t>成功案例需提供合同复印件并加盖公章</w:t>
      </w:r>
      <w:r>
        <w:rPr>
          <w:rFonts w:hint="eastAsia" w:ascii="仿宋_GB2312" w:eastAsia="仿宋_GB2312"/>
          <w:sz w:val="24"/>
        </w:rPr>
        <w:t>，（</w:t>
      </w:r>
      <w:r>
        <w:rPr>
          <w:rFonts w:hint="eastAsia" w:ascii="仿宋_GB2312" w:hAnsi="仿宋_GB2312" w:eastAsia="仿宋_GB2312"/>
          <w:b/>
          <w:sz w:val="24"/>
        </w:rPr>
        <w:t>以签订时间为准，原件备查，</w:t>
      </w:r>
      <w:r>
        <w:rPr>
          <w:rFonts w:hint="eastAsia" w:ascii="仿宋_GB2312" w:eastAsia="仿宋_GB2312"/>
          <w:b/>
          <w:sz w:val="24"/>
        </w:rPr>
        <w:t>采购机构在项目评审直至合同签订、履约期间，有权要求投标人出具投标文件中的</w:t>
      </w:r>
      <w:r>
        <w:rPr>
          <w:rFonts w:hint="eastAsia" w:ascii="仿宋_GB2312" w:eastAsia="仿宋_GB2312" w:cs="仿宋_GB2312"/>
          <w:b/>
          <w:kern w:val="0"/>
          <w:sz w:val="24"/>
          <w:lang w:val="zh-CN"/>
        </w:rPr>
        <w:t>主要业绩证明</w:t>
      </w:r>
      <w:r>
        <w:rPr>
          <w:rFonts w:hint="eastAsia" w:ascii="仿宋_GB2312" w:eastAsia="仿宋_GB2312"/>
          <w:b/>
          <w:sz w:val="24"/>
        </w:rPr>
        <w:t>原件</w:t>
      </w:r>
      <w:r>
        <w:rPr>
          <w:rFonts w:hint="eastAsia" w:ascii="仿宋_GB2312" w:eastAsia="仿宋_GB2312" w:cs="仿宋_GB2312"/>
          <w:b/>
          <w:kern w:val="0"/>
          <w:sz w:val="24"/>
          <w:lang w:val="zh-CN"/>
        </w:rPr>
        <w:t>：</w:t>
      </w:r>
      <w:r>
        <w:rPr>
          <w:rFonts w:hint="eastAsia" w:ascii="仿宋_GB2312" w:eastAsia="仿宋_GB2312"/>
          <w:b/>
          <w:sz w:val="24"/>
        </w:rPr>
        <w:t>予以确认其的真实性和有效性，如出现</w:t>
      </w:r>
      <w:r>
        <w:rPr>
          <w:rFonts w:hint="eastAsia" w:ascii="仿宋_GB2312" w:hAnsi="仿宋_GB2312" w:eastAsia="仿宋_GB2312"/>
          <w:b/>
          <w:sz w:val="24"/>
        </w:rPr>
        <w:t>与事实不符等情况，将根据有关规定报请政府采购监管部门以“提供虚假材料谋取中标”予以处罚</w:t>
      </w:r>
      <w:r>
        <w:rPr>
          <w:rFonts w:hint="eastAsia" w:ascii="仿宋_GB2312" w:eastAsia="仿宋_GB2312"/>
          <w:sz w:val="24"/>
        </w:rPr>
        <w:t>）</w:t>
      </w:r>
      <w:r>
        <w:rPr>
          <w:rFonts w:hint="eastAsia" w:ascii="仿宋_GB2312" w:hAnsi="仿宋_GB2312" w:eastAsia="仿宋_GB2312"/>
          <w:sz w:val="24"/>
        </w:rPr>
        <w:t>，</w:t>
      </w:r>
      <w:r>
        <w:rPr>
          <w:rFonts w:hint="eastAsia" w:ascii="仿宋_GB2312" w:hAnsi="仿宋_GB2312" w:eastAsia="仿宋_GB2312" w:cs="仿宋_GB2312"/>
          <w:sz w:val="24"/>
        </w:rPr>
        <w:t>是否有良好的工作业绩和履约记录等情况；</w:t>
      </w:r>
      <w:r>
        <w:rPr>
          <w:rFonts w:hint="eastAsia" w:ascii="仿宋_GB2312" w:hAnsi="仿宋_GB2312" w:eastAsia="仿宋_GB2312"/>
          <w:b/>
          <w:sz w:val="24"/>
        </w:rPr>
        <w:t>如投标人提供的合同复印件等实施项目证明材料与投标主体无关或违规转包分包的，评标委员会将进行扣分直至认定投标无效</w:t>
      </w:r>
      <w:r>
        <w:rPr>
          <w:rFonts w:hint="eastAsia" w:ascii="仿宋_GB2312" w:hAnsi="宋体" w:eastAsia="仿宋_GB2312"/>
          <w:sz w:val="24"/>
        </w:rPr>
        <w:t>；</w:t>
      </w:r>
      <w:r>
        <w:rPr>
          <w:rFonts w:hint="eastAsia" w:ascii="仿宋_GB2312" w:hAnsi="宋体" w:eastAsia="仿宋_GB2312"/>
          <w:szCs w:val="24"/>
        </w:rPr>
        <w:t>（</w:t>
      </w:r>
      <w:r>
        <w:rPr>
          <w:rFonts w:hint="eastAsia" w:ascii="仿宋_GB2312" w:hAnsi="宋体" w:eastAsia="仿宋_GB2312" w:cs="Arial"/>
        </w:rPr>
        <w:t>联合体投标的，联合体各方</w:t>
      </w:r>
      <w:r>
        <w:rPr>
          <w:rFonts w:hint="eastAsia" w:ascii="仿宋_GB2312" w:hAnsi="Helvetica" w:eastAsia="仿宋_GB2312" w:cs="Helvetica"/>
          <w:kern w:val="0"/>
        </w:rPr>
        <w:t>分别提供与联合体协议中规定的分工内容相应的业绩证明材料，业绩数量以提供材料较少的一方为准，如联合体协议中未进行分工约定的，联合体成员各方应就所有合同约定的工作内容提供业绩证明材料，有一方未能提供全部合同约定的工作内容的业绩证明材料的，视为联合体未提供业绩证明材料；以分包方式履行政府采购合同的，还需提供其项目采购人同意分包的证明材料</w:t>
      </w:r>
      <w:r>
        <w:rPr>
          <w:rFonts w:hint="eastAsia" w:ascii="仿宋_GB2312" w:hAnsi="宋体" w:eastAsia="仿宋_GB2312"/>
          <w:szCs w:val="24"/>
        </w:rPr>
        <w:t>)</w:t>
      </w:r>
      <w:r>
        <w:rPr>
          <w:rFonts w:hint="eastAsia" w:ascii="仿宋_GB2312" w:hAnsi="宋体" w:eastAsia="仿宋_GB2312" w:cs="宋体"/>
          <w:kern w:val="0"/>
        </w:rPr>
        <w:t>；</w:t>
      </w:r>
    </w:p>
    <w:p>
      <w:pPr>
        <w:snapToGrid w:val="0"/>
        <w:spacing w:line="440" w:lineRule="exact"/>
        <w:ind w:firstLine="480" w:firstLineChars="200"/>
        <w:rPr>
          <w:rFonts w:hint="eastAsia" w:ascii="仿宋_GB2312" w:hAnsi="宋体" w:eastAsia="仿宋_GB2312"/>
          <w:kern w:val="0"/>
          <w:sz w:val="24"/>
        </w:rPr>
      </w:pPr>
      <w:r>
        <w:rPr>
          <w:rFonts w:hint="eastAsia" w:ascii="仿宋_GB2312" w:hAnsi="宋体" w:eastAsia="仿宋_GB2312"/>
          <w:kern w:val="0"/>
          <w:sz w:val="24"/>
        </w:rPr>
        <w:t>（9）廉政承诺书；</w:t>
      </w:r>
    </w:p>
    <w:p>
      <w:pPr>
        <w:snapToGrid w:val="0"/>
        <w:spacing w:line="440" w:lineRule="exact"/>
        <w:ind w:firstLine="480" w:firstLineChars="200"/>
        <w:rPr>
          <w:rFonts w:hint="eastAsia" w:ascii="仿宋_GB2312" w:eastAsia="仿宋_GB2312"/>
          <w:sz w:val="24"/>
          <w:lang w:val="zh-CN"/>
        </w:rPr>
      </w:pPr>
      <w:r>
        <w:rPr>
          <w:rFonts w:hint="eastAsia" w:ascii="仿宋_GB2312" w:eastAsia="仿宋_GB2312"/>
          <w:kern w:val="0"/>
          <w:sz w:val="24"/>
        </w:rPr>
        <w:t>（10）</w:t>
      </w:r>
      <w:r>
        <w:rPr>
          <w:rFonts w:hint="eastAsia" w:ascii="仿宋_GB2312" w:eastAsia="仿宋_GB2312"/>
          <w:kern w:val="0"/>
          <w:sz w:val="24"/>
          <w:lang w:val="zh-CN"/>
        </w:rPr>
        <w:t>关于对投标文件中有关条款的</w:t>
      </w:r>
      <w:r>
        <w:rPr>
          <w:rFonts w:hint="eastAsia" w:ascii="仿宋_GB2312" w:hAnsi="宋体" w:eastAsia="仿宋_GB2312"/>
          <w:kern w:val="0"/>
          <w:sz w:val="24"/>
        </w:rPr>
        <w:t>拒绝</w:t>
      </w:r>
      <w:r>
        <w:rPr>
          <w:rFonts w:hint="eastAsia" w:ascii="仿宋_GB2312" w:eastAsia="仿宋_GB2312"/>
          <w:kern w:val="0"/>
          <w:sz w:val="24"/>
          <w:lang w:val="zh-CN"/>
        </w:rPr>
        <w:t>声明（如果有）</w:t>
      </w:r>
      <w:r>
        <w:rPr>
          <w:rFonts w:hint="eastAsia" w:ascii="仿宋_GB2312" w:eastAsia="仿宋_GB2312"/>
          <w:sz w:val="24"/>
          <w:lang w:val="zh-CN"/>
        </w:rPr>
        <w:t>；</w:t>
      </w:r>
    </w:p>
    <w:p>
      <w:pPr>
        <w:snapToGrid w:val="0"/>
        <w:spacing w:line="440" w:lineRule="exact"/>
        <w:ind w:firstLine="480" w:firstLineChars="200"/>
        <w:rPr>
          <w:rFonts w:hint="eastAsia" w:ascii="仿宋_GB2312" w:eastAsia="仿宋_GB2312"/>
          <w:sz w:val="24"/>
          <w:lang w:val="zh-CN"/>
        </w:rPr>
      </w:pPr>
      <w:r>
        <w:rPr>
          <w:rFonts w:hint="eastAsia" w:ascii="仿宋_GB2312" w:eastAsia="仿宋_GB2312"/>
          <w:kern w:val="0"/>
          <w:sz w:val="24"/>
          <w:lang w:val="zh-CN"/>
        </w:rPr>
        <w:t>（11）投标人认为需要的其他商务技术文件或说明（如果有）</w:t>
      </w:r>
    </w:p>
    <w:p>
      <w:pPr>
        <w:snapToGrid w:val="0"/>
        <w:spacing w:line="440" w:lineRule="exact"/>
        <w:ind w:firstLine="480" w:firstLineChars="200"/>
        <w:rPr>
          <w:rFonts w:hint="eastAsia" w:ascii="仿宋_GB2312" w:eastAsia="仿宋_GB2312"/>
          <w:sz w:val="24"/>
          <w:lang w:val="zh-CN"/>
        </w:rPr>
      </w:pPr>
      <w:r>
        <w:rPr>
          <w:rFonts w:hint="eastAsia" w:ascii="仿宋_GB2312" w:eastAsia="仿宋_GB2312"/>
          <w:sz w:val="24"/>
          <w:lang w:val="zh-CN"/>
        </w:rPr>
        <w:t>（12）投标人应提供针对项目的完整技术解决方案：</w:t>
      </w:r>
    </w:p>
    <w:p>
      <w:pPr>
        <w:snapToGrid w:val="0"/>
        <w:spacing w:line="440" w:lineRule="exact"/>
        <w:ind w:firstLine="360" w:firstLineChars="200"/>
        <w:rPr>
          <w:rFonts w:hint="eastAsia" w:ascii="仿宋_GB2312" w:eastAsia="仿宋_GB2312"/>
          <w:kern w:val="0"/>
          <w:sz w:val="24"/>
          <w:lang w:val="zh-CN"/>
        </w:rPr>
      </w:pPr>
      <w:r>
        <w:rPr>
          <w:rFonts w:hint="eastAsia" w:ascii="仿宋_GB2312" w:eastAsia="仿宋_GB2312"/>
          <w:sz w:val="18"/>
          <w:szCs w:val="18"/>
        </w:rPr>
        <w:t>●</w:t>
      </w:r>
      <w:r>
        <w:rPr>
          <w:rFonts w:hint="eastAsia" w:ascii="仿宋_GB2312" w:eastAsia="仿宋_GB2312"/>
          <w:kern w:val="0"/>
          <w:sz w:val="24"/>
          <w:lang w:val="zh-CN"/>
        </w:rPr>
        <w:t>本</w:t>
      </w:r>
      <w:r>
        <w:rPr>
          <w:rFonts w:hint="eastAsia" w:ascii="仿宋_GB2312" w:eastAsia="仿宋_GB2312"/>
          <w:sz w:val="24"/>
        </w:rPr>
        <w:t>项目</w:t>
      </w:r>
      <w:r>
        <w:rPr>
          <w:rFonts w:hint="eastAsia" w:ascii="仿宋_GB2312" w:hAnsi="宋体" w:eastAsia="仿宋_GB2312"/>
          <w:sz w:val="24"/>
        </w:rPr>
        <w:t>软</w:t>
      </w:r>
      <w:r>
        <w:rPr>
          <w:rFonts w:hint="eastAsia" w:ascii="仿宋_GB2312" w:hAnsi="仿宋" w:eastAsia="仿宋_GB2312"/>
          <w:sz w:val="24"/>
        </w:rPr>
        <w:t>硬件设备采购</w:t>
      </w:r>
      <w:r>
        <w:rPr>
          <w:rFonts w:hint="eastAsia" w:ascii="仿宋_GB2312" w:eastAsia="仿宋_GB2312" w:cs="仿宋_GB2312"/>
          <w:kern w:val="0"/>
          <w:sz w:val="24"/>
          <w:lang w:val="zh-CN"/>
        </w:rPr>
        <w:t>的</w:t>
      </w:r>
      <w:r>
        <w:rPr>
          <w:rFonts w:hint="eastAsia" w:ascii="仿宋_GB2312" w:eastAsia="仿宋_GB2312" w:cs="仿宋_GB2312"/>
          <w:kern w:val="0"/>
          <w:sz w:val="24"/>
        </w:rPr>
        <w:t>产品选型方案；</w:t>
      </w:r>
      <w:r>
        <w:rPr>
          <w:rFonts w:hint="eastAsia" w:ascii="仿宋_GB2312" w:eastAsia="仿宋_GB2312" w:cs="仿宋_GB2312"/>
          <w:kern w:val="0"/>
          <w:sz w:val="24"/>
          <w:lang w:val="zh-CN"/>
        </w:rPr>
        <w:t>针对项目的</w:t>
      </w:r>
      <w:r>
        <w:rPr>
          <w:rFonts w:hint="eastAsia" w:ascii="仿宋_GB2312" w:eastAsia="仿宋_GB2312"/>
          <w:kern w:val="0"/>
          <w:sz w:val="24"/>
          <w:lang w:val="zh-CN"/>
        </w:rPr>
        <w:t>完整技术解决方案和实施方案；符合</w:t>
      </w:r>
      <w:r>
        <w:rPr>
          <w:rFonts w:hint="eastAsia" w:ascii="仿宋_GB2312" w:eastAsia="仿宋_GB2312"/>
          <w:sz w:val="24"/>
        </w:rPr>
        <w:t>杭州市教育系统项目建设</w:t>
      </w:r>
      <w:r>
        <w:rPr>
          <w:rFonts w:hint="eastAsia" w:ascii="仿宋_GB2312" w:eastAsia="仿宋_GB2312"/>
          <w:kern w:val="0"/>
          <w:sz w:val="24"/>
          <w:lang w:val="zh-CN"/>
        </w:rPr>
        <w:t>对当前和未来发展的要求；以及对功能设计和实施计划的建议；</w:t>
      </w:r>
    </w:p>
    <w:p>
      <w:pPr>
        <w:tabs>
          <w:tab w:val="left" w:pos="0"/>
          <w:tab w:val="left" w:pos="840"/>
        </w:tabs>
        <w:autoSpaceDE w:val="0"/>
        <w:autoSpaceDN w:val="0"/>
        <w:spacing w:line="460" w:lineRule="exact"/>
        <w:ind w:firstLine="360" w:firstLineChars="200"/>
        <w:rPr>
          <w:rFonts w:hint="eastAsia" w:ascii="仿宋_GB2312" w:hAnsi="仿宋" w:eastAsia="仿宋_GB2312"/>
          <w:sz w:val="24"/>
        </w:rPr>
      </w:pPr>
      <w:r>
        <w:rPr>
          <w:rFonts w:hint="eastAsia" w:ascii="仿宋_GB2312" w:eastAsia="仿宋_GB2312"/>
          <w:sz w:val="18"/>
          <w:szCs w:val="18"/>
        </w:rPr>
        <w:t>●</w:t>
      </w:r>
      <w:r>
        <w:rPr>
          <w:rFonts w:hint="eastAsia" w:ascii="仿宋_GB2312" w:hAnsi="仿宋" w:eastAsia="仿宋_GB2312" w:cs="仿宋_GB2312"/>
          <w:kern w:val="0"/>
          <w:sz w:val="24"/>
          <w:lang w:val="zh-CN"/>
        </w:rPr>
        <w:t>详细阐述系统的体系架构、功能设计和实现思路，系统实现的关键技术，</w:t>
      </w:r>
      <w:r>
        <w:rPr>
          <w:rFonts w:hint="eastAsia" w:ascii="仿宋_GB2312" w:hAnsi="仿宋" w:eastAsia="仿宋_GB2312" w:cs="仿宋_GB2312"/>
          <w:sz w:val="24"/>
        </w:rPr>
        <w:t>说明项目</w:t>
      </w:r>
      <w:r>
        <w:rPr>
          <w:rFonts w:hint="eastAsia" w:ascii="仿宋_GB2312" w:hAnsi="仿宋" w:eastAsia="仿宋_GB2312"/>
          <w:sz w:val="24"/>
        </w:rPr>
        <w:t>工作内容和目标、</w:t>
      </w:r>
      <w:r>
        <w:rPr>
          <w:rFonts w:hint="eastAsia" w:ascii="仿宋_GB2312" w:hAnsi="仿宋" w:eastAsia="仿宋_GB2312" w:cs="仿宋_GB2312"/>
          <w:sz w:val="24"/>
        </w:rPr>
        <w:t>拟采用的开发工具、采用的技术路线、</w:t>
      </w:r>
      <w:r>
        <w:rPr>
          <w:rFonts w:hint="eastAsia" w:ascii="仿宋_GB2312" w:hAnsi="仿宋" w:eastAsia="仿宋_GB2312"/>
          <w:sz w:val="24"/>
        </w:rPr>
        <w:t>关键技术的作业流程和方法</w:t>
      </w:r>
      <w:r>
        <w:rPr>
          <w:rFonts w:hint="eastAsia" w:ascii="仿宋_GB2312" w:hAnsi="仿宋" w:eastAsia="仿宋_GB2312" w:cs="仿宋_GB2312"/>
          <w:sz w:val="24"/>
        </w:rPr>
        <w:t>等，以及</w:t>
      </w:r>
      <w:r>
        <w:rPr>
          <w:rFonts w:hint="eastAsia" w:ascii="仿宋_GB2312" w:hAnsi="仿宋" w:eastAsia="仿宋_GB2312"/>
          <w:sz w:val="24"/>
        </w:rPr>
        <w:t>需要提交的成果内容、质量检查方法等；</w:t>
      </w:r>
    </w:p>
    <w:p>
      <w:pPr>
        <w:snapToGrid w:val="0"/>
        <w:spacing w:line="440" w:lineRule="exact"/>
        <w:ind w:firstLine="360" w:firstLineChars="200"/>
        <w:rPr>
          <w:rFonts w:hint="eastAsia" w:ascii="仿宋_GB2312" w:eastAsia="仿宋_GB2312"/>
          <w:sz w:val="24"/>
        </w:rPr>
      </w:pPr>
      <w:r>
        <w:rPr>
          <w:rFonts w:hint="eastAsia" w:ascii="仿宋_GB2312" w:hAnsi="Tahoma" w:eastAsia="仿宋_GB2312" w:cs="Tahoma"/>
          <w:sz w:val="18"/>
          <w:szCs w:val="18"/>
        </w:rPr>
        <w:t>●</w:t>
      </w:r>
      <w:r>
        <w:rPr>
          <w:rFonts w:hint="eastAsia" w:ascii="仿宋_GB2312" w:eastAsia="仿宋_GB2312"/>
          <w:sz w:val="24"/>
        </w:rPr>
        <w:t>项目实施相关设备名称、配置、数量；所投标的货物的完整配置方案，详细列明投标货物的所有技术指标（包括所投标货物的品牌、规格型号、详细配置、主要技术参数、随机软件等），明确表示该项指标所涉及的软硬件是标准配置还是选择配置</w:t>
      </w:r>
      <w:r>
        <w:rPr>
          <w:rFonts w:hint="eastAsia" w:ascii="仿宋_GB2312" w:hAnsi="宋体" w:eastAsia="仿宋_GB2312"/>
          <w:b/>
          <w:sz w:val="24"/>
        </w:rPr>
        <w:t>（所有技术指标表述均应采用中文，如当前公布的技术指标只有英文表述的，必须由投标人作出中文注释，否则</w:t>
      </w:r>
      <w:r>
        <w:rPr>
          <w:rFonts w:hint="eastAsia" w:ascii="仿宋_GB2312" w:hAnsi="宋体" w:eastAsia="仿宋_GB2312" w:cs="仿宋_GB2312"/>
          <w:b/>
          <w:kern w:val="0"/>
          <w:sz w:val="24"/>
          <w:lang w:val="zh-CN"/>
        </w:rPr>
        <w:t>任何含糊不清的</w:t>
      </w:r>
      <w:r>
        <w:rPr>
          <w:rFonts w:hint="eastAsia" w:ascii="仿宋_GB2312" w:hAnsi="宋体" w:eastAsia="仿宋_GB2312"/>
          <w:b/>
          <w:sz w:val="24"/>
        </w:rPr>
        <w:t>表述导致</w:t>
      </w:r>
      <w:r>
        <w:rPr>
          <w:rFonts w:hint="eastAsia" w:ascii="仿宋_GB2312" w:hAnsi="宋体" w:eastAsia="仿宋_GB2312" w:cs="仿宋_GB2312"/>
          <w:b/>
          <w:kern w:val="0"/>
          <w:sz w:val="24"/>
          <w:lang w:val="zh-CN"/>
        </w:rPr>
        <w:t>评标委员会技术扣分直至认定为投标无效都将是投标人的责任）</w:t>
      </w:r>
      <w:r>
        <w:rPr>
          <w:rFonts w:hint="eastAsia" w:ascii="仿宋_GB2312" w:hAnsi="宋体" w:eastAsia="仿宋_GB2312"/>
          <w:sz w:val="24"/>
        </w:rPr>
        <w:t>。</w:t>
      </w:r>
    </w:p>
    <w:p>
      <w:pPr>
        <w:tabs>
          <w:tab w:val="left" w:pos="840"/>
        </w:tabs>
        <w:autoSpaceDE w:val="0"/>
        <w:autoSpaceDN w:val="0"/>
        <w:adjustRightInd w:val="0"/>
        <w:spacing w:line="440" w:lineRule="exact"/>
        <w:ind w:firstLine="480" w:firstLineChars="200"/>
        <w:rPr>
          <w:rFonts w:hint="eastAsia" w:ascii="仿宋_GB2312" w:eastAsia="仿宋_GB2312"/>
          <w:kern w:val="0"/>
          <w:sz w:val="24"/>
          <w:lang w:val="zh-CN"/>
        </w:rPr>
      </w:pPr>
      <w:r>
        <w:rPr>
          <w:rFonts w:hint="eastAsia" w:ascii="仿宋_GB2312" w:eastAsia="仿宋_GB2312"/>
          <w:kern w:val="0"/>
          <w:sz w:val="24"/>
        </w:rPr>
        <w:t>（13）</w:t>
      </w:r>
      <w:r>
        <w:rPr>
          <w:rFonts w:hint="eastAsia" w:ascii="仿宋_GB2312" w:hAnsi="仿宋_GB2312" w:eastAsia="仿宋_GB2312" w:cs="仿宋_GB2312"/>
          <w:sz w:val="24"/>
        </w:rPr>
        <w:t>投标人在投标文件技术偏离说明表中，</w:t>
      </w:r>
      <w:r>
        <w:rPr>
          <w:rFonts w:hint="eastAsia" w:ascii="仿宋_GB2312" w:hAnsi="仿宋_GB2312" w:eastAsia="仿宋_GB2312" w:cs="仿宋_GB2312"/>
          <w:kern w:val="0"/>
          <w:sz w:val="24"/>
          <w:lang w:val="zh-CN"/>
        </w:rPr>
        <w:t>应对</w:t>
      </w:r>
      <w:r>
        <w:rPr>
          <w:rFonts w:hint="eastAsia" w:ascii="仿宋_GB2312" w:hAnsi="仿宋_GB2312" w:eastAsia="仿宋_GB2312" w:cs="仿宋_GB2312"/>
          <w:sz w:val="24"/>
        </w:rPr>
        <w:t>项目技术规范和服务要求</w:t>
      </w:r>
      <w:r>
        <w:rPr>
          <w:rFonts w:hint="eastAsia" w:ascii="仿宋_GB2312" w:hAnsi="仿宋_GB2312" w:eastAsia="仿宋_GB2312"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tabs>
          <w:tab w:val="left" w:pos="930"/>
        </w:tabs>
        <w:autoSpaceDE w:val="0"/>
        <w:autoSpaceDN w:val="0"/>
        <w:adjustRightInd w:val="0"/>
        <w:spacing w:line="440" w:lineRule="exact"/>
        <w:ind w:firstLine="480"/>
        <w:rPr>
          <w:rFonts w:hint="eastAsia" w:ascii="仿宋_GB2312" w:eastAsia="仿宋_GB2312"/>
          <w:kern w:val="0"/>
          <w:sz w:val="24"/>
          <w:lang w:val="zh-CN"/>
        </w:rPr>
      </w:pPr>
      <w:r>
        <w:rPr>
          <w:rFonts w:hint="eastAsia" w:ascii="仿宋_GB2312" w:hAnsi="宋体" w:eastAsia="仿宋_GB2312"/>
          <w:kern w:val="0"/>
          <w:sz w:val="24"/>
          <w:lang w:val="zh-CN"/>
        </w:rPr>
        <w:t>（14）</w:t>
      </w:r>
      <w:r>
        <w:rPr>
          <w:rFonts w:hint="eastAsia" w:ascii="仿宋_GB2312" w:eastAsia="仿宋_GB2312"/>
          <w:kern w:val="0"/>
          <w:sz w:val="24"/>
          <w:lang w:val="zh-CN"/>
        </w:rPr>
        <w:t>针对本项目建设的详细实施计划，包括设备供货、安装调试、系统集成、试运行、测试、调优、使用培训、系统管理培训、系统运行维护培训等内容。本项目详细工作实施组织方案，包括（但不限于）以下内容：组织机构、工作时间进度表、工作程序和步骤、管理和协调方法、关键步骤的思路和要点。</w:t>
      </w:r>
    </w:p>
    <w:p>
      <w:pPr>
        <w:tabs>
          <w:tab w:val="left" w:pos="930"/>
        </w:tabs>
        <w:autoSpaceDE w:val="0"/>
        <w:autoSpaceDN w:val="0"/>
        <w:adjustRightInd w:val="0"/>
        <w:spacing w:line="440" w:lineRule="exact"/>
        <w:ind w:firstLine="480"/>
        <w:rPr>
          <w:rFonts w:hint="eastAsia" w:ascii="仿宋_GB2312" w:hAnsi="宋体" w:eastAsia="仿宋_GB2312" w:cs="宋体"/>
          <w:kern w:val="0"/>
          <w:sz w:val="24"/>
          <w:szCs w:val="24"/>
        </w:rPr>
      </w:pPr>
      <w:r>
        <w:rPr>
          <w:rFonts w:hint="eastAsia" w:ascii="仿宋_GB2312" w:hAnsi="宋体" w:eastAsia="仿宋_GB2312"/>
          <w:kern w:val="0"/>
          <w:sz w:val="24"/>
          <w:lang w:val="zh-CN"/>
        </w:rPr>
        <w:t>（15）项目验收之前、验收之后的维护方案；针对本项目的系统运行维护方案，包括本地(杭州)售后服务机构及人员情况等。投标人应以书面形式完整准确地表述售后服务承诺(范围、标准及期限等)、投标人可能增加的服务承诺等。并明示服务承诺可能涉及的前提设定和费用，否则将被认为是无条件和免费的。承诺货物升级、故障排除、性能调优、技术咨询等售后技术支持服务情况。质保期内均提供上门维护、升级服务，对故障即时响应。</w:t>
      </w:r>
    </w:p>
    <w:p>
      <w:pPr>
        <w:tabs>
          <w:tab w:val="left" w:pos="930"/>
        </w:tabs>
        <w:autoSpaceDE w:val="0"/>
        <w:autoSpaceDN w:val="0"/>
        <w:adjustRightInd w:val="0"/>
        <w:spacing w:line="440" w:lineRule="exact"/>
        <w:ind w:firstLine="480"/>
        <w:rPr>
          <w:rFonts w:hint="eastAsia" w:ascii="仿宋_GB2312" w:eastAsia="仿宋_GB2312"/>
          <w:kern w:val="0"/>
          <w:sz w:val="24"/>
          <w:lang w:val="zh-CN"/>
        </w:rPr>
      </w:pPr>
      <w:r>
        <w:rPr>
          <w:rFonts w:hint="eastAsia" w:ascii="仿宋_GB2312" w:hAnsi="宋体" w:eastAsia="仿宋_GB2312"/>
          <w:kern w:val="0"/>
          <w:sz w:val="24"/>
          <w:lang w:val="zh-CN"/>
        </w:rPr>
        <w:t>（16）</w:t>
      </w:r>
      <w:r>
        <w:rPr>
          <w:rFonts w:hint="eastAsia" w:ascii="仿宋_GB2312" w:eastAsia="仿宋_GB2312"/>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包括学历(学院、大学和其他职业教育，列出大学的名称，就学日期，毕业日期以及所取得的学位)、技术职称、工作特长（特长领域、能力取向、系统集成的能力等）、经验与业绩（包括从事相关系统建设的经验，对每一个项目有一个简要的描述，该人员在项目中参与的时间以及责任），资质情况等；</w:t>
      </w:r>
    </w:p>
    <w:p>
      <w:pPr>
        <w:tabs>
          <w:tab w:val="left" w:pos="0"/>
          <w:tab w:val="left" w:pos="840"/>
        </w:tabs>
        <w:autoSpaceDE w:val="0"/>
        <w:autoSpaceDN w:val="0"/>
        <w:adjustRightInd w:val="0"/>
        <w:spacing w:line="440" w:lineRule="exact"/>
        <w:ind w:firstLine="480"/>
        <w:rPr>
          <w:rFonts w:hint="eastAsia" w:ascii="仿宋_GB2312" w:eastAsia="仿宋_GB2312"/>
          <w:kern w:val="0"/>
          <w:sz w:val="24"/>
          <w:lang w:val="zh-CN"/>
        </w:rPr>
      </w:pPr>
      <w:r>
        <w:rPr>
          <w:rFonts w:hint="eastAsia" w:ascii="仿宋_GB2312" w:hAnsi="宋体" w:eastAsia="仿宋_GB2312"/>
          <w:kern w:val="0"/>
          <w:sz w:val="24"/>
          <w:lang w:val="zh-CN"/>
        </w:rPr>
        <w:t>（17）</w:t>
      </w:r>
      <w:r>
        <w:rPr>
          <w:rFonts w:hint="eastAsia" w:ascii="仿宋_GB2312" w:eastAsia="仿宋_GB2312"/>
          <w:kern w:val="0"/>
          <w:sz w:val="24"/>
          <w:lang w:val="zh-CN"/>
        </w:rPr>
        <w:t xml:space="preserve">优惠条件及特殊承诺（若没有应明确写“无”）； </w:t>
      </w:r>
    </w:p>
    <w:p>
      <w:pPr>
        <w:tabs>
          <w:tab w:val="left" w:pos="0"/>
          <w:tab w:val="left" w:pos="840"/>
        </w:tabs>
        <w:autoSpaceDE w:val="0"/>
        <w:autoSpaceDN w:val="0"/>
        <w:adjustRightInd w:val="0"/>
        <w:spacing w:line="440" w:lineRule="exact"/>
        <w:ind w:firstLine="480"/>
        <w:rPr>
          <w:rFonts w:hint="eastAsia" w:ascii="仿宋_GB2312" w:hAnsi="宋体" w:eastAsia="仿宋_GB2312"/>
          <w:kern w:val="0"/>
          <w:sz w:val="24"/>
          <w:lang w:val="zh-CN"/>
        </w:rPr>
      </w:pPr>
      <w:r>
        <w:rPr>
          <w:rFonts w:hint="eastAsia" w:ascii="仿宋_GB2312" w:hAnsi="宋体" w:eastAsia="仿宋_GB2312"/>
          <w:kern w:val="0"/>
          <w:sz w:val="24"/>
          <w:lang w:val="zh-CN"/>
        </w:rPr>
        <w:t>（18）备品备件清单（含随机自带的备品备件和质保期后供采购人选择的备品备件及配套零部件，明细备品备件及价格，且供货价格不高于中标价格；中标货物设备应提供易损部件的备件和整机备品）；（如果有）</w:t>
      </w:r>
    </w:p>
    <w:p>
      <w:pPr>
        <w:tabs>
          <w:tab w:val="left" w:pos="0"/>
          <w:tab w:val="left" w:pos="840"/>
        </w:tabs>
        <w:autoSpaceDE w:val="0"/>
        <w:autoSpaceDN w:val="0"/>
        <w:adjustRightInd w:val="0"/>
        <w:spacing w:line="440" w:lineRule="exact"/>
        <w:ind w:firstLine="480"/>
        <w:rPr>
          <w:rFonts w:hint="eastAsia" w:ascii="仿宋_GB2312" w:eastAsia="仿宋_GB2312"/>
          <w:kern w:val="0"/>
          <w:sz w:val="24"/>
          <w:lang w:val="zh-CN"/>
        </w:rPr>
      </w:pPr>
      <w:r>
        <w:rPr>
          <w:rFonts w:hint="eastAsia" w:ascii="仿宋_GB2312" w:hAnsi="宋体" w:eastAsia="仿宋_GB2312"/>
          <w:kern w:val="0"/>
          <w:sz w:val="24"/>
          <w:lang w:val="zh-CN"/>
        </w:rPr>
        <w:t>（19）</w:t>
      </w:r>
      <w:r>
        <w:rPr>
          <w:rFonts w:hint="eastAsia" w:ascii="仿宋_GB2312" w:eastAsia="仿宋_GB2312"/>
          <w:kern w:val="0"/>
          <w:sz w:val="24"/>
          <w:lang w:val="zh-CN"/>
        </w:rPr>
        <w:t>培训计划（每项注明具体内容、时间、地点及是否需要费用）（如果有）；</w:t>
      </w:r>
    </w:p>
    <w:p>
      <w:pPr>
        <w:tabs>
          <w:tab w:val="left" w:pos="0"/>
          <w:tab w:val="left" w:pos="840"/>
        </w:tabs>
        <w:autoSpaceDE w:val="0"/>
        <w:autoSpaceDN w:val="0"/>
        <w:adjustRightInd w:val="0"/>
        <w:spacing w:line="440" w:lineRule="exact"/>
        <w:ind w:firstLine="480"/>
        <w:rPr>
          <w:rFonts w:hint="eastAsia" w:ascii="仿宋_GB2312" w:eastAsia="仿宋_GB2312"/>
          <w:kern w:val="0"/>
          <w:sz w:val="24"/>
          <w:lang w:val="zh-CN"/>
        </w:rPr>
      </w:pPr>
      <w:r>
        <w:rPr>
          <w:rFonts w:hint="eastAsia" w:ascii="仿宋_GB2312" w:hAnsi="宋体" w:eastAsia="仿宋_GB2312"/>
          <w:kern w:val="0"/>
          <w:sz w:val="24"/>
          <w:lang w:val="zh-CN"/>
        </w:rPr>
        <w:t>（20）</w:t>
      </w:r>
      <w:r>
        <w:rPr>
          <w:rFonts w:hint="eastAsia" w:ascii="仿宋_GB2312" w:eastAsia="仿宋_GB2312"/>
          <w:kern w:val="0"/>
          <w:sz w:val="24"/>
          <w:lang w:val="zh-CN"/>
        </w:rPr>
        <w:t>验收方案（须提请采购人确认）；</w:t>
      </w:r>
    </w:p>
    <w:p>
      <w:pPr>
        <w:tabs>
          <w:tab w:val="left" w:pos="0"/>
        </w:tabs>
        <w:autoSpaceDE w:val="0"/>
        <w:autoSpaceDN w:val="0"/>
        <w:adjustRightInd w:val="0"/>
        <w:spacing w:line="440" w:lineRule="exact"/>
        <w:ind w:firstLine="480"/>
        <w:rPr>
          <w:rFonts w:hint="eastAsia" w:ascii="仿宋_GB2312" w:eastAsia="仿宋_GB2312"/>
          <w:kern w:val="0"/>
          <w:sz w:val="24"/>
          <w:lang w:val="zh-CN"/>
        </w:rPr>
      </w:pPr>
      <w:r>
        <w:rPr>
          <w:rFonts w:hint="eastAsia" w:ascii="仿宋_GB2312" w:hAnsi="宋体" w:eastAsia="仿宋_GB2312"/>
          <w:kern w:val="0"/>
          <w:sz w:val="24"/>
          <w:lang w:val="zh-CN"/>
        </w:rPr>
        <w:t>（21）</w:t>
      </w:r>
      <w:r>
        <w:rPr>
          <w:rFonts w:hint="eastAsia" w:ascii="仿宋_GB2312" w:eastAsia="仿宋_GB2312"/>
          <w:kern w:val="0"/>
          <w:sz w:val="24"/>
          <w:lang w:val="zh-CN"/>
        </w:rPr>
        <w:t>关于对招标文件中有关条款的拒绝声明（如果有）；</w:t>
      </w:r>
    </w:p>
    <w:p>
      <w:pPr>
        <w:pStyle w:val="34"/>
        <w:spacing w:line="440" w:lineRule="exact"/>
        <w:ind w:firstLine="480" w:firstLineChars="200"/>
        <w:rPr>
          <w:rFonts w:hint="eastAsia" w:ascii="仿宋_GB2312" w:eastAsia="仿宋_GB2312"/>
          <w:kern w:val="0"/>
          <w:sz w:val="24"/>
          <w:lang w:val="zh-CN"/>
        </w:rPr>
      </w:pPr>
      <w:r>
        <w:rPr>
          <w:rFonts w:hint="eastAsia" w:ascii="仿宋_GB2312" w:hAnsi="宋体" w:eastAsia="仿宋_GB2312"/>
          <w:kern w:val="0"/>
          <w:sz w:val="24"/>
          <w:lang w:val="zh-CN"/>
        </w:rPr>
        <w:t>（22）</w:t>
      </w:r>
      <w:r>
        <w:rPr>
          <w:rFonts w:hint="eastAsia" w:ascii="仿宋_GB2312" w:eastAsia="仿宋_GB2312"/>
          <w:kern w:val="0"/>
          <w:sz w:val="24"/>
          <w:lang w:val="zh-CN"/>
        </w:rPr>
        <w:t>投标人认为需要的其他技术文件或说明。</w:t>
      </w:r>
    </w:p>
    <w:p>
      <w:pPr>
        <w:widowControl w:val="0"/>
        <w:adjustRightInd w:val="0"/>
        <w:spacing w:line="360" w:lineRule="auto"/>
        <w:ind w:firstLine="482" w:firstLineChars="200"/>
        <w:jc w:val="both"/>
        <w:rPr>
          <w:rFonts w:hint="eastAsia" w:ascii="仿宋_GB2312" w:hAnsi="仿宋" w:eastAsia="仿宋_GB2312" w:cs="仿宋_GB2312"/>
          <w:b/>
          <w:sz w:val="24"/>
          <w:szCs w:val="24"/>
        </w:rPr>
      </w:pPr>
      <w:r>
        <w:rPr>
          <w:rFonts w:hint="eastAsia" w:ascii="仿宋_GB2312" w:hAnsi="仿宋" w:eastAsia="仿宋_GB2312"/>
          <w:b/>
          <w:sz w:val="24"/>
          <w:szCs w:val="24"/>
        </w:rPr>
        <w:t>▲</w:t>
      </w:r>
      <w:r>
        <w:rPr>
          <w:rFonts w:hint="eastAsia" w:ascii="仿宋_GB2312" w:hAnsi="仿宋" w:eastAsia="仿宋_GB2312" w:cs="仿宋_GB2312"/>
          <w:b/>
          <w:sz w:val="24"/>
          <w:szCs w:val="24"/>
        </w:rPr>
        <w:t>投标文件组成漏项，内容不全或内容字迹模糊辨认不清的，投标无效；</w:t>
      </w:r>
    </w:p>
    <w:p>
      <w:pPr>
        <w:widowControl w:val="0"/>
        <w:adjustRightInd w:val="0"/>
        <w:spacing w:line="360" w:lineRule="auto"/>
        <w:ind w:firstLine="482" w:firstLineChars="200"/>
        <w:jc w:val="both"/>
        <w:rPr>
          <w:rFonts w:hint="eastAsia" w:ascii="仿宋_GB2312" w:hAnsi="仿宋" w:eastAsia="仿宋_GB2312"/>
          <w:b/>
          <w:sz w:val="24"/>
          <w:szCs w:val="24"/>
        </w:rPr>
      </w:pPr>
      <w:r>
        <w:rPr>
          <w:rFonts w:hint="eastAsia" w:ascii="仿宋_GB2312" w:hAnsi="仿宋" w:eastAsia="仿宋_GB2312"/>
          <w:b/>
          <w:sz w:val="24"/>
          <w:szCs w:val="24"/>
        </w:rPr>
        <w:t>▲投标文件含有采购人不能接受的附加条件的，投标无效；</w:t>
      </w:r>
    </w:p>
    <w:p>
      <w:pPr>
        <w:widowControl w:val="0"/>
        <w:adjustRightInd w:val="0"/>
        <w:spacing w:line="360" w:lineRule="auto"/>
        <w:ind w:firstLine="482" w:firstLineChars="200"/>
        <w:jc w:val="both"/>
        <w:rPr>
          <w:rFonts w:hint="eastAsia" w:ascii="仿宋_GB2312" w:hAnsi="仿宋" w:eastAsia="仿宋_GB2312" w:cs="仿宋_GB2312"/>
          <w:b/>
          <w:sz w:val="24"/>
          <w:szCs w:val="21"/>
        </w:rPr>
      </w:pPr>
      <w:r>
        <w:rPr>
          <w:rFonts w:hint="eastAsia" w:ascii="仿宋_GB2312" w:hAnsi="仿宋" w:eastAsia="仿宋_GB2312"/>
          <w:b/>
          <w:sz w:val="24"/>
          <w:szCs w:val="24"/>
        </w:rPr>
        <w:t>▲投标人提供虚假材料投标的，投标无效。</w:t>
      </w:r>
    </w:p>
    <w:p>
      <w:pPr>
        <w:autoSpaceDE w:val="0"/>
        <w:autoSpaceDN w:val="0"/>
        <w:adjustRightInd w:val="0"/>
        <w:spacing w:line="460" w:lineRule="exact"/>
        <w:rPr>
          <w:rFonts w:hint="eastAsia" w:ascii="仿宋_GB2312" w:hAnsi="黑体" w:eastAsia="仿宋_GB2312"/>
          <w:b/>
          <w:sz w:val="24"/>
          <w:lang w:val="zh-CN"/>
        </w:rPr>
      </w:pPr>
      <w:r>
        <w:rPr>
          <w:rFonts w:hint="eastAsia" w:ascii="仿宋_GB2312" w:hAnsi="黑体" w:eastAsia="仿宋_GB2312"/>
          <w:b/>
          <w:sz w:val="24"/>
          <w:lang w:val="zh-CN"/>
        </w:rPr>
        <w:t>11．投标文件的编制</w:t>
      </w:r>
    </w:p>
    <w:p>
      <w:pPr>
        <w:pStyle w:val="254"/>
        <w:spacing w:before="0" w:line="460" w:lineRule="exact"/>
        <w:ind w:firstLine="480"/>
        <w:rPr>
          <w:rFonts w:hint="eastAsia" w:ascii="仿宋_GB2312" w:hAnsi="宋体" w:eastAsia="仿宋_GB2312"/>
        </w:rPr>
      </w:pPr>
      <w:r>
        <w:rPr>
          <w:rFonts w:hint="eastAsia" w:ascii="仿宋_GB2312" w:eastAsia="仿宋_GB2312"/>
        </w:rPr>
        <w:t>11.1</w:t>
      </w:r>
      <w:r>
        <w:rPr>
          <w:rFonts w:hint="eastAsia" w:ascii="仿宋_GB2312" w:hAnsi="宋体" w:eastAsia="仿宋_GB2312"/>
        </w:rPr>
        <w:t>投标文件分为报价文件、资格文件、商务技术文件三部分，</w:t>
      </w:r>
      <w:r>
        <w:rPr>
          <w:rFonts w:hint="eastAsia" w:ascii="仿宋_GB2312" w:hAnsi="宋体" w:eastAsia="仿宋_GB2312"/>
          <w:b/>
        </w:rPr>
        <w:t>并将三部分分别装订成册</w:t>
      </w:r>
      <w:r>
        <w:rPr>
          <w:rFonts w:hint="eastAsia" w:ascii="仿宋_GB2312" w:hAnsi="宋体" w:eastAsia="仿宋_GB2312"/>
        </w:rPr>
        <w:t>，</w:t>
      </w:r>
      <w:r>
        <w:rPr>
          <w:rFonts w:hint="eastAsia" w:ascii="仿宋_GB2312" w:hAnsi="宋体" w:eastAsia="仿宋_GB2312"/>
          <w:b/>
        </w:rPr>
        <w:t>投标文件的装订必须采用胶订或线订形式，不得采用活页装订方式（胶订或线订以外装订形式视为活页装订）。</w:t>
      </w:r>
      <w:r>
        <w:rPr>
          <w:rFonts w:hint="eastAsia" w:ascii="仿宋_GB2312" w:hAnsi="宋体" w:eastAsia="仿宋_GB2312"/>
        </w:rPr>
        <w:t>各投标人在编制投标文件时请按照招标文件第六部分规定的格式进行，混乱的编排导致投标文件被误读或评标委员会查找不到有效文件是投标人的风险。</w:t>
      </w:r>
      <w:r>
        <w:rPr>
          <w:rFonts w:hint="eastAsia" w:ascii="仿宋_GB2312" w:hAnsi="仿宋" w:eastAsia="仿宋_GB2312"/>
          <w:b/>
        </w:rPr>
        <w:t>▲</w:t>
      </w:r>
      <w:r>
        <w:rPr>
          <w:rFonts w:hint="eastAsia" w:ascii="仿宋_GB2312" w:hAnsi="仿宋" w:eastAsia="仿宋_GB2312" w:cs="仿宋_GB2312"/>
          <w:b/>
        </w:rPr>
        <w:t>投标文件未按规定的格式编制的，投标无效；</w:t>
      </w:r>
    </w:p>
    <w:p>
      <w:pPr>
        <w:pStyle w:val="254"/>
        <w:spacing w:before="0" w:line="460" w:lineRule="exact"/>
        <w:ind w:firstLine="480"/>
        <w:rPr>
          <w:rFonts w:hint="eastAsia" w:ascii="仿宋_GB2312" w:hAnsi="宋体" w:eastAsia="仿宋_GB2312"/>
        </w:rPr>
      </w:pPr>
      <w:r>
        <w:rPr>
          <w:rFonts w:hint="eastAsia" w:ascii="仿宋_GB2312" w:eastAsia="仿宋_GB2312"/>
        </w:rPr>
        <w:t>11.2 投标人按前附表规定的份数编制投标文件。</w:t>
      </w:r>
      <w:r>
        <w:rPr>
          <w:rFonts w:hint="eastAsia" w:ascii="仿宋_GB2312" w:hAnsi="宋体" w:eastAsia="仿宋_GB2312"/>
        </w:rPr>
        <w:t>投标文件的正本需打印或用不褪色墨水书写，字迹应清晰易于辨认。并在投标文件封面的右上角清楚的注明“正本”或“副本”。投标文件的正本和副本如有不一致之处，以正本为准。</w:t>
      </w:r>
    </w:p>
    <w:p>
      <w:pPr>
        <w:pStyle w:val="254"/>
        <w:spacing w:before="0" w:line="460" w:lineRule="exact"/>
        <w:ind w:firstLine="480"/>
        <w:rPr>
          <w:rFonts w:hint="eastAsia" w:ascii="仿宋_GB2312" w:eastAsia="仿宋_GB2312"/>
        </w:rPr>
      </w:pPr>
      <w:r>
        <w:rPr>
          <w:rFonts w:hint="eastAsia" w:ascii="仿宋_GB2312" w:eastAsia="仿宋_GB2312"/>
        </w:rPr>
        <w:t>11.3</w:t>
      </w:r>
      <w:r>
        <w:rPr>
          <w:rFonts w:hint="eastAsia" w:ascii="仿宋_GB2312" w:hAnsi="宋体" w:eastAsia="仿宋_GB2312"/>
        </w:rPr>
        <w:t>投标文件的封面、投标文件均应加盖投标人法人公章并经法定代表人或其授权委托人签字或盖章。由授权委托人签字或盖章的必须同时提供投标文件签署授权委托书，投标文件签署授权委托书格式、签字、盖章及内容均应符合要求，否则投标文件签署授权委托书无效。投标文件正本的依据招标文件要求加盖投标人法人公章、法定代表人或其授权委托人签字或盖章处须为原件，副本可复印正本内容。</w:t>
      </w:r>
    </w:p>
    <w:p>
      <w:pPr>
        <w:spacing w:line="460" w:lineRule="exact"/>
        <w:ind w:firstLine="480" w:firstLineChars="200"/>
        <w:rPr>
          <w:rFonts w:hint="eastAsia" w:ascii="仿宋_GB2312" w:eastAsia="仿宋_GB2312"/>
          <w:sz w:val="24"/>
        </w:rPr>
      </w:pPr>
      <w:r>
        <w:rPr>
          <w:rFonts w:hint="eastAsia" w:ascii="仿宋_GB2312" w:eastAsia="仿宋_GB2312"/>
          <w:sz w:val="24"/>
        </w:rPr>
        <w:t xml:space="preserve">11.4 </w:t>
      </w:r>
      <w:r>
        <w:rPr>
          <w:rFonts w:hint="eastAsia" w:ascii="仿宋_GB2312" w:hAnsi="宋体" w:eastAsia="仿宋_GB2312"/>
          <w:sz w:val="24"/>
        </w:rPr>
        <w:t>全套投标文件应无涂改和行间插字，除非这些删改是根据采购机构要求进行，或者是投标人造成的必须修改的错误。所修改处应由法定代表人或授权委托人签字盖章予以确认。</w:t>
      </w:r>
    </w:p>
    <w:p>
      <w:pPr>
        <w:autoSpaceDE w:val="0"/>
        <w:autoSpaceDN w:val="0"/>
        <w:adjustRightInd w:val="0"/>
        <w:spacing w:line="460" w:lineRule="exact"/>
        <w:ind w:firstLine="480"/>
        <w:rPr>
          <w:rFonts w:hint="eastAsia" w:ascii="仿宋_GB2312" w:eastAsia="仿宋_GB2312"/>
          <w:sz w:val="24"/>
          <w:lang w:val="zh-CN"/>
        </w:rPr>
      </w:pPr>
      <w:r>
        <w:rPr>
          <w:rFonts w:hint="eastAsia" w:ascii="仿宋_GB2312" w:eastAsia="仿宋_GB2312"/>
          <w:sz w:val="24"/>
        </w:rPr>
        <w:t>11.5 投标文件采用A4幅面，必须按顺序统一编目编码装订成册。</w:t>
      </w:r>
      <w:r>
        <w:rPr>
          <w:rFonts w:hint="eastAsia" w:ascii="仿宋_GB2312" w:eastAsia="仿宋_GB2312"/>
          <w:b/>
          <w:sz w:val="24"/>
        </w:rPr>
        <w:t>提倡双面打印</w:t>
      </w:r>
      <w:r>
        <w:rPr>
          <w:rFonts w:hint="eastAsia" w:ascii="仿宋_GB2312" w:eastAsia="仿宋_GB2312"/>
          <w:sz w:val="24"/>
          <w:lang w:val="zh-CN"/>
        </w:rPr>
        <w:t>。</w:t>
      </w:r>
    </w:p>
    <w:p>
      <w:pPr>
        <w:autoSpaceDE w:val="0"/>
        <w:autoSpaceDN w:val="0"/>
        <w:adjustRightInd w:val="0"/>
        <w:spacing w:line="460" w:lineRule="exact"/>
        <w:ind w:firstLine="480"/>
        <w:rPr>
          <w:rFonts w:hint="eastAsia" w:ascii="仿宋_GB2312" w:eastAsia="仿宋_GB2312"/>
          <w:sz w:val="24"/>
          <w:lang w:val="zh-CN"/>
        </w:rPr>
      </w:pPr>
      <w:r>
        <w:rPr>
          <w:rFonts w:hint="eastAsia" w:ascii="仿宋_GB2312" w:hAnsi="宋体" w:eastAsia="仿宋_GB2312"/>
          <w:sz w:val="24"/>
        </w:rPr>
        <w:t>11.6 投标文件是投标过程进行的有效依据，也是成交后签订合同的依据，对双方均具有约束力。</w:t>
      </w:r>
    </w:p>
    <w:p>
      <w:pPr>
        <w:widowControl w:val="0"/>
        <w:adjustRightInd w:val="0"/>
        <w:snapToGrid w:val="0"/>
        <w:spacing w:line="360" w:lineRule="auto"/>
        <w:jc w:val="both"/>
        <w:rPr>
          <w:rFonts w:hint="eastAsia" w:ascii="仿宋_GB2312" w:hAnsi="仿宋" w:eastAsia="仿宋_GB2312" w:cs="仿宋_GB2312"/>
          <w:b/>
          <w:sz w:val="24"/>
          <w:szCs w:val="24"/>
        </w:rPr>
      </w:pPr>
      <w:r>
        <w:rPr>
          <w:rFonts w:hint="eastAsia" w:ascii="仿宋_GB2312" w:hAnsi="仿宋" w:eastAsia="仿宋_GB2312" w:cs="仿宋_GB2312"/>
          <w:b/>
          <w:sz w:val="24"/>
          <w:szCs w:val="24"/>
        </w:rPr>
        <w:t>12.投标文件的装订</w:t>
      </w:r>
    </w:p>
    <w:p>
      <w:pPr>
        <w:widowControl w:val="0"/>
        <w:adjustRightInd w:val="0"/>
        <w:snapToGrid w:val="0"/>
        <w:spacing w:line="360" w:lineRule="auto"/>
        <w:ind w:firstLine="480" w:firstLineChars="200"/>
        <w:jc w:val="both"/>
        <w:rPr>
          <w:rFonts w:hint="eastAsia" w:ascii="仿宋_GB2312" w:hAnsi="仿宋" w:eastAsia="仿宋_GB2312"/>
          <w:b/>
          <w:sz w:val="24"/>
          <w:szCs w:val="24"/>
        </w:rPr>
      </w:pPr>
      <w:r>
        <w:rPr>
          <w:rFonts w:hint="eastAsia" w:ascii="仿宋_GB2312" w:hAnsi="仿宋" w:eastAsia="仿宋_GB2312"/>
          <w:sz w:val="24"/>
          <w:szCs w:val="24"/>
        </w:rPr>
        <w:t>将投标文件的资格文件、商务技术文件、报价文件</w:t>
      </w:r>
      <w:r>
        <w:rPr>
          <w:rFonts w:hint="eastAsia" w:ascii="仿宋_GB2312" w:hAnsi="仿宋" w:eastAsia="仿宋_GB2312"/>
          <w:b/>
          <w:sz w:val="24"/>
          <w:szCs w:val="24"/>
        </w:rPr>
        <w:t>三</w:t>
      </w:r>
      <w:r>
        <w:rPr>
          <w:rFonts w:hint="eastAsia" w:ascii="仿宋_GB2312" w:hAnsi="仿宋" w:eastAsia="仿宋_GB2312"/>
          <w:sz w:val="24"/>
          <w:szCs w:val="24"/>
        </w:rPr>
        <w:t>部分分别装订成册，投标文件的装订必须采用</w:t>
      </w:r>
      <w:r>
        <w:rPr>
          <w:rFonts w:hint="eastAsia" w:ascii="仿宋_GB2312" w:hAnsi="仿宋" w:eastAsia="仿宋_GB2312"/>
          <w:b/>
          <w:sz w:val="24"/>
          <w:szCs w:val="24"/>
        </w:rPr>
        <w:t>胶订或线订</w:t>
      </w:r>
      <w:r>
        <w:rPr>
          <w:rFonts w:hint="eastAsia" w:ascii="仿宋_GB2312" w:hAnsi="仿宋" w:eastAsia="仿宋_GB2312"/>
          <w:sz w:val="24"/>
          <w:szCs w:val="24"/>
        </w:rPr>
        <w:t>形式，不得采用活页装订方式（胶订或线订以外装订形式视为活页装订）。</w:t>
      </w:r>
      <w:r>
        <w:rPr>
          <w:rFonts w:hint="eastAsia" w:ascii="仿宋_GB2312" w:hAnsi="仿宋" w:eastAsia="仿宋_GB2312"/>
          <w:b/>
          <w:sz w:val="24"/>
          <w:szCs w:val="24"/>
        </w:rPr>
        <w:t>对不符合装订要求的投标文件，开标时，现场工作人员将予以退还。</w:t>
      </w:r>
    </w:p>
    <w:p>
      <w:pPr>
        <w:widowControl w:val="0"/>
        <w:adjustRightInd w:val="0"/>
        <w:snapToGrid w:val="0"/>
        <w:spacing w:line="360" w:lineRule="auto"/>
        <w:jc w:val="both"/>
        <w:rPr>
          <w:rFonts w:hint="eastAsia" w:ascii="仿宋_GB2312" w:hAnsi="仿宋" w:eastAsia="仿宋_GB2312"/>
          <w:b/>
          <w:sz w:val="24"/>
          <w:szCs w:val="24"/>
        </w:rPr>
      </w:pPr>
      <w:r>
        <w:rPr>
          <w:rFonts w:hint="eastAsia" w:ascii="仿宋_GB2312" w:hAnsi="仿宋" w:eastAsia="仿宋_GB2312"/>
          <w:b/>
          <w:sz w:val="24"/>
          <w:szCs w:val="24"/>
        </w:rPr>
        <w:t>13.投标文件的签署、盖章</w:t>
      </w:r>
    </w:p>
    <w:p>
      <w:pPr>
        <w:widowControl w:val="0"/>
        <w:adjustRightInd w:val="0"/>
        <w:snapToGrid w:val="0"/>
        <w:spacing w:line="360" w:lineRule="auto"/>
        <w:ind w:firstLine="480" w:firstLineChars="200"/>
        <w:jc w:val="both"/>
        <w:rPr>
          <w:rFonts w:hint="eastAsia" w:ascii="仿宋_GB2312" w:hAnsi="仿宋" w:eastAsia="仿宋_GB2312" w:cs="仿宋_GB2312"/>
          <w:b/>
          <w:sz w:val="24"/>
          <w:szCs w:val="24"/>
        </w:rPr>
      </w:pPr>
      <w:r>
        <w:rPr>
          <w:rFonts w:hint="eastAsia" w:ascii="仿宋_GB2312" w:hAnsi="仿宋" w:eastAsia="仿宋_GB2312" w:cs="仿宋_GB2312"/>
          <w:sz w:val="24"/>
          <w:szCs w:val="24"/>
        </w:rPr>
        <w:t>投标文件按照招标文件第六部分格式要</w:t>
      </w:r>
      <w:r>
        <w:rPr>
          <w:rFonts w:hint="eastAsia" w:ascii="仿宋_GB2312" w:hAnsi="仿宋" w:eastAsia="仿宋_GB2312" w:cs="仿宋_GB2312"/>
          <w:sz w:val="24"/>
        </w:rPr>
        <w:t>求进行签署、盖章。</w:t>
      </w:r>
      <w:r>
        <w:rPr>
          <w:rFonts w:hint="eastAsia" w:ascii="仿宋_GB2312" w:hAnsi="仿宋" w:eastAsia="仿宋_GB2312" w:cs="仿宋_GB2312"/>
          <w:b/>
          <w:sz w:val="24"/>
        </w:rPr>
        <w:t>投标人的投标文件未按照招标文件要求签署、盖章的，其投标无效；</w:t>
      </w:r>
    </w:p>
    <w:p>
      <w:pPr>
        <w:pStyle w:val="34"/>
        <w:spacing w:line="460" w:lineRule="exact"/>
        <w:rPr>
          <w:rFonts w:hint="eastAsia" w:ascii="仿宋_GB2312" w:hAnsi="Times New Roman" w:eastAsia="仿宋_GB2312"/>
          <w:b/>
          <w:sz w:val="24"/>
        </w:rPr>
      </w:pPr>
      <w:r>
        <w:rPr>
          <w:rFonts w:hint="eastAsia" w:ascii="仿宋_GB2312" w:hAnsi="Times New Roman" w:eastAsia="仿宋_GB2312"/>
          <w:b/>
          <w:sz w:val="24"/>
        </w:rPr>
        <w:t>14．投标文件的密封与标志</w:t>
      </w:r>
    </w:p>
    <w:p>
      <w:pPr>
        <w:pStyle w:val="254"/>
        <w:spacing w:before="0" w:line="460" w:lineRule="exact"/>
        <w:ind w:firstLine="482"/>
        <w:rPr>
          <w:rFonts w:hint="eastAsia" w:ascii="仿宋_GB2312" w:eastAsia="仿宋_GB2312"/>
          <w:b/>
        </w:rPr>
      </w:pPr>
      <w:r>
        <w:rPr>
          <w:rFonts w:hint="eastAsia" w:ascii="仿宋_GB2312" w:eastAsia="仿宋_GB2312"/>
          <w:b/>
        </w:rPr>
        <w:t>14.1</w:t>
      </w:r>
      <w:r>
        <w:rPr>
          <w:rFonts w:hint="eastAsia" w:ascii="仿宋_GB2312" w:hAnsi="仿宋" w:eastAsia="仿宋_GB2312"/>
          <w:szCs w:val="24"/>
        </w:rPr>
        <w:t>投标文件须</w:t>
      </w:r>
      <w:r>
        <w:rPr>
          <w:rFonts w:hint="eastAsia" w:ascii="仿宋_GB2312" w:hAnsi="仿宋" w:eastAsia="仿宋_GB2312"/>
          <w:b/>
          <w:szCs w:val="24"/>
        </w:rPr>
        <w:t>整体密封包装，整体密封包装指：所有投标文件应密封在一起，内含资格文件、报价文件、商务技术文件、三部分。其中，报价文件须单独密封，未单独密封的，在开标时发生报价泄露的，由投标人自行承担相关责任。</w:t>
      </w:r>
      <w:r>
        <w:rPr>
          <w:rFonts w:hint="eastAsia" w:ascii="仿宋_GB2312" w:eastAsia="仿宋_GB2312"/>
        </w:rPr>
        <w:t>没有整体密封包装的投标文件，将被当场拒绝。</w:t>
      </w:r>
    </w:p>
    <w:p>
      <w:pPr>
        <w:tabs>
          <w:tab w:val="left" w:pos="0"/>
        </w:tabs>
        <w:autoSpaceDE w:val="0"/>
        <w:autoSpaceDN w:val="0"/>
        <w:adjustRightInd w:val="0"/>
        <w:spacing w:line="460" w:lineRule="exact"/>
        <w:ind w:left="210" w:leftChars="100" w:firstLine="480" w:firstLineChars="200"/>
        <w:rPr>
          <w:rFonts w:hint="eastAsia" w:ascii="仿宋_GB2312" w:eastAsia="仿宋_GB2312"/>
          <w:kern w:val="0"/>
          <w:sz w:val="24"/>
        </w:rPr>
      </w:pPr>
      <w:r>
        <w:rPr>
          <w:rFonts w:hint="eastAsia" w:ascii="仿宋_GB2312" w:eastAsia="仿宋_GB2312"/>
          <w:kern w:val="0"/>
          <w:sz w:val="24"/>
          <w:lang w:val="zh-CN"/>
        </w:rPr>
        <w:t>14.2 投标文件包封物正面应写明项目名称、投标人全称</w:t>
      </w:r>
      <w:r>
        <w:rPr>
          <w:rFonts w:hint="eastAsia" w:ascii="仿宋_GB2312" w:hAnsi="仿宋" w:eastAsia="仿宋_GB2312"/>
          <w:sz w:val="24"/>
        </w:rPr>
        <w:t>(联合体投标的，包装物封面需注明联合体投标，并注明联合体成员各方的名称和联合体协议中约定的牵头人的名称)</w:t>
      </w:r>
      <w:r>
        <w:rPr>
          <w:rFonts w:hint="eastAsia" w:ascii="仿宋_GB2312" w:eastAsia="仿宋_GB2312"/>
          <w:kern w:val="0"/>
          <w:sz w:val="24"/>
          <w:lang w:val="zh-CN"/>
        </w:rPr>
        <w:t>。否则，投标文件由采购机构当场退还投标法定代表人或其授权代表。不论投标人中标与否，投标文件均不退回。</w:t>
      </w:r>
    </w:p>
    <w:p>
      <w:pPr>
        <w:pStyle w:val="34"/>
        <w:spacing w:line="460" w:lineRule="exact"/>
        <w:rPr>
          <w:rFonts w:hint="eastAsia" w:ascii="仿宋_GB2312" w:hAnsi="Times New Roman" w:eastAsia="仿宋_GB2312"/>
          <w:b/>
          <w:sz w:val="24"/>
        </w:rPr>
      </w:pPr>
      <w:r>
        <w:rPr>
          <w:rFonts w:hint="eastAsia" w:ascii="仿宋_GB2312" w:hAnsi="Times New Roman" w:eastAsia="仿宋_GB2312"/>
          <w:b/>
          <w:sz w:val="24"/>
        </w:rPr>
        <w:t>15．投标文件的提交</w:t>
      </w:r>
    </w:p>
    <w:p>
      <w:pPr>
        <w:tabs>
          <w:tab w:val="left" w:pos="0"/>
        </w:tabs>
        <w:autoSpaceDE w:val="0"/>
        <w:autoSpaceDN w:val="0"/>
        <w:adjustRightInd w:val="0"/>
        <w:spacing w:line="460" w:lineRule="exact"/>
        <w:ind w:firstLine="480" w:firstLineChars="200"/>
        <w:rPr>
          <w:rFonts w:hint="eastAsia" w:ascii="仿宋_GB2312" w:eastAsia="仿宋_GB2312"/>
          <w:kern w:val="0"/>
          <w:sz w:val="24"/>
        </w:rPr>
      </w:pPr>
      <w:r>
        <w:rPr>
          <w:rFonts w:hint="eastAsia" w:ascii="仿宋_GB2312" w:eastAsia="仿宋_GB2312"/>
          <w:kern w:val="0"/>
          <w:sz w:val="24"/>
          <w:lang w:val="zh-CN"/>
        </w:rPr>
        <w:t>15.1 投标人应按“招标公告”规定的时间、地点将投标文件递交给采购机构，采购机构将拒绝接受逾期送达的投标文件。</w:t>
      </w:r>
    </w:p>
    <w:p>
      <w:pPr>
        <w:pStyle w:val="34"/>
        <w:spacing w:line="460" w:lineRule="exact"/>
        <w:ind w:firstLine="480"/>
        <w:rPr>
          <w:rFonts w:hint="eastAsia" w:ascii="仿宋_GB2312" w:eastAsia="仿宋_GB2312"/>
          <w:sz w:val="24"/>
        </w:rPr>
      </w:pPr>
      <w:r>
        <w:rPr>
          <w:rFonts w:hint="eastAsia" w:ascii="仿宋_GB2312" w:eastAsia="仿宋_GB2312"/>
          <w:kern w:val="0"/>
          <w:sz w:val="24"/>
          <w:lang w:val="zh-CN"/>
        </w:rPr>
        <w:t>15.2 采购机构可以按本须知第6条规定，以补充通知的方式酌情延长递交投标文件的截止日期。在上述情况下，采购机构与投标人以前在投标截止期方面的全部权力、责任和义务，将适用于延长后新的投标截止期</w:t>
      </w:r>
      <w:r>
        <w:rPr>
          <w:rFonts w:hint="eastAsia" w:ascii="仿宋_GB2312" w:eastAsia="仿宋_GB2312"/>
          <w:sz w:val="24"/>
        </w:rPr>
        <w:t>。</w:t>
      </w:r>
    </w:p>
    <w:p>
      <w:pPr>
        <w:pStyle w:val="34"/>
        <w:spacing w:line="460" w:lineRule="exact"/>
        <w:rPr>
          <w:rFonts w:hint="eastAsia" w:ascii="仿宋_GB2312" w:hAnsi="Times New Roman" w:eastAsia="仿宋_GB2312"/>
          <w:b/>
          <w:sz w:val="24"/>
        </w:rPr>
      </w:pPr>
      <w:r>
        <w:rPr>
          <w:rFonts w:hint="eastAsia" w:ascii="仿宋_GB2312" w:hAnsi="Times New Roman" w:eastAsia="仿宋_GB2312"/>
          <w:b/>
          <w:sz w:val="24"/>
        </w:rPr>
        <w:t>16．投标文件的补充、修改、撤回</w:t>
      </w:r>
    </w:p>
    <w:p>
      <w:pPr>
        <w:pStyle w:val="254"/>
        <w:spacing w:before="0" w:line="460" w:lineRule="exact"/>
        <w:ind w:firstLine="480"/>
        <w:rPr>
          <w:rFonts w:hint="eastAsia" w:ascii="仿宋_GB2312" w:eastAsia="仿宋_GB2312"/>
        </w:rPr>
      </w:pPr>
      <w:r>
        <w:rPr>
          <w:rFonts w:hint="eastAsia" w:ascii="仿宋_GB2312" w:eastAsia="仿宋_GB2312"/>
        </w:rPr>
        <w:t>16.1 投标人递交投标文件以后，在规定的投标截止时间之前，可以书面形式对投标文件进行补充、修改，补充、修改文件须加盖单位公章，并由法定代表人或授权委托人签字盖章，在投标截止时间以后，不能补充、修改投标文件。</w:t>
      </w:r>
    </w:p>
    <w:p>
      <w:pPr>
        <w:pStyle w:val="254"/>
        <w:spacing w:before="0" w:line="460" w:lineRule="exact"/>
        <w:ind w:firstLine="480"/>
        <w:rPr>
          <w:rFonts w:hint="eastAsia" w:ascii="仿宋_GB2312" w:eastAsia="仿宋_GB2312"/>
        </w:rPr>
      </w:pPr>
      <w:r>
        <w:rPr>
          <w:rFonts w:hint="eastAsia" w:ascii="仿宋_GB2312" w:eastAsia="仿宋_GB2312"/>
        </w:rPr>
        <w:t>16.2 投标人的补充、修改文件，应按本须知规定编制、密封、标志和递交，如果一份投标文件有几份函件时，应注明哪一份有效，否则所作修改视为无效。</w:t>
      </w:r>
    </w:p>
    <w:p>
      <w:pPr>
        <w:pStyle w:val="254"/>
        <w:spacing w:before="0" w:line="460" w:lineRule="exact"/>
        <w:ind w:firstLine="480"/>
        <w:rPr>
          <w:rFonts w:hint="eastAsia" w:ascii="仿宋_GB2312" w:eastAsia="仿宋_GB2312"/>
        </w:rPr>
      </w:pPr>
      <w:r>
        <w:rPr>
          <w:rFonts w:hint="eastAsia" w:ascii="仿宋_GB2312" w:eastAsia="仿宋_GB2312"/>
        </w:rPr>
        <w:t>16.3 投标人对投标文件的修改均要加以说明，否则其修改将被视为无效。</w:t>
      </w:r>
    </w:p>
    <w:p>
      <w:pPr>
        <w:pStyle w:val="254"/>
        <w:spacing w:before="0" w:line="460" w:lineRule="exact"/>
        <w:ind w:firstLine="480"/>
        <w:rPr>
          <w:rFonts w:hint="eastAsia" w:ascii="仿宋_GB2312" w:eastAsia="仿宋_GB2312"/>
        </w:rPr>
      </w:pPr>
      <w:r>
        <w:rPr>
          <w:rFonts w:hint="eastAsia" w:ascii="仿宋_GB2312" w:eastAsia="仿宋_GB2312"/>
        </w:rPr>
        <w:t>16.4投标人在投标截止时间前，可以对所提交的投标文件进行补充、修改或者撤回，并书面通知采购人、采购机构。补充、修改的内容作为投标文件的组成部分。补充、修改的内容与投标文件不一致的，以补充、修改的内容为准。</w:t>
      </w:r>
    </w:p>
    <w:p>
      <w:pPr>
        <w:widowControl w:val="0"/>
        <w:adjustRightInd w:val="0"/>
        <w:spacing w:line="360" w:lineRule="auto"/>
        <w:jc w:val="both"/>
        <w:rPr>
          <w:rFonts w:hint="eastAsia" w:ascii="仿宋_GB2312" w:hAnsi="仿宋" w:eastAsia="仿宋_GB2312" w:cs="仿宋_GB2312"/>
          <w:b/>
          <w:sz w:val="24"/>
          <w:szCs w:val="24"/>
        </w:rPr>
      </w:pPr>
      <w:r>
        <w:rPr>
          <w:rFonts w:hint="eastAsia" w:ascii="仿宋_GB2312" w:hAnsi="仿宋" w:eastAsia="仿宋_GB2312" w:cs="仿宋_GB2312"/>
          <w:b/>
          <w:sz w:val="24"/>
          <w:szCs w:val="24"/>
        </w:rPr>
        <w:t>17.投标文件的无效处理</w:t>
      </w:r>
    </w:p>
    <w:p>
      <w:pPr>
        <w:widowControl w:val="0"/>
        <w:adjustRightInd w:val="0"/>
        <w:spacing w:line="360" w:lineRule="auto"/>
        <w:ind w:firstLine="360" w:firstLineChars="150"/>
        <w:jc w:val="both"/>
        <w:rPr>
          <w:rFonts w:hint="eastAsia" w:ascii="仿宋_GB2312" w:hAnsi="仿宋" w:eastAsia="仿宋_GB2312" w:cs="仿宋_GB2312"/>
          <w:sz w:val="24"/>
          <w:szCs w:val="21"/>
        </w:rPr>
      </w:pPr>
      <w:r>
        <w:rPr>
          <w:rFonts w:hint="eastAsia" w:ascii="仿宋_GB2312" w:hAnsi="仿宋" w:eastAsia="仿宋_GB2312" w:cs="仿宋_GB2312"/>
          <w:sz w:val="24"/>
          <w:szCs w:val="21"/>
        </w:rPr>
        <w:t>有招标文件第四部分</w:t>
      </w:r>
      <w:r>
        <w:rPr>
          <w:rFonts w:hint="eastAsia" w:ascii="仿宋_GB2312" w:hAnsi="仿宋" w:eastAsia="仿宋_GB2312"/>
          <w:sz w:val="24"/>
          <w:szCs w:val="24"/>
        </w:rPr>
        <w:t>第13项规定</w:t>
      </w:r>
      <w:r>
        <w:rPr>
          <w:rFonts w:hint="eastAsia" w:ascii="仿宋_GB2312" w:hAnsi="仿宋" w:eastAsia="仿宋_GB2312" w:cs="仿宋_GB2312"/>
          <w:sz w:val="24"/>
          <w:szCs w:val="21"/>
        </w:rPr>
        <w:t>的情形之一的，投标无效：</w:t>
      </w:r>
    </w:p>
    <w:p>
      <w:pPr>
        <w:widowControl w:val="0"/>
        <w:adjustRightInd w:val="0"/>
        <w:spacing w:line="360" w:lineRule="auto"/>
        <w:jc w:val="both"/>
        <w:rPr>
          <w:rFonts w:hint="eastAsia" w:ascii="仿宋_GB2312" w:hAnsi="仿宋" w:eastAsia="仿宋_GB2312" w:cs="仿宋_GB2312"/>
          <w:b/>
          <w:sz w:val="24"/>
          <w:szCs w:val="24"/>
        </w:rPr>
      </w:pPr>
      <w:r>
        <w:rPr>
          <w:rFonts w:hint="eastAsia" w:ascii="仿宋_GB2312" w:hAnsi="仿宋" w:eastAsia="仿宋_GB2312" w:cs="仿宋_GB2312"/>
          <w:b/>
          <w:sz w:val="24"/>
          <w:szCs w:val="24"/>
        </w:rPr>
        <w:t>18.投标有效期</w:t>
      </w:r>
    </w:p>
    <w:p>
      <w:pPr>
        <w:widowControl w:val="0"/>
        <w:adjustRightInd w:val="0"/>
        <w:spacing w:line="360" w:lineRule="auto"/>
        <w:ind w:firstLine="480" w:firstLineChars="200"/>
        <w:jc w:val="both"/>
        <w:rPr>
          <w:rFonts w:hint="eastAsia" w:ascii="仿宋_GB2312" w:hAnsi="仿宋" w:eastAsia="仿宋_GB2312" w:cs="仿宋_GB2312"/>
          <w:sz w:val="24"/>
          <w:szCs w:val="21"/>
        </w:rPr>
      </w:pPr>
      <w:r>
        <w:rPr>
          <w:rFonts w:hint="eastAsia" w:ascii="仿宋_GB2312" w:hAnsi="仿宋" w:eastAsia="仿宋_GB2312" w:cs="仿宋_GB2312"/>
          <w:sz w:val="24"/>
        </w:rPr>
        <w:t>18.1投标有效期为从提交投标文件的截止之日起90天。▲投标人的投标文件中承</w:t>
      </w:r>
      <w:r>
        <w:rPr>
          <w:rFonts w:hint="eastAsia" w:ascii="仿宋_GB2312" w:hAnsi="仿宋" w:eastAsia="仿宋_GB2312" w:cs="仿宋_GB2312"/>
          <w:b/>
          <w:sz w:val="24"/>
          <w:szCs w:val="21"/>
        </w:rPr>
        <w:t>诺的投标有效期少于招标文件中载明的投标有效期的，投标无效。</w:t>
      </w:r>
    </w:p>
    <w:p>
      <w:pPr>
        <w:widowControl w:val="0"/>
        <w:adjustRightInd w:val="0"/>
        <w:spacing w:line="360" w:lineRule="auto"/>
        <w:ind w:firstLine="480" w:firstLineChars="200"/>
        <w:jc w:val="both"/>
        <w:rPr>
          <w:rFonts w:hint="eastAsia" w:ascii="仿宋_GB2312" w:hAnsi="仿宋" w:eastAsia="仿宋_GB2312" w:cs="仿宋_GB2312"/>
          <w:sz w:val="24"/>
        </w:rPr>
      </w:pPr>
      <w:r>
        <w:rPr>
          <w:rFonts w:hint="eastAsia" w:ascii="仿宋_GB2312" w:hAnsi="仿宋" w:eastAsia="仿宋_GB2312" w:cs="仿宋_GB2312"/>
          <w:sz w:val="24"/>
        </w:rPr>
        <w:t>18.2投标文件合格投递后，自投标截止日期起，在投标有效期内有效。</w:t>
      </w:r>
    </w:p>
    <w:p>
      <w:pPr>
        <w:widowControl w:val="0"/>
        <w:adjustRightInd w:val="0"/>
        <w:spacing w:line="360" w:lineRule="auto"/>
        <w:ind w:firstLine="480" w:firstLineChars="200"/>
        <w:jc w:val="both"/>
        <w:rPr>
          <w:rFonts w:hint="eastAsia" w:ascii="仿宋_GB2312" w:hAnsi="仿宋" w:eastAsia="仿宋_GB2312" w:cs="仿宋_GB2312"/>
          <w:sz w:val="24"/>
        </w:rPr>
      </w:pPr>
      <w:r>
        <w:rPr>
          <w:rFonts w:hint="eastAsia" w:ascii="仿宋_GB2312" w:hAnsi="仿宋" w:eastAsia="仿宋_GB2312" w:cs="仿宋_GB2312"/>
          <w:sz w:val="24"/>
        </w:rPr>
        <w:t>18.3在原定投标有效期满之前，如果出现特殊情况，采购机构可以以书面形式通知投标人延长投标有效期。投标人同意延长的，不得要求或被允许修改其投标文件;投标人拒绝延长的，其投标无效。</w:t>
      </w:r>
    </w:p>
    <w:p>
      <w:pPr>
        <w:pStyle w:val="34"/>
        <w:spacing w:line="460" w:lineRule="exact"/>
        <w:ind w:firstLine="480"/>
        <w:rPr>
          <w:rFonts w:hint="eastAsia" w:ascii="仿宋_GB2312" w:eastAsia="仿宋_GB2312"/>
          <w:b/>
          <w:sz w:val="24"/>
        </w:rPr>
      </w:pPr>
    </w:p>
    <w:p>
      <w:pPr>
        <w:pStyle w:val="3"/>
        <w:numPr>
          <w:ilvl w:val="0"/>
          <w:numId w:val="0"/>
        </w:numPr>
        <w:spacing w:line="460" w:lineRule="exact"/>
        <w:jc w:val="center"/>
        <w:rPr>
          <w:rFonts w:hint="eastAsia"/>
          <w:b/>
        </w:rPr>
      </w:pPr>
      <w:bookmarkStart w:id="22" w:name="_Toc81372951"/>
      <w:bookmarkStart w:id="23" w:name="_Toc81372989"/>
      <w:bookmarkStart w:id="24" w:name="_Toc81372774"/>
      <w:bookmarkStart w:id="25" w:name="_Toc75150842"/>
      <w:bookmarkStart w:id="26" w:name="_Toc80157763"/>
      <w:r>
        <w:rPr>
          <w:rFonts w:hint="eastAsia" w:hAnsi="仿宋" w:cs="仿宋_GB2312"/>
          <w:b/>
          <w:sz w:val="32"/>
        </w:rPr>
        <w:t>四、开标、资格审查与信用信息查询</w:t>
      </w:r>
      <w:bookmarkEnd w:id="22"/>
      <w:bookmarkEnd w:id="23"/>
      <w:bookmarkEnd w:id="24"/>
      <w:bookmarkEnd w:id="25"/>
      <w:bookmarkEnd w:id="26"/>
    </w:p>
    <w:p>
      <w:pPr>
        <w:pStyle w:val="34"/>
        <w:spacing w:line="460" w:lineRule="exact"/>
        <w:rPr>
          <w:rFonts w:hint="eastAsia" w:ascii="仿宋_GB2312" w:hAnsi="Times New Roman" w:eastAsia="仿宋_GB2312"/>
          <w:b/>
          <w:sz w:val="24"/>
        </w:rPr>
      </w:pPr>
      <w:r>
        <w:rPr>
          <w:rFonts w:hint="eastAsia" w:ascii="仿宋_GB2312" w:hAnsi="Times New Roman" w:eastAsia="仿宋_GB2312"/>
          <w:b/>
          <w:sz w:val="24"/>
        </w:rPr>
        <w:t>19．开标</w:t>
      </w:r>
    </w:p>
    <w:p>
      <w:pPr>
        <w:pStyle w:val="254"/>
        <w:spacing w:before="0" w:line="460" w:lineRule="exact"/>
        <w:ind w:firstLine="480"/>
        <w:rPr>
          <w:rFonts w:hint="eastAsia" w:ascii="仿宋_GB2312" w:hAnsi="Arial" w:eastAsia="仿宋_GB2312" w:cs="Arial"/>
          <w:szCs w:val="24"/>
        </w:rPr>
      </w:pPr>
      <w:r>
        <w:rPr>
          <w:rFonts w:hint="eastAsia" w:ascii="仿宋_GB2312" w:eastAsia="仿宋_GB2312"/>
        </w:rPr>
        <w:t xml:space="preserve">19.1 </w:t>
      </w:r>
      <w:r>
        <w:rPr>
          <w:rFonts w:hint="eastAsia" w:ascii="仿宋_GB2312" w:hAnsi="宋体" w:eastAsia="仿宋_GB2312"/>
        </w:rPr>
        <w:t>采购机构</w:t>
      </w:r>
      <w:r>
        <w:rPr>
          <w:rFonts w:hint="eastAsia" w:ascii="仿宋_GB2312" w:eastAsia="仿宋_GB2312"/>
        </w:rPr>
        <w:t>将按照采购公告规定的时间、地点组织</w:t>
      </w:r>
      <w:r>
        <w:rPr>
          <w:rFonts w:hint="eastAsia" w:ascii="仿宋_GB2312" w:eastAsia="仿宋_GB2312"/>
          <w:kern w:val="0"/>
        </w:rPr>
        <w:t>开标，</w:t>
      </w:r>
      <w:r>
        <w:rPr>
          <w:rFonts w:hint="eastAsia" w:ascii="仿宋_GB2312" w:hAnsi="Arial" w:eastAsia="仿宋_GB2312" w:cs="Arial"/>
          <w:szCs w:val="24"/>
        </w:rPr>
        <w:t>开标采取先拆封资格文件，后拆封商务技术文件，商务技术评审后拆封报价文件的顺序进行。具体按以下程序进行。</w:t>
      </w:r>
    </w:p>
    <w:p>
      <w:pPr>
        <w:pStyle w:val="254"/>
        <w:spacing w:before="0" w:line="460" w:lineRule="exact"/>
        <w:ind w:firstLine="480"/>
        <w:rPr>
          <w:rFonts w:hint="eastAsia" w:ascii="仿宋_GB2312" w:eastAsia="仿宋_GB2312"/>
          <w:b/>
        </w:rPr>
      </w:pPr>
      <w:r>
        <w:rPr>
          <w:rFonts w:hint="eastAsia" w:ascii="仿宋_GB2312" w:hAnsi="Arial" w:eastAsia="仿宋_GB2312" w:cs="Arial"/>
          <w:szCs w:val="24"/>
        </w:rPr>
        <w:t>19.1.1采购机构将核验出席开标活动现场的各投标人法定代表人或其授权委托人及相关单位人员身份，并组织其分别登记、签到，无关人员不得进入现场。</w:t>
      </w:r>
      <w:r>
        <w:rPr>
          <w:rFonts w:hint="eastAsia" w:ascii="仿宋_GB2312" w:eastAsia="仿宋_GB2312"/>
          <w:b/>
          <w:kern w:val="0"/>
        </w:rPr>
        <w:t>各投标人</w:t>
      </w:r>
      <w:r>
        <w:rPr>
          <w:rFonts w:hint="eastAsia" w:ascii="仿宋_GB2312" w:eastAsia="仿宋_GB2312"/>
          <w:b/>
        </w:rPr>
        <w:t>法定代表人或授权委托人应携带本人身份证原件及复印件、授权委托书准时参加，授权委托人必须为投标人正式在职员工，投标文件中按要求提供授权委托书及授权委托人</w:t>
      </w:r>
      <w:r>
        <w:rPr>
          <w:rFonts w:hint="eastAsia" w:ascii="仿宋_GB2312" w:eastAsia="仿宋_GB2312"/>
          <w:b/>
          <w:szCs w:val="24"/>
        </w:rPr>
        <w:t>的身份证和劳动合同和社保交纳记录（社保中心盖章）</w:t>
      </w:r>
      <w:r>
        <w:rPr>
          <w:rFonts w:hint="eastAsia" w:ascii="仿宋_GB2312" w:eastAsia="仿宋_GB2312"/>
          <w:b/>
        </w:rPr>
        <w:t>（复印件）。</w:t>
      </w:r>
      <w:r>
        <w:rPr>
          <w:rFonts w:hint="eastAsia" w:ascii="仿宋_GB2312" w:eastAsia="仿宋_GB2312"/>
          <w:szCs w:val="24"/>
        </w:rPr>
        <w:t>投标人</w:t>
      </w:r>
      <w:r>
        <w:rPr>
          <w:rFonts w:hint="eastAsia" w:ascii="仿宋_GB2312" w:hAnsi="宋体" w:eastAsia="仿宋_GB2312" w:cs="宋体"/>
          <w:kern w:val="0"/>
          <w:szCs w:val="24"/>
        </w:rPr>
        <w:t>如不派代表参加开标大会的，事后不得对采购相关人员、开标过程和开标结果提出异议</w:t>
      </w:r>
      <w:r>
        <w:rPr>
          <w:rFonts w:hint="eastAsia" w:ascii="仿宋_GB2312" w:eastAsia="仿宋_GB2312"/>
          <w:b/>
        </w:rPr>
        <w:t>。</w:t>
      </w:r>
    </w:p>
    <w:p>
      <w:pPr>
        <w:pStyle w:val="254"/>
        <w:spacing w:before="0" w:line="460" w:lineRule="exact"/>
        <w:ind w:firstLine="480"/>
        <w:rPr>
          <w:rFonts w:hint="eastAsia" w:ascii="仿宋_GB2312" w:eastAsia="仿宋_GB2312"/>
          <w:b/>
        </w:rPr>
      </w:pPr>
      <w:r>
        <w:rPr>
          <w:rFonts w:hint="eastAsia" w:ascii="仿宋_GB2312" w:hAnsi="Arial" w:eastAsia="仿宋_GB2312" w:cs="Arial"/>
          <w:szCs w:val="24"/>
        </w:rPr>
        <w:t>19.1.2采购机构接收投标文件并登记，各投标人法定代表人或其授权委托人对投标文件的递交记录情况进行签字确认。</w:t>
      </w:r>
      <w:r>
        <w:rPr>
          <w:rFonts w:hint="eastAsia" w:ascii="仿宋_GB2312" w:hAnsi="仿宋" w:eastAsia="仿宋_GB2312"/>
          <w:b/>
          <w:szCs w:val="24"/>
        </w:rPr>
        <w:t>没有整体密封包装的投标文件，将被当场拒绝。</w:t>
      </w:r>
    </w:p>
    <w:p>
      <w:pPr>
        <w:pStyle w:val="254"/>
        <w:spacing w:before="0"/>
        <w:ind w:firstLine="482"/>
        <w:rPr>
          <w:rFonts w:hint="eastAsia" w:ascii="仿宋_GB2312" w:hAnsi="仿宋_GB2312" w:eastAsia="仿宋_GB2312" w:cs="仿宋_GB2312"/>
        </w:rPr>
      </w:pPr>
      <w:r>
        <w:rPr>
          <w:rFonts w:hint="eastAsia" w:ascii="仿宋_GB2312" w:hAnsi="仿宋" w:eastAsia="仿宋_GB2312" w:cs="仿宋_GB2312"/>
          <w:b/>
        </w:rPr>
        <w:t>投标人不足3家的，不得开标。</w:t>
      </w:r>
    </w:p>
    <w:p>
      <w:pPr>
        <w:pStyle w:val="739"/>
        <w:spacing w:before="0" w:line="460" w:lineRule="exact"/>
        <w:ind w:left="0" w:firstLine="480" w:firstLineChars="200"/>
        <w:rPr>
          <w:rFonts w:hint="eastAsia" w:ascii="仿宋_GB2312" w:eastAsia="仿宋_GB2312"/>
          <w:sz w:val="24"/>
        </w:rPr>
      </w:pPr>
      <w:r>
        <w:rPr>
          <w:rFonts w:hint="eastAsia" w:ascii="仿宋_GB2312" w:eastAsia="仿宋_GB2312"/>
          <w:sz w:val="24"/>
        </w:rPr>
        <w:t>19.1.3采购机构宣布开标，介绍开标现场的人员情况，宣读递交投标文件的投标人名单、开标纪律、应当回避的情形等注意事项，组织各投标人法定代表人或其授权委托人签署不存在影响公平竞争的《政府采购活动现场确认声明书》。</w:t>
      </w:r>
    </w:p>
    <w:p>
      <w:pPr>
        <w:pStyle w:val="739"/>
        <w:spacing w:before="0" w:line="460" w:lineRule="exact"/>
        <w:ind w:left="0" w:firstLine="480" w:firstLineChars="200"/>
        <w:rPr>
          <w:rFonts w:hint="eastAsia" w:ascii="仿宋_GB2312" w:eastAsia="仿宋_GB2312"/>
          <w:sz w:val="24"/>
        </w:rPr>
      </w:pPr>
      <w:r>
        <w:rPr>
          <w:rFonts w:hint="eastAsia" w:ascii="仿宋_GB2312" w:eastAsia="仿宋_GB2312"/>
          <w:sz w:val="24"/>
        </w:rPr>
        <w:t>19.1.4提请投标人或者其推选的代表查验投标文件密封情况。</w:t>
      </w:r>
    </w:p>
    <w:p>
      <w:pPr>
        <w:pStyle w:val="739"/>
        <w:spacing w:before="0" w:line="460" w:lineRule="exact"/>
        <w:ind w:left="0" w:firstLine="480" w:firstLineChars="200"/>
        <w:rPr>
          <w:rFonts w:hint="eastAsia" w:ascii="仿宋_GB2312" w:eastAsia="仿宋_GB2312"/>
          <w:sz w:val="24"/>
        </w:rPr>
      </w:pPr>
      <w:r>
        <w:rPr>
          <w:rFonts w:hint="eastAsia" w:ascii="仿宋_GB2312" w:eastAsia="仿宋_GB2312"/>
          <w:sz w:val="24"/>
        </w:rPr>
        <w:t>19.1.5开标时，按投标人提交投标文件的登记顺序当众拆封、清点投标文件（包括正本、副本）数量，将其中密封的报价文件集中等候拆封，将拆封后的资格文件、商务技术文件由采购机构送至评审地点，各投标人法定代表人或其授权委托人等候采购机构拆封报价文件。</w:t>
      </w:r>
    </w:p>
    <w:p>
      <w:pPr>
        <w:pStyle w:val="739"/>
        <w:spacing w:before="0" w:line="460" w:lineRule="exact"/>
        <w:ind w:left="0" w:firstLine="480" w:firstLineChars="200"/>
        <w:rPr>
          <w:rFonts w:hint="eastAsia" w:ascii="仿宋_GB2312" w:eastAsia="仿宋_GB2312"/>
          <w:b/>
          <w:sz w:val="24"/>
        </w:rPr>
      </w:pPr>
      <w:r>
        <w:rPr>
          <w:rFonts w:hint="eastAsia" w:ascii="仿宋_GB2312" w:eastAsia="仿宋_GB2312"/>
          <w:sz w:val="24"/>
        </w:rPr>
        <w:t>对不符合装订要求的投标文件，由采购机构当场退还投标人法定代表人或其授权委托人。</w:t>
      </w:r>
      <w:r>
        <w:rPr>
          <w:rFonts w:hint="eastAsia" w:ascii="仿宋_GB2312" w:eastAsia="仿宋_GB2312"/>
          <w:b/>
          <w:sz w:val="24"/>
        </w:rPr>
        <w:t>投标人提交的报价文件未单独密封的，如开标时发生报价泄露，由投标人自行承担相关责任。</w:t>
      </w:r>
    </w:p>
    <w:p>
      <w:pPr>
        <w:pStyle w:val="739"/>
        <w:spacing w:before="0" w:line="460" w:lineRule="exact"/>
        <w:ind w:left="0" w:firstLine="480" w:firstLineChars="200"/>
        <w:rPr>
          <w:rFonts w:hint="eastAsia" w:ascii="仿宋_GB2312" w:eastAsia="仿宋_GB2312"/>
          <w:sz w:val="24"/>
        </w:rPr>
      </w:pPr>
      <w:r>
        <w:rPr>
          <w:rFonts w:hint="eastAsia" w:ascii="仿宋_GB2312" w:eastAsia="仿宋_GB2312"/>
          <w:sz w:val="24"/>
        </w:rPr>
        <w:t>19.1.6商务和技术评审结束后，采购机构宣布商务和技术评审无效投标人名单及理由，无效投标人可收回未拆封的报价文件并签字确认；公布经商务和技术评审符合采购需求的投标人名单及其商务和技术得分之和。</w:t>
      </w:r>
    </w:p>
    <w:p>
      <w:pPr>
        <w:pStyle w:val="739"/>
        <w:spacing w:before="0" w:line="460" w:lineRule="exact"/>
        <w:ind w:left="0" w:firstLine="480" w:firstLineChars="200"/>
        <w:rPr>
          <w:rFonts w:hint="eastAsia" w:ascii="仿宋_GB2312" w:eastAsia="仿宋_GB2312"/>
          <w:sz w:val="24"/>
        </w:rPr>
      </w:pPr>
      <w:r>
        <w:rPr>
          <w:rFonts w:hint="eastAsia" w:ascii="仿宋_GB2312" w:eastAsia="仿宋_GB2312"/>
          <w:sz w:val="24"/>
        </w:rPr>
        <w:t>19.1.7采购机构拆封投标人报价文件，宣读《投标（开标）一览表》有关内容，同时当场制作并打印开标记录表，由各投标人法定代表人或其授权委托人在开标记录表上签字确认（不予确认的应说明理由，否则视为无异议）。唱标结束后，采购机构将报价文件及开标记录表送至评审地点，由评标委员会对报价的合理性、准确性、有效性等进行审查核实。</w:t>
      </w:r>
    </w:p>
    <w:p>
      <w:pPr>
        <w:pStyle w:val="739"/>
        <w:spacing w:before="0" w:line="460" w:lineRule="exact"/>
        <w:ind w:left="0" w:firstLine="480" w:firstLineChars="200"/>
        <w:rPr>
          <w:rFonts w:hint="eastAsia" w:ascii="仿宋_GB2312" w:eastAsia="仿宋_GB2312"/>
          <w:sz w:val="24"/>
        </w:rPr>
      </w:pPr>
      <w:r>
        <w:rPr>
          <w:rFonts w:hint="eastAsia" w:ascii="仿宋_GB2312" w:eastAsia="仿宋_GB2312"/>
          <w:sz w:val="24"/>
        </w:rPr>
        <w:t>19.1.8评审结束后，采购机构公布中标候选人名单，及采购人最终确定中标人名单的时间和公告方式等。</w:t>
      </w:r>
    </w:p>
    <w:p>
      <w:pPr>
        <w:pStyle w:val="254"/>
        <w:spacing w:before="0"/>
        <w:ind w:firstLine="480"/>
        <w:rPr>
          <w:rFonts w:hint="eastAsia" w:ascii="仿宋_GB2312" w:hAnsi="仿宋" w:eastAsia="仿宋_GB2312" w:cs="仿宋_GB2312"/>
        </w:rPr>
      </w:pPr>
      <w:r>
        <w:rPr>
          <w:rFonts w:hint="eastAsia" w:ascii="仿宋_GB2312" w:hAnsi="仿宋" w:eastAsia="仿宋_GB2312" w:cs="仿宋_GB2312"/>
        </w:rPr>
        <w:t>19.2　投标人代表对开标过程和开标记录有疑义，以及认为采购人、采购机构相关工作人员有需要回避的情形的，应当场提出询问或者回避申请。采购人、采购机构对投标人代表提出的询问或者回避申请应当及时处理。</w:t>
      </w:r>
    </w:p>
    <w:p>
      <w:pPr>
        <w:pStyle w:val="254"/>
        <w:spacing w:before="0"/>
        <w:ind w:firstLine="480"/>
        <w:rPr>
          <w:rFonts w:hint="eastAsia" w:ascii="仿宋_GB2312" w:hAnsi="仿宋_GB2312" w:eastAsia="仿宋_GB2312" w:cs="仿宋_GB2312"/>
          <w:b/>
          <w:sz w:val="32"/>
        </w:rPr>
      </w:pPr>
      <w:r>
        <w:rPr>
          <w:rFonts w:hint="eastAsia" w:ascii="仿宋_GB2312" w:hAnsi="仿宋" w:eastAsia="仿宋_GB2312" w:cs="仿宋_GB2312"/>
        </w:rPr>
        <w:t>　　投标人未参加开标的，视同认可开标结果。</w:t>
      </w:r>
      <w:r>
        <w:rPr>
          <w:rFonts w:hint="eastAsia" w:ascii="仿宋_GB2312" w:hAnsi="Arial" w:eastAsia="仿宋_GB2312" w:cs="Arial"/>
          <w:kern w:val="0"/>
          <w:szCs w:val="24"/>
        </w:rPr>
        <w:t xml:space="preserve">                         </w:t>
      </w:r>
    </w:p>
    <w:p>
      <w:pPr>
        <w:pStyle w:val="254"/>
        <w:spacing w:before="0"/>
        <w:ind w:firstLine="0" w:firstLineChars="0"/>
        <w:rPr>
          <w:rFonts w:hint="eastAsia" w:ascii="仿宋_GB2312" w:hAnsi="仿宋_GB2312" w:eastAsia="仿宋_GB2312" w:cs="仿宋_GB2312"/>
          <w:b/>
          <w:szCs w:val="24"/>
        </w:rPr>
      </w:pPr>
      <w:r>
        <w:rPr>
          <w:rFonts w:hint="eastAsia" w:ascii="仿宋_GB2312" w:hAnsi="仿宋_GB2312" w:eastAsia="仿宋_GB2312" w:cs="仿宋_GB2312"/>
          <w:b/>
          <w:szCs w:val="24"/>
        </w:rPr>
        <w:t>20. 资格审查</w:t>
      </w:r>
    </w:p>
    <w:p>
      <w:pPr>
        <w:pStyle w:val="254"/>
        <w:spacing w:before="0"/>
        <w:ind w:firstLine="480"/>
        <w:rPr>
          <w:rFonts w:hint="eastAsia" w:ascii="仿宋_GB2312" w:hAnsi="Arial" w:eastAsia="仿宋_GB2312" w:cs="Arial"/>
          <w:kern w:val="0"/>
          <w:szCs w:val="24"/>
        </w:rPr>
      </w:pPr>
      <w:r>
        <w:rPr>
          <w:rFonts w:hint="eastAsia" w:ascii="仿宋_GB2312" w:hAnsi="Arial" w:eastAsia="仿宋_GB2312" w:cs="Arial"/>
          <w:kern w:val="0"/>
          <w:szCs w:val="24"/>
        </w:rPr>
        <w:t>20.1开标后，采购人将依法对投标人的资格进行审查。</w:t>
      </w:r>
    </w:p>
    <w:p>
      <w:pPr>
        <w:snapToGrid w:val="0"/>
        <w:spacing w:line="360" w:lineRule="auto"/>
        <w:ind w:firstLine="420" w:firstLineChars="200"/>
        <w:rPr>
          <w:rFonts w:hint="eastAsia" w:ascii="仿宋_GB2312" w:hAnsi="仿宋_GB2312" w:eastAsia="仿宋_GB2312" w:cs="仿宋_GB2312"/>
          <w:sz w:val="24"/>
        </w:rPr>
      </w:pPr>
      <w:r>
        <w:rPr>
          <w:rFonts w:hint="eastAsia" w:ascii="仿宋_GB2312" w:hAnsi="Arial" w:eastAsia="仿宋_GB2312" w:cs="Arial"/>
          <w:kern w:val="0"/>
        </w:rPr>
        <w:t>20.2</w:t>
      </w:r>
      <w:r>
        <w:rPr>
          <w:rFonts w:hint="eastAsia" w:ascii="仿宋_GB2312" w:hAnsi="仿宋_GB2312" w:eastAsia="仿宋_GB2312" w:cs="仿宋_GB2312"/>
          <w:sz w:val="24"/>
        </w:rPr>
        <w:t>采购人依据法律法规和招标文件的规定，对投标人的基本资格条件、特定资格条件进行审查。</w:t>
      </w:r>
    </w:p>
    <w:p>
      <w:pPr>
        <w:pStyle w:val="254"/>
        <w:spacing w:before="0"/>
        <w:ind w:firstLine="480"/>
        <w:rPr>
          <w:rFonts w:hint="eastAsia" w:ascii="仿宋_GB2312" w:hAnsi="仿宋_GB2312" w:eastAsia="仿宋_GB2312" w:cs="仿宋_GB2312"/>
        </w:rPr>
      </w:pPr>
      <w:r>
        <w:rPr>
          <w:rFonts w:hint="eastAsia" w:ascii="仿宋_GB2312" w:hAnsi="Arial" w:eastAsia="仿宋_GB2312" w:cs="Arial"/>
          <w:kern w:val="0"/>
          <w:szCs w:val="24"/>
        </w:rPr>
        <w:t>20.3投标人未按照招标文件要求提供与</w:t>
      </w:r>
      <w:r>
        <w:rPr>
          <w:rFonts w:hint="eastAsia" w:ascii="仿宋_GB2312" w:hAnsi="仿宋_GB2312" w:eastAsia="仿宋_GB2312" w:cs="仿宋_GB2312"/>
        </w:rPr>
        <w:t>基本资格条件、特定资格条件相应的</w:t>
      </w:r>
      <w:r>
        <w:rPr>
          <w:rFonts w:hint="eastAsia" w:ascii="仿宋_GB2312" w:hAnsi="Arial" w:eastAsia="仿宋_GB2312" w:cs="Arial"/>
          <w:kern w:val="0"/>
          <w:szCs w:val="24"/>
        </w:rPr>
        <w:t>有效资格证明材料的，视为</w:t>
      </w:r>
      <w:r>
        <w:rPr>
          <w:rFonts w:hint="eastAsia" w:ascii="仿宋_GB2312" w:hAnsi="仿宋_GB2312" w:eastAsia="仿宋_GB2312" w:cs="仿宋_GB2312"/>
        </w:rPr>
        <w:t>投标人不具备招标文件中规定的资格要求，其投标无效。</w:t>
      </w:r>
    </w:p>
    <w:p>
      <w:pPr>
        <w:widowControl w:val="0"/>
        <w:adjustRightInd w:val="0"/>
        <w:spacing w:line="360" w:lineRule="auto"/>
        <w:ind w:firstLine="480" w:firstLineChars="200"/>
        <w:jc w:val="both"/>
        <w:rPr>
          <w:rFonts w:hint="eastAsia" w:ascii="仿宋_GB2312" w:hAnsi="仿宋" w:eastAsia="仿宋_GB2312" w:cs="仿宋_GB2312"/>
          <w:sz w:val="24"/>
        </w:rPr>
      </w:pPr>
      <w:r>
        <w:rPr>
          <w:rFonts w:hint="eastAsia" w:ascii="仿宋_GB2312" w:hAnsi="仿宋" w:eastAsia="仿宋_GB2312" w:cs="仿宋_GB2312"/>
          <w:sz w:val="24"/>
        </w:rPr>
        <w:t>20.4对未通过资格审查的投标人，采购人或采购机构告知其未通过的原因。</w:t>
      </w:r>
    </w:p>
    <w:p>
      <w:pPr>
        <w:widowControl w:val="0"/>
        <w:adjustRightInd w:val="0"/>
        <w:spacing w:line="360" w:lineRule="auto"/>
        <w:ind w:firstLine="480" w:firstLineChars="200"/>
        <w:jc w:val="both"/>
        <w:rPr>
          <w:rFonts w:hint="eastAsia" w:ascii="仿宋_GB2312" w:hAnsi="仿宋" w:eastAsia="仿宋_GB2312" w:cs="仿宋_GB2312"/>
          <w:sz w:val="24"/>
        </w:rPr>
      </w:pPr>
      <w:r>
        <w:rPr>
          <w:rFonts w:hint="eastAsia" w:ascii="仿宋_GB2312" w:hAnsi="仿宋" w:eastAsia="仿宋_GB2312" w:cs="仿宋_GB2312"/>
          <w:sz w:val="24"/>
        </w:rPr>
        <w:t>20.5合格投标人不足3家的，不再评标。</w:t>
      </w:r>
    </w:p>
    <w:p>
      <w:pPr>
        <w:widowControl w:val="0"/>
        <w:adjustRightInd w:val="0"/>
        <w:spacing w:line="360" w:lineRule="auto"/>
        <w:jc w:val="both"/>
        <w:rPr>
          <w:rFonts w:hint="eastAsia" w:ascii="仿宋_GB2312" w:hAnsi="仿宋" w:eastAsia="仿宋_GB2312" w:cs="仿宋_GB2312"/>
          <w:b/>
          <w:sz w:val="24"/>
        </w:rPr>
      </w:pPr>
      <w:r>
        <w:rPr>
          <w:rFonts w:hint="eastAsia" w:ascii="仿宋_GB2312" w:hAnsi="仿宋" w:eastAsia="仿宋_GB2312" w:cs="仿宋_GB2312"/>
          <w:b/>
          <w:sz w:val="24"/>
        </w:rPr>
        <w:t>21. 信用信息查询</w:t>
      </w:r>
    </w:p>
    <w:p>
      <w:pPr>
        <w:widowControl w:val="0"/>
        <w:adjustRightInd w:val="0"/>
        <w:spacing w:line="360" w:lineRule="auto"/>
        <w:ind w:firstLine="480" w:firstLineChars="200"/>
        <w:jc w:val="both"/>
        <w:rPr>
          <w:rFonts w:hint="eastAsia" w:ascii="仿宋_GB2312" w:hAnsi="仿宋" w:eastAsia="仿宋_GB2312" w:cs="仿宋_GB2312"/>
          <w:sz w:val="24"/>
        </w:rPr>
      </w:pPr>
      <w:r>
        <w:rPr>
          <w:rFonts w:hint="eastAsia" w:ascii="仿宋_GB2312" w:hAnsi="仿宋" w:eastAsia="仿宋_GB2312" w:cs="仿宋_GB2312"/>
          <w:sz w:val="24"/>
        </w:rPr>
        <w:t>21.1信用信息查询渠道及截止时间：采购机构将通过“信用中国”网站(www.creditchina.gov.cn)、中国政府采购网(www.ccgp.gov.cn)渠道查询投标人投标截止时间前的信用记录。</w:t>
      </w:r>
    </w:p>
    <w:p>
      <w:pPr>
        <w:widowControl w:val="0"/>
        <w:adjustRightInd w:val="0"/>
        <w:spacing w:line="360" w:lineRule="auto"/>
        <w:ind w:firstLine="480" w:firstLineChars="200"/>
        <w:jc w:val="both"/>
        <w:rPr>
          <w:rFonts w:hint="eastAsia" w:ascii="仿宋_GB2312" w:hAnsi="仿宋" w:eastAsia="仿宋_GB2312" w:cs="仿宋_GB2312"/>
          <w:sz w:val="24"/>
        </w:rPr>
      </w:pPr>
      <w:r>
        <w:rPr>
          <w:rFonts w:hint="eastAsia" w:ascii="仿宋_GB2312" w:hAnsi="仿宋" w:eastAsia="仿宋_GB2312" w:cs="仿宋_GB2312"/>
          <w:sz w:val="24"/>
        </w:rPr>
        <w:t>21.2信用信息查询记录和证据留存的具体方式：现场查询的投标人的信用记录、查询结果经确认后将与采购文件一起存档。</w:t>
      </w:r>
    </w:p>
    <w:p>
      <w:pPr>
        <w:widowControl w:val="0"/>
        <w:adjustRightInd w:val="0"/>
        <w:spacing w:line="360" w:lineRule="auto"/>
        <w:ind w:firstLine="480" w:firstLineChars="200"/>
        <w:jc w:val="both"/>
        <w:rPr>
          <w:rFonts w:hint="eastAsia" w:ascii="仿宋_GB2312" w:hAnsi="仿宋" w:eastAsia="仿宋_GB2312" w:cs="仿宋_GB2312"/>
          <w:sz w:val="24"/>
        </w:rPr>
      </w:pPr>
      <w:r>
        <w:rPr>
          <w:rFonts w:hint="eastAsia" w:ascii="仿宋_GB2312" w:hAnsi="仿宋" w:eastAsia="仿宋_GB2312" w:cs="仿宋_GB2312"/>
          <w:sz w:val="24"/>
        </w:rPr>
        <w:t>21.3信用信息的使用规则：经查询列入失信被执行人名单、重大税收违法案件当事人名单、政府采购严重违法失信行为记录名单的投标人将被拒绝参与政府采购活动。</w:t>
      </w:r>
    </w:p>
    <w:p>
      <w:pPr>
        <w:widowControl w:val="0"/>
        <w:adjustRightInd w:val="0"/>
        <w:spacing w:line="360" w:lineRule="auto"/>
        <w:ind w:firstLine="480" w:firstLineChars="200"/>
        <w:jc w:val="both"/>
        <w:rPr>
          <w:rFonts w:hint="eastAsia" w:ascii="仿宋_GB2312" w:hAnsi="仿宋" w:eastAsia="仿宋_GB2312" w:cs="仿宋_GB2312"/>
          <w:sz w:val="24"/>
        </w:rPr>
      </w:pPr>
      <w:r>
        <w:rPr>
          <w:rFonts w:hint="eastAsia" w:ascii="仿宋_GB2312" w:hAnsi="仿宋" w:eastAsia="仿宋_GB2312" w:cs="仿宋_GB2312"/>
          <w:sz w:val="24"/>
        </w:rPr>
        <w:t>21.4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pStyle w:val="254"/>
        <w:spacing w:before="0"/>
        <w:ind w:firstLine="0" w:firstLineChars="0"/>
        <w:rPr>
          <w:rFonts w:hint="eastAsia" w:ascii="仿宋_GB2312" w:hAnsi="仿宋_GB2312" w:eastAsia="仿宋_GB2312" w:cs="仿宋_GB2312"/>
        </w:rPr>
      </w:pPr>
    </w:p>
    <w:p>
      <w:pPr>
        <w:pStyle w:val="34"/>
        <w:spacing w:line="460" w:lineRule="exact"/>
        <w:jc w:val="center"/>
        <w:rPr>
          <w:rFonts w:hint="eastAsia" w:ascii="仿宋_GB2312" w:eastAsia="仿宋_GB2312"/>
        </w:rPr>
      </w:pPr>
    </w:p>
    <w:p>
      <w:pPr>
        <w:widowControl w:val="0"/>
        <w:adjustRightInd w:val="0"/>
        <w:snapToGrid w:val="0"/>
        <w:spacing w:line="360" w:lineRule="auto"/>
        <w:jc w:val="center"/>
        <w:outlineLvl w:val="0"/>
        <w:rPr>
          <w:rFonts w:hint="eastAsia" w:ascii="仿宋_GB2312" w:hAnsi="仿宋" w:eastAsia="仿宋_GB2312" w:cs="仿宋_GB2312"/>
          <w:b/>
          <w:sz w:val="36"/>
          <w:szCs w:val="36"/>
        </w:rPr>
      </w:pPr>
      <w:bookmarkStart w:id="27" w:name="_Toc91899902"/>
      <w:bookmarkStart w:id="28" w:name="_Toc75150843"/>
      <w:bookmarkStart w:id="29" w:name="_Toc80157764"/>
      <w:bookmarkStart w:id="30" w:name="_Toc81372775"/>
      <w:bookmarkStart w:id="31" w:name="_Toc81372952"/>
      <w:bookmarkStart w:id="32" w:name="_Toc81372990"/>
      <w:r>
        <w:rPr>
          <w:rFonts w:hint="eastAsia" w:ascii="仿宋_GB2312" w:hAnsi="仿宋" w:eastAsia="仿宋_GB2312" w:cs="仿宋_GB2312"/>
          <w:b/>
          <w:sz w:val="36"/>
          <w:szCs w:val="36"/>
        </w:rPr>
        <w:t>五、评标</w:t>
      </w:r>
      <w:bookmarkEnd w:id="27"/>
    </w:p>
    <w:p>
      <w:pPr>
        <w:widowControl w:val="0"/>
        <w:adjustRightInd w:val="0"/>
        <w:spacing w:line="360" w:lineRule="auto"/>
        <w:jc w:val="both"/>
        <w:rPr>
          <w:rFonts w:hint="eastAsia" w:ascii="仿宋_GB2312" w:hAnsi="仿宋" w:eastAsia="仿宋_GB2312" w:cs="仿宋_GB2312"/>
          <w:b/>
          <w:sz w:val="24"/>
          <w:szCs w:val="24"/>
        </w:rPr>
      </w:pPr>
      <w:r>
        <w:rPr>
          <w:rFonts w:hint="eastAsia" w:ascii="仿宋_GB2312" w:hAnsi="仿宋" w:eastAsia="仿宋_GB2312" w:cs="仿宋_GB2312"/>
          <w:b/>
          <w:sz w:val="24"/>
          <w:szCs w:val="24"/>
        </w:rPr>
        <w:t>22.</w:t>
      </w:r>
      <w:r>
        <w:rPr>
          <w:rFonts w:hint="eastAsia" w:ascii="仿宋_GB2312" w:eastAsia="仿宋_GB2312"/>
          <w:szCs w:val="24"/>
        </w:rPr>
        <w:t xml:space="preserve"> </w:t>
      </w:r>
      <w:r>
        <w:rPr>
          <w:rFonts w:hint="eastAsia" w:ascii="仿宋_GB2312" w:hAnsi="仿宋" w:eastAsia="仿宋_GB2312" w:cs="仿宋_GB2312"/>
          <w:sz w:val="24"/>
          <w:szCs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_GB2312" w:hAnsi="仿宋" w:eastAsia="仿宋_GB2312" w:cs="仿宋_GB2312"/>
          <w:b/>
          <w:sz w:val="24"/>
          <w:szCs w:val="24"/>
        </w:rPr>
        <w:t>详见招标文件第四部分“评标方法及评分标准”。</w:t>
      </w:r>
    </w:p>
    <w:bookmarkEnd w:id="28"/>
    <w:bookmarkEnd w:id="29"/>
    <w:bookmarkEnd w:id="30"/>
    <w:bookmarkEnd w:id="31"/>
    <w:bookmarkEnd w:id="32"/>
    <w:p>
      <w:pPr>
        <w:pStyle w:val="27"/>
        <w:snapToGrid w:val="0"/>
        <w:spacing w:before="0" w:after="0" w:line="460" w:lineRule="exact"/>
        <w:ind w:left="0" w:leftChars="0" w:firstLine="480" w:firstLineChars="200"/>
        <w:rPr>
          <w:rFonts w:hint="eastAsia" w:ascii="仿宋_GB2312" w:hAnsi="仿宋" w:eastAsia="仿宋_GB2312"/>
        </w:rPr>
      </w:pPr>
    </w:p>
    <w:p>
      <w:pPr>
        <w:pStyle w:val="34"/>
        <w:spacing w:line="460" w:lineRule="exact"/>
        <w:jc w:val="center"/>
        <w:rPr>
          <w:rFonts w:hint="eastAsia" w:ascii="仿宋_GB2312" w:eastAsia="仿宋_GB2312"/>
        </w:rPr>
      </w:pPr>
      <w:bookmarkStart w:id="33" w:name="_Toc110672993"/>
      <w:bookmarkStart w:id="34" w:name="_Toc80157765"/>
      <w:bookmarkStart w:id="35" w:name="_Toc75150844"/>
    </w:p>
    <w:p>
      <w:pPr>
        <w:pStyle w:val="3"/>
        <w:numPr>
          <w:ilvl w:val="0"/>
          <w:numId w:val="0"/>
        </w:numPr>
        <w:spacing w:line="460" w:lineRule="exact"/>
        <w:ind w:left="3119"/>
        <w:rPr>
          <w:rFonts w:hint="eastAsia"/>
          <w:b/>
          <w:sz w:val="32"/>
        </w:rPr>
      </w:pPr>
      <w:r>
        <w:rPr>
          <w:rFonts w:hint="eastAsia"/>
          <w:b/>
          <w:sz w:val="32"/>
        </w:rPr>
        <w:t>六、定标</w:t>
      </w:r>
      <w:bookmarkEnd w:id="33"/>
    </w:p>
    <w:p>
      <w:pPr>
        <w:widowControl w:val="0"/>
        <w:adjustRightInd w:val="0"/>
        <w:spacing w:line="360" w:lineRule="auto"/>
        <w:ind w:left="479" w:hanging="479" w:hangingChars="199"/>
        <w:jc w:val="both"/>
        <w:rPr>
          <w:rFonts w:hint="eastAsia" w:ascii="仿宋_GB2312" w:hAnsi="仿宋" w:eastAsia="仿宋_GB2312" w:cs="仿宋_GB2312"/>
          <w:b/>
          <w:sz w:val="24"/>
          <w:szCs w:val="24"/>
        </w:rPr>
      </w:pPr>
      <w:r>
        <w:rPr>
          <w:rFonts w:hint="eastAsia" w:ascii="仿宋_GB2312" w:hAnsi="仿宋" w:eastAsia="仿宋_GB2312" w:cs="仿宋_GB2312"/>
          <w:b/>
          <w:sz w:val="24"/>
          <w:szCs w:val="24"/>
        </w:rPr>
        <w:t>23. 确定中标供应商</w:t>
      </w:r>
    </w:p>
    <w:p>
      <w:pPr>
        <w:widowControl w:val="0"/>
        <w:adjustRightInd w:val="0"/>
        <w:snapToGrid w:val="0"/>
        <w:spacing w:line="360" w:lineRule="auto"/>
        <w:ind w:firstLine="480" w:firstLineChars="200"/>
        <w:jc w:val="both"/>
        <w:rPr>
          <w:rFonts w:hint="eastAsia" w:ascii="仿宋_GB2312" w:hAnsi="仿宋" w:eastAsia="仿宋_GB2312" w:cs="仿宋_GB2312"/>
          <w:b/>
          <w:sz w:val="24"/>
          <w:szCs w:val="24"/>
        </w:rPr>
      </w:pPr>
      <w:r>
        <w:rPr>
          <w:rFonts w:hint="eastAsia" w:ascii="仿宋_GB2312" w:hAnsi="仿宋" w:eastAsia="仿宋_GB2312" w:cs="仿宋_GB2312"/>
          <w:sz w:val="24"/>
          <w:szCs w:val="24"/>
        </w:rPr>
        <w:t>采购机构将自评审结束之日起2个工作日内将评审报告送交采购人。采购人将自收到评审报告之日起5个工作日内在评审报告推荐的中标候选人中按顺序确定中标供应商。</w:t>
      </w:r>
    </w:p>
    <w:bookmarkEnd w:id="34"/>
    <w:bookmarkEnd w:id="35"/>
    <w:p>
      <w:pPr>
        <w:pStyle w:val="34"/>
        <w:spacing w:line="460" w:lineRule="exact"/>
        <w:ind w:firstLine="540"/>
        <w:rPr>
          <w:rFonts w:hint="eastAsia" w:ascii="仿宋_GB2312" w:eastAsia="仿宋_GB2312"/>
          <w:kern w:val="0"/>
          <w:sz w:val="24"/>
          <w:lang w:val="zh-CN"/>
        </w:rPr>
      </w:pPr>
      <w:bookmarkStart w:id="36" w:name="_Toc81372776"/>
      <w:bookmarkStart w:id="37" w:name="_Toc81372953"/>
      <w:bookmarkStart w:id="38" w:name="_Toc110672994"/>
    </w:p>
    <w:bookmarkEnd w:id="36"/>
    <w:bookmarkEnd w:id="37"/>
    <w:bookmarkEnd w:id="38"/>
    <w:p>
      <w:pPr>
        <w:widowControl w:val="0"/>
        <w:adjustRightInd w:val="0"/>
        <w:snapToGrid w:val="0"/>
        <w:spacing w:line="360" w:lineRule="auto"/>
        <w:jc w:val="both"/>
        <w:rPr>
          <w:rFonts w:hint="eastAsia" w:ascii="仿宋_GB2312" w:hAnsi="仿宋" w:eastAsia="仿宋_GB2312" w:cs="仿宋_GB2312"/>
          <w:b/>
          <w:sz w:val="24"/>
          <w:szCs w:val="24"/>
        </w:rPr>
      </w:pPr>
      <w:r>
        <w:rPr>
          <w:rFonts w:hint="eastAsia" w:ascii="仿宋_GB2312" w:hAnsi="仿宋" w:eastAsia="仿宋_GB2312" w:cs="仿宋_GB2312"/>
          <w:b/>
          <w:sz w:val="24"/>
          <w:szCs w:val="24"/>
        </w:rPr>
        <w:t>24. 中标通知与中标结果公告</w:t>
      </w:r>
    </w:p>
    <w:p>
      <w:pPr>
        <w:shd w:val="clear" w:color="auto" w:fill="FFFFFF"/>
        <w:adjustRightInd w:val="0"/>
        <w:spacing w:line="360" w:lineRule="auto"/>
        <w:ind w:firstLine="480"/>
        <w:rPr>
          <w:rFonts w:hint="eastAsia" w:ascii="仿宋_GB2312" w:hAnsi="仿宋" w:eastAsia="仿宋_GB2312" w:cs="仿宋_GB2312"/>
          <w:sz w:val="24"/>
          <w:szCs w:val="24"/>
        </w:rPr>
      </w:pPr>
      <w:r>
        <w:rPr>
          <w:rFonts w:hint="eastAsia" w:ascii="仿宋_GB2312" w:hAnsi="仿宋" w:eastAsia="仿宋_GB2312" w:cs="仿宋_GB2312"/>
          <w:sz w:val="24"/>
          <w:szCs w:val="24"/>
        </w:rPr>
        <w:t>24.1采购机构将在自中标人确定之日起2个工作日内，发出中标通知书，并在发布招标公告的网站上公告中标结果。</w:t>
      </w:r>
    </w:p>
    <w:p>
      <w:pPr>
        <w:shd w:val="clear" w:color="auto" w:fill="FFFFFF"/>
        <w:adjustRightInd w:val="0"/>
        <w:spacing w:line="360" w:lineRule="auto"/>
        <w:ind w:firstLine="480"/>
        <w:rPr>
          <w:rFonts w:hint="eastAsia" w:ascii="仿宋_GB2312" w:hAnsi="仿宋" w:eastAsia="仿宋_GB2312" w:cs="仿宋_GB2312"/>
          <w:sz w:val="24"/>
          <w:szCs w:val="24"/>
        </w:rPr>
      </w:pPr>
      <w:r>
        <w:rPr>
          <w:rFonts w:hint="eastAsia" w:ascii="仿宋_GB2312" w:hAnsi="仿宋" w:eastAsia="仿宋_GB2312" w:cs="仿宋_GB2312"/>
          <w:sz w:val="24"/>
          <w:szCs w:val="24"/>
        </w:rPr>
        <w:t>24.2中标结果公告内容包括采购人及其委托的采购机构的名称、地址、联系方式，项目名称和项目编号，中标人名称、地址和中标金额，主要中标标的的名称、规格型号、数量、单价、服务要求，中标公告期限以及评审专家名单。</w:t>
      </w:r>
    </w:p>
    <w:p>
      <w:pPr>
        <w:shd w:val="clear" w:color="auto" w:fill="FFFFFF"/>
        <w:adjustRightInd w:val="0"/>
        <w:spacing w:line="360" w:lineRule="auto"/>
        <w:ind w:firstLine="480"/>
        <w:rPr>
          <w:rFonts w:hint="eastAsia" w:ascii="仿宋_GB2312" w:hAnsi="仿宋" w:eastAsia="仿宋_GB2312" w:cs="仿宋_GB2312"/>
          <w:sz w:val="24"/>
          <w:szCs w:val="24"/>
        </w:rPr>
      </w:pPr>
      <w:r>
        <w:rPr>
          <w:rFonts w:hint="eastAsia" w:ascii="仿宋_GB2312" w:hAnsi="仿宋" w:eastAsia="仿宋_GB2312" w:cs="仿宋_GB2312"/>
          <w:sz w:val="24"/>
          <w:szCs w:val="24"/>
        </w:rPr>
        <w:t>24.3公告期限为1个工作日。</w:t>
      </w:r>
    </w:p>
    <w:p>
      <w:pPr>
        <w:pStyle w:val="34"/>
        <w:spacing w:line="460" w:lineRule="exact"/>
        <w:ind w:firstLine="540"/>
        <w:rPr>
          <w:rFonts w:hint="eastAsia" w:ascii="仿宋_GB2312" w:eastAsia="仿宋_GB2312"/>
          <w:sz w:val="24"/>
        </w:rPr>
      </w:pPr>
    </w:p>
    <w:p>
      <w:pPr>
        <w:widowControl w:val="0"/>
        <w:adjustRightInd w:val="0"/>
        <w:snapToGrid w:val="0"/>
        <w:spacing w:line="360" w:lineRule="auto"/>
        <w:ind w:left="120" w:leftChars="57" w:firstLine="482" w:firstLineChars="150"/>
        <w:jc w:val="center"/>
        <w:rPr>
          <w:rFonts w:hint="eastAsia" w:ascii="仿宋_GB2312" w:hAnsi="仿宋" w:eastAsia="仿宋_GB2312" w:cs="仿宋_GB2312"/>
          <w:b/>
          <w:sz w:val="32"/>
          <w:szCs w:val="24"/>
        </w:rPr>
      </w:pPr>
      <w:r>
        <w:rPr>
          <w:rFonts w:hint="eastAsia" w:ascii="仿宋_GB2312" w:hAnsi="仿宋" w:eastAsia="仿宋_GB2312" w:cs="仿宋_GB2312"/>
          <w:b/>
          <w:sz w:val="32"/>
          <w:szCs w:val="24"/>
        </w:rPr>
        <w:t>七、合同授予</w:t>
      </w:r>
    </w:p>
    <w:p>
      <w:pPr>
        <w:widowControl w:val="0"/>
        <w:adjustRightInd w:val="0"/>
        <w:spacing w:line="360" w:lineRule="auto"/>
        <w:ind w:left="479" w:hanging="479" w:hangingChars="199"/>
        <w:jc w:val="both"/>
        <w:rPr>
          <w:rFonts w:hint="eastAsia" w:ascii="仿宋_GB2312" w:hAnsi="仿宋" w:eastAsia="仿宋_GB2312" w:cs="仿宋_GB2312"/>
          <w:b/>
          <w:sz w:val="24"/>
          <w:szCs w:val="24"/>
        </w:rPr>
      </w:pPr>
      <w:r>
        <w:rPr>
          <w:rFonts w:hint="eastAsia" w:ascii="仿宋_GB2312" w:hAnsi="仿宋" w:eastAsia="仿宋_GB2312" w:cs="仿宋_GB2312"/>
          <w:b/>
          <w:sz w:val="24"/>
          <w:szCs w:val="24"/>
        </w:rPr>
        <w:t xml:space="preserve">25. </w:t>
      </w:r>
      <w:r>
        <w:rPr>
          <w:rFonts w:hint="eastAsia" w:ascii="仿宋_GB2312" w:hAnsi="仿宋" w:eastAsia="仿宋_GB2312" w:cs="仿宋_GB2312"/>
          <w:sz w:val="24"/>
          <w:szCs w:val="24"/>
        </w:rPr>
        <w:t>合同主要条款详见第五部分拟签订的合同文本。</w:t>
      </w:r>
    </w:p>
    <w:p>
      <w:pPr>
        <w:widowControl w:val="0"/>
        <w:adjustRightInd w:val="0"/>
        <w:spacing w:line="360" w:lineRule="auto"/>
        <w:ind w:left="479" w:hanging="479" w:hangingChars="199"/>
        <w:jc w:val="both"/>
        <w:rPr>
          <w:rFonts w:hint="eastAsia" w:ascii="仿宋_GB2312" w:hAnsi="仿宋" w:eastAsia="仿宋_GB2312" w:cs="仿宋_GB2312"/>
          <w:b/>
          <w:sz w:val="24"/>
          <w:szCs w:val="24"/>
        </w:rPr>
      </w:pPr>
      <w:r>
        <w:rPr>
          <w:rFonts w:hint="eastAsia" w:ascii="仿宋_GB2312" w:hAnsi="仿宋" w:eastAsia="仿宋_GB2312" w:cs="仿宋_GB2312"/>
          <w:b/>
          <w:sz w:val="24"/>
          <w:szCs w:val="24"/>
        </w:rPr>
        <w:t>26. 合同的签订</w:t>
      </w:r>
    </w:p>
    <w:p>
      <w:pPr>
        <w:shd w:val="clear" w:color="auto" w:fill="FFFFFF"/>
        <w:adjustRightInd w:val="0"/>
        <w:spacing w:line="360" w:lineRule="auto"/>
        <w:ind w:firstLine="480"/>
        <w:rPr>
          <w:rFonts w:hint="eastAsia" w:ascii="仿宋_GB2312" w:hAnsi="仿宋" w:eastAsia="仿宋_GB2312" w:cs="Arial"/>
          <w:kern w:val="0"/>
          <w:sz w:val="24"/>
          <w:szCs w:val="24"/>
        </w:rPr>
      </w:pPr>
      <w:r>
        <w:rPr>
          <w:rFonts w:hint="eastAsia" w:ascii="仿宋_GB2312" w:hAnsi="仿宋" w:eastAsia="仿宋_GB2312" w:cs="仿宋_GB2312"/>
          <w:sz w:val="24"/>
          <w:szCs w:val="24"/>
        </w:rPr>
        <w:t>26.1</w:t>
      </w:r>
      <w:r>
        <w:rPr>
          <w:rFonts w:hint="eastAsia" w:ascii="仿宋_GB2312" w:hAnsi="仿宋" w:eastAsia="仿宋_GB2312" w:cs="Arial"/>
          <w:kern w:val="0"/>
          <w:sz w:val="24"/>
          <w:szCs w:val="24"/>
        </w:rPr>
        <w:t xml:space="preserve"> 采购人与中标人应当在中标通知书发出之日起三十日内，按照招标文件确定的事项签订政府采购合同。</w:t>
      </w:r>
    </w:p>
    <w:p>
      <w:pPr>
        <w:widowControl w:val="0"/>
        <w:adjustRightInd w:val="0"/>
        <w:snapToGrid w:val="0"/>
        <w:spacing w:line="360" w:lineRule="auto"/>
        <w:ind w:firstLine="480" w:firstLineChars="200"/>
        <w:jc w:val="both"/>
        <w:rPr>
          <w:rFonts w:hint="eastAsia" w:ascii="仿宋_GB2312" w:hAnsi="仿宋" w:eastAsia="仿宋_GB2312"/>
          <w:kern w:val="0"/>
          <w:sz w:val="24"/>
        </w:rPr>
      </w:pPr>
      <w:r>
        <w:rPr>
          <w:rFonts w:hint="eastAsia" w:ascii="仿宋_GB2312" w:hAnsi="仿宋" w:eastAsia="仿宋_GB2312" w:cs="仿宋_GB2312"/>
          <w:kern w:val="0"/>
          <w:sz w:val="24"/>
          <w:lang w:val="zh-CN"/>
        </w:rPr>
        <w:t>26.2</w:t>
      </w:r>
      <w:r>
        <w:rPr>
          <w:rFonts w:hint="eastAsia" w:ascii="仿宋_GB2312" w:hAnsi="仿宋" w:eastAsia="仿宋_GB2312"/>
          <w:kern w:val="0"/>
          <w:sz w:val="24"/>
          <w:lang w:val="zh-CN"/>
        </w:rPr>
        <w:t>中标人按规定的日期、时间、地点，由法定代表人或其授权代表与采购人代表签订合同。如中标人为联合体的，由联合体成员各方法定代表人或其授权代表与采购人代表签订合同。</w:t>
      </w:r>
    </w:p>
    <w:p>
      <w:pPr>
        <w:widowControl w:val="0"/>
        <w:adjustRightInd w:val="0"/>
        <w:snapToGrid w:val="0"/>
        <w:spacing w:line="360" w:lineRule="auto"/>
        <w:ind w:firstLine="480" w:firstLineChars="200"/>
        <w:jc w:val="both"/>
        <w:rPr>
          <w:rFonts w:hint="eastAsia" w:ascii="仿宋_GB2312" w:hAnsi="仿宋" w:eastAsia="仿宋_GB2312" w:cs="仿宋_GB2312"/>
          <w:sz w:val="24"/>
        </w:rPr>
      </w:pPr>
      <w:r>
        <w:rPr>
          <w:rFonts w:hint="eastAsia" w:ascii="仿宋_GB2312" w:hAnsi="仿宋" w:eastAsia="仿宋_GB2312" w:cs="仿宋_GB2312"/>
          <w:sz w:val="24"/>
        </w:rPr>
        <w:t>26.3如签订合同并生效后，供应商无故拒绝或延期，除按照合同条款处理外，列入不良行为记录一次，并给予通报。</w:t>
      </w:r>
    </w:p>
    <w:p>
      <w:pPr>
        <w:widowControl w:val="0"/>
        <w:adjustRightInd w:val="0"/>
        <w:snapToGrid w:val="0"/>
        <w:spacing w:line="360" w:lineRule="auto"/>
        <w:ind w:firstLine="480" w:firstLineChars="200"/>
        <w:jc w:val="both"/>
        <w:rPr>
          <w:rFonts w:hint="eastAsia" w:ascii="仿宋_GB2312" w:hAnsi="仿宋" w:eastAsia="仿宋_GB2312" w:cs="仿宋_GB2312"/>
          <w:sz w:val="24"/>
        </w:rPr>
      </w:pPr>
      <w:r>
        <w:rPr>
          <w:rFonts w:hint="eastAsia" w:ascii="仿宋_GB2312" w:hAnsi="仿宋" w:eastAsia="仿宋_GB2312" w:cs="仿宋_GB2312"/>
          <w:sz w:val="24"/>
        </w:rPr>
        <w:t>26.4中标供应商拒绝与采购人签订合同的，采购人可以按照评审报告推荐的中标或者成交候选人名单排序，确定下一候选人为中标供应商，也可以重新开展政府采购活动。</w:t>
      </w:r>
    </w:p>
    <w:p>
      <w:pPr>
        <w:widowControl w:val="0"/>
        <w:adjustRightInd w:val="0"/>
        <w:spacing w:line="360" w:lineRule="auto"/>
        <w:ind w:left="479" w:hanging="479" w:hangingChars="199"/>
        <w:jc w:val="both"/>
        <w:rPr>
          <w:rFonts w:hint="eastAsia" w:ascii="仿宋_GB2312" w:hAnsi="仿宋" w:eastAsia="仿宋_GB2312" w:cs="仿宋_GB2312"/>
          <w:b/>
          <w:sz w:val="24"/>
          <w:szCs w:val="24"/>
        </w:rPr>
      </w:pPr>
      <w:r>
        <w:rPr>
          <w:rFonts w:hint="eastAsia" w:ascii="仿宋_GB2312" w:hAnsi="仿宋" w:eastAsia="仿宋_GB2312" w:cs="仿宋_GB2312"/>
          <w:b/>
          <w:sz w:val="24"/>
          <w:szCs w:val="24"/>
        </w:rPr>
        <w:t>27. 履约保证金</w:t>
      </w:r>
    </w:p>
    <w:p>
      <w:pPr>
        <w:widowControl w:val="0"/>
        <w:tabs>
          <w:tab w:val="left" w:pos="0"/>
        </w:tabs>
        <w:adjustRightInd w:val="0"/>
        <w:spacing w:line="360" w:lineRule="auto"/>
        <w:ind w:firstLine="480"/>
        <w:jc w:val="both"/>
        <w:rPr>
          <w:rFonts w:hint="eastAsia" w:ascii="仿宋_GB2312" w:hAnsi="仿宋" w:eastAsia="仿宋_GB2312"/>
          <w:sz w:val="24"/>
          <w:szCs w:val="24"/>
        </w:rPr>
      </w:pPr>
      <w:r>
        <w:rPr>
          <w:rFonts w:hint="eastAsia" w:ascii="仿宋_GB2312" w:hAnsi="仿宋" w:eastAsia="仿宋_GB2312" w:cs="Helvetica"/>
          <w:kern w:val="0"/>
          <w:sz w:val="24"/>
          <w:szCs w:val="24"/>
        </w:rPr>
        <w:t>拟签订的合同文本要求中标供应商提交履约保证金的，供应商应当以支票、汇票、本票或者金融机构、担保机构出具的保函等非现金形式提交</w:t>
      </w:r>
      <w:r>
        <w:rPr>
          <w:rFonts w:hint="eastAsia" w:ascii="仿宋_GB2312" w:hAnsi="仿宋" w:eastAsia="仿宋_GB2312"/>
          <w:sz w:val="24"/>
          <w:szCs w:val="24"/>
        </w:rPr>
        <w:t>。履约保证金的数额不得超过政府采购合同金额的10%。</w:t>
      </w:r>
    </w:p>
    <w:p>
      <w:pPr>
        <w:widowControl w:val="0"/>
        <w:tabs>
          <w:tab w:val="left" w:pos="0"/>
        </w:tabs>
        <w:adjustRightInd w:val="0"/>
        <w:spacing w:line="360" w:lineRule="auto"/>
        <w:ind w:firstLine="480"/>
        <w:jc w:val="both"/>
        <w:rPr>
          <w:rFonts w:hint="eastAsia" w:ascii="仿宋_GB2312" w:hAnsi="仿宋" w:eastAsia="仿宋_GB2312"/>
          <w:sz w:val="24"/>
          <w:szCs w:val="24"/>
        </w:rPr>
      </w:pPr>
    </w:p>
    <w:p>
      <w:pPr>
        <w:widowControl w:val="0"/>
        <w:adjustRightInd w:val="0"/>
        <w:snapToGrid w:val="0"/>
        <w:spacing w:line="360" w:lineRule="auto"/>
        <w:ind w:left="120" w:leftChars="57" w:firstLine="360" w:firstLineChars="150"/>
        <w:jc w:val="center"/>
        <w:rPr>
          <w:rFonts w:hint="eastAsia" w:ascii="仿宋_GB2312" w:hAnsi="仿宋" w:eastAsia="仿宋_GB2312" w:cs="仿宋_GB2312"/>
          <w:b/>
          <w:sz w:val="32"/>
          <w:szCs w:val="24"/>
        </w:rPr>
      </w:pPr>
      <w:r>
        <w:rPr>
          <w:rFonts w:hint="eastAsia" w:ascii="仿宋_GB2312" w:hAnsi="仿宋" w:eastAsia="仿宋_GB2312"/>
          <w:sz w:val="24"/>
          <w:szCs w:val="24"/>
        </w:rPr>
        <w:t xml:space="preserve"> </w:t>
      </w:r>
      <w:r>
        <w:rPr>
          <w:rFonts w:hint="eastAsia" w:ascii="仿宋_GB2312" w:hAnsi="仿宋" w:eastAsia="仿宋_GB2312" w:cs="仿宋_GB2312"/>
          <w:b/>
          <w:sz w:val="32"/>
          <w:szCs w:val="24"/>
        </w:rPr>
        <w:t>八、验收</w:t>
      </w:r>
    </w:p>
    <w:p>
      <w:pPr>
        <w:widowControl w:val="0"/>
        <w:adjustRightInd w:val="0"/>
        <w:spacing w:line="360" w:lineRule="auto"/>
        <w:jc w:val="both"/>
        <w:rPr>
          <w:rFonts w:hint="eastAsia" w:ascii="仿宋_GB2312" w:hAnsi="仿宋" w:eastAsia="仿宋_GB2312" w:cs="仿宋_GB2312"/>
          <w:b/>
          <w:sz w:val="24"/>
          <w:szCs w:val="24"/>
        </w:rPr>
      </w:pPr>
      <w:r>
        <w:rPr>
          <w:rFonts w:hint="eastAsia" w:ascii="仿宋_GB2312" w:hAnsi="仿宋" w:eastAsia="仿宋_GB2312" w:cs="仿宋_GB2312"/>
          <w:b/>
          <w:sz w:val="24"/>
          <w:szCs w:val="24"/>
        </w:rPr>
        <w:t>28.验收</w:t>
      </w:r>
    </w:p>
    <w:p>
      <w:pPr>
        <w:widowControl w:val="0"/>
        <w:tabs>
          <w:tab w:val="left" w:pos="0"/>
        </w:tabs>
        <w:adjustRightInd w:val="0"/>
        <w:spacing w:line="360" w:lineRule="auto"/>
        <w:ind w:firstLine="480"/>
        <w:jc w:val="both"/>
        <w:rPr>
          <w:rFonts w:hint="eastAsia" w:ascii="仿宋_GB2312" w:hAnsi="仿宋" w:eastAsia="仿宋_GB2312" w:cs="Helvetica"/>
          <w:kern w:val="0"/>
          <w:sz w:val="24"/>
          <w:szCs w:val="24"/>
        </w:rPr>
      </w:pPr>
      <w:r>
        <w:rPr>
          <w:rFonts w:hint="eastAsia" w:ascii="仿宋_GB2312" w:hAnsi="仿宋" w:eastAsia="仿宋_GB2312" w:cs="Helvetica"/>
          <w:kern w:val="0"/>
          <w:sz w:val="24"/>
          <w:szCs w:val="24"/>
        </w:rPr>
        <w:t>28.1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widowControl w:val="0"/>
        <w:tabs>
          <w:tab w:val="left" w:pos="0"/>
        </w:tabs>
        <w:adjustRightInd w:val="0"/>
        <w:spacing w:line="360" w:lineRule="auto"/>
        <w:ind w:firstLine="480"/>
        <w:jc w:val="both"/>
        <w:rPr>
          <w:rFonts w:hint="eastAsia" w:ascii="仿宋_GB2312" w:hAnsi="仿宋" w:eastAsia="仿宋_GB2312" w:cs="Helvetica"/>
          <w:kern w:val="0"/>
          <w:sz w:val="24"/>
          <w:szCs w:val="24"/>
        </w:rPr>
      </w:pPr>
      <w:r>
        <w:rPr>
          <w:rFonts w:hint="eastAsia" w:ascii="仿宋_GB2312" w:hAnsi="仿宋" w:eastAsia="仿宋_GB2312" w:cs="Helvetica"/>
          <w:kern w:val="0"/>
          <w:sz w:val="24"/>
          <w:szCs w:val="24"/>
        </w:rPr>
        <w:t>28.2采购人可以邀请参加本项目的其他投标人或者第三方机构参与验收。参与验收的投标人或者第三方机构的意见作为验收书的参考资料一并存档。</w:t>
      </w:r>
    </w:p>
    <w:p>
      <w:pPr>
        <w:widowControl w:val="0"/>
        <w:tabs>
          <w:tab w:val="left" w:pos="0"/>
        </w:tabs>
        <w:adjustRightInd w:val="0"/>
        <w:spacing w:line="360" w:lineRule="auto"/>
        <w:ind w:firstLine="480"/>
        <w:jc w:val="both"/>
        <w:rPr>
          <w:rFonts w:hint="eastAsia" w:ascii="仿宋_GB2312" w:hAnsi="仿宋" w:eastAsia="仿宋_GB2312" w:cs="Helvetica"/>
          <w:kern w:val="0"/>
          <w:sz w:val="24"/>
          <w:szCs w:val="24"/>
        </w:rPr>
      </w:pPr>
      <w:r>
        <w:rPr>
          <w:rFonts w:hint="eastAsia" w:ascii="仿宋_GB2312" w:hAnsi="仿宋" w:eastAsia="仿宋_GB2312" w:cs="Helvetica"/>
          <w:kern w:val="0"/>
          <w:sz w:val="24"/>
          <w:szCs w:val="24"/>
        </w:rPr>
        <w:t>28.3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widowControl w:val="0"/>
        <w:tabs>
          <w:tab w:val="left" w:pos="0"/>
        </w:tabs>
        <w:adjustRightInd w:val="0"/>
        <w:spacing w:line="360" w:lineRule="auto"/>
        <w:ind w:firstLine="480"/>
        <w:jc w:val="both"/>
        <w:rPr>
          <w:rFonts w:hint="eastAsia" w:ascii="仿宋_GB2312" w:hAnsi="仿宋" w:eastAsia="仿宋_GB2312" w:cs="Helvetica"/>
          <w:kern w:val="0"/>
          <w:sz w:val="24"/>
          <w:szCs w:val="24"/>
        </w:rPr>
      </w:pPr>
      <w:r>
        <w:rPr>
          <w:rFonts w:hint="eastAsia" w:ascii="仿宋_GB2312" w:hAnsi="仿宋" w:eastAsia="仿宋_GB2312" w:cs="Helvetica"/>
          <w:kern w:val="0"/>
          <w:sz w:val="24"/>
          <w:szCs w:val="24"/>
        </w:rPr>
        <w:t>28.4验收合格的项目，采购人将根据采购合同的约定及时向供应商支付采购资金、退还履约保证金。验收不合格的项目，采购人将依法及时处理。采购合同的履行、违约责任和解决争议的方式等适用《中华人民共和国合同法》。供应商在履约过程中有政府采购法律法规规定的违法违规情形的，采购人应当及时报告本级财政部门。</w:t>
      </w:r>
    </w:p>
    <w:p>
      <w:pPr>
        <w:autoSpaceDE w:val="0"/>
        <w:autoSpaceDN w:val="0"/>
        <w:adjustRightInd w:val="0"/>
        <w:spacing w:line="460" w:lineRule="exact"/>
        <w:outlineLvl w:val="0"/>
        <w:rPr>
          <w:rFonts w:hint="eastAsia" w:ascii="仿宋_GB2312" w:eastAsia="仿宋_GB2312"/>
          <w:b/>
          <w:sz w:val="24"/>
        </w:rPr>
      </w:pPr>
    </w:p>
    <w:p>
      <w:pPr>
        <w:spacing w:line="360" w:lineRule="auto"/>
        <w:jc w:val="center"/>
        <w:outlineLvl w:val="0"/>
        <w:rPr>
          <w:rFonts w:hint="eastAsia" w:ascii="仿宋_GB2312" w:hAnsi="仿宋" w:eastAsia="仿宋_GB2312" w:cs="仿宋_GB2312"/>
          <w:b/>
          <w:sz w:val="36"/>
          <w:szCs w:val="36"/>
        </w:rPr>
      </w:pPr>
      <w:bookmarkStart w:id="39" w:name="_Toc81372955"/>
      <w:bookmarkStart w:id="40" w:name="_Toc80157767"/>
      <w:bookmarkStart w:id="41" w:name="_Toc81372778"/>
      <w:bookmarkStart w:id="42" w:name="_Toc81372993"/>
      <w:r>
        <w:rPr>
          <w:rFonts w:hint="eastAsia" w:ascii="仿宋_GB2312" w:eastAsia="仿宋_GB2312"/>
          <w:b/>
          <w:kern w:val="0"/>
          <w:sz w:val="36"/>
          <w:lang w:val="zh-CN"/>
        </w:rPr>
        <w:br w:type="page"/>
      </w:r>
      <w:r>
        <w:rPr>
          <w:rFonts w:hint="eastAsia" w:ascii="仿宋_GB2312" w:hAnsi="仿宋" w:eastAsia="仿宋_GB2312" w:cs="仿宋_GB2312"/>
          <w:b/>
          <w:sz w:val="36"/>
          <w:szCs w:val="36"/>
        </w:rPr>
        <w:t>第三部分   采购需求</w:t>
      </w:r>
    </w:p>
    <w:p>
      <w:pPr>
        <w:spacing w:line="360" w:lineRule="auto"/>
        <w:jc w:val="center"/>
        <w:outlineLvl w:val="0"/>
        <w:rPr>
          <w:rFonts w:hint="eastAsia" w:ascii="仿宋_GB2312" w:eastAsia="仿宋_GB2312"/>
          <w:b/>
          <w:kern w:val="0"/>
          <w:sz w:val="30"/>
          <w:szCs w:val="30"/>
          <w:lang w:val="zh-CN"/>
        </w:rPr>
      </w:pPr>
      <w:r>
        <w:rPr>
          <w:rFonts w:hint="eastAsia" w:ascii="仿宋_GB2312" w:eastAsia="仿宋_GB2312"/>
          <w:b/>
          <w:kern w:val="0"/>
          <w:sz w:val="30"/>
          <w:szCs w:val="30"/>
          <w:lang w:val="zh-CN"/>
        </w:rPr>
        <w:t>第一标项：浙江省杭州学军中学西溪校区安防监控系统改造</w:t>
      </w:r>
      <w:r>
        <w:rPr>
          <w:rFonts w:hint="eastAsia" w:ascii="仿宋_GB2312" w:eastAsia="仿宋_GB2312"/>
          <w:b/>
          <w:kern w:val="0"/>
          <w:sz w:val="30"/>
          <w:szCs w:val="30"/>
          <w:lang w:val="zh-CN"/>
        </w:rPr>
        <w:tab/>
      </w:r>
    </w:p>
    <w:p>
      <w:pPr>
        <w:spacing w:line="360" w:lineRule="auto"/>
        <w:jc w:val="center"/>
        <w:outlineLvl w:val="0"/>
        <w:rPr>
          <w:rFonts w:hint="eastAsia" w:ascii="仿宋_GB2312" w:eastAsia="仿宋_GB2312"/>
          <w:b/>
          <w:kern w:val="0"/>
          <w:sz w:val="30"/>
          <w:szCs w:val="30"/>
          <w:lang w:val="zh-CN"/>
        </w:rPr>
      </w:pPr>
      <w:r>
        <w:rPr>
          <w:rFonts w:hint="eastAsia" w:ascii="仿宋_GB2312" w:eastAsia="仿宋_GB2312"/>
          <w:b/>
          <w:kern w:val="0"/>
          <w:sz w:val="30"/>
          <w:szCs w:val="30"/>
          <w:lang w:val="zh-CN"/>
        </w:rPr>
        <w:t>（标有</w:t>
      </w:r>
      <w:r>
        <w:rPr>
          <w:rFonts w:hint="eastAsia" w:ascii="仿宋_GB2312" w:hAnsi="仿宋" w:eastAsia="仿宋_GB2312"/>
          <w:sz w:val="30"/>
          <w:szCs w:val="30"/>
        </w:rPr>
        <w:t>“★”系产品采购项目中单一产品或核心产品，“▲” 系指实质性要求条款，</w:t>
      </w:r>
      <w:r>
        <w:rPr>
          <w:rFonts w:hint="eastAsia" w:ascii="仿宋_GB2312" w:eastAsia="仿宋_GB2312"/>
          <w:b/>
          <w:kern w:val="0"/>
          <w:sz w:val="30"/>
          <w:szCs w:val="30"/>
          <w:lang w:val="zh-CN"/>
        </w:rPr>
        <w:t>）</w:t>
      </w:r>
      <w:bookmarkStart w:id="43" w:name="_Toc520892701"/>
    </w:p>
    <w:p>
      <w:pPr>
        <w:spacing w:line="360" w:lineRule="auto"/>
        <w:outlineLvl w:val="0"/>
        <w:rPr>
          <w:rFonts w:hint="eastAsia" w:ascii="仿宋_GB2312" w:hAnsi="Calibri" w:eastAsia="仿宋_GB2312"/>
          <w:b/>
          <w:bCs/>
          <w:kern w:val="44"/>
          <w:sz w:val="30"/>
          <w:szCs w:val="44"/>
        </w:rPr>
      </w:pPr>
      <w:r>
        <w:rPr>
          <w:rFonts w:hint="eastAsia" w:ascii="仿宋_GB2312" w:eastAsia="仿宋_GB2312"/>
          <w:b/>
          <w:kern w:val="0"/>
          <w:sz w:val="30"/>
          <w:szCs w:val="30"/>
          <w:lang w:val="zh-CN"/>
        </w:rPr>
        <w:t>1.</w:t>
      </w:r>
      <w:r>
        <w:rPr>
          <w:rFonts w:hint="eastAsia" w:ascii="仿宋_GB2312" w:hAnsi="Calibri" w:eastAsia="仿宋_GB2312"/>
          <w:b/>
          <w:bCs/>
          <w:kern w:val="44"/>
          <w:sz w:val="30"/>
          <w:szCs w:val="44"/>
        </w:rPr>
        <w:t>项目概述</w:t>
      </w:r>
      <w:bookmarkEnd w:id="43"/>
    </w:p>
    <w:p>
      <w:pPr>
        <w:widowControl w:val="0"/>
        <w:spacing w:line="360" w:lineRule="auto"/>
        <w:ind w:firstLine="480" w:firstLineChars="200"/>
        <w:jc w:val="both"/>
        <w:rPr>
          <w:rFonts w:hint="eastAsia" w:ascii="仿宋_GB2312" w:hAnsi="Calibri" w:eastAsia="仿宋_GB2312"/>
          <w:sz w:val="24"/>
          <w:szCs w:val="24"/>
        </w:rPr>
      </w:pPr>
      <w:r>
        <w:rPr>
          <w:rFonts w:hint="eastAsia" w:ascii="仿宋_GB2312" w:hAnsi="Calibri" w:eastAsia="仿宋_GB2312"/>
          <w:sz w:val="24"/>
          <w:szCs w:val="24"/>
        </w:rPr>
        <w:t>学军中学西溪校区由于建校时间早，原校园视频监控系统是随着技术的变化革新逐渐修补改造而成。由于经历时间久，技术革新快，原硬件条件限制等原因，目前难以适应现代化智慧、安全校园的要求，存在视频覆盖多盲区、成像不清晰，存储时间短、模拟系统难以扩展等问题，因此改造迫在眉睫。同时，随着当前数字监控技术的成型，全校安防系统改造的时机也已经成熟。因此，拟计划对学军中学西溪校区进行综合安防系统的全面改造升级。</w:t>
      </w:r>
    </w:p>
    <w:p>
      <w:pPr>
        <w:widowControl w:val="0"/>
        <w:spacing w:line="360" w:lineRule="auto"/>
        <w:ind w:firstLine="480" w:firstLineChars="200"/>
        <w:jc w:val="both"/>
        <w:rPr>
          <w:rFonts w:hint="eastAsia" w:ascii="仿宋_GB2312" w:hAnsi="Calibri" w:eastAsia="仿宋_GB2312"/>
          <w:sz w:val="24"/>
          <w:szCs w:val="24"/>
        </w:rPr>
      </w:pPr>
      <w:r>
        <w:rPr>
          <w:rFonts w:hint="eastAsia" w:ascii="仿宋_GB2312" w:hAnsi="Calibri" w:eastAsia="仿宋_GB2312"/>
          <w:sz w:val="24"/>
          <w:szCs w:val="24"/>
        </w:rPr>
        <w:t>总体改造分两期进行，一期为东区男女生宿舍及周围公共区域进行视频监控全覆盖（已完成），本次改造为二期工程，改造内容扩展至全校区，并将一期点位进行统一整合。</w:t>
      </w:r>
    </w:p>
    <w:p>
      <w:pPr>
        <w:keepNext/>
        <w:keepLines/>
        <w:widowControl w:val="0"/>
        <w:spacing w:line="578" w:lineRule="auto"/>
        <w:jc w:val="both"/>
        <w:outlineLvl w:val="0"/>
        <w:rPr>
          <w:rFonts w:hint="eastAsia" w:ascii="仿宋_GB2312" w:hAnsi="Calibri" w:eastAsia="仿宋_GB2312"/>
          <w:b/>
          <w:bCs/>
          <w:kern w:val="44"/>
          <w:sz w:val="30"/>
          <w:szCs w:val="44"/>
        </w:rPr>
      </w:pPr>
      <w:bookmarkStart w:id="44" w:name="_Toc520892702"/>
      <w:r>
        <w:rPr>
          <w:rFonts w:hint="eastAsia" w:ascii="仿宋_GB2312" w:hAnsi="Calibri" w:eastAsia="仿宋_GB2312"/>
          <w:b/>
          <w:bCs/>
          <w:kern w:val="44"/>
          <w:sz w:val="30"/>
          <w:szCs w:val="44"/>
        </w:rPr>
        <w:t>2.建设需求</w:t>
      </w:r>
      <w:bookmarkEnd w:id="44"/>
    </w:p>
    <w:p>
      <w:pPr>
        <w:widowControl w:val="0"/>
        <w:spacing w:line="360" w:lineRule="auto"/>
        <w:ind w:firstLine="480" w:firstLineChars="200"/>
        <w:jc w:val="both"/>
        <w:rPr>
          <w:rFonts w:hint="eastAsia" w:ascii="仿宋_GB2312" w:hAnsi="Calibri" w:eastAsia="仿宋_GB2312"/>
          <w:sz w:val="24"/>
          <w:szCs w:val="24"/>
        </w:rPr>
      </w:pPr>
      <w:r>
        <w:rPr>
          <w:rFonts w:hint="eastAsia" w:ascii="仿宋_GB2312" w:hAnsi="Calibri" w:eastAsia="仿宋_GB2312"/>
          <w:sz w:val="24"/>
          <w:szCs w:val="24"/>
        </w:rPr>
        <w:t>根据校园相关部门基建、安保、信息、电气等的需求调研及参照教育局的有关文件，结合对校内实地、实际情况及需求，对目前西溪校区总体改造功能需求总结如下：</w:t>
      </w:r>
    </w:p>
    <w:p>
      <w:pPr>
        <w:widowControl w:val="0"/>
        <w:numPr>
          <w:ilvl w:val="0"/>
          <w:numId w:val="16"/>
        </w:numPr>
        <w:spacing w:line="360" w:lineRule="auto"/>
        <w:jc w:val="both"/>
        <w:rPr>
          <w:rFonts w:hint="eastAsia" w:ascii="仿宋_GB2312" w:hAnsi="Calibri" w:eastAsia="仿宋_GB2312"/>
          <w:sz w:val="24"/>
          <w:szCs w:val="24"/>
        </w:rPr>
      </w:pPr>
      <w:r>
        <w:rPr>
          <w:rFonts w:hint="eastAsia" w:ascii="仿宋_GB2312" w:hAnsi="Calibri" w:eastAsia="仿宋_GB2312"/>
          <w:sz w:val="24"/>
          <w:szCs w:val="24"/>
        </w:rPr>
        <w:t>升级整个校园内部原来模拟和数字混合的架构，采用全数字监控系统，选用目前主流数字监控产品，提高清晰度和扩展性，本次改造综合安防平台需整合一期点位，；</w:t>
      </w:r>
    </w:p>
    <w:p>
      <w:pPr>
        <w:widowControl w:val="0"/>
        <w:numPr>
          <w:ilvl w:val="0"/>
          <w:numId w:val="16"/>
        </w:numPr>
        <w:spacing w:line="360" w:lineRule="auto"/>
        <w:jc w:val="both"/>
        <w:rPr>
          <w:rFonts w:hint="eastAsia" w:ascii="仿宋_GB2312" w:hAnsi="Calibri" w:eastAsia="仿宋_GB2312"/>
          <w:sz w:val="24"/>
          <w:szCs w:val="24"/>
        </w:rPr>
      </w:pPr>
      <w:r>
        <w:rPr>
          <w:rFonts w:hint="eastAsia" w:ascii="仿宋_GB2312" w:hAnsi="Calibri" w:eastAsia="仿宋_GB2312"/>
          <w:sz w:val="24"/>
          <w:szCs w:val="24"/>
        </w:rPr>
        <w:t xml:space="preserve">增加摄像机数量，在学校室内外共新增520路以400万像素为主的高清摄像头，覆盖学校各主要区域，实现校园周界防防控、校内主要区域全天候的立体覆盖； </w:t>
      </w:r>
    </w:p>
    <w:p>
      <w:pPr>
        <w:widowControl w:val="0"/>
        <w:numPr>
          <w:ilvl w:val="0"/>
          <w:numId w:val="16"/>
        </w:numPr>
        <w:spacing w:line="360" w:lineRule="auto"/>
        <w:jc w:val="both"/>
        <w:rPr>
          <w:rFonts w:hint="eastAsia" w:ascii="仿宋_GB2312" w:hAnsi="Calibri" w:eastAsia="仿宋_GB2312"/>
          <w:sz w:val="24"/>
          <w:szCs w:val="24"/>
        </w:rPr>
      </w:pPr>
      <w:r>
        <w:rPr>
          <w:rFonts w:hint="eastAsia" w:ascii="仿宋_GB2312" w:hAnsi="Calibri" w:eastAsia="仿宋_GB2312"/>
          <w:sz w:val="24"/>
          <w:szCs w:val="24"/>
        </w:rPr>
        <w:t>对学校监控中心进行改造，扩大面积，铺设网络地板，建设3*4的小拼缝电视墙；</w:t>
      </w:r>
    </w:p>
    <w:p>
      <w:pPr>
        <w:widowControl w:val="0"/>
        <w:numPr>
          <w:ilvl w:val="0"/>
          <w:numId w:val="16"/>
        </w:numPr>
        <w:spacing w:line="360" w:lineRule="auto"/>
        <w:jc w:val="both"/>
        <w:rPr>
          <w:rFonts w:hint="eastAsia" w:ascii="仿宋_GB2312" w:hAnsi="Calibri" w:eastAsia="仿宋_GB2312"/>
          <w:sz w:val="24"/>
          <w:szCs w:val="24"/>
        </w:rPr>
      </w:pPr>
      <w:r>
        <w:rPr>
          <w:rFonts w:hint="eastAsia" w:ascii="仿宋_GB2312" w:hAnsi="Calibri" w:eastAsia="仿宋_GB2312"/>
          <w:sz w:val="24"/>
          <w:szCs w:val="24"/>
        </w:rPr>
        <w:t>建设一套安防综合管理平台对各安防系统进行管理，并与学校原一期安防平台无缝对接、完美兼容，保证系统正常稳定运行，综合安防管理平台人员信息库需与学校钉钉系统的人员信息库进行对接，实现信息同步；</w:t>
      </w:r>
    </w:p>
    <w:p>
      <w:pPr>
        <w:widowControl w:val="0"/>
        <w:numPr>
          <w:ilvl w:val="0"/>
          <w:numId w:val="16"/>
        </w:numPr>
        <w:spacing w:line="360" w:lineRule="auto"/>
        <w:jc w:val="both"/>
        <w:rPr>
          <w:rFonts w:hint="eastAsia" w:ascii="仿宋_GB2312" w:hAnsi="Calibri" w:eastAsia="仿宋_GB2312"/>
          <w:sz w:val="24"/>
          <w:szCs w:val="24"/>
        </w:rPr>
      </w:pPr>
      <w:r>
        <w:rPr>
          <w:rFonts w:hint="eastAsia" w:ascii="仿宋_GB2312" w:hAnsi="Calibri" w:eastAsia="仿宋_GB2312"/>
          <w:sz w:val="24"/>
          <w:szCs w:val="24"/>
        </w:rPr>
        <w:t>视频存储天数按90天配置；用户可通过账户授权，远程调用视频录像；</w:t>
      </w:r>
    </w:p>
    <w:p>
      <w:pPr>
        <w:widowControl w:val="0"/>
        <w:numPr>
          <w:ilvl w:val="0"/>
          <w:numId w:val="16"/>
        </w:numPr>
        <w:spacing w:line="360" w:lineRule="auto"/>
        <w:jc w:val="both"/>
        <w:rPr>
          <w:rFonts w:hint="eastAsia" w:ascii="仿宋_GB2312" w:hAnsi="Calibri" w:eastAsia="仿宋_GB2312"/>
          <w:sz w:val="24"/>
          <w:szCs w:val="24"/>
        </w:rPr>
      </w:pPr>
      <w:r>
        <w:rPr>
          <w:rFonts w:hint="eastAsia" w:ascii="仿宋_GB2312" w:hAnsi="Calibri" w:eastAsia="仿宋_GB2312"/>
          <w:sz w:val="24"/>
          <w:szCs w:val="24"/>
        </w:rPr>
        <w:t>学校有多个人脸业务场景，人脸库是实现校内人员管控的基础，为节约校方管理成本、时间成本与人力成本，应使多个人脸业务场景共用一套人脸库，从而建立以人脸识别技术为核心、一套人脸库为基础的人员管控系统：在校门口实现刷脸进出与信息记录、在宿舍实现学生人脸精确考勤与住校生管理、在教室门口实现上课刷脸签到；</w:t>
      </w:r>
    </w:p>
    <w:p>
      <w:pPr>
        <w:widowControl w:val="0"/>
        <w:numPr>
          <w:ilvl w:val="0"/>
          <w:numId w:val="16"/>
        </w:numPr>
        <w:spacing w:line="360" w:lineRule="auto"/>
        <w:jc w:val="both"/>
        <w:rPr>
          <w:rFonts w:hint="eastAsia" w:ascii="仿宋_GB2312" w:hAnsi="Calibri" w:eastAsia="仿宋_GB2312"/>
          <w:sz w:val="24"/>
          <w:szCs w:val="24"/>
        </w:rPr>
      </w:pPr>
      <w:r>
        <w:rPr>
          <w:rFonts w:hint="eastAsia" w:ascii="仿宋_GB2312" w:hAnsi="Calibri" w:eastAsia="仿宋_GB2312"/>
          <w:sz w:val="24"/>
          <w:szCs w:val="24"/>
        </w:rPr>
        <w:t>配置2台布控球，自带电池与备用电池，支持本地存储、无线传输与GPS/北斗卫星定位功能，可灵活应用于学校运动会、文艺歌会、校庆等大型校园活动现场，将采集现场的视频、音频、报警信息、GPS定位信息等传输给监控中心，工作人员也可通过各种通信设备实现与调度中心的音视频对讲，实现校园音视频、文字消息、文件数据的实时交互以及跨地域、跨终端的信息共享；</w:t>
      </w:r>
    </w:p>
    <w:p>
      <w:pPr>
        <w:widowControl w:val="0"/>
        <w:numPr>
          <w:ilvl w:val="0"/>
          <w:numId w:val="16"/>
        </w:numPr>
        <w:spacing w:line="360" w:lineRule="auto"/>
        <w:jc w:val="both"/>
        <w:rPr>
          <w:rFonts w:hint="eastAsia" w:ascii="仿宋_GB2312" w:hAnsi="Calibri" w:eastAsia="仿宋_GB2312"/>
          <w:sz w:val="24"/>
          <w:szCs w:val="24"/>
        </w:rPr>
      </w:pPr>
      <w:r>
        <w:rPr>
          <w:rFonts w:hint="eastAsia" w:ascii="仿宋_GB2312" w:hAnsi="Calibri" w:eastAsia="仿宋_GB2312"/>
          <w:sz w:val="24"/>
          <w:szCs w:val="24"/>
        </w:rPr>
        <w:t>在校内主要道路设立紧急报警装置，发生紧急事件时可进行紧急求助、语音对讲与视频核实；</w:t>
      </w:r>
    </w:p>
    <w:p>
      <w:pPr>
        <w:widowControl w:val="0"/>
        <w:numPr>
          <w:ilvl w:val="0"/>
          <w:numId w:val="16"/>
        </w:numPr>
        <w:spacing w:line="360" w:lineRule="auto"/>
        <w:jc w:val="both"/>
        <w:rPr>
          <w:rFonts w:hint="eastAsia" w:ascii="仿宋_GB2312" w:hAnsi="Calibri" w:eastAsia="仿宋_GB2312"/>
          <w:sz w:val="24"/>
          <w:szCs w:val="24"/>
        </w:rPr>
      </w:pPr>
      <w:r>
        <w:rPr>
          <w:rFonts w:hint="eastAsia" w:ascii="仿宋_GB2312" w:hAnsi="Calibri" w:eastAsia="仿宋_GB2312"/>
          <w:sz w:val="24"/>
          <w:szCs w:val="24"/>
        </w:rPr>
        <w:t>采用视频周界，提高管理效率，降低误判；</w:t>
      </w:r>
    </w:p>
    <w:p>
      <w:pPr>
        <w:widowControl w:val="0"/>
        <w:numPr>
          <w:ilvl w:val="0"/>
          <w:numId w:val="16"/>
        </w:numPr>
        <w:spacing w:line="360" w:lineRule="auto"/>
        <w:jc w:val="both"/>
        <w:rPr>
          <w:rFonts w:hint="eastAsia" w:ascii="仿宋_GB2312" w:hAnsi="Calibri" w:eastAsia="仿宋_GB2312"/>
          <w:sz w:val="24"/>
          <w:szCs w:val="24"/>
        </w:rPr>
      </w:pPr>
      <w:r>
        <w:rPr>
          <w:rFonts w:hint="eastAsia" w:ascii="仿宋_GB2312" w:hAnsi="Calibri" w:eastAsia="仿宋_GB2312"/>
          <w:sz w:val="24"/>
          <w:szCs w:val="24"/>
        </w:rPr>
        <w:t>支持智能分析，通过行为识别实现告警、事件预测；</w:t>
      </w:r>
    </w:p>
    <w:p>
      <w:pPr>
        <w:widowControl w:val="0"/>
        <w:numPr>
          <w:ilvl w:val="0"/>
          <w:numId w:val="16"/>
        </w:numPr>
        <w:spacing w:line="360" w:lineRule="auto"/>
        <w:jc w:val="both"/>
        <w:rPr>
          <w:rFonts w:hint="eastAsia" w:ascii="仿宋_GB2312" w:hAnsi="Calibri" w:eastAsia="仿宋_GB2312"/>
          <w:sz w:val="24"/>
          <w:szCs w:val="24"/>
        </w:rPr>
      </w:pPr>
      <w:r>
        <w:rPr>
          <w:rFonts w:hint="eastAsia" w:ascii="仿宋_GB2312" w:hAnsi="Calibri" w:eastAsia="仿宋_GB2312"/>
          <w:sz w:val="24"/>
          <w:szCs w:val="24"/>
        </w:rPr>
        <w:t>监控中心增加UPS保障，后备时间1小时；</w:t>
      </w:r>
    </w:p>
    <w:p>
      <w:pPr>
        <w:widowControl w:val="0"/>
        <w:numPr>
          <w:ilvl w:val="0"/>
          <w:numId w:val="16"/>
        </w:numPr>
        <w:spacing w:line="360" w:lineRule="auto"/>
        <w:jc w:val="both"/>
        <w:rPr>
          <w:rFonts w:hint="eastAsia" w:ascii="仿宋_GB2312" w:hAnsi="Calibri" w:eastAsia="仿宋_GB2312"/>
          <w:sz w:val="24"/>
          <w:szCs w:val="24"/>
        </w:rPr>
      </w:pPr>
      <w:r>
        <w:rPr>
          <w:rFonts w:hint="eastAsia" w:ascii="仿宋_GB2312" w:hAnsi="Calibri" w:eastAsia="仿宋_GB2312"/>
          <w:sz w:val="24"/>
          <w:szCs w:val="24"/>
        </w:rPr>
        <w:t>升级访客登记设备，采用人脸识别技术，动态下发人脸到人员通道人脸组件，实现对人员进出校园、宿舍进行管理登记，投标现场提供宿舍考勤报表演示（具体演示内容详见清单参数说明）；</w:t>
      </w:r>
    </w:p>
    <w:p>
      <w:pPr>
        <w:widowControl w:val="0"/>
        <w:numPr>
          <w:ilvl w:val="0"/>
          <w:numId w:val="16"/>
        </w:numPr>
        <w:spacing w:line="360" w:lineRule="auto"/>
        <w:jc w:val="both"/>
        <w:rPr>
          <w:rFonts w:hint="eastAsia" w:ascii="仿宋_GB2312" w:hAnsi="Calibri" w:eastAsia="仿宋_GB2312"/>
          <w:sz w:val="24"/>
          <w:szCs w:val="24"/>
        </w:rPr>
      </w:pPr>
      <w:r>
        <w:rPr>
          <w:rFonts w:hint="eastAsia" w:ascii="仿宋_GB2312" w:hAnsi="Calibri" w:eastAsia="仿宋_GB2312"/>
          <w:sz w:val="24"/>
          <w:szCs w:val="24"/>
        </w:rPr>
        <w:t>在校门口设置防撞升降柱，可遥控，共10根，间距1.2m安装，可分三组分别控制。</w:t>
      </w:r>
    </w:p>
    <w:p>
      <w:pPr>
        <w:widowControl w:val="0"/>
        <w:numPr>
          <w:ilvl w:val="0"/>
          <w:numId w:val="16"/>
        </w:numPr>
        <w:spacing w:line="360" w:lineRule="auto"/>
        <w:jc w:val="both"/>
        <w:rPr>
          <w:rFonts w:hint="eastAsia" w:ascii="仿宋_GB2312" w:hAnsi="Calibri" w:eastAsia="仿宋_GB2312"/>
          <w:sz w:val="24"/>
          <w:szCs w:val="24"/>
        </w:rPr>
      </w:pPr>
      <w:r>
        <w:rPr>
          <w:rFonts w:hint="eastAsia" w:ascii="仿宋_GB2312" w:hAnsi="Calibri" w:eastAsia="仿宋_GB2312"/>
          <w:sz w:val="24"/>
          <w:szCs w:val="24"/>
        </w:rPr>
        <w:t>对原电子班牌系统进行升级，采用21.5寸触摸显示横屏，需带摄像头、刷卡模块、麦克风模块，可实现刷卡或人脸考勤、刷卡或人脸账户登录及家校语音沟通功能；</w:t>
      </w:r>
    </w:p>
    <w:p>
      <w:pPr>
        <w:widowControl w:val="0"/>
        <w:numPr>
          <w:ilvl w:val="0"/>
          <w:numId w:val="16"/>
        </w:numPr>
        <w:spacing w:line="360" w:lineRule="auto"/>
        <w:jc w:val="both"/>
        <w:rPr>
          <w:rFonts w:hint="eastAsia" w:ascii="仿宋_GB2312" w:hAnsi="Calibri" w:eastAsia="仿宋_GB2312"/>
          <w:sz w:val="24"/>
          <w:szCs w:val="24"/>
        </w:rPr>
      </w:pPr>
      <w:r>
        <w:rPr>
          <w:rFonts w:hint="eastAsia" w:ascii="仿宋_GB2312" w:hAnsi="Calibri" w:eastAsia="仿宋_GB2312"/>
          <w:sz w:val="24"/>
          <w:szCs w:val="24"/>
        </w:rPr>
        <w:t>配套综合布线系统按六类标准建设，水平采用六类非屏蔽网线，主干采用12芯单模光纤；</w:t>
      </w:r>
    </w:p>
    <w:p>
      <w:pPr>
        <w:widowControl w:val="0"/>
        <w:numPr>
          <w:ilvl w:val="0"/>
          <w:numId w:val="16"/>
        </w:numPr>
        <w:spacing w:line="360" w:lineRule="auto"/>
        <w:jc w:val="both"/>
        <w:rPr>
          <w:rFonts w:hint="eastAsia" w:ascii="仿宋_GB2312" w:hAnsi="Calibri" w:eastAsia="仿宋_GB2312"/>
          <w:sz w:val="24"/>
          <w:szCs w:val="24"/>
        </w:rPr>
      </w:pPr>
      <w:r>
        <w:rPr>
          <w:rFonts w:hint="eastAsia" w:ascii="仿宋_GB2312" w:hAnsi="Calibri" w:eastAsia="仿宋_GB2312"/>
          <w:sz w:val="24"/>
          <w:szCs w:val="24"/>
        </w:rPr>
        <w:t>配套计算机网络系统采用核心、接入二层架构，实现千兆接入，万兆主干；</w:t>
      </w:r>
    </w:p>
    <w:p>
      <w:pPr>
        <w:widowControl w:val="0"/>
        <w:numPr>
          <w:ilvl w:val="0"/>
          <w:numId w:val="16"/>
        </w:numPr>
        <w:spacing w:line="360" w:lineRule="auto"/>
        <w:jc w:val="both"/>
        <w:rPr>
          <w:rFonts w:hint="eastAsia" w:ascii="仿宋_GB2312" w:hAnsi="Calibri" w:eastAsia="仿宋_GB2312"/>
          <w:sz w:val="24"/>
          <w:szCs w:val="24"/>
        </w:rPr>
      </w:pPr>
      <w:r>
        <w:rPr>
          <w:rFonts w:hint="eastAsia" w:ascii="仿宋_GB2312" w:hAnsi="Calibri" w:eastAsia="仿宋_GB2312"/>
          <w:sz w:val="24"/>
          <w:szCs w:val="24"/>
        </w:rPr>
        <w:t>为保证项目建设的质量，本次项目涉及产品均为正品，投标时主要产品设备按要求提供各类产品检测报告及证明文件。</w:t>
      </w:r>
    </w:p>
    <w:p>
      <w:pPr>
        <w:widowControl w:val="0"/>
        <w:numPr>
          <w:ilvl w:val="0"/>
          <w:numId w:val="16"/>
        </w:numPr>
        <w:spacing w:line="360" w:lineRule="auto"/>
        <w:jc w:val="both"/>
        <w:rPr>
          <w:rFonts w:hint="eastAsia" w:ascii="仿宋_GB2312" w:hAnsi="Calibri" w:eastAsia="仿宋_GB2312"/>
          <w:sz w:val="24"/>
          <w:szCs w:val="24"/>
        </w:rPr>
      </w:pPr>
      <w:r>
        <w:rPr>
          <w:rFonts w:hint="eastAsia" w:ascii="仿宋_GB2312" w:hAnsi="Calibri" w:eastAsia="仿宋_GB2312"/>
          <w:sz w:val="24"/>
          <w:szCs w:val="24"/>
        </w:rPr>
        <w:t>本次项目为改造工程，施工过程中涉及到对原有系统、装修装饰、校园绿化、校园道路等各类专业的材料拆卸、损毁、复原等内容，所有费用均应考虑在内。</w:t>
      </w:r>
    </w:p>
    <w:p>
      <w:pPr>
        <w:widowControl w:val="0"/>
        <w:numPr>
          <w:ilvl w:val="0"/>
          <w:numId w:val="16"/>
        </w:numPr>
        <w:spacing w:line="360" w:lineRule="auto"/>
        <w:jc w:val="both"/>
        <w:rPr>
          <w:rFonts w:hint="eastAsia" w:ascii="仿宋_GB2312" w:hAnsi="Calibri" w:eastAsia="仿宋_GB2312"/>
          <w:sz w:val="24"/>
          <w:szCs w:val="24"/>
        </w:rPr>
      </w:pPr>
      <w:r>
        <w:rPr>
          <w:rFonts w:hint="eastAsia" w:ascii="仿宋_GB2312" w:hAnsi="Calibri" w:eastAsia="仿宋_GB2312"/>
          <w:sz w:val="24"/>
          <w:szCs w:val="24"/>
        </w:rPr>
        <w:t>为保证本项目建成后能更好的维护使用，要求提供监控设备、防撞升降柱设备、电子班牌设备、计算机网络设备针对该项目的原厂质保函。</w:t>
      </w:r>
    </w:p>
    <w:p>
      <w:pPr>
        <w:keepNext/>
        <w:keepLines/>
        <w:widowControl w:val="0"/>
        <w:spacing w:line="578" w:lineRule="auto"/>
        <w:jc w:val="both"/>
        <w:outlineLvl w:val="0"/>
        <w:rPr>
          <w:rFonts w:hint="eastAsia" w:ascii="仿宋_GB2312" w:hAnsi="Calibri" w:eastAsia="仿宋_GB2312"/>
          <w:b/>
          <w:bCs/>
          <w:kern w:val="44"/>
          <w:sz w:val="30"/>
          <w:szCs w:val="44"/>
        </w:rPr>
      </w:pPr>
      <w:bookmarkStart w:id="45" w:name="_Toc520892704"/>
      <w:r>
        <w:rPr>
          <w:rFonts w:hint="eastAsia" w:ascii="仿宋_GB2312" w:hAnsi="Calibri" w:eastAsia="仿宋_GB2312"/>
          <w:b/>
          <w:bCs/>
          <w:kern w:val="44"/>
          <w:sz w:val="30"/>
          <w:szCs w:val="44"/>
        </w:rPr>
        <w:t>3.建设范围</w:t>
      </w:r>
      <w:bookmarkEnd w:id="45"/>
    </w:p>
    <w:p>
      <w:pPr>
        <w:widowControl w:val="0"/>
        <w:spacing w:line="360" w:lineRule="auto"/>
        <w:ind w:firstLine="315" w:firstLineChars="150"/>
        <w:jc w:val="both"/>
        <w:rPr>
          <w:rFonts w:hint="eastAsia" w:ascii="仿宋_GB2312" w:hAnsi="Calibri" w:eastAsia="仿宋_GB2312"/>
          <w:sz w:val="24"/>
          <w:szCs w:val="24"/>
        </w:rPr>
      </w:pPr>
      <w:r>
        <w:rPr>
          <w:rFonts w:hint="eastAsia" w:ascii="仿宋_GB2312" w:eastAsia="仿宋_GB2312"/>
          <w:lang/>
        </w:rPr>
        <w:drawing>
          <wp:anchor distT="0" distB="0" distL="114300" distR="114300" simplePos="0" relativeHeight="251659264" behindDoc="0" locked="0" layoutInCell="1" allowOverlap="1">
            <wp:simplePos x="0" y="0"/>
            <wp:positionH relativeFrom="column">
              <wp:posOffset>-82550</wp:posOffset>
            </wp:positionH>
            <wp:positionV relativeFrom="paragraph">
              <wp:posOffset>659130</wp:posOffset>
            </wp:positionV>
            <wp:extent cx="5708650" cy="4171315"/>
            <wp:effectExtent l="0" t="0" r="6350" b="63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708650" cy="4171315"/>
                    </a:xfrm>
                    <a:prstGeom prst="rect">
                      <a:avLst/>
                    </a:prstGeom>
                    <a:noFill/>
                    <a:ln>
                      <a:noFill/>
                    </a:ln>
                  </pic:spPr>
                </pic:pic>
              </a:graphicData>
            </a:graphic>
          </wp:anchor>
        </w:drawing>
      </w:r>
      <w:r>
        <w:rPr>
          <w:rFonts w:hint="eastAsia" w:ascii="仿宋_GB2312" w:hAnsi="Calibri" w:eastAsia="仿宋_GB2312"/>
          <w:sz w:val="24"/>
          <w:szCs w:val="24"/>
        </w:rPr>
        <w:t>本次项目改造范围为学军中学西溪校区整个校园，包含行政楼、体育艺术馆、图书馆、教学楼、食堂、科学馆、国际交流中心、群星楼、传达室及室外。</w:t>
      </w:r>
    </w:p>
    <w:p>
      <w:pPr>
        <w:keepNext/>
        <w:keepLines/>
        <w:widowControl w:val="0"/>
        <w:spacing w:line="578" w:lineRule="auto"/>
        <w:jc w:val="both"/>
        <w:outlineLvl w:val="0"/>
        <w:rPr>
          <w:rFonts w:hint="eastAsia" w:ascii="仿宋_GB2312" w:hAnsi="Calibri" w:eastAsia="仿宋_GB2312"/>
          <w:b/>
          <w:bCs/>
          <w:kern w:val="44"/>
          <w:sz w:val="30"/>
          <w:szCs w:val="44"/>
        </w:rPr>
      </w:pPr>
      <w:bookmarkStart w:id="46" w:name="_Toc520892705"/>
      <w:r>
        <w:rPr>
          <w:rFonts w:hint="eastAsia" w:ascii="仿宋_GB2312" w:hAnsi="Calibri" w:eastAsia="仿宋_GB2312"/>
          <w:b/>
          <w:bCs/>
          <w:kern w:val="44"/>
          <w:sz w:val="30"/>
          <w:szCs w:val="44"/>
        </w:rPr>
        <w:t>4.建设内容</w:t>
      </w:r>
      <w:bookmarkEnd w:id="46"/>
    </w:p>
    <w:p>
      <w:pPr>
        <w:widowControl w:val="0"/>
        <w:spacing w:line="360" w:lineRule="auto"/>
        <w:ind w:firstLine="360" w:firstLineChars="150"/>
        <w:jc w:val="both"/>
        <w:rPr>
          <w:rFonts w:hint="eastAsia" w:ascii="仿宋_GB2312" w:hAnsi="Calibri" w:eastAsia="仿宋_GB2312"/>
          <w:sz w:val="24"/>
          <w:szCs w:val="24"/>
        </w:rPr>
      </w:pPr>
      <w:r>
        <w:rPr>
          <w:rFonts w:hint="eastAsia" w:ascii="仿宋_GB2312" w:hAnsi="Calibri" w:eastAsia="仿宋_GB2312"/>
          <w:sz w:val="24"/>
          <w:szCs w:val="24"/>
        </w:rPr>
        <w:t>针对改造需求，本次设计改造内容主要包含以下几个部分：</w:t>
      </w:r>
    </w:p>
    <w:p>
      <w:pPr>
        <w:widowControl w:val="0"/>
        <w:numPr>
          <w:ilvl w:val="0"/>
          <w:numId w:val="17"/>
        </w:numPr>
        <w:spacing w:line="360" w:lineRule="auto"/>
        <w:jc w:val="both"/>
        <w:rPr>
          <w:rFonts w:hint="eastAsia" w:ascii="仿宋_GB2312" w:hAnsi="Calibri" w:eastAsia="仿宋_GB2312"/>
          <w:sz w:val="24"/>
          <w:szCs w:val="24"/>
        </w:rPr>
      </w:pPr>
      <w:r>
        <w:rPr>
          <w:rFonts w:hint="eastAsia" w:ascii="仿宋_GB2312" w:hAnsi="Calibri" w:eastAsia="仿宋_GB2312"/>
          <w:sz w:val="24"/>
          <w:szCs w:val="24"/>
        </w:rPr>
        <w:t>综合安防系统（视频监控、访客登记、人行通道）</w:t>
      </w:r>
    </w:p>
    <w:p>
      <w:pPr>
        <w:widowControl w:val="0"/>
        <w:numPr>
          <w:ilvl w:val="0"/>
          <w:numId w:val="17"/>
        </w:numPr>
        <w:spacing w:line="360" w:lineRule="auto"/>
        <w:jc w:val="both"/>
        <w:rPr>
          <w:rFonts w:hint="eastAsia" w:ascii="仿宋_GB2312" w:hAnsi="Calibri" w:eastAsia="仿宋_GB2312"/>
          <w:sz w:val="24"/>
          <w:szCs w:val="24"/>
        </w:rPr>
      </w:pPr>
      <w:r>
        <w:rPr>
          <w:rFonts w:hint="eastAsia" w:ascii="仿宋_GB2312" w:hAnsi="Calibri" w:eastAsia="仿宋_GB2312"/>
          <w:sz w:val="24"/>
          <w:szCs w:val="24"/>
        </w:rPr>
        <w:t>防撞升降柱系统</w:t>
      </w:r>
    </w:p>
    <w:p>
      <w:pPr>
        <w:widowControl w:val="0"/>
        <w:numPr>
          <w:ilvl w:val="0"/>
          <w:numId w:val="17"/>
        </w:numPr>
        <w:spacing w:line="360" w:lineRule="auto"/>
        <w:jc w:val="both"/>
        <w:rPr>
          <w:rFonts w:hint="eastAsia" w:ascii="仿宋_GB2312" w:hAnsi="Calibri" w:eastAsia="仿宋_GB2312"/>
          <w:sz w:val="24"/>
          <w:szCs w:val="24"/>
        </w:rPr>
      </w:pPr>
      <w:r>
        <w:rPr>
          <w:rFonts w:hint="eastAsia" w:ascii="仿宋_GB2312" w:hAnsi="Calibri" w:eastAsia="仿宋_GB2312"/>
          <w:sz w:val="24"/>
          <w:szCs w:val="24"/>
        </w:rPr>
        <w:t>电子班牌系统</w:t>
      </w:r>
    </w:p>
    <w:p>
      <w:pPr>
        <w:widowControl w:val="0"/>
        <w:numPr>
          <w:ilvl w:val="0"/>
          <w:numId w:val="17"/>
        </w:numPr>
        <w:spacing w:line="360" w:lineRule="auto"/>
        <w:jc w:val="both"/>
        <w:rPr>
          <w:rFonts w:hint="eastAsia" w:ascii="仿宋_GB2312" w:hAnsi="Calibri" w:eastAsia="仿宋_GB2312"/>
          <w:sz w:val="24"/>
          <w:szCs w:val="24"/>
        </w:rPr>
      </w:pPr>
      <w:r>
        <w:rPr>
          <w:rFonts w:hint="eastAsia" w:ascii="仿宋_GB2312" w:hAnsi="Calibri" w:eastAsia="仿宋_GB2312"/>
          <w:sz w:val="24"/>
          <w:szCs w:val="24"/>
        </w:rPr>
        <w:t>综合布线系统</w:t>
      </w:r>
    </w:p>
    <w:p>
      <w:pPr>
        <w:widowControl w:val="0"/>
        <w:numPr>
          <w:ilvl w:val="0"/>
          <w:numId w:val="17"/>
        </w:numPr>
        <w:spacing w:line="360" w:lineRule="auto"/>
        <w:jc w:val="both"/>
        <w:rPr>
          <w:rFonts w:hint="eastAsia" w:ascii="仿宋_GB2312" w:hAnsi="Calibri" w:eastAsia="仿宋_GB2312"/>
          <w:sz w:val="24"/>
          <w:szCs w:val="24"/>
        </w:rPr>
      </w:pPr>
      <w:r>
        <w:rPr>
          <w:rFonts w:hint="eastAsia" w:ascii="仿宋_GB2312" w:hAnsi="Calibri" w:eastAsia="仿宋_GB2312"/>
          <w:sz w:val="24"/>
          <w:szCs w:val="24"/>
        </w:rPr>
        <w:t>计算机网络系统</w:t>
      </w:r>
    </w:p>
    <w:p>
      <w:pPr>
        <w:widowControl w:val="0"/>
        <w:numPr>
          <w:ilvl w:val="0"/>
          <w:numId w:val="17"/>
        </w:numPr>
        <w:spacing w:line="360" w:lineRule="auto"/>
        <w:jc w:val="both"/>
        <w:rPr>
          <w:rFonts w:hint="eastAsia" w:ascii="仿宋_GB2312" w:hAnsi="Calibri" w:eastAsia="仿宋_GB2312"/>
          <w:sz w:val="24"/>
          <w:szCs w:val="24"/>
        </w:rPr>
      </w:pPr>
      <w:r>
        <w:rPr>
          <w:rFonts w:hint="eastAsia" w:ascii="仿宋_GB2312" w:hAnsi="Calibri" w:eastAsia="仿宋_GB2312"/>
          <w:sz w:val="24"/>
          <w:szCs w:val="24"/>
        </w:rPr>
        <w:t>综合管路系统</w:t>
      </w:r>
    </w:p>
    <w:p>
      <w:pPr>
        <w:rPr>
          <w:rFonts w:hint="eastAsia" w:ascii="仿宋_GB2312" w:hAnsi="Calibri" w:eastAsia="仿宋_GB2312"/>
          <w:sz w:val="24"/>
          <w:szCs w:val="24"/>
        </w:rPr>
      </w:pPr>
      <w:r>
        <w:rPr>
          <w:rFonts w:hint="eastAsia" w:ascii="仿宋_GB2312" w:hAnsi="Calibri" w:eastAsia="仿宋_GB2312"/>
          <w:sz w:val="24"/>
          <w:szCs w:val="24"/>
        </w:rPr>
        <w:br w:type="page"/>
      </w:r>
    </w:p>
    <w:p>
      <w:pPr>
        <w:keepNext/>
        <w:keepLines/>
        <w:widowControl w:val="0"/>
        <w:spacing w:line="578" w:lineRule="auto"/>
        <w:jc w:val="both"/>
        <w:outlineLvl w:val="0"/>
        <w:rPr>
          <w:rFonts w:hint="eastAsia" w:ascii="仿宋_GB2312" w:hAnsi="Calibri" w:eastAsia="仿宋_GB2312"/>
          <w:b/>
          <w:bCs/>
          <w:kern w:val="44"/>
          <w:sz w:val="30"/>
          <w:szCs w:val="44"/>
        </w:rPr>
      </w:pPr>
      <w:bookmarkStart w:id="47" w:name="_Toc520892706"/>
      <w:r>
        <w:rPr>
          <w:rFonts w:hint="eastAsia" w:ascii="仿宋_GB2312" w:hAnsi="Calibri" w:eastAsia="仿宋_GB2312"/>
          <w:b/>
          <w:bCs/>
          <w:kern w:val="44"/>
          <w:sz w:val="30"/>
          <w:szCs w:val="44"/>
        </w:rPr>
        <w:t>5.点位表</w:t>
      </w:r>
      <w:bookmarkEnd w:id="47"/>
    </w:p>
    <w:tbl>
      <w:tblPr>
        <w:tblStyle w:val="6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44"/>
        <w:gridCol w:w="874"/>
        <w:gridCol w:w="718"/>
        <w:gridCol w:w="850"/>
        <w:gridCol w:w="707"/>
        <w:gridCol w:w="709"/>
        <w:gridCol w:w="709"/>
        <w:gridCol w:w="707"/>
        <w:gridCol w:w="711"/>
        <w:gridCol w:w="990"/>
        <w:gridCol w:w="9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blHeader/>
        </w:trPr>
        <w:tc>
          <w:tcPr>
            <w:tcW w:w="378"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楼栋</w:t>
            </w: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楼层</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室内枪机</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室内半球</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室内球机</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室内AI</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室外枪机</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室外周界</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室外球机</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室外鹰眼球机</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防油污摄像机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378" w:type="pct"/>
            <w:vMerge w:val="restar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国际交流中心</w:t>
            </w: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1F</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6</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78" w:type="pct"/>
            <w:vMerge w:val="continue"/>
            <w:shd w:val="clear" w:color="auto" w:fill="auto"/>
            <w:noWrap w:val="0"/>
            <w:vAlign w:val="center"/>
          </w:tcPr>
          <w:p>
            <w:pPr>
              <w:rPr>
                <w:rFonts w:hint="eastAsia" w:ascii="仿宋_GB2312" w:hAnsi="宋体" w:eastAsia="仿宋_GB2312" w:cs="宋体"/>
                <w:kern w:val="0"/>
                <w:szCs w:val="21"/>
              </w:rPr>
            </w:pP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2F</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6</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78" w:type="pct"/>
            <w:vMerge w:val="continue"/>
            <w:shd w:val="clear" w:color="auto" w:fill="auto"/>
            <w:noWrap w:val="0"/>
            <w:vAlign w:val="center"/>
          </w:tcPr>
          <w:p>
            <w:pPr>
              <w:rPr>
                <w:rFonts w:hint="eastAsia" w:ascii="仿宋_GB2312" w:hAnsi="宋体" w:eastAsia="仿宋_GB2312" w:cs="宋体"/>
                <w:kern w:val="0"/>
                <w:szCs w:val="21"/>
              </w:rPr>
            </w:pP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3F</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5</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78" w:type="pct"/>
            <w:vMerge w:val="continue"/>
            <w:shd w:val="clear" w:color="auto" w:fill="auto"/>
            <w:noWrap w:val="0"/>
            <w:vAlign w:val="center"/>
          </w:tcPr>
          <w:p>
            <w:pPr>
              <w:rPr>
                <w:rFonts w:hint="eastAsia" w:ascii="仿宋_GB2312" w:hAnsi="宋体" w:eastAsia="仿宋_GB2312" w:cs="宋体"/>
                <w:kern w:val="0"/>
                <w:szCs w:val="21"/>
              </w:rPr>
            </w:pP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4F</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6</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78" w:type="pct"/>
            <w:vMerge w:val="continue"/>
            <w:shd w:val="clear" w:color="auto" w:fill="auto"/>
            <w:noWrap w:val="0"/>
            <w:vAlign w:val="center"/>
          </w:tcPr>
          <w:p>
            <w:pPr>
              <w:rPr>
                <w:rFonts w:hint="eastAsia" w:ascii="仿宋_GB2312" w:hAnsi="宋体" w:eastAsia="仿宋_GB2312" w:cs="宋体"/>
                <w:kern w:val="0"/>
                <w:szCs w:val="21"/>
              </w:rPr>
            </w:pP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5F</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5</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78" w:type="pct"/>
            <w:vMerge w:val="continue"/>
            <w:shd w:val="clear" w:color="auto" w:fill="auto"/>
            <w:noWrap w:val="0"/>
            <w:vAlign w:val="center"/>
          </w:tcPr>
          <w:p>
            <w:pPr>
              <w:rPr>
                <w:rFonts w:hint="eastAsia" w:ascii="仿宋_GB2312" w:hAnsi="宋体" w:eastAsia="仿宋_GB2312" w:cs="宋体"/>
                <w:kern w:val="0"/>
                <w:szCs w:val="21"/>
              </w:rPr>
            </w:pP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屋顶层</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78" w:type="pct"/>
            <w:vMerge w:val="restar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食堂</w:t>
            </w: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架空层</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14</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78" w:type="pct"/>
            <w:vMerge w:val="continue"/>
            <w:shd w:val="clear" w:color="auto" w:fill="auto"/>
            <w:noWrap w:val="0"/>
            <w:vAlign w:val="center"/>
          </w:tcPr>
          <w:p>
            <w:pPr>
              <w:rPr>
                <w:rFonts w:hint="eastAsia" w:ascii="仿宋_GB2312" w:hAnsi="宋体" w:eastAsia="仿宋_GB2312" w:cs="宋体"/>
                <w:kern w:val="0"/>
                <w:szCs w:val="21"/>
              </w:rPr>
            </w:pP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1F</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13</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78" w:type="pct"/>
            <w:vMerge w:val="continue"/>
            <w:shd w:val="clear" w:color="auto" w:fill="auto"/>
            <w:noWrap w:val="0"/>
            <w:vAlign w:val="center"/>
          </w:tcPr>
          <w:p>
            <w:pPr>
              <w:rPr>
                <w:rFonts w:hint="eastAsia" w:ascii="仿宋_GB2312" w:hAnsi="宋体" w:eastAsia="仿宋_GB2312" w:cs="宋体"/>
                <w:kern w:val="0"/>
                <w:szCs w:val="21"/>
              </w:rPr>
            </w:pP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2F</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15</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78" w:type="pct"/>
            <w:vMerge w:val="continue"/>
            <w:shd w:val="clear" w:color="auto" w:fill="auto"/>
            <w:noWrap w:val="0"/>
            <w:vAlign w:val="center"/>
          </w:tcPr>
          <w:p>
            <w:pPr>
              <w:rPr>
                <w:rFonts w:hint="eastAsia" w:ascii="仿宋_GB2312" w:hAnsi="宋体" w:eastAsia="仿宋_GB2312" w:cs="宋体"/>
                <w:kern w:val="0"/>
                <w:szCs w:val="21"/>
              </w:rPr>
            </w:pP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3F</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16</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78" w:type="pct"/>
            <w:vMerge w:val="continue"/>
            <w:shd w:val="clear" w:color="auto" w:fill="auto"/>
            <w:noWrap w:val="0"/>
            <w:vAlign w:val="center"/>
          </w:tcPr>
          <w:p>
            <w:pPr>
              <w:rPr>
                <w:rFonts w:hint="eastAsia" w:ascii="仿宋_GB2312" w:hAnsi="宋体" w:eastAsia="仿宋_GB2312" w:cs="宋体"/>
                <w:kern w:val="0"/>
                <w:szCs w:val="21"/>
              </w:rPr>
            </w:pP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屋顶层</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78" w:type="pct"/>
            <w:vMerge w:val="restar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体育艺术馆</w:t>
            </w: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架空层</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9</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78" w:type="pct"/>
            <w:vMerge w:val="continue"/>
            <w:shd w:val="clear" w:color="auto" w:fill="auto"/>
            <w:noWrap w:val="0"/>
            <w:vAlign w:val="center"/>
          </w:tcPr>
          <w:p>
            <w:pPr>
              <w:rPr>
                <w:rFonts w:hint="eastAsia" w:ascii="仿宋_GB2312" w:hAnsi="宋体" w:eastAsia="仿宋_GB2312" w:cs="宋体"/>
                <w:kern w:val="0"/>
                <w:szCs w:val="21"/>
              </w:rPr>
            </w:pP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1F</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11</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78" w:type="pct"/>
            <w:vMerge w:val="continue"/>
            <w:shd w:val="clear" w:color="auto" w:fill="auto"/>
            <w:noWrap w:val="0"/>
            <w:vAlign w:val="center"/>
          </w:tcPr>
          <w:p>
            <w:pPr>
              <w:rPr>
                <w:rFonts w:hint="eastAsia" w:ascii="仿宋_GB2312" w:hAnsi="宋体" w:eastAsia="仿宋_GB2312" w:cs="宋体"/>
                <w:kern w:val="0"/>
                <w:szCs w:val="21"/>
              </w:rPr>
            </w:pP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2F</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78" w:type="pct"/>
            <w:vMerge w:val="continue"/>
            <w:shd w:val="clear" w:color="auto" w:fill="auto"/>
            <w:noWrap w:val="0"/>
            <w:vAlign w:val="center"/>
          </w:tcPr>
          <w:p>
            <w:pPr>
              <w:rPr>
                <w:rFonts w:hint="eastAsia" w:ascii="仿宋_GB2312" w:hAnsi="宋体" w:eastAsia="仿宋_GB2312" w:cs="宋体"/>
                <w:kern w:val="0"/>
                <w:szCs w:val="21"/>
              </w:rPr>
            </w:pP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3F</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78" w:type="pct"/>
            <w:vMerge w:val="restar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行政楼</w:t>
            </w: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架空层</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78" w:type="pct"/>
            <w:vMerge w:val="continue"/>
            <w:shd w:val="clear" w:color="auto" w:fill="auto"/>
            <w:noWrap w:val="0"/>
            <w:vAlign w:val="center"/>
          </w:tcPr>
          <w:p>
            <w:pPr>
              <w:rPr>
                <w:rFonts w:hint="eastAsia" w:ascii="仿宋_GB2312" w:hAnsi="宋体" w:eastAsia="仿宋_GB2312" w:cs="宋体"/>
                <w:kern w:val="0"/>
                <w:szCs w:val="21"/>
              </w:rPr>
            </w:pP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1F</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78" w:type="pct"/>
            <w:vMerge w:val="continue"/>
            <w:shd w:val="clear" w:color="auto" w:fill="auto"/>
            <w:noWrap w:val="0"/>
            <w:vAlign w:val="center"/>
          </w:tcPr>
          <w:p>
            <w:pPr>
              <w:rPr>
                <w:rFonts w:hint="eastAsia" w:ascii="仿宋_GB2312" w:hAnsi="宋体" w:eastAsia="仿宋_GB2312" w:cs="宋体"/>
                <w:kern w:val="0"/>
                <w:szCs w:val="21"/>
              </w:rPr>
            </w:pP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1F夹层</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78" w:type="pct"/>
            <w:vMerge w:val="continue"/>
            <w:shd w:val="clear" w:color="auto" w:fill="auto"/>
            <w:noWrap w:val="0"/>
            <w:vAlign w:val="center"/>
          </w:tcPr>
          <w:p>
            <w:pPr>
              <w:rPr>
                <w:rFonts w:hint="eastAsia" w:ascii="仿宋_GB2312" w:hAnsi="宋体" w:eastAsia="仿宋_GB2312" w:cs="宋体"/>
                <w:kern w:val="0"/>
                <w:szCs w:val="21"/>
              </w:rPr>
            </w:pP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2F</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78" w:type="pct"/>
            <w:vMerge w:val="continue"/>
            <w:shd w:val="clear" w:color="auto" w:fill="auto"/>
            <w:noWrap w:val="0"/>
            <w:vAlign w:val="center"/>
          </w:tcPr>
          <w:p>
            <w:pPr>
              <w:rPr>
                <w:rFonts w:hint="eastAsia" w:ascii="仿宋_GB2312" w:hAnsi="宋体" w:eastAsia="仿宋_GB2312" w:cs="宋体"/>
                <w:kern w:val="0"/>
                <w:szCs w:val="21"/>
              </w:rPr>
            </w:pP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3F</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78" w:type="pct"/>
            <w:vMerge w:val="continue"/>
            <w:shd w:val="clear" w:color="auto" w:fill="auto"/>
            <w:noWrap w:val="0"/>
            <w:vAlign w:val="center"/>
          </w:tcPr>
          <w:p>
            <w:pPr>
              <w:rPr>
                <w:rFonts w:hint="eastAsia" w:ascii="仿宋_GB2312" w:hAnsi="宋体" w:eastAsia="仿宋_GB2312" w:cs="宋体"/>
                <w:kern w:val="0"/>
                <w:szCs w:val="21"/>
              </w:rPr>
            </w:pP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4F</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0" w:hRule="atLeast"/>
        </w:trPr>
        <w:tc>
          <w:tcPr>
            <w:tcW w:w="378" w:type="pct"/>
            <w:vMerge w:val="restar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图书馆</w:t>
            </w: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架空层（杂志阅览）</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78" w:type="pct"/>
            <w:vMerge w:val="continue"/>
            <w:shd w:val="clear" w:color="auto" w:fill="auto"/>
            <w:noWrap w:val="0"/>
            <w:vAlign w:val="center"/>
          </w:tcPr>
          <w:p>
            <w:pPr>
              <w:rPr>
                <w:rFonts w:hint="eastAsia" w:ascii="仿宋_GB2312" w:hAnsi="宋体" w:eastAsia="仿宋_GB2312" w:cs="宋体"/>
                <w:kern w:val="0"/>
                <w:szCs w:val="21"/>
              </w:rPr>
            </w:pP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1F</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9</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78" w:type="pct"/>
            <w:vMerge w:val="continue"/>
            <w:shd w:val="clear" w:color="auto" w:fill="auto"/>
            <w:noWrap w:val="0"/>
            <w:vAlign w:val="center"/>
          </w:tcPr>
          <w:p>
            <w:pPr>
              <w:rPr>
                <w:rFonts w:hint="eastAsia" w:ascii="仿宋_GB2312" w:hAnsi="宋体" w:eastAsia="仿宋_GB2312" w:cs="宋体"/>
                <w:kern w:val="0"/>
                <w:szCs w:val="21"/>
              </w:rPr>
            </w:pP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2F</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11</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78" w:type="pct"/>
            <w:vMerge w:val="continue"/>
            <w:shd w:val="clear" w:color="auto" w:fill="auto"/>
            <w:noWrap w:val="0"/>
            <w:vAlign w:val="center"/>
          </w:tcPr>
          <w:p>
            <w:pPr>
              <w:rPr>
                <w:rFonts w:hint="eastAsia" w:ascii="仿宋_GB2312" w:hAnsi="宋体" w:eastAsia="仿宋_GB2312" w:cs="宋体"/>
                <w:kern w:val="0"/>
                <w:szCs w:val="21"/>
              </w:rPr>
            </w:pP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3F</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378" w:type="pct"/>
            <w:vMerge w:val="restar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科学实验楼</w:t>
            </w: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1F</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78" w:type="pct"/>
            <w:vMerge w:val="continue"/>
            <w:shd w:val="clear" w:color="auto" w:fill="auto"/>
            <w:noWrap w:val="0"/>
            <w:vAlign w:val="center"/>
          </w:tcPr>
          <w:p>
            <w:pPr>
              <w:rPr>
                <w:rFonts w:hint="eastAsia" w:ascii="仿宋_GB2312" w:hAnsi="宋体" w:eastAsia="仿宋_GB2312" w:cs="宋体"/>
                <w:kern w:val="0"/>
                <w:szCs w:val="21"/>
              </w:rPr>
            </w:pP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2F</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11</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78" w:type="pct"/>
            <w:vMerge w:val="continue"/>
            <w:shd w:val="clear" w:color="auto" w:fill="auto"/>
            <w:noWrap w:val="0"/>
            <w:vAlign w:val="center"/>
          </w:tcPr>
          <w:p>
            <w:pPr>
              <w:rPr>
                <w:rFonts w:hint="eastAsia" w:ascii="仿宋_GB2312" w:hAnsi="宋体" w:eastAsia="仿宋_GB2312" w:cs="宋体"/>
                <w:kern w:val="0"/>
                <w:szCs w:val="21"/>
              </w:rPr>
            </w:pP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3F</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9</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78" w:type="pct"/>
            <w:vMerge w:val="continue"/>
            <w:shd w:val="clear" w:color="auto" w:fill="auto"/>
            <w:noWrap w:val="0"/>
            <w:vAlign w:val="center"/>
          </w:tcPr>
          <w:p>
            <w:pPr>
              <w:rPr>
                <w:rFonts w:hint="eastAsia" w:ascii="仿宋_GB2312" w:hAnsi="宋体" w:eastAsia="仿宋_GB2312" w:cs="宋体"/>
                <w:kern w:val="0"/>
                <w:szCs w:val="21"/>
              </w:rPr>
            </w:pP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4F</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9</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78" w:type="pct"/>
            <w:vMerge w:val="continue"/>
            <w:shd w:val="clear" w:color="auto" w:fill="auto"/>
            <w:noWrap w:val="0"/>
            <w:vAlign w:val="center"/>
          </w:tcPr>
          <w:p>
            <w:pPr>
              <w:rPr>
                <w:rFonts w:hint="eastAsia" w:ascii="仿宋_GB2312" w:hAnsi="宋体" w:eastAsia="仿宋_GB2312" w:cs="宋体"/>
                <w:kern w:val="0"/>
                <w:szCs w:val="21"/>
              </w:rPr>
            </w:pP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5F</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12</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78" w:type="pct"/>
            <w:vMerge w:val="continue"/>
            <w:shd w:val="clear" w:color="auto" w:fill="auto"/>
            <w:noWrap w:val="0"/>
            <w:vAlign w:val="center"/>
          </w:tcPr>
          <w:p>
            <w:pPr>
              <w:rPr>
                <w:rFonts w:hint="eastAsia" w:ascii="仿宋_GB2312" w:hAnsi="宋体" w:eastAsia="仿宋_GB2312" w:cs="宋体"/>
                <w:kern w:val="0"/>
                <w:szCs w:val="21"/>
              </w:rPr>
            </w:pP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6F</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12</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378" w:type="pct"/>
            <w:vMerge w:val="restar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教学楼</w:t>
            </w: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架空层</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5</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78" w:type="pct"/>
            <w:vMerge w:val="continue"/>
            <w:shd w:val="clear" w:color="auto" w:fill="auto"/>
            <w:noWrap w:val="0"/>
            <w:vAlign w:val="center"/>
          </w:tcPr>
          <w:p>
            <w:pPr>
              <w:rPr>
                <w:rFonts w:hint="eastAsia" w:ascii="仿宋_GB2312" w:hAnsi="宋体" w:eastAsia="仿宋_GB2312" w:cs="宋体"/>
                <w:kern w:val="0"/>
                <w:szCs w:val="21"/>
              </w:rPr>
            </w:pP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1F</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78" w:type="pct"/>
            <w:vMerge w:val="continue"/>
            <w:shd w:val="clear" w:color="auto" w:fill="auto"/>
            <w:noWrap w:val="0"/>
            <w:vAlign w:val="center"/>
          </w:tcPr>
          <w:p>
            <w:pPr>
              <w:rPr>
                <w:rFonts w:hint="eastAsia" w:ascii="仿宋_GB2312" w:hAnsi="宋体" w:eastAsia="仿宋_GB2312" w:cs="宋体"/>
                <w:kern w:val="0"/>
                <w:szCs w:val="21"/>
              </w:rPr>
            </w:pP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2F</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78" w:type="pct"/>
            <w:vMerge w:val="continue"/>
            <w:shd w:val="clear" w:color="auto" w:fill="auto"/>
            <w:noWrap w:val="0"/>
            <w:vAlign w:val="center"/>
          </w:tcPr>
          <w:p>
            <w:pPr>
              <w:rPr>
                <w:rFonts w:hint="eastAsia" w:ascii="仿宋_GB2312" w:hAnsi="宋体" w:eastAsia="仿宋_GB2312" w:cs="宋体"/>
                <w:kern w:val="0"/>
                <w:szCs w:val="21"/>
              </w:rPr>
            </w:pP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3F</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78" w:type="pct"/>
            <w:vMerge w:val="continue"/>
            <w:shd w:val="clear" w:color="auto" w:fill="auto"/>
            <w:noWrap w:val="0"/>
            <w:vAlign w:val="center"/>
          </w:tcPr>
          <w:p>
            <w:pPr>
              <w:rPr>
                <w:rFonts w:hint="eastAsia" w:ascii="仿宋_GB2312" w:hAnsi="宋体" w:eastAsia="仿宋_GB2312" w:cs="宋体"/>
                <w:kern w:val="0"/>
                <w:szCs w:val="21"/>
              </w:rPr>
            </w:pP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4F</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9</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78" w:type="pct"/>
            <w:vMerge w:val="continue"/>
            <w:shd w:val="clear" w:color="auto" w:fill="auto"/>
            <w:noWrap w:val="0"/>
            <w:vAlign w:val="center"/>
          </w:tcPr>
          <w:p>
            <w:pPr>
              <w:rPr>
                <w:rFonts w:hint="eastAsia" w:ascii="仿宋_GB2312" w:hAnsi="宋体" w:eastAsia="仿宋_GB2312" w:cs="宋体"/>
                <w:kern w:val="0"/>
                <w:szCs w:val="21"/>
              </w:rPr>
            </w:pP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5F</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9</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78" w:type="pct"/>
            <w:vMerge w:val="continue"/>
            <w:shd w:val="clear" w:color="auto" w:fill="auto"/>
            <w:noWrap w:val="0"/>
            <w:vAlign w:val="center"/>
          </w:tcPr>
          <w:p>
            <w:pPr>
              <w:rPr>
                <w:rFonts w:hint="eastAsia" w:ascii="仿宋_GB2312" w:hAnsi="宋体" w:eastAsia="仿宋_GB2312" w:cs="宋体"/>
                <w:kern w:val="0"/>
                <w:szCs w:val="21"/>
              </w:rPr>
            </w:pP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屋顶层</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378" w:type="pct"/>
            <w:vMerge w:val="restar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群星楼</w:t>
            </w: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B1</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15</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78" w:type="pct"/>
            <w:vMerge w:val="continue"/>
            <w:shd w:val="clear" w:color="auto" w:fill="auto"/>
            <w:noWrap w:val="0"/>
            <w:vAlign w:val="center"/>
          </w:tcPr>
          <w:p>
            <w:pPr>
              <w:rPr>
                <w:rFonts w:hint="eastAsia" w:ascii="仿宋_GB2312" w:hAnsi="宋体" w:eastAsia="仿宋_GB2312" w:cs="宋体"/>
                <w:kern w:val="0"/>
                <w:szCs w:val="21"/>
              </w:rPr>
            </w:pP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架空层</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5</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5</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78" w:type="pct"/>
            <w:vMerge w:val="continue"/>
            <w:shd w:val="clear" w:color="auto" w:fill="auto"/>
            <w:noWrap w:val="0"/>
            <w:vAlign w:val="center"/>
          </w:tcPr>
          <w:p>
            <w:pPr>
              <w:rPr>
                <w:rFonts w:hint="eastAsia" w:ascii="仿宋_GB2312" w:hAnsi="宋体" w:eastAsia="仿宋_GB2312" w:cs="宋体"/>
                <w:kern w:val="0"/>
                <w:szCs w:val="21"/>
              </w:rPr>
            </w:pP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1F</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16</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6</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78" w:type="pct"/>
            <w:vMerge w:val="continue"/>
            <w:shd w:val="clear" w:color="auto" w:fill="auto"/>
            <w:noWrap w:val="0"/>
            <w:vAlign w:val="center"/>
          </w:tcPr>
          <w:p>
            <w:pPr>
              <w:rPr>
                <w:rFonts w:hint="eastAsia" w:ascii="仿宋_GB2312" w:hAnsi="宋体" w:eastAsia="仿宋_GB2312" w:cs="宋体"/>
                <w:kern w:val="0"/>
                <w:szCs w:val="21"/>
              </w:rPr>
            </w:pP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2F</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12</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6</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78" w:type="pct"/>
            <w:vMerge w:val="continue"/>
            <w:shd w:val="clear" w:color="auto" w:fill="auto"/>
            <w:noWrap w:val="0"/>
            <w:vAlign w:val="center"/>
          </w:tcPr>
          <w:p>
            <w:pPr>
              <w:rPr>
                <w:rFonts w:hint="eastAsia" w:ascii="仿宋_GB2312" w:hAnsi="宋体" w:eastAsia="仿宋_GB2312" w:cs="宋体"/>
                <w:kern w:val="0"/>
                <w:szCs w:val="21"/>
              </w:rPr>
            </w:pP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3F</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6</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78" w:type="pct"/>
            <w:vMerge w:val="continue"/>
            <w:shd w:val="clear" w:color="auto" w:fill="auto"/>
            <w:noWrap w:val="0"/>
            <w:vAlign w:val="center"/>
          </w:tcPr>
          <w:p>
            <w:pPr>
              <w:rPr>
                <w:rFonts w:hint="eastAsia" w:ascii="仿宋_GB2312" w:hAnsi="宋体" w:eastAsia="仿宋_GB2312" w:cs="宋体"/>
                <w:kern w:val="0"/>
                <w:szCs w:val="21"/>
              </w:rPr>
            </w:pP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4F</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6</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78" w:type="pct"/>
            <w:vMerge w:val="continue"/>
            <w:shd w:val="clear" w:color="auto" w:fill="auto"/>
            <w:noWrap w:val="0"/>
            <w:vAlign w:val="center"/>
          </w:tcPr>
          <w:p>
            <w:pPr>
              <w:rPr>
                <w:rFonts w:hint="eastAsia" w:ascii="仿宋_GB2312" w:hAnsi="宋体" w:eastAsia="仿宋_GB2312" w:cs="宋体"/>
                <w:kern w:val="0"/>
                <w:szCs w:val="21"/>
              </w:rPr>
            </w:pP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5F</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9</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6</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78"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室外</w:t>
            </w: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60</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31</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78"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总计</w:t>
            </w: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2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279</w:t>
            </w:r>
          </w:p>
        </w:tc>
        <w:tc>
          <w:tcPr>
            <w:tcW w:w="49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119</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5</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74</w:t>
            </w:r>
          </w:p>
        </w:tc>
        <w:tc>
          <w:tcPr>
            <w:tcW w:w="416"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60</w:t>
            </w:r>
          </w:p>
        </w:tc>
        <w:tc>
          <w:tcPr>
            <w:tcW w:w="415"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31</w:t>
            </w:r>
          </w:p>
        </w:tc>
        <w:tc>
          <w:tcPr>
            <w:tcW w:w="417"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581"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5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27</w:t>
            </w:r>
          </w:p>
        </w:tc>
      </w:tr>
    </w:tbl>
    <w:p>
      <w:pPr>
        <w:widowControl w:val="0"/>
        <w:spacing w:line="360" w:lineRule="auto"/>
        <w:ind w:firstLine="480" w:firstLineChars="200"/>
        <w:jc w:val="both"/>
        <w:rPr>
          <w:rFonts w:hint="eastAsia" w:ascii="仿宋_GB2312" w:hAnsi="Calibri" w:eastAsia="仿宋_GB2312"/>
          <w:sz w:val="24"/>
          <w:szCs w:val="24"/>
        </w:rPr>
      </w:pPr>
      <w:r>
        <w:rPr>
          <w:rFonts w:hint="eastAsia" w:ascii="仿宋_GB2312" w:hAnsi="Calibri" w:eastAsia="仿宋_GB2312"/>
          <w:sz w:val="24"/>
          <w:szCs w:val="24"/>
        </w:rPr>
        <w:t>此外，预留2台布控球，在校园操场、科学馆附近区域共设置2台一键报警柱，在校园南门传达室内设置1台访客机，在校园南门设置1套单通道人脸识别闸机和1套防撞升降柱，在男女生宿舍外部出入口位置各设置1套双通道人脸识别闸机。结合群星楼和旧教学楼的教室数量，并考虑一定预留，本次建设暂定配置55台电子班牌。</w:t>
      </w:r>
    </w:p>
    <w:p>
      <w:pPr>
        <w:rPr>
          <w:rFonts w:hint="eastAsia" w:ascii="仿宋_GB2312" w:hAnsi="Calibri" w:eastAsia="仿宋_GB2312"/>
          <w:sz w:val="24"/>
          <w:szCs w:val="24"/>
        </w:rPr>
      </w:pPr>
    </w:p>
    <w:p>
      <w:pPr>
        <w:keepNext/>
        <w:keepLines/>
        <w:widowControl w:val="0"/>
        <w:spacing w:line="578" w:lineRule="auto"/>
        <w:jc w:val="both"/>
        <w:outlineLvl w:val="0"/>
        <w:rPr>
          <w:rFonts w:hint="eastAsia" w:ascii="仿宋_GB2312" w:hAnsi="Calibri" w:eastAsia="仿宋_GB2312"/>
          <w:b/>
          <w:bCs/>
          <w:kern w:val="44"/>
          <w:sz w:val="30"/>
          <w:szCs w:val="44"/>
        </w:rPr>
      </w:pPr>
      <w:r>
        <w:rPr>
          <w:rFonts w:hint="eastAsia" w:ascii="仿宋_GB2312" w:hAnsi="Calibri" w:eastAsia="仿宋_GB2312"/>
          <w:b/>
          <w:bCs/>
          <w:kern w:val="44"/>
          <w:sz w:val="30"/>
          <w:szCs w:val="44"/>
        </w:rPr>
        <w:t>6.建设方案</w:t>
      </w:r>
    </w:p>
    <w:p>
      <w:pPr>
        <w:keepNext/>
        <w:keepLines/>
        <w:widowControl w:val="0"/>
        <w:spacing w:line="415" w:lineRule="auto"/>
        <w:jc w:val="both"/>
        <w:outlineLvl w:val="1"/>
        <w:rPr>
          <w:rFonts w:hint="eastAsia" w:ascii="仿宋_GB2312" w:hAnsi="Cambria" w:eastAsia="仿宋_GB2312"/>
          <w:b/>
          <w:bCs/>
          <w:sz w:val="28"/>
          <w:szCs w:val="32"/>
        </w:rPr>
      </w:pPr>
      <w:bookmarkStart w:id="48" w:name="_Toc520892708"/>
      <w:r>
        <w:rPr>
          <w:rFonts w:hint="eastAsia" w:ascii="仿宋_GB2312" w:hAnsi="Cambria" w:eastAsia="仿宋_GB2312"/>
          <w:b/>
          <w:bCs/>
          <w:sz w:val="28"/>
          <w:szCs w:val="32"/>
        </w:rPr>
        <w:t>6.1综合安防系统</w:t>
      </w:r>
      <w:bookmarkEnd w:id="48"/>
    </w:p>
    <w:p>
      <w:pPr>
        <w:keepNext/>
        <w:keepLines/>
        <w:widowControl w:val="0"/>
        <w:spacing w:line="415" w:lineRule="auto"/>
        <w:jc w:val="both"/>
        <w:outlineLvl w:val="2"/>
        <w:rPr>
          <w:rFonts w:hint="eastAsia" w:ascii="仿宋_GB2312" w:hAnsi="Calibri" w:eastAsia="仿宋_GB2312"/>
          <w:b/>
          <w:bCs/>
          <w:sz w:val="28"/>
          <w:szCs w:val="32"/>
        </w:rPr>
      </w:pPr>
      <w:r>
        <w:rPr>
          <w:rFonts w:hint="eastAsia" w:ascii="仿宋_GB2312" w:hAnsi="Calibri" w:eastAsia="仿宋_GB2312"/>
          <w:b/>
          <w:bCs/>
          <w:sz w:val="28"/>
          <w:szCs w:val="32"/>
        </w:rPr>
        <w:t>6.1.1系统概述</w:t>
      </w:r>
    </w:p>
    <w:p>
      <w:pPr>
        <w:widowControl w:val="0"/>
        <w:spacing w:line="360" w:lineRule="auto"/>
        <w:ind w:firstLine="480" w:firstLineChars="200"/>
        <w:jc w:val="both"/>
        <w:rPr>
          <w:rFonts w:hint="eastAsia" w:ascii="仿宋_GB2312" w:hAnsi="Calibri" w:eastAsia="仿宋_GB2312"/>
          <w:sz w:val="24"/>
          <w:szCs w:val="24"/>
        </w:rPr>
      </w:pPr>
      <w:r>
        <w:rPr>
          <w:rFonts w:hint="eastAsia" w:ascii="仿宋_GB2312" w:hAnsi="Calibri" w:eastAsia="仿宋_GB2312"/>
          <w:sz w:val="24"/>
          <w:szCs w:val="24"/>
        </w:rPr>
        <w:t>本次建设监控系统采用全网络架构，单独组网。基于业内最新的H.265编码技术，将前端的视频监控信号传送到监控总机房，即南校门门卫室进行显示、管理。磁盘阵列、网络硬盘录像机设置在科学楼六楼的信息机房内，由于网络具有灵活的扩展性，因此该套系统建成后也可以根据日后监管情况，方便、高效的扩充部署，安装、维护方便。</w:t>
      </w:r>
    </w:p>
    <w:p>
      <w:pPr>
        <w:widowControl w:val="0"/>
        <w:spacing w:line="360" w:lineRule="auto"/>
        <w:ind w:firstLine="480" w:firstLineChars="200"/>
        <w:jc w:val="both"/>
        <w:rPr>
          <w:rFonts w:hint="eastAsia" w:ascii="仿宋_GB2312" w:hAnsi="Calibri" w:eastAsia="仿宋_GB2312"/>
          <w:sz w:val="24"/>
          <w:szCs w:val="24"/>
        </w:rPr>
      </w:pPr>
      <w:r>
        <w:rPr>
          <w:rFonts w:hint="eastAsia" w:ascii="仿宋_GB2312" w:hAnsi="Calibri" w:eastAsia="仿宋_GB2312"/>
          <w:sz w:val="24"/>
          <w:szCs w:val="24"/>
        </w:rPr>
        <w:t>本项目由于是改造项目，目前地下管网基本已无可用空间，因此传输网络部分按新建设计，为了减少施工难度，本次设计室内摄像机除球机外全部采用铜缆接口并支持POE供电，室外摄像机考虑到环境因素，采用光纤+光纤收发器的方式，并按就近原则引至最近的建筑内接入光接口交换机。</w:t>
      </w:r>
    </w:p>
    <w:p>
      <w:pPr>
        <w:widowControl w:val="0"/>
        <w:spacing w:line="360" w:lineRule="auto"/>
        <w:ind w:firstLine="315" w:firstLineChars="150"/>
        <w:jc w:val="both"/>
        <w:rPr>
          <w:rFonts w:hint="eastAsia" w:ascii="仿宋_GB2312" w:hAnsi="Calibri" w:eastAsia="仿宋_GB2312"/>
          <w:sz w:val="24"/>
          <w:szCs w:val="24"/>
        </w:rPr>
      </w:pPr>
      <w:r>
        <w:rPr>
          <w:rFonts w:hint="eastAsia" w:ascii="仿宋_GB2312" w:hAnsi="Calibri" w:eastAsia="仿宋_GB2312"/>
          <w:szCs w:val="22"/>
          <w:lang/>
        </w:rPr>
        <w:drawing>
          <wp:inline distT="0" distB="0" distL="114300" distR="114300">
            <wp:extent cx="5275580" cy="3232785"/>
            <wp:effectExtent l="0" t="0" r="1270"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5275580" cy="3232785"/>
                    </a:xfrm>
                    <a:prstGeom prst="rect">
                      <a:avLst/>
                    </a:prstGeom>
                    <a:noFill/>
                    <a:ln>
                      <a:noFill/>
                    </a:ln>
                  </pic:spPr>
                </pic:pic>
              </a:graphicData>
            </a:graphic>
          </wp:inline>
        </w:drawing>
      </w:r>
    </w:p>
    <w:p>
      <w:pPr>
        <w:widowControl w:val="0"/>
        <w:spacing w:line="360" w:lineRule="auto"/>
        <w:ind w:firstLine="360" w:firstLineChars="150"/>
        <w:jc w:val="both"/>
        <w:rPr>
          <w:rFonts w:hint="eastAsia" w:ascii="仿宋_GB2312" w:hAnsi="Calibri" w:eastAsia="仿宋_GB2312"/>
          <w:sz w:val="24"/>
          <w:szCs w:val="24"/>
        </w:rPr>
      </w:pPr>
      <w:r>
        <w:rPr>
          <w:rFonts w:hint="eastAsia" w:ascii="仿宋_GB2312" w:hAnsi="Calibri" w:eastAsia="仿宋_GB2312"/>
          <w:sz w:val="24"/>
          <w:szCs w:val="24"/>
        </w:rPr>
        <w:t>本次综合安防系统包含视频监控系统、阳光厨房及智能物联系统、人行道闸及访客登记系统。</w:t>
      </w:r>
    </w:p>
    <w:p>
      <w:pPr>
        <w:keepNext/>
        <w:keepLines/>
        <w:widowControl w:val="0"/>
        <w:spacing w:line="415" w:lineRule="auto"/>
        <w:jc w:val="both"/>
        <w:outlineLvl w:val="2"/>
        <w:rPr>
          <w:rFonts w:hint="eastAsia" w:ascii="仿宋_GB2312" w:hAnsi="Calibri" w:eastAsia="仿宋_GB2312"/>
          <w:b/>
          <w:bCs/>
          <w:sz w:val="28"/>
          <w:szCs w:val="32"/>
        </w:rPr>
      </w:pPr>
      <w:r>
        <w:rPr>
          <w:rFonts w:hint="eastAsia" w:ascii="仿宋_GB2312" w:hAnsi="Calibri" w:eastAsia="仿宋_GB2312"/>
          <w:b/>
          <w:bCs/>
          <w:sz w:val="28"/>
          <w:szCs w:val="32"/>
        </w:rPr>
        <w:t>6.1.2系统清单</w:t>
      </w:r>
    </w:p>
    <w:tbl>
      <w:tblPr>
        <w:tblStyle w:val="64"/>
        <w:tblW w:w="5000" w:type="pct"/>
        <w:tblInd w:w="0" w:type="dxa"/>
        <w:tblLayout w:type="autofit"/>
        <w:tblCellMar>
          <w:top w:w="0" w:type="dxa"/>
          <w:left w:w="108" w:type="dxa"/>
          <w:bottom w:w="0" w:type="dxa"/>
          <w:right w:w="108" w:type="dxa"/>
        </w:tblCellMar>
      </w:tblPr>
      <w:tblGrid>
        <w:gridCol w:w="696"/>
        <w:gridCol w:w="1878"/>
        <w:gridCol w:w="4522"/>
        <w:gridCol w:w="695"/>
        <w:gridCol w:w="731"/>
      </w:tblGrid>
      <w:tr>
        <w:tblPrEx>
          <w:tblCellMar>
            <w:top w:w="0" w:type="dxa"/>
            <w:left w:w="108" w:type="dxa"/>
            <w:bottom w:w="0" w:type="dxa"/>
            <w:right w:w="108" w:type="dxa"/>
          </w:tblCellMar>
        </w:tblPrEx>
        <w:trPr>
          <w:trHeight w:val="270" w:hRule="atLeast"/>
          <w:tblHeader/>
        </w:trPr>
        <w:tc>
          <w:tcPr>
            <w:tcW w:w="408"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序号</w:t>
            </w:r>
          </w:p>
        </w:tc>
        <w:tc>
          <w:tcPr>
            <w:tcW w:w="1102" w:type="pct"/>
            <w:tcBorders>
              <w:top w:val="single" w:color="auto" w:sz="4" w:space="0"/>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名称</w:t>
            </w:r>
          </w:p>
        </w:tc>
        <w:tc>
          <w:tcPr>
            <w:tcW w:w="2653" w:type="pct"/>
            <w:tcBorders>
              <w:top w:val="single" w:color="auto" w:sz="4" w:space="0"/>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主要参数</w:t>
            </w:r>
          </w:p>
        </w:tc>
        <w:tc>
          <w:tcPr>
            <w:tcW w:w="408" w:type="pct"/>
            <w:tcBorders>
              <w:top w:val="single" w:color="auto" w:sz="4" w:space="0"/>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单位</w:t>
            </w:r>
          </w:p>
        </w:tc>
        <w:tc>
          <w:tcPr>
            <w:tcW w:w="429" w:type="pct"/>
            <w:tcBorders>
              <w:top w:val="single" w:color="auto" w:sz="4" w:space="0"/>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数量</w:t>
            </w:r>
          </w:p>
        </w:tc>
      </w:tr>
      <w:tr>
        <w:tblPrEx>
          <w:tblCellMar>
            <w:top w:w="0" w:type="dxa"/>
            <w:left w:w="108" w:type="dxa"/>
            <w:bottom w:w="0" w:type="dxa"/>
            <w:right w:w="108" w:type="dxa"/>
          </w:tblCellMar>
        </w:tblPrEx>
        <w:trPr>
          <w:trHeight w:val="27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102"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视频监控</w:t>
            </w:r>
          </w:p>
        </w:tc>
        <w:tc>
          <w:tcPr>
            <w:tcW w:w="2653"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　</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　</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★室内枪型彩色摄像机</w:t>
            </w:r>
            <w:r>
              <w:rPr>
                <w:rFonts w:hint="eastAsia" w:ascii="仿宋_GB2312" w:hAnsi="宋体" w:eastAsia="仿宋_GB2312" w:cs="宋体"/>
                <w:b/>
                <w:kern w:val="0"/>
                <w:szCs w:val="21"/>
              </w:rPr>
              <w:t>（核心设备）</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具有400万像素CMOS传感器。</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最大分辨率2560x1440。</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需具有20路取流路数能力，以满足更多用户同时在线访问摄像机视频。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最低照度彩色：0.0008lx，黑白：0.0001lx，灰度等级不小于11级。</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红外补光距离不小于85米。</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需支持三码流技术，可同时输出三路码流，主码流最高2560x1440@30fps，第三码流最大2560x1440@30fps，子码流704x576@30fps。</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在2560x1440@25fps下，清晰度不小于1400TVL。</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支持H.264、H.265、MJPEG视频编码格式，且具有HighProfile编码能力。</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信噪比不小于55dB。</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需具有黑白名单功能，其中白名单可添加不小于10个IP地址。</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需具备人脸检测、区域入侵检测、越界检测、虚焦检测、进入区域、离开区域、徘徊、人员聚集、逆行、场景变更等功能。</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需具有电子防抖、ROI感兴趣区域、SVC可伸缩编码、自动增益、背光补偿、数字降噪、强光抑制、走廊模式、视频水印等功能。</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摄像机能够在-30~60摄氏度，湿度小于93%环境下稳定工作。</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设备与客户端之间用100米网线进行传输，数据包丢包率小于0.1%。</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不低于IP67防尘防水等级。</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需支持DC12V供电，且在不小于DC12V±30%范围内变化时可以正常工作。</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同一静止场景相同图像质量下，设备在H.265编码方式时，开启智能编码功能和不开启智能编码相比，码率节约1/2。</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279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摄像机支架</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壁装支架/白/铝合金/尺寸70×97.1×181.8mm</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个</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279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★室内半球彩色摄像机</w:t>
            </w:r>
            <w:r>
              <w:rPr>
                <w:rFonts w:hint="eastAsia" w:ascii="仿宋_GB2312" w:hAnsi="宋体" w:eastAsia="仿宋_GB2312" w:cs="宋体"/>
                <w:b/>
                <w:kern w:val="0"/>
                <w:szCs w:val="21"/>
              </w:rPr>
              <w:t>（核心设备）</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具有400万像素CMOS传感器。</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最大分辨率2560x1440。</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需具有20路取流路数能力，以满足更多用户同时在线访问摄像机视频。</w:t>
            </w:r>
          </w:p>
          <w:p>
            <w:pPr>
              <w:rPr>
                <w:rFonts w:hint="eastAsia" w:ascii="仿宋_GB2312" w:hAnsi="宋体" w:eastAsia="仿宋_GB2312" w:cs="宋体"/>
                <w:kern w:val="0"/>
                <w:szCs w:val="21"/>
              </w:rPr>
            </w:pPr>
            <w:r>
              <w:rPr>
                <w:rFonts w:hint="eastAsia" w:ascii="仿宋_GB2312" w:hAnsi="宋体" w:eastAsia="仿宋_GB2312" w:cs="宋体"/>
                <w:kern w:val="0"/>
                <w:szCs w:val="21"/>
              </w:rPr>
              <w:t>最低照度彩色：0.001lx(AGC开，RJ45输出)，黑白:0.0001lx(AGC开，RJ45输出)，灰度等级不小于11级。</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红外补光距离不小于50米。</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需支持三码流技术，可同时输出三路码流，主码流最高2560x1440@30fps，第三码流最大2560x1440@30fps，子码流704x576@30fps。</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在2560x1440@25fps下，清晰度不小于1400TVL。</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支持H.264、H.265、MJPEG视频编码格式，且具有HighProfile编码能力。</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信噪比不小于55dB。</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需具备人脸抓拍、区域入侵检测、越界检测、虚焦检测、进入区域、离开区域、徘徊、人员聚集、逆行、场景变更等功能。</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需具有电子防抖、ROI感兴趣区域、SVC可伸缩编码、自动增益、背光补偿、数字降噪、强光抑制、走廊模式、视频水印等功能。</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摄像机能够在-30~60摄氏度，湿度小于93%环境下稳定工作。</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设备与客户端之间用100米网线进行传输，数据包丢包率小于0.1%。</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不低于IP67防尘防水等级。</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需支持DC12V供电，且在不小于DC12V±30%范围内变化时可以正常工作。</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同一静止场景相同图像质量下，设备在H.265编码方式时，开启智能编码功能和不开启智能编码相比，码率节约1/2。</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119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5</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室内快球彩色摄像机</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采用200万像素不小于1/1.8"CMOS传感器，支持4倍光学变倍，最大焦距不小于12mm。</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应具有自动聚焦功能。</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最低照度彩色：0.001lx，黑白:0.0001lx，最大亮度鉴别等级不小于11级。</w:t>
            </w:r>
          </w:p>
          <w:p>
            <w:pPr>
              <w:rPr>
                <w:rFonts w:hint="eastAsia" w:ascii="仿宋_GB2312" w:hAnsi="宋体" w:eastAsia="仿宋_GB2312" w:cs="宋体"/>
                <w:kern w:val="0"/>
                <w:szCs w:val="21"/>
              </w:rPr>
            </w:pPr>
            <w:r>
              <w:rPr>
                <w:rFonts w:hint="eastAsia" w:ascii="仿宋_GB2312" w:hAnsi="宋体" w:eastAsia="仿宋_GB2312" w:cs="宋体"/>
                <w:kern w:val="0"/>
                <w:szCs w:val="21"/>
              </w:rPr>
              <w:t>红外补光距离不小于100米。</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需支持三码流技术，主码流最高1920x1080@60fps，子码流704x576@25fps，第三码流1920x1080@30fps。</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在1920x1080@25fps下，清晰度不小于1100线。</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支持H.264、H.265、MJPEG视频编码格式，且H.264有HighProfile编码能力。</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动态范围不小于106dB。</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支持8行字符显示，字体大小、颜色可设置，需具有图片叠加到视频画面功能。</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具有区域入侵、越界入侵、进入区域、离开区域、徘徊、人员聚集、快速移动、停车、物品移除、物品遗留、音频异常侦测等功能。</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具有防红外过曝、透雾、电子防抖、ROI感兴趣区域等功能。</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在丢包率设置为5%的网络环境下，可正常显示监视画面。</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支持水平360°连续旋转，垂直-5°~90°旋转</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支持水平手控速度不小于300°/S，定位精度为±0.1°</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支持自动定位功能，圈定监视画面中的任意区域，在旋转角度范围允许的条件下，可将该区域处于屏幕中心位置并对该区域进行放大或缩小</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具备本地存储功能，支持SD卡热插拔，最大支持128G。</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具备较好的环境适应性，工作温度范围可达-40℃-70℃。</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考虑到实际安装环境，需支持吸顶安装方式。</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5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6</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摄像机支架</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吊装/白喷塑/84×124×335mm</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个</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5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7</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室外枪型彩色摄像机</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具有400万像素CMOS传感器。</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最大分辨率2560x1440。</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需具有20路取流路数能力，以满足更多用户同时在线访问摄像机视频。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最低照度彩色：0.0008lx，黑白：0.0001lx，灰度等级不小于11级。</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红外补光距离不小于85米。</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需支持三码流技术，可同时输出三路码流，主码流最高2560x1440@30fps，第三码流最大2560x1440@30fps，子码流704x576@30fps。</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在2560x1440@25fps下，清晰度不小于1400TVL。</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支持H.264、H.265、MJPEG视频编码格式，且具有HighProfile编码能力。</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信噪比不小于55dB。</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需具有黑白名单功能，其中白名单可添加不小于10个IP地址。</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需具备人脸检测、区域入侵检测、越界检测、虚焦检测、进入区域、离开区域、徘徊、人员聚集、逆行、场景变更等功能。</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需具有电子防抖、ROI感兴趣区域、SVC可伸缩编码、自动增益、背光补偿、数字降噪、强光抑制、走廊模式、视频水印等功能。</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摄像机能够在-30~60摄氏度，湿度小于93%环境下稳定工作。</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设备与客户端之间用100米网线进行传输，数据包丢包率小于0.1%。</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不低于IP67防尘防水等级。</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需支持DC12V供电，且在不小于DC12V±30%范围内变化时可以正常工作。</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同一静止场景相同图像质量下，设备在H.265编码方式时，开启智能编码功能和不开启智能编码相比，码率节约1/2。</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60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摄像机支架</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壁装支架/白/铝合金/尺寸70×97.1×181.8mm</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个</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60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9</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室外快球彩色摄像机</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视频输出支持2560×1440@25fps，分辨力不小于1400TVL，红外距离可达300米</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支持23倍光学变焦</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支持最低照度可达彩色0.0002Lux，黑白0.0001Lux</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支持水平手控速度不小于550°/S，垂直速度不小于120°/S，云台定位精度为±0.1°</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水平旋转范围为360°连续旋转，垂直旋转范围为-20°~90°</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支持300个预置位，支持18条巡航路径，支持7条以上的模式路径设置，支持预置位视频冻结功能；可实现RS485接口优先或RJ45网络接口优先控制功能</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样机可对设定区域内的运动目标在设定时间内持续跟踪，使该目标处于主视频图像中，样机可自动调节变倍，可对该目标抓拍图片并可手动切换跟踪目标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信噪比≥63dB，网络延时不大于100ms</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动态范围不小于106dB，照度适应范围不小于138dB，宽动态能力综合得分不小于135</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样机与客户端之间用300m五类非屏蔽网线直接连接，网络传输能力满足发送1500个数据包，重复测试3次，每次丢包数不大于1个</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支持智能红外、透雾、强光抑制、电子防抖、数字降噪、防红外过曝功能</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支持区域遮盖功能，支持设置不少于24个不规则四边形区域，可设置不同颜色；支持3D定位、断电记忆功能；支持IP地址访问控制功能，支持定时抓图或报警联动抓图上传ftp功能</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球机应具备本机存储功能，支持SD卡热插拔，最大支持512GB</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支持采用H.265、H.264视频编码标准，H.264编码支持Baseline/Main/High Profile，音频编码支持G.711ulaw/G.711alaw/G.726/G.722.1/AAC</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支持三码流同时输出，主码流、第三码流同时支持2560×1440@30fps，2048×1536@30fps</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具备较好的防护性能环境适应性，支持IP67，8kV防浪涌，工作温度范围可达-45℃-70℃</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具备较好的电源适应性，电压在AC24V±30%或DC24V±30%范围内变化时，设备可正常工作</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摄像机支架</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壁装支架/白色/铝合金/尺寸97×182×305mm</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个</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11</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室外鹰眼快球摄像机</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自带镜头，另配4个图像采集模块，可输出1路主视频图像和4路辅视频图像。可将4个辅视频图像进行无缝拼接，实现180°拼接画面显示，并抓拍拼接后的图像。拼接后的辅视频图像：水平视场角为180°，垂直视场角为80°</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全景摄像机和细节跟踪摄像机均采用1/1.8" 2MP  CMOS</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内置GPU芯片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主视频图像：1920×1080@60fps，辅视频图像：4096×1800@30fps，其中主视频图像分辨力不小于1100线。</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主视频支持不小于37倍光学变倍，镜头最大焦距不小于208mm</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彩色：0.0003lux；黑白：0.0001lux</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具备较强的网络自适应能力，在丢包率为25%的网络环境下，仍可正常显示监视画面。</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支持水平手控速度不小于800°/S，云台定位精度为不大于0.1°。垂直手控速度不小于200°/S</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水平连续360°旋转。垂直旋转范围为-20°~90°</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支持7路报警输入接口，2路报警输出接口，支持1路音频输入，1路输出接口。</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支持500个预置位，支持32条巡航扫描，每条巡航路径可设置16个预置点。</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具备本地存储功能，支持SD卡热插拔，最大支持256GB。</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支持五码流同时输出，主码流球机摄像机通道支持输出1920×1080@50fps图像、全景通道支持输出4096×1800@25fps图像；第五码流球机摄像机通道支持输出1920×1080@50fps图像、全景通道支持输出2048×896@25fps图像。</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支持区域入侵、越界入侵、徘徊、物品遗留、物品移除、音频异常、人员聚集、快速移动、进入区域、离开区域，并联动报警。</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产品支持定位联动功能，可自动或手动标定辅视频图像及主视频图像，使通过客户端软件或IE浏览器在辅视频图像中点击或框选任意区域后，在主视频图像旋转角度范围允许的条件下，可将该区域处于主视频图像中央。</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产品支持在自动跟踪模式下，最多对60个目标进行检测并抓拍。</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电源具有较强适应性，电源电压在DC36V±47%范围内变化时，摄像机可以正常工作</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红外灯开启时，样机可根据被摄物的距离自动调节红外灯功率密度。红外夜视距离：可识别距离样机550m外人体轮廓</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当样机检测到雾的浓度达到设定的阈值时，可自动在算法透雾和光学透雾之间进行切换。具有三种滤光片，在白天、夜晚及有雾情况下可自动切换不同的滤光片进行成像。三片滤光片透过率均不小于95%。（提供第三方检测报告证明）</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12</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摄像机支架</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长壁装/铂晶灰/铝合金/</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个</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13</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室外周界摄像机</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具有400万像素 CMOS传感器。</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内置GPU芯片。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内置红外与白光补光灯。</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支持白光报警功能，当报警产生时，可触发联动声音警报和白光闪烁。</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最大分辨率2560x1440。</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需具有20路取流路数能力，以满足更多用户同时在线访问摄像机视频。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最低照度彩色：0.0008 lx，黑白：0.0001 lx，灰度等级不小于11级。（公安部检验报告证明）</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红外补光距离不小于85米。</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需支持三码流技术，可同时输出三路码流，主码流最高2560x1440@30fps，第三码流最大2560x1440 @ 30fps，子码流704x576@30fps。</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在2560x1440 @ 25fps下，清晰度不小于1400TVL。</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支持H.264、H.265、MJPEG视频编码格式，且具有High Profile编码能力。</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信噪比不小于55dB。</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需具有电子防抖、ROI感兴趣区域、SVC可伸缩编码、自动增益、背光补偿、数字降噪、强光抑制、走廊模式、视频水印等功能。</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摄像机能够在-30~60摄氏度，湿度小于93%环境下稳定工作。</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设备与客户端之间用100米网线进行传输，数据包丢包率小于0.1%。</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不低于IP67防尘防水等级。</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需支持DC12V供电，且在不小于DC12V±30%范围内变化时可以正常工作。</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31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14</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摄像机支架</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壁装支架/白/铝合金/尺寸70×97.1×181.8mm</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个</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31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15</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硬盘录像机（人体识别）</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支持抓拍库人员频次统计实时报警功能，对指定时间段内反复出现达到一定次数的抓拍人员进行报警</w:t>
            </w:r>
          </w:p>
          <w:p>
            <w:pPr>
              <w:rPr>
                <w:rFonts w:hint="eastAsia" w:ascii="仿宋_GB2312" w:hAnsi="宋体" w:eastAsia="仿宋_GB2312" w:cs="宋体"/>
                <w:kern w:val="0"/>
                <w:szCs w:val="21"/>
              </w:rPr>
            </w:pPr>
            <w:r>
              <w:rPr>
                <w:rFonts w:hint="eastAsia" w:ascii="仿宋_GB2312" w:hAnsi="宋体" w:eastAsia="仿宋_GB2312" w:cs="宋体"/>
                <w:kern w:val="0"/>
                <w:szCs w:val="21"/>
              </w:rPr>
              <w:t>支持人脸签到、考勤，可导出指定时间段签到、考勤报表，报表包含所有注册人员出勤、签到状态（正常、迟到、早退、旷工、已签到、未签到等），包含签到、考勤时间点。支持自动统计总人数、已签到人数、未签到人数。可查询所有注册人员出勤、签到记录，记录支持列表、月历两种方式呈现</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支持按照姓名、人脸属性（性别、年龄段、戴眼镜、表情、戴口罩等）检索人脸抓拍图片；人脸检索结果支持导出电子表格，包括抓拍图、背景图和人员信息。支持对搜索结果二次检索。</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支持周界报警去误报功能，对IPC上报的越界侦测报警和区域入侵报警进行去误报，可去除由树叶、车辆、小动物等引起的误报，最大支持16路</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支持4路视频流人脸识别和16路图片流人脸识别</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支持报警输入触发一键撤防功能，撤防的报警类型可选（弹出报警画面、声音警告、上传中心、发送邮件、触发报警输出）</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支持人脸库自动建模，每分钟可最多建模720个。</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支持同时输出16路 H.265编码、30fps、1920×1080格式的视频图像</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支持1/8、1/4、1/2、1、2、4、8、16、32、64、128、256等倍速回放录像，支持录像文件剪辑和回放截图功能</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可接入H.265、H.264、MPEG4、MJPEG、SVAC、smart265、smart264视频编码格式的IPC</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支持整机热备份功能，设置一台设备为另一台样机的热备机，当主设备断网时，备份设备替换主设备进行录像，当主设备正常时，备份设备可回传录像文件至主设备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可同时正放或倒放16路H.265编码的视频图像</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支持8个SATA接口，1个eSATA接口，支持2个USB2.0，1个USB3.0接口；支持16路报警输入，8路报警输出接口</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16</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一键报警柱</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采用嵌入式Linux操作系统,高性能嵌入式SOC处理器，系统运行稳定可靠；</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前置环形红色背光灯机械按键，环形红色背光灯能定时闪烁，报警按钮处具有“紧急报警”明显标示说明，呼叫接通后的通话过程中按键的红色环形背光灯闪烁频率应加快，指示为当前处于通话状态；</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设备支持双网口链路、无线链路、PSTN电话链路传输；</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设备自带200万像素摄像头，支持视频复核和实时监控</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支持红外补光，在光照强度0.1Lx时，红外补光距离应不小于10米；支持日夜模式自动切换：通过ICR红外滤片实现自动切换，实现真正的日夜模式监控；</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 xml:space="preserve">设备支持2路音频输入和2路音频输出；音频输入和音频输出关系可自由配置，内部含高灵敏度麦克风，拾音距离应达到10米，语音清晰，内置30W扬声器； </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彩色图像：图像分辨力≥280TVL，亮度鉴别等级≥8级；</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信息发布屏亮度鉴别等级≥10级，亮度：≥320cd/m</w:t>
            </w:r>
            <w:r>
              <w:rPr>
                <w:rFonts w:hint="eastAsia" w:ascii="宋体" w:hAnsi="宋体" w:cs="宋体"/>
                <w:kern w:val="0"/>
                <w:szCs w:val="21"/>
              </w:rPr>
              <w:t>²</w:t>
            </w:r>
            <w:r>
              <w:rPr>
                <w:rFonts w:hint="eastAsia" w:ascii="仿宋_GB2312" w:hAnsi="仿宋_GB2312" w:eastAsia="仿宋_GB2312" w:cs="仿宋_GB2312"/>
                <w:kern w:val="0"/>
                <w:szCs w:val="21"/>
              </w:rPr>
              <w:t>，对比度：≥</w:t>
            </w:r>
            <w:r>
              <w:rPr>
                <w:rFonts w:hint="eastAsia" w:ascii="仿宋_GB2312" w:hAnsi="宋体" w:eastAsia="仿宋_GB2312" w:cs="宋体"/>
                <w:kern w:val="0"/>
                <w:szCs w:val="21"/>
              </w:rPr>
              <w:t>1000:1</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集成8口交换机；</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支持可外扩球机支架杆，球机杆直径应不小于φ85mm，安装方向应支持按每60°方向360°旋转安装</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 xml:space="preserve">支持可视对讲功能：按下紧急求助按键后呼叫中心管理机，呼叫过程中能听到相应提示音；通话过程中中心能看到设备处实时视频，支持实时全双工双向语音对讲和视频通话功能； </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支持喧哗报警侦测；外界噪音≥60DB</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支持巡更刷卡功能，刷卡成功并有相应提示音</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内置振动探测器接口</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防护等级：IP65；</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工作环境:温度-40℃～70℃,湿度小于93%环境下稳定工作</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17</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布控球</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布控球主机、电池、备用电池、电池充电器、220V电源适配器、10芯航插转接线、车载电源线、金属手提箱、定位天线、电池专用冲座、三脚架、固定盘</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具有两个航空接口，可扩展1个DC12V电源输入接口、1个DC5V输出接口、1个RJ45网络接口、1个报警输入接口、1个报警输出接口、1个RS232接口;（提供第三方检测报告证明）</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设备必须具备ExicIIBT5Gc以上等级的防爆等级</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摄像机具有提手和底盘磁铁;</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支持电池供电，且电池可更换;</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水平360°连续旋转，垂直旋转范围-15°~90°，水平手控最大速度不小于62°/s;</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抓拍图片分辨率最大为1920*1080;</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红外夜视，可识别距离样机85m出的人体轮廓;</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光学变倍30倍;</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产品可以设置不少于200个预置点、8条自动循航路径、4条模式路径;</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支持人脸抓拍功能，可对经过设定区域的行人进行人脸检测和人脸跟踪，当检测到人脸后，可抓拍人脸图片;（提供第三方检测报告证明）</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 xml:space="preserve">支持对行驶车辆进行抓拍并识别车牌;支持对检测区域经过车辆进行统计; </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 xml:space="preserve">支持对占用专用车道车辆进行抓拍，抓拍图片数量可设;支持对违停车辆进行抓拍，抓拍图片数量可设; </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设备可支持两张SD卡，每张最大支持128G;</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支持双3G或4G网络接入;支持通过WiFi接入无线网络，也可将自身设置为WiFi热点;</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设备正常运行并接入4GSIM卡，开启WiFi功能，可正常工作至少6h;</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套</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18</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室外立杆</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3.5m，定制</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根</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19</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室外安装辅材</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含摄像头电源模块、避雷器、光纤收发器、室外安防箱、线缆接头等辅材</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批</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20</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超容量网络存储设备</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单设备配置≥64位多核处理器，≥8GB内存，内存支持扩展到≥32GB，内置SSD固态硬盘和24块IoT企业级硬盘，配置冗余白金牌电源（提供第三方检测报告证明，其中电源仅以照片证明即可）</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 xml:space="preserve">标配≥4个千兆网口，1个VGA接口，3个SAS接口，2个USB2.0接口，2个USB3.0接口； </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可接入2T/3T/4T/6T/8T/10T/14T SATA磁盘，支持磁盘交错启动和漫游，并支持在线热插拔；</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提供RAID0、1、3、5、6、10、50，60、JBOD模式</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单设备裸容量≥336TB存储空间，单设备≤4U（官网截图证明即可）</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应能对视音频、图片及智能分析录像的混合直存，节省存储服务器和图片服务器；</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应能接入并存储1200Mbps视频图像，同时转发1200Mbps的视频图像；同时回放128Mbps的视频图像；</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应能在RAID内丢失2块（含）以上硬盘时，无需等待丢失盘恢复，保留盘数据可正常读取，新数据可正常写入</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应支持双活功能，单机故障时不影响数据读写</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根据数据对象的重要性（例如：系统信息、配置信息、报警录像、普通录像等）、访问频率等属性按照预先设定的分层存储区域可进行自动分层存储并可实现快速访问</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可支持视频质量诊断功能，对图像的亮度、偏色、对比度、清晰度、视频丢失、条纹干扰、视频噪声、视频虚焦等特征进行实时分析，并以日志、报表和图形化方式显示结果（提供第三方检测报告证明）</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在UI界面实时显示磁盘体检状态，对异常状态磁盘，可查看处理建议信息</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在冗余范围内元数据丢失时，可自动进行数据恢复，并保持业务不中断。</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4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21</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46寸拼接屏</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LCD显示单元为：46“超窄边液晶屏；物理分辨率达到1920×1080，物理拼缝≤1.7mm，响应时间≤8ms。</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输入接口：VGA×1，DVI×1，BNC×1，YPbPr×1，HDMI×1。输出接口：VGA×1，DVI×1，BNC×2</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LCD显示单元亮度达到800cd/</w:t>
            </w:r>
            <w:r>
              <w:rPr>
                <w:rFonts w:hint="eastAsia" w:ascii="宋体" w:hAnsi="宋体" w:cs="宋体"/>
                <w:kern w:val="0"/>
                <w:szCs w:val="21"/>
              </w:rPr>
              <w:t>㎡</w:t>
            </w:r>
            <w:r>
              <w:rPr>
                <w:rFonts w:hint="eastAsia" w:ascii="仿宋_GB2312" w:hAnsi="仿宋_GB2312" w:eastAsia="仿宋_GB2312" w:cs="仿宋_GB2312"/>
                <w:kern w:val="0"/>
                <w:szCs w:val="21"/>
              </w:rPr>
              <w:t>，对比度达到</w:t>
            </w:r>
            <w:r>
              <w:rPr>
                <w:rFonts w:hint="eastAsia" w:ascii="仿宋_GB2312" w:hAnsi="宋体" w:eastAsia="仿宋_GB2312" w:cs="宋体"/>
                <w:kern w:val="0"/>
                <w:szCs w:val="21"/>
              </w:rPr>
              <w:t>5000:1，图像显示清晰度为950TVL，亮度鉴别等级为10级。</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LCD显示单元采用超宽视角液晶屏，视角可达178°，画面的输出精确和稳定，色彩饱和靓丽，屏幕更加明亮。屏幕漏光度小于0.01cd/</w:t>
            </w:r>
            <w:r>
              <w:rPr>
                <w:rFonts w:hint="eastAsia" w:ascii="宋体" w:hAnsi="宋体" w:cs="宋体"/>
                <w:kern w:val="0"/>
                <w:szCs w:val="21"/>
              </w:rPr>
              <w:t>㎡</w:t>
            </w:r>
            <w:r>
              <w:rPr>
                <w:rFonts w:hint="eastAsia" w:ascii="仿宋_GB2312" w:hAnsi="仿宋_GB2312" w:eastAsia="仿宋_GB2312" w:cs="仿宋_GB2312"/>
                <w:kern w:val="0"/>
                <w:szCs w:val="21"/>
              </w:rPr>
              <w:t>，可抵抗太阳光等强光干扰</w:t>
            </w:r>
            <w:r>
              <w:rPr>
                <w:rFonts w:hint="eastAsia" w:ascii="仿宋_GB2312" w:hAnsi="宋体" w:eastAsia="仿宋_GB2312" w:cs="宋体"/>
                <w:kern w:val="0"/>
                <w:szCs w:val="21"/>
              </w:rPr>
              <w:t>,照度在95KLux能正常工作。</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液晶拼接屏必须采用整机设计，严禁使用飞线屏</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具有节能功能。可以实现拼接单元的自动变频节能功能。打开“节能模式”时，对应拼接单元上会依次显示实时百分比功率、实时功率、累计功率、节能减排等直观显示项目。显示单元支持定时屏保和开启。背光手动控制功能，可以手动调节背光;支持一键开启或关闭背光功能，实现节能环保效果。</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LCD显示单元支持全接口环通，支持BNC、VGA、DVI、SDI、DP(4K)、S-video等接口的环通，BNC、DVI、VGA、HDMI、SDI、DP(4K)、S-video等信号的环通显示，及RJ45接口环通输出；内置拼接处理引擎，配合环通接口，无需外设拼接控制器可实现自拼接显示。</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LCD显示单元内置黑白精显模式，可将彩色信号转换成黑白灰度模式并提高图像细节辨认能力。</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LCD显示单元需支持7色独立调整、精确色彩控制、肤色校正功能。内置图像处理引擎支持、RGBCMYF七种颜色亮度(IBC)、色调(IHC)、饱和度(ICC)独立调整。显示器需要具有厂家自带的自动校色系统，不需要人工参与自动对显示器进行色彩属性一致性校准。显示器色温可以以100K为单位，在2000K至10000K之间调节。</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LCD显示单元可将输入的非50Hz/60Hz的图像转换成60Hz输出，彻底解决由于低帧率造成的画面卡顿感，使图像显示相比低帧率的图像更平滑顺畅。</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件和短信报警。</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LCD显示单元支持边缘屏蔽功能，智能去除黑边功能，可消除显示终端上存在的黑边，及因拼缝带来的图像变形；</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LCD显示单元采用10bit芯片，显示图像色彩度达到1.07billion，显示256灰阶。（提供第三方检测报告证明）</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LCD显示单元采用智能温控设计，散热效率提升50%以上。</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块</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12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22</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拼接屏支架</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46寸手动前维护，定制</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套</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12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23</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视频综合平台一体机</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投标产品为框架式结构，采用无源背板，机箱不小于13个板卡插槽，系统稳定可靠。</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投标产品支持在输出通道叠加图片LOGO，图片位置可调。</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投标产品主控板具有4个串口，每个串口挂载8个RS485控制设备，可将IP数据发送给串口。（提供第三方检测报告证明）</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投标产品支持视频输入通道参数设置功能，可对单个视频输入通道进行分辨率、帧率、码率、亮度、对比度、饱和度、色调、去噪等参数设置，图像显示模式可设定标准、室内、室外、弱光等显示模式进行设置。</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投标产品解码显示视频无卡顿，编码预览视频无卡顿。</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投标产品支持显示预案功能，可将样机的视频输出状态保存为场景，可设置多个场景并可对每个场景进行配置、清空、复制、修改、切换等操作，可实现多个场景轮巡切换、（预案）轮巡。</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投标产品支持虚拟云台控制功能，具备虚拟云台控制按键，可调整球机和云台的运行速度和方向，并且支持多用户云台抢占、云台控制锁定功能</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投标产品支持1、2、4、6、8、9、12、16、32、36、48、64画面分割显示。</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投标产品支持将25帧或30帧的视频转换为50或60帧。</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投标产品对录像文件解码延时≤110ms。</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投标产品具有同一输入通道的视频图像在不同输出端口显示的失步误差小于1ms。</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投标产品的信号源采集后经过高速背板总线到输出显示所用平均时间应≤35ms；（提供第三方检测报告证明）</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投标产品的图像切换时间＜20ms。</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投标产品支持解码中断时保留最后一帧的功能，解码板不同输出口以及跨解码板的输出口之间输出色彩无色差。</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24</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综合安防管理平台</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教育综合管理平台，包含视频监控、宿管考勤、门禁管理、访客管理等功能。</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系统管理功能要去：</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要求支持对用户、角色、组织、区域、人员、车辆、卡片、设备等基础资源进行统一管理调配</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要求最大支持用户10000个，最大支持并发登陆500个用户</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视频监控功能：</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要求能按照指定设备、指定通道进行图像的实时点播，支持点播图像的显示、缩放、抓拍和录像，支持多用户对同以图像资源的同时点播，宜支持基于GIS地图的图像点播</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要求监控点最多管理容量为100000路</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要求支持对平台内管理的视频设备的在线状态进行检查</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要求支持视频质量诊断，接收信号丢失、图像黑白等异常情况的报警信息</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要求支持对视频设备的录像完整性进行检查</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宿舍考勤要求：</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一键调寝：可批量导入调寝，支持按组织调寝室</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抽查功能：系统自动检查连续刷进或刷出的记录，发现连续两次都为进或者都为出，则判定为异常</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支持宿管异常预警：查询多日无人脸识别通行记录人员信息、陌生人告警记录</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门禁管理功能：</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要求支持门禁点管理，包括门和人员通道门禁点</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要求支持门禁权限配置和下发；支持卡（含身份证）、人脸、指纹、卡密码等凭证单独或组合使用的认证方式</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要求支持门禁事件订阅、查询和联动；支持门禁设备图上监控；支持人员出入事件和设备事件查询</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访客管理：</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要求支持访客条码（登记之后打印出来的访客单）、二维码、身份证、IC卡、人脸等多种介质授权通行门禁、停车场；支持访客身份证人证合一验证</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要求支持访客预约、来访、离开支持短信格式自定义，将相关信息以短信的方式知会到来访者或接待人</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要求支持对访客进行名单分组管理，登记的时候给予提示</w:t>
            </w:r>
          </w:p>
          <w:p>
            <w:pPr>
              <w:rPr>
                <w:rFonts w:hint="eastAsia" w:ascii="仿宋_GB2312" w:hAnsi="宋体" w:eastAsia="仿宋_GB2312" w:cs="宋体"/>
                <w:kern w:val="0"/>
                <w:szCs w:val="21"/>
              </w:rPr>
            </w:pPr>
            <w:r>
              <w:rPr>
                <w:rFonts w:hint="eastAsia" w:ascii="仿宋_GB2312" w:hAnsi="宋体" w:eastAsia="仿宋_GB2312" w:cs="宋体"/>
                <w:kern w:val="0"/>
                <w:szCs w:val="21"/>
              </w:rPr>
              <w:t>系统建设要求完美兼容原宿舍监控系统，要求本次建设的人体识别分析系统能够从原宿舍监控系统进行取流分析，并提供设备制造厂家出具的无缝对接承诺函并加盖原厂公章。</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25</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双路服务器</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4114(10核2.2GHz)×1/32G DDR4/1TB 7.2K  SATA×2/SAS_HBA/1GbE×2/带Win Svr 2016 简中标版/550W(1+1)/2U/16DIMM</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26</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流媒体服务器</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 xml:space="preserve">E5-2630 V4(10核2.2GHz)×1/16GB DDR4×2/1TB SATA×2/SAS_HBA/DVD/1GbE×4/冗电/导轨/2U  1、电源：高效能550W铂金1+1 冗余电源；2、电源电压 200-240V/50Hz； </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27</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控制台</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3工位，定制</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套</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28</w:t>
            </w:r>
          </w:p>
        </w:tc>
        <w:tc>
          <w:tcPr>
            <w:tcW w:w="1102" w:type="pct"/>
            <w:tcBorders>
              <w:top w:val="nil"/>
              <w:left w:val="nil"/>
              <w:bottom w:val="single" w:color="auto" w:sz="4" w:space="0"/>
              <w:right w:val="single" w:color="auto" w:sz="4" w:space="0"/>
            </w:tcBorders>
            <w:shd w:val="clear" w:color="auto" w:fill="auto"/>
            <w:noWrap/>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工作站</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品牌机，19.5英寸 i5-4590 4G 500G 集显 DVDRW  Win10 家庭版 64位简体中文</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29</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弱电线缆</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RVV2*1.0</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米</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8000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30</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UPS主机</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10KVA UPS主机，在线式，输入电压范围：120-275V；输出电压范围：220×（1±1%）VACV；工作温度:0-40℃（无冷凝）,工作湿度:20-90%RH</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31</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电池</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铅酸电池，12v65ah（负载8KW的情况下后备时间1小时）</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节</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16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32</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电池柜</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定制，含电池连接电缆等辅材</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套</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33</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b/>
                <w:bCs/>
                <w:kern w:val="0"/>
                <w:szCs w:val="21"/>
              </w:rPr>
            </w:pPr>
            <w:r>
              <w:rPr>
                <w:rFonts w:hint="eastAsia" w:ascii="仿宋_GB2312" w:hAnsi="宋体" w:eastAsia="仿宋_GB2312" w:cs="宋体"/>
                <w:b/>
                <w:bCs/>
                <w:kern w:val="0"/>
                <w:szCs w:val="21"/>
              </w:rPr>
              <w:t>二、阳光厨房及智能物联系统</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34</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防油污摄像机</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200万1/2.7”CMOS ICR红外阵列防油污筒型网络摄像机</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支持POE供电</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镜头护罩可拆卸</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方便清洗或更换</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支持H.265及H.264编码</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最小照度 0.01Lux @(F1.2</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 xml:space="preserve">AGC ON) </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0 Lux with IR</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0.014 Lux @(F1.4</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AGC ON)</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 xml:space="preserve"> 0 Lux with IR</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快门 1/3秒至1/100</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000秒</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镜头 4mm</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宽动态范围 120dB</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帧率 50Hz: 25fps (1920 × 1080、1280 × 960、1280 × 720)</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感兴趣区域 ROI支持三码流分别设置1个固定区域</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存储功能 支持Micro SD（即为TF卡）/SDHC /SDXC卡(128G)断网本地存储</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NAS(NFS</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SMB/CIFS均支持)</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智能报警 越界侦测</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区域入侵侦测</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场景变更侦测</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人脸侦测</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虚焦侦测</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物品遗留侦测</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物品拾取侦测</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非法停车侦测</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人员聚集侦测</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逆行侦测</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徘徊侦测</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快速移动侦测</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进入区域侦测</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离开区域侦测</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支持智能后检索</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配合NVR支持事件的二次检索分析</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工作温度和湿度 -30℃~60℃</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湿度小于95%(无凝结)</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电源供应 DC12V±25% / PoE(802.3af)</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功耗 5.5W MAX</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红外照射距离 30米</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防护等级 IP67</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支持1路音频输入输出。</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27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35</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摄像机支架</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壁装支架/白/铝合金/尺寸70×97.1×181.8mm</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个</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279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36</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硬盘录像机（人体识别）</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硬件规格：</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2U标准机架式</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2个HDMI，2个VGA,HDMI+VGA组内同源</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 xml:space="preserve">8盘位，可满配6TB硬盘 </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2个千兆网口</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2个USB2.0接口、1个USB3.0接口</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1个eSATA接口</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报警IO：16进4路（可选配8出）</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软件性能：</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输入带宽：256M</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32路H.264、H.265混合接入</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最大支持8×1080P解码</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支持H.265、H.264解码</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Smart 2.0/整机热备/ANR/智能检索/智能回放/车牌检索/人脸检索/热度图/客流量统计/分时段回放/超高倍速回放/双系统备份</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37</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49寸液晶监视器（带安装支架）</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49寸液晶监视器，塑胶边框，</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显示：LED背光；分辨率1920×1080；</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亮度330cd/</w:t>
            </w:r>
            <w:r>
              <w:rPr>
                <w:rFonts w:hint="eastAsia" w:ascii="宋体" w:hAnsi="宋体" w:cs="宋体"/>
                <w:kern w:val="0"/>
                <w:szCs w:val="21"/>
              </w:rPr>
              <w:t>㎡</w:t>
            </w:r>
            <w:r>
              <w:rPr>
                <w:rFonts w:hint="eastAsia" w:ascii="仿宋_GB2312" w:hAnsi="仿宋_GB2312" w:eastAsia="仿宋_GB2312" w:cs="仿宋_GB2312"/>
                <w:kern w:val="0"/>
                <w:szCs w:val="21"/>
              </w:rPr>
              <w:t>，对比度</w:t>
            </w:r>
            <w:r>
              <w:rPr>
                <w:rFonts w:hint="eastAsia" w:ascii="仿宋_GB2312" w:hAnsi="宋体" w:eastAsia="仿宋_GB2312" w:cs="宋体"/>
                <w:kern w:val="0"/>
                <w:szCs w:val="21"/>
              </w:rPr>
              <w:t>1200:1，功耗≤115W，</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裸机尺寸(W×L×D)(mm)：1110.1×79.1×646.7，</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接口：BNC输入接口1个；音频输入 1个；DVI输入接口1个；VGA输入接口1个；HDMI输入接口 1个；RS232输入接口 1个；RS232输出接口 1个</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标准配置：遥控器*1、电池*2、电源线*1、说明书*1、合格证*1、保修卡*1</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*出货不带底座，底座、壁挂、图纸请咨询区域负责人</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38</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HDMI线缆</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HDMI电缆,7m,黑色</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条</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39</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消毒监测器</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监测消毒柜工作状态</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个</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4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40</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紫外线消毒检测设备</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监测紫外线灯工作状态</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个</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3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41</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智能温湿度传感器</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监测工作间环境温湿度</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个</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4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42</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智能挡鼠板监测器</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监测智能挡鼠板</w:t>
            </w:r>
            <w:r>
              <w:rPr>
                <w:rFonts w:hint="eastAsia" w:ascii="MS Mincho" w:hAnsi="MS Mincho" w:eastAsia="MS Mincho" w:cs="MS Mincho"/>
                <w:kern w:val="0"/>
                <w:szCs w:val="21"/>
              </w:rPr>
              <w:t> </w:t>
            </w:r>
            <w:r>
              <w:rPr>
                <w:rFonts w:hint="eastAsia" w:ascii="仿宋_GB2312" w:hAnsi="宋体" w:eastAsia="仿宋_GB2312" w:cs="宋体"/>
                <w:kern w:val="0"/>
                <w:szCs w:val="21"/>
              </w:rPr>
              <w:t>智能挡鼠板监测器开关状态</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个</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3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43</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洗手消毒器</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用于进入专间前的洗手消毒</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个</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3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44</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冰箱冷库温湿度检测设备</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3台主机用于接收采集节点的温湿度数据并上传到云端，10个节点置于冰箱冷库内获取温度</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套</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45</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智能晨检设备</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人员晨检，用于人脸识别考勤和体温测量</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46</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智能电视</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65寸智能电视，安卓系统</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47</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AI服务</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2年服务，含：</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1）人工上门现场环境排查1次、设施设备安装指导及系统调试1次；</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2）软件使用培训和系统维护；</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3）含8路以内监控视频的对接服务及视频通道、流量费用；</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4）学校定期报告生成和推送服务；</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5）12个AI场景智能分析选用。</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项</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48</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b/>
                <w:bCs/>
                <w:kern w:val="0"/>
                <w:szCs w:val="21"/>
              </w:rPr>
            </w:pPr>
            <w:r>
              <w:rPr>
                <w:rFonts w:hint="eastAsia" w:ascii="仿宋_GB2312" w:hAnsi="宋体" w:eastAsia="仿宋_GB2312" w:cs="宋体"/>
                <w:b/>
                <w:bCs/>
                <w:kern w:val="0"/>
                <w:szCs w:val="21"/>
              </w:rPr>
              <w:t>三、人行道闸</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49</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单机芯左边道</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闸机采用厚度不低于1.5mm的304不锈钢拉丝框体</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闸机为摆闸箱体，门翼可以选择采用亚克力或不锈钢材质，红外检测对数不少于12对，箱体尺寸：长≥1500mm，宽≤200mm，高≥990mm</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闸机设备的外表面，平整清洁，没有毛刺、飞边、砂眼、气孔等常见缺陷，没有擦伤、划痕、变形、破损以及生锈、腐蚀等损伤，没有尖锐的凸起、边角或棱角</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通道应具备允许通行、禁止通行检查功能，没有经管理人员授权的人员闯入时能够发出声光报警</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设备机身需要具备牢固的结构，拦挡部分不易破碎且不易伤人、灵活无阻碍；设备外壳对外界机械碰撞要求应满足指示部分应符合IK04的要求，其他表面符合IK07的要求</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通道具备防夹功能，在门翼复位过程中，如遇外力，门翼在规定的时间内电机将停止工作,并发出语音报警</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通道应具备翻越报警、防冲功能，有效应对翻越、冲撞等行为，保证通行安全</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通道应满足室内外使用需求，设备应支持工作温度-25℃--＋70℃；外壳防护等级满足IPX4通道功能应满足反潜回的功能，有效防止非授权人员非法入侵</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通道主机接口应满足同时可接入RS485 和wiegand 接口的读卡器，同时具备网口不少于1个，单独232接口不少于3个，RS485/RS232可切换通讯接口不少于5个，开门按钮接口不少于2个，报警输入接口不少于4个，报警输出接口不少于4个（出具第三方检测报告证明）</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设备应具备记忆模式功能，实现人员连续认证从而快速通行，同时在紧急情况下，如设备断电或者发生故障能够无阻挡，不影响人员进出</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设备应支持门翼开关速度可调，不少于10档的速度调节，便于适应在不同场景需求下通过效率要求</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通道支持远程控制管理功能、联网运行、离线单机运行，同时支持遥控器开门</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闸机采用直流无刷伺服电机，无障碍运行次数≥500万次</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50</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双机芯中间道</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闸机采用厚度不低于1.5mm的304不锈钢拉丝框体</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闸机为摆闸箱体，门翼可以选择采用亚克力或不锈钢材质，红外检测对数不少于12对，箱体尺寸：长≥1500mm，宽≤200mm，高≥990mm</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闸机设备的外表面，平整清洁，没有毛刺、飞边、砂眼、气孔等常见缺陷，没有擦伤、划痕、变形、破损以及生锈、腐蚀等损伤，没有尖锐的凸起、边角或棱角</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通道应具备允许通行、禁止通行检查功能，没有经管理人员授权的人员闯入时能够发出声光报警</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设备机身需要具备牢固的结构，拦挡部分不易破碎且不易伤人、灵活无阻碍；设备外壳对外界机械碰撞要求应满足指示部分应符合IK04的要求，其他表面符合IK07的要求</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通道具备防夹功能，在门翼复位过程中，如遇外力，门翼在规定的时间内电机将停止工作,并发出语音报警</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通道应具备翻越报警、防冲功能，有效应对翻越、冲撞等行为，保证通行安全</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通道应满足室内外使用需求，设备应支持工作温度-25℃--＋70℃；外壳防护等级满足IPX4</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通道功能应满足反潜回的功能，有效防止非授权人员非法入侵</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通道主机接口应满足同时可接入RS485 和wiegand 接口的读卡器，同时具备网口不少于1个，单独232接口不少于3个，RS485/RS232可切换通讯接口不少于5个，开门按钮接口不少于2个，报警输入接口不少于4个，报警输出接口不少于4个</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设备应具备记忆模式功能，实现人员连续认证从而快速通行，同时在紧急情况下，如设备断电或者发生故障能够无阻挡，不影响人员进出</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设备应支持门翼开关速度可调，不少于10档的速度调节，便于适应在不同场景需求下通过效率要求</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通道支持远程控制管理功能、联网运行、离线单机运行，同时支持遥控器开门</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闸机采用直流无刷伺服电机，无障碍运行次数≥500万次</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51</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单机芯右边道</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闸机采用厚度不低于1.5mm的304不锈钢拉丝框体</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闸机为摆闸箱体，门翼可以选择采用亚克力或不锈钢材质，红外检测对数不少于12对，箱体尺寸：长≥1500mm，宽≤200mm，高≥990mm</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闸机设备的外表面，平整清洁，没有毛刺、飞边、砂眼、气孔等常见缺陷，没有擦伤、划痕、变形、破损以及生锈、腐蚀等损伤，没有尖锐的凸起、边角或棱角</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通道应具备允许通行、禁止通行检查功能，没有经管理人员授权的人员闯入时能够发出声光报警</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设备机身需要具备牢固的结构，拦挡部分不易破碎且不易伤人、灵活无阻碍；设备外壳对外界机械碰撞要求应满足指示部分应符合IK04的要求，其他表面符合IK07的要求</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通道具备防夹功能，在门翼复位过程中，如遇外力，门翼在规定的时间内电机将停止工作,并发出语音报警</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通道应具备翻越报警、防冲功能，有效应对翻越、冲撞等行为，保证通行安全</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通道应满足室内外使用需求，设备应支持工作温度-25℃--＋70℃；外壳防护等级满足IPX4</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通道功能应满足反潜回的功能，有效防止非授权人员非法入侵</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通道主机接口应满足同时可接入RS485 和wiegand 接口的读卡器，同时具备网口不少于1个，单独232接口不少于3个，RS485/RS232可切换通讯接口不少于5个，开门按钮接口不少于2个，报警输入接口不少于4个，报警输出接口不少于4个（出具第三方检测报告证明）</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设备应具备记忆模式功能，实现人员连续认证从而快速通行，同时在紧急情况下，如设备断电或者发生故障能够无阻挡，不影响人员进出</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设备应支持门翼开关速度可调，不少于10档的速度调节，便于适应在不同场景需求下通过效率要求</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通道支持远程控制管理功能、联网运行、离线单机运行，同时支持遥控器开门</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闸机采用直流无刷伺服电机，无障碍运行次数≥500万次</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52</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读卡器套件</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支持Mifare卡;</w:t>
            </w:r>
            <w:r>
              <w:rPr>
                <w:rFonts w:hint="eastAsia" w:ascii="仿宋_GB2312" w:hAnsi="宋体" w:eastAsia="仿宋_GB2312" w:cs="宋体"/>
                <w:kern w:val="0"/>
                <w:szCs w:val="21"/>
              </w:rPr>
              <w:br w:type="page"/>
            </w:r>
            <w:r>
              <w:rPr>
                <w:rFonts w:hint="eastAsia" w:ascii="仿宋_GB2312" w:hAnsi="宋体" w:eastAsia="仿宋_GB2312" w:cs="宋体"/>
                <w:kern w:val="0"/>
                <w:szCs w:val="21"/>
              </w:rPr>
              <w:t>支持485、Wiegand协议;</w:t>
            </w:r>
            <w:r>
              <w:rPr>
                <w:rFonts w:hint="eastAsia" w:ascii="仿宋_GB2312" w:hAnsi="宋体" w:eastAsia="仿宋_GB2312" w:cs="宋体"/>
                <w:kern w:val="0"/>
                <w:szCs w:val="21"/>
              </w:rPr>
              <w:br w:type="page"/>
            </w:r>
            <w:r>
              <w:rPr>
                <w:rFonts w:hint="eastAsia" w:ascii="仿宋_GB2312" w:hAnsi="宋体" w:eastAsia="仿宋_GB2312" w:cs="宋体"/>
                <w:kern w:val="0"/>
                <w:szCs w:val="21"/>
              </w:rPr>
              <w:t>闸机内安装;</w:t>
            </w:r>
            <w:r>
              <w:rPr>
                <w:rFonts w:hint="eastAsia" w:ascii="仿宋_GB2312" w:hAnsi="宋体" w:eastAsia="仿宋_GB2312" w:cs="宋体"/>
                <w:kern w:val="0"/>
                <w:szCs w:val="21"/>
              </w:rPr>
              <w:br w:type="page"/>
            </w:r>
            <w:r>
              <w:rPr>
                <w:rFonts w:hint="eastAsia" w:ascii="仿宋_GB2312" w:hAnsi="宋体" w:eastAsia="仿宋_GB2312" w:cs="宋体"/>
                <w:kern w:val="0"/>
                <w:szCs w:val="21"/>
              </w:rPr>
              <w:t>读卡频率 13.56MHz;</w:t>
            </w:r>
            <w:r>
              <w:rPr>
                <w:rFonts w:hint="eastAsia" w:ascii="仿宋_GB2312" w:hAnsi="宋体" w:eastAsia="仿宋_GB2312" w:cs="宋体"/>
                <w:kern w:val="0"/>
                <w:szCs w:val="21"/>
              </w:rPr>
              <w:br w:type="page"/>
            </w:r>
            <w:r>
              <w:rPr>
                <w:rFonts w:hint="eastAsia" w:ascii="仿宋_GB2312" w:hAnsi="宋体" w:eastAsia="仿宋_GB2312" w:cs="宋体"/>
                <w:kern w:val="0"/>
                <w:szCs w:val="21"/>
              </w:rPr>
              <w:t xml:space="preserve"> </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套</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53</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人脸识别模块/组件</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设备外壳防护等级不应低于IP55</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设备配置及接口应包含以下几个：处理器应为GPU；有线网口*2，彼此物理隔离；RS485*1，RS232*1；HDMI*1；USB*2；支持开关机键，支持扬声器输出。</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设备应采用触摸显示屏，尺寸不小于10寸，分辨率不小于1280*800。</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设备应采用200W像素高清宽动态双目摄像头。</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设备应支持在1:1人证比对模式下，人脸容量无限制；1:N模式下，支持20000张人脸库，支持50000张卡片容量，支持50000笔记录存储。（提供第三方检测报告证明）</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设备具有如下硬件接口功能：支持通过USB接口外接身份证阅读器；支持通过HDMI接口外接显示屏，显示比对结果；支持通过RS232/RS485拓展应用，可输出比对结果及信息；支持通过网络方式传输比对结果及图片。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设备应支持照片及视频防假功能，使用照片或视频无法识别，并输出语音提示；无需用户配合，即可完成真人检测。</w:t>
            </w:r>
          </w:p>
          <w:p>
            <w:pPr>
              <w:rPr>
                <w:rFonts w:hint="eastAsia" w:ascii="仿宋_GB2312" w:hAnsi="宋体" w:eastAsia="仿宋_GB2312" w:cs="宋体"/>
                <w:kern w:val="0"/>
                <w:szCs w:val="21"/>
              </w:rPr>
            </w:pPr>
            <w:r>
              <w:rPr>
                <w:rFonts w:hint="eastAsia" w:ascii="仿宋_GB2312" w:hAnsi="宋体" w:eastAsia="仿宋_GB2312" w:cs="宋体"/>
                <w:kern w:val="0"/>
                <w:szCs w:val="21"/>
              </w:rPr>
              <w:t>设备应支持人脸、刷卡+人脸、智能模式等多种认证组合方式，支持人脸识别功能，现场抓拍人脸照片与本地人脸库照片进行比对，进行人员身份核验，人脸比对时间：＜0.5秒。</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设备应具有黑名单核验功能，支持中心下发或本地U盘导入人脸或卡号黑名单；支持本地黑名单人脸或卡号比对；支持本地黑名单报警功能，报警信息可上传中心。</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设备应具有人脸注册功能，支持本地菜单管理、远程中心下发、U盘本地导入人员信息（姓名、卡号、人脸等信息）。</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设备应支持本地单机人证比对或人脸比对；支持后台联网人脸比对功能。</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设备应支持通过远程中心下发或U盘导入人脸及黑名单信息；支持比对结果、身份证信息及人脸抓拍图片本地存储、实时中心上传及断网续传功能；支持本地U盘导出比对事件。</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设备应支持本地或远程中心设置比对模式、比对阈值、人脸参数、网络参数功能；支持本地重置设备管理密码、IP地址功能；支持恢复默认出厂设置参数功能。</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54</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校门口管理组件</w:t>
            </w:r>
          </w:p>
        </w:tc>
        <w:tc>
          <w:tcPr>
            <w:tcW w:w="2653" w:type="pct"/>
            <w:tcBorders>
              <w:top w:val="nil"/>
              <w:left w:val="nil"/>
              <w:bottom w:val="single" w:color="auto" w:sz="4" w:space="0"/>
              <w:right w:val="single" w:color="auto" w:sz="4" w:space="0"/>
            </w:tcBorders>
            <w:shd w:val="clear" w:color="auto" w:fill="auto"/>
            <w:noWrap w:val="0"/>
            <w:vAlign w:val="center"/>
          </w:tcPr>
          <w:p>
            <w:pPr>
              <w:spacing w:after="240"/>
              <w:rPr>
                <w:rFonts w:hint="eastAsia" w:ascii="仿宋_GB2312" w:hAnsi="宋体" w:eastAsia="仿宋_GB2312" w:cs="宋体"/>
                <w:kern w:val="0"/>
                <w:szCs w:val="21"/>
              </w:rPr>
            </w:pPr>
            <w:r>
              <w:rPr>
                <w:rFonts w:hint="eastAsia" w:ascii="仿宋_GB2312" w:hAnsi="宋体" w:eastAsia="仿宋_GB2312" w:cs="宋体"/>
                <w:b/>
                <w:bCs/>
                <w:kern w:val="0"/>
                <w:szCs w:val="21"/>
              </w:rPr>
              <w:t>学生请假管理</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 xml:space="preserve">（1）支持网页操作和微信操作 </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（2）发起学生请假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要填写请假单，请假单包含请假类别、请假去向、学生、开始时间、结束时间、文字描述、图片备注。请假类别包含事假、病假，请假去向包含离校、回寝、体锻请假等，离寝对应上课期间学生回寝，离校对应上课期间离校。离校与学生的到离校管理结合，去向为“离校”的请假进入到离校列表，学生刷脸进出校后，在请假信息后会记录学生的进出校时间。功能支持网页和微信操作</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（3）学生请假查询</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按列表显示学生请假信息，列表按照时间排序，可以通过年级、班级、学生姓名进行检索查询。功能支持网页和微信操作</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（4）学生请假统计</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按照班级统计请假人数，支持按照请假类型筛选</w:t>
            </w:r>
            <w:r>
              <w:rPr>
                <w:rFonts w:hint="eastAsia" w:ascii="仿宋_GB2312" w:hAnsi="宋体" w:eastAsia="仿宋_GB2312" w:cs="宋体"/>
                <w:kern w:val="0"/>
                <w:szCs w:val="21"/>
              </w:rPr>
              <w:br w:type="textWrapping"/>
            </w:r>
            <w:r>
              <w:rPr>
                <w:rFonts w:hint="eastAsia" w:ascii="仿宋_GB2312" w:hAnsi="宋体" w:eastAsia="仿宋_GB2312" w:cs="宋体"/>
                <w:b/>
                <w:bCs/>
                <w:kern w:val="0"/>
                <w:szCs w:val="21"/>
              </w:rPr>
              <w:t>学生到离校管理</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（1）支持网页、微信操作和人脸识别系统自动对学生进出校进行识别管理。</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（2）学生离校确认</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学生离校确认支持门卫手动确认和刷脸确认，手动确认需要门卫在到离校学生名单中找到相应的学生，点击“到校”或者“离校”按钮进行确认操作。刷脸确认方式支持学生在校门口在闸机上刷脸，刷脸系统进行判断学生是否允许出校，对于允许出校的学生，闸机自动打开，并消息提醒班主任和家长</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套</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55</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宿舍管理组件</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（1）支持网页、微信操作和人脸识别系统自动对学生进出校进行识别管理。</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2）住校生床位查询：支持按宿舍查询和按班级查询两种方式。按宿舍查询时，可以通过日期、床位状态、宿舍楼、楼层、房间和周几进行筛选。按班级查询时，可以通过日期、年级、班级、周几、学生姓名进行筛选。</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3）临时通校登记：班主任在网页或者微信上登记临时通校的学生名单，临时通校学生信息包含学生姓名、年级、班级、通校开始日期、通校结束日期、文字备注。临时通校登记支持批量导入，导入时需要选择临时通校开始日期、临时通校以及对应的导入表，导入表表格格式为excel。</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4）临时留宿管理：支持对临时留宿学生的查询、添加、批量导入、编辑；留宿查询：显示学生姓名、年级、班级、临时留宿时间，支持按照日期、年级、班级、学生姓名进行筛选查询；留宿登记：支持单个登记和批量导入，登记时需要选择学生、留宿开始时间、留宿结束时间、备注，批量导入时需要选择年级、开始时间、结束时间、留宿学生表格，表格格式支持cexcel</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（5）回寝管理：列表显示学生姓名、请假回寝的起止时间、学生照片、回寝/离寝记录，可以对学生进行确认回寝和确认离寝操作，操作完成后消息提醒班主任，告知学生已回寝/已离寝。</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（6）考勤管理</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支持网页查询和微信查询；支持设定回寝考勤、离寝考勤；支持根据不同的年级，设定不同的考勤时间段</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按宿舍查询、按班级查询两种查询方式；考勤报表显示应到总人数、实到总人数、缺勤人数、晚归人数、请假/通校人数、未考勤人数；支持宿舍楼统计报表查看，显示宿舍楼名称、应到人数、实到人数；支持年级统计报表查看，显示年级、应到人数、实到人数；支持班级统计报表查看，显示班级、请假/通校人数、未考勤人数；支持迟到/晚离寝学生名单查看，显示学生姓名、年级、班级、宿舍楼、房间、考勤时间，支持按照时间和宿舍两种排序方式；支持宿管员对学生考勤状态进行手动修改，可以修改为正常、晚归、缺勤、请假、通校、故意不考勤</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（7）系统部署</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人脸识别系统要求本地部署，AI可视化宿管考勤系统要求云部署，可以直接在微信上查看考勤或做管理操作。</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要求在云平台上更新学生资料和照片、教师资料和照片后，实时下发到校内人脸识别系统。</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云平台和人脸识别对接系统程序要求直接部署再人脸识别系统服务器，不再额外配服务器。要求支持在各个版本的操作系统下运行，最好采用go语言编写，不用再部署软件环境，以免造成冲突。</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（8）功能演示</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1、用户权限控制</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方案要支持给各个岗位配置功能模块权限，多岗位老师可以通过切换岗位获取功能权限。（提供现场功能演示）</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2、宿舍考勤报表演示</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住校生床位要能够支持设置周几住校，住校开始时间和结束时间设置，以支持周末长期留宿人员的管理。（提供现场功能演示）</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住校生考勤应用方案要具备临时通校、临时留宿功能，临时通校和临时留宿的学生会与学校考勤关联，在考勤报表中体现，也能在住校生查询里面查看到。（提供现场功能演示）</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住校生考勤应用方案要支持住校生查询功能，可以查询每天的应住校人数、通校和临时留宿人数（提供现场功能演示）</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住校生考勤报表要支持按宿舍查询和按班级查询两种报表查询方式，按宿舍查询要支持平面图报表和统计报表两种报表查询方式。（提供现场功能演示）</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套</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56</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b/>
                <w:bCs/>
                <w:kern w:val="0"/>
                <w:szCs w:val="21"/>
              </w:rPr>
            </w:pPr>
            <w:r>
              <w:rPr>
                <w:rFonts w:hint="eastAsia" w:ascii="仿宋_GB2312" w:hAnsi="宋体" w:eastAsia="仿宋_GB2312" w:cs="宋体"/>
                <w:b/>
                <w:bCs/>
                <w:kern w:val="0"/>
                <w:szCs w:val="21"/>
              </w:rPr>
              <w:t>三、访客登记</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57</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访客登记一体机</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设备硬件配置：工业级主板、四核2.0GHzCPU、64G固态硬盘，DDR34GB内存，Win7系统</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设备支持双屏显示，主屏（显示屏）：15.6寸，1920*1080分辨率，支持电容触摸操作；副屏（广告屏）：11.6寸，1366*768分辨率。（提供第三方检测报告证明）</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设备内置居民身份证阅读器安全模块；可读取并显示居民身份证芯片内的数据。</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支持200W像素高清摄像；摄像角度可调。</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设备支持访客黑名单管理功能。</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设备内置热敏式打印机，支持将来访者信息直接打印输出。</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设备具有双网口设计。</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具有人证比对功能：对来访者进行现场人脸抓拍，与来访者的身份证芯片内的照片进行实时比对，确保实名实证；人证合一后，设备才能进行访客登记操作；认证比对时间：≤1.5s。（提供第三方检测报告证明）</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设备支持读取并发放IC卡作为访客卡。</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设备内置激光扫码器，可识别访客单上的条形码或二维码完成签离。</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备的系统及各主要组成部分应有表明其工作正常的自检功能。</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58</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b/>
                <w:bCs/>
                <w:kern w:val="0"/>
                <w:szCs w:val="21"/>
              </w:rPr>
            </w:pPr>
            <w:r>
              <w:rPr>
                <w:rFonts w:hint="eastAsia" w:ascii="仿宋_GB2312" w:hAnsi="宋体" w:eastAsia="仿宋_GB2312" w:cs="宋体"/>
                <w:b/>
                <w:bCs/>
                <w:kern w:val="0"/>
                <w:szCs w:val="21"/>
              </w:rPr>
              <w:t>四、其他</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59</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人员库接口开发</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综合安防人员信息库与学校钉钉系统已有人员信息库进行接口开发，实现人员信息资料同步</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项</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60</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保安监控室改造</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包含网络地板、防雷接地、敲墙、墙面刷白等材料采购及施工</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项</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61</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功放</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专业200W多功能一体化功放</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套</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62</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鹅颈话筒</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专业有线鹅颈式话筒</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只</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63</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陶瓷静电地板</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全钢外壳结构，优质水泥填充，陶瓷贴面，底面采用ST14拉伸板，表面选用SPCC硬质钢材，四周导电嵌条镀边。支座使用钢板压成型，丝杆高度可任意调节，横梁选用方管制作。</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平米</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190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64</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强电电缆</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YJV5*6平方进线电缆</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米</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40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65</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工程辅材</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系统运行所需额外配套的支架、线缆、接线板等配件</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项</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66</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综合布线</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弱电布线规格：六类非屏蔽双绞线+六类RJ45水晶头端接；要求机房强弱电布制走线图；要求工艺和标签管理规范、安全可靠</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间</w:t>
            </w:r>
          </w:p>
        </w:tc>
        <w:tc>
          <w:tcPr>
            <w:tcW w:w="429"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 </w:t>
            </w:r>
          </w:p>
        </w:tc>
      </w:tr>
      <w:tr>
        <w:tblPrEx>
          <w:tblCellMar>
            <w:top w:w="0" w:type="dxa"/>
            <w:left w:w="108" w:type="dxa"/>
            <w:bottom w:w="0" w:type="dxa"/>
            <w:right w:w="108" w:type="dxa"/>
          </w:tblCellMar>
        </w:tblPrEx>
        <w:trPr>
          <w:trHeight w:val="900"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67</w:t>
            </w:r>
          </w:p>
        </w:tc>
        <w:tc>
          <w:tcPr>
            <w:tcW w:w="1102"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技术施工服务</w:t>
            </w:r>
          </w:p>
        </w:tc>
        <w:tc>
          <w:tcPr>
            <w:tcW w:w="2653"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包含综合安防系统内所有设备、辅材的安装施工、调试、后期使用培训等内容</w:t>
            </w:r>
          </w:p>
        </w:tc>
        <w:tc>
          <w:tcPr>
            <w:tcW w:w="408"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项</w:t>
            </w:r>
          </w:p>
        </w:tc>
        <w:tc>
          <w:tcPr>
            <w:tcW w:w="429" w:type="pct"/>
            <w:tcBorders>
              <w:top w:val="nil"/>
              <w:left w:val="nil"/>
              <w:bottom w:val="single" w:color="auto" w:sz="4" w:space="0"/>
              <w:right w:val="single" w:color="auto" w:sz="4" w:space="0"/>
            </w:tcBorders>
            <w:shd w:val="clear" w:color="auto" w:fill="auto"/>
            <w:noWrap w:val="0"/>
            <w:vAlign w:val="center"/>
          </w:tcPr>
          <w:p>
            <w:pPr>
              <w:numPr>
                <w:ilvl w:val="0"/>
                <w:numId w:val="18"/>
              </w:numPr>
              <w:jc w:val="center"/>
              <w:rPr>
                <w:rFonts w:hint="eastAsia" w:ascii="仿宋_GB2312" w:hAnsi="宋体" w:eastAsia="仿宋_GB2312" w:cs="宋体"/>
                <w:kern w:val="0"/>
                <w:szCs w:val="21"/>
              </w:rPr>
            </w:pPr>
          </w:p>
        </w:tc>
      </w:tr>
    </w:tbl>
    <w:p>
      <w:pPr>
        <w:widowControl w:val="0"/>
        <w:spacing w:line="360" w:lineRule="auto"/>
        <w:ind w:firstLine="360" w:firstLineChars="150"/>
        <w:jc w:val="both"/>
        <w:rPr>
          <w:rFonts w:hint="eastAsia" w:ascii="仿宋_GB2312" w:hAnsi="Calibri" w:eastAsia="仿宋_GB2312"/>
          <w:sz w:val="24"/>
          <w:szCs w:val="24"/>
        </w:rPr>
      </w:pPr>
    </w:p>
    <w:p>
      <w:pPr>
        <w:keepNext/>
        <w:keepLines/>
        <w:widowControl w:val="0"/>
        <w:spacing w:line="415" w:lineRule="auto"/>
        <w:jc w:val="both"/>
        <w:outlineLvl w:val="1"/>
        <w:rPr>
          <w:rFonts w:hint="eastAsia" w:ascii="仿宋_GB2312" w:hAnsi="Cambria" w:eastAsia="仿宋_GB2312"/>
          <w:b/>
          <w:bCs/>
          <w:sz w:val="28"/>
          <w:szCs w:val="32"/>
        </w:rPr>
      </w:pPr>
      <w:r>
        <w:rPr>
          <w:rFonts w:hint="eastAsia" w:ascii="仿宋_GB2312" w:hAnsi="Cambria" w:eastAsia="仿宋_GB2312"/>
          <w:b/>
          <w:bCs/>
          <w:sz w:val="28"/>
          <w:szCs w:val="32"/>
        </w:rPr>
        <w:t>6.2防撞升降柱系统</w:t>
      </w:r>
    </w:p>
    <w:p>
      <w:pPr>
        <w:keepNext/>
        <w:keepLines/>
        <w:widowControl w:val="0"/>
        <w:spacing w:line="415" w:lineRule="auto"/>
        <w:jc w:val="both"/>
        <w:outlineLvl w:val="2"/>
        <w:rPr>
          <w:rFonts w:hint="eastAsia" w:ascii="仿宋_GB2312" w:hAnsi="Calibri" w:eastAsia="仿宋_GB2312"/>
          <w:b/>
          <w:bCs/>
          <w:sz w:val="28"/>
          <w:szCs w:val="32"/>
        </w:rPr>
      </w:pPr>
      <w:r>
        <w:rPr>
          <w:rFonts w:hint="eastAsia" w:ascii="仿宋_GB2312" w:hAnsi="Calibri" w:eastAsia="仿宋_GB2312"/>
          <w:b/>
          <w:bCs/>
          <w:sz w:val="28"/>
          <w:szCs w:val="32"/>
        </w:rPr>
        <w:t>6.2.1系统概述</w:t>
      </w:r>
    </w:p>
    <w:p>
      <w:pPr>
        <w:widowControl w:val="0"/>
        <w:spacing w:line="360" w:lineRule="auto"/>
        <w:ind w:firstLine="480" w:firstLineChars="200"/>
        <w:jc w:val="both"/>
        <w:rPr>
          <w:rFonts w:hint="eastAsia" w:ascii="仿宋_GB2312" w:hAnsi="Calibri" w:eastAsia="仿宋_GB2312"/>
          <w:sz w:val="24"/>
          <w:szCs w:val="24"/>
        </w:rPr>
      </w:pPr>
      <w:r>
        <w:rPr>
          <w:rFonts w:hint="eastAsia" w:ascii="仿宋_GB2312" w:hAnsi="Calibri" w:eastAsia="仿宋_GB2312"/>
          <w:sz w:val="24"/>
          <w:szCs w:val="24"/>
        </w:rPr>
        <w:t>大门宽度约15米，按照标准设计两柱子柱心间距1.2米来安装，共安装10根全自动防撞升降柱+1套控制系统。10根升降柱分三组控制，中间4根，两边3根，系统采用UPS供电，当市电断电时，保证系统的稳定运行。</w:t>
      </w:r>
    </w:p>
    <w:p>
      <w:pPr>
        <w:keepNext/>
        <w:keepLines/>
        <w:widowControl w:val="0"/>
        <w:spacing w:line="415" w:lineRule="auto"/>
        <w:jc w:val="both"/>
        <w:outlineLvl w:val="2"/>
        <w:rPr>
          <w:rFonts w:hint="eastAsia" w:ascii="仿宋_GB2312" w:hAnsi="Calibri" w:eastAsia="仿宋_GB2312"/>
          <w:b/>
          <w:bCs/>
          <w:sz w:val="28"/>
          <w:szCs w:val="32"/>
        </w:rPr>
      </w:pPr>
      <w:r>
        <w:rPr>
          <w:rFonts w:hint="eastAsia" w:ascii="仿宋_GB2312" w:hAnsi="Calibri" w:eastAsia="仿宋_GB2312"/>
          <w:b/>
          <w:bCs/>
          <w:sz w:val="28"/>
          <w:szCs w:val="32"/>
        </w:rPr>
        <w:t>6.2.2系统清单</w:t>
      </w:r>
    </w:p>
    <w:tbl>
      <w:tblPr>
        <w:tblStyle w:val="6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1198"/>
        <w:gridCol w:w="5025"/>
        <w:gridCol w:w="874"/>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trPr>
        <w:tc>
          <w:tcPr>
            <w:tcW w:w="323" w:type="pct"/>
            <w:shd w:val="clear" w:color="auto" w:fill="auto"/>
            <w:noWrap w:val="0"/>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序号</w:t>
            </w:r>
          </w:p>
        </w:tc>
        <w:tc>
          <w:tcPr>
            <w:tcW w:w="703" w:type="pct"/>
            <w:shd w:val="clear" w:color="auto" w:fill="auto"/>
            <w:noWrap w:val="0"/>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名称</w:t>
            </w:r>
          </w:p>
        </w:tc>
        <w:tc>
          <w:tcPr>
            <w:tcW w:w="2947" w:type="pct"/>
            <w:shd w:val="clear" w:color="auto" w:fill="auto"/>
            <w:noWrap w:val="0"/>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主要参数</w:t>
            </w:r>
          </w:p>
        </w:tc>
        <w:tc>
          <w:tcPr>
            <w:tcW w:w="513" w:type="pct"/>
            <w:shd w:val="clear" w:color="auto" w:fill="auto"/>
            <w:noWrap w:val="0"/>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单位</w:t>
            </w:r>
          </w:p>
        </w:tc>
        <w:tc>
          <w:tcPr>
            <w:tcW w:w="513" w:type="pct"/>
            <w:shd w:val="clear" w:color="auto" w:fill="auto"/>
            <w:noWrap w:val="0"/>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7" w:hRule="atLeast"/>
        </w:trPr>
        <w:tc>
          <w:tcPr>
            <w:tcW w:w="323" w:type="pct"/>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703" w:type="pct"/>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全自动气压升降柱</w:t>
            </w:r>
          </w:p>
        </w:tc>
        <w:tc>
          <w:tcPr>
            <w:tcW w:w="2947" w:type="pct"/>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（1） 工作原理：压缩空气驱动</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（2） ê柱体尺寸：高度≥600 mm；壁厚：5.8mm±10丝；直径≥219mm；</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（3） 地埋柱体高度≤850mm</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（4） 运动柱体表面材质处理：304不锈钢拉丝。</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（5） ê工作电压：≤DC36V</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（6） 工作湿度：≤90%RH</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（7） 工作温度：-30℃~55℃</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（8） 防护等级：≥IP67</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（9） 静态负载力要求：≥20吨（下降状态）</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（10） 运动柱体断电状态：断电后，运动柱体自动下降。</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（11） 隔离护圈：运动柱体与地埋柱体之间应设置非金属材质的隔离护圈，以避免地面面板刮花运动柱体。</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（12） 警示装置1：运动柱体表面有反光警示条，宽度大于50mm，颜色为柠檬黄。</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（13） 警示装置2：运动柱体顶部设置LED警示灯带，灯芯之间的距离不得大于40mm。运动柱体运行过程中警示灯闪烁，其余时间常亮，且运动柱体完全下降后，夜晚中在远处仍可明显观察到地面有警示灯光。</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（14）防滑设计：顶盖法兰部分及运动柱体顶部设置防滑纹，防滑纹的深度、宽度均不得低于2mm，且防滑纹之间每个区域的内切圆直径不得大于60mm。</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（15） 顶盖法兰强度：顶盖法兰须采用高强度金属制造制造，其厚度不得小于20mm，制造材质屈服强度（规定塑型延伸强度）不得小于300Mpa，抗拉强度不得小于300 Mpa。</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（16） 控制方式：手控按钮盒+遥控器（遥控器上设置有保险开关）+互联网远程控制。</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（17） 运行速度：升降柱应具备快速弹出功能同时支持常规速度。以满足日常使用需求及**使用需求。</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1)常规速度：上升时间≤3s（速度：≥20cm/s）且可调节,下降：≤3 s（速度：≥20cm/s）且可调节；</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2)快速速度：升降柱应具备快速弹出功能，弹出时间≤1s（速度：60cm/s）。</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（18） 由于升降柱安装开挖较深，常规产品安装需开挖深度在1.1m，鉴于学校道口可能出现的地下管道导致无法开挖较深，投标人需提供备选方案，备选方案产品开挖深度不大于450 mm，升起高度不低于530 mm的产品。</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（19）阻挡性能：气压柱通过检测依据为GA/T 1343-2016《防暴升降式阻车路障》且阻挡能力符合B2级的公安部型式检验。</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（20）设备经过实车碰撞测试试验（提供图文说明制造商名称以横幅、背景板或喷绘等形式在图片显示场景中体现，以确保其真实性，上述材料加盖制造商公章。）</w:t>
            </w: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根</w:t>
            </w: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323" w:type="pct"/>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703" w:type="pct"/>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加强型控制柜</w:t>
            </w:r>
          </w:p>
        </w:tc>
        <w:tc>
          <w:tcPr>
            <w:tcW w:w="2947" w:type="pct"/>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动力源:AC 220V气泵（AC 110V可选）；</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加强型的为1500W；</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柜体防水防尘，设置干燥三联件，带有定时排水系统；</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拓展模式，可以满足后续系统升级加装拓展功能且预留拓展端口</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1、互联网控制：在消控中心通过软件控制柱子的升降（需加装联网模块）；</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2、与门禁系统、停车场系统以及远程刷卡，蓝牙读卡等联动；</w:t>
            </w: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套</w:t>
            </w: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3" w:type="pct"/>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703" w:type="pct"/>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手控盒</w:t>
            </w:r>
          </w:p>
        </w:tc>
        <w:tc>
          <w:tcPr>
            <w:tcW w:w="2947" w:type="pct"/>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三键手控盒，手动操作，配有紧急上升按钮</w:t>
            </w: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只</w:t>
            </w: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3" w:type="pct"/>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703" w:type="pct"/>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无线遥控器</w:t>
            </w:r>
          </w:p>
        </w:tc>
        <w:tc>
          <w:tcPr>
            <w:tcW w:w="2947" w:type="pct"/>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无线遥控 ，控制距离：≥30米</w:t>
            </w: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套</w:t>
            </w: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3" w:type="pct"/>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5</w:t>
            </w:r>
          </w:p>
        </w:tc>
        <w:tc>
          <w:tcPr>
            <w:tcW w:w="703" w:type="pct"/>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气管</w:t>
            </w:r>
          </w:p>
        </w:tc>
        <w:tc>
          <w:tcPr>
            <w:tcW w:w="2947" w:type="pct"/>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特殊抗高压尼龙材料，直径10mm</w:t>
            </w: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米</w:t>
            </w: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3" w:type="pct"/>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6</w:t>
            </w:r>
          </w:p>
        </w:tc>
        <w:tc>
          <w:tcPr>
            <w:tcW w:w="703" w:type="pct"/>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电源线</w:t>
            </w:r>
          </w:p>
        </w:tc>
        <w:tc>
          <w:tcPr>
            <w:tcW w:w="2947" w:type="pct"/>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RVV3*2.5</w:t>
            </w: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米</w:t>
            </w: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3" w:type="pct"/>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7</w:t>
            </w:r>
          </w:p>
        </w:tc>
        <w:tc>
          <w:tcPr>
            <w:tcW w:w="703" w:type="pct"/>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升降柱连接线</w:t>
            </w:r>
          </w:p>
        </w:tc>
        <w:tc>
          <w:tcPr>
            <w:tcW w:w="2947" w:type="pct"/>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RVV6*0.75</w:t>
            </w: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米</w:t>
            </w: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3" w:type="pct"/>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703" w:type="pct"/>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控制线</w:t>
            </w:r>
          </w:p>
        </w:tc>
        <w:tc>
          <w:tcPr>
            <w:tcW w:w="2947" w:type="pct"/>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RVVSP6*0.5</w:t>
            </w: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米</w:t>
            </w: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23" w:type="pct"/>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9</w:t>
            </w:r>
          </w:p>
        </w:tc>
        <w:tc>
          <w:tcPr>
            <w:tcW w:w="703" w:type="pct"/>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技术服务</w:t>
            </w:r>
          </w:p>
        </w:tc>
        <w:tc>
          <w:tcPr>
            <w:tcW w:w="2947" w:type="pct"/>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包含防撞升降柱系统施工、后期调试及使用培训，施工内容包含地面开挖、混凝土浇筑、土方回填、道路复原、设备安装及管线敷设等</w:t>
            </w:r>
          </w:p>
        </w:tc>
        <w:tc>
          <w:tcPr>
            <w:tcW w:w="513"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项</w:t>
            </w:r>
          </w:p>
        </w:tc>
        <w:tc>
          <w:tcPr>
            <w:tcW w:w="513" w:type="pct"/>
            <w:shd w:val="clear" w:color="auto" w:fill="auto"/>
            <w:noWrap w:val="0"/>
            <w:vAlign w:val="center"/>
          </w:tcPr>
          <w:p>
            <w:pPr>
              <w:numPr>
                <w:ilvl w:val="0"/>
                <w:numId w:val="19"/>
              </w:numPr>
              <w:jc w:val="center"/>
              <w:rPr>
                <w:rFonts w:hint="eastAsia" w:ascii="仿宋_GB2312" w:hAnsi="宋体" w:eastAsia="仿宋_GB2312" w:cs="宋体"/>
                <w:kern w:val="0"/>
                <w:szCs w:val="21"/>
              </w:rPr>
            </w:pPr>
          </w:p>
        </w:tc>
      </w:tr>
    </w:tbl>
    <w:p>
      <w:pPr>
        <w:widowControl w:val="0"/>
        <w:spacing w:line="360" w:lineRule="auto"/>
        <w:ind w:firstLine="360" w:firstLineChars="150"/>
        <w:jc w:val="both"/>
        <w:rPr>
          <w:rFonts w:hint="eastAsia" w:ascii="仿宋_GB2312" w:hAnsi="Calibri" w:eastAsia="仿宋_GB2312"/>
          <w:sz w:val="24"/>
          <w:szCs w:val="24"/>
        </w:rPr>
      </w:pPr>
    </w:p>
    <w:p>
      <w:pPr>
        <w:widowControl w:val="0"/>
        <w:spacing w:line="360" w:lineRule="auto"/>
        <w:ind w:firstLine="360" w:firstLineChars="150"/>
        <w:jc w:val="both"/>
        <w:rPr>
          <w:rFonts w:hint="eastAsia" w:ascii="仿宋_GB2312" w:hAnsi="Calibri" w:eastAsia="仿宋_GB2312"/>
          <w:sz w:val="24"/>
          <w:szCs w:val="24"/>
        </w:rPr>
      </w:pPr>
    </w:p>
    <w:p>
      <w:pPr>
        <w:keepNext/>
        <w:keepLines/>
        <w:widowControl w:val="0"/>
        <w:spacing w:line="415" w:lineRule="auto"/>
        <w:jc w:val="both"/>
        <w:outlineLvl w:val="1"/>
        <w:rPr>
          <w:rFonts w:hint="eastAsia" w:ascii="仿宋_GB2312" w:hAnsi="Cambria" w:eastAsia="仿宋_GB2312"/>
          <w:b/>
          <w:bCs/>
          <w:sz w:val="28"/>
          <w:szCs w:val="32"/>
        </w:rPr>
      </w:pPr>
      <w:bookmarkStart w:id="49" w:name="_Toc520892709"/>
      <w:r>
        <w:rPr>
          <w:rFonts w:hint="eastAsia" w:ascii="仿宋_GB2312" w:hAnsi="Cambria" w:eastAsia="仿宋_GB2312"/>
          <w:b/>
          <w:bCs/>
          <w:sz w:val="28"/>
          <w:szCs w:val="32"/>
        </w:rPr>
        <w:t>6.3电子班牌系统</w:t>
      </w:r>
      <w:bookmarkEnd w:id="49"/>
    </w:p>
    <w:p>
      <w:pPr>
        <w:keepNext/>
        <w:keepLines/>
        <w:widowControl w:val="0"/>
        <w:spacing w:line="415" w:lineRule="auto"/>
        <w:jc w:val="both"/>
        <w:outlineLvl w:val="2"/>
        <w:rPr>
          <w:rFonts w:hint="eastAsia" w:ascii="仿宋_GB2312" w:hAnsi="Calibri" w:eastAsia="仿宋_GB2312"/>
          <w:b/>
          <w:bCs/>
          <w:sz w:val="28"/>
          <w:szCs w:val="32"/>
        </w:rPr>
      </w:pPr>
      <w:r>
        <w:rPr>
          <w:rFonts w:hint="eastAsia" w:ascii="仿宋_GB2312" w:hAnsi="Calibri" w:eastAsia="仿宋_GB2312"/>
          <w:b/>
          <w:bCs/>
          <w:sz w:val="28"/>
          <w:szCs w:val="32"/>
        </w:rPr>
        <w:t>6.3.1系统概述</w:t>
      </w:r>
    </w:p>
    <w:p>
      <w:pPr>
        <w:widowControl w:val="0"/>
        <w:spacing w:line="360" w:lineRule="auto"/>
        <w:ind w:firstLine="360" w:firstLineChars="150"/>
        <w:jc w:val="both"/>
        <w:rPr>
          <w:rFonts w:hint="eastAsia" w:ascii="仿宋_GB2312" w:hAnsi="Calibri" w:eastAsia="仿宋_GB2312"/>
          <w:sz w:val="24"/>
          <w:szCs w:val="24"/>
        </w:rPr>
      </w:pPr>
      <w:r>
        <w:rPr>
          <w:rFonts w:hint="eastAsia" w:ascii="仿宋_GB2312" w:hAnsi="Calibri" w:eastAsia="仿宋_GB2312"/>
          <w:sz w:val="24"/>
          <w:szCs w:val="24"/>
        </w:rPr>
        <w:t>系统的总体架构分为两个层次：后端管理层和媒体展示层。如下图所示：</w:t>
      </w:r>
    </w:p>
    <w:p>
      <w:pPr>
        <w:widowControl w:val="0"/>
        <w:spacing w:line="360" w:lineRule="auto"/>
        <w:ind w:firstLine="360" w:firstLineChars="150"/>
        <w:jc w:val="both"/>
        <w:rPr>
          <w:rFonts w:hint="eastAsia" w:ascii="仿宋_GB2312" w:hAnsi="Calibri" w:eastAsia="仿宋_GB2312"/>
          <w:sz w:val="24"/>
          <w:szCs w:val="24"/>
        </w:rPr>
      </w:pPr>
      <w:r>
        <w:rPr>
          <w:rFonts w:hint="eastAsia" w:ascii="仿宋_GB2312" w:hAnsi="Calibri" w:eastAsia="仿宋_GB2312"/>
          <w:sz w:val="24"/>
          <w:szCs w:val="24"/>
        </w:rPr>
        <w:t xml:space="preserve"> </w:t>
      </w:r>
      <w:r>
        <w:rPr>
          <w:rFonts w:hint="eastAsia" w:ascii="仿宋_GB2312" w:hAnsi="Calibri" w:eastAsia="仿宋_GB2312"/>
          <w:sz w:val="24"/>
          <w:szCs w:val="24"/>
          <w:lang/>
        </w:rPr>
        <w:drawing>
          <wp:inline distT="0" distB="0" distL="114300" distR="114300">
            <wp:extent cx="5269230" cy="2239010"/>
            <wp:effectExtent l="0" t="0" r="762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5269230" cy="2239010"/>
                    </a:xfrm>
                    <a:prstGeom prst="rect">
                      <a:avLst/>
                    </a:prstGeom>
                    <a:noFill/>
                    <a:ln>
                      <a:noFill/>
                    </a:ln>
                  </pic:spPr>
                </pic:pic>
              </a:graphicData>
            </a:graphic>
          </wp:inline>
        </w:drawing>
      </w:r>
    </w:p>
    <w:p>
      <w:pPr>
        <w:widowControl w:val="0"/>
        <w:spacing w:line="360" w:lineRule="auto"/>
        <w:ind w:firstLine="360" w:firstLineChars="150"/>
        <w:jc w:val="both"/>
        <w:rPr>
          <w:rFonts w:hint="eastAsia" w:ascii="仿宋_GB2312" w:hAnsi="Calibri" w:eastAsia="仿宋_GB2312"/>
          <w:sz w:val="24"/>
          <w:szCs w:val="24"/>
        </w:rPr>
      </w:pPr>
      <w:r>
        <w:rPr>
          <w:rFonts w:hint="eastAsia" w:ascii="仿宋_GB2312" w:hAnsi="Calibri" w:eastAsia="仿宋_GB2312"/>
          <w:sz w:val="24"/>
          <w:szCs w:val="24"/>
        </w:rPr>
        <w:t>电子班牌终端作为系统多媒体资源的展示层，主要用来显示后台设置好的文字、声音、图片、视频等信息，终端可以触摸交互，具备个人中心、课程查询、课表查询、请假管理、家校沟通等应用。</w:t>
      </w:r>
    </w:p>
    <w:p>
      <w:pPr>
        <w:widowControl w:val="0"/>
        <w:spacing w:line="360" w:lineRule="auto"/>
        <w:ind w:firstLine="360" w:firstLineChars="150"/>
        <w:jc w:val="both"/>
        <w:rPr>
          <w:rFonts w:hint="eastAsia" w:ascii="仿宋_GB2312" w:hAnsi="Calibri" w:eastAsia="仿宋_GB2312"/>
          <w:sz w:val="24"/>
          <w:szCs w:val="24"/>
        </w:rPr>
      </w:pPr>
      <w:r>
        <w:rPr>
          <w:rFonts w:hint="eastAsia" w:ascii="仿宋_GB2312" w:hAnsi="Calibri" w:eastAsia="仿宋_GB2312"/>
          <w:sz w:val="24"/>
          <w:szCs w:val="24"/>
        </w:rPr>
        <w:t>电子班牌管理系统作为后端管理层，负责基本数据的导入、校园公告、走班考勤、请假管理等应用实现。</w:t>
      </w:r>
    </w:p>
    <w:p>
      <w:pPr>
        <w:keepNext/>
        <w:keepLines/>
        <w:widowControl w:val="0"/>
        <w:spacing w:line="415" w:lineRule="auto"/>
        <w:jc w:val="both"/>
        <w:outlineLvl w:val="2"/>
        <w:rPr>
          <w:rFonts w:hint="eastAsia" w:ascii="仿宋_GB2312" w:hAnsi="Calibri" w:eastAsia="仿宋_GB2312"/>
          <w:b/>
          <w:bCs/>
          <w:sz w:val="28"/>
          <w:szCs w:val="32"/>
        </w:rPr>
      </w:pPr>
      <w:r>
        <w:rPr>
          <w:rFonts w:hint="eastAsia" w:ascii="仿宋_GB2312" w:hAnsi="Calibri" w:eastAsia="仿宋_GB2312"/>
          <w:b/>
          <w:bCs/>
          <w:sz w:val="28"/>
          <w:szCs w:val="32"/>
        </w:rPr>
        <w:t>6.3.2系统清单</w:t>
      </w:r>
    </w:p>
    <w:tbl>
      <w:tblPr>
        <w:tblStyle w:val="6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878"/>
        <w:gridCol w:w="4522"/>
        <w:gridCol w:w="695"/>
        <w:gridCol w:w="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trPr>
        <w:tc>
          <w:tcPr>
            <w:tcW w:w="408" w:type="pct"/>
            <w:shd w:val="clear" w:color="auto" w:fill="auto"/>
            <w:noWrap w:val="0"/>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序号</w:t>
            </w:r>
          </w:p>
        </w:tc>
        <w:tc>
          <w:tcPr>
            <w:tcW w:w="1102" w:type="pct"/>
            <w:shd w:val="clear" w:color="auto" w:fill="auto"/>
            <w:noWrap w:val="0"/>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名称</w:t>
            </w:r>
          </w:p>
        </w:tc>
        <w:tc>
          <w:tcPr>
            <w:tcW w:w="2653" w:type="pct"/>
            <w:shd w:val="clear" w:color="auto" w:fill="auto"/>
            <w:noWrap w:val="0"/>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主要参数</w:t>
            </w:r>
          </w:p>
        </w:tc>
        <w:tc>
          <w:tcPr>
            <w:tcW w:w="408" w:type="pct"/>
            <w:shd w:val="clear" w:color="auto" w:fill="auto"/>
            <w:noWrap w:val="0"/>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单位</w:t>
            </w:r>
          </w:p>
        </w:tc>
        <w:tc>
          <w:tcPr>
            <w:tcW w:w="429" w:type="pct"/>
            <w:shd w:val="clear" w:color="auto" w:fill="auto"/>
            <w:noWrap w:val="0"/>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408" w:type="pct"/>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102" w:type="pct"/>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电子班牌</w:t>
            </w:r>
          </w:p>
        </w:tc>
        <w:tc>
          <w:tcPr>
            <w:tcW w:w="2653" w:type="pct"/>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 xml:space="preserve">1 外观结构 </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1) 产品功能：整机为安卓系统一体机，内置安卓系统、集成刷卡模块无需另配刷卡器、喇叭、无线功能等，可壁挂；</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2) 产品规格：显示尺寸21.5寸；</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3) 交互方式：触摸</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 xml:space="preserve">2 功能特性 </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1) 21.5英寸TFT显示屏，分辨率</w:t>
            </w:r>
            <w:r>
              <w:rPr>
                <w:rFonts w:hint="eastAsia" w:ascii="宋体" w:hAnsi="宋体" w:cs="宋体"/>
                <w:kern w:val="0"/>
                <w:szCs w:val="21"/>
              </w:rPr>
              <w:t>≧</w:t>
            </w:r>
            <w:r>
              <w:rPr>
                <w:rFonts w:hint="eastAsia" w:ascii="仿宋_GB2312" w:hAnsi="宋体" w:eastAsia="仿宋_GB2312" w:cs="宋体"/>
                <w:kern w:val="0"/>
                <w:szCs w:val="21"/>
              </w:rPr>
              <w:t>1920*1080，屏幕比例16：9，显示颜色：8bitRGB，点间距：0.24795 mm×0.24795 mm；对比度：</w:t>
            </w:r>
            <w:r>
              <w:rPr>
                <w:rFonts w:hint="eastAsia" w:ascii="宋体" w:hAnsi="宋体" w:cs="宋体"/>
                <w:kern w:val="0"/>
                <w:szCs w:val="21"/>
              </w:rPr>
              <w:t>≧</w:t>
            </w:r>
            <w:r>
              <w:rPr>
                <w:rFonts w:hint="eastAsia" w:ascii="仿宋_GB2312" w:hAnsi="宋体" w:eastAsia="仿宋_GB2312" w:cs="宋体"/>
                <w:kern w:val="0"/>
                <w:szCs w:val="21"/>
              </w:rPr>
              <w:t>1000:1，亮度:≥280 cd/m</w:t>
            </w:r>
            <w:r>
              <w:rPr>
                <w:rFonts w:hint="eastAsia" w:ascii="宋体" w:hAnsi="宋体" w:cs="宋体"/>
                <w:kern w:val="0"/>
                <w:szCs w:val="21"/>
              </w:rPr>
              <w:t>²</w:t>
            </w:r>
            <w:r>
              <w:rPr>
                <w:rFonts w:hint="eastAsia" w:ascii="仿宋_GB2312" w:hAnsi="仿宋_GB2312" w:eastAsia="仿宋_GB2312" w:cs="仿宋_GB2312"/>
                <w:kern w:val="0"/>
                <w:szCs w:val="21"/>
              </w:rPr>
              <w:t>，可视角度（水平</w:t>
            </w:r>
            <w:r>
              <w:rPr>
                <w:rFonts w:hint="eastAsia" w:ascii="仿宋_GB2312" w:hAnsi="宋体" w:eastAsia="仿宋_GB2312" w:cs="宋体"/>
                <w:kern w:val="0"/>
                <w:szCs w:val="21"/>
              </w:rPr>
              <w:t>/垂直）:</w:t>
            </w:r>
            <w:r>
              <w:rPr>
                <w:rFonts w:hint="eastAsia" w:ascii="宋体" w:hAnsi="宋体" w:cs="宋体"/>
                <w:kern w:val="0"/>
                <w:szCs w:val="21"/>
              </w:rPr>
              <w:t>≧</w:t>
            </w:r>
            <w:r>
              <w:rPr>
                <w:rFonts w:hint="eastAsia" w:ascii="仿宋_GB2312" w:hAnsi="宋体" w:eastAsia="仿宋_GB2312" w:cs="宋体"/>
                <w:kern w:val="0"/>
                <w:szCs w:val="21"/>
              </w:rPr>
              <w:t>178°/178°，响应时间：</w:t>
            </w:r>
            <w:r>
              <w:rPr>
                <w:rFonts w:hint="eastAsia" w:ascii="宋体" w:hAnsi="宋体" w:cs="宋体"/>
                <w:kern w:val="0"/>
                <w:szCs w:val="21"/>
              </w:rPr>
              <w:t>≦</w:t>
            </w:r>
            <w:r>
              <w:rPr>
                <w:rFonts w:hint="eastAsia" w:ascii="仿宋_GB2312" w:hAnsi="宋体" w:eastAsia="仿宋_GB2312" w:cs="宋体"/>
                <w:kern w:val="0"/>
                <w:szCs w:val="21"/>
              </w:rPr>
              <w:t>14ms；</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2)前置宽动态、≥200万像素摄像头，内置人脸比对算法（提供标准SDK供第三方调用）</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3) 内置全向麦克风；</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4) 支持ISO14443 TypeA、TypeB刷卡签到功能；</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5) 2路USB接口，支持外接鼠标、U盘等；</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6) 1路RJ45网线接口；</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7) 1路音频输出；</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8) 标配电源开关按钮；</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9) 内置WIFI无线功能，协议支持802.11 b/g/n；</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 xml:space="preserve">10) 喇叭：2x8Ω/2W 箱体喇叭；     </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11) 输入电源：220V；功耗：≤30W。</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 xml:space="preserve">3 操作系统 </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1) Android智能操作系统6.0以上，稳定可靠；</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2) 系统内存：</w:t>
            </w:r>
            <w:r>
              <w:rPr>
                <w:rFonts w:hint="eastAsia" w:ascii="宋体" w:hAnsi="宋体" w:cs="宋体"/>
                <w:kern w:val="0"/>
                <w:szCs w:val="21"/>
              </w:rPr>
              <w:t>≧</w:t>
            </w:r>
            <w:r>
              <w:rPr>
                <w:rFonts w:hint="eastAsia" w:ascii="仿宋_GB2312" w:hAnsi="宋体" w:eastAsia="仿宋_GB2312" w:cs="宋体"/>
                <w:kern w:val="0"/>
                <w:szCs w:val="21"/>
              </w:rPr>
              <w:t xml:space="preserve">2G内存保证系统最优性能；                         </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3) 系统CPU：Cortex-A17,四核1.8GHZ主频或更高性能；</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4) 系统存储空间：内置8G emmc，外置标配16G TF卡；</w:t>
            </w:r>
          </w:p>
        </w:tc>
        <w:tc>
          <w:tcPr>
            <w:tcW w:w="408"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c>
          <w:tcPr>
            <w:tcW w:w="4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trPr>
        <w:tc>
          <w:tcPr>
            <w:tcW w:w="408" w:type="pct"/>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102" w:type="pct"/>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终端软件</w:t>
            </w:r>
          </w:p>
        </w:tc>
        <w:tc>
          <w:tcPr>
            <w:tcW w:w="2653" w:type="pct"/>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支持普通模式、上课模式、考试模式、紧急通知模式、校宣模式、考勤模式、功能教室/走班教室模式等多种模式智能自动切换</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普通模式：非上课时间段显示普通模式，可展示：天气、日期、时间等基本信息，班级LOGO、班级名称、班级别名、班主任、班长、班级人数、班级口号等班级概况信息，今日课程、当前课程，应到、实到人数和出勤率，班级资讯、通知，班级视频、相册，值日表，班级评价、学生荣誉等内容，用于日常学校生活中学生进行查阅信息、互动操作等方式来参与智慧校园生活。</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上课模式：依据班级课表，上课时段自动从普通模式切换至上课模式，主要展现本节课程的详细信息，包括科目、上课时间、教师照片、姓名简介、下节课程信息、下课时间、出勤率、校级通知等内容。上课过程中可自主切换到普通模式，长时间不操作自动切回上课模式。</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紧急通知模式：根据学校需要，管理员发布紧急通知后，全屏覆盖紧急通知模式，支持播放文字、图片、视频等内容，可用于各项紧急通知、接待欢迎图文、安全讲座视频、主题活动配套图文等场景。</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考试模式：依据考试时间，可自动提前进入考试模式，可展示考试科目、时间、监考老师、考试注意事项、考试倒计时、考试出勤、考试座位分布等信息</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校宣模式：依据设定的校宣时间，可自动切换校宣模式，支持每日自动循环播放。可发布文章资讯类型、图文类型、视频类型三种内容样式，根据不同需要自主设定。进入校宣模式后，不可以退出和进入其他模式。</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考勤模式：提供刷卡和刷脸两种考勤方式。</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功能教室/走班教室模式：主要展示课表和考勤信息、教室文章、教室通知、教室图片和教室视频等内容，学生刷卡后，即时记录打卡信息，反馈考勤统计。</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普通模式下提供班级概况、班级课表、班级出勤、班级通知、班级资讯、班级相册、班级视频、班级评价、班级荣誉、知识分享、个人查询、更多设置等子功能模块快捷入口菜单</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能够展示班主任、任课老师、班长、班级人数、班级口号、班级介绍等基本信息，支持按座位表展示班级学生</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班级课表页面可展示周一至周日所有的课程信息，包含上课科目及对应的任课教师信息</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能够实时展示班级考勤数据，显示每一堂课的到勤率，显示迟到和缺勤学生信息</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支持学校管理者直接通过班牌对班级卫生、纪律、眼保健操等可自定义的德育评价项直接在班牌上进行实时评分，并立即产生对应的年级日排名和周排名，可有效提高学校德育评价效率和学生班级荣誉感</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支持教师和学生通过班牌查询个人信息、个人课表、个人消息以外，还可以查看个人主页和工作空间/学习空间</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支持同步展示班级在互动课堂中所产生的课堂实录和课堂板书文件，学生可直接通过班牌复习课堂内容；同时班牌还提供了班级资源库展示功能，学生可以很方便地通过班牌学习知识内容。</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管理员可以通过密码进入班牌设置界面进行班牌网络设置及主题色设置</w:t>
            </w:r>
          </w:p>
        </w:tc>
        <w:tc>
          <w:tcPr>
            <w:tcW w:w="408"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套</w:t>
            </w:r>
          </w:p>
        </w:tc>
        <w:tc>
          <w:tcPr>
            <w:tcW w:w="429"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408" w:type="pct"/>
            <w:tcBorders>
              <w:bottom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1102" w:type="pct"/>
            <w:tcBorders>
              <w:bottom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电子班牌后台软件</w:t>
            </w:r>
          </w:p>
        </w:tc>
        <w:tc>
          <w:tcPr>
            <w:tcW w:w="2653" w:type="pct"/>
            <w:tcBorders>
              <w:bottom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 xml:space="preserve">【功能】1）基础应用：视频资源、课堂督查、视频互动、级联管理、电子班牌；2）智能应用：课堂出勤（老师人脸点名、学生人脸点名、学生人数统计）、智慧评估（行为、表情分析，专注度）； </w:t>
            </w:r>
          </w:p>
          <w:p>
            <w:pPr>
              <w:rPr>
                <w:rFonts w:hint="eastAsia" w:ascii="仿宋_GB2312" w:hAnsi="宋体" w:eastAsia="仿宋_GB2312" w:cs="宋体"/>
                <w:b/>
                <w:kern w:val="0"/>
                <w:szCs w:val="21"/>
              </w:rPr>
            </w:pPr>
            <w:r>
              <w:rPr>
                <w:rFonts w:hint="eastAsia" w:ascii="仿宋_GB2312" w:hAnsi="宋体" w:eastAsia="仿宋_GB2312" w:cs="宋体"/>
                <w:b/>
                <w:kern w:val="0"/>
                <w:szCs w:val="21"/>
              </w:rPr>
              <w:t>提供接口，可实现与学校钉钉系统人员信息库进行数据对接，并可与综合安防系统的人脸信息库共用，无需重复建设（如需二次开发，所有费用需包含在本次报价内）；</w:t>
            </w:r>
          </w:p>
          <w:p>
            <w:pPr>
              <w:rPr>
                <w:rFonts w:hint="eastAsia" w:ascii="仿宋_GB2312" w:hAnsi="宋体" w:eastAsia="仿宋_GB2312" w:cs="宋体"/>
                <w:kern w:val="0"/>
                <w:szCs w:val="21"/>
              </w:rPr>
            </w:pPr>
            <w:r>
              <w:rPr>
                <w:rFonts w:hint="eastAsia" w:ascii="仿宋_GB2312" w:hAnsi="宋体" w:eastAsia="仿宋_GB2312" w:cs="宋体"/>
                <w:b/>
                <w:kern w:val="0"/>
                <w:szCs w:val="21"/>
              </w:rPr>
              <w:t>提供接口可与今后课堂点名、录播系统等系统进行联动（如需二次开发，所有费用需包含在本次报价内）</w:t>
            </w:r>
          </w:p>
        </w:tc>
        <w:tc>
          <w:tcPr>
            <w:tcW w:w="408" w:type="pct"/>
            <w:tcBorders>
              <w:bottom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套</w:t>
            </w:r>
          </w:p>
        </w:tc>
        <w:tc>
          <w:tcPr>
            <w:tcW w:w="429" w:type="pct"/>
            <w:tcBorders>
              <w:bottom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08" w:type="pct"/>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1102" w:type="pct"/>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技术服务</w:t>
            </w:r>
          </w:p>
        </w:tc>
        <w:tc>
          <w:tcPr>
            <w:tcW w:w="2653" w:type="pct"/>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包含电子班牌系统内所有设备、辅材的安装施工、调试、后期使用培训等内容</w:t>
            </w:r>
          </w:p>
        </w:tc>
        <w:tc>
          <w:tcPr>
            <w:tcW w:w="408" w:type="pct"/>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项</w:t>
            </w:r>
          </w:p>
        </w:tc>
        <w:tc>
          <w:tcPr>
            <w:tcW w:w="429" w:type="pct"/>
            <w:shd w:val="clear" w:color="auto" w:fill="auto"/>
            <w:noWrap w:val="0"/>
            <w:vAlign w:val="center"/>
          </w:tcPr>
          <w:p>
            <w:pPr>
              <w:numPr>
                <w:ilvl w:val="0"/>
                <w:numId w:val="20"/>
              </w:numPr>
              <w:jc w:val="center"/>
              <w:rPr>
                <w:rFonts w:hint="eastAsia" w:ascii="仿宋_GB2312" w:hAnsi="宋体" w:eastAsia="仿宋_GB2312" w:cs="宋体"/>
                <w:kern w:val="0"/>
                <w:szCs w:val="21"/>
              </w:rPr>
            </w:pPr>
          </w:p>
        </w:tc>
      </w:tr>
    </w:tbl>
    <w:p>
      <w:pPr>
        <w:widowControl w:val="0"/>
        <w:spacing w:line="360" w:lineRule="auto"/>
        <w:ind w:firstLine="360" w:firstLineChars="150"/>
        <w:jc w:val="both"/>
        <w:rPr>
          <w:rFonts w:hint="eastAsia" w:ascii="仿宋_GB2312" w:hAnsi="Calibri" w:eastAsia="仿宋_GB2312"/>
          <w:sz w:val="24"/>
          <w:szCs w:val="24"/>
        </w:rPr>
      </w:pPr>
    </w:p>
    <w:p>
      <w:pPr>
        <w:keepNext/>
        <w:keepLines/>
        <w:widowControl w:val="0"/>
        <w:spacing w:line="415" w:lineRule="auto"/>
        <w:jc w:val="both"/>
        <w:outlineLvl w:val="1"/>
        <w:rPr>
          <w:rFonts w:hint="eastAsia" w:ascii="仿宋_GB2312" w:hAnsi="Cambria" w:eastAsia="仿宋_GB2312"/>
          <w:b/>
          <w:bCs/>
          <w:sz w:val="28"/>
          <w:szCs w:val="32"/>
        </w:rPr>
      </w:pPr>
      <w:bookmarkStart w:id="50" w:name="_Toc520892710"/>
      <w:r>
        <w:rPr>
          <w:rFonts w:hint="eastAsia" w:ascii="仿宋_GB2312" w:hAnsi="Cambria" w:eastAsia="仿宋_GB2312"/>
          <w:b/>
          <w:bCs/>
          <w:sz w:val="28"/>
          <w:szCs w:val="32"/>
        </w:rPr>
        <w:t>6.4综合布线系统</w:t>
      </w:r>
      <w:bookmarkEnd w:id="50"/>
    </w:p>
    <w:p>
      <w:pPr>
        <w:keepNext/>
        <w:keepLines/>
        <w:widowControl w:val="0"/>
        <w:spacing w:line="415" w:lineRule="auto"/>
        <w:jc w:val="both"/>
        <w:outlineLvl w:val="2"/>
        <w:rPr>
          <w:rFonts w:hint="eastAsia" w:ascii="仿宋_GB2312" w:hAnsi="Calibri" w:eastAsia="仿宋_GB2312"/>
          <w:b/>
          <w:bCs/>
          <w:sz w:val="28"/>
          <w:szCs w:val="32"/>
        </w:rPr>
      </w:pPr>
      <w:r>
        <w:rPr>
          <w:rFonts w:hint="eastAsia" w:ascii="仿宋_GB2312" w:hAnsi="Calibri" w:eastAsia="仿宋_GB2312"/>
          <w:b/>
          <w:bCs/>
          <w:sz w:val="28"/>
          <w:szCs w:val="32"/>
        </w:rPr>
        <w:t>6.4.1系统概述</w:t>
      </w:r>
    </w:p>
    <w:p>
      <w:pPr>
        <w:widowControl w:val="0"/>
        <w:spacing w:line="360" w:lineRule="auto"/>
        <w:ind w:firstLine="360" w:firstLineChars="150"/>
        <w:jc w:val="both"/>
        <w:rPr>
          <w:rFonts w:hint="eastAsia" w:ascii="仿宋_GB2312" w:hAnsi="Calibri" w:eastAsia="仿宋_GB2312"/>
          <w:sz w:val="24"/>
          <w:szCs w:val="24"/>
        </w:rPr>
      </w:pPr>
      <w:r>
        <w:rPr>
          <w:rFonts w:hint="eastAsia" w:ascii="仿宋_GB2312" w:hAnsi="Calibri" w:eastAsia="仿宋_GB2312"/>
          <w:sz w:val="24"/>
          <w:szCs w:val="24"/>
        </w:rPr>
        <w:t>综合布线系统整体采用六类标准设计，实现千兆接入、万兆主干带宽，综合布线系统主要分为工作区、水平区、管理间、垂直主干、设备间五部分。</w:t>
      </w:r>
    </w:p>
    <w:p>
      <w:pPr>
        <w:widowControl w:val="0"/>
        <w:spacing w:line="360" w:lineRule="auto"/>
        <w:ind w:firstLine="360" w:firstLineChars="150"/>
        <w:jc w:val="both"/>
        <w:rPr>
          <w:rFonts w:hint="eastAsia" w:ascii="仿宋_GB2312" w:hAnsi="Calibri" w:eastAsia="仿宋_GB2312"/>
          <w:sz w:val="24"/>
          <w:szCs w:val="24"/>
        </w:rPr>
      </w:pPr>
      <w:r>
        <w:rPr>
          <w:rFonts w:hint="eastAsia" w:ascii="仿宋_GB2312" w:hAnsi="Calibri" w:eastAsia="仿宋_GB2312"/>
          <w:sz w:val="24"/>
          <w:szCs w:val="24"/>
        </w:rPr>
        <w:t>工作区：由于布线主要终端为摄像机、人脸识别道闸、访客机、电子班牌等，因此工作区主要配置六类水晶头，直接与终端设备相连，室外点位采用光纤，因此选用LC尾纤，熔接后LC接口直接接入光纤收发器。</w:t>
      </w:r>
    </w:p>
    <w:p>
      <w:pPr>
        <w:widowControl w:val="0"/>
        <w:spacing w:line="360" w:lineRule="auto"/>
        <w:ind w:firstLine="360" w:firstLineChars="150"/>
        <w:jc w:val="both"/>
        <w:rPr>
          <w:rFonts w:hint="eastAsia" w:ascii="仿宋_GB2312" w:hAnsi="Calibri" w:eastAsia="仿宋_GB2312"/>
          <w:sz w:val="24"/>
          <w:szCs w:val="24"/>
        </w:rPr>
      </w:pPr>
      <w:r>
        <w:rPr>
          <w:rFonts w:hint="eastAsia" w:ascii="仿宋_GB2312" w:hAnsi="Calibri" w:eastAsia="仿宋_GB2312"/>
          <w:sz w:val="24"/>
          <w:szCs w:val="24"/>
        </w:rPr>
        <w:t>水平区：室内部分全部采用六类非屏蔽铜缆，引至就近弱电管理间，室外采用两芯单模光纤，引至就近建筑物内的管理间内。</w:t>
      </w:r>
    </w:p>
    <w:p>
      <w:pPr>
        <w:widowControl w:val="0"/>
        <w:spacing w:line="360" w:lineRule="auto"/>
        <w:ind w:firstLine="360" w:firstLineChars="150"/>
        <w:jc w:val="both"/>
        <w:rPr>
          <w:rFonts w:hint="eastAsia" w:ascii="仿宋_GB2312" w:hAnsi="Calibri" w:eastAsia="仿宋_GB2312"/>
          <w:sz w:val="24"/>
          <w:szCs w:val="24"/>
        </w:rPr>
      </w:pPr>
      <w:r>
        <w:rPr>
          <w:rFonts w:hint="eastAsia" w:ascii="仿宋_GB2312" w:hAnsi="Calibri" w:eastAsia="仿宋_GB2312"/>
          <w:sz w:val="24"/>
          <w:szCs w:val="24"/>
        </w:rPr>
        <w:t>管理间：每幢建筑内设置一间管理间，铜缆部分采用24口非屏蔽六类铜缆配线架进行端接，光纤采用24口光纤配线架进行端接，并配置理线架、光纤跳线、铜缆跳线等。</w:t>
      </w:r>
    </w:p>
    <w:p>
      <w:pPr>
        <w:widowControl w:val="0"/>
        <w:spacing w:line="360" w:lineRule="auto"/>
        <w:ind w:firstLine="360" w:firstLineChars="150"/>
        <w:jc w:val="both"/>
        <w:rPr>
          <w:rFonts w:hint="eastAsia" w:ascii="仿宋_GB2312" w:hAnsi="Calibri" w:eastAsia="仿宋_GB2312"/>
          <w:sz w:val="24"/>
          <w:szCs w:val="24"/>
        </w:rPr>
      </w:pPr>
      <w:r>
        <w:rPr>
          <w:rFonts w:hint="eastAsia" w:ascii="仿宋_GB2312" w:hAnsi="Calibri" w:eastAsia="仿宋_GB2312"/>
          <w:sz w:val="24"/>
          <w:szCs w:val="24"/>
        </w:rPr>
        <w:t>垂直主干：主干采用12芯单模光纤，每个管理间设置2根12芯单模光纤至科学馆六层信息中心机房，另传达室监控中心设置2根12芯单模光纤至信息中心机房。</w:t>
      </w:r>
    </w:p>
    <w:p>
      <w:pPr>
        <w:widowControl w:val="0"/>
        <w:spacing w:line="360" w:lineRule="auto"/>
        <w:ind w:firstLine="360" w:firstLineChars="150"/>
        <w:jc w:val="both"/>
        <w:rPr>
          <w:rFonts w:hint="eastAsia" w:ascii="仿宋_GB2312" w:hAnsi="Calibri" w:eastAsia="仿宋_GB2312"/>
          <w:sz w:val="24"/>
          <w:szCs w:val="24"/>
        </w:rPr>
      </w:pPr>
      <w:r>
        <w:rPr>
          <w:rFonts w:hint="eastAsia" w:ascii="仿宋_GB2312" w:hAnsi="Calibri" w:eastAsia="仿宋_GB2312"/>
          <w:sz w:val="24"/>
          <w:szCs w:val="24"/>
        </w:rPr>
        <w:t>设备间：设备间设置在科学馆六层信息中心机房，采用24口光纤配线架对主干光纤进行端接。</w:t>
      </w:r>
    </w:p>
    <w:p>
      <w:pPr>
        <w:keepNext/>
        <w:keepLines/>
        <w:widowControl w:val="0"/>
        <w:spacing w:line="415" w:lineRule="auto"/>
        <w:jc w:val="both"/>
        <w:outlineLvl w:val="2"/>
        <w:rPr>
          <w:rFonts w:hint="eastAsia" w:ascii="仿宋_GB2312" w:hAnsi="Calibri" w:eastAsia="仿宋_GB2312"/>
          <w:b/>
          <w:bCs/>
          <w:sz w:val="28"/>
          <w:szCs w:val="32"/>
        </w:rPr>
      </w:pPr>
      <w:r>
        <w:rPr>
          <w:rFonts w:hint="eastAsia" w:ascii="仿宋_GB2312" w:hAnsi="Calibri" w:eastAsia="仿宋_GB2312"/>
          <w:b/>
          <w:bCs/>
          <w:sz w:val="28"/>
          <w:szCs w:val="32"/>
        </w:rPr>
        <w:t>6.4.2系统清单</w:t>
      </w:r>
    </w:p>
    <w:tbl>
      <w:tblPr>
        <w:tblStyle w:val="64"/>
        <w:tblW w:w="9180" w:type="dxa"/>
        <w:tblInd w:w="108" w:type="dxa"/>
        <w:tblLayout w:type="autofit"/>
        <w:tblCellMar>
          <w:top w:w="0" w:type="dxa"/>
          <w:left w:w="108" w:type="dxa"/>
          <w:bottom w:w="0" w:type="dxa"/>
          <w:right w:w="108" w:type="dxa"/>
        </w:tblCellMar>
      </w:tblPr>
      <w:tblGrid>
        <w:gridCol w:w="820"/>
        <w:gridCol w:w="1732"/>
        <w:gridCol w:w="4468"/>
        <w:gridCol w:w="1080"/>
        <w:gridCol w:w="1080"/>
      </w:tblGrid>
      <w:tr>
        <w:tblPrEx>
          <w:tblCellMar>
            <w:top w:w="0" w:type="dxa"/>
            <w:left w:w="108" w:type="dxa"/>
            <w:bottom w:w="0" w:type="dxa"/>
            <w:right w:w="108" w:type="dxa"/>
          </w:tblCellMar>
        </w:tblPrEx>
        <w:trPr>
          <w:trHeight w:val="465" w:hRule="atLeast"/>
          <w:tblHeader/>
        </w:trPr>
        <w:tc>
          <w:tcPr>
            <w:tcW w:w="82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序号</w:t>
            </w:r>
          </w:p>
        </w:tc>
        <w:tc>
          <w:tcPr>
            <w:tcW w:w="1732" w:type="dxa"/>
            <w:tcBorders>
              <w:top w:val="single" w:color="auto" w:sz="4" w:space="0"/>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名称</w:t>
            </w:r>
          </w:p>
        </w:tc>
        <w:tc>
          <w:tcPr>
            <w:tcW w:w="4468" w:type="dxa"/>
            <w:tcBorders>
              <w:top w:val="single" w:color="auto" w:sz="4" w:space="0"/>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主要参数</w:t>
            </w:r>
          </w:p>
        </w:tc>
        <w:tc>
          <w:tcPr>
            <w:tcW w:w="1080" w:type="dxa"/>
            <w:tcBorders>
              <w:top w:val="single" w:color="auto" w:sz="4" w:space="0"/>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单位</w:t>
            </w:r>
          </w:p>
        </w:tc>
        <w:tc>
          <w:tcPr>
            <w:tcW w:w="1080" w:type="dxa"/>
            <w:tcBorders>
              <w:top w:val="single" w:color="auto" w:sz="4" w:space="0"/>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数量</w:t>
            </w:r>
          </w:p>
        </w:tc>
      </w:tr>
      <w:tr>
        <w:tblPrEx>
          <w:tblCellMar>
            <w:top w:w="0" w:type="dxa"/>
            <w:left w:w="108" w:type="dxa"/>
            <w:bottom w:w="0" w:type="dxa"/>
            <w:right w:w="108" w:type="dxa"/>
          </w:tblCellMar>
        </w:tblPrEx>
        <w:trPr>
          <w:trHeight w:val="465"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732"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b/>
                <w:bCs/>
                <w:kern w:val="0"/>
                <w:szCs w:val="21"/>
              </w:rPr>
            </w:pPr>
            <w:r>
              <w:rPr>
                <w:rFonts w:hint="eastAsia" w:ascii="仿宋_GB2312" w:hAnsi="宋体" w:eastAsia="仿宋_GB2312" w:cs="宋体"/>
                <w:b/>
                <w:bCs/>
                <w:kern w:val="0"/>
                <w:szCs w:val="21"/>
              </w:rPr>
              <w:t>工作区</w:t>
            </w:r>
          </w:p>
        </w:tc>
        <w:tc>
          <w:tcPr>
            <w:tcW w:w="4468"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　</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　</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　</w:t>
            </w:r>
          </w:p>
        </w:tc>
      </w:tr>
      <w:tr>
        <w:tblPrEx>
          <w:tblCellMar>
            <w:top w:w="0" w:type="dxa"/>
            <w:left w:w="108" w:type="dxa"/>
            <w:bottom w:w="0" w:type="dxa"/>
            <w:right w:w="108" w:type="dxa"/>
          </w:tblCellMar>
        </w:tblPrEx>
        <w:trPr>
          <w:trHeight w:val="465"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732"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水晶头</w:t>
            </w:r>
          </w:p>
        </w:tc>
        <w:tc>
          <w:tcPr>
            <w:tcW w:w="4468"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六类RJ45水晶头</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个</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495 </w:t>
            </w:r>
          </w:p>
        </w:tc>
      </w:tr>
      <w:tr>
        <w:tblPrEx>
          <w:tblCellMar>
            <w:top w:w="0" w:type="dxa"/>
            <w:left w:w="108" w:type="dxa"/>
            <w:bottom w:w="0" w:type="dxa"/>
            <w:right w:w="108" w:type="dxa"/>
          </w:tblCellMar>
        </w:tblPrEx>
        <w:trPr>
          <w:trHeight w:val="465"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1732"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LC单模尾纤</w:t>
            </w:r>
          </w:p>
        </w:tc>
        <w:tc>
          <w:tcPr>
            <w:tcW w:w="4468"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1、连接器插针类型：进口陶瓷</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2、插针端面：UPC端面</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3、连接器插入损耗：≤0.1dB</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 xml:space="preserve">4、连接器回波损耗：≥45dB </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条</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190 </w:t>
            </w:r>
          </w:p>
        </w:tc>
      </w:tr>
      <w:tr>
        <w:tblPrEx>
          <w:tblCellMar>
            <w:top w:w="0" w:type="dxa"/>
            <w:left w:w="108" w:type="dxa"/>
            <w:bottom w:w="0" w:type="dxa"/>
            <w:right w:w="108" w:type="dxa"/>
          </w:tblCellMar>
        </w:tblPrEx>
        <w:trPr>
          <w:trHeight w:val="465"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1732"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b/>
                <w:bCs/>
                <w:kern w:val="0"/>
                <w:szCs w:val="21"/>
              </w:rPr>
            </w:pPr>
            <w:r>
              <w:rPr>
                <w:rFonts w:hint="eastAsia" w:ascii="仿宋_GB2312" w:hAnsi="宋体" w:eastAsia="仿宋_GB2312" w:cs="宋体"/>
                <w:b/>
                <w:bCs/>
                <w:kern w:val="0"/>
                <w:szCs w:val="21"/>
              </w:rPr>
              <w:t>水平区</w:t>
            </w:r>
          </w:p>
        </w:tc>
        <w:tc>
          <w:tcPr>
            <w:tcW w:w="4468"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465"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5</w:t>
            </w:r>
          </w:p>
        </w:tc>
        <w:tc>
          <w:tcPr>
            <w:tcW w:w="1732"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非屏蔽六类双绞线</w:t>
            </w:r>
          </w:p>
        </w:tc>
        <w:tc>
          <w:tcPr>
            <w:tcW w:w="4468"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1、符合ISO/IEC 11801-2008的Class E标准和IA/EIA 568C标准</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2、导体：精选优质99.99%无氧铜，标准23AWG</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3、特性阻抗：100±15Ω</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4、单根导体最大电阻：≤9.5Ω/100m</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5、敷设弯曲半径：建议敷设弯曲半径&gt;8倍线缆外径</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6、可选不同外护套阻燃等级</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米</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38000 </w:t>
            </w:r>
          </w:p>
        </w:tc>
      </w:tr>
      <w:tr>
        <w:tblPrEx>
          <w:tblCellMar>
            <w:top w:w="0" w:type="dxa"/>
            <w:left w:w="108" w:type="dxa"/>
            <w:bottom w:w="0" w:type="dxa"/>
            <w:right w:w="108" w:type="dxa"/>
          </w:tblCellMar>
        </w:tblPrEx>
        <w:trPr>
          <w:trHeight w:val="465"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6</w:t>
            </w:r>
          </w:p>
        </w:tc>
        <w:tc>
          <w:tcPr>
            <w:tcW w:w="1732"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两芯单模光纤</w:t>
            </w:r>
          </w:p>
        </w:tc>
        <w:tc>
          <w:tcPr>
            <w:tcW w:w="4468"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1、护套材质：PVC/LSZH（黄色）</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2、光纤类型：OS2单模光纤</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3、衰减系数：@1310nm≤0.36dB/km；@1383nm≤0.35dB/km；@1550≤0.22dB/km；@1625nm≤0.30dB/km</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4、光纤衰减不均匀性：≤0.05dB</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5、敷设方式：室内穿管、桥架敷设</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6、符合ISO/IEC 11801和TIA/EIA标准</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米</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12000 </w:t>
            </w:r>
          </w:p>
        </w:tc>
      </w:tr>
      <w:tr>
        <w:tblPrEx>
          <w:tblCellMar>
            <w:top w:w="0" w:type="dxa"/>
            <w:left w:w="108" w:type="dxa"/>
            <w:bottom w:w="0" w:type="dxa"/>
            <w:right w:w="108" w:type="dxa"/>
          </w:tblCellMar>
        </w:tblPrEx>
        <w:trPr>
          <w:trHeight w:val="465"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7</w:t>
            </w:r>
          </w:p>
        </w:tc>
        <w:tc>
          <w:tcPr>
            <w:tcW w:w="1732"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b/>
                <w:bCs/>
                <w:kern w:val="0"/>
                <w:szCs w:val="21"/>
              </w:rPr>
            </w:pPr>
            <w:r>
              <w:rPr>
                <w:rFonts w:hint="eastAsia" w:ascii="仿宋_GB2312" w:hAnsi="宋体" w:eastAsia="仿宋_GB2312" w:cs="宋体"/>
                <w:b/>
                <w:bCs/>
                <w:kern w:val="0"/>
                <w:szCs w:val="21"/>
              </w:rPr>
              <w:t>管理间</w:t>
            </w:r>
          </w:p>
        </w:tc>
        <w:tc>
          <w:tcPr>
            <w:tcW w:w="4468"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465"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1732"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24口非屏蔽六类配线架</w:t>
            </w:r>
          </w:p>
        </w:tc>
        <w:tc>
          <w:tcPr>
            <w:tcW w:w="4468"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1、符合ISO/IEC 11801-2008的Class E标准和IA/EIA 568C标准</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2、配线架金属材质：全钢架结构+黑色喷塑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3、配线架塑料材质：PBT工程塑料、PC聚碳酸酯</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4、IDC打线端子：磷青铜镀镍</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5、配线架背部理线功能：配线架背部含1*24金属理线板</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6、RJ45卡接次数：≥750次</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7、接线端子卡接次数：≥250次</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8、支持频率范围：0～250MHz</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9、工作电压：125V，耐压：750V</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个</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24 </w:t>
            </w:r>
          </w:p>
        </w:tc>
      </w:tr>
      <w:tr>
        <w:tblPrEx>
          <w:tblCellMar>
            <w:top w:w="0" w:type="dxa"/>
            <w:left w:w="108" w:type="dxa"/>
            <w:bottom w:w="0" w:type="dxa"/>
            <w:right w:w="108" w:type="dxa"/>
          </w:tblCellMar>
        </w:tblPrEx>
        <w:trPr>
          <w:trHeight w:val="465"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9</w:t>
            </w:r>
          </w:p>
        </w:tc>
        <w:tc>
          <w:tcPr>
            <w:tcW w:w="1732"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理线架</w:t>
            </w:r>
          </w:p>
        </w:tc>
        <w:tc>
          <w:tcPr>
            <w:tcW w:w="4468"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1、理线器整体材质：钢架+黑色喷塑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2、安装方式：机柜螺丝安装</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3、安装高度：标准19英寸1U高度</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4、用于机柜水平线缆的走线管理</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5、便于安装与维护操作方便</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个</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24 </w:t>
            </w:r>
          </w:p>
        </w:tc>
      </w:tr>
      <w:tr>
        <w:tblPrEx>
          <w:tblCellMar>
            <w:top w:w="0" w:type="dxa"/>
            <w:left w:w="108" w:type="dxa"/>
            <w:bottom w:w="0" w:type="dxa"/>
            <w:right w:w="108" w:type="dxa"/>
          </w:tblCellMar>
        </w:tblPrEx>
        <w:trPr>
          <w:trHeight w:val="465"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1732"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数据跳线</w:t>
            </w:r>
          </w:p>
        </w:tc>
        <w:tc>
          <w:tcPr>
            <w:tcW w:w="4468"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1、符合ISO/IEC 11801-2008的Class E标准和IA/EIA 568C标准</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2、水晶头塑料材质：聚碳酸酯(PC)</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3、原装机制注塑而成</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4、插拔次数≥750次</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5、可订制不同长度，不同颜色、不同阻燃等级外护</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6、跳线线缆阻抗类型：100±15Ω</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条</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495 </w:t>
            </w:r>
          </w:p>
        </w:tc>
      </w:tr>
      <w:tr>
        <w:tblPrEx>
          <w:tblCellMar>
            <w:top w:w="0" w:type="dxa"/>
            <w:left w:w="108" w:type="dxa"/>
            <w:bottom w:w="0" w:type="dxa"/>
            <w:right w:w="108" w:type="dxa"/>
          </w:tblCellMar>
        </w:tblPrEx>
        <w:trPr>
          <w:trHeight w:val="465"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11</w:t>
            </w:r>
          </w:p>
        </w:tc>
        <w:tc>
          <w:tcPr>
            <w:tcW w:w="1732"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48芯光纤配线架</w:t>
            </w:r>
          </w:p>
        </w:tc>
        <w:tc>
          <w:tcPr>
            <w:tcW w:w="4468"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1、光纤配线架材质：优质冷轧钢板整体黑色喷塑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2、配线架盖板安装方式：前部盖板卡扣螺丝开启</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3、配线架安装方式：使用包装内标配安装支架安装于19英寸标准机柜类</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4、配件：支持FC、LC、ST、SC四种类型耦合器的12位安装两个，12芯光纤熔纤盘2个</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5、进线方式：配线架后部进线，支持室内室外光缆熔接</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6、符合ISO/IEC 11801及TIA/EIA标准</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个</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8 </w:t>
            </w:r>
          </w:p>
        </w:tc>
      </w:tr>
      <w:tr>
        <w:tblPrEx>
          <w:tblCellMar>
            <w:top w:w="0" w:type="dxa"/>
            <w:left w:w="108" w:type="dxa"/>
            <w:bottom w:w="0" w:type="dxa"/>
            <w:right w:w="108" w:type="dxa"/>
          </w:tblCellMar>
        </w:tblPrEx>
        <w:trPr>
          <w:trHeight w:val="465"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12</w:t>
            </w:r>
          </w:p>
        </w:tc>
        <w:tc>
          <w:tcPr>
            <w:tcW w:w="1732"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理线架</w:t>
            </w:r>
          </w:p>
        </w:tc>
        <w:tc>
          <w:tcPr>
            <w:tcW w:w="4468"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1、理线器整体材质：钢架+黑色喷塑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2、安装方式：机柜螺丝安装</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3、安装高度：标准19英寸1U高度</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4、用于机柜水平线缆的走线管理</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5、便于安装与维护操作方便</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个</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8 </w:t>
            </w:r>
          </w:p>
        </w:tc>
      </w:tr>
      <w:tr>
        <w:tblPrEx>
          <w:tblCellMar>
            <w:top w:w="0" w:type="dxa"/>
            <w:left w:w="108" w:type="dxa"/>
            <w:bottom w:w="0" w:type="dxa"/>
            <w:right w:w="108" w:type="dxa"/>
          </w:tblCellMar>
        </w:tblPrEx>
        <w:trPr>
          <w:trHeight w:val="465"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13</w:t>
            </w:r>
          </w:p>
        </w:tc>
        <w:tc>
          <w:tcPr>
            <w:tcW w:w="1732"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LC单模耦合器</w:t>
            </w:r>
          </w:p>
        </w:tc>
        <w:tc>
          <w:tcPr>
            <w:tcW w:w="4468"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1、耦合器套管材料：高强度高密度氧化锆套管</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2、端面类型：PC端面</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3、重复性：≤0.2dB</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4、互换性：≤0.1dB</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5、拔插次数：≥1000次</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个</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48 </w:t>
            </w:r>
          </w:p>
        </w:tc>
      </w:tr>
      <w:tr>
        <w:tblPrEx>
          <w:tblCellMar>
            <w:top w:w="0" w:type="dxa"/>
            <w:left w:w="108" w:type="dxa"/>
            <w:bottom w:w="0" w:type="dxa"/>
            <w:right w:w="108" w:type="dxa"/>
          </w:tblCellMar>
        </w:tblPrEx>
        <w:trPr>
          <w:trHeight w:val="465"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14</w:t>
            </w:r>
          </w:p>
        </w:tc>
        <w:tc>
          <w:tcPr>
            <w:tcW w:w="1732"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LC单模尾纤</w:t>
            </w:r>
          </w:p>
        </w:tc>
        <w:tc>
          <w:tcPr>
            <w:tcW w:w="4468"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1、连接器插针类型：进口陶瓷</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2、插针端面：UPC端面</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3、连接器插入损耗：≤0.1dB</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 xml:space="preserve">4、连接器回波损耗：≥45dB </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条</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96 </w:t>
            </w:r>
          </w:p>
        </w:tc>
      </w:tr>
      <w:tr>
        <w:tblPrEx>
          <w:tblCellMar>
            <w:top w:w="0" w:type="dxa"/>
            <w:left w:w="108" w:type="dxa"/>
            <w:bottom w:w="0" w:type="dxa"/>
            <w:right w:w="108" w:type="dxa"/>
          </w:tblCellMar>
        </w:tblPrEx>
        <w:trPr>
          <w:trHeight w:val="465"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15</w:t>
            </w:r>
          </w:p>
        </w:tc>
        <w:tc>
          <w:tcPr>
            <w:tcW w:w="1732"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LC单模跳线</w:t>
            </w:r>
          </w:p>
        </w:tc>
        <w:tc>
          <w:tcPr>
            <w:tcW w:w="4468"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1、连接器插针类型：进口陶瓷</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2、插针端面：UPC端面</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 xml:space="preserve">3、连接器插入损耗：≤0.1dB </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 xml:space="preserve">4、连接器回波损耗：≥45dB </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条</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286 </w:t>
            </w:r>
          </w:p>
        </w:tc>
      </w:tr>
      <w:tr>
        <w:tblPrEx>
          <w:tblCellMar>
            <w:top w:w="0" w:type="dxa"/>
            <w:left w:w="108" w:type="dxa"/>
            <w:bottom w:w="0" w:type="dxa"/>
            <w:right w:w="108" w:type="dxa"/>
          </w:tblCellMar>
        </w:tblPrEx>
        <w:trPr>
          <w:trHeight w:val="465"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16</w:t>
            </w:r>
          </w:p>
        </w:tc>
        <w:tc>
          <w:tcPr>
            <w:tcW w:w="1732"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机柜</w:t>
            </w:r>
          </w:p>
        </w:tc>
        <w:tc>
          <w:tcPr>
            <w:tcW w:w="4468"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标准按600*600*2000尺寸，前玻璃后网孔门，具体需根据现场管理间实际情况进行尺寸定制</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8 </w:t>
            </w:r>
          </w:p>
        </w:tc>
      </w:tr>
      <w:tr>
        <w:tblPrEx>
          <w:tblCellMar>
            <w:top w:w="0" w:type="dxa"/>
            <w:left w:w="108" w:type="dxa"/>
            <w:bottom w:w="0" w:type="dxa"/>
            <w:right w:w="108" w:type="dxa"/>
          </w:tblCellMar>
        </w:tblPrEx>
        <w:trPr>
          <w:trHeight w:val="465"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17</w:t>
            </w:r>
          </w:p>
        </w:tc>
        <w:tc>
          <w:tcPr>
            <w:tcW w:w="1732"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b/>
                <w:bCs/>
                <w:kern w:val="0"/>
                <w:szCs w:val="21"/>
              </w:rPr>
            </w:pPr>
            <w:r>
              <w:rPr>
                <w:rFonts w:hint="eastAsia" w:ascii="仿宋_GB2312" w:hAnsi="宋体" w:eastAsia="仿宋_GB2312" w:cs="宋体"/>
                <w:b/>
                <w:bCs/>
                <w:kern w:val="0"/>
                <w:szCs w:val="21"/>
              </w:rPr>
              <w:t>垂直主干</w:t>
            </w:r>
          </w:p>
        </w:tc>
        <w:tc>
          <w:tcPr>
            <w:tcW w:w="4468"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465"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18</w:t>
            </w:r>
          </w:p>
        </w:tc>
        <w:tc>
          <w:tcPr>
            <w:tcW w:w="1732"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12芯单模光纤</w:t>
            </w:r>
          </w:p>
        </w:tc>
        <w:tc>
          <w:tcPr>
            <w:tcW w:w="4468"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1、护套材质：PVC/LSZH（黄色）</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2、光纤类型：OS2单模光纤</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3、衰减系数：@1310nm≤0.36dB/km；@1383nm≤0.35dB/km；@1550≤0.22dB/km；@1625nm≤0.30dB/km</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4、光纤衰减不均匀性：≤0.05dB</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5、敷设方式：室内穿管、桥架敷设</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6、符合ISO/IEC 11801和TIA/EIA标准</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米</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6000 </w:t>
            </w:r>
          </w:p>
        </w:tc>
      </w:tr>
      <w:tr>
        <w:tblPrEx>
          <w:tblCellMar>
            <w:top w:w="0" w:type="dxa"/>
            <w:left w:w="108" w:type="dxa"/>
            <w:bottom w:w="0" w:type="dxa"/>
            <w:right w:w="108" w:type="dxa"/>
          </w:tblCellMar>
        </w:tblPrEx>
        <w:trPr>
          <w:trHeight w:val="465"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19</w:t>
            </w:r>
          </w:p>
        </w:tc>
        <w:tc>
          <w:tcPr>
            <w:tcW w:w="1732"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b/>
                <w:bCs/>
                <w:kern w:val="0"/>
                <w:szCs w:val="21"/>
              </w:rPr>
            </w:pPr>
            <w:r>
              <w:rPr>
                <w:rFonts w:hint="eastAsia" w:ascii="仿宋_GB2312" w:hAnsi="宋体" w:eastAsia="仿宋_GB2312" w:cs="宋体"/>
                <w:b/>
                <w:bCs/>
                <w:kern w:val="0"/>
                <w:szCs w:val="21"/>
              </w:rPr>
              <w:t>设备间</w:t>
            </w:r>
          </w:p>
        </w:tc>
        <w:tc>
          <w:tcPr>
            <w:tcW w:w="4468"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465"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20</w:t>
            </w:r>
          </w:p>
        </w:tc>
        <w:tc>
          <w:tcPr>
            <w:tcW w:w="1732"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48芯光纤配线架</w:t>
            </w:r>
          </w:p>
        </w:tc>
        <w:tc>
          <w:tcPr>
            <w:tcW w:w="4468"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1、光纤配线架材质：优质冷轧钢板整体黑色喷塑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2、配线架盖板安装方式：前部盖板卡扣螺丝开启</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3、配线架安装方式：使用包装内标配安装支架安装于19英寸标准机柜类</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4、配件：支持FC、LC、ST、SC四种类型耦合器的12位安装两个，12芯光纤熔纤盘2个</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5、进线方式：配线架后部进线，支持室内室外光缆熔接</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6、符合ISO/IEC 11801及TIA/EIA标准</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个</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 </w:t>
            </w:r>
          </w:p>
        </w:tc>
      </w:tr>
      <w:tr>
        <w:tblPrEx>
          <w:tblCellMar>
            <w:top w:w="0" w:type="dxa"/>
            <w:left w:w="108" w:type="dxa"/>
            <w:bottom w:w="0" w:type="dxa"/>
            <w:right w:w="108" w:type="dxa"/>
          </w:tblCellMar>
        </w:tblPrEx>
        <w:trPr>
          <w:trHeight w:val="465"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21</w:t>
            </w:r>
          </w:p>
        </w:tc>
        <w:tc>
          <w:tcPr>
            <w:tcW w:w="1732"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理线架</w:t>
            </w:r>
          </w:p>
        </w:tc>
        <w:tc>
          <w:tcPr>
            <w:tcW w:w="4468"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1、理线器整体材质：钢架+黑色喷塑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2、安装方式：机柜螺丝安装</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3、安装高度：标准19英寸1U高度</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4、用于机柜水平线缆的走线管理</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5、便于安装与维护操作方便</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个</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 </w:t>
            </w:r>
          </w:p>
        </w:tc>
      </w:tr>
      <w:tr>
        <w:tblPrEx>
          <w:tblCellMar>
            <w:top w:w="0" w:type="dxa"/>
            <w:left w:w="108" w:type="dxa"/>
            <w:bottom w:w="0" w:type="dxa"/>
            <w:right w:w="108" w:type="dxa"/>
          </w:tblCellMar>
        </w:tblPrEx>
        <w:trPr>
          <w:trHeight w:val="465"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22</w:t>
            </w:r>
          </w:p>
        </w:tc>
        <w:tc>
          <w:tcPr>
            <w:tcW w:w="1732"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LC单模耦合器</w:t>
            </w:r>
          </w:p>
        </w:tc>
        <w:tc>
          <w:tcPr>
            <w:tcW w:w="4468"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1、耦合器套管材料：高强度高密度氧化锆套管</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2、端面类型：PC端面</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3、重复性：≤0.2dB</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4、互换性：≤0.1dB</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5、拔插次数：≥1000次</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个</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48 </w:t>
            </w:r>
          </w:p>
        </w:tc>
      </w:tr>
      <w:tr>
        <w:tblPrEx>
          <w:tblCellMar>
            <w:top w:w="0" w:type="dxa"/>
            <w:left w:w="108" w:type="dxa"/>
            <w:bottom w:w="0" w:type="dxa"/>
            <w:right w:w="108" w:type="dxa"/>
          </w:tblCellMar>
        </w:tblPrEx>
        <w:trPr>
          <w:trHeight w:val="465"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23</w:t>
            </w:r>
          </w:p>
        </w:tc>
        <w:tc>
          <w:tcPr>
            <w:tcW w:w="1732"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LC单模尾纤</w:t>
            </w:r>
          </w:p>
        </w:tc>
        <w:tc>
          <w:tcPr>
            <w:tcW w:w="4468"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1、连接器插针类型：进口陶瓷</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2、插针端面：UPC端面</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3、连接器插入损耗：≤0.1dB</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 xml:space="preserve">4、连接器回波损耗：≥45dB </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条</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96 </w:t>
            </w:r>
          </w:p>
        </w:tc>
      </w:tr>
      <w:tr>
        <w:tblPrEx>
          <w:tblCellMar>
            <w:top w:w="0" w:type="dxa"/>
            <w:left w:w="108" w:type="dxa"/>
            <w:bottom w:w="0" w:type="dxa"/>
            <w:right w:w="108" w:type="dxa"/>
          </w:tblCellMar>
        </w:tblPrEx>
        <w:trPr>
          <w:trHeight w:val="465"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24</w:t>
            </w:r>
          </w:p>
        </w:tc>
        <w:tc>
          <w:tcPr>
            <w:tcW w:w="1732"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LC单模跳线</w:t>
            </w:r>
          </w:p>
        </w:tc>
        <w:tc>
          <w:tcPr>
            <w:tcW w:w="4468"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1、连接器插针类型：进口陶瓷</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2、插针端面：UPC端面</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 xml:space="preserve">3、连接器插入损耗：≤0.1dB </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 xml:space="preserve">4、连接器回波损耗：≥45dB </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条</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16 </w:t>
            </w:r>
          </w:p>
        </w:tc>
      </w:tr>
      <w:tr>
        <w:tblPrEx>
          <w:tblCellMar>
            <w:top w:w="0" w:type="dxa"/>
            <w:left w:w="108" w:type="dxa"/>
            <w:bottom w:w="0" w:type="dxa"/>
            <w:right w:w="108" w:type="dxa"/>
          </w:tblCellMar>
        </w:tblPrEx>
        <w:trPr>
          <w:trHeight w:val="465"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25</w:t>
            </w:r>
          </w:p>
        </w:tc>
        <w:tc>
          <w:tcPr>
            <w:tcW w:w="1732"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b/>
                <w:bCs/>
                <w:kern w:val="0"/>
                <w:szCs w:val="21"/>
              </w:rPr>
            </w:pPr>
            <w:r>
              <w:rPr>
                <w:rFonts w:hint="eastAsia" w:ascii="仿宋_GB2312" w:hAnsi="宋体" w:eastAsia="仿宋_GB2312" w:cs="宋体"/>
                <w:b/>
                <w:bCs/>
                <w:kern w:val="0"/>
                <w:szCs w:val="21"/>
              </w:rPr>
              <w:t>其他</w:t>
            </w:r>
          </w:p>
        </w:tc>
        <w:tc>
          <w:tcPr>
            <w:tcW w:w="4468"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465"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26</w:t>
            </w:r>
          </w:p>
        </w:tc>
        <w:tc>
          <w:tcPr>
            <w:tcW w:w="1732"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技术服务</w:t>
            </w:r>
          </w:p>
        </w:tc>
        <w:tc>
          <w:tcPr>
            <w:tcW w:w="4468"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包含综合布线系统内所有线缆、设备、辅材的安装施工，改造施工过程中，涉及到对原有系统、装修装饰、校园绿化、校园道路等各类专业的材料拆卸、损毁、复原等内容，由此引起的费用均需包含在内，施工内容包含线缆敷设端接、标签打印、设备安装、端口信息资料整理等，后期交接过程中需提供完整的系统资料及使用培训</w:t>
            </w:r>
          </w:p>
        </w:tc>
        <w:tc>
          <w:tcPr>
            <w:tcW w:w="108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项</w:t>
            </w:r>
          </w:p>
        </w:tc>
        <w:tc>
          <w:tcPr>
            <w:tcW w:w="1080" w:type="dxa"/>
            <w:tcBorders>
              <w:top w:val="nil"/>
              <w:left w:val="nil"/>
              <w:bottom w:val="single" w:color="auto" w:sz="4" w:space="0"/>
              <w:right w:val="single" w:color="auto" w:sz="4" w:space="0"/>
            </w:tcBorders>
            <w:shd w:val="clear" w:color="auto" w:fill="auto"/>
            <w:noWrap w:val="0"/>
            <w:vAlign w:val="center"/>
          </w:tcPr>
          <w:p>
            <w:pPr>
              <w:numPr>
                <w:ilvl w:val="0"/>
                <w:numId w:val="21"/>
              </w:numPr>
              <w:jc w:val="center"/>
              <w:rPr>
                <w:rFonts w:hint="eastAsia" w:ascii="仿宋_GB2312" w:hAnsi="宋体" w:eastAsia="仿宋_GB2312" w:cs="宋体"/>
                <w:kern w:val="0"/>
                <w:szCs w:val="21"/>
              </w:rPr>
            </w:pPr>
          </w:p>
        </w:tc>
      </w:tr>
    </w:tbl>
    <w:p>
      <w:pPr>
        <w:widowControl w:val="0"/>
        <w:spacing w:line="360" w:lineRule="auto"/>
        <w:ind w:firstLine="360" w:firstLineChars="150"/>
        <w:jc w:val="both"/>
        <w:rPr>
          <w:rFonts w:hint="eastAsia" w:ascii="仿宋_GB2312" w:hAnsi="Calibri" w:eastAsia="仿宋_GB2312"/>
          <w:sz w:val="24"/>
          <w:szCs w:val="24"/>
        </w:rPr>
      </w:pPr>
    </w:p>
    <w:p>
      <w:pPr>
        <w:keepNext/>
        <w:keepLines/>
        <w:widowControl w:val="0"/>
        <w:spacing w:line="415" w:lineRule="auto"/>
        <w:jc w:val="both"/>
        <w:outlineLvl w:val="1"/>
        <w:rPr>
          <w:rFonts w:hint="eastAsia" w:ascii="仿宋_GB2312" w:hAnsi="Cambria" w:eastAsia="仿宋_GB2312"/>
          <w:b/>
          <w:bCs/>
          <w:sz w:val="28"/>
          <w:szCs w:val="32"/>
        </w:rPr>
      </w:pPr>
      <w:bookmarkStart w:id="51" w:name="_Toc520892711"/>
      <w:r>
        <w:rPr>
          <w:rFonts w:hint="eastAsia" w:ascii="仿宋_GB2312" w:hAnsi="Cambria" w:eastAsia="仿宋_GB2312"/>
          <w:b/>
          <w:bCs/>
          <w:sz w:val="28"/>
          <w:szCs w:val="32"/>
        </w:rPr>
        <w:t>6.5计算机网络系统</w:t>
      </w:r>
      <w:bookmarkEnd w:id="51"/>
    </w:p>
    <w:p>
      <w:pPr>
        <w:keepNext/>
        <w:keepLines/>
        <w:widowControl w:val="0"/>
        <w:spacing w:line="415" w:lineRule="auto"/>
        <w:jc w:val="both"/>
        <w:outlineLvl w:val="2"/>
        <w:rPr>
          <w:rFonts w:hint="eastAsia" w:ascii="仿宋_GB2312" w:hAnsi="Calibri" w:eastAsia="仿宋_GB2312"/>
          <w:b/>
          <w:bCs/>
          <w:sz w:val="28"/>
          <w:szCs w:val="32"/>
        </w:rPr>
      </w:pPr>
      <w:r>
        <w:rPr>
          <w:rFonts w:hint="eastAsia" w:ascii="仿宋_GB2312" w:hAnsi="Calibri" w:eastAsia="仿宋_GB2312"/>
          <w:b/>
          <w:bCs/>
          <w:sz w:val="28"/>
          <w:szCs w:val="32"/>
        </w:rPr>
        <w:t>6.5.1系统概述</w:t>
      </w:r>
    </w:p>
    <w:p>
      <w:pPr>
        <w:widowControl w:val="0"/>
        <w:spacing w:line="360" w:lineRule="auto"/>
        <w:ind w:firstLine="360" w:firstLineChars="150"/>
        <w:jc w:val="both"/>
        <w:rPr>
          <w:rFonts w:hint="eastAsia" w:ascii="仿宋_GB2312" w:hAnsi="Calibri" w:eastAsia="仿宋_GB2312"/>
          <w:sz w:val="24"/>
          <w:szCs w:val="24"/>
        </w:rPr>
      </w:pPr>
      <w:r>
        <w:rPr>
          <w:rFonts w:hint="eastAsia" w:ascii="仿宋_GB2312" w:hAnsi="Calibri" w:eastAsia="仿宋_GB2312"/>
          <w:sz w:val="24"/>
          <w:szCs w:val="24"/>
        </w:rPr>
        <w:t>计算机网络系统采用接入-核心的两层架构，接入层设置在各管理间，核心设置在信息中心机房。</w:t>
      </w:r>
    </w:p>
    <w:p>
      <w:pPr>
        <w:widowControl w:val="0"/>
        <w:spacing w:line="360" w:lineRule="auto"/>
        <w:ind w:firstLine="360" w:firstLineChars="150"/>
        <w:jc w:val="both"/>
        <w:rPr>
          <w:rFonts w:hint="eastAsia" w:ascii="仿宋_GB2312" w:hAnsi="Calibri" w:eastAsia="仿宋_GB2312"/>
          <w:sz w:val="24"/>
          <w:szCs w:val="24"/>
        </w:rPr>
      </w:pPr>
      <w:r>
        <w:rPr>
          <w:rFonts w:hint="eastAsia" w:ascii="仿宋_GB2312" w:hAnsi="Calibri" w:eastAsia="仿宋_GB2312"/>
          <w:sz w:val="24"/>
          <w:szCs w:val="24"/>
        </w:rPr>
        <w:t>接入层：接入层设备采用24/48口POE交换机，为前端室内摄像机提供数据传输的同时为其提供电源，针对室外相机，在每幢楼配置一台24口全光口交换机，为就近室外摄像机提供接入。</w:t>
      </w:r>
    </w:p>
    <w:p>
      <w:pPr>
        <w:widowControl w:val="0"/>
        <w:spacing w:line="360" w:lineRule="auto"/>
        <w:ind w:firstLine="360" w:firstLineChars="150"/>
        <w:jc w:val="both"/>
        <w:rPr>
          <w:rFonts w:hint="eastAsia" w:ascii="仿宋_GB2312" w:hAnsi="Calibri" w:eastAsia="仿宋_GB2312"/>
          <w:sz w:val="24"/>
          <w:szCs w:val="24"/>
        </w:rPr>
      </w:pPr>
      <w:r>
        <w:rPr>
          <w:rFonts w:hint="eastAsia" w:ascii="仿宋_GB2312" w:hAnsi="Calibri" w:eastAsia="仿宋_GB2312"/>
          <w:sz w:val="24"/>
          <w:szCs w:val="24"/>
        </w:rPr>
        <w:t>核心层：核心层配置1台核心交换机，采用插槽板卡式交换机，双引擎双电源，6个业务插槽，配置一块24口千兆以太网电接口板卡和一块32端口万兆以太网光接口板卡。</w:t>
      </w:r>
    </w:p>
    <w:p>
      <w:pPr>
        <w:widowControl w:val="0"/>
        <w:spacing w:line="360" w:lineRule="auto"/>
        <w:ind w:firstLine="360" w:firstLineChars="150"/>
        <w:jc w:val="both"/>
        <w:rPr>
          <w:rFonts w:hint="eastAsia" w:ascii="仿宋_GB2312" w:hAnsi="Calibri" w:eastAsia="仿宋_GB2312"/>
          <w:sz w:val="24"/>
          <w:szCs w:val="24"/>
        </w:rPr>
      </w:pPr>
      <w:r>
        <w:rPr>
          <w:rFonts w:hint="eastAsia" w:ascii="仿宋_GB2312" w:hAnsi="Calibri" w:eastAsia="仿宋_GB2312"/>
          <w:sz w:val="24"/>
          <w:szCs w:val="24"/>
        </w:rPr>
        <w:t>光模块：核心与接入之间连接采用双链路，选用单模万兆模块，室外摄像机光纤收发器与接入层光口交换机之间采用千兆单模模块。</w:t>
      </w:r>
    </w:p>
    <w:p>
      <w:pPr>
        <w:keepNext/>
        <w:keepLines/>
        <w:widowControl w:val="0"/>
        <w:spacing w:line="415" w:lineRule="auto"/>
        <w:jc w:val="both"/>
        <w:outlineLvl w:val="2"/>
        <w:rPr>
          <w:rFonts w:hint="eastAsia" w:ascii="仿宋_GB2312" w:hAnsi="Calibri" w:eastAsia="仿宋_GB2312"/>
          <w:b/>
          <w:bCs/>
          <w:sz w:val="28"/>
          <w:szCs w:val="32"/>
        </w:rPr>
      </w:pPr>
      <w:r>
        <w:rPr>
          <w:rFonts w:hint="eastAsia" w:ascii="仿宋_GB2312" w:hAnsi="Calibri" w:eastAsia="仿宋_GB2312"/>
          <w:b/>
          <w:bCs/>
          <w:sz w:val="28"/>
          <w:szCs w:val="32"/>
        </w:rPr>
        <w:t>6.5.2系统清单</w:t>
      </w:r>
    </w:p>
    <w:tbl>
      <w:tblPr>
        <w:tblStyle w:val="64"/>
        <w:tblW w:w="5000" w:type="pct"/>
        <w:tblInd w:w="0" w:type="dxa"/>
        <w:tblLayout w:type="autofit"/>
        <w:tblCellMar>
          <w:top w:w="0" w:type="dxa"/>
          <w:left w:w="108" w:type="dxa"/>
          <w:bottom w:w="0" w:type="dxa"/>
          <w:right w:w="108" w:type="dxa"/>
        </w:tblCellMar>
      </w:tblPr>
      <w:tblGrid>
        <w:gridCol w:w="659"/>
        <w:gridCol w:w="2107"/>
        <w:gridCol w:w="3724"/>
        <w:gridCol w:w="1016"/>
        <w:gridCol w:w="1016"/>
      </w:tblGrid>
      <w:tr>
        <w:tblPrEx>
          <w:tblCellMar>
            <w:top w:w="0" w:type="dxa"/>
            <w:left w:w="108" w:type="dxa"/>
            <w:bottom w:w="0" w:type="dxa"/>
            <w:right w:w="108" w:type="dxa"/>
          </w:tblCellMar>
        </w:tblPrEx>
        <w:trPr>
          <w:trHeight w:val="330" w:hRule="atLeast"/>
          <w:tblHeader/>
        </w:trPr>
        <w:tc>
          <w:tcPr>
            <w:tcW w:w="386"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序号</w:t>
            </w:r>
          </w:p>
        </w:tc>
        <w:tc>
          <w:tcPr>
            <w:tcW w:w="1236" w:type="pct"/>
            <w:tcBorders>
              <w:top w:val="single" w:color="auto" w:sz="4" w:space="0"/>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名称</w:t>
            </w:r>
          </w:p>
        </w:tc>
        <w:tc>
          <w:tcPr>
            <w:tcW w:w="2185" w:type="pct"/>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主要参数</w:t>
            </w:r>
          </w:p>
        </w:tc>
        <w:tc>
          <w:tcPr>
            <w:tcW w:w="596" w:type="pct"/>
            <w:tcBorders>
              <w:top w:val="single" w:color="auto" w:sz="4" w:space="0"/>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单位</w:t>
            </w:r>
          </w:p>
        </w:tc>
        <w:tc>
          <w:tcPr>
            <w:tcW w:w="596" w:type="pct"/>
            <w:tcBorders>
              <w:top w:val="single" w:color="auto" w:sz="4" w:space="0"/>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数量</w:t>
            </w:r>
          </w:p>
        </w:tc>
      </w:tr>
      <w:tr>
        <w:tblPrEx>
          <w:tblCellMar>
            <w:top w:w="0" w:type="dxa"/>
            <w:left w:w="108" w:type="dxa"/>
            <w:bottom w:w="0" w:type="dxa"/>
            <w:right w:w="108" w:type="dxa"/>
          </w:tblCellMar>
        </w:tblPrEx>
        <w:trPr>
          <w:trHeight w:val="330" w:hRule="atLeast"/>
        </w:trPr>
        <w:tc>
          <w:tcPr>
            <w:tcW w:w="386"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236"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b/>
                <w:bCs/>
                <w:kern w:val="0"/>
                <w:szCs w:val="21"/>
              </w:rPr>
            </w:pPr>
            <w:r>
              <w:rPr>
                <w:rFonts w:hint="eastAsia" w:ascii="仿宋_GB2312" w:hAnsi="宋体" w:eastAsia="仿宋_GB2312" w:cs="宋体"/>
                <w:b/>
                <w:bCs/>
                <w:kern w:val="0"/>
                <w:szCs w:val="21"/>
              </w:rPr>
              <w:t>1、核心交换机</w:t>
            </w:r>
          </w:p>
        </w:tc>
        <w:tc>
          <w:tcPr>
            <w:tcW w:w="2185" w:type="pct"/>
            <w:tcBorders>
              <w:top w:val="nil"/>
              <w:left w:val="nil"/>
              <w:bottom w:val="single" w:color="auto" w:sz="4" w:space="0"/>
              <w:right w:val="single" w:color="auto" w:sz="4" w:space="0"/>
            </w:tcBorders>
            <w:shd w:val="clear" w:color="auto" w:fill="auto"/>
            <w:noWrap/>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96"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96"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330" w:hRule="atLeast"/>
        </w:trPr>
        <w:tc>
          <w:tcPr>
            <w:tcW w:w="386"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236"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核心主机箱</w:t>
            </w:r>
          </w:p>
        </w:tc>
        <w:tc>
          <w:tcPr>
            <w:tcW w:w="2185"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交换容量≥19.5Tbps,包转发率≥2800Mpps</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主控引擎≥2，业务槽位数≥6，可配置电源≥4个</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配置要求：主控引擎≥2个，模块化电源≥2个，独立风扇框≥2个，千兆以太网电口≥24，万兆以太网光口≥32，另配置可用于虚拟化万兆接口≥8个，</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含双链路万兆单模光模块与接入层连接</w:t>
            </w:r>
          </w:p>
        </w:tc>
        <w:tc>
          <w:tcPr>
            <w:tcW w:w="596"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c>
          <w:tcPr>
            <w:tcW w:w="596"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 </w:t>
            </w:r>
          </w:p>
        </w:tc>
      </w:tr>
      <w:tr>
        <w:tblPrEx>
          <w:tblCellMar>
            <w:top w:w="0" w:type="dxa"/>
            <w:left w:w="108" w:type="dxa"/>
            <w:bottom w:w="0" w:type="dxa"/>
            <w:right w:w="108" w:type="dxa"/>
          </w:tblCellMar>
        </w:tblPrEx>
        <w:trPr>
          <w:trHeight w:val="330" w:hRule="atLeast"/>
        </w:trPr>
        <w:tc>
          <w:tcPr>
            <w:tcW w:w="386"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1236"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b/>
                <w:bCs/>
                <w:kern w:val="0"/>
                <w:szCs w:val="21"/>
              </w:rPr>
            </w:pPr>
            <w:r>
              <w:rPr>
                <w:rFonts w:hint="eastAsia" w:ascii="仿宋_GB2312" w:hAnsi="宋体" w:eastAsia="仿宋_GB2312" w:cs="宋体"/>
                <w:b/>
                <w:bCs/>
                <w:kern w:val="0"/>
                <w:szCs w:val="21"/>
              </w:rPr>
              <w:t>2、接入交换机</w:t>
            </w:r>
          </w:p>
        </w:tc>
        <w:tc>
          <w:tcPr>
            <w:tcW w:w="2185" w:type="pct"/>
            <w:tcBorders>
              <w:top w:val="nil"/>
              <w:left w:val="nil"/>
              <w:bottom w:val="single" w:color="auto" w:sz="4" w:space="0"/>
              <w:right w:val="single" w:color="auto" w:sz="4" w:space="0"/>
            </w:tcBorders>
            <w:shd w:val="clear" w:color="auto" w:fill="auto"/>
            <w:noWrap/>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96"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96"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330" w:hRule="atLeast"/>
        </w:trPr>
        <w:tc>
          <w:tcPr>
            <w:tcW w:w="386"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9</w:t>
            </w:r>
          </w:p>
        </w:tc>
        <w:tc>
          <w:tcPr>
            <w:tcW w:w="1236"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24口POE交换机（万兆上行）</w:t>
            </w:r>
          </w:p>
        </w:tc>
        <w:tc>
          <w:tcPr>
            <w:tcW w:w="2185"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交换容量≥330Gbps,包转发率≥125Mpps</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端口类型：千兆电口≥24个，万兆SFP+口≥4个</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POE功能：支持802.3at、802.3af（POE+），POE供电功率≥360W</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含堆叠线缆</w:t>
            </w:r>
          </w:p>
        </w:tc>
        <w:tc>
          <w:tcPr>
            <w:tcW w:w="596"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c>
          <w:tcPr>
            <w:tcW w:w="596"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 </w:t>
            </w:r>
          </w:p>
        </w:tc>
      </w:tr>
      <w:tr>
        <w:tblPrEx>
          <w:tblCellMar>
            <w:top w:w="0" w:type="dxa"/>
            <w:left w:w="108" w:type="dxa"/>
            <w:bottom w:w="0" w:type="dxa"/>
            <w:right w:w="108" w:type="dxa"/>
          </w:tblCellMar>
        </w:tblPrEx>
        <w:trPr>
          <w:trHeight w:val="330" w:hRule="atLeast"/>
        </w:trPr>
        <w:tc>
          <w:tcPr>
            <w:tcW w:w="386"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1236"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48口POE交换机（万兆上行）</w:t>
            </w:r>
          </w:p>
        </w:tc>
        <w:tc>
          <w:tcPr>
            <w:tcW w:w="2185"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交换容量≥330Gbps,包转发率≥165Mpps</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端口类型：千兆电口≥48个，万兆SFP+口≥4个</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POE功能：支持802.3at、802.3af（POE+），POE供电功率≥360W</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含堆叠线缆</w:t>
            </w:r>
          </w:p>
        </w:tc>
        <w:tc>
          <w:tcPr>
            <w:tcW w:w="596"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c>
          <w:tcPr>
            <w:tcW w:w="596"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11 </w:t>
            </w:r>
          </w:p>
        </w:tc>
      </w:tr>
      <w:tr>
        <w:tblPrEx>
          <w:tblCellMar>
            <w:top w:w="0" w:type="dxa"/>
            <w:left w:w="108" w:type="dxa"/>
            <w:bottom w:w="0" w:type="dxa"/>
            <w:right w:w="108" w:type="dxa"/>
          </w:tblCellMar>
        </w:tblPrEx>
        <w:trPr>
          <w:trHeight w:val="330" w:hRule="atLeast"/>
        </w:trPr>
        <w:tc>
          <w:tcPr>
            <w:tcW w:w="386"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11</w:t>
            </w:r>
          </w:p>
        </w:tc>
        <w:tc>
          <w:tcPr>
            <w:tcW w:w="1236"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24口光接入交换机（万兆上行）</w:t>
            </w:r>
          </w:p>
        </w:tc>
        <w:tc>
          <w:tcPr>
            <w:tcW w:w="2185"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24个千兆SFP,8个复用的千兆10/100/1000Base-T以太网端口Combo,4个万兆SFP+,交流供电，含堆叠线缆、双链路万兆单模光模块和千兆单模光模块，满足室外前端摄像机数量需求</w:t>
            </w:r>
          </w:p>
        </w:tc>
        <w:tc>
          <w:tcPr>
            <w:tcW w:w="596"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c>
          <w:tcPr>
            <w:tcW w:w="596"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8 </w:t>
            </w:r>
          </w:p>
        </w:tc>
      </w:tr>
      <w:tr>
        <w:tblPrEx>
          <w:tblCellMar>
            <w:top w:w="0" w:type="dxa"/>
            <w:left w:w="108" w:type="dxa"/>
            <w:bottom w:w="0" w:type="dxa"/>
            <w:right w:w="108" w:type="dxa"/>
          </w:tblCellMar>
        </w:tblPrEx>
        <w:trPr>
          <w:trHeight w:val="330" w:hRule="atLeast"/>
        </w:trPr>
        <w:tc>
          <w:tcPr>
            <w:tcW w:w="386"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12</w:t>
            </w:r>
          </w:p>
        </w:tc>
        <w:tc>
          <w:tcPr>
            <w:tcW w:w="1236"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b/>
                <w:bCs/>
                <w:kern w:val="0"/>
                <w:szCs w:val="21"/>
              </w:rPr>
            </w:pPr>
            <w:r>
              <w:rPr>
                <w:rFonts w:hint="eastAsia" w:ascii="仿宋_GB2312" w:hAnsi="宋体" w:eastAsia="仿宋_GB2312" w:cs="宋体"/>
                <w:b/>
                <w:bCs/>
                <w:kern w:val="0"/>
                <w:szCs w:val="21"/>
              </w:rPr>
              <w:t>3、云网管</w:t>
            </w:r>
          </w:p>
        </w:tc>
        <w:tc>
          <w:tcPr>
            <w:tcW w:w="2185" w:type="pct"/>
            <w:tcBorders>
              <w:top w:val="nil"/>
              <w:left w:val="nil"/>
              <w:bottom w:val="single" w:color="auto" w:sz="4" w:space="0"/>
              <w:right w:val="single" w:color="auto" w:sz="4" w:space="0"/>
            </w:tcBorders>
            <w:shd w:val="clear" w:color="auto" w:fill="auto"/>
            <w:noWrap/>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96"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96"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330" w:hRule="atLeast"/>
        </w:trPr>
        <w:tc>
          <w:tcPr>
            <w:tcW w:w="386"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13</w:t>
            </w:r>
          </w:p>
        </w:tc>
        <w:tc>
          <w:tcPr>
            <w:tcW w:w="1236"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云网管</w:t>
            </w:r>
          </w:p>
        </w:tc>
        <w:tc>
          <w:tcPr>
            <w:tcW w:w="2185"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云管理订阅License,S5700-LI系列-24端口,10台,3年；</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云管理订阅License,S5700-LI系列-48端口,11台,3年；</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云管理订阅License,S7700系列,1台,3年</w:t>
            </w:r>
          </w:p>
        </w:tc>
        <w:tc>
          <w:tcPr>
            <w:tcW w:w="596"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套</w:t>
            </w:r>
          </w:p>
        </w:tc>
        <w:tc>
          <w:tcPr>
            <w:tcW w:w="596"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 </w:t>
            </w:r>
          </w:p>
        </w:tc>
      </w:tr>
      <w:tr>
        <w:tblPrEx>
          <w:tblCellMar>
            <w:top w:w="0" w:type="dxa"/>
            <w:left w:w="108" w:type="dxa"/>
            <w:bottom w:w="0" w:type="dxa"/>
            <w:right w:w="108" w:type="dxa"/>
          </w:tblCellMar>
        </w:tblPrEx>
        <w:trPr>
          <w:trHeight w:val="330" w:hRule="atLeast"/>
        </w:trPr>
        <w:tc>
          <w:tcPr>
            <w:tcW w:w="386"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14</w:t>
            </w:r>
          </w:p>
        </w:tc>
        <w:tc>
          <w:tcPr>
            <w:tcW w:w="1236"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b/>
                <w:bCs/>
                <w:kern w:val="0"/>
                <w:szCs w:val="21"/>
              </w:rPr>
            </w:pPr>
            <w:r>
              <w:rPr>
                <w:rFonts w:hint="eastAsia" w:ascii="仿宋_GB2312" w:hAnsi="宋体" w:eastAsia="仿宋_GB2312" w:cs="宋体"/>
                <w:b/>
                <w:bCs/>
                <w:kern w:val="0"/>
                <w:szCs w:val="21"/>
              </w:rPr>
              <w:t>4、其他</w:t>
            </w:r>
          </w:p>
        </w:tc>
        <w:tc>
          <w:tcPr>
            <w:tcW w:w="2185" w:type="pct"/>
            <w:tcBorders>
              <w:top w:val="nil"/>
              <w:left w:val="nil"/>
              <w:bottom w:val="single" w:color="auto" w:sz="4" w:space="0"/>
              <w:right w:val="single" w:color="auto" w:sz="4" w:space="0"/>
            </w:tcBorders>
            <w:shd w:val="clear" w:color="auto" w:fill="auto"/>
            <w:noWrap/>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96"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596"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480" w:hRule="atLeast"/>
        </w:trPr>
        <w:tc>
          <w:tcPr>
            <w:tcW w:w="386"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15</w:t>
            </w:r>
          </w:p>
        </w:tc>
        <w:tc>
          <w:tcPr>
            <w:tcW w:w="1236"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技术服务</w:t>
            </w:r>
          </w:p>
        </w:tc>
        <w:tc>
          <w:tcPr>
            <w:tcW w:w="2185" w:type="pct"/>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包含监控网络系统内所有设备、辅材的安装施工、调试、后期使用培训等内容</w:t>
            </w:r>
          </w:p>
        </w:tc>
        <w:tc>
          <w:tcPr>
            <w:tcW w:w="596"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项</w:t>
            </w:r>
          </w:p>
        </w:tc>
        <w:tc>
          <w:tcPr>
            <w:tcW w:w="596" w:type="pct"/>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 </w:t>
            </w:r>
          </w:p>
        </w:tc>
      </w:tr>
      <w:tr>
        <w:tblPrEx>
          <w:tblCellMar>
            <w:top w:w="0" w:type="dxa"/>
            <w:left w:w="108" w:type="dxa"/>
            <w:bottom w:w="0" w:type="dxa"/>
            <w:right w:w="108" w:type="dxa"/>
          </w:tblCellMar>
        </w:tblPrEx>
        <w:trPr>
          <w:trHeight w:val="330" w:hRule="atLeast"/>
        </w:trPr>
        <w:tc>
          <w:tcPr>
            <w:tcW w:w="386"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16</w:t>
            </w:r>
          </w:p>
        </w:tc>
        <w:tc>
          <w:tcPr>
            <w:tcW w:w="1236" w:type="pct"/>
            <w:tcBorders>
              <w:top w:val="nil"/>
              <w:left w:val="nil"/>
              <w:bottom w:val="single" w:color="auto" w:sz="4" w:space="0"/>
              <w:right w:val="single" w:color="auto" w:sz="4" w:space="0"/>
            </w:tcBorders>
            <w:shd w:val="clear" w:color="auto" w:fill="auto"/>
            <w:noWrap/>
            <w:vAlign w:val="bottom"/>
          </w:tcPr>
          <w:p>
            <w:pPr>
              <w:rPr>
                <w:rFonts w:hint="eastAsia" w:ascii="仿宋_GB2312" w:hAnsi="宋体" w:eastAsia="仿宋_GB2312" w:cs="宋体"/>
                <w:b/>
                <w:bCs/>
                <w:kern w:val="0"/>
                <w:szCs w:val="21"/>
              </w:rPr>
            </w:pPr>
            <w:r>
              <w:rPr>
                <w:rFonts w:hint="eastAsia" w:ascii="仿宋_GB2312" w:hAnsi="宋体" w:eastAsia="仿宋_GB2312" w:cs="宋体"/>
                <w:b/>
                <w:bCs/>
                <w:kern w:val="0"/>
                <w:szCs w:val="21"/>
              </w:rPr>
              <w:t>设备合价</w:t>
            </w:r>
          </w:p>
        </w:tc>
        <w:tc>
          <w:tcPr>
            <w:tcW w:w="2185" w:type="pct"/>
            <w:tcBorders>
              <w:top w:val="nil"/>
              <w:left w:val="nil"/>
              <w:bottom w:val="single" w:color="auto" w:sz="4" w:space="0"/>
              <w:right w:val="single" w:color="auto" w:sz="4" w:space="0"/>
            </w:tcBorders>
            <w:shd w:val="clear" w:color="auto" w:fill="auto"/>
            <w:noWrap/>
            <w:vAlign w:val="bottom"/>
          </w:tcPr>
          <w:p>
            <w:pPr>
              <w:rPr>
                <w:rFonts w:hint="eastAsia" w:ascii="仿宋_GB2312" w:hAnsi="宋体" w:eastAsia="仿宋_GB2312" w:cs="宋体"/>
                <w:b/>
                <w:bCs/>
                <w:kern w:val="0"/>
                <w:szCs w:val="21"/>
              </w:rPr>
            </w:pPr>
            <w:r>
              <w:rPr>
                <w:rFonts w:hint="eastAsia" w:ascii="仿宋_GB2312" w:hAnsi="宋体" w:eastAsia="仿宋_GB2312" w:cs="宋体"/>
                <w:b/>
                <w:bCs/>
                <w:kern w:val="0"/>
                <w:szCs w:val="21"/>
              </w:rPr>
              <w:t>　</w:t>
            </w:r>
          </w:p>
        </w:tc>
        <w:tc>
          <w:tcPr>
            <w:tcW w:w="596" w:type="pct"/>
            <w:tcBorders>
              <w:top w:val="nil"/>
              <w:left w:val="nil"/>
              <w:bottom w:val="single" w:color="auto" w:sz="4" w:space="0"/>
              <w:right w:val="single" w:color="auto" w:sz="4" w:space="0"/>
            </w:tcBorders>
            <w:shd w:val="clear" w:color="auto" w:fill="auto"/>
            <w:noWrap/>
            <w:vAlign w:val="bottom"/>
          </w:tcPr>
          <w:p>
            <w:pPr>
              <w:rPr>
                <w:rFonts w:hint="eastAsia" w:ascii="仿宋_GB2312" w:hAnsi="宋体" w:eastAsia="仿宋_GB2312" w:cs="宋体"/>
                <w:b/>
                <w:bCs/>
                <w:kern w:val="0"/>
                <w:szCs w:val="21"/>
              </w:rPr>
            </w:pPr>
            <w:r>
              <w:rPr>
                <w:rFonts w:hint="eastAsia" w:ascii="仿宋_GB2312" w:hAnsi="宋体" w:eastAsia="仿宋_GB2312" w:cs="宋体"/>
                <w:b/>
                <w:bCs/>
                <w:kern w:val="0"/>
                <w:szCs w:val="21"/>
              </w:rPr>
              <w:t>　</w:t>
            </w:r>
          </w:p>
        </w:tc>
        <w:tc>
          <w:tcPr>
            <w:tcW w:w="596" w:type="pct"/>
            <w:tcBorders>
              <w:top w:val="nil"/>
              <w:left w:val="nil"/>
              <w:bottom w:val="single" w:color="auto" w:sz="4" w:space="0"/>
              <w:right w:val="single" w:color="auto" w:sz="4" w:space="0"/>
            </w:tcBorders>
            <w:shd w:val="clear" w:color="auto" w:fill="auto"/>
            <w:noWrap/>
            <w:vAlign w:val="bottom"/>
          </w:tcPr>
          <w:p>
            <w:pPr>
              <w:rPr>
                <w:rFonts w:hint="eastAsia" w:ascii="仿宋_GB2312" w:hAnsi="宋体" w:eastAsia="仿宋_GB2312" w:cs="宋体"/>
                <w:b/>
                <w:bCs/>
                <w:kern w:val="0"/>
                <w:szCs w:val="21"/>
              </w:rPr>
            </w:pPr>
            <w:r>
              <w:rPr>
                <w:rFonts w:hint="eastAsia" w:ascii="仿宋_GB2312" w:hAnsi="宋体" w:eastAsia="仿宋_GB2312" w:cs="宋体"/>
                <w:b/>
                <w:bCs/>
                <w:kern w:val="0"/>
                <w:szCs w:val="21"/>
              </w:rPr>
              <w:t>　</w:t>
            </w:r>
          </w:p>
        </w:tc>
      </w:tr>
    </w:tbl>
    <w:p>
      <w:pPr>
        <w:widowControl w:val="0"/>
        <w:spacing w:line="360" w:lineRule="auto"/>
        <w:ind w:firstLine="360" w:firstLineChars="150"/>
        <w:jc w:val="both"/>
        <w:rPr>
          <w:rFonts w:hint="eastAsia" w:ascii="仿宋_GB2312" w:hAnsi="Calibri" w:eastAsia="仿宋_GB2312"/>
          <w:sz w:val="24"/>
          <w:szCs w:val="24"/>
        </w:rPr>
      </w:pPr>
    </w:p>
    <w:p>
      <w:pPr>
        <w:keepNext/>
        <w:keepLines/>
        <w:widowControl w:val="0"/>
        <w:spacing w:line="415" w:lineRule="auto"/>
        <w:jc w:val="both"/>
        <w:outlineLvl w:val="1"/>
        <w:rPr>
          <w:rFonts w:hint="eastAsia" w:ascii="仿宋_GB2312" w:hAnsi="Cambria" w:eastAsia="仿宋_GB2312"/>
          <w:b/>
          <w:bCs/>
          <w:sz w:val="28"/>
          <w:szCs w:val="32"/>
        </w:rPr>
      </w:pPr>
      <w:bookmarkStart w:id="52" w:name="_Toc520892712"/>
      <w:r>
        <w:rPr>
          <w:rFonts w:hint="eastAsia" w:ascii="仿宋_GB2312" w:hAnsi="Cambria" w:eastAsia="仿宋_GB2312"/>
          <w:b/>
          <w:bCs/>
          <w:sz w:val="28"/>
          <w:szCs w:val="32"/>
        </w:rPr>
        <w:t>6.6综合管路系统</w:t>
      </w:r>
      <w:bookmarkEnd w:id="52"/>
    </w:p>
    <w:p>
      <w:pPr>
        <w:keepNext/>
        <w:keepLines/>
        <w:widowControl w:val="0"/>
        <w:spacing w:line="415" w:lineRule="auto"/>
        <w:jc w:val="both"/>
        <w:outlineLvl w:val="2"/>
        <w:rPr>
          <w:rFonts w:hint="eastAsia" w:ascii="仿宋_GB2312" w:hAnsi="Calibri" w:eastAsia="仿宋_GB2312"/>
          <w:b/>
          <w:bCs/>
          <w:sz w:val="28"/>
          <w:szCs w:val="32"/>
        </w:rPr>
      </w:pPr>
      <w:r>
        <w:rPr>
          <w:rFonts w:hint="eastAsia" w:ascii="仿宋_GB2312" w:hAnsi="Calibri" w:eastAsia="仿宋_GB2312"/>
          <w:b/>
          <w:bCs/>
          <w:sz w:val="28"/>
          <w:szCs w:val="32"/>
        </w:rPr>
        <w:t>6.6.1系统概述</w:t>
      </w:r>
    </w:p>
    <w:p>
      <w:pPr>
        <w:widowControl w:val="0"/>
        <w:spacing w:line="360" w:lineRule="auto"/>
        <w:ind w:firstLine="360" w:firstLineChars="150"/>
        <w:jc w:val="both"/>
        <w:rPr>
          <w:rFonts w:hint="eastAsia" w:ascii="仿宋_GB2312" w:hAnsi="Calibri" w:eastAsia="仿宋_GB2312"/>
          <w:sz w:val="24"/>
          <w:szCs w:val="24"/>
        </w:rPr>
      </w:pPr>
      <w:r>
        <w:rPr>
          <w:rFonts w:hint="eastAsia" w:ascii="仿宋_GB2312" w:hAnsi="Calibri" w:eastAsia="仿宋_GB2312"/>
          <w:sz w:val="24"/>
          <w:szCs w:val="24"/>
        </w:rPr>
        <w:t>综合管路系统包含桥架和管路两部分</w:t>
      </w:r>
    </w:p>
    <w:p>
      <w:pPr>
        <w:widowControl w:val="0"/>
        <w:spacing w:line="360" w:lineRule="auto"/>
        <w:ind w:firstLine="360" w:firstLineChars="150"/>
        <w:jc w:val="both"/>
        <w:rPr>
          <w:rFonts w:hint="eastAsia" w:ascii="仿宋_GB2312" w:hAnsi="Calibri" w:eastAsia="仿宋_GB2312"/>
          <w:sz w:val="24"/>
          <w:szCs w:val="24"/>
        </w:rPr>
      </w:pPr>
      <w:r>
        <w:rPr>
          <w:rFonts w:hint="eastAsia" w:ascii="仿宋_GB2312" w:hAnsi="Calibri" w:eastAsia="仿宋_GB2312"/>
          <w:sz w:val="24"/>
          <w:szCs w:val="24"/>
        </w:rPr>
        <w:t>桥架主要针对室内点位线缆，水平采用100*100槽式桥架，垂直采用200*100槽式桥架，一般吊顶内敷设，如无吊顶则尽量贴墙敷设，具体需根据现场实际情况进行调整。</w:t>
      </w:r>
    </w:p>
    <w:p>
      <w:pPr>
        <w:widowControl w:val="0"/>
        <w:spacing w:line="360" w:lineRule="auto"/>
        <w:ind w:firstLine="360" w:firstLineChars="150"/>
        <w:jc w:val="both"/>
        <w:rPr>
          <w:rFonts w:hint="eastAsia" w:ascii="仿宋_GB2312" w:hAnsi="Calibri" w:eastAsia="仿宋_GB2312"/>
          <w:sz w:val="24"/>
          <w:szCs w:val="24"/>
        </w:rPr>
      </w:pPr>
      <w:r>
        <w:rPr>
          <w:rFonts w:hint="eastAsia" w:ascii="仿宋_GB2312" w:hAnsi="Calibri" w:eastAsia="仿宋_GB2312"/>
          <w:sz w:val="24"/>
          <w:szCs w:val="24"/>
        </w:rPr>
        <w:t>管路分为室内和室外区域，室内部分采用PVC20/PVC25管，室外部分管路主干敷设一根PE100管和一根PE50管，过马路和入户管采用SC管。</w:t>
      </w:r>
    </w:p>
    <w:p>
      <w:pPr>
        <w:widowControl w:val="0"/>
        <w:spacing w:line="360" w:lineRule="auto"/>
        <w:ind w:firstLine="360" w:firstLineChars="150"/>
        <w:jc w:val="both"/>
        <w:rPr>
          <w:rFonts w:hint="eastAsia" w:ascii="仿宋_GB2312" w:hAnsi="Calibri" w:eastAsia="仿宋_GB2312"/>
          <w:sz w:val="24"/>
          <w:szCs w:val="24"/>
        </w:rPr>
      </w:pPr>
    </w:p>
    <w:p>
      <w:pPr>
        <w:keepNext/>
        <w:keepLines/>
        <w:widowControl w:val="0"/>
        <w:spacing w:line="415" w:lineRule="auto"/>
        <w:jc w:val="both"/>
        <w:outlineLvl w:val="2"/>
        <w:rPr>
          <w:rFonts w:hint="eastAsia" w:ascii="仿宋_GB2312" w:hAnsi="Calibri" w:eastAsia="仿宋_GB2312"/>
          <w:b/>
          <w:bCs/>
          <w:sz w:val="28"/>
          <w:szCs w:val="32"/>
        </w:rPr>
      </w:pPr>
      <w:r>
        <w:rPr>
          <w:rFonts w:hint="eastAsia" w:ascii="仿宋_GB2312" w:hAnsi="Calibri" w:eastAsia="仿宋_GB2312"/>
          <w:b/>
          <w:bCs/>
          <w:sz w:val="28"/>
          <w:szCs w:val="32"/>
        </w:rPr>
        <w:t>6.6.2系统清单</w:t>
      </w:r>
    </w:p>
    <w:tbl>
      <w:tblPr>
        <w:tblStyle w:val="64"/>
        <w:tblW w:w="8000" w:type="dxa"/>
        <w:tblInd w:w="108" w:type="dxa"/>
        <w:tblLayout w:type="autofit"/>
        <w:tblCellMar>
          <w:top w:w="0" w:type="dxa"/>
          <w:left w:w="108" w:type="dxa"/>
          <w:bottom w:w="0" w:type="dxa"/>
          <w:right w:w="108" w:type="dxa"/>
        </w:tblCellMar>
      </w:tblPr>
      <w:tblGrid>
        <w:gridCol w:w="700"/>
        <w:gridCol w:w="1700"/>
        <w:gridCol w:w="3760"/>
        <w:gridCol w:w="640"/>
        <w:gridCol w:w="1200"/>
      </w:tblGrid>
      <w:tr>
        <w:tblPrEx>
          <w:tblCellMar>
            <w:top w:w="0" w:type="dxa"/>
            <w:left w:w="108" w:type="dxa"/>
            <w:bottom w:w="0" w:type="dxa"/>
            <w:right w:w="108" w:type="dxa"/>
          </w:tblCellMar>
        </w:tblPrEx>
        <w:trPr>
          <w:wBefore w:w="0" w:type="dxa"/>
          <w:wAfter w:w="0" w:type="dxa"/>
          <w:trHeight w:val="270" w:hRule="atLeast"/>
        </w:trPr>
        <w:tc>
          <w:tcPr>
            <w:tcW w:w="70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序号</w:t>
            </w:r>
          </w:p>
        </w:tc>
        <w:tc>
          <w:tcPr>
            <w:tcW w:w="1700" w:type="dxa"/>
            <w:tcBorders>
              <w:top w:val="single" w:color="auto" w:sz="4" w:space="0"/>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名称</w:t>
            </w:r>
          </w:p>
        </w:tc>
        <w:tc>
          <w:tcPr>
            <w:tcW w:w="3760"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主要参数</w:t>
            </w:r>
          </w:p>
        </w:tc>
        <w:tc>
          <w:tcPr>
            <w:tcW w:w="640" w:type="dxa"/>
            <w:tcBorders>
              <w:top w:val="single" w:color="auto" w:sz="4" w:space="0"/>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单位</w:t>
            </w:r>
          </w:p>
        </w:tc>
        <w:tc>
          <w:tcPr>
            <w:tcW w:w="1200" w:type="dxa"/>
            <w:tcBorders>
              <w:top w:val="single" w:color="auto" w:sz="4" w:space="0"/>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数量</w:t>
            </w:r>
          </w:p>
        </w:tc>
      </w:tr>
      <w:tr>
        <w:tblPrEx>
          <w:tblCellMar>
            <w:top w:w="0" w:type="dxa"/>
            <w:left w:w="108" w:type="dxa"/>
            <w:bottom w:w="0" w:type="dxa"/>
            <w:right w:w="108" w:type="dxa"/>
          </w:tblCellMar>
        </w:tblPrEx>
        <w:trPr>
          <w:wBefore w:w="0" w:type="dxa"/>
          <w:wAfter w:w="0" w:type="dxa"/>
          <w:trHeight w:val="270" w:hRule="atLeast"/>
        </w:trPr>
        <w:tc>
          <w:tcPr>
            <w:tcW w:w="700" w:type="dxa"/>
            <w:tcBorders>
              <w:top w:val="nil"/>
              <w:left w:val="single" w:color="auto" w:sz="4" w:space="0"/>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700"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b/>
                <w:bCs/>
                <w:kern w:val="0"/>
                <w:szCs w:val="21"/>
              </w:rPr>
            </w:pPr>
            <w:r>
              <w:rPr>
                <w:rFonts w:hint="eastAsia" w:ascii="仿宋_GB2312" w:hAnsi="宋体" w:eastAsia="仿宋_GB2312" w:cs="宋体"/>
                <w:b/>
                <w:bCs/>
                <w:kern w:val="0"/>
                <w:szCs w:val="21"/>
              </w:rPr>
              <w:t>一、桥架</w:t>
            </w:r>
          </w:p>
        </w:tc>
        <w:tc>
          <w:tcPr>
            <w:tcW w:w="376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　</w:t>
            </w:r>
          </w:p>
        </w:tc>
        <w:tc>
          <w:tcPr>
            <w:tcW w:w="64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　</w:t>
            </w:r>
          </w:p>
        </w:tc>
        <w:tc>
          <w:tcPr>
            <w:tcW w:w="120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　</w:t>
            </w:r>
          </w:p>
        </w:tc>
      </w:tr>
      <w:tr>
        <w:tblPrEx>
          <w:tblCellMar>
            <w:top w:w="0" w:type="dxa"/>
            <w:left w:w="108" w:type="dxa"/>
            <w:bottom w:w="0" w:type="dxa"/>
            <w:right w:w="108" w:type="dxa"/>
          </w:tblCellMar>
        </w:tblPrEx>
        <w:trPr>
          <w:wBefore w:w="0" w:type="dxa"/>
          <w:wAfter w:w="0" w:type="dxa"/>
          <w:trHeight w:val="480" w:hRule="atLeast"/>
        </w:trPr>
        <w:tc>
          <w:tcPr>
            <w:tcW w:w="700" w:type="dxa"/>
            <w:tcBorders>
              <w:top w:val="nil"/>
              <w:left w:val="single" w:color="auto" w:sz="4" w:space="0"/>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700"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桥架200*100</w:t>
            </w:r>
          </w:p>
        </w:tc>
        <w:tc>
          <w:tcPr>
            <w:tcW w:w="3760"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200×100×δ1.2</w:t>
            </w:r>
          </w:p>
        </w:tc>
        <w:tc>
          <w:tcPr>
            <w:tcW w:w="640" w:type="dxa"/>
            <w:tcBorders>
              <w:top w:val="nil"/>
              <w:left w:val="nil"/>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米</w:t>
            </w:r>
          </w:p>
        </w:tc>
        <w:tc>
          <w:tcPr>
            <w:tcW w:w="120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500</w:t>
            </w:r>
          </w:p>
        </w:tc>
      </w:tr>
      <w:tr>
        <w:tblPrEx>
          <w:tblCellMar>
            <w:top w:w="0" w:type="dxa"/>
            <w:left w:w="108" w:type="dxa"/>
            <w:bottom w:w="0" w:type="dxa"/>
            <w:right w:w="108" w:type="dxa"/>
          </w:tblCellMar>
        </w:tblPrEx>
        <w:trPr>
          <w:wBefore w:w="0" w:type="dxa"/>
          <w:wAfter w:w="0" w:type="dxa"/>
          <w:trHeight w:val="480" w:hRule="atLeast"/>
        </w:trPr>
        <w:tc>
          <w:tcPr>
            <w:tcW w:w="700" w:type="dxa"/>
            <w:tcBorders>
              <w:top w:val="nil"/>
              <w:left w:val="single" w:color="auto" w:sz="4" w:space="0"/>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1700"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桥架100*100</w:t>
            </w:r>
          </w:p>
        </w:tc>
        <w:tc>
          <w:tcPr>
            <w:tcW w:w="3760"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100×100×δ1.0</w:t>
            </w:r>
          </w:p>
        </w:tc>
        <w:tc>
          <w:tcPr>
            <w:tcW w:w="640" w:type="dxa"/>
            <w:tcBorders>
              <w:top w:val="nil"/>
              <w:left w:val="nil"/>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米</w:t>
            </w:r>
          </w:p>
        </w:tc>
        <w:tc>
          <w:tcPr>
            <w:tcW w:w="120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3000</w:t>
            </w:r>
          </w:p>
        </w:tc>
      </w:tr>
      <w:tr>
        <w:tblPrEx>
          <w:tblCellMar>
            <w:top w:w="0" w:type="dxa"/>
            <w:left w:w="108" w:type="dxa"/>
            <w:bottom w:w="0" w:type="dxa"/>
            <w:right w:w="108" w:type="dxa"/>
          </w:tblCellMar>
        </w:tblPrEx>
        <w:trPr>
          <w:wBefore w:w="0" w:type="dxa"/>
          <w:wAfter w:w="0" w:type="dxa"/>
          <w:trHeight w:val="270" w:hRule="atLeast"/>
        </w:trPr>
        <w:tc>
          <w:tcPr>
            <w:tcW w:w="700" w:type="dxa"/>
            <w:tcBorders>
              <w:top w:val="nil"/>
              <w:left w:val="single" w:color="auto" w:sz="4" w:space="0"/>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1700"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b/>
                <w:bCs/>
                <w:kern w:val="0"/>
                <w:szCs w:val="21"/>
              </w:rPr>
            </w:pPr>
            <w:r>
              <w:rPr>
                <w:rFonts w:hint="eastAsia" w:ascii="仿宋_GB2312" w:hAnsi="宋体" w:eastAsia="仿宋_GB2312" w:cs="宋体"/>
                <w:b/>
                <w:bCs/>
                <w:kern w:val="0"/>
                <w:szCs w:val="21"/>
              </w:rPr>
              <w:t>二、管路</w:t>
            </w:r>
          </w:p>
        </w:tc>
        <w:tc>
          <w:tcPr>
            <w:tcW w:w="3760"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640" w:type="dxa"/>
            <w:tcBorders>
              <w:top w:val="nil"/>
              <w:left w:val="nil"/>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00" w:type="dxa"/>
            <w:tcBorders>
              <w:top w:val="nil"/>
              <w:left w:val="nil"/>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wBefore w:w="0" w:type="dxa"/>
          <w:wAfter w:w="0" w:type="dxa"/>
          <w:trHeight w:val="270" w:hRule="atLeast"/>
        </w:trPr>
        <w:tc>
          <w:tcPr>
            <w:tcW w:w="700" w:type="dxa"/>
            <w:tcBorders>
              <w:top w:val="nil"/>
              <w:left w:val="single" w:color="auto" w:sz="4" w:space="0"/>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5</w:t>
            </w:r>
          </w:p>
        </w:tc>
        <w:tc>
          <w:tcPr>
            <w:tcW w:w="1700"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PVC管</w:t>
            </w:r>
          </w:p>
        </w:tc>
        <w:tc>
          <w:tcPr>
            <w:tcW w:w="3760"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20×1.0</w:t>
            </w:r>
          </w:p>
        </w:tc>
        <w:tc>
          <w:tcPr>
            <w:tcW w:w="640" w:type="dxa"/>
            <w:tcBorders>
              <w:top w:val="nil"/>
              <w:left w:val="nil"/>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米</w:t>
            </w:r>
          </w:p>
        </w:tc>
        <w:tc>
          <w:tcPr>
            <w:tcW w:w="1200" w:type="dxa"/>
            <w:tcBorders>
              <w:top w:val="nil"/>
              <w:left w:val="nil"/>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6000</w:t>
            </w:r>
          </w:p>
        </w:tc>
      </w:tr>
      <w:tr>
        <w:tblPrEx>
          <w:tblCellMar>
            <w:top w:w="0" w:type="dxa"/>
            <w:left w:w="108" w:type="dxa"/>
            <w:bottom w:w="0" w:type="dxa"/>
            <w:right w:w="108" w:type="dxa"/>
          </w:tblCellMar>
        </w:tblPrEx>
        <w:trPr>
          <w:wBefore w:w="0" w:type="dxa"/>
          <w:wAfter w:w="0" w:type="dxa"/>
          <w:trHeight w:val="270" w:hRule="atLeast"/>
        </w:trPr>
        <w:tc>
          <w:tcPr>
            <w:tcW w:w="700" w:type="dxa"/>
            <w:tcBorders>
              <w:top w:val="nil"/>
              <w:left w:val="single" w:color="auto" w:sz="4" w:space="0"/>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5</w:t>
            </w:r>
          </w:p>
        </w:tc>
        <w:tc>
          <w:tcPr>
            <w:tcW w:w="1700"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PVC管</w:t>
            </w:r>
          </w:p>
        </w:tc>
        <w:tc>
          <w:tcPr>
            <w:tcW w:w="3760"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25×1.0</w:t>
            </w:r>
          </w:p>
        </w:tc>
        <w:tc>
          <w:tcPr>
            <w:tcW w:w="640" w:type="dxa"/>
            <w:tcBorders>
              <w:top w:val="nil"/>
              <w:left w:val="nil"/>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米</w:t>
            </w:r>
          </w:p>
        </w:tc>
        <w:tc>
          <w:tcPr>
            <w:tcW w:w="1200" w:type="dxa"/>
            <w:tcBorders>
              <w:top w:val="nil"/>
              <w:left w:val="nil"/>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3000</w:t>
            </w:r>
          </w:p>
        </w:tc>
      </w:tr>
      <w:tr>
        <w:tblPrEx>
          <w:tblCellMar>
            <w:top w:w="0" w:type="dxa"/>
            <w:left w:w="108" w:type="dxa"/>
            <w:bottom w:w="0" w:type="dxa"/>
            <w:right w:w="108" w:type="dxa"/>
          </w:tblCellMar>
        </w:tblPrEx>
        <w:trPr>
          <w:wBefore w:w="0" w:type="dxa"/>
          <w:wAfter w:w="0" w:type="dxa"/>
          <w:trHeight w:val="270" w:hRule="atLeast"/>
        </w:trPr>
        <w:tc>
          <w:tcPr>
            <w:tcW w:w="700" w:type="dxa"/>
            <w:tcBorders>
              <w:top w:val="nil"/>
              <w:left w:val="single" w:color="auto" w:sz="4" w:space="0"/>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6</w:t>
            </w:r>
          </w:p>
        </w:tc>
        <w:tc>
          <w:tcPr>
            <w:tcW w:w="1700"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SC管</w:t>
            </w:r>
          </w:p>
        </w:tc>
        <w:tc>
          <w:tcPr>
            <w:tcW w:w="3760"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SC50</w:t>
            </w:r>
          </w:p>
        </w:tc>
        <w:tc>
          <w:tcPr>
            <w:tcW w:w="640" w:type="dxa"/>
            <w:tcBorders>
              <w:top w:val="nil"/>
              <w:left w:val="nil"/>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米</w:t>
            </w:r>
          </w:p>
        </w:tc>
        <w:tc>
          <w:tcPr>
            <w:tcW w:w="1200" w:type="dxa"/>
            <w:tcBorders>
              <w:top w:val="nil"/>
              <w:left w:val="nil"/>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200</w:t>
            </w:r>
          </w:p>
        </w:tc>
      </w:tr>
      <w:tr>
        <w:tblPrEx>
          <w:tblCellMar>
            <w:top w:w="0" w:type="dxa"/>
            <w:left w:w="108" w:type="dxa"/>
            <w:bottom w:w="0" w:type="dxa"/>
            <w:right w:w="108" w:type="dxa"/>
          </w:tblCellMar>
        </w:tblPrEx>
        <w:trPr>
          <w:wBefore w:w="0" w:type="dxa"/>
          <w:wAfter w:w="0" w:type="dxa"/>
          <w:trHeight w:val="270" w:hRule="atLeast"/>
        </w:trPr>
        <w:tc>
          <w:tcPr>
            <w:tcW w:w="700" w:type="dxa"/>
            <w:tcBorders>
              <w:top w:val="nil"/>
              <w:left w:val="single" w:color="auto" w:sz="4" w:space="0"/>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7</w:t>
            </w:r>
          </w:p>
        </w:tc>
        <w:tc>
          <w:tcPr>
            <w:tcW w:w="1700"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SC管</w:t>
            </w:r>
          </w:p>
        </w:tc>
        <w:tc>
          <w:tcPr>
            <w:tcW w:w="3760"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SC25</w:t>
            </w:r>
          </w:p>
        </w:tc>
        <w:tc>
          <w:tcPr>
            <w:tcW w:w="640" w:type="dxa"/>
            <w:tcBorders>
              <w:top w:val="nil"/>
              <w:left w:val="nil"/>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米</w:t>
            </w:r>
          </w:p>
        </w:tc>
        <w:tc>
          <w:tcPr>
            <w:tcW w:w="1200" w:type="dxa"/>
            <w:tcBorders>
              <w:top w:val="nil"/>
              <w:left w:val="nil"/>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200</w:t>
            </w:r>
          </w:p>
        </w:tc>
      </w:tr>
      <w:tr>
        <w:tblPrEx>
          <w:tblCellMar>
            <w:top w:w="0" w:type="dxa"/>
            <w:left w:w="108" w:type="dxa"/>
            <w:bottom w:w="0" w:type="dxa"/>
            <w:right w:w="108" w:type="dxa"/>
          </w:tblCellMar>
        </w:tblPrEx>
        <w:trPr>
          <w:wBefore w:w="0" w:type="dxa"/>
          <w:wAfter w:w="0" w:type="dxa"/>
          <w:trHeight w:val="270" w:hRule="atLeast"/>
        </w:trPr>
        <w:tc>
          <w:tcPr>
            <w:tcW w:w="700" w:type="dxa"/>
            <w:tcBorders>
              <w:top w:val="nil"/>
              <w:left w:val="single" w:color="auto" w:sz="4" w:space="0"/>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9</w:t>
            </w:r>
          </w:p>
        </w:tc>
        <w:tc>
          <w:tcPr>
            <w:tcW w:w="1700"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PE管</w:t>
            </w:r>
          </w:p>
        </w:tc>
        <w:tc>
          <w:tcPr>
            <w:tcW w:w="3760"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PE50</w:t>
            </w:r>
          </w:p>
        </w:tc>
        <w:tc>
          <w:tcPr>
            <w:tcW w:w="640" w:type="dxa"/>
            <w:tcBorders>
              <w:top w:val="nil"/>
              <w:left w:val="nil"/>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米</w:t>
            </w:r>
          </w:p>
        </w:tc>
        <w:tc>
          <w:tcPr>
            <w:tcW w:w="1200" w:type="dxa"/>
            <w:tcBorders>
              <w:top w:val="nil"/>
              <w:left w:val="nil"/>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2000</w:t>
            </w:r>
          </w:p>
        </w:tc>
      </w:tr>
      <w:tr>
        <w:tblPrEx>
          <w:tblCellMar>
            <w:top w:w="0" w:type="dxa"/>
            <w:left w:w="108" w:type="dxa"/>
            <w:bottom w:w="0" w:type="dxa"/>
            <w:right w:w="108" w:type="dxa"/>
          </w:tblCellMar>
        </w:tblPrEx>
        <w:trPr>
          <w:wBefore w:w="0" w:type="dxa"/>
          <w:wAfter w:w="0" w:type="dxa"/>
          <w:trHeight w:val="270" w:hRule="atLeast"/>
        </w:trPr>
        <w:tc>
          <w:tcPr>
            <w:tcW w:w="700" w:type="dxa"/>
            <w:tcBorders>
              <w:top w:val="nil"/>
              <w:left w:val="single" w:color="auto" w:sz="4" w:space="0"/>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1700"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PE管</w:t>
            </w:r>
          </w:p>
        </w:tc>
        <w:tc>
          <w:tcPr>
            <w:tcW w:w="3760"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PE25</w:t>
            </w:r>
          </w:p>
        </w:tc>
        <w:tc>
          <w:tcPr>
            <w:tcW w:w="640" w:type="dxa"/>
            <w:tcBorders>
              <w:top w:val="nil"/>
              <w:left w:val="nil"/>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米</w:t>
            </w:r>
          </w:p>
        </w:tc>
        <w:tc>
          <w:tcPr>
            <w:tcW w:w="1200" w:type="dxa"/>
            <w:tcBorders>
              <w:top w:val="nil"/>
              <w:left w:val="nil"/>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1200</w:t>
            </w:r>
          </w:p>
        </w:tc>
      </w:tr>
      <w:tr>
        <w:tblPrEx>
          <w:tblCellMar>
            <w:top w:w="0" w:type="dxa"/>
            <w:left w:w="108" w:type="dxa"/>
            <w:bottom w:w="0" w:type="dxa"/>
            <w:right w:w="108" w:type="dxa"/>
          </w:tblCellMar>
        </w:tblPrEx>
        <w:trPr>
          <w:wBefore w:w="0" w:type="dxa"/>
          <w:wAfter w:w="0" w:type="dxa"/>
          <w:trHeight w:val="270" w:hRule="atLeast"/>
        </w:trPr>
        <w:tc>
          <w:tcPr>
            <w:tcW w:w="700" w:type="dxa"/>
            <w:tcBorders>
              <w:top w:val="nil"/>
              <w:left w:val="single" w:color="auto" w:sz="4" w:space="0"/>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14</w:t>
            </w:r>
          </w:p>
        </w:tc>
        <w:tc>
          <w:tcPr>
            <w:tcW w:w="1700"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b/>
                <w:bCs/>
                <w:kern w:val="0"/>
                <w:szCs w:val="21"/>
              </w:rPr>
            </w:pPr>
            <w:r>
              <w:rPr>
                <w:rFonts w:hint="eastAsia" w:ascii="仿宋_GB2312" w:hAnsi="宋体" w:eastAsia="仿宋_GB2312" w:cs="宋体"/>
                <w:b/>
                <w:bCs/>
                <w:kern w:val="0"/>
                <w:szCs w:val="21"/>
              </w:rPr>
              <w:t>三、其他</w:t>
            </w:r>
          </w:p>
        </w:tc>
        <w:tc>
          <w:tcPr>
            <w:tcW w:w="3760"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640" w:type="dxa"/>
            <w:tcBorders>
              <w:top w:val="nil"/>
              <w:left w:val="nil"/>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00" w:type="dxa"/>
            <w:tcBorders>
              <w:top w:val="nil"/>
              <w:left w:val="nil"/>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wBefore w:w="0" w:type="dxa"/>
          <w:wAfter w:w="0" w:type="dxa"/>
          <w:trHeight w:val="1200" w:hRule="atLeast"/>
        </w:trPr>
        <w:tc>
          <w:tcPr>
            <w:tcW w:w="700" w:type="dxa"/>
            <w:tcBorders>
              <w:top w:val="nil"/>
              <w:left w:val="single" w:color="auto" w:sz="4" w:space="0"/>
              <w:bottom w:val="single" w:color="auto" w:sz="4" w:space="0"/>
              <w:right w:val="single" w:color="auto" w:sz="4" w:space="0"/>
            </w:tcBorders>
            <w:shd w:val="clear" w:color="auto" w:fill="auto"/>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15</w:t>
            </w:r>
          </w:p>
        </w:tc>
        <w:tc>
          <w:tcPr>
            <w:tcW w:w="1700"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技术服务</w:t>
            </w:r>
          </w:p>
        </w:tc>
        <w:tc>
          <w:tcPr>
            <w:tcW w:w="3760" w:type="dxa"/>
            <w:tcBorders>
              <w:top w:val="nil"/>
              <w:left w:val="nil"/>
              <w:bottom w:val="single" w:color="auto" w:sz="4" w:space="0"/>
              <w:right w:val="single" w:color="auto" w:sz="4" w:space="0"/>
            </w:tcBorders>
            <w:shd w:val="clear" w:color="auto" w:fill="auto"/>
            <w:noWrap w:val="0"/>
            <w:vAlign w:val="center"/>
          </w:tcPr>
          <w:p>
            <w:pPr>
              <w:rPr>
                <w:rFonts w:hint="eastAsia" w:ascii="仿宋_GB2312" w:hAnsi="宋体" w:eastAsia="仿宋_GB2312" w:cs="宋体"/>
                <w:kern w:val="0"/>
                <w:szCs w:val="21"/>
              </w:rPr>
            </w:pPr>
            <w:r>
              <w:rPr>
                <w:rFonts w:hint="eastAsia" w:ascii="仿宋_GB2312" w:hAnsi="宋体" w:eastAsia="仿宋_GB2312" w:cs="宋体"/>
                <w:kern w:val="0"/>
                <w:szCs w:val="21"/>
              </w:rPr>
              <w:t>包含综合管路系统内所有桥架、管路、辅材的安装施工，改造施工过程中，涉及到对原有系统、装修装饰、校园绿化、校园道路等各类专业的材料拆卸、损毁、复原等内容，由此引起的费用均需包含在内</w:t>
            </w:r>
          </w:p>
        </w:tc>
        <w:tc>
          <w:tcPr>
            <w:tcW w:w="640" w:type="dxa"/>
            <w:tcBorders>
              <w:top w:val="nil"/>
              <w:left w:val="nil"/>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项</w:t>
            </w:r>
          </w:p>
        </w:tc>
        <w:tc>
          <w:tcPr>
            <w:tcW w:w="1200" w:type="dxa"/>
            <w:tcBorders>
              <w:top w:val="nil"/>
              <w:left w:val="nil"/>
              <w:bottom w:val="single" w:color="auto" w:sz="4" w:space="0"/>
              <w:right w:val="single" w:color="auto" w:sz="4" w:space="0"/>
            </w:tcBorders>
            <w:shd w:val="clear" w:color="auto" w:fill="auto"/>
            <w:noWrap/>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r>
    </w:tbl>
    <w:p>
      <w:pPr>
        <w:spacing w:line="400" w:lineRule="exact"/>
        <w:rPr>
          <w:rFonts w:hint="eastAsia" w:ascii="仿宋_GB2312" w:hAnsi="仿宋" w:eastAsia="仿宋_GB2312"/>
          <w:b/>
          <w:sz w:val="24"/>
          <w:szCs w:val="24"/>
        </w:rPr>
      </w:pPr>
    </w:p>
    <w:p>
      <w:pPr>
        <w:spacing w:line="400" w:lineRule="exact"/>
        <w:rPr>
          <w:rFonts w:hint="eastAsia" w:ascii="仿宋_GB2312" w:hAnsi="仿宋" w:eastAsia="仿宋_GB2312"/>
          <w:b/>
          <w:sz w:val="24"/>
          <w:szCs w:val="24"/>
        </w:rPr>
      </w:pPr>
      <w:r>
        <w:rPr>
          <w:rFonts w:hint="eastAsia" w:ascii="仿宋_GB2312" w:hAnsi="仿宋" w:eastAsia="仿宋_GB2312"/>
          <w:b/>
          <w:sz w:val="24"/>
          <w:szCs w:val="24"/>
        </w:rPr>
        <w:t>现场演示：</w:t>
      </w:r>
    </w:p>
    <w:p>
      <w:pPr>
        <w:spacing w:line="400" w:lineRule="exact"/>
        <w:rPr>
          <w:rFonts w:hint="eastAsia" w:ascii="仿宋_GB2312" w:hAnsi="仿宋" w:eastAsia="仿宋_GB2312"/>
          <w:sz w:val="24"/>
          <w:szCs w:val="24"/>
        </w:rPr>
      </w:pPr>
      <w:r>
        <w:rPr>
          <w:rFonts w:hint="eastAsia" w:ascii="仿宋_GB2312" w:hAnsi="仿宋" w:eastAsia="仿宋_GB2312"/>
          <w:sz w:val="24"/>
          <w:szCs w:val="24"/>
        </w:rPr>
        <w:t>1、用户权限控制：方案要支持给各个岗位配置功能模块权限，多岗位老师可以通过切换岗位获取功能权限；</w:t>
      </w:r>
    </w:p>
    <w:p>
      <w:pPr>
        <w:spacing w:line="400" w:lineRule="exact"/>
        <w:rPr>
          <w:rFonts w:hint="eastAsia" w:ascii="仿宋_GB2312" w:hAnsi="仿宋" w:eastAsia="仿宋_GB2312"/>
          <w:sz w:val="24"/>
          <w:szCs w:val="24"/>
        </w:rPr>
      </w:pPr>
      <w:r>
        <w:rPr>
          <w:rFonts w:hint="eastAsia" w:ascii="仿宋_GB2312" w:hAnsi="仿宋" w:eastAsia="仿宋_GB2312"/>
          <w:sz w:val="24"/>
          <w:szCs w:val="24"/>
        </w:rPr>
        <w:t>2、宿舍考勤报表演示：住校生床位要能够支持设置周几住校，住校开始时间和结束时间设置，以支持周末长期留宿人员的管理；</w:t>
      </w:r>
    </w:p>
    <w:p>
      <w:pPr>
        <w:spacing w:line="400" w:lineRule="exact"/>
        <w:rPr>
          <w:rFonts w:hint="eastAsia" w:ascii="仿宋_GB2312" w:hAnsi="仿宋" w:eastAsia="仿宋_GB2312"/>
          <w:sz w:val="24"/>
          <w:szCs w:val="24"/>
        </w:rPr>
      </w:pPr>
      <w:r>
        <w:rPr>
          <w:rFonts w:hint="eastAsia" w:ascii="仿宋_GB2312" w:hAnsi="仿宋" w:eastAsia="仿宋_GB2312"/>
          <w:sz w:val="24"/>
          <w:szCs w:val="24"/>
        </w:rPr>
        <w:t>3、宿舍考勤报表演示：住校生考勤应用方案要具备临时通校、临时留宿功能，临时通校和临时留宿的学生会与学校考勤关联，在考勤报表中体现，也能在住校生查询里面查看到；</w:t>
      </w:r>
    </w:p>
    <w:p>
      <w:pPr>
        <w:spacing w:line="400" w:lineRule="exact"/>
        <w:rPr>
          <w:rFonts w:hint="eastAsia" w:ascii="仿宋_GB2312" w:hAnsi="仿宋" w:eastAsia="仿宋_GB2312"/>
          <w:sz w:val="24"/>
          <w:szCs w:val="24"/>
        </w:rPr>
      </w:pPr>
      <w:r>
        <w:rPr>
          <w:rFonts w:hint="eastAsia" w:ascii="仿宋_GB2312" w:hAnsi="仿宋" w:eastAsia="仿宋_GB2312"/>
          <w:sz w:val="24"/>
          <w:szCs w:val="24"/>
        </w:rPr>
        <w:t>4、宿舍考勤报表演示：住校生考勤应用方案要支持住校生查询功能，可以查询每天的应住校人数、通校和临时留宿人数；</w:t>
      </w:r>
    </w:p>
    <w:p>
      <w:pPr>
        <w:widowControl w:val="0"/>
        <w:spacing w:line="360" w:lineRule="auto"/>
        <w:jc w:val="both"/>
        <w:rPr>
          <w:rFonts w:hint="eastAsia" w:ascii="仿宋_GB2312" w:hAnsi="Calibri" w:eastAsia="仿宋_GB2312"/>
          <w:sz w:val="24"/>
          <w:szCs w:val="24"/>
        </w:rPr>
      </w:pPr>
      <w:r>
        <w:rPr>
          <w:rFonts w:hint="eastAsia" w:ascii="仿宋_GB2312" w:hAnsi="仿宋" w:eastAsia="仿宋_GB2312"/>
          <w:sz w:val="24"/>
          <w:szCs w:val="24"/>
        </w:rPr>
        <w:t>5、宿舍考勤报表演示：住校生考勤报表要支持按宿舍查询和按班级查询两种报表查询方式，按宿舍查询要支持平面图报表和统计报表两种报表查询方式。</w:t>
      </w:r>
    </w:p>
    <w:p>
      <w:pPr>
        <w:widowControl w:val="0"/>
        <w:spacing w:line="360" w:lineRule="auto"/>
        <w:ind w:firstLine="360" w:firstLineChars="150"/>
        <w:jc w:val="both"/>
        <w:rPr>
          <w:rFonts w:hint="eastAsia" w:ascii="仿宋_GB2312" w:hAnsi="Calibri" w:eastAsia="仿宋_GB2312"/>
          <w:sz w:val="24"/>
          <w:szCs w:val="24"/>
        </w:rPr>
      </w:pPr>
    </w:p>
    <w:p>
      <w:pPr>
        <w:spacing w:line="360" w:lineRule="auto"/>
        <w:jc w:val="center"/>
        <w:outlineLvl w:val="0"/>
        <w:rPr>
          <w:rFonts w:hint="eastAsia" w:ascii="仿宋_GB2312" w:eastAsia="仿宋_GB2312"/>
          <w:b/>
          <w:kern w:val="0"/>
          <w:sz w:val="30"/>
          <w:szCs w:val="30"/>
          <w:lang w:val="zh-CN"/>
        </w:rPr>
      </w:pPr>
      <w:r>
        <w:rPr>
          <w:rFonts w:hint="eastAsia" w:ascii="仿宋_GB2312" w:eastAsia="仿宋_GB2312"/>
          <w:b/>
          <w:kern w:val="0"/>
          <w:sz w:val="30"/>
          <w:szCs w:val="30"/>
          <w:lang w:val="zh-CN"/>
        </w:rPr>
        <w:br w:type="page"/>
      </w:r>
      <w:r>
        <w:rPr>
          <w:rFonts w:hint="eastAsia" w:ascii="仿宋_GB2312" w:eastAsia="仿宋_GB2312"/>
          <w:b/>
          <w:kern w:val="0"/>
          <w:sz w:val="30"/>
          <w:szCs w:val="30"/>
          <w:lang w:val="zh-CN"/>
        </w:rPr>
        <w:t>第二标项：浙江省杭州高级中学贡院校区监控设备</w:t>
      </w:r>
      <w:r>
        <w:rPr>
          <w:rFonts w:hint="eastAsia" w:ascii="仿宋_GB2312" w:eastAsia="仿宋_GB2312"/>
          <w:b/>
          <w:kern w:val="0"/>
          <w:sz w:val="30"/>
          <w:szCs w:val="30"/>
          <w:lang w:val="zh-CN"/>
        </w:rPr>
        <w:tab/>
      </w:r>
    </w:p>
    <w:p>
      <w:pPr>
        <w:spacing w:line="360" w:lineRule="auto"/>
        <w:jc w:val="center"/>
        <w:outlineLvl w:val="0"/>
        <w:rPr>
          <w:rFonts w:hint="eastAsia" w:ascii="仿宋_GB2312" w:eastAsia="仿宋_GB2312"/>
          <w:b/>
          <w:kern w:val="0"/>
          <w:sz w:val="30"/>
          <w:szCs w:val="30"/>
          <w:lang w:val="zh-CN"/>
        </w:rPr>
      </w:pPr>
      <w:r>
        <w:rPr>
          <w:rFonts w:hint="eastAsia" w:ascii="仿宋_GB2312" w:eastAsia="仿宋_GB2312"/>
          <w:b/>
          <w:kern w:val="0"/>
          <w:sz w:val="30"/>
          <w:szCs w:val="30"/>
          <w:lang w:val="zh-CN"/>
        </w:rPr>
        <w:t>（标有</w:t>
      </w:r>
      <w:r>
        <w:rPr>
          <w:rFonts w:hint="eastAsia" w:ascii="仿宋_GB2312" w:hAnsi="仿宋" w:eastAsia="仿宋_GB2312"/>
          <w:sz w:val="30"/>
          <w:szCs w:val="30"/>
        </w:rPr>
        <w:t>“★”系产品采购项目中单一产品或核心产品，“▲” 系指实质性要求条款，</w:t>
      </w:r>
      <w:r>
        <w:rPr>
          <w:rFonts w:hint="eastAsia" w:ascii="仿宋_GB2312" w:eastAsia="仿宋_GB2312"/>
          <w:b/>
          <w:kern w:val="0"/>
          <w:sz w:val="30"/>
          <w:szCs w:val="30"/>
          <w:lang w:val="zh-CN"/>
        </w:rPr>
        <w:t>）</w:t>
      </w:r>
    </w:p>
    <w:p>
      <w:pPr>
        <w:spacing w:line="360" w:lineRule="auto"/>
        <w:jc w:val="center"/>
        <w:outlineLvl w:val="0"/>
        <w:rPr>
          <w:rFonts w:hint="eastAsia" w:ascii="仿宋_GB2312" w:eastAsia="仿宋_GB2312"/>
          <w:b/>
          <w:kern w:val="0"/>
          <w:sz w:val="30"/>
          <w:szCs w:val="30"/>
        </w:rPr>
      </w:pPr>
    </w:p>
    <w:p>
      <w:pPr>
        <w:widowControl w:val="0"/>
        <w:numPr>
          <w:ilvl w:val="0"/>
          <w:numId w:val="22"/>
        </w:numPr>
        <w:spacing w:line="360" w:lineRule="auto"/>
        <w:jc w:val="both"/>
        <w:rPr>
          <w:rFonts w:hint="eastAsia" w:ascii="仿宋_GB2312" w:hAnsi="宋体" w:eastAsia="仿宋_GB2312"/>
          <w:b/>
          <w:sz w:val="30"/>
          <w:szCs w:val="30"/>
        </w:rPr>
      </w:pPr>
      <w:r>
        <w:rPr>
          <w:rFonts w:hint="eastAsia" w:ascii="仿宋_GB2312" w:hAnsi="宋体" w:eastAsia="仿宋_GB2312" w:cs="仿宋_GB2312"/>
          <w:b/>
          <w:sz w:val="30"/>
          <w:szCs w:val="30"/>
        </w:rPr>
        <w:t>项目概述：</w:t>
      </w:r>
    </w:p>
    <w:p>
      <w:pPr>
        <w:widowControl w:val="0"/>
        <w:spacing w:line="360" w:lineRule="auto"/>
        <w:ind w:firstLine="454"/>
        <w:jc w:val="both"/>
        <w:rPr>
          <w:rFonts w:hint="eastAsia" w:ascii="仿宋_GB2312" w:hAnsi="宋体" w:eastAsia="仿宋_GB2312"/>
          <w:sz w:val="24"/>
          <w:szCs w:val="24"/>
        </w:rPr>
      </w:pPr>
      <w:r>
        <w:rPr>
          <w:rFonts w:hint="eastAsia" w:ascii="仿宋_GB2312" w:hAnsi="宋体" w:eastAsia="仿宋_GB2312" w:cs="仿宋_GB2312"/>
          <w:sz w:val="24"/>
          <w:szCs w:val="24"/>
        </w:rPr>
        <w:t>项目位于杭州高级中学贡院校区内，整个监控系统始建于2000年前，经小范围更新目前只有小部分高清监控，大部分为模拟监控。设备老化严重，很多图像清晰度不高，特别是夜间效果很差，已无法满足日常学校安防需求，拟对监控系统进行更新整体改造。根据学校的实际情况，对校园内原有整个模拟监控系统改造成高清系统，同时调整和增装部分摄像机（含人脸识别等智能监控设备等），共涉及到教学楼、学校操场、校园公共通道、围墙等多处区域。</w:t>
      </w:r>
    </w:p>
    <w:p>
      <w:pPr>
        <w:widowControl w:val="0"/>
        <w:numPr>
          <w:ilvl w:val="0"/>
          <w:numId w:val="22"/>
        </w:numPr>
        <w:spacing w:line="360" w:lineRule="auto"/>
        <w:jc w:val="both"/>
        <w:rPr>
          <w:rFonts w:hint="eastAsia" w:ascii="仿宋_GB2312" w:hAnsi="宋体" w:eastAsia="仿宋_GB2312" w:cs="仿宋_GB2312"/>
          <w:b/>
          <w:sz w:val="30"/>
          <w:szCs w:val="30"/>
        </w:rPr>
      </w:pPr>
      <w:r>
        <w:rPr>
          <w:rFonts w:hint="eastAsia" w:ascii="仿宋_GB2312" w:hAnsi="宋体" w:eastAsia="仿宋_GB2312" w:cs="仿宋_GB2312"/>
          <w:b/>
          <w:sz w:val="30"/>
          <w:szCs w:val="30"/>
        </w:rPr>
        <w:t>项目内容：</w:t>
      </w:r>
    </w:p>
    <w:p>
      <w:pPr>
        <w:spacing w:line="360" w:lineRule="auto"/>
        <w:ind w:firstLine="454"/>
        <w:rPr>
          <w:rFonts w:hint="eastAsia" w:ascii="仿宋_GB2312" w:hAnsi="宋体" w:eastAsia="仿宋_GB2312"/>
          <w:sz w:val="24"/>
          <w:szCs w:val="24"/>
        </w:rPr>
      </w:pPr>
      <w:r>
        <w:rPr>
          <w:rFonts w:hint="eastAsia" w:ascii="仿宋_GB2312" w:hAnsi="宋体" w:eastAsia="仿宋_GB2312" w:cs="仿宋_GB2312"/>
          <w:sz w:val="24"/>
          <w:szCs w:val="24"/>
        </w:rPr>
        <w:t>将校园前端原有的模拟监控全部改造成高清监控，改变原有不清楚的画面情况；在学校室外各个主通道安装人脸识别轨迹检测跟踪系统，通过人脸识别形成一个运动轨迹；在学校体育馆顶楼制高点设置全景摄像机，能够自动输出全景画面，自带球机跟踪功能，既能看完全景，又能看细节；在教学楼楼梯口设置人员密集检测摄像机（防踩踏监控设备），当有人员比较集中，易发生冲撞、踩踏事件时，会发出报警信号，提醒值班人员注意；在体育场旁的周界围墙安装智能周界防范系统，通过摄像机识别人员活动情况，发现目标提取人体特征后报警；将监控室原有的显示设备进行改造，配置液晶拼接屏，实现所有图像在大屏上显示等。</w:t>
      </w:r>
    </w:p>
    <w:p>
      <w:pPr>
        <w:spacing w:line="360" w:lineRule="auto"/>
        <w:ind w:firstLine="454"/>
        <w:rPr>
          <w:rFonts w:hint="eastAsia" w:ascii="仿宋_GB2312" w:hAnsi="宋体" w:eastAsia="仿宋_GB2312"/>
          <w:sz w:val="24"/>
          <w:szCs w:val="24"/>
        </w:rPr>
      </w:pPr>
      <w:r>
        <w:rPr>
          <w:rFonts w:hint="eastAsia" w:ascii="仿宋_GB2312" w:hAnsi="宋体" w:eastAsia="仿宋_GB2312" w:cs="仿宋_GB2312"/>
          <w:sz w:val="24"/>
          <w:szCs w:val="24"/>
        </w:rPr>
        <w:t>本次监控布点同步要求满足高考监控要求，从二进109考务办公室到二进和四进各教室考场行走过程中，无监控盲点。学校南北门、教学楼、实验楼、食堂、寝室、体育馆等所有楼寓各出入口、走道、楼梯等重要位置无监控盲点，为保证布点的合理性，投标单位必须进行到现场勘查场地，听取甲方介绍，与甲方沟通并合理设计方案。</w:t>
      </w:r>
    </w:p>
    <w:p>
      <w:pPr>
        <w:spacing w:line="360" w:lineRule="auto"/>
        <w:ind w:firstLine="454"/>
        <w:rPr>
          <w:rFonts w:hint="eastAsia" w:ascii="仿宋_GB2312" w:hAnsi="宋体" w:eastAsia="仿宋_GB2312"/>
          <w:sz w:val="24"/>
          <w:szCs w:val="24"/>
        </w:rPr>
      </w:pPr>
      <w:r>
        <w:rPr>
          <w:rFonts w:hint="eastAsia" w:ascii="仿宋_GB2312" w:hAnsi="宋体" w:eastAsia="仿宋_GB2312" w:cs="仿宋_GB2312"/>
          <w:sz w:val="24"/>
          <w:szCs w:val="24"/>
        </w:rPr>
        <w:t>项目由第三方监理单公司校方共同进行验收，监理费用由中标方支付。</w:t>
      </w:r>
    </w:p>
    <w:p>
      <w:pPr>
        <w:widowControl w:val="0"/>
        <w:numPr>
          <w:ilvl w:val="0"/>
          <w:numId w:val="22"/>
        </w:numPr>
        <w:spacing w:line="360" w:lineRule="auto"/>
        <w:jc w:val="both"/>
        <w:rPr>
          <w:rFonts w:hint="eastAsia" w:ascii="仿宋_GB2312" w:hAnsi="宋体" w:eastAsia="仿宋_GB2312" w:cs="仿宋_GB2312"/>
          <w:b/>
          <w:sz w:val="30"/>
          <w:szCs w:val="30"/>
        </w:rPr>
      </w:pPr>
      <w:r>
        <w:rPr>
          <w:rFonts w:hint="eastAsia" w:ascii="仿宋_GB2312" w:hAnsi="宋体" w:eastAsia="仿宋_GB2312" w:cs="仿宋_GB2312"/>
          <w:b/>
          <w:sz w:val="30"/>
          <w:szCs w:val="30"/>
        </w:rPr>
        <w:t>项目清单：</w:t>
      </w:r>
    </w:p>
    <w:tbl>
      <w:tblPr>
        <w:tblStyle w:val="64"/>
        <w:tblW w:w="9194" w:type="dxa"/>
        <w:jc w:val="center"/>
        <w:tblLayout w:type="fixed"/>
        <w:tblCellMar>
          <w:top w:w="0" w:type="dxa"/>
          <w:left w:w="108" w:type="dxa"/>
          <w:bottom w:w="0" w:type="dxa"/>
          <w:right w:w="108" w:type="dxa"/>
        </w:tblCellMar>
      </w:tblPr>
      <w:tblGrid>
        <w:gridCol w:w="728"/>
        <w:gridCol w:w="1265"/>
        <w:gridCol w:w="5640"/>
        <w:gridCol w:w="769"/>
        <w:gridCol w:w="792"/>
      </w:tblGrid>
      <w:tr>
        <w:tblPrEx>
          <w:tblCellMar>
            <w:top w:w="0" w:type="dxa"/>
            <w:left w:w="108" w:type="dxa"/>
            <w:bottom w:w="0" w:type="dxa"/>
            <w:right w:w="108" w:type="dxa"/>
          </w:tblCellMar>
        </w:tblPrEx>
        <w:trPr>
          <w:trHeight w:val="270" w:hRule="atLeast"/>
          <w:jc w:val="center"/>
        </w:trPr>
        <w:tc>
          <w:tcPr>
            <w:tcW w:w="7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b/>
                <w:bCs/>
                <w:kern w:val="0"/>
                <w:szCs w:val="21"/>
              </w:rPr>
            </w:pPr>
            <w:r>
              <w:rPr>
                <w:rFonts w:hint="eastAsia" w:ascii="仿宋_GB2312" w:hAnsi="宋体" w:eastAsia="仿宋_GB2312" w:cs="宋体"/>
                <w:b/>
                <w:bCs/>
                <w:kern w:val="0"/>
                <w:szCs w:val="21"/>
              </w:rPr>
              <w:t>序号</w:t>
            </w:r>
          </w:p>
        </w:tc>
        <w:tc>
          <w:tcPr>
            <w:tcW w:w="1265"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b/>
                <w:bCs/>
                <w:kern w:val="0"/>
                <w:szCs w:val="21"/>
              </w:rPr>
            </w:pPr>
            <w:r>
              <w:rPr>
                <w:rFonts w:hint="eastAsia" w:ascii="仿宋_GB2312" w:hAnsi="宋体" w:eastAsia="仿宋_GB2312" w:cs="宋体"/>
                <w:b/>
                <w:bCs/>
                <w:kern w:val="0"/>
                <w:szCs w:val="21"/>
              </w:rPr>
              <w:t>设备名称</w:t>
            </w:r>
          </w:p>
        </w:tc>
        <w:tc>
          <w:tcPr>
            <w:tcW w:w="5640"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b/>
                <w:bCs/>
                <w:kern w:val="0"/>
                <w:szCs w:val="21"/>
              </w:rPr>
            </w:pPr>
            <w:r>
              <w:rPr>
                <w:rFonts w:hint="eastAsia" w:ascii="仿宋_GB2312" w:hAnsi="宋体" w:eastAsia="仿宋_GB2312" w:cs="宋体"/>
                <w:b/>
                <w:bCs/>
                <w:kern w:val="0"/>
                <w:szCs w:val="21"/>
              </w:rPr>
              <w:t>技术参数</w:t>
            </w:r>
          </w:p>
        </w:tc>
        <w:tc>
          <w:tcPr>
            <w:tcW w:w="769"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b/>
                <w:bCs/>
                <w:kern w:val="0"/>
                <w:szCs w:val="21"/>
              </w:rPr>
            </w:pPr>
            <w:r>
              <w:rPr>
                <w:rFonts w:hint="eastAsia" w:ascii="仿宋_GB2312" w:hAnsi="宋体" w:eastAsia="仿宋_GB2312" w:cs="宋体"/>
                <w:b/>
                <w:bCs/>
                <w:kern w:val="0"/>
                <w:szCs w:val="21"/>
              </w:rPr>
              <w:t>单位</w:t>
            </w:r>
          </w:p>
        </w:tc>
        <w:tc>
          <w:tcPr>
            <w:tcW w:w="792"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b/>
                <w:bCs/>
                <w:kern w:val="0"/>
                <w:szCs w:val="21"/>
              </w:rPr>
            </w:pPr>
            <w:r>
              <w:rPr>
                <w:rFonts w:hint="eastAsia" w:ascii="仿宋_GB2312" w:hAnsi="宋体" w:eastAsia="仿宋_GB2312" w:cs="宋体"/>
                <w:b/>
                <w:bCs/>
                <w:kern w:val="0"/>
                <w:szCs w:val="21"/>
              </w:rPr>
              <w:t>数量</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b/>
                <w:bCs/>
                <w:kern w:val="0"/>
                <w:szCs w:val="21"/>
              </w:rPr>
            </w:pPr>
            <w:r>
              <w:rPr>
                <w:rFonts w:hint="eastAsia" w:ascii="仿宋_GB2312" w:hAnsi="宋体" w:eastAsia="仿宋_GB2312" w:cs="宋体"/>
                <w:b/>
                <w:bCs/>
                <w:kern w:val="0"/>
                <w:szCs w:val="21"/>
              </w:rPr>
              <w:t>一</w:t>
            </w:r>
          </w:p>
        </w:tc>
        <w:tc>
          <w:tcPr>
            <w:tcW w:w="6905" w:type="dxa"/>
            <w:gridSpan w:val="2"/>
            <w:tcBorders>
              <w:top w:val="nil"/>
              <w:left w:val="nil"/>
              <w:bottom w:val="single" w:color="auto" w:sz="4" w:space="0"/>
              <w:right w:val="single" w:color="auto" w:sz="4" w:space="0"/>
            </w:tcBorders>
            <w:noWrap w:val="0"/>
            <w:vAlign w:val="center"/>
          </w:tcPr>
          <w:p>
            <w:pPr>
              <w:rPr>
                <w:rFonts w:hint="eastAsia" w:ascii="仿宋_GB2312" w:eastAsia="仿宋_GB2312"/>
                <w:b/>
                <w:bCs/>
                <w:kern w:val="0"/>
                <w:szCs w:val="21"/>
              </w:rPr>
            </w:pPr>
            <w:r>
              <w:rPr>
                <w:rFonts w:hint="eastAsia" w:ascii="仿宋_GB2312" w:hAnsi="宋体" w:eastAsia="仿宋_GB2312" w:cs="宋体"/>
                <w:b/>
                <w:bCs/>
                <w:kern w:val="0"/>
                <w:szCs w:val="21"/>
              </w:rPr>
              <w:t>原监控模拟改高清部分</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b/>
                <w:bCs/>
                <w:kern w:val="0"/>
                <w:szCs w:val="21"/>
              </w:rPr>
            </w:pPr>
            <w:r>
              <w:rPr>
                <w:rFonts w:hint="eastAsia" w:ascii="仿宋_GB2312" w:hAnsi="宋体" w:eastAsia="仿宋_GB2312" w:cs="宋体"/>
                <w:b/>
                <w:bCs/>
                <w:kern w:val="0"/>
                <w:szCs w:val="21"/>
              </w:rPr>
              <w:t>　</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b/>
                <w:bCs/>
                <w:kern w:val="0"/>
                <w:szCs w:val="21"/>
              </w:rPr>
            </w:pPr>
            <w:r>
              <w:rPr>
                <w:rFonts w:hint="eastAsia" w:ascii="仿宋_GB2312" w:hAnsi="宋体" w:eastAsia="仿宋_GB2312" w:cs="宋体"/>
                <w:b/>
                <w:bCs/>
                <w:kern w:val="0"/>
                <w:szCs w:val="21"/>
              </w:rPr>
              <w:t>　</w:t>
            </w:r>
          </w:p>
        </w:tc>
      </w:tr>
      <w:tr>
        <w:tblPrEx>
          <w:tblCellMar>
            <w:top w:w="0" w:type="dxa"/>
            <w:left w:w="108" w:type="dxa"/>
            <w:bottom w:w="0" w:type="dxa"/>
            <w:right w:w="108" w:type="dxa"/>
          </w:tblCellMar>
        </w:tblPrEx>
        <w:trPr>
          <w:trHeight w:val="983" w:hRule="atLeast"/>
          <w:jc w:val="center"/>
        </w:trPr>
        <w:tc>
          <w:tcPr>
            <w:tcW w:w="7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1</w:t>
            </w:r>
          </w:p>
        </w:tc>
        <w:tc>
          <w:tcPr>
            <w:tcW w:w="1265"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400万宽动态高清红外网络半球摄像机</w:t>
            </w:r>
          </w:p>
        </w:tc>
        <w:tc>
          <w:tcPr>
            <w:tcW w:w="5640" w:type="dxa"/>
            <w:tcBorders>
              <w:top w:val="single" w:color="auto" w:sz="4" w:space="0"/>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400万星光级 1/1.8" CMOS AI轻智能抓拍半球型网络摄像机</w:t>
            </w:r>
          </w:p>
          <w:p>
            <w:pPr>
              <w:rPr>
                <w:rFonts w:hint="eastAsia" w:ascii="仿宋_GB2312" w:eastAsia="仿宋_GB2312"/>
                <w:kern w:val="0"/>
                <w:szCs w:val="21"/>
              </w:rPr>
            </w:pPr>
            <w:r>
              <w:rPr>
                <w:rFonts w:hint="eastAsia" w:ascii="仿宋_GB2312" w:hAnsi="宋体" w:eastAsia="仿宋_GB2312" w:cs="宋体"/>
                <w:kern w:val="0"/>
                <w:szCs w:val="21"/>
              </w:rPr>
              <w:t>具有不小于1/1.8"靶面尺寸。</w:t>
            </w:r>
          </w:p>
          <w:p>
            <w:pPr>
              <w:rPr>
                <w:rFonts w:hint="eastAsia" w:ascii="仿宋_GB2312" w:eastAsia="仿宋_GB2312"/>
                <w:kern w:val="0"/>
                <w:szCs w:val="21"/>
              </w:rPr>
            </w:pPr>
            <w:r>
              <w:rPr>
                <w:rFonts w:hint="eastAsia" w:ascii="仿宋_GB2312" w:hAnsi="宋体" w:eastAsia="仿宋_GB2312" w:cs="宋体"/>
                <w:kern w:val="0"/>
                <w:szCs w:val="21"/>
              </w:rPr>
              <w:t>像元尺寸不小于2.9um×2.9um。</w:t>
            </w:r>
          </w:p>
          <w:p>
            <w:pPr>
              <w:rPr>
                <w:rFonts w:hint="eastAsia" w:ascii="仿宋_GB2312" w:eastAsia="仿宋_GB2312"/>
                <w:kern w:val="0"/>
                <w:szCs w:val="21"/>
              </w:rPr>
            </w:pPr>
            <w:r>
              <w:rPr>
                <w:rFonts w:hint="eastAsia" w:ascii="仿宋_GB2312" w:hAnsi="宋体" w:eastAsia="仿宋_GB2312" w:cs="宋体"/>
                <w:kern w:val="0"/>
                <w:szCs w:val="21"/>
              </w:rPr>
              <w:t>内置GPU芯片。</w:t>
            </w:r>
          </w:p>
          <w:p>
            <w:pPr>
              <w:rPr>
                <w:rFonts w:hint="eastAsia" w:ascii="仿宋_GB2312" w:eastAsia="仿宋_GB2312"/>
                <w:kern w:val="0"/>
                <w:szCs w:val="21"/>
              </w:rPr>
            </w:pPr>
            <w:r>
              <w:rPr>
                <w:rFonts w:hint="eastAsia" w:ascii="仿宋_GB2312" w:hAnsi="宋体" w:eastAsia="仿宋_GB2312" w:cs="宋体"/>
                <w:kern w:val="0"/>
                <w:szCs w:val="21"/>
              </w:rPr>
              <w:t>在2560x1440 @ 25fps下，清晰度不小于1400TVL。</w:t>
            </w:r>
          </w:p>
          <w:p>
            <w:pPr>
              <w:rPr>
                <w:rFonts w:hint="eastAsia" w:ascii="仿宋_GB2312" w:eastAsia="仿宋_GB2312"/>
                <w:kern w:val="0"/>
                <w:szCs w:val="21"/>
              </w:rPr>
            </w:pPr>
            <w:r>
              <w:rPr>
                <w:rFonts w:hint="eastAsia" w:ascii="仿宋_GB2312" w:hAnsi="宋体" w:eastAsia="仿宋_GB2312" w:cs="宋体"/>
                <w:kern w:val="0"/>
                <w:szCs w:val="21"/>
              </w:rPr>
              <w:t>最低照度彩色不大于0.0002 lx，黑白不大于0.0001 lx。</w:t>
            </w:r>
          </w:p>
          <w:p>
            <w:pPr>
              <w:rPr>
                <w:rFonts w:hint="eastAsia" w:ascii="仿宋_GB2312" w:eastAsia="仿宋_GB2312"/>
                <w:kern w:val="0"/>
                <w:szCs w:val="21"/>
              </w:rPr>
            </w:pPr>
            <w:r>
              <w:rPr>
                <w:rFonts w:hint="eastAsia" w:ascii="仿宋_GB2312" w:hAnsi="宋体" w:eastAsia="仿宋_GB2312" w:cs="宋体"/>
                <w:kern w:val="0"/>
                <w:szCs w:val="21"/>
              </w:rPr>
              <w:t>宽动态能力不小于120dB。</w:t>
            </w:r>
          </w:p>
          <w:p>
            <w:pPr>
              <w:rPr>
                <w:rFonts w:hint="eastAsia" w:ascii="仿宋_GB2312" w:eastAsia="仿宋_GB2312"/>
                <w:kern w:val="0"/>
                <w:szCs w:val="21"/>
              </w:rPr>
            </w:pPr>
            <w:r>
              <w:rPr>
                <w:rFonts w:hint="eastAsia" w:ascii="仿宋_GB2312" w:hAnsi="宋体" w:eastAsia="仿宋_GB2312" w:cs="宋体"/>
                <w:kern w:val="0"/>
                <w:szCs w:val="21"/>
              </w:rPr>
              <w:t>信噪比不小于60dB。</w:t>
            </w:r>
          </w:p>
          <w:p>
            <w:pPr>
              <w:rPr>
                <w:rFonts w:hint="eastAsia" w:ascii="仿宋_GB2312" w:eastAsia="仿宋_GB2312"/>
                <w:kern w:val="0"/>
                <w:szCs w:val="21"/>
              </w:rPr>
            </w:pPr>
            <w:r>
              <w:rPr>
                <w:rFonts w:hint="eastAsia" w:ascii="仿宋_GB2312" w:hAnsi="宋体" w:eastAsia="仿宋_GB2312" w:cs="宋体"/>
                <w:kern w:val="0"/>
                <w:szCs w:val="21"/>
              </w:rPr>
              <w:t>设备配置2个点阵红外灯，红外补光距离不小于50米。</w:t>
            </w:r>
          </w:p>
          <w:p>
            <w:pPr>
              <w:rPr>
                <w:rFonts w:hint="eastAsia" w:ascii="仿宋_GB2312" w:eastAsia="仿宋_GB2312"/>
                <w:kern w:val="0"/>
                <w:szCs w:val="21"/>
              </w:rPr>
            </w:pPr>
            <w:r>
              <w:rPr>
                <w:rFonts w:hint="eastAsia" w:ascii="仿宋_GB2312" w:hAnsi="宋体" w:eastAsia="仿宋_GB2312" w:cs="宋体"/>
                <w:kern w:val="0"/>
                <w:szCs w:val="21"/>
              </w:rPr>
              <w:t>照度适应范围需大于120dB。</w:t>
            </w:r>
          </w:p>
          <w:p>
            <w:pPr>
              <w:rPr>
                <w:rFonts w:hint="eastAsia" w:ascii="仿宋_GB2312" w:eastAsia="仿宋_GB2312"/>
                <w:kern w:val="0"/>
                <w:szCs w:val="21"/>
              </w:rPr>
            </w:pPr>
            <w:r>
              <w:rPr>
                <w:rFonts w:hint="eastAsia" w:ascii="仿宋_GB2312" w:hAnsi="宋体" w:eastAsia="仿宋_GB2312" w:cs="宋体"/>
                <w:kern w:val="0"/>
                <w:szCs w:val="21"/>
              </w:rPr>
              <w:t>调整角度:两轴调节：水平：0-355°；垂直： 0-75°</w:t>
            </w:r>
          </w:p>
          <w:p>
            <w:pPr>
              <w:rPr>
                <w:rFonts w:hint="eastAsia" w:ascii="仿宋_GB2312" w:eastAsia="仿宋_GB2312"/>
                <w:kern w:val="0"/>
                <w:szCs w:val="21"/>
              </w:rPr>
            </w:pPr>
            <w:r>
              <w:rPr>
                <w:rFonts w:hint="eastAsia" w:ascii="仿宋_GB2312" w:hAnsi="宋体" w:eastAsia="仿宋_GB2312" w:cs="宋体"/>
                <w:kern w:val="0"/>
                <w:szCs w:val="21"/>
              </w:rPr>
              <w:t>视频压缩标准:H.265/H.264 / MJPEG</w:t>
            </w:r>
          </w:p>
          <w:p>
            <w:pPr>
              <w:rPr>
                <w:rFonts w:hint="eastAsia" w:ascii="仿宋_GB2312" w:eastAsia="仿宋_GB2312"/>
                <w:kern w:val="0"/>
                <w:szCs w:val="21"/>
              </w:rPr>
            </w:pPr>
            <w:r>
              <w:rPr>
                <w:rFonts w:hint="eastAsia" w:ascii="仿宋_GB2312" w:hAnsi="宋体" w:eastAsia="仿宋_GB2312" w:cs="宋体"/>
                <w:kern w:val="0"/>
                <w:szCs w:val="21"/>
              </w:rPr>
              <w:t>最大图像尺寸:2560×1440</w:t>
            </w:r>
          </w:p>
          <w:p>
            <w:pPr>
              <w:rPr>
                <w:rFonts w:hint="eastAsia" w:ascii="仿宋_GB2312" w:eastAsia="仿宋_GB2312"/>
                <w:kern w:val="0"/>
                <w:szCs w:val="21"/>
              </w:rPr>
            </w:pPr>
            <w:r>
              <w:rPr>
                <w:rFonts w:hint="eastAsia" w:ascii="仿宋_GB2312" w:hAnsi="宋体" w:eastAsia="仿宋_GB2312" w:cs="宋体"/>
                <w:kern w:val="0"/>
                <w:szCs w:val="21"/>
              </w:rPr>
              <w:t>支持Micro SD、Micro SDHC、Micro SDXC(128G)，断网本地存储及断网续传,NAS(NFS,SMB/CIFS均支持)</w:t>
            </w:r>
          </w:p>
          <w:p>
            <w:pPr>
              <w:rPr>
                <w:rFonts w:hint="eastAsia" w:ascii="仿宋_GB2312" w:eastAsia="仿宋_GB2312"/>
                <w:kern w:val="0"/>
                <w:szCs w:val="21"/>
              </w:rPr>
            </w:pPr>
            <w:r>
              <w:rPr>
                <w:rFonts w:hint="eastAsia" w:ascii="仿宋_GB2312" w:hAnsi="宋体" w:eastAsia="仿宋_GB2312" w:cs="宋体"/>
                <w:kern w:val="0"/>
                <w:szCs w:val="21"/>
              </w:rPr>
              <w:t>带RJ4和10M / 100M自适应以太网口</w:t>
            </w:r>
          </w:p>
          <w:p>
            <w:pPr>
              <w:rPr>
                <w:rFonts w:hint="eastAsia" w:ascii="仿宋_GB2312" w:eastAsia="仿宋_GB2312"/>
                <w:kern w:val="0"/>
                <w:szCs w:val="21"/>
              </w:rPr>
            </w:pPr>
            <w:r>
              <w:rPr>
                <w:rFonts w:hint="eastAsia" w:ascii="仿宋_GB2312" w:hAnsi="宋体" w:eastAsia="仿宋_GB2312" w:cs="宋体"/>
                <w:kern w:val="0"/>
                <w:szCs w:val="21"/>
              </w:rPr>
              <w:t>内置MIC</w:t>
            </w:r>
          </w:p>
        </w:tc>
        <w:tc>
          <w:tcPr>
            <w:tcW w:w="769"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只</w:t>
            </w:r>
          </w:p>
        </w:tc>
        <w:tc>
          <w:tcPr>
            <w:tcW w:w="792"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38</w:t>
            </w:r>
          </w:p>
        </w:tc>
      </w:tr>
      <w:tr>
        <w:tblPrEx>
          <w:tblCellMar>
            <w:top w:w="0" w:type="dxa"/>
            <w:left w:w="108" w:type="dxa"/>
            <w:bottom w:w="0" w:type="dxa"/>
            <w:right w:w="108" w:type="dxa"/>
          </w:tblCellMar>
        </w:tblPrEx>
        <w:trPr>
          <w:trHeight w:val="281" w:hRule="atLeast"/>
          <w:jc w:val="center"/>
        </w:trPr>
        <w:tc>
          <w:tcPr>
            <w:tcW w:w="7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2</w:t>
            </w:r>
          </w:p>
        </w:tc>
        <w:tc>
          <w:tcPr>
            <w:tcW w:w="1265"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400万高清红外一体化网络枪式摄像机</w:t>
            </w:r>
          </w:p>
        </w:tc>
        <w:tc>
          <w:tcPr>
            <w:tcW w:w="5640" w:type="dxa"/>
            <w:tcBorders>
              <w:top w:val="single" w:color="auto" w:sz="4" w:space="0"/>
              <w:left w:val="nil"/>
              <w:bottom w:val="single" w:color="auto" w:sz="4" w:space="0"/>
              <w:right w:val="single" w:color="auto" w:sz="4" w:space="0"/>
            </w:tcBorders>
            <w:noWrap w:val="0"/>
            <w:vAlign w:val="center"/>
          </w:tcPr>
          <w:p>
            <w:pPr>
              <w:rPr>
                <w:rFonts w:hint="eastAsia" w:ascii="仿宋_GB2312" w:eastAsia="仿宋_GB2312"/>
                <w:szCs w:val="21"/>
              </w:rPr>
            </w:pPr>
            <w:r>
              <w:rPr>
                <w:rFonts w:hint="eastAsia" w:ascii="仿宋_GB2312" w:eastAsia="仿宋_GB2312"/>
                <w:szCs w:val="21"/>
              </w:rPr>
              <w:t>400</w:t>
            </w:r>
            <w:r>
              <w:rPr>
                <w:rFonts w:hint="eastAsia" w:ascii="仿宋_GB2312" w:eastAsia="仿宋_GB2312" w:cs="宋体"/>
                <w:szCs w:val="21"/>
              </w:rPr>
              <w:t>万星光级</w:t>
            </w:r>
            <w:r>
              <w:rPr>
                <w:rFonts w:hint="eastAsia" w:ascii="仿宋_GB2312" w:eastAsia="仿宋_GB2312"/>
                <w:szCs w:val="21"/>
              </w:rPr>
              <w:t>1/1.8</w:t>
            </w:r>
            <w:r>
              <w:rPr>
                <w:rFonts w:hint="eastAsia" w:ascii="仿宋_GB2312" w:eastAsia="仿宋_GB2312" w:cs="宋体"/>
                <w:szCs w:val="21"/>
              </w:rPr>
              <w:t>”</w:t>
            </w:r>
            <w:r>
              <w:rPr>
                <w:rFonts w:hint="eastAsia" w:ascii="仿宋_GB2312" w:eastAsia="仿宋_GB2312"/>
                <w:szCs w:val="21"/>
              </w:rPr>
              <w:t>CMOS AI</w:t>
            </w:r>
            <w:r>
              <w:rPr>
                <w:rFonts w:hint="eastAsia" w:ascii="仿宋_GB2312" w:eastAsia="仿宋_GB2312" w:cs="宋体"/>
                <w:szCs w:val="21"/>
              </w:rPr>
              <w:t>轻智能抓拍筒型网络摄像机</w:t>
            </w:r>
          </w:p>
          <w:p>
            <w:pPr>
              <w:rPr>
                <w:rFonts w:hint="eastAsia" w:ascii="仿宋_GB2312" w:eastAsia="仿宋_GB2312"/>
                <w:szCs w:val="21"/>
              </w:rPr>
            </w:pPr>
            <w:r>
              <w:rPr>
                <w:rFonts w:hint="eastAsia" w:ascii="仿宋_GB2312" w:eastAsia="仿宋_GB2312" w:cs="宋体"/>
                <w:szCs w:val="21"/>
              </w:rPr>
              <w:t>最低照度彩色不大于</w:t>
            </w:r>
            <w:r>
              <w:rPr>
                <w:rFonts w:hint="eastAsia" w:ascii="仿宋_GB2312" w:eastAsia="仿宋_GB2312"/>
                <w:szCs w:val="21"/>
              </w:rPr>
              <w:t>0.001 lx</w:t>
            </w:r>
            <w:r>
              <w:rPr>
                <w:rFonts w:hint="eastAsia" w:ascii="仿宋_GB2312" w:eastAsia="仿宋_GB2312" w:cs="宋体"/>
                <w:szCs w:val="21"/>
              </w:rPr>
              <w:t>，黑白不大于</w:t>
            </w:r>
            <w:r>
              <w:rPr>
                <w:rFonts w:hint="eastAsia" w:ascii="仿宋_GB2312" w:eastAsia="仿宋_GB2312"/>
                <w:szCs w:val="21"/>
              </w:rPr>
              <w:t>0.0001 lx</w:t>
            </w:r>
            <w:r>
              <w:rPr>
                <w:rFonts w:hint="eastAsia" w:ascii="仿宋_GB2312" w:eastAsia="仿宋_GB2312" w:cs="宋体"/>
                <w:szCs w:val="21"/>
              </w:rPr>
              <w:t>，最大亮度鉴别等级不小于</w:t>
            </w:r>
            <w:r>
              <w:rPr>
                <w:rFonts w:hint="eastAsia" w:ascii="仿宋_GB2312" w:eastAsia="仿宋_GB2312"/>
                <w:szCs w:val="21"/>
              </w:rPr>
              <w:t>11</w:t>
            </w:r>
            <w:r>
              <w:rPr>
                <w:rFonts w:hint="eastAsia" w:ascii="仿宋_GB2312" w:eastAsia="仿宋_GB2312" w:cs="宋体"/>
                <w:szCs w:val="21"/>
              </w:rPr>
              <w:t>级。</w:t>
            </w:r>
          </w:p>
          <w:p>
            <w:pPr>
              <w:rPr>
                <w:rFonts w:hint="eastAsia" w:ascii="仿宋_GB2312" w:eastAsia="仿宋_GB2312"/>
                <w:szCs w:val="21"/>
              </w:rPr>
            </w:pPr>
            <w:r>
              <w:rPr>
                <w:rFonts w:hint="eastAsia" w:ascii="仿宋_GB2312" w:eastAsia="仿宋_GB2312" w:cs="宋体"/>
                <w:szCs w:val="21"/>
              </w:rPr>
              <w:t>照度适应范围需大于</w:t>
            </w:r>
            <w:r>
              <w:rPr>
                <w:rFonts w:hint="eastAsia" w:ascii="仿宋_GB2312" w:eastAsia="仿宋_GB2312"/>
                <w:szCs w:val="21"/>
              </w:rPr>
              <w:t>120dB</w:t>
            </w:r>
            <w:r>
              <w:rPr>
                <w:rFonts w:hint="eastAsia" w:ascii="仿宋_GB2312" w:eastAsia="仿宋_GB2312" w:cs="宋体"/>
                <w:szCs w:val="21"/>
              </w:rPr>
              <w:t>。</w:t>
            </w:r>
          </w:p>
          <w:p>
            <w:pPr>
              <w:rPr>
                <w:rFonts w:hint="eastAsia" w:ascii="仿宋_GB2312" w:eastAsia="仿宋_GB2312"/>
                <w:szCs w:val="21"/>
              </w:rPr>
            </w:pPr>
            <w:r>
              <w:rPr>
                <w:rFonts w:hint="eastAsia" w:ascii="仿宋_GB2312" w:eastAsia="仿宋_GB2312" w:cs="宋体"/>
                <w:szCs w:val="21"/>
              </w:rPr>
              <w:t>设备水平中心分辨力不小于</w:t>
            </w:r>
            <w:r>
              <w:rPr>
                <w:rFonts w:hint="eastAsia" w:ascii="仿宋_GB2312" w:eastAsia="仿宋_GB2312"/>
                <w:szCs w:val="21"/>
              </w:rPr>
              <w:t>1500TVL</w:t>
            </w:r>
            <w:r>
              <w:rPr>
                <w:rFonts w:hint="eastAsia" w:ascii="仿宋_GB2312" w:eastAsia="仿宋_GB2312" w:cs="宋体"/>
                <w:szCs w:val="21"/>
              </w:rPr>
              <w:t>。</w:t>
            </w:r>
          </w:p>
          <w:p>
            <w:pPr>
              <w:rPr>
                <w:rFonts w:hint="eastAsia" w:ascii="仿宋_GB2312" w:eastAsia="仿宋_GB2312"/>
                <w:szCs w:val="21"/>
              </w:rPr>
            </w:pPr>
            <w:r>
              <w:rPr>
                <w:rFonts w:hint="eastAsia" w:ascii="仿宋_GB2312" w:eastAsia="仿宋_GB2312" w:cs="宋体"/>
                <w:szCs w:val="21"/>
              </w:rPr>
              <w:t>支持</w:t>
            </w:r>
            <w:r>
              <w:rPr>
                <w:rFonts w:hint="eastAsia" w:ascii="仿宋_GB2312" w:eastAsia="仿宋_GB2312"/>
                <w:szCs w:val="21"/>
              </w:rPr>
              <w:t>H.264</w:t>
            </w:r>
            <w:r>
              <w:rPr>
                <w:rFonts w:hint="eastAsia" w:ascii="仿宋_GB2312" w:eastAsia="仿宋_GB2312" w:cs="宋体"/>
                <w:szCs w:val="21"/>
              </w:rPr>
              <w:t>、</w:t>
            </w:r>
            <w:r>
              <w:rPr>
                <w:rFonts w:hint="eastAsia" w:ascii="仿宋_GB2312" w:eastAsia="仿宋_GB2312"/>
                <w:szCs w:val="21"/>
              </w:rPr>
              <w:t>H.265</w:t>
            </w:r>
            <w:r>
              <w:rPr>
                <w:rFonts w:hint="eastAsia" w:ascii="仿宋_GB2312" w:eastAsia="仿宋_GB2312" w:cs="宋体"/>
                <w:szCs w:val="21"/>
              </w:rPr>
              <w:t>、</w:t>
            </w:r>
            <w:r>
              <w:rPr>
                <w:rFonts w:hint="eastAsia" w:ascii="仿宋_GB2312" w:eastAsia="仿宋_GB2312"/>
                <w:szCs w:val="21"/>
              </w:rPr>
              <w:t>MJPEG</w:t>
            </w:r>
            <w:r>
              <w:rPr>
                <w:rFonts w:hint="eastAsia" w:ascii="仿宋_GB2312" w:eastAsia="仿宋_GB2312" w:cs="宋体"/>
                <w:szCs w:val="21"/>
              </w:rPr>
              <w:t>视频编码格式，具有</w:t>
            </w:r>
            <w:r>
              <w:rPr>
                <w:rFonts w:hint="eastAsia" w:ascii="仿宋_GB2312" w:eastAsia="仿宋_GB2312"/>
                <w:szCs w:val="21"/>
              </w:rPr>
              <w:t>High Profile</w:t>
            </w:r>
            <w:r>
              <w:rPr>
                <w:rFonts w:hint="eastAsia" w:ascii="仿宋_GB2312" w:eastAsia="仿宋_GB2312" w:cs="宋体"/>
                <w:szCs w:val="21"/>
              </w:rPr>
              <w:t>编码能力。</w:t>
            </w:r>
          </w:p>
          <w:p>
            <w:pPr>
              <w:rPr>
                <w:rFonts w:hint="eastAsia" w:ascii="仿宋_GB2312" w:eastAsia="仿宋_GB2312"/>
                <w:szCs w:val="21"/>
              </w:rPr>
            </w:pPr>
            <w:r>
              <w:rPr>
                <w:rFonts w:hint="eastAsia" w:ascii="仿宋_GB2312" w:eastAsia="仿宋_GB2312" w:cs="宋体"/>
                <w:szCs w:val="21"/>
              </w:rPr>
              <w:t>在分辨率</w:t>
            </w:r>
            <w:r>
              <w:rPr>
                <w:rFonts w:hint="eastAsia" w:ascii="仿宋_GB2312" w:eastAsia="仿宋_GB2312"/>
                <w:szCs w:val="21"/>
              </w:rPr>
              <w:t>2688x1520 @ 25fps</w:t>
            </w:r>
            <w:r>
              <w:rPr>
                <w:rFonts w:hint="eastAsia" w:ascii="仿宋_GB2312" w:eastAsia="仿宋_GB2312" w:cs="宋体"/>
                <w:szCs w:val="21"/>
              </w:rPr>
              <w:t>，延时不大于</w:t>
            </w:r>
            <w:r>
              <w:rPr>
                <w:rFonts w:hint="eastAsia" w:ascii="仿宋_GB2312" w:eastAsia="仿宋_GB2312"/>
                <w:szCs w:val="21"/>
              </w:rPr>
              <w:t>130ms</w:t>
            </w:r>
            <w:r>
              <w:rPr>
                <w:rFonts w:hint="eastAsia" w:ascii="仿宋_GB2312" w:eastAsia="仿宋_GB2312" w:cs="宋体"/>
                <w:szCs w:val="21"/>
              </w:rPr>
              <w:t>。</w:t>
            </w:r>
          </w:p>
          <w:p>
            <w:pPr>
              <w:rPr>
                <w:rFonts w:hint="eastAsia" w:ascii="仿宋_GB2312" w:eastAsia="仿宋_GB2312"/>
                <w:szCs w:val="21"/>
              </w:rPr>
            </w:pPr>
            <w:r>
              <w:rPr>
                <w:rFonts w:hint="eastAsia" w:ascii="仿宋_GB2312" w:eastAsia="仿宋_GB2312" w:cs="宋体"/>
                <w:szCs w:val="21"/>
              </w:rPr>
              <w:t>信噪比不小于</w:t>
            </w:r>
            <w:r>
              <w:rPr>
                <w:rFonts w:hint="eastAsia" w:ascii="仿宋_GB2312" w:eastAsia="仿宋_GB2312"/>
                <w:szCs w:val="21"/>
              </w:rPr>
              <w:t>58dB</w:t>
            </w:r>
            <w:r>
              <w:rPr>
                <w:rFonts w:hint="eastAsia" w:ascii="仿宋_GB2312" w:eastAsia="仿宋_GB2312" w:cs="宋体"/>
                <w:szCs w:val="21"/>
              </w:rPr>
              <w:t>。</w:t>
            </w:r>
          </w:p>
          <w:p>
            <w:pPr>
              <w:rPr>
                <w:rFonts w:hint="eastAsia" w:ascii="仿宋_GB2312" w:eastAsia="仿宋_GB2312"/>
                <w:szCs w:val="21"/>
              </w:rPr>
            </w:pPr>
            <w:r>
              <w:rPr>
                <w:rFonts w:hint="eastAsia" w:ascii="仿宋_GB2312" w:eastAsia="仿宋_GB2312" w:cs="宋体"/>
                <w:szCs w:val="21"/>
              </w:rPr>
              <w:t>具有大于</w:t>
            </w:r>
            <w:r>
              <w:rPr>
                <w:rFonts w:hint="eastAsia" w:ascii="仿宋_GB2312" w:eastAsia="仿宋_GB2312"/>
                <w:szCs w:val="21"/>
              </w:rPr>
              <w:t>120</w:t>
            </w:r>
            <w:r>
              <w:rPr>
                <w:rFonts w:hint="eastAsia" w:ascii="仿宋_GB2312" w:eastAsia="仿宋_GB2312" w:cs="宋体"/>
                <w:szCs w:val="21"/>
              </w:rPr>
              <w:t>分的宽动态能力。</w:t>
            </w:r>
          </w:p>
          <w:p>
            <w:pPr>
              <w:rPr>
                <w:rFonts w:hint="eastAsia" w:ascii="仿宋_GB2312" w:eastAsia="仿宋_GB2312"/>
                <w:szCs w:val="21"/>
              </w:rPr>
            </w:pPr>
            <w:r>
              <w:rPr>
                <w:rFonts w:hint="eastAsia" w:ascii="仿宋_GB2312" w:eastAsia="仿宋_GB2312" w:cs="宋体"/>
                <w:szCs w:val="21"/>
              </w:rPr>
              <w:t>支持三码流技术，主码流分辨率不小于</w:t>
            </w:r>
            <w:r>
              <w:rPr>
                <w:rFonts w:hint="eastAsia" w:ascii="仿宋_GB2312" w:eastAsia="仿宋_GB2312"/>
                <w:szCs w:val="21"/>
              </w:rPr>
              <w:t>2688x1520@25fps</w:t>
            </w:r>
            <w:r>
              <w:rPr>
                <w:rFonts w:hint="eastAsia" w:ascii="仿宋_GB2312" w:eastAsia="仿宋_GB2312" w:cs="宋体"/>
                <w:szCs w:val="21"/>
              </w:rPr>
              <w:t>，子码流不小于</w:t>
            </w:r>
            <w:r>
              <w:rPr>
                <w:rFonts w:hint="eastAsia" w:ascii="仿宋_GB2312" w:eastAsia="仿宋_GB2312"/>
                <w:szCs w:val="21"/>
              </w:rPr>
              <w:t>704x576@25fps</w:t>
            </w:r>
            <w:r>
              <w:rPr>
                <w:rFonts w:hint="eastAsia" w:ascii="仿宋_GB2312" w:eastAsia="仿宋_GB2312" w:cs="宋体"/>
                <w:szCs w:val="21"/>
              </w:rPr>
              <w:t>，第三码流不小于</w:t>
            </w:r>
            <w:r>
              <w:rPr>
                <w:rFonts w:hint="eastAsia" w:ascii="仿宋_GB2312" w:eastAsia="仿宋_GB2312"/>
                <w:szCs w:val="21"/>
              </w:rPr>
              <w:t>1920x1080@25fps</w:t>
            </w:r>
            <w:r>
              <w:rPr>
                <w:rFonts w:hint="eastAsia" w:ascii="仿宋_GB2312" w:eastAsia="仿宋_GB2312" w:cs="宋体"/>
                <w:szCs w:val="21"/>
              </w:rPr>
              <w:t>，且支持在各码流最大分辨率和帧率时同时输出。</w:t>
            </w:r>
          </w:p>
          <w:p>
            <w:pPr>
              <w:rPr>
                <w:rFonts w:hint="eastAsia" w:ascii="仿宋_GB2312" w:eastAsia="仿宋_GB2312"/>
                <w:szCs w:val="21"/>
              </w:rPr>
            </w:pPr>
            <w:r>
              <w:rPr>
                <w:rFonts w:hint="eastAsia" w:ascii="仿宋_GB2312" w:eastAsia="仿宋_GB2312" w:cs="宋体"/>
                <w:szCs w:val="21"/>
              </w:rPr>
              <w:t>支持</w:t>
            </w:r>
            <w:r>
              <w:rPr>
                <w:rFonts w:hint="eastAsia" w:ascii="仿宋_GB2312" w:eastAsia="仿宋_GB2312"/>
                <w:szCs w:val="21"/>
              </w:rPr>
              <w:t>IP67</w:t>
            </w:r>
            <w:r>
              <w:rPr>
                <w:rFonts w:hint="eastAsia" w:ascii="仿宋_GB2312" w:eastAsia="仿宋_GB2312" w:cs="宋体"/>
                <w:szCs w:val="21"/>
              </w:rPr>
              <w:t>防尘防水。</w:t>
            </w:r>
          </w:p>
          <w:p>
            <w:pPr>
              <w:rPr>
                <w:rFonts w:hint="eastAsia" w:ascii="仿宋_GB2312" w:eastAsia="仿宋_GB2312"/>
                <w:szCs w:val="21"/>
              </w:rPr>
            </w:pPr>
            <w:r>
              <w:rPr>
                <w:rFonts w:hint="eastAsia" w:ascii="仿宋_GB2312" w:eastAsia="仿宋_GB2312" w:cs="宋体"/>
                <w:szCs w:val="21"/>
              </w:rPr>
              <w:t>支持车辆捕获功能。（白天和晚上的捕获率均大于</w:t>
            </w:r>
            <w:r>
              <w:rPr>
                <w:rFonts w:hint="eastAsia" w:ascii="仿宋_GB2312" w:eastAsia="仿宋_GB2312"/>
                <w:szCs w:val="21"/>
              </w:rPr>
              <w:t>99%</w:t>
            </w:r>
            <w:r>
              <w:rPr>
                <w:rFonts w:hint="eastAsia" w:ascii="仿宋_GB2312" w:eastAsia="仿宋_GB2312" w:cs="宋体"/>
                <w:szCs w:val="21"/>
              </w:rPr>
              <w:t>）</w:t>
            </w:r>
          </w:p>
          <w:p>
            <w:pPr>
              <w:rPr>
                <w:rFonts w:hint="eastAsia" w:ascii="仿宋_GB2312" w:eastAsia="仿宋_GB2312"/>
                <w:szCs w:val="21"/>
              </w:rPr>
            </w:pPr>
            <w:r>
              <w:rPr>
                <w:rFonts w:hint="eastAsia" w:ascii="仿宋_GB2312" w:eastAsia="仿宋_GB2312" w:cs="宋体"/>
                <w:szCs w:val="21"/>
              </w:rPr>
              <w:t>支持车牌识别功能。（白天和晚上的识别率均大于</w:t>
            </w:r>
            <w:r>
              <w:rPr>
                <w:rFonts w:hint="eastAsia" w:ascii="仿宋_GB2312" w:eastAsia="仿宋_GB2312"/>
                <w:szCs w:val="21"/>
              </w:rPr>
              <w:t>99%</w:t>
            </w:r>
            <w:r>
              <w:rPr>
                <w:rFonts w:hint="eastAsia" w:ascii="仿宋_GB2312" w:eastAsia="仿宋_GB2312" w:cs="宋体"/>
                <w:szCs w:val="21"/>
              </w:rPr>
              <w:t>）</w:t>
            </w:r>
          </w:p>
          <w:p>
            <w:pPr>
              <w:rPr>
                <w:rFonts w:hint="eastAsia" w:ascii="仿宋_GB2312" w:eastAsia="仿宋_GB2312"/>
                <w:kern w:val="0"/>
                <w:szCs w:val="21"/>
              </w:rPr>
            </w:pPr>
            <w:r>
              <w:rPr>
                <w:rFonts w:hint="eastAsia" w:ascii="仿宋_GB2312" w:eastAsia="仿宋_GB2312" w:cs="宋体"/>
                <w:szCs w:val="21"/>
              </w:rPr>
              <w:t>内置电动变焦镜头，支持</w:t>
            </w:r>
            <w:r>
              <w:rPr>
                <w:rFonts w:hint="eastAsia" w:ascii="仿宋_GB2312" w:eastAsia="仿宋_GB2312"/>
                <w:szCs w:val="21"/>
              </w:rPr>
              <w:t>1.5</w:t>
            </w:r>
            <w:r>
              <w:rPr>
                <w:rFonts w:hint="eastAsia" w:ascii="仿宋_GB2312" w:eastAsia="仿宋_GB2312" w:cs="宋体"/>
                <w:szCs w:val="21"/>
              </w:rPr>
              <w:t>倍光学变倍。</w:t>
            </w:r>
          </w:p>
        </w:tc>
        <w:tc>
          <w:tcPr>
            <w:tcW w:w="769"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只</w:t>
            </w:r>
          </w:p>
        </w:tc>
        <w:tc>
          <w:tcPr>
            <w:tcW w:w="792"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47</w:t>
            </w:r>
          </w:p>
        </w:tc>
      </w:tr>
      <w:tr>
        <w:tblPrEx>
          <w:tblCellMar>
            <w:top w:w="0" w:type="dxa"/>
            <w:left w:w="108" w:type="dxa"/>
            <w:bottom w:w="0" w:type="dxa"/>
            <w:right w:w="108" w:type="dxa"/>
          </w:tblCellMar>
        </w:tblPrEx>
        <w:trPr>
          <w:trHeight w:val="699"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3</w:t>
            </w:r>
          </w:p>
        </w:tc>
        <w:tc>
          <w:tcPr>
            <w:tcW w:w="1265"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400万星光级高清红外快球摄像机(含支架)</w:t>
            </w:r>
          </w:p>
        </w:tc>
        <w:tc>
          <w:tcPr>
            <w:tcW w:w="5640" w:type="dxa"/>
            <w:tcBorders>
              <w:top w:val="nil"/>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400万像素星光级红外网络高清高速智能球机</w:t>
            </w:r>
          </w:p>
          <w:p>
            <w:pPr>
              <w:rPr>
                <w:rFonts w:hint="eastAsia" w:ascii="仿宋_GB2312" w:eastAsia="仿宋_GB2312"/>
                <w:kern w:val="0"/>
                <w:szCs w:val="21"/>
              </w:rPr>
            </w:pPr>
            <w:r>
              <w:rPr>
                <w:rFonts w:hint="eastAsia" w:ascii="仿宋_GB2312" w:hAnsi="宋体" w:eastAsia="仿宋_GB2312" w:cs="宋体"/>
                <w:kern w:val="0"/>
                <w:szCs w:val="21"/>
              </w:rPr>
              <w:t>摄像机靶面尺寸不小于1/1.8英寸</w:t>
            </w:r>
          </w:p>
          <w:p>
            <w:pPr>
              <w:rPr>
                <w:rFonts w:hint="eastAsia" w:ascii="仿宋_GB2312" w:eastAsia="仿宋_GB2312"/>
                <w:kern w:val="0"/>
                <w:szCs w:val="21"/>
              </w:rPr>
            </w:pPr>
            <w:r>
              <w:rPr>
                <w:rFonts w:hint="eastAsia" w:ascii="仿宋_GB2312" w:hAnsi="宋体" w:eastAsia="仿宋_GB2312" w:cs="宋体"/>
                <w:kern w:val="0"/>
                <w:szCs w:val="21"/>
              </w:rPr>
              <w:t>内置GPU芯片</w:t>
            </w:r>
          </w:p>
          <w:p>
            <w:pPr>
              <w:rPr>
                <w:rFonts w:hint="eastAsia" w:ascii="仿宋_GB2312" w:eastAsia="仿宋_GB2312"/>
                <w:kern w:val="0"/>
                <w:szCs w:val="21"/>
              </w:rPr>
            </w:pPr>
            <w:r>
              <w:rPr>
                <w:rFonts w:hint="eastAsia" w:ascii="仿宋_GB2312" w:hAnsi="宋体" w:eastAsia="仿宋_GB2312" w:cs="宋体"/>
                <w:kern w:val="0"/>
                <w:szCs w:val="21"/>
              </w:rPr>
              <w:t>支持32倍光学变倍</w:t>
            </w:r>
          </w:p>
          <w:p>
            <w:pPr>
              <w:rPr>
                <w:rFonts w:hint="eastAsia" w:ascii="仿宋_GB2312" w:eastAsia="仿宋_GB2312"/>
                <w:kern w:val="0"/>
                <w:szCs w:val="21"/>
              </w:rPr>
            </w:pPr>
            <w:r>
              <w:rPr>
                <w:rFonts w:hint="eastAsia" w:ascii="仿宋_GB2312" w:hAnsi="宋体" w:eastAsia="仿宋_GB2312" w:cs="宋体"/>
                <w:kern w:val="0"/>
                <w:szCs w:val="21"/>
              </w:rPr>
              <w:t>支持最低照度可达彩色0.0002 lx，黑白0.0001 lx</w:t>
            </w:r>
          </w:p>
          <w:p>
            <w:pPr>
              <w:rPr>
                <w:rFonts w:hint="eastAsia" w:ascii="仿宋_GB2312" w:eastAsia="仿宋_GB2312"/>
                <w:kern w:val="0"/>
                <w:szCs w:val="21"/>
              </w:rPr>
            </w:pPr>
            <w:r>
              <w:rPr>
                <w:rFonts w:hint="eastAsia" w:ascii="仿宋_GB2312" w:hAnsi="宋体" w:eastAsia="仿宋_GB2312" w:cs="宋体"/>
                <w:kern w:val="0"/>
                <w:szCs w:val="21"/>
              </w:rPr>
              <w:t>红外距离不小于550米</w:t>
            </w:r>
          </w:p>
          <w:p>
            <w:pPr>
              <w:rPr>
                <w:rFonts w:hint="eastAsia" w:ascii="仿宋_GB2312" w:eastAsia="仿宋_GB2312"/>
                <w:kern w:val="0"/>
                <w:szCs w:val="21"/>
              </w:rPr>
            </w:pPr>
            <w:r>
              <w:rPr>
                <w:rFonts w:hint="eastAsia" w:ascii="仿宋_GB2312" w:hAnsi="宋体" w:eastAsia="仿宋_GB2312" w:cs="宋体"/>
                <w:kern w:val="0"/>
                <w:szCs w:val="21"/>
              </w:rPr>
              <w:t>支持快速聚焦功能，当设备跟踪行人或机动车等移动目标并录像时，单帧回放录像文件，每1帧画面均应清晰可见。</w:t>
            </w:r>
          </w:p>
          <w:p>
            <w:pPr>
              <w:rPr>
                <w:rFonts w:hint="eastAsia" w:ascii="仿宋_GB2312" w:eastAsia="仿宋_GB2312"/>
                <w:kern w:val="0"/>
                <w:szCs w:val="21"/>
              </w:rPr>
            </w:pPr>
            <w:r>
              <w:rPr>
                <w:rFonts w:hint="eastAsia" w:ascii="仿宋_GB2312" w:hAnsi="宋体" w:eastAsia="仿宋_GB2312" w:cs="宋体"/>
                <w:kern w:val="0"/>
                <w:szCs w:val="21"/>
              </w:rPr>
              <w:t>支持水平手控速度不小于800°/S，垂直手控速度不小于300°/s。水平旋转范围为360°连续旋转，垂直旋转范围为-20°~90°</w:t>
            </w:r>
          </w:p>
          <w:p>
            <w:pPr>
              <w:rPr>
                <w:rFonts w:hint="eastAsia" w:ascii="仿宋_GB2312" w:eastAsia="仿宋_GB2312"/>
                <w:kern w:val="0"/>
                <w:szCs w:val="21"/>
              </w:rPr>
            </w:pPr>
            <w:r>
              <w:rPr>
                <w:rFonts w:hint="eastAsia" w:ascii="仿宋_GB2312" w:hAnsi="宋体" w:eastAsia="仿宋_GB2312" w:cs="宋体"/>
                <w:kern w:val="0"/>
                <w:szCs w:val="21"/>
              </w:rPr>
              <w:t>支持300个预置位，可按照所设置的预置位完成不小于8条巡航路径，每条巡航路径可设置不小于32个预置点。</w:t>
            </w:r>
          </w:p>
          <w:p>
            <w:pPr>
              <w:rPr>
                <w:rFonts w:hint="eastAsia" w:ascii="仿宋_GB2312" w:eastAsia="仿宋_GB2312"/>
                <w:kern w:val="0"/>
                <w:szCs w:val="21"/>
              </w:rPr>
            </w:pPr>
            <w:r>
              <w:rPr>
                <w:rFonts w:hint="eastAsia" w:ascii="仿宋_GB2312" w:hAnsi="宋体" w:eastAsia="仿宋_GB2312" w:cs="宋体"/>
                <w:kern w:val="0"/>
                <w:szCs w:val="21"/>
              </w:rPr>
              <w:t>有多种以上滤光片，在白天、夜晚及有雾情况下可自动切换不同的滤光片进行成像。滤光片透过率不小于95%。</w:t>
            </w:r>
          </w:p>
          <w:p>
            <w:pPr>
              <w:rPr>
                <w:rFonts w:hint="eastAsia" w:ascii="仿宋_GB2312" w:eastAsia="仿宋_GB2312"/>
                <w:kern w:val="0"/>
                <w:szCs w:val="21"/>
              </w:rPr>
            </w:pPr>
            <w:r>
              <w:rPr>
                <w:rFonts w:hint="eastAsia" w:ascii="仿宋_GB2312" w:hAnsi="宋体" w:eastAsia="仿宋_GB2312" w:cs="宋体"/>
                <w:kern w:val="0"/>
                <w:szCs w:val="21"/>
              </w:rPr>
              <w:t>报警输入接口≥7路，报警输出接口≥2路，支持音频输入和输出接口。</w:t>
            </w:r>
          </w:p>
          <w:p>
            <w:pPr>
              <w:rPr>
                <w:rFonts w:hint="eastAsia" w:ascii="仿宋_GB2312" w:eastAsia="仿宋_GB2312"/>
                <w:kern w:val="0"/>
                <w:szCs w:val="21"/>
              </w:rPr>
            </w:pPr>
            <w:r>
              <w:rPr>
                <w:rFonts w:hint="eastAsia" w:ascii="仿宋_GB2312" w:hAnsi="宋体" w:eastAsia="仿宋_GB2312" w:cs="宋体"/>
                <w:kern w:val="0"/>
                <w:szCs w:val="21"/>
              </w:rPr>
              <w:t>最大支持512GB的SD卡。</w:t>
            </w:r>
          </w:p>
          <w:p>
            <w:pPr>
              <w:rPr>
                <w:rFonts w:hint="eastAsia" w:ascii="仿宋_GB2312" w:eastAsia="仿宋_GB2312"/>
                <w:kern w:val="0"/>
                <w:szCs w:val="21"/>
              </w:rPr>
            </w:pPr>
            <w:r>
              <w:rPr>
                <w:rFonts w:hint="eastAsia" w:ascii="仿宋_GB2312" w:hAnsi="宋体" w:eastAsia="仿宋_GB2312" w:cs="宋体"/>
                <w:kern w:val="0"/>
                <w:szCs w:val="21"/>
              </w:rPr>
              <w:t>可识别不低于170种车辆品牌，车辆品牌识别白天准确率大于98%，晚上准确率大于97%。</w:t>
            </w:r>
          </w:p>
          <w:p>
            <w:pPr>
              <w:rPr>
                <w:rFonts w:hint="eastAsia" w:ascii="仿宋_GB2312" w:eastAsia="仿宋_GB2312"/>
                <w:kern w:val="0"/>
                <w:szCs w:val="21"/>
              </w:rPr>
            </w:pPr>
            <w:r>
              <w:rPr>
                <w:rFonts w:hint="eastAsia" w:ascii="仿宋_GB2312" w:hAnsi="宋体" w:eastAsia="仿宋_GB2312" w:cs="宋体"/>
                <w:kern w:val="0"/>
                <w:szCs w:val="21"/>
              </w:rPr>
              <w:t>可识别包括轿车、小型轿车、微型轿车、客车、中型客车、面包车、大货车、小货车、SUV-MPV、皮卡等车型。车型识别白天准确率大于98%，晚上准确率大于97%</w:t>
            </w:r>
          </w:p>
          <w:p>
            <w:pPr>
              <w:rPr>
                <w:rFonts w:hint="eastAsia" w:ascii="仿宋_GB2312" w:eastAsia="仿宋_GB2312"/>
                <w:kern w:val="0"/>
                <w:szCs w:val="21"/>
              </w:rPr>
            </w:pPr>
            <w:r>
              <w:rPr>
                <w:rFonts w:hint="eastAsia" w:ascii="仿宋_GB2312" w:hAnsi="宋体" w:eastAsia="仿宋_GB2312" w:cs="宋体"/>
                <w:kern w:val="0"/>
                <w:szCs w:val="21"/>
              </w:rPr>
              <w:t>支持IP67；支持空气放电20KV，接触放电10KV，15KV防浪涌。</w:t>
            </w:r>
          </w:p>
          <w:p>
            <w:pPr>
              <w:rPr>
                <w:rFonts w:hint="eastAsia" w:ascii="仿宋_GB2312" w:eastAsia="仿宋_GB2312"/>
                <w:kern w:val="0"/>
                <w:szCs w:val="21"/>
              </w:rPr>
            </w:pPr>
            <w:r>
              <w:rPr>
                <w:rFonts w:hint="eastAsia" w:ascii="仿宋_GB2312" w:hAnsi="宋体" w:eastAsia="仿宋_GB2312" w:cs="宋体"/>
                <w:kern w:val="0"/>
                <w:szCs w:val="21"/>
              </w:rPr>
              <w:t>符合《GB/T 28181-2016 公共安全视频监控联网系统信息传输、交换、控制技术要求》中的相关规定。</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只</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10</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4</w:t>
            </w:r>
          </w:p>
        </w:tc>
        <w:tc>
          <w:tcPr>
            <w:tcW w:w="126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摄像机立杆（含基础）</w:t>
            </w:r>
          </w:p>
        </w:tc>
        <w:tc>
          <w:tcPr>
            <w:tcW w:w="5640" w:type="dxa"/>
            <w:tcBorders>
              <w:top w:val="single" w:color="auto" w:sz="4" w:space="0"/>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定制，热镀锌喷塑，防锈防腐，管壁直径不小于180MM, 壁厚不小于6MM，3.5米挑1米</w:t>
            </w:r>
          </w:p>
        </w:tc>
        <w:tc>
          <w:tcPr>
            <w:tcW w:w="769"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根</w:t>
            </w:r>
          </w:p>
        </w:tc>
        <w:tc>
          <w:tcPr>
            <w:tcW w:w="792"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5</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5</w:t>
            </w:r>
          </w:p>
        </w:tc>
        <w:tc>
          <w:tcPr>
            <w:tcW w:w="1265"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枪机专用支架</w:t>
            </w:r>
          </w:p>
        </w:tc>
        <w:tc>
          <w:tcPr>
            <w:tcW w:w="5640" w:type="dxa"/>
            <w:tcBorders>
              <w:top w:val="single" w:color="auto" w:sz="4" w:space="0"/>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标准壁装支架，铝合金材质，与摄像机配套</w:t>
            </w:r>
          </w:p>
        </w:tc>
        <w:tc>
          <w:tcPr>
            <w:tcW w:w="769"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支</w:t>
            </w:r>
          </w:p>
        </w:tc>
        <w:tc>
          <w:tcPr>
            <w:tcW w:w="792"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47</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6</w:t>
            </w:r>
          </w:p>
        </w:tc>
        <w:tc>
          <w:tcPr>
            <w:tcW w:w="1265"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监控电源</w:t>
            </w:r>
          </w:p>
        </w:tc>
        <w:tc>
          <w:tcPr>
            <w:tcW w:w="5640" w:type="dxa"/>
            <w:tcBorders>
              <w:top w:val="nil"/>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AC220V电源输入，DC12V10A稳压输出</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只</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20</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5</w:t>
            </w:r>
          </w:p>
        </w:tc>
        <w:tc>
          <w:tcPr>
            <w:tcW w:w="126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室外防水机箱</w:t>
            </w:r>
          </w:p>
        </w:tc>
        <w:tc>
          <w:tcPr>
            <w:tcW w:w="5640" w:type="dxa"/>
            <w:tcBorders>
              <w:top w:val="single" w:color="auto" w:sz="4" w:space="0"/>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定制，防锈防腐，壁厚不小于1.5MM，箱体防护等级应能达到IP54防护等级，尺寸：400*300*250</w:t>
            </w:r>
          </w:p>
        </w:tc>
        <w:tc>
          <w:tcPr>
            <w:tcW w:w="769"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组</w:t>
            </w:r>
          </w:p>
        </w:tc>
        <w:tc>
          <w:tcPr>
            <w:tcW w:w="792"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5</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7</w:t>
            </w:r>
          </w:p>
        </w:tc>
        <w:tc>
          <w:tcPr>
            <w:tcW w:w="1265"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室内墙柜</w:t>
            </w:r>
          </w:p>
        </w:tc>
        <w:tc>
          <w:tcPr>
            <w:tcW w:w="5640" w:type="dxa"/>
            <w:tcBorders>
              <w:top w:val="single" w:color="auto" w:sz="4" w:space="0"/>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12U</w:t>
            </w:r>
          </w:p>
        </w:tc>
        <w:tc>
          <w:tcPr>
            <w:tcW w:w="769"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组</w:t>
            </w:r>
          </w:p>
        </w:tc>
        <w:tc>
          <w:tcPr>
            <w:tcW w:w="792"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5</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b/>
                <w:bCs/>
                <w:kern w:val="0"/>
                <w:szCs w:val="21"/>
              </w:rPr>
            </w:pPr>
            <w:r>
              <w:rPr>
                <w:rFonts w:hint="eastAsia" w:ascii="仿宋_GB2312" w:hAnsi="宋体" w:eastAsia="仿宋_GB2312" w:cs="宋体"/>
                <w:b/>
                <w:bCs/>
                <w:kern w:val="0"/>
                <w:szCs w:val="21"/>
              </w:rPr>
              <w:t>二</w:t>
            </w:r>
          </w:p>
        </w:tc>
        <w:tc>
          <w:tcPr>
            <w:tcW w:w="6905" w:type="dxa"/>
            <w:gridSpan w:val="2"/>
            <w:tcBorders>
              <w:top w:val="nil"/>
              <w:left w:val="nil"/>
              <w:bottom w:val="single" w:color="auto" w:sz="4" w:space="0"/>
              <w:right w:val="single" w:color="auto" w:sz="4" w:space="0"/>
            </w:tcBorders>
            <w:noWrap/>
            <w:vAlign w:val="center"/>
          </w:tcPr>
          <w:p>
            <w:pPr>
              <w:rPr>
                <w:rFonts w:hint="eastAsia" w:ascii="仿宋_GB2312" w:eastAsia="仿宋_GB2312"/>
                <w:b/>
                <w:bCs/>
                <w:kern w:val="0"/>
                <w:szCs w:val="21"/>
              </w:rPr>
            </w:pPr>
            <w:r>
              <w:rPr>
                <w:rFonts w:hint="eastAsia" w:ascii="仿宋_GB2312" w:hAnsi="宋体" w:eastAsia="仿宋_GB2312" w:cs="宋体"/>
                <w:b/>
                <w:bCs/>
                <w:kern w:val="0"/>
                <w:szCs w:val="21"/>
              </w:rPr>
              <w:t>室外主通道人脸识别轨迹跟踪</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b/>
                <w:bCs/>
                <w:kern w:val="0"/>
                <w:szCs w:val="21"/>
              </w:rPr>
            </w:pPr>
            <w:r>
              <w:rPr>
                <w:rFonts w:hint="eastAsia" w:ascii="仿宋_GB2312" w:hAnsi="宋体" w:eastAsia="仿宋_GB2312" w:cs="宋体"/>
                <w:b/>
                <w:bCs/>
                <w:kern w:val="0"/>
                <w:szCs w:val="21"/>
              </w:rPr>
              <w:t>　</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b/>
                <w:bCs/>
                <w:kern w:val="0"/>
                <w:szCs w:val="21"/>
              </w:rPr>
            </w:pPr>
            <w:r>
              <w:rPr>
                <w:rFonts w:hint="eastAsia" w:ascii="仿宋_GB2312" w:hAnsi="宋体" w:eastAsia="仿宋_GB2312" w:cs="宋体"/>
                <w:b/>
                <w:bCs/>
                <w:kern w:val="0"/>
                <w:szCs w:val="21"/>
              </w:rPr>
              <w:t>　</w:t>
            </w:r>
          </w:p>
        </w:tc>
      </w:tr>
      <w:tr>
        <w:tblPrEx>
          <w:tblCellMar>
            <w:top w:w="0" w:type="dxa"/>
            <w:left w:w="108" w:type="dxa"/>
            <w:bottom w:w="0" w:type="dxa"/>
            <w:right w:w="108" w:type="dxa"/>
          </w:tblCellMar>
        </w:tblPrEx>
        <w:trPr>
          <w:trHeight w:val="266"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1</w:t>
            </w:r>
          </w:p>
        </w:tc>
        <w:tc>
          <w:tcPr>
            <w:tcW w:w="126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400万黑光人脸抓拍球机</w:t>
            </w:r>
          </w:p>
        </w:tc>
        <w:tc>
          <w:tcPr>
            <w:tcW w:w="5640" w:type="dxa"/>
            <w:tcBorders>
              <w:top w:val="single" w:color="auto" w:sz="4" w:space="0"/>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400万像素黑光系列9寸红外网络高清高速智能球机</w:t>
            </w:r>
          </w:p>
          <w:p>
            <w:pPr>
              <w:rPr>
                <w:rFonts w:hint="eastAsia" w:ascii="仿宋_GB2312" w:eastAsia="仿宋_GB2312"/>
                <w:kern w:val="0"/>
                <w:szCs w:val="21"/>
              </w:rPr>
            </w:pPr>
            <w:r>
              <w:rPr>
                <w:rFonts w:hint="eastAsia" w:ascii="仿宋_GB2312" w:hAnsi="宋体" w:eastAsia="仿宋_GB2312" w:cs="宋体"/>
                <w:kern w:val="0"/>
                <w:szCs w:val="21"/>
              </w:rPr>
              <w:t>焦距:5.9-206.5mm，35倍光学</w:t>
            </w:r>
          </w:p>
          <w:p>
            <w:pPr>
              <w:rPr>
                <w:rFonts w:hint="eastAsia" w:ascii="仿宋_GB2312" w:eastAsia="仿宋_GB2312"/>
                <w:kern w:val="0"/>
                <w:szCs w:val="21"/>
              </w:rPr>
            </w:pPr>
            <w:r>
              <w:rPr>
                <w:rFonts w:hint="eastAsia" w:ascii="仿宋_GB2312" w:hAnsi="宋体" w:eastAsia="仿宋_GB2312" w:cs="宋体"/>
                <w:kern w:val="0"/>
                <w:szCs w:val="21"/>
              </w:rPr>
              <w:t>摄像机具体两个图像传感器，靶面尺寸不小于1/1.8英寸，视频图像分辨率不小于2560×1440</w:t>
            </w:r>
          </w:p>
          <w:p>
            <w:pPr>
              <w:rPr>
                <w:rFonts w:hint="eastAsia" w:ascii="仿宋_GB2312" w:eastAsia="仿宋_GB2312"/>
                <w:kern w:val="0"/>
                <w:szCs w:val="21"/>
              </w:rPr>
            </w:pPr>
            <w:r>
              <w:rPr>
                <w:rFonts w:hint="eastAsia" w:ascii="仿宋_GB2312" w:hAnsi="宋体" w:eastAsia="仿宋_GB2312" w:cs="宋体"/>
                <w:kern w:val="0"/>
                <w:szCs w:val="21"/>
              </w:rPr>
              <w:t>摄像机具有双路视频融合功能，可分别输出黑白及彩色图像，并对视频图像进行融合输出</w:t>
            </w:r>
          </w:p>
          <w:p>
            <w:pPr>
              <w:rPr>
                <w:rFonts w:hint="eastAsia" w:ascii="仿宋_GB2312" w:eastAsia="仿宋_GB2312"/>
                <w:kern w:val="0"/>
                <w:szCs w:val="21"/>
              </w:rPr>
            </w:pPr>
            <w:r>
              <w:rPr>
                <w:rFonts w:hint="eastAsia" w:ascii="仿宋_GB2312" w:hAnsi="宋体" w:eastAsia="仿宋_GB2312" w:cs="宋体"/>
                <w:kern w:val="0"/>
                <w:szCs w:val="21"/>
              </w:rPr>
              <w:t>内置GPU芯片</w:t>
            </w:r>
          </w:p>
          <w:p>
            <w:pPr>
              <w:rPr>
                <w:rFonts w:hint="eastAsia" w:ascii="仿宋_GB2312" w:eastAsia="仿宋_GB2312"/>
                <w:kern w:val="0"/>
                <w:szCs w:val="21"/>
              </w:rPr>
            </w:pPr>
            <w:r>
              <w:rPr>
                <w:rFonts w:hint="eastAsia" w:ascii="仿宋_GB2312" w:hAnsi="宋体" w:eastAsia="仿宋_GB2312" w:cs="宋体"/>
                <w:kern w:val="0"/>
                <w:szCs w:val="21"/>
              </w:rPr>
              <w:t>支持35倍光学变倍</w:t>
            </w:r>
          </w:p>
          <w:p>
            <w:pPr>
              <w:rPr>
                <w:rFonts w:hint="eastAsia" w:ascii="仿宋_GB2312" w:eastAsia="仿宋_GB2312"/>
                <w:kern w:val="0"/>
                <w:szCs w:val="21"/>
              </w:rPr>
            </w:pPr>
            <w:r>
              <w:rPr>
                <w:rFonts w:hint="eastAsia" w:ascii="仿宋_GB2312" w:hAnsi="宋体" w:eastAsia="仿宋_GB2312" w:cs="宋体"/>
                <w:kern w:val="0"/>
                <w:szCs w:val="21"/>
              </w:rPr>
              <w:t>最低照度：彩色0.0002 lx，黑白0.0001 lx</w:t>
            </w:r>
          </w:p>
          <w:p>
            <w:pPr>
              <w:rPr>
                <w:rFonts w:hint="eastAsia" w:ascii="仿宋_GB2312" w:eastAsia="仿宋_GB2312"/>
                <w:kern w:val="0"/>
                <w:szCs w:val="21"/>
              </w:rPr>
            </w:pPr>
            <w:r>
              <w:rPr>
                <w:rFonts w:hint="eastAsia" w:ascii="仿宋_GB2312" w:hAnsi="宋体" w:eastAsia="仿宋_GB2312" w:cs="宋体"/>
                <w:kern w:val="0"/>
                <w:szCs w:val="21"/>
              </w:rPr>
              <w:t>宽动态范围不小于120dB</w:t>
            </w:r>
          </w:p>
          <w:p>
            <w:pPr>
              <w:rPr>
                <w:rFonts w:hint="eastAsia" w:ascii="仿宋_GB2312" w:eastAsia="仿宋_GB2312"/>
                <w:kern w:val="0"/>
                <w:szCs w:val="21"/>
              </w:rPr>
            </w:pPr>
            <w:r>
              <w:rPr>
                <w:rFonts w:hint="eastAsia" w:ascii="仿宋_GB2312" w:hAnsi="宋体" w:eastAsia="仿宋_GB2312" w:cs="宋体"/>
                <w:kern w:val="0"/>
                <w:szCs w:val="21"/>
              </w:rPr>
              <w:t>支持快速聚焦功能，当设备对监控区域内的行人人脸进行跟踪录像，录像通过单帧回放时应能保持每帧画面清晰稳定。</w:t>
            </w:r>
          </w:p>
          <w:p>
            <w:pPr>
              <w:rPr>
                <w:rFonts w:hint="eastAsia" w:ascii="仿宋_GB2312" w:eastAsia="仿宋_GB2312"/>
                <w:kern w:val="0"/>
                <w:szCs w:val="21"/>
              </w:rPr>
            </w:pPr>
            <w:r>
              <w:rPr>
                <w:rFonts w:hint="eastAsia" w:ascii="仿宋_GB2312" w:hAnsi="宋体" w:eastAsia="仿宋_GB2312" w:cs="宋体"/>
                <w:kern w:val="0"/>
                <w:szCs w:val="21"/>
              </w:rPr>
              <w:t>设备可对监视画面中不小于40个人脸进行检测、跟踪和抓拍。</w:t>
            </w:r>
          </w:p>
          <w:p>
            <w:pPr>
              <w:rPr>
                <w:rFonts w:hint="eastAsia" w:ascii="仿宋_GB2312" w:eastAsia="仿宋_GB2312"/>
                <w:kern w:val="0"/>
                <w:szCs w:val="21"/>
              </w:rPr>
            </w:pPr>
            <w:r>
              <w:rPr>
                <w:rFonts w:hint="eastAsia" w:ascii="仿宋_GB2312" w:hAnsi="宋体" w:eastAsia="仿宋_GB2312" w:cs="宋体"/>
                <w:kern w:val="0"/>
                <w:szCs w:val="21"/>
              </w:rPr>
              <w:t>可抓拍距设备100米以上的人脸，可抓拍距设备150米以上的人体及车辆。</w:t>
            </w:r>
          </w:p>
          <w:p>
            <w:pPr>
              <w:rPr>
                <w:rFonts w:hint="eastAsia" w:ascii="仿宋_GB2312" w:eastAsia="仿宋_GB2312"/>
                <w:kern w:val="0"/>
                <w:szCs w:val="21"/>
              </w:rPr>
            </w:pPr>
            <w:r>
              <w:rPr>
                <w:rFonts w:hint="eastAsia" w:ascii="仿宋_GB2312" w:hAnsi="宋体" w:eastAsia="仿宋_GB2312" w:cs="宋体"/>
                <w:kern w:val="0"/>
                <w:szCs w:val="21"/>
              </w:rPr>
              <w:t>有多种滤光片，在白天、夜晚及有雾情况下可自动切换不同的滤光片进行成像。滤光片透过率不小于95%。</w:t>
            </w:r>
          </w:p>
          <w:p>
            <w:pPr>
              <w:rPr>
                <w:rFonts w:hint="eastAsia" w:ascii="仿宋_GB2312" w:eastAsia="仿宋_GB2312"/>
                <w:kern w:val="0"/>
                <w:szCs w:val="21"/>
              </w:rPr>
            </w:pPr>
            <w:r>
              <w:rPr>
                <w:rFonts w:hint="eastAsia" w:ascii="仿宋_GB2312" w:hAnsi="宋体" w:eastAsia="仿宋_GB2312" w:cs="宋体"/>
                <w:kern w:val="0"/>
                <w:szCs w:val="21"/>
              </w:rPr>
              <w:t>水平旋转范围为360°连续旋转，垂直旋转范围为-20°~90°</w:t>
            </w:r>
          </w:p>
          <w:p>
            <w:pPr>
              <w:rPr>
                <w:rFonts w:hint="eastAsia" w:ascii="仿宋_GB2312" w:eastAsia="仿宋_GB2312"/>
                <w:kern w:val="0"/>
                <w:szCs w:val="21"/>
              </w:rPr>
            </w:pPr>
            <w:r>
              <w:rPr>
                <w:rFonts w:hint="eastAsia" w:ascii="仿宋_GB2312" w:hAnsi="宋体" w:eastAsia="仿宋_GB2312" w:cs="宋体"/>
                <w:kern w:val="0"/>
                <w:szCs w:val="21"/>
              </w:rPr>
              <w:t>设备可响应平台下发的获取可视域信息指令，上报设备视场角、可视距离、安装位置、镜头指向方位。其中设备视场角、可视距离能够随着倍率变化。</w:t>
            </w:r>
          </w:p>
          <w:p>
            <w:pPr>
              <w:rPr>
                <w:rFonts w:hint="eastAsia" w:ascii="仿宋_GB2312" w:eastAsia="仿宋_GB2312"/>
                <w:kern w:val="0"/>
                <w:szCs w:val="21"/>
              </w:rPr>
            </w:pPr>
            <w:r>
              <w:rPr>
                <w:rFonts w:hint="eastAsia" w:ascii="仿宋_GB2312" w:hAnsi="宋体" w:eastAsia="仿宋_GB2312" w:cs="宋体"/>
                <w:kern w:val="0"/>
                <w:szCs w:val="21"/>
              </w:rPr>
              <w:t>具备BDS定位和GPS定位功能，并能够在监控画面叠加设备所在的经纬度信息。</w:t>
            </w:r>
          </w:p>
          <w:p>
            <w:pPr>
              <w:rPr>
                <w:rFonts w:hint="eastAsia" w:ascii="仿宋_GB2312" w:eastAsia="仿宋_GB2312"/>
                <w:kern w:val="0"/>
                <w:szCs w:val="21"/>
              </w:rPr>
            </w:pPr>
            <w:r>
              <w:rPr>
                <w:rFonts w:hint="eastAsia" w:ascii="仿宋_GB2312" w:hAnsi="宋体" w:eastAsia="仿宋_GB2312" w:cs="宋体"/>
                <w:kern w:val="0"/>
                <w:szCs w:val="21"/>
              </w:rPr>
              <w:t>可通过内置电子罗盘在监视画面上叠加设备镜头当前指向方位和角度。</w:t>
            </w:r>
          </w:p>
          <w:p>
            <w:pPr>
              <w:rPr>
                <w:rFonts w:hint="eastAsia" w:ascii="仿宋_GB2312" w:eastAsia="仿宋_GB2312"/>
                <w:kern w:val="0"/>
                <w:szCs w:val="21"/>
              </w:rPr>
            </w:pPr>
            <w:r>
              <w:rPr>
                <w:rFonts w:hint="eastAsia" w:ascii="仿宋_GB2312" w:hAnsi="宋体" w:eastAsia="仿宋_GB2312" w:cs="宋体"/>
                <w:kern w:val="0"/>
                <w:szCs w:val="21"/>
              </w:rPr>
              <w:t>支持IP67</w:t>
            </w:r>
          </w:p>
        </w:tc>
        <w:tc>
          <w:tcPr>
            <w:tcW w:w="769"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kern w:val="0"/>
                <w:szCs w:val="21"/>
              </w:rPr>
            </w:pPr>
          </w:p>
        </w:tc>
        <w:tc>
          <w:tcPr>
            <w:tcW w:w="792"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1</w:t>
            </w:r>
          </w:p>
        </w:tc>
      </w:tr>
      <w:tr>
        <w:tblPrEx>
          <w:tblCellMar>
            <w:top w:w="0" w:type="dxa"/>
            <w:left w:w="108" w:type="dxa"/>
            <w:bottom w:w="0" w:type="dxa"/>
            <w:right w:w="108" w:type="dxa"/>
          </w:tblCellMar>
        </w:tblPrEx>
        <w:trPr>
          <w:trHeight w:val="264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2</w:t>
            </w:r>
          </w:p>
        </w:tc>
        <w:tc>
          <w:tcPr>
            <w:tcW w:w="126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600万人脸抓拍摄像机</w:t>
            </w:r>
          </w:p>
        </w:tc>
        <w:tc>
          <w:tcPr>
            <w:tcW w:w="5640" w:type="dxa"/>
            <w:tcBorders>
              <w:top w:val="single" w:color="auto" w:sz="4" w:space="0"/>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600万 1/1.8" CMOS AI智能人脸筒型网络摄像机</w:t>
            </w:r>
          </w:p>
          <w:p>
            <w:pPr>
              <w:rPr>
                <w:rFonts w:hint="eastAsia" w:ascii="仿宋_GB2312" w:eastAsia="仿宋_GB2312"/>
                <w:kern w:val="0"/>
                <w:szCs w:val="21"/>
              </w:rPr>
            </w:pPr>
            <w:r>
              <w:rPr>
                <w:rFonts w:hint="eastAsia" w:ascii="仿宋_GB2312" w:hAnsi="宋体" w:eastAsia="仿宋_GB2312" w:cs="宋体"/>
                <w:kern w:val="0"/>
                <w:szCs w:val="21"/>
              </w:rPr>
              <w:t>最低照度：彩色:0.001Lux ,0.0001Lux ,0 Lux with LED</w:t>
            </w:r>
          </w:p>
          <w:p>
            <w:pPr>
              <w:rPr>
                <w:rFonts w:hint="eastAsia" w:ascii="仿宋_GB2312" w:eastAsia="仿宋_GB2312"/>
                <w:kern w:val="0"/>
                <w:szCs w:val="21"/>
              </w:rPr>
            </w:pPr>
            <w:r>
              <w:rPr>
                <w:rFonts w:hint="eastAsia" w:ascii="仿宋_GB2312" w:hAnsi="宋体" w:eastAsia="仿宋_GB2312" w:cs="宋体"/>
                <w:kern w:val="0"/>
                <w:szCs w:val="21"/>
              </w:rPr>
              <w:t>镜头 电动镜头：11-40mm,水平视场角：37°~12°，垂直视场角：24°~8°</w:t>
            </w:r>
          </w:p>
          <w:p>
            <w:pPr>
              <w:rPr>
                <w:rFonts w:hint="eastAsia" w:ascii="仿宋_GB2312" w:eastAsia="仿宋_GB2312"/>
                <w:kern w:val="0"/>
                <w:szCs w:val="21"/>
              </w:rPr>
            </w:pPr>
            <w:r>
              <w:rPr>
                <w:rFonts w:hint="eastAsia" w:ascii="仿宋_GB2312" w:hAnsi="宋体" w:eastAsia="仿宋_GB2312" w:cs="宋体"/>
                <w:kern w:val="0"/>
                <w:szCs w:val="21"/>
              </w:rPr>
              <w:t>视频压缩标准：H.265/H.264 / MJPEG</w:t>
            </w:r>
          </w:p>
          <w:p>
            <w:pPr>
              <w:rPr>
                <w:rFonts w:hint="eastAsia" w:ascii="仿宋_GB2312" w:eastAsia="仿宋_GB2312"/>
                <w:kern w:val="0"/>
                <w:szCs w:val="21"/>
              </w:rPr>
            </w:pPr>
            <w:r>
              <w:rPr>
                <w:rFonts w:hint="eastAsia" w:ascii="仿宋_GB2312" w:hAnsi="宋体" w:eastAsia="仿宋_GB2312" w:cs="宋体"/>
                <w:kern w:val="0"/>
                <w:szCs w:val="21"/>
              </w:rPr>
              <w:t>最大图像尺寸：3072×2048</w:t>
            </w:r>
          </w:p>
          <w:p>
            <w:pPr>
              <w:rPr>
                <w:rFonts w:hint="eastAsia" w:ascii="仿宋_GB2312" w:eastAsia="仿宋_GB2312"/>
                <w:kern w:val="0"/>
                <w:szCs w:val="21"/>
              </w:rPr>
            </w:pPr>
            <w:r>
              <w:rPr>
                <w:rFonts w:hint="eastAsia" w:ascii="仿宋_GB2312" w:hAnsi="宋体" w:eastAsia="仿宋_GB2312" w:cs="宋体"/>
                <w:kern w:val="0"/>
                <w:szCs w:val="21"/>
              </w:rPr>
              <w:t>支持对运动人脸进行检测、跟踪、抓拍、评分、筛选，输出最优的人脸抓图。</w:t>
            </w:r>
          </w:p>
          <w:p>
            <w:pPr>
              <w:rPr>
                <w:rFonts w:hint="eastAsia" w:ascii="仿宋_GB2312" w:eastAsia="仿宋_GB2312"/>
                <w:kern w:val="0"/>
                <w:szCs w:val="21"/>
              </w:rPr>
            </w:pPr>
            <w:r>
              <w:rPr>
                <w:rFonts w:hint="eastAsia" w:ascii="仿宋_GB2312" w:hAnsi="宋体" w:eastAsia="仿宋_GB2312" w:cs="宋体"/>
                <w:kern w:val="0"/>
                <w:szCs w:val="21"/>
              </w:rPr>
              <w:t>背景大图图片支持字符叠加功能，有设备编号、抓拍时间、监测点等信息</w:t>
            </w:r>
          </w:p>
          <w:p>
            <w:pPr>
              <w:rPr>
                <w:rFonts w:hint="eastAsia" w:ascii="仿宋_GB2312" w:eastAsia="仿宋_GB2312"/>
                <w:kern w:val="0"/>
                <w:szCs w:val="21"/>
              </w:rPr>
            </w:pPr>
            <w:r>
              <w:rPr>
                <w:rFonts w:hint="eastAsia" w:ascii="仿宋_GB2312" w:hAnsi="宋体" w:eastAsia="仿宋_GB2312" w:cs="宋体"/>
                <w:kern w:val="0"/>
                <w:szCs w:val="21"/>
              </w:rPr>
              <w:t>可以设置抓拍次数，支持人脸曝光，支持智能补光</w:t>
            </w:r>
          </w:p>
          <w:p>
            <w:pPr>
              <w:rPr>
                <w:rFonts w:hint="eastAsia" w:ascii="仿宋_GB2312" w:eastAsia="仿宋_GB2312"/>
                <w:kern w:val="0"/>
                <w:szCs w:val="21"/>
              </w:rPr>
            </w:pPr>
            <w:r>
              <w:rPr>
                <w:rFonts w:hint="eastAsia" w:ascii="仿宋_GB2312" w:hAnsi="宋体" w:eastAsia="仿宋_GB2312" w:cs="宋体"/>
                <w:kern w:val="0"/>
                <w:szCs w:val="21"/>
              </w:rPr>
              <w:t>防护等级：IP66</w:t>
            </w:r>
          </w:p>
          <w:p>
            <w:pPr>
              <w:rPr>
                <w:rFonts w:hint="eastAsia" w:ascii="仿宋_GB2312" w:eastAsia="仿宋_GB2312"/>
                <w:kern w:val="0"/>
                <w:szCs w:val="21"/>
              </w:rPr>
            </w:pPr>
            <w:r>
              <w:rPr>
                <w:rFonts w:hint="eastAsia" w:ascii="仿宋_GB2312" w:hAnsi="宋体" w:eastAsia="仿宋_GB2312" w:cs="宋体"/>
                <w:kern w:val="0"/>
                <w:szCs w:val="21"/>
              </w:rPr>
              <w:t>功耗≤42W</w:t>
            </w:r>
          </w:p>
        </w:tc>
        <w:tc>
          <w:tcPr>
            <w:tcW w:w="769"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台</w:t>
            </w:r>
          </w:p>
        </w:tc>
        <w:tc>
          <w:tcPr>
            <w:tcW w:w="792"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6</w:t>
            </w:r>
          </w:p>
        </w:tc>
      </w:tr>
      <w:tr>
        <w:tblPrEx>
          <w:tblCellMar>
            <w:top w:w="0" w:type="dxa"/>
            <w:left w:w="108" w:type="dxa"/>
            <w:bottom w:w="0" w:type="dxa"/>
            <w:right w:w="108" w:type="dxa"/>
          </w:tblCellMar>
        </w:tblPrEx>
        <w:trPr>
          <w:trHeight w:val="264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3</w:t>
            </w:r>
          </w:p>
        </w:tc>
        <w:tc>
          <w:tcPr>
            <w:tcW w:w="126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双仓一体抓拍机</w:t>
            </w:r>
          </w:p>
        </w:tc>
        <w:tc>
          <w:tcPr>
            <w:tcW w:w="5640" w:type="dxa"/>
            <w:tcBorders>
              <w:top w:val="single" w:color="auto" w:sz="4" w:space="0"/>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800万1/1.8” CMOS   AI双目筒型网络摄像机</w:t>
            </w:r>
          </w:p>
          <w:p>
            <w:pPr>
              <w:rPr>
                <w:rFonts w:hint="eastAsia" w:ascii="仿宋_GB2312" w:eastAsia="仿宋_GB2312"/>
                <w:kern w:val="0"/>
                <w:szCs w:val="21"/>
              </w:rPr>
            </w:pPr>
            <w:r>
              <w:rPr>
                <w:rFonts w:hint="eastAsia" w:ascii="仿宋_GB2312" w:hAnsi="宋体" w:eastAsia="仿宋_GB2312" w:cs="宋体"/>
                <w:kern w:val="0"/>
                <w:szCs w:val="21"/>
              </w:rPr>
              <w:t>上通道看细节，下通道看全景</w:t>
            </w:r>
          </w:p>
          <w:p>
            <w:pPr>
              <w:rPr>
                <w:rFonts w:hint="eastAsia" w:ascii="仿宋_GB2312" w:eastAsia="仿宋_GB2312"/>
                <w:kern w:val="0"/>
                <w:szCs w:val="21"/>
              </w:rPr>
            </w:pPr>
            <w:r>
              <w:rPr>
                <w:rFonts w:hint="eastAsia" w:ascii="仿宋_GB2312" w:hAnsi="宋体" w:eastAsia="仿宋_GB2312" w:cs="宋体"/>
                <w:kern w:val="0"/>
                <w:szCs w:val="21"/>
              </w:rPr>
              <w:t>支持多种智能资源模式切换：混合目标检测</w:t>
            </w:r>
            <w:r>
              <w:rPr>
                <w:rFonts w:hint="eastAsia" w:ascii="仿宋_GB2312" w:eastAsia="仿宋_GB2312" w:cs="宋体"/>
                <w:kern w:val="0"/>
                <w:szCs w:val="21"/>
              </w:rPr>
              <w:t>-</w:t>
            </w:r>
            <w:r>
              <w:rPr>
                <w:rFonts w:hint="eastAsia" w:ascii="仿宋_GB2312" w:hAnsi="宋体" w:eastAsia="仿宋_GB2312" w:cs="宋体"/>
                <w:kern w:val="0"/>
                <w:szCs w:val="21"/>
              </w:rPr>
              <w:t>全结构化模式、混合目标检测</w:t>
            </w:r>
            <w:r>
              <w:rPr>
                <w:rFonts w:hint="eastAsia" w:ascii="仿宋_GB2312" w:eastAsia="仿宋_GB2312" w:cs="宋体"/>
                <w:kern w:val="0"/>
                <w:szCs w:val="21"/>
              </w:rPr>
              <w:t>-</w:t>
            </w:r>
            <w:r>
              <w:rPr>
                <w:rFonts w:hint="eastAsia" w:ascii="仿宋_GB2312" w:hAnsi="宋体" w:eastAsia="仿宋_GB2312" w:cs="宋体"/>
                <w:kern w:val="0"/>
                <w:szCs w:val="21"/>
              </w:rPr>
              <w:t>比对模式</w:t>
            </w:r>
          </w:p>
          <w:p>
            <w:pPr>
              <w:rPr>
                <w:rFonts w:hint="eastAsia" w:ascii="仿宋_GB2312" w:eastAsia="仿宋_GB2312"/>
                <w:kern w:val="0"/>
                <w:szCs w:val="21"/>
              </w:rPr>
            </w:pPr>
            <w:r>
              <w:rPr>
                <w:rFonts w:hint="eastAsia" w:ascii="仿宋_GB2312" w:hAnsi="宋体" w:eastAsia="仿宋_GB2312" w:cs="宋体"/>
                <w:kern w:val="0"/>
                <w:szCs w:val="21"/>
              </w:rPr>
              <w:t>人脸抓拍混合目标检测</w:t>
            </w:r>
          </w:p>
          <w:p>
            <w:pPr>
              <w:rPr>
                <w:rFonts w:hint="eastAsia" w:ascii="仿宋_GB2312" w:eastAsia="仿宋_GB2312"/>
                <w:kern w:val="0"/>
                <w:szCs w:val="21"/>
              </w:rPr>
            </w:pPr>
            <w:r>
              <w:rPr>
                <w:rFonts w:hint="eastAsia" w:ascii="仿宋_GB2312" w:hAnsi="宋体" w:eastAsia="仿宋_GB2312" w:cs="宋体"/>
                <w:kern w:val="0"/>
                <w:szCs w:val="21"/>
              </w:rPr>
              <w:t>a)抓拍人体：支持上衣颜色、下装颜色、性别、戴眼镜、背包、拎东西、戴帽子、戴口罩、长短袖、裤裙、发型属性识别</w:t>
            </w:r>
          </w:p>
          <w:p>
            <w:pPr>
              <w:rPr>
                <w:rFonts w:hint="eastAsia" w:ascii="仿宋_GB2312" w:eastAsia="仿宋_GB2312"/>
                <w:kern w:val="0"/>
                <w:szCs w:val="21"/>
              </w:rPr>
            </w:pPr>
            <w:r>
              <w:rPr>
                <w:rFonts w:hint="eastAsia" w:ascii="仿宋_GB2312" w:hAnsi="宋体" w:eastAsia="仿宋_GB2312" w:cs="宋体"/>
                <w:kern w:val="0"/>
                <w:szCs w:val="21"/>
              </w:rPr>
              <w:t>b)抓拍人脸：支持对运动人脸进行抓拍</w:t>
            </w:r>
          </w:p>
          <w:p>
            <w:pPr>
              <w:rPr>
                <w:rFonts w:hint="eastAsia" w:ascii="仿宋_GB2312" w:eastAsia="仿宋_GB2312"/>
                <w:kern w:val="0"/>
                <w:szCs w:val="21"/>
              </w:rPr>
            </w:pPr>
            <w:r>
              <w:rPr>
                <w:rFonts w:hint="eastAsia" w:ascii="仿宋_GB2312" w:hAnsi="宋体" w:eastAsia="仿宋_GB2312" w:cs="宋体"/>
                <w:kern w:val="0"/>
                <w:szCs w:val="21"/>
              </w:rPr>
              <w:t>c)抓拍非机动车：支持上衣颜色、性别、戴眼镜、背包、戴帽子、戴口罩、长短袖、发型、骑车类型、骑车人数属性识别</w:t>
            </w:r>
          </w:p>
          <w:p>
            <w:pPr>
              <w:rPr>
                <w:rFonts w:hint="eastAsia" w:ascii="仿宋_GB2312" w:eastAsia="仿宋_GB2312"/>
                <w:kern w:val="0"/>
                <w:szCs w:val="21"/>
              </w:rPr>
            </w:pPr>
            <w:r>
              <w:rPr>
                <w:rFonts w:hint="eastAsia" w:ascii="仿宋_GB2312" w:hAnsi="宋体" w:eastAsia="仿宋_GB2312" w:cs="宋体"/>
                <w:kern w:val="0"/>
                <w:szCs w:val="21"/>
              </w:rPr>
              <w:t>d)抓拍机动车：支持车牌识别并抓拍。支持车型、车牌颜色、车身颜色、车牌类型、子品牌车身颜色属性识别</w:t>
            </w:r>
          </w:p>
          <w:p>
            <w:pPr>
              <w:rPr>
                <w:rFonts w:hint="eastAsia" w:ascii="仿宋_GB2312" w:eastAsia="仿宋_GB2312"/>
                <w:kern w:val="0"/>
                <w:szCs w:val="21"/>
              </w:rPr>
            </w:pPr>
            <w:r>
              <w:rPr>
                <w:rFonts w:hint="eastAsia" w:ascii="仿宋_GB2312" w:hAnsi="宋体" w:eastAsia="仿宋_GB2312" w:cs="宋体"/>
                <w:kern w:val="0"/>
                <w:szCs w:val="21"/>
              </w:rPr>
              <w:t>支持脸谱</w:t>
            </w:r>
          </w:p>
          <w:p>
            <w:pPr>
              <w:rPr>
                <w:rFonts w:hint="eastAsia" w:ascii="仿宋_GB2312" w:eastAsia="仿宋_GB2312"/>
                <w:kern w:val="0"/>
                <w:szCs w:val="21"/>
              </w:rPr>
            </w:pPr>
            <w:r>
              <w:rPr>
                <w:rFonts w:hint="eastAsia" w:ascii="仿宋_GB2312" w:hAnsi="宋体" w:eastAsia="仿宋_GB2312" w:cs="宋体"/>
                <w:kern w:val="0"/>
                <w:szCs w:val="21"/>
              </w:rPr>
              <w:t>支持上下镜头关联，细节场景的目标人脸会替换全景场景目标的人脸</w:t>
            </w:r>
          </w:p>
          <w:p>
            <w:pPr>
              <w:rPr>
                <w:rFonts w:hint="eastAsia" w:ascii="仿宋_GB2312" w:eastAsia="仿宋_GB2312"/>
                <w:kern w:val="0"/>
                <w:szCs w:val="21"/>
              </w:rPr>
            </w:pPr>
            <w:r>
              <w:rPr>
                <w:rFonts w:hint="eastAsia" w:ascii="仿宋_GB2312" w:hAnsi="宋体" w:eastAsia="仿宋_GB2312" w:cs="宋体"/>
                <w:kern w:val="0"/>
                <w:szCs w:val="21"/>
              </w:rPr>
              <w:t>支持背景大图展示人体目标轨迹</w:t>
            </w:r>
          </w:p>
          <w:p>
            <w:pPr>
              <w:rPr>
                <w:rFonts w:hint="eastAsia" w:ascii="仿宋_GB2312" w:eastAsia="仿宋_GB2312"/>
                <w:kern w:val="0"/>
                <w:szCs w:val="21"/>
              </w:rPr>
            </w:pPr>
            <w:r>
              <w:rPr>
                <w:rFonts w:hint="eastAsia" w:ascii="仿宋_GB2312" w:hAnsi="宋体" w:eastAsia="仿宋_GB2312" w:cs="宋体"/>
                <w:kern w:val="0"/>
                <w:szCs w:val="21"/>
              </w:rPr>
              <w:t>设备内置高效专利温和补光灯，保证夜间正常进行人脸抓拍</w:t>
            </w:r>
          </w:p>
          <w:p>
            <w:pPr>
              <w:rPr>
                <w:rFonts w:hint="eastAsia" w:ascii="仿宋_GB2312" w:eastAsia="仿宋_GB2312"/>
                <w:kern w:val="0"/>
                <w:szCs w:val="21"/>
              </w:rPr>
            </w:pPr>
            <w:r>
              <w:rPr>
                <w:rFonts w:hint="eastAsia" w:ascii="仿宋_GB2312" w:hAnsi="宋体" w:eastAsia="仿宋_GB2312" w:cs="宋体"/>
                <w:kern w:val="0"/>
                <w:szCs w:val="21"/>
              </w:rPr>
              <w:t>传感器类型:上通道：1/1.8" Progressive Scan CMOS ;下通道：1/1.8" Progressive Scan CMOS</w:t>
            </w:r>
          </w:p>
          <w:p>
            <w:pPr>
              <w:rPr>
                <w:rFonts w:hint="eastAsia" w:ascii="仿宋_GB2312" w:eastAsia="仿宋_GB2312"/>
                <w:kern w:val="0"/>
                <w:szCs w:val="21"/>
              </w:rPr>
            </w:pPr>
            <w:r>
              <w:rPr>
                <w:rFonts w:hint="eastAsia" w:ascii="仿宋_GB2312" w:hAnsi="宋体" w:eastAsia="仿宋_GB2312" w:cs="宋体"/>
                <w:kern w:val="0"/>
                <w:szCs w:val="21"/>
              </w:rPr>
              <w:t>最低照度:</w:t>
            </w:r>
          </w:p>
          <w:p>
            <w:pPr>
              <w:rPr>
                <w:rFonts w:hint="eastAsia" w:ascii="仿宋_GB2312" w:eastAsia="仿宋_GB2312"/>
                <w:kern w:val="0"/>
                <w:szCs w:val="21"/>
              </w:rPr>
            </w:pPr>
            <w:r>
              <w:rPr>
                <w:rFonts w:hint="eastAsia" w:ascii="仿宋_GB2312" w:hAnsi="宋体" w:eastAsia="仿宋_GB2312" w:cs="宋体"/>
                <w:kern w:val="0"/>
                <w:szCs w:val="21"/>
              </w:rPr>
              <w:t>上通道：彩色:0.001 Lux @ (F1.2, AGC ON)  黑白:0.0006 Lux @ (F1.2, AGC ON), 0 Lux with IR</w:t>
            </w:r>
          </w:p>
          <w:p>
            <w:pPr>
              <w:rPr>
                <w:rFonts w:hint="eastAsia" w:ascii="仿宋_GB2312" w:eastAsia="仿宋_GB2312"/>
                <w:kern w:val="0"/>
                <w:szCs w:val="21"/>
              </w:rPr>
            </w:pPr>
            <w:r>
              <w:rPr>
                <w:rFonts w:hint="eastAsia" w:ascii="仿宋_GB2312" w:hAnsi="宋体" w:eastAsia="仿宋_GB2312" w:cs="宋体"/>
                <w:kern w:val="0"/>
                <w:szCs w:val="21"/>
              </w:rPr>
              <w:t>下通道：彩色:0.001 Lux @ (F1.2, AGC ON)  黑白:0.0002 Lux @ (F1.2, AGC ON), 0 Lux with Light</w:t>
            </w:r>
          </w:p>
          <w:p>
            <w:pPr>
              <w:rPr>
                <w:rFonts w:hint="eastAsia" w:ascii="仿宋_GB2312" w:eastAsia="仿宋_GB2312"/>
                <w:kern w:val="0"/>
                <w:szCs w:val="21"/>
              </w:rPr>
            </w:pPr>
            <w:r>
              <w:rPr>
                <w:rFonts w:hint="eastAsia" w:ascii="仿宋_GB2312" w:hAnsi="宋体" w:eastAsia="仿宋_GB2312" w:cs="宋体"/>
                <w:kern w:val="0"/>
                <w:szCs w:val="21"/>
              </w:rPr>
              <w:t>镜头:</w:t>
            </w:r>
          </w:p>
          <w:p>
            <w:pPr>
              <w:rPr>
                <w:rFonts w:hint="eastAsia" w:ascii="仿宋_GB2312" w:eastAsia="仿宋_GB2312"/>
                <w:kern w:val="0"/>
                <w:szCs w:val="21"/>
              </w:rPr>
            </w:pPr>
            <w:r>
              <w:rPr>
                <w:rFonts w:hint="eastAsia" w:ascii="仿宋_GB2312" w:hAnsi="宋体" w:eastAsia="仿宋_GB2312" w:cs="宋体"/>
                <w:kern w:val="0"/>
                <w:szCs w:val="21"/>
              </w:rPr>
              <w:t>上通道：10-50mm  @F1.2水平视场角：41.4°-9.8°   垂直视场角：22.7°-5.5°</w:t>
            </w:r>
          </w:p>
          <w:p>
            <w:pPr>
              <w:rPr>
                <w:rFonts w:hint="eastAsia" w:ascii="仿宋_GB2312" w:eastAsia="仿宋_GB2312"/>
                <w:kern w:val="0"/>
                <w:szCs w:val="21"/>
              </w:rPr>
            </w:pPr>
            <w:r>
              <w:rPr>
                <w:rFonts w:hint="eastAsia" w:ascii="仿宋_GB2312" w:hAnsi="宋体" w:eastAsia="仿宋_GB2312" w:cs="宋体"/>
                <w:kern w:val="0"/>
                <w:szCs w:val="21"/>
              </w:rPr>
              <w:t>下通道：4mm @F1.0 水平视场角：89°  垂直视场角：46°</w:t>
            </w:r>
          </w:p>
          <w:p>
            <w:pPr>
              <w:rPr>
                <w:rFonts w:hint="eastAsia" w:ascii="仿宋_GB2312" w:eastAsia="仿宋_GB2312"/>
                <w:kern w:val="0"/>
                <w:szCs w:val="21"/>
              </w:rPr>
            </w:pPr>
            <w:r>
              <w:rPr>
                <w:rFonts w:hint="eastAsia" w:ascii="仿宋_GB2312" w:hAnsi="宋体" w:eastAsia="仿宋_GB2312" w:cs="宋体"/>
                <w:kern w:val="0"/>
                <w:szCs w:val="21"/>
              </w:rPr>
              <w:t>视频压缩标准:H.265/H.264 / MJPEG</w:t>
            </w:r>
          </w:p>
          <w:p>
            <w:pPr>
              <w:rPr>
                <w:rFonts w:hint="eastAsia" w:ascii="仿宋_GB2312" w:eastAsia="仿宋_GB2312"/>
                <w:kern w:val="0"/>
                <w:szCs w:val="21"/>
              </w:rPr>
            </w:pPr>
            <w:r>
              <w:rPr>
                <w:rFonts w:hint="eastAsia" w:ascii="仿宋_GB2312" w:hAnsi="宋体" w:eastAsia="仿宋_GB2312" w:cs="宋体"/>
                <w:kern w:val="0"/>
                <w:szCs w:val="21"/>
              </w:rPr>
              <w:t>防护等级:IP66</w:t>
            </w:r>
          </w:p>
          <w:p>
            <w:pPr>
              <w:rPr>
                <w:rFonts w:hint="eastAsia" w:ascii="仿宋_GB2312" w:eastAsia="仿宋_GB2312"/>
                <w:kern w:val="0"/>
                <w:szCs w:val="21"/>
              </w:rPr>
            </w:pPr>
            <w:r>
              <w:rPr>
                <w:rFonts w:hint="eastAsia" w:ascii="仿宋_GB2312" w:hAnsi="宋体" w:eastAsia="仿宋_GB2312" w:cs="宋体"/>
                <w:kern w:val="0"/>
                <w:szCs w:val="21"/>
              </w:rPr>
              <w:t>红外波长:750nm</w:t>
            </w:r>
          </w:p>
        </w:tc>
        <w:tc>
          <w:tcPr>
            <w:tcW w:w="769"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kern w:val="0"/>
                <w:szCs w:val="21"/>
              </w:rPr>
            </w:pPr>
          </w:p>
        </w:tc>
        <w:tc>
          <w:tcPr>
            <w:tcW w:w="792"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1</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4</w:t>
            </w:r>
          </w:p>
        </w:tc>
        <w:tc>
          <w:tcPr>
            <w:tcW w:w="1265"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摄像机立杆（含基础）</w:t>
            </w:r>
          </w:p>
        </w:tc>
        <w:tc>
          <w:tcPr>
            <w:tcW w:w="5640" w:type="dxa"/>
            <w:tcBorders>
              <w:top w:val="nil"/>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定制，热镀锌喷塑，防锈防腐，管壁直径不小于180MM, 壁厚不小于6MM，3.5米挑1米</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根</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8</w:t>
            </w:r>
          </w:p>
        </w:tc>
      </w:tr>
      <w:tr>
        <w:tblPrEx>
          <w:tblCellMar>
            <w:top w:w="0" w:type="dxa"/>
            <w:left w:w="108" w:type="dxa"/>
            <w:bottom w:w="0" w:type="dxa"/>
            <w:right w:w="108" w:type="dxa"/>
          </w:tblCellMar>
        </w:tblPrEx>
        <w:trPr>
          <w:trHeight w:val="120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5</w:t>
            </w:r>
          </w:p>
        </w:tc>
        <w:tc>
          <w:tcPr>
            <w:tcW w:w="1265"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带NVR功能的人脸比对服务器</w:t>
            </w:r>
          </w:p>
        </w:tc>
        <w:tc>
          <w:tcPr>
            <w:tcW w:w="5640" w:type="dxa"/>
            <w:tcBorders>
              <w:top w:val="nil"/>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支持人脸管理：支持新建、删除、修改、查询、复制人脸库，可导入导出人脸图片，支持多张个人脸库，库容≥50000张人脸图片；人脸库查询结果支持列表、图表2种展示方式</w:t>
            </w:r>
          </w:p>
          <w:p>
            <w:pPr>
              <w:rPr>
                <w:rFonts w:hint="eastAsia" w:ascii="仿宋_GB2312" w:eastAsia="仿宋_GB2312"/>
                <w:kern w:val="0"/>
                <w:szCs w:val="21"/>
              </w:rPr>
            </w:pPr>
            <w:r>
              <w:rPr>
                <w:rFonts w:hint="eastAsia" w:ascii="仿宋_GB2312" w:hAnsi="宋体" w:eastAsia="仿宋_GB2312" w:cs="宋体"/>
                <w:kern w:val="0"/>
                <w:szCs w:val="21"/>
              </w:rPr>
              <w:t>支持人脸比对报警联动，可设置人脸相似度0-100，支持推送报警信息至客户端</w:t>
            </w:r>
          </w:p>
          <w:p>
            <w:pPr>
              <w:rPr>
                <w:rFonts w:hint="eastAsia" w:ascii="仿宋_GB2312" w:eastAsia="仿宋_GB2312"/>
                <w:kern w:val="0"/>
                <w:szCs w:val="21"/>
              </w:rPr>
            </w:pPr>
            <w:r>
              <w:rPr>
                <w:rFonts w:hint="eastAsia" w:ascii="仿宋_GB2312" w:hAnsi="宋体" w:eastAsia="仿宋_GB2312" w:cs="宋体"/>
                <w:kern w:val="0"/>
                <w:szCs w:val="21"/>
              </w:rPr>
              <w:t>支持陌生人人脸比对报警并推送消息至手机APP，可通过手机APP查看陌生人抓拍图片并回放报警关联录像</w:t>
            </w:r>
          </w:p>
          <w:p>
            <w:pPr>
              <w:rPr>
                <w:rFonts w:hint="eastAsia" w:ascii="仿宋_GB2312" w:eastAsia="仿宋_GB2312"/>
                <w:kern w:val="0"/>
                <w:szCs w:val="21"/>
              </w:rPr>
            </w:pPr>
            <w:r>
              <w:rPr>
                <w:rFonts w:hint="eastAsia" w:ascii="仿宋_GB2312" w:hAnsi="宋体" w:eastAsia="仿宋_GB2312" w:cs="宋体"/>
                <w:kern w:val="0"/>
                <w:szCs w:val="21"/>
              </w:rPr>
              <w:t>支持通过硬盘录像机实现人脸抓拍功能≥4路</w:t>
            </w:r>
          </w:p>
          <w:p>
            <w:pPr>
              <w:rPr>
                <w:rFonts w:hint="eastAsia" w:ascii="仿宋_GB2312" w:eastAsia="仿宋_GB2312"/>
                <w:kern w:val="0"/>
                <w:szCs w:val="21"/>
              </w:rPr>
            </w:pPr>
            <w:r>
              <w:rPr>
                <w:rFonts w:hint="eastAsia" w:ascii="仿宋_GB2312" w:hAnsi="宋体" w:eastAsia="仿宋_GB2312" w:cs="宋体"/>
                <w:kern w:val="0"/>
                <w:szCs w:val="21"/>
              </w:rPr>
              <w:t>支持人脸以图搜图，可导入人脸样本照片并设置相似度（0-100），检索出符合相似度的人脸图片，可查看人脸背景图片并回放关联录像并导出人脸图片；支持按通道、时间检索人脸抓拍图片；支持检索人脸比对报警图片，可查看到人脸抓拍图片、样本图片信息</w:t>
            </w:r>
          </w:p>
          <w:p>
            <w:pPr>
              <w:rPr>
                <w:rFonts w:hint="eastAsia" w:ascii="仿宋_GB2312" w:eastAsia="仿宋_GB2312"/>
                <w:kern w:val="0"/>
                <w:szCs w:val="21"/>
              </w:rPr>
            </w:pPr>
            <w:r>
              <w:rPr>
                <w:rFonts w:hint="eastAsia" w:ascii="仿宋_GB2312" w:hAnsi="宋体" w:eastAsia="仿宋_GB2312" w:cs="宋体"/>
                <w:kern w:val="0"/>
                <w:szCs w:val="21"/>
              </w:rPr>
              <w:t>可接入双目摄像机进行预览和回放</w:t>
            </w:r>
          </w:p>
          <w:p>
            <w:pPr>
              <w:rPr>
                <w:rFonts w:hint="eastAsia" w:ascii="仿宋_GB2312" w:eastAsia="仿宋_GB2312"/>
                <w:kern w:val="0"/>
                <w:szCs w:val="21"/>
              </w:rPr>
            </w:pPr>
            <w:r>
              <w:rPr>
                <w:rFonts w:hint="eastAsia" w:ascii="仿宋_GB2312" w:hAnsi="宋体" w:eastAsia="仿宋_GB2312" w:cs="宋体"/>
                <w:kern w:val="0"/>
                <w:szCs w:val="21"/>
              </w:rPr>
              <w:t>支持视频摘要回放功能：将不同时间段的多个目标叠加在一个背景上同时回放</w:t>
            </w:r>
          </w:p>
          <w:p>
            <w:pPr>
              <w:rPr>
                <w:rFonts w:hint="eastAsia" w:ascii="仿宋_GB2312" w:eastAsia="仿宋_GB2312"/>
                <w:kern w:val="0"/>
                <w:szCs w:val="21"/>
              </w:rPr>
            </w:pPr>
            <w:r>
              <w:rPr>
                <w:rFonts w:hint="eastAsia" w:ascii="仿宋_GB2312" w:hAnsi="宋体" w:eastAsia="仿宋_GB2312" w:cs="宋体"/>
                <w:kern w:val="0"/>
                <w:szCs w:val="21"/>
              </w:rPr>
              <w:t>支持同时输出3路H.264编码、20fps、4000×3000格式的视频图像</w:t>
            </w:r>
          </w:p>
          <w:p>
            <w:pPr>
              <w:rPr>
                <w:rFonts w:hint="eastAsia" w:ascii="仿宋_GB2312" w:eastAsia="仿宋_GB2312"/>
                <w:kern w:val="0"/>
                <w:szCs w:val="21"/>
              </w:rPr>
            </w:pPr>
            <w:r>
              <w:rPr>
                <w:rFonts w:hint="eastAsia" w:ascii="仿宋_GB2312" w:hAnsi="宋体" w:eastAsia="仿宋_GB2312" w:cs="宋体"/>
                <w:kern w:val="0"/>
                <w:szCs w:val="21"/>
              </w:rPr>
              <w:t>支持1/8、1/4、1/2、1、2、4、8、16、32、64、128、256等倍速回放录像，支持录像文件剪辑和回放截图功能</w:t>
            </w:r>
          </w:p>
          <w:p>
            <w:pPr>
              <w:rPr>
                <w:rFonts w:hint="eastAsia" w:ascii="仿宋_GB2312" w:eastAsia="仿宋_GB2312"/>
                <w:kern w:val="0"/>
                <w:szCs w:val="21"/>
              </w:rPr>
            </w:pPr>
            <w:r>
              <w:rPr>
                <w:rFonts w:hint="eastAsia" w:ascii="仿宋_GB2312" w:hAnsi="宋体" w:eastAsia="仿宋_GB2312" w:cs="宋体"/>
                <w:kern w:val="0"/>
                <w:szCs w:val="21"/>
              </w:rPr>
              <w:t>支持对鱼眼IPC进行矫正，可设置180度全景、360度全景、PTZ三种模式</w:t>
            </w:r>
          </w:p>
          <w:p>
            <w:pPr>
              <w:rPr>
                <w:rFonts w:hint="eastAsia" w:ascii="仿宋_GB2312" w:eastAsia="仿宋_GB2312"/>
                <w:kern w:val="0"/>
                <w:szCs w:val="21"/>
              </w:rPr>
            </w:pPr>
            <w:r>
              <w:rPr>
                <w:rFonts w:hint="eastAsia" w:ascii="仿宋_GB2312" w:hAnsi="宋体" w:eastAsia="仿宋_GB2312" w:cs="宋体"/>
                <w:kern w:val="0"/>
                <w:szCs w:val="21"/>
              </w:rPr>
              <w:t>支持视频图像≥8路</w:t>
            </w:r>
          </w:p>
          <w:p>
            <w:pPr>
              <w:rPr>
                <w:rFonts w:hint="eastAsia" w:ascii="仿宋_GB2312" w:eastAsia="仿宋_GB2312"/>
                <w:kern w:val="0"/>
                <w:szCs w:val="21"/>
              </w:rPr>
            </w:pPr>
            <w:r>
              <w:rPr>
                <w:rFonts w:hint="eastAsia" w:ascii="仿宋_GB2312" w:hAnsi="宋体" w:eastAsia="仿宋_GB2312" w:cs="宋体"/>
                <w:kern w:val="0"/>
                <w:szCs w:val="21"/>
              </w:rPr>
              <w:t>支持智能检索回放功能：进行智能检索回放时，通过设置线、四边形、矩形、全屏4种规则，可自动跳过未触发设定规则的录像，只播放触发规则的录像</w:t>
            </w:r>
          </w:p>
          <w:p>
            <w:pPr>
              <w:rPr>
                <w:rFonts w:hint="eastAsia" w:ascii="仿宋_GB2312" w:eastAsia="仿宋_GB2312"/>
                <w:kern w:val="0"/>
                <w:szCs w:val="21"/>
              </w:rPr>
            </w:pPr>
            <w:r>
              <w:rPr>
                <w:rFonts w:hint="eastAsia" w:ascii="仿宋_GB2312" w:hAnsi="宋体" w:eastAsia="仿宋_GB2312" w:cs="宋体"/>
                <w:kern w:val="0"/>
                <w:szCs w:val="21"/>
              </w:rPr>
              <w:t>支持带有越界、区域入侵、进入/离开区域、人员聚集、快速移动、物品遗留/拿取、停车、徘徊、场景变更、虚焦、音频异常报警、PIR报警功能的网络摄像机接入与相关报警联动功能</w:t>
            </w:r>
          </w:p>
          <w:p>
            <w:pPr>
              <w:rPr>
                <w:rFonts w:hint="eastAsia" w:ascii="仿宋_GB2312" w:eastAsia="仿宋_GB2312"/>
                <w:kern w:val="0"/>
                <w:szCs w:val="21"/>
              </w:rPr>
            </w:pPr>
            <w:r>
              <w:rPr>
                <w:rFonts w:hint="eastAsia" w:ascii="仿宋_GB2312" w:hAnsi="宋体" w:eastAsia="仿宋_GB2312" w:cs="宋体"/>
                <w:kern w:val="0"/>
                <w:szCs w:val="21"/>
              </w:rPr>
              <w:t xml:space="preserve">支持RAID0、RAID1、RAID5、RAID6、RAID10、RAID50、RAID60和JBOD模式 </w:t>
            </w:r>
          </w:p>
          <w:p>
            <w:pPr>
              <w:rPr>
                <w:rFonts w:hint="eastAsia" w:ascii="仿宋_GB2312" w:eastAsia="仿宋_GB2312"/>
                <w:kern w:val="0"/>
                <w:szCs w:val="21"/>
              </w:rPr>
            </w:pPr>
            <w:r>
              <w:rPr>
                <w:rFonts w:hint="eastAsia" w:ascii="仿宋_GB2312" w:hAnsi="宋体" w:eastAsia="仿宋_GB2312" w:cs="宋体"/>
                <w:kern w:val="0"/>
                <w:szCs w:val="21"/>
              </w:rPr>
              <w:t>支持录像续传接收功能，接入具有断网续传功能的网络摄像机，当样机与摄像机之间网络中断并恢复后，可自动接收摄像机内存储的视频图像</w:t>
            </w:r>
          </w:p>
          <w:p>
            <w:pPr>
              <w:rPr>
                <w:rFonts w:hint="eastAsia" w:ascii="仿宋_GB2312" w:eastAsia="仿宋_GB2312"/>
                <w:kern w:val="0"/>
                <w:szCs w:val="21"/>
              </w:rPr>
            </w:pPr>
            <w:r>
              <w:rPr>
                <w:rFonts w:hint="eastAsia" w:ascii="仿宋_GB2312" w:hAnsi="宋体" w:eastAsia="仿宋_GB2312" w:cs="宋体"/>
                <w:kern w:val="0"/>
                <w:szCs w:val="21"/>
              </w:rPr>
              <w:t>支持SATA接口≥8个，带eSATA接口和USB3.0接口， USB2.0≥2个；支持报警输入≥16路，报警输出接口≥8路</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台</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1</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6</w:t>
            </w:r>
          </w:p>
        </w:tc>
        <w:tc>
          <w:tcPr>
            <w:tcW w:w="1265"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网络录像机专用硬盘</w:t>
            </w:r>
          </w:p>
        </w:tc>
        <w:tc>
          <w:tcPr>
            <w:tcW w:w="5640" w:type="dxa"/>
            <w:tcBorders>
              <w:top w:val="single" w:color="auto" w:sz="4" w:space="0"/>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4TB/7200RPM/64M/6GB/SATA,保存录像30天以上。</w:t>
            </w:r>
          </w:p>
        </w:tc>
        <w:tc>
          <w:tcPr>
            <w:tcW w:w="769"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块</w:t>
            </w:r>
          </w:p>
        </w:tc>
        <w:tc>
          <w:tcPr>
            <w:tcW w:w="792"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4</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b/>
                <w:bCs/>
                <w:kern w:val="0"/>
                <w:szCs w:val="21"/>
              </w:rPr>
            </w:pPr>
            <w:r>
              <w:rPr>
                <w:rFonts w:hint="eastAsia" w:ascii="仿宋_GB2312" w:hAnsi="宋体" w:eastAsia="仿宋_GB2312" w:cs="宋体"/>
                <w:b/>
                <w:bCs/>
                <w:kern w:val="0"/>
                <w:szCs w:val="21"/>
              </w:rPr>
              <w:t>三</w:t>
            </w:r>
          </w:p>
        </w:tc>
        <w:tc>
          <w:tcPr>
            <w:tcW w:w="6905" w:type="dxa"/>
            <w:gridSpan w:val="2"/>
            <w:tcBorders>
              <w:top w:val="nil"/>
              <w:left w:val="nil"/>
              <w:bottom w:val="single" w:color="auto" w:sz="4" w:space="0"/>
              <w:right w:val="single" w:color="auto" w:sz="4" w:space="0"/>
            </w:tcBorders>
            <w:noWrap w:val="0"/>
            <w:vAlign w:val="center"/>
          </w:tcPr>
          <w:p>
            <w:pPr>
              <w:rPr>
                <w:rFonts w:hint="eastAsia" w:ascii="仿宋_GB2312" w:eastAsia="仿宋_GB2312"/>
                <w:b/>
                <w:bCs/>
                <w:kern w:val="0"/>
                <w:szCs w:val="21"/>
              </w:rPr>
            </w:pPr>
            <w:r>
              <w:rPr>
                <w:rFonts w:hint="eastAsia" w:ascii="仿宋_GB2312" w:hAnsi="宋体" w:eastAsia="仿宋_GB2312" w:cs="宋体"/>
                <w:b/>
                <w:bCs/>
                <w:kern w:val="0"/>
                <w:szCs w:val="21"/>
              </w:rPr>
              <w:t>制高点智能全景监控部分　</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b/>
                <w:bCs/>
                <w:kern w:val="0"/>
                <w:szCs w:val="21"/>
              </w:rPr>
            </w:pPr>
            <w:r>
              <w:rPr>
                <w:rFonts w:hint="eastAsia" w:ascii="仿宋_GB2312" w:hAnsi="宋体" w:eastAsia="仿宋_GB2312" w:cs="宋体"/>
                <w:b/>
                <w:bCs/>
                <w:kern w:val="0"/>
                <w:szCs w:val="21"/>
              </w:rPr>
              <w:t>　</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b/>
                <w:bCs/>
                <w:kern w:val="0"/>
                <w:szCs w:val="21"/>
              </w:rPr>
            </w:pPr>
            <w:r>
              <w:rPr>
                <w:rFonts w:hint="eastAsia" w:ascii="仿宋_GB2312" w:hAnsi="宋体" w:eastAsia="仿宋_GB2312" w:cs="宋体"/>
                <w:b/>
                <w:bCs/>
                <w:kern w:val="0"/>
                <w:szCs w:val="21"/>
              </w:rPr>
              <w:t>　</w:t>
            </w:r>
          </w:p>
        </w:tc>
      </w:tr>
      <w:tr>
        <w:tblPrEx>
          <w:tblCellMar>
            <w:top w:w="0" w:type="dxa"/>
            <w:left w:w="108" w:type="dxa"/>
            <w:bottom w:w="0" w:type="dxa"/>
            <w:right w:w="108" w:type="dxa"/>
          </w:tblCellMar>
        </w:tblPrEx>
        <w:trPr>
          <w:trHeight w:val="63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1</w:t>
            </w:r>
          </w:p>
        </w:tc>
        <w:tc>
          <w:tcPr>
            <w:tcW w:w="1265"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全景摄像机</w:t>
            </w:r>
          </w:p>
        </w:tc>
        <w:tc>
          <w:tcPr>
            <w:tcW w:w="5640" w:type="dxa"/>
            <w:tcBorders>
              <w:top w:val="nil"/>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800万180°全景一体式网络高清摄像机</w:t>
            </w:r>
          </w:p>
          <w:p>
            <w:pPr>
              <w:rPr>
                <w:rFonts w:hint="eastAsia" w:ascii="仿宋_GB2312" w:eastAsia="仿宋_GB2312"/>
                <w:kern w:val="0"/>
                <w:szCs w:val="21"/>
              </w:rPr>
            </w:pPr>
            <w:r>
              <w:rPr>
                <w:rFonts w:hint="eastAsia" w:ascii="仿宋_GB2312" w:hAnsi="宋体" w:eastAsia="仿宋_GB2312" w:cs="宋体"/>
                <w:kern w:val="0"/>
                <w:szCs w:val="21"/>
              </w:rPr>
              <w:t>自带镜头，另配图像采集模块≥4个，可输出主视频图像和4路及以上辅视频图像。可将辅视频图像进行无缝拼接，实现180°拼接画面显示，并抓拍拼接后的图像。拼接后的辅视频图像：水平视场角为180°，垂直视场角为80°</w:t>
            </w:r>
          </w:p>
          <w:p>
            <w:pPr>
              <w:rPr>
                <w:rFonts w:hint="eastAsia" w:ascii="仿宋_GB2312" w:eastAsia="仿宋_GB2312"/>
                <w:kern w:val="0"/>
                <w:szCs w:val="21"/>
              </w:rPr>
            </w:pPr>
            <w:r>
              <w:rPr>
                <w:rFonts w:hint="eastAsia" w:ascii="仿宋_GB2312" w:hAnsi="宋体" w:eastAsia="仿宋_GB2312" w:cs="宋体"/>
                <w:kern w:val="0"/>
                <w:szCs w:val="21"/>
              </w:rPr>
              <w:t>全景摄像机和细节跟踪摄像机均采用1/1.8"2MPCMOS</w:t>
            </w:r>
          </w:p>
          <w:p>
            <w:pPr>
              <w:rPr>
                <w:rFonts w:hint="eastAsia" w:ascii="仿宋_GB2312" w:eastAsia="仿宋_GB2312"/>
                <w:kern w:val="0"/>
                <w:szCs w:val="21"/>
              </w:rPr>
            </w:pPr>
            <w:r>
              <w:rPr>
                <w:rFonts w:hint="eastAsia" w:ascii="仿宋_GB2312" w:hAnsi="宋体" w:eastAsia="仿宋_GB2312" w:cs="宋体"/>
                <w:kern w:val="0"/>
                <w:szCs w:val="21"/>
              </w:rPr>
              <w:t>主视频图像：1920×1080@60fps，辅视频图像：4096×1800@30fps，其中主视频图像分辨力不小于1100线。</w:t>
            </w:r>
          </w:p>
          <w:p>
            <w:pPr>
              <w:rPr>
                <w:rFonts w:hint="eastAsia" w:ascii="仿宋_GB2312" w:eastAsia="仿宋_GB2312"/>
                <w:kern w:val="0"/>
                <w:szCs w:val="21"/>
              </w:rPr>
            </w:pPr>
            <w:r>
              <w:rPr>
                <w:rFonts w:hint="eastAsia" w:ascii="仿宋_GB2312" w:hAnsi="宋体" w:eastAsia="仿宋_GB2312" w:cs="宋体"/>
                <w:kern w:val="0"/>
                <w:szCs w:val="21"/>
              </w:rPr>
              <w:t>主视频支持37倍光学变焦。</w:t>
            </w:r>
          </w:p>
          <w:p>
            <w:pPr>
              <w:rPr>
                <w:rFonts w:hint="eastAsia" w:ascii="仿宋_GB2312" w:eastAsia="仿宋_GB2312"/>
                <w:kern w:val="0"/>
                <w:szCs w:val="21"/>
              </w:rPr>
            </w:pPr>
            <w:r>
              <w:rPr>
                <w:rFonts w:hint="eastAsia" w:ascii="仿宋_GB2312" w:hAnsi="宋体" w:eastAsia="仿宋_GB2312" w:cs="宋体"/>
                <w:kern w:val="0"/>
                <w:szCs w:val="21"/>
              </w:rPr>
              <w:t>彩色：0.0003lux；黑白：0.0001lux</w:t>
            </w:r>
          </w:p>
          <w:p>
            <w:pPr>
              <w:rPr>
                <w:rFonts w:hint="eastAsia" w:ascii="仿宋_GB2312" w:eastAsia="仿宋_GB2312"/>
                <w:kern w:val="0"/>
                <w:szCs w:val="21"/>
              </w:rPr>
            </w:pPr>
            <w:r>
              <w:rPr>
                <w:rFonts w:hint="eastAsia" w:ascii="仿宋_GB2312" w:hAnsi="宋体" w:eastAsia="仿宋_GB2312" w:cs="宋体"/>
                <w:kern w:val="0"/>
                <w:szCs w:val="21"/>
              </w:rPr>
              <w:t>支持宽动态不小于106dB。</w:t>
            </w:r>
          </w:p>
          <w:p>
            <w:pPr>
              <w:rPr>
                <w:rFonts w:hint="eastAsia" w:ascii="仿宋_GB2312" w:eastAsia="仿宋_GB2312"/>
                <w:kern w:val="0"/>
                <w:szCs w:val="21"/>
              </w:rPr>
            </w:pPr>
            <w:r>
              <w:rPr>
                <w:rFonts w:hint="eastAsia" w:ascii="仿宋_GB2312" w:hAnsi="宋体" w:eastAsia="仿宋_GB2312" w:cs="宋体"/>
                <w:kern w:val="0"/>
                <w:szCs w:val="21"/>
              </w:rPr>
              <w:t>支持水平手控速度不小于800°/S，云台定位精度为不大于0.1°。垂直手控速度不小于200°/S</w:t>
            </w:r>
          </w:p>
          <w:p>
            <w:pPr>
              <w:rPr>
                <w:rFonts w:hint="eastAsia" w:ascii="仿宋_GB2312" w:eastAsia="仿宋_GB2312"/>
                <w:kern w:val="0"/>
                <w:szCs w:val="21"/>
              </w:rPr>
            </w:pPr>
            <w:r>
              <w:rPr>
                <w:rFonts w:hint="eastAsia" w:ascii="仿宋_GB2312" w:hAnsi="宋体" w:eastAsia="仿宋_GB2312" w:cs="宋体"/>
                <w:kern w:val="0"/>
                <w:szCs w:val="21"/>
              </w:rPr>
              <w:t>水平连续360°旋转。垂直旋转范围为-20°~90°</w:t>
            </w:r>
          </w:p>
          <w:p>
            <w:pPr>
              <w:rPr>
                <w:rFonts w:hint="eastAsia" w:ascii="仿宋_GB2312" w:eastAsia="仿宋_GB2312"/>
                <w:kern w:val="0"/>
                <w:szCs w:val="21"/>
              </w:rPr>
            </w:pPr>
            <w:r>
              <w:rPr>
                <w:rFonts w:hint="eastAsia" w:ascii="仿宋_GB2312" w:hAnsi="宋体" w:eastAsia="仿宋_GB2312" w:cs="宋体"/>
                <w:kern w:val="0"/>
                <w:szCs w:val="21"/>
              </w:rPr>
              <w:t>支持云台优先级控制，可实现RS485接口优先或RJ45网络接口优先控制功能。</w:t>
            </w:r>
          </w:p>
          <w:p>
            <w:pPr>
              <w:rPr>
                <w:rFonts w:hint="eastAsia" w:ascii="仿宋_GB2312" w:eastAsia="仿宋_GB2312"/>
                <w:kern w:val="0"/>
                <w:szCs w:val="21"/>
              </w:rPr>
            </w:pPr>
            <w:r>
              <w:rPr>
                <w:rFonts w:hint="eastAsia" w:ascii="仿宋_GB2312" w:hAnsi="宋体" w:eastAsia="仿宋_GB2312" w:cs="宋体"/>
                <w:kern w:val="0"/>
                <w:szCs w:val="21"/>
              </w:rPr>
              <w:t>有本地存储功能，支持SD卡热插拔，最大支持256GB。</w:t>
            </w:r>
          </w:p>
          <w:p>
            <w:pPr>
              <w:rPr>
                <w:rFonts w:hint="eastAsia" w:ascii="仿宋_GB2312" w:eastAsia="仿宋_GB2312"/>
                <w:kern w:val="0"/>
                <w:szCs w:val="21"/>
              </w:rPr>
            </w:pPr>
            <w:r>
              <w:rPr>
                <w:rFonts w:hint="eastAsia" w:ascii="仿宋_GB2312" w:hAnsi="宋体" w:eastAsia="仿宋_GB2312" w:cs="宋体"/>
                <w:kern w:val="0"/>
                <w:szCs w:val="21"/>
              </w:rPr>
              <w:t>在IE浏览器下，具有H265、H.264、MJPEG设置选项；可将H.264格式设置为Baseline/Main/HighProfile</w:t>
            </w:r>
          </w:p>
          <w:p>
            <w:pPr>
              <w:rPr>
                <w:rFonts w:hint="eastAsia" w:ascii="仿宋_GB2312" w:eastAsia="仿宋_GB2312"/>
                <w:kern w:val="0"/>
                <w:szCs w:val="21"/>
              </w:rPr>
            </w:pPr>
            <w:r>
              <w:rPr>
                <w:rFonts w:hint="eastAsia" w:ascii="仿宋_GB2312" w:hAnsi="宋体" w:eastAsia="仿宋_GB2312" w:cs="宋体"/>
                <w:kern w:val="0"/>
                <w:szCs w:val="21"/>
              </w:rPr>
              <w:t>产品支持自动跟踪、手动跟踪、混合跟踪功能</w:t>
            </w:r>
          </w:p>
          <w:p>
            <w:pPr>
              <w:rPr>
                <w:rFonts w:hint="eastAsia" w:ascii="仿宋_GB2312" w:eastAsia="仿宋_GB2312"/>
                <w:kern w:val="0"/>
                <w:szCs w:val="21"/>
              </w:rPr>
            </w:pPr>
            <w:r>
              <w:rPr>
                <w:rFonts w:hint="eastAsia" w:ascii="仿宋_GB2312" w:hAnsi="宋体" w:eastAsia="仿宋_GB2312" w:cs="宋体"/>
                <w:kern w:val="0"/>
                <w:szCs w:val="21"/>
              </w:rPr>
              <w:t>可进行框选显示设置，可对正在跟踪的目标及其他移动目标分别进行不同颜色的框选显示，并可通过客户端软件或IE浏览器设置是否对检测到的移动目标进行框选显示</w:t>
            </w:r>
          </w:p>
          <w:p>
            <w:pPr>
              <w:rPr>
                <w:rFonts w:hint="eastAsia" w:ascii="仿宋_GB2312" w:eastAsia="仿宋_GB2312"/>
                <w:kern w:val="0"/>
                <w:szCs w:val="21"/>
              </w:rPr>
            </w:pPr>
            <w:r>
              <w:rPr>
                <w:rFonts w:hint="eastAsia" w:ascii="仿宋_GB2312" w:hAnsi="宋体" w:eastAsia="仿宋_GB2312" w:cs="宋体"/>
                <w:kern w:val="0"/>
                <w:szCs w:val="21"/>
              </w:rPr>
              <w:t>具备画中画预览功能，可通过IE浏览器在主视频图像中叠加辅视频图像进行预览</w:t>
            </w:r>
          </w:p>
          <w:p>
            <w:pPr>
              <w:rPr>
                <w:rFonts w:hint="eastAsia" w:ascii="仿宋_GB2312" w:eastAsia="仿宋_GB2312"/>
                <w:kern w:val="0"/>
                <w:szCs w:val="21"/>
              </w:rPr>
            </w:pPr>
            <w:r>
              <w:rPr>
                <w:rFonts w:hint="eastAsia" w:ascii="仿宋_GB2312" w:hAnsi="宋体" w:eastAsia="仿宋_GB2312" w:cs="宋体"/>
                <w:kern w:val="0"/>
                <w:szCs w:val="21"/>
              </w:rPr>
              <w:t>支持IP67，10KV防浪涌。</w:t>
            </w:r>
          </w:p>
          <w:p>
            <w:pPr>
              <w:rPr>
                <w:rFonts w:hint="eastAsia" w:ascii="仿宋_GB2312" w:eastAsia="仿宋_GB2312"/>
                <w:kern w:val="0"/>
                <w:szCs w:val="21"/>
              </w:rPr>
            </w:pPr>
            <w:r>
              <w:rPr>
                <w:rFonts w:hint="eastAsia" w:ascii="仿宋_GB2312" w:hAnsi="宋体" w:eastAsia="仿宋_GB2312" w:cs="宋体"/>
                <w:kern w:val="0"/>
                <w:szCs w:val="21"/>
              </w:rPr>
              <w:t>红外灯开启时，可根据被摄物的距离自动调节红外灯功率密度。红外夜视距离：可识别距离样机550m外人体轮廓</w:t>
            </w:r>
          </w:p>
          <w:p>
            <w:pPr>
              <w:rPr>
                <w:rFonts w:hint="eastAsia" w:ascii="仿宋_GB2312" w:eastAsia="仿宋_GB2312"/>
                <w:kern w:val="0"/>
                <w:szCs w:val="21"/>
              </w:rPr>
            </w:pPr>
            <w:r>
              <w:rPr>
                <w:rFonts w:hint="eastAsia" w:ascii="仿宋_GB2312" w:hAnsi="宋体" w:eastAsia="仿宋_GB2312" w:cs="宋体"/>
                <w:kern w:val="0"/>
                <w:szCs w:val="21"/>
              </w:rPr>
              <w:t>当样机检测到雾的浓度达到设定的阈值时，可自动在算法透雾和光学透雾之间进行切换。</w:t>
            </w:r>
          </w:p>
          <w:p>
            <w:pPr>
              <w:rPr>
                <w:rFonts w:hint="eastAsia" w:ascii="仿宋_GB2312" w:eastAsia="仿宋_GB2312"/>
                <w:kern w:val="0"/>
                <w:szCs w:val="21"/>
              </w:rPr>
            </w:pPr>
            <w:r>
              <w:rPr>
                <w:rFonts w:hint="eastAsia" w:ascii="仿宋_GB2312" w:hAnsi="宋体" w:eastAsia="仿宋_GB2312" w:cs="宋体"/>
                <w:kern w:val="0"/>
                <w:szCs w:val="21"/>
              </w:rPr>
              <w:t>有多种滤光片，在白天、夜晚及有雾情况下可自动切换不同的滤光片进行成像。三片滤光片透过率均不小于95%。</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台</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1</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2</w:t>
            </w:r>
          </w:p>
        </w:tc>
        <w:tc>
          <w:tcPr>
            <w:tcW w:w="1265"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支架</w:t>
            </w:r>
          </w:p>
        </w:tc>
        <w:tc>
          <w:tcPr>
            <w:tcW w:w="5640" w:type="dxa"/>
            <w:tcBorders>
              <w:top w:val="nil"/>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根据现场实际情况进行定制。</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只</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1</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b/>
                <w:bCs/>
                <w:kern w:val="0"/>
                <w:szCs w:val="21"/>
              </w:rPr>
            </w:pPr>
            <w:r>
              <w:rPr>
                <w:rFonts w:hint="eastAsia" w:ascii="仿宋_GB2312" w:hAnsi="宋体" w:eastAsia="仿宋_GB2312" w:cs="宋体"/>
                <w:b/>
                <w:bCs/>
                <w:kern w:val="0"/>
                <w:szCs w:val="21"/>
              </w:rPr>
              <w:t>四</w:t>
            </w:r>
          </w:p>
        </w:tc>
        <w:tc>
          <w:tcPr>
            <w:tcW w:w="6905" w:type="dxa"/>
            <w:gridSpan w:val="2"/>
            <w:tcBorders>
              <w:top w:val="nil"/>
              <w:left w:val="nil"/>
              <w:bottom w:val="single" w:color="auto" w:sz="4" w:space="0"/>
              <w:right w:val="single" w:color="auto" w:sz="4" w:space="0"/>
            </w:tcBorders>
            <w:noWrap w:val="0"/>
            <w:vAlign w:val="center"/>
          </w:tcPr>
          <w:p>
            <w:pPr>
              <w:rPr>
                <w:rFonts w:hint="eastAsia" w:ascii="仿宋_GB2312" w:eastAsia="仿宋_GB2312"/>
                <w:b/>
                <w:bCs/>
                <w:kern w:val="0"/>
                <w:szCs w:val="21"/>
              </w:rPr>
            </w:pPr>
            <w:r>
              <w:rPr>
                <w:rFonts w:hint="eastAsia" w:ascii="仿宋_GB2312" w:hAnsi="宋体" w:eastAsia="仿宋_GB2312" w:cs="宋体"/>
                <w:b/>
                <w:bCs/>
                <w:kern w:val="0"/>
                <w:szCs w:val="21"/>
              </w:rPr>
              <w:t>人员密集检测智能防范部分　</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b/>
                <w:bCs/>
                <w:kern w:val="0"/>
                <w:szCs w:val="21"/>
              </w:rPr>
            </w:pPr>
            <w:r>
              <w:rPr>
                <w:rFonts w:hint="eastAsia" w:ascii="仿宋_GB2312" w:hAnsi="宋体" w:eastAsia="仿宋_GB2312" w:cs="宋体"/>
                <w:b/>
                <w:bCs/>
                <w:kern w:val="0"/>
                <w:szCs w:val="21"/>
              </w:rPr>
              <w:t>　</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b/>
                <w:bCs/>
                <w:kern w:val="0"/>
                <w:szCs w:val="21"/>
              </w:rPr>
            </w:pPr>
            <w:r>
              <w:rPr>
                <w:rFonts w:hint="eastAsia" w:ascii="仿宋_GB2312" w:hAnsi="宋体" w:eastAsia="仿宋_GB2312" w:cs="宋体"/>
                <w:b/>
                <w:bCs/>
                <w:kern w:val="0"/>
                <w:szCs w:val="21"/>
              </w:rPr>
              <w:t>　</w:t>
            </w:r>
          </w:p>
        </w:tc>
      </w:tr>
      <w:tr>
        <w:tblPrEx>
          <w:tblCellMar>
            <w:top w:w="0" w:type="dxa"/>
            <w:left w:w="108" w:type="dxa"/>
            <w:bottom w:w="0" w:type="dxa"/>
            <w:right w:w="108" w:type="dxa"/>
          </w:tblCellMar>
        </w:tblPrEx>
        <w:trPr>
          <w:trHeight w:val="990" w:hRule="atLeast"/>
          <w:jc w:val="center"/>
        </w:trPr>
        <w:tc>
          <w:tcPr>
            <w:tcW w:w="7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1</w:t>
            </w:r>
          </w:p>
        </w:tc>
        <w:tc>
          <w:tcPr>
            <w:tcW w:w="1265"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400万高清红外一体化网络枪式摄像机</w:t>
            </w:r>
          </w:p>
        </w:tc>
        <w:tc>
          <w:tcPr>
            <w:tcW w:w="5640" w:type="dxa"/>
            <w:tcBorders>
              <w:top w:val="single" w:color="auto" w:sz="4" w:space="0"/>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400万星光级1/1.8”CMOS AI轻智能抓拍筒型网络摄像机</w:t>
            </w:r>
          </w:p>
          <w:p>
            <w:pPr>
              <w:rPr>
                <w:rFonts w:hint="eastAsia" w:ascii="仿宋_GB2312" w:eastAsia="仿宋_GB2312"/>
                <w:kern w:val="0"/>
                <w:szCs w:val="21"/>
              </w:rPr>
            </w:pPr>
            <w:r>
              <w:rPr>
                <w:rFonts w:hint="eastAsia" w:ascii="仿宋_GB2312" w:hAnsi="宋体" w:eastAsia="仿宋_GB2312" w:cs="宋体"/>
                <w:kern w:val="0"/>
                <w:szCs w:val="21"/>
              </w:rPr>
              <w:t>最低照度彩色不大于0.001 lx，黑白不大于0.0001 lx，最大亮度鉴别等级不小于11级。</w:t>
            </w:r>
          </w:p>
          <w:p>
            <w:pPr>
              <w:rPr>
                <w:rFonts w:hint="eastAsia" w:ascii="仿宋_GB2312" w:eastAsia="仿宋_GB2312"/>
                <w:kern w:val="0"/>
                <w:szCs w:val="21"/>
              </w:rPr>
            </w:pPr>
            <w:r>
              <w:rPr>
                <w:rFonts w:hint="eastAsia" w:ascii="仿宋_GB2312" w:hAnsi="宋体" w:eastAsia="仿宋_GB2312" w:cs="宋体"/>
                <w:kern w:val="0"/>
                <w:szCs w:val="21"/>
              </w:rPr>
              <w:t>照度适应范围需大于120dB。</w:t>
            </w:r>
          </w:p>
          <w:p>
            <w:pPr>
              <w:rPr>
                <w:rFonts w:hint="eastAsia" w:ascii="仿宋_GB2312" w:eastAsia="仿宋_GB2312"/>
                <w:kern w:val="0"/>
                <w:szCs w:val="21"/>
              </w:rPr>
            </w:pPr>
            <w:r>
              <w:rPr>
                <w:rFonts w:hint="eastAsia" w:ascii="仿宋_GB2312" w:hAnsi="宋体" w:eastAsia="仿宋_GB2312" w:cs="宋体"/>
                <w:kern w:val="0"/>
                <w:szCs w:val="21"/>
              </w:rPr>
              <w:t>设备水平中心分辨力不小于1500TVL。</w:t>
            </w:r>
          </w:p>
          <w:p>
            <w:pPr>
              <w:rPr>
                <w:rFonts w:hint="eastAsia" w:ascii="仿宋_GB2312" w:eastAsia="仿宋_GB2312"/>
                <w:kern w:val="0"/>
                <w:szCs w:val="21"/>
              </w:rPr>
            </w:pPr>
            <w:r>
              <w:rPr>
                <w:rFonts w:hint="eastAsia" w:ascii="仿宋_GB2312" w:hAnsi="宋体" w:eastAsia="仿宋_GB2312" w:cs="宋体"/>
                <w:kern w:val="0"/>
                <w:szCs w:val="21"/>
              </w:rPr>
              <w:t>支持H.264、H.265、MJPEG视频编码格式，且具有High Profile编码能力。</w:t>
            </w:r>
          </w:p>
          <w:p>
            <w:pPr>
              <w:rPr>
                <w:rFonts w:hint="eastAsia" w:ascii="仿宋_GB2312" w:eastAsia="仿宋_GB2312"/>
                <w:kern w:val="0"/>
                <w:szCs w:val="21"/>
              </w:rPr>
            </w:pPr>
            <w:r>
              <w:rPr>
                <w:rFonts w:hint="eastAsia" w:ascii="仿宋_GB2312" w:hAnsi="宋体" w:eastAsia="仿宋_GB2312" w:cs="宋体"/>
                <w:kern w:val="0"/>
                <w:szCs w:val="21"/>
              </w:rPr>
              <w:t>在分辨率2688x1520 @ 25fps，延时不大于130ms。</w:t>
            </w:r>
          </w:p>
          <w:p>
            <w:pPr>
              <w:rPr>
                <w:rFonts w:hint="eastAsia" w:ascii="仿宋_GB2312" w:eastAsia="仿宋_GB2312"/>
                <w:kern w:val="0"/>
                <w:szCs w:val="21"/>
              </w:rPr>
            </w:pPr>
            <w:r>
              <w:rPr>
                <w:rFonts w:hint="eastAsia" w:ascii="仿宋_GB2312" w:hAnsi="宋体" w:eastAsia="仿宋_GB2312" w:cs="宋体"/>
                <w:kern w:val="0"/>
                <w:szCs w:val="21"/>
              </w:rPr>
              <w:t>信噪比不小于58dB。</w:t>
            </w:r>
          </w:p>
          <w:p>
            <w:pPr>
              <w:rPr>
                <w:rFonts w:hint="eastAsia" w:ascii="仿宋_GB2312" w:eastAsia="仿宋_GB2312"/>
                <w:kern w:val="0"/>
                <w:szCs w:val="21"/>
              </w:rPr>
            </w:pPr>
            <w:r>
              <w:rPr>
                <w:rFonts w:hint="eastAsia" w:ascii="仿宋_GB2312" w:hAnsi="宋体" w:eastAsia="仿宋_GB2312" w:cs="宋体"/>
                <w:kern w:val="0"/>
                <w:szCs w:val="21"/>
              </w:rPr>
              <w:t>具有大于120分的宽动态能力。</w:t>
            </w:r>
          </w:p>
          <w:p>
            <w:pPr>
              <w:rPr>
                <w:rFonts w:hint="eastAsia" w:ascii="仿宋_GB2312" w:eastAsia="仿宋_GB2312"/>
                <w:kern w:val="0"/>
                <w:szCs w:val="21"/>
              </w:rPr>
            </w:pPr>
            <w:r>
              <w:rPr>
                <w:rFonts w:hint="eastAsia" w:ascii="仿宋_GB2312" w:hAnsi="宋体" w:eastAsia="仿宋_GB2312" w:cs="宋体"/>
                <w:kern w:val="0"/>
                <w:szCs w:val="21"/>
              </w:rPr>
              <w:t>支持三码流技术，主码流分辨率不小于2688x1520@25fps，子码流不小于704x576@25fps，第三码流不小于1920x1080@25fps，且支持在各码流最大分辨率和帧率时同时输出。</w:t>
            </w:r>
          </w:p>
          <w:p>
            <w:pPr>
              <w:rPr>
                <w:rFonts w:hint="eastAsia" w:ascii="仿宋_GB2312" w:eastAsia="仿宋_GB2312"/>
                <w:kern w:val="0"/>
                <w:szCs w:val="21"/>
              </w:rPr>
            </w:pPr>
            <w:r>
              <w:rPr>
                <w:rFonts w:hint="eastAsia" w:ascii="仿宋_GB2312" w:hAnsi="宋体" w:eastAsia="仿宋_GB2312" w:cs="宋体"/>
                <w:kern w:val="0"/>
                <w:szCs w:val="21"/>
              </w:rPr>
              <w:t>支持IP67防尘防水。</w:t>
            </w:r>
          </w:p>
          <w:p>
            <w:pPr>
              <w:rPr>
                <w:rFonts w:hint="eastAsia" w:ascii="仿宋_GB2312" w:eastAsia="仿宋_GB2312"/>
                <w:kern w:val="0"/>
                <w:szCs w:val="21"/>
              </w:rPr>
            </w:pPr>
            <w:r>
              <w:rPr>
                <w:rFonts w:hint="eastAsia" w:ascii="仿宋_GB2312" w:hAnsi="宋体" w:eastAsia="仿宋_GB2312" w:cs="宋体"/>
                <w:kern w:val="0"/>
                <w:szCs w:val="21"/>
              </w:rPr>
              <w:t>支持车辆捕获功能。（白天和晚上的捕获率均大于99%）</w:t>
            </w:r>
          </w:p>
          <w:p>
            <w:pPr>
              <w:rPr>
                <w:rFonts w:hint="eastAsia" w:ascii="仿宋_GB2312" w:eastAsia="仿宋_GB2312"/>
                <w:kern w:val="0"/>
                <w:szCs w:val="21"/>
              </w:rPr>
            </w:pPr>
            <w:r>
              <w:rPr>
                <w:rFonts w:hint="eastAsia" w:ascii="仿宋_GB2312" w:hAnsi="宋体" w:eastAsia="仿宋_GB2312" w:cs="宋体"/>
                <w:kern w:val="0"/>
                <w:szCs w:val="21"/>
              </w:rPr>
              <w:t>支持车牌识别功能。（白天和晚上的识别率均大于99%）</w:t>
            </w:r>
          </w:p>
          <w:p>
            <w:pPr>
              <w:rPr>
                <w:rFonts w:hint="eastAsia" w:ascii="仿宋_GB2312" w:eastAsia="仿宋_GB2312"/>
                <w:kern w:val="0"/>
                <w:szCs w:val="21"/>
              </w:rPr>
            </w:pPr>
            <w:r>
              <w:rPr>
                <w:rFonts w:hint="eastAsia" w:ascii="仿宋_GB2312" w:hAnsi="宋体" w:eastAsia="仿宋_GB2312" w:cs="宋体"/>
                <w:kern w:val="0"/>
                <w:szCs w:val="21"/>
              </w:rPr>
              <w:t>内置电动变焦镜头，支持1.5倍光学变倍。</w:t>
            </w:r>
          </w:p>
        </w:tc>
        <w:tc>
          <w:tcPr>
            <w:tcW w:w="769"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只</w:t>
            </w:r>
          </w:p>
        </w:tc>
        <w:tc>
          <w:tcPr>
            <w:tcW w:w="792"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15</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2</w:t>
            </w:r>
          </w:p>
        </w:tc>
        <w:tc>
          <w:tcPr>
            <w:tcW w:w="1265"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枪机专用支架</w:t>
            </w:r>
          </w:p>
        </w:tc>
        <w:tc>
          <w:tcPr>
            <w:tcW w:w="5640" w:type="dxa"/>
            <w:tcBorders>
              <w:top w:val="nil"/>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标准壁装支架，铝合金材质，与摄像机配套</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支</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15</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3</w:t>
            </w:r>
          </w:p>
        </w:tc>
        <w:tc>
          <w:tcPr>
            <w:tcW w:w="126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监控电源</w:t>
            </w:r>
          </w:p>
        </w:tc>
        <w:tc>
          <w:tcPr>
            <w:tcW w:w="5640" w:type="dxa"/>
            <w:tcBorders>
              <w:top w:val="nil"/>
              <w:left w:val="single" w:color="auto" w:sz="4" w:space="0"/>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AC220V电源输入，DC12V10A稳压输出</w:t>
            </w:r>
          </w:p>
        </w:tc>
        <w:tc>
          <w:tcPr>
            <w:tcW w:w="76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只</w:t>
            </w:r>
          </w:p>
        </w:tc>
        <w:tc>
          <w:tcPr>
            <w:tcW w:w="792"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4</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4</w:t>
            </w:r>
          </w:p>
        </w:tc>
        <w:tc>
          <w:tcPr>
            <w:tcW w:w="1265"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智能NVR</w:t>
            </w:r>
          </w:p>
        </w:tc>
        <w:tc>
          <w:tcPr>
            <w:tcW w:w="5640" w:type="dxa"/>
            <w:tcBorders>
              <w:top w:val="single" w:color="auto" w:sz="4" w:space="0"/>
              <w:left w:val="nil"/>
              <w:bottom w:val="single" w:color="auto" w:sz="4" w:space="0"/>
              <w:right w:val="single" w:color="auto" w:sz="4" w:space="0"/>
            </w:tcBorders>
            <w:noWrap w:val="0"/>
            <w:vAlign w:val="center"/>
          </w:tcPr>
          <w:p>
            <w:pPr>
              <w:rPr>
                <w:rFonts w:hint="eastAsia" w:ascii="仿宋_GB2312" w:eastAsia="仿宋_GB2312"/>
                <w:szCs w:val="21"/>
              </w:rPr>
            </w:pPr>
            <w:r>
              <w:rPr>
                <w:rFonts w:hint="eastAsia" w:ascii="仿宋_GB2312" w:eastAsia="仿宋_GB2312" w:cs="宋体"/>
                <w:szCs w:val="21"/>
              </w:rPr>
              <w:t>支持周界报警过滤功能，对</w:t>
            </w:r>
            <w:r>
              <w:rPr>
                <w:rFonts w:hint="eastAsia" w:ascii="仿宋_GB2312" w:eastAsia="仿宋_GB2312"/>
                <w:szCs w:val="21"/>
              </w:rPr>
              <w:t>IPC</w:t>
            </w:r>
            <w:r>
              <w:rPr>
                <w:rFonts w:hint="eastAsia" w:ascii="仿宋_GB2312" w:eastAsia="仿宋_GB2312" w:cs="宋体"/>
                <w:szCs w:val="21"/>
              </w:rPr>
              <w:t>上报的越界侦测报警和区域入侵报警进行去误报，可去除由树叶、灯光、车辆、阴影以及小动物引起的误报，支持</w:t>
            </w:r>
            <w:r>
              <w:rPr>
                <w:rFonts w:hint="eastAsia" w:ascii="仿宋_GB2312" w:eastAsia="仿宋_GB2312"/>
                <w:szCs w:val="21"/>
              </w:rPr>
              <w:t>16</w:t>
            </w:r>
            <w:r>
              <w:rPr>
                <w:rFonts w:hint="eastAsia" w:ascii="仿宋_GB2312" w:eastAsia="仿宋_GB2312" w:cs="宋体"/>
                <w:szCs w:val="21"/>
              </w:rPr>
              <w:t>路及以上</w:t>
            </w:r>
          </w:p>
          <w:p>
            <w:pPr>
              <w:rPr>
                <w:rFonts w:hint="eastAsia" w:ascii="仿宋_GB2312" w:eastAsia="仿宋_GB2312"/>
                <w:szCs w:val="21"/>
              </w:rPr>
            </w:pPr>
            <w:r>
              <w:rPr>
                <w:rFonts w:hint="eastAsia" w:ascii="仿宋_GB2312" w:eastAsia="仿宋_GB2312" w:cs="宋体"/>
                <w:szCs w:val="21"/>
              </w:rPr>
              <w:t>支持接入人体抓拍机，当抓拍机侦测到人体并触发报警时，</w:t>
            </w:r>
            <w:r>
              <w:rPr>
                <w:rFonts w:hint="eastAsia" w:ascii="仿宋_GB2312" w:eastAsia="仿宋_GB2312"/>
                <w:szCs w:val="21"/>
              </w:rPr>
              <w:t>NVR</w:t>
            </w:r>
            <w:r>
              <w:rPr>
                <w:rFonts w:hint="eastAsia" w:ascii="仿宋_GB2312" w:eastAsia="仿宋_GB2312" w:cs="宋体"/>
                <w:szCs w:val="21"/>
              </w:rPr>
              <w:t>可联动录像、保存人体图片、弹出报警画面、声音警告、上传中心、发送邮件、触发报警输出，可按通道、时间检索图片</w:t>
            </w:r>
          </w:p>
          <w:p>
            <w:pPr>
              <w:rPr>
                <w:rFonts w:hint="eastAsia" w:ascii="仿宋_GB2312" w:eastAsia="仿宋_GB2312"/>
                <w:szCs w:val="21"/>
              </w:rPr>
            </w:pPr>
            <w:r>
              <w:rPr>
                <w:rFonts w:hint="eastAsia" w:ascii="仿宋_GB2312" w:eastAsia="仿宋_GB2312" w:cs="宋体"/>
                <w:szCs w:val="21"/>
              </w:rPr>
              <w:t>支持对人体抓拍机上报的报警图片进行二次识别，去除非人体报警</w:t>
            </w:r>
          </w:p>
          <w:p>
            <w:pPr>
              <w:rPr>
                <w:rFonts w:hint="eastAsia" w:ascii="仿宋_GB2312" w:eastAsia="仿宋_GB2312"/>
                <w:szCs w:val="21"/>
              </w:rPr>
            </w:pPr>
            <w:r>
              <w:rPr>
                <w:rFonts w:hint="eastAsia" w:ascii="仿宋_GB2312" w:eastAsia="仿宋_GB2312" w:cs="宋体"/>
                <w:szCs w:val="21"/>
              </w:rPr>
              <w:t>支持对人体图片进行结构化识别，可提取出人体属性（性别、年龄段、衣服颜色、戴眼镜、背包、骑车），并支持按属性进行检索人体图片；可对图片进行建模，并支持人体以图搜图</w:t>
            </w:r>
          </w:p>
          <w:p>
            <w:pPr>
              <w:rPr>
                <w:rFonts w:hint="eastAsia" w:ascii="仿宋_GB2312" w:eastAsia="仿宋_GB2312"/>
                <w:szCs w:val="21"/>
              </w:rPr>
            </w:pPr>
            <w:r>
              <w:rPr>
                <w:rFonts w:hint="eastAsia" w:ascii="仿宋_GB2312" w:eastAsia="仿宋_GB2312" w:cs="宋体"/>
                <w:szCs w:val="21"/>
              </w:rPr>
              <w:t>可接入双目摄像机进行预览和回放</w:t>
            </w:r>
          </w:p>
          <w:p>
            <w:pPr>
              <w:rPr>
                <w:rFonts w:hint="eastAsia" w:ascii="仿宋_GB2312" w:eastAsia="仿宋_GB2312"/>
                <w:szCs w:val="21"/>
              </w:rPr>
            </w:pPr>
            <w:r>
              <w:rPr>
                <w:rFonts w:hint="eastAsia" w:ascii="仿宋_GB2312" w:eastAsia="仿宋_GB2312" w:cs="宋体"/>
                <w:szCs w:val="21"/>
              </w:rPr>
              <w:t>支持视频摘要回放功能：将不同时间段的多个目标叠加在一个背景上同时回放</w:t>
            </w:r>
          </w:p>
          <w:p>
            <w:pPr>
              <w:rPr>
                <w:rFonts w:hint="eastAsia" w:ascii="仿宋_GB2312" w:eastAsia="仿宋_GB2312"/>
                <w:szCs w:val="21"/>
              </w:rPr>
            </w:pPr>
            <w:r>
              <w:rPr>
                <w:rFonts w:hint="eastAsia" w:ascii="仿宋_GB2312" w:eastAsia="仿宋_GB2312" w:cs="宋体"/>
                <w:szCs w:val="21"/>
              </w:rPr>
              <w:t>支持同时输出</w:t>
            </w:r>
            <w:r>
              <w:rPr>
                <w:rFonts w:hint="eastAsia" w:ascii="仿宋_GB2312" w:eastAsia="仿宋_GB2312"/>
                <w:szCs w:val="21"/>
              </w:rPr>
              <w:t>3</w:t>
            </w:r>
            <w:r>
              <w:rPr>
                <w:rFonts w:hint="eastAsia" w:ascii="仿宋_GB2312" w:eastAsia="仿宋_GB2312" w:cs="宋体"/>
                <w:szCs w:val="21"/>
              </w:rPr>
              <w:t>路</w:t>
            </w:r>
            <w:r>
              <w:rPr>
                <w:rFonts w:hint="eastAsia" w:ascii="仿宋_GB2312" w:eastAsia="仿宋_GB2312"/>
                <w:szCs w:val="21"/>
              </w:rPr>
              <w:t>H.264</w:t>
            </w:r>
            <w:r>
              <w:rPr>
                <w:rFonts w:hint="eastAsia" w:ascii="仿宋_GB2312" w:eastAsia="仿宋_GB2312" w:cs="宋体"/>
                <w:szCs w:val="21"/>
              </w:rPr>
              <w:t>编码、</w:t>
            </w:r>
            <w:r>
              <w:rPr>
                <w:rFonts w:hint="eastAsia" w:ascii="仿宋_GB2312" w:eastAsia="仿宋_GB2312"/>
                <w:szCs w:val="21"/>
              </w:rPr>
              <w:t>20fps</w:t>
            </w:r>
            <w:r>
              <w:rPr>
                <w:rFonts w:hint="eastAsia" w:ascii="仿宋_GB2312" w:eastAsia="仿宋_GB2312" w:cs="宋体"/>
                <w:szCs w:val="21"/>
              </w:rPr>
              <w:t>、</w:t>
            </w:r>
            <w:r>
              <w:rPr>
                <w:rFonts w:hint="eastAsia" w:ascii="仿宋_GB2312" w:eastAsia="仿宋_GB2312"/>
                <w:szCs w:val="21"/>
              </w:rPr>
              <w:t>4000</w:t>
            </w:r>
            <w:r>
              <w:rPr>
                <w:rFonts w:hint="eastAsia" w:ascii="仿宋_GB2312" w:eastAsia="仿宋_GB2312" w:cs="宋体"/>
                <w:szCs w:val="21"/>
              </w:rPr>
              <w:t>×</w:t>
            </w:r>
            <w:r>
              <w:rPr>
                <w:rFonts w:hint="eastAsia" w:ascii="仿宋_GB2312" w:eastAsia="仿宋_GB2312"/>
                <w:szCs w:val="21"/>
              </w:rPr>
              <w:t>3000</w:t>
            </w:r>
            <w:r>
              <w:rPr>
                <w:rFonts w:hint="eastAsia" w:ascii="仿宋_GB2312" w:eastAsia="仿宋_GB2312" w:cs="宋体"/>
                <w:szCs w:val="21"/>
              </w:rPr>
              <w:t>格式的视频图像</w:t>
            </w:r>
          </w:p>
          <w:p>
            <w:pPr>
              <w:rPr>
                <w:rFonts w:hint="eastAsia" w:ascii="仿宋_GB2312" w:eastAsia="仿宋_GB2312"/>
                <w:szCs w:val="21"/>
              </w:rPr>
            </w:pPr>
            <w:r>
              <w:rPr>
                <w:rFonts w:hint="eastAsia" w:ascii="仿宋_GB2312" w:eastAsia="仿宋_GB2312" w:cs="宋体"/>
                <w:szCs w:val="21"/>
              </w:rPr>
              <w:t>支持对鱼眼</w:t>
            </w:r>
            <w:r>
              <w:rPr>
                <w:rFonts w:hint="eastAsia" w:ascii="仿宋_GB2312" w:eastAsia="仿宋_GB2312"/>
                <w:szCs w:val="21"/>
              </w:rPr>
              <w:t>IPC</w:t>
            </w:r>
            <w:r>
              <w:rPr>
                <w:rFonts w:hint="eastAsia" w:ascii="仿宋_GB2312" w:eastAsia="仿宋_GB2312" w:cs="宋体"/>
                <w:szCs w:val="21"/>
              </w:rPr>
              <w:t>进行矫正，可设置</w:t>
            </w:r>
            <w:r>
              <w:rPr>
                <w:rFonts w:hint="eastAsia" w:ascii="仿宋_GB2312" w:eastAsia="仿宋_GB2312"/>
                <w:szCs w:val="21"/>
              </w:rPr>
              <w:t>180</w:t>
            </w:r>
            <w:r>
              <w:rPr>
                <w:rFonts w:hint="eastAsia" w:ascii="仿宋_GB2312" w:eastAsia="仿宋_GB2312" w:cs="宋体"/>
                <w:szCs w:val="21"/>
              </w:rPr>
              <w:t>度全景、</w:t>
            </w:r>
            <w:r>
              <w:rPr>
                <w:rFonts w:hint="eastAsia" w:ascii="仿宋_GB2312" w:eastAsia="仿宋_GB2312"/>
                <w:szCs w:val="21"/>
              </w:rPr>
              <w:t>360</w:t>
            </w:r>
            <w:r>
              <w:rPr>
                <w:rFonts w:hint="eastAsia" w:ascii="仿宋_GB2312" w:eastAsia="仿宋_GB2312" w:cs="宋体"/>
                <w:szCs w:val="21"/>
              </w:rPr>
              <w:t>度全景、</w:t>
            </w:r>
            <w:r>
              <w:rPr>
                <w:rFonts w:hint="eastAsia" w:ascii="仿宋_GB2312" w:eastAsia="仿宋_GB2312"/>
                <w:szCs w:val="21"/>
              </w:rPr>
              <w:t>PTZ</w:t>
            </w:r>
            <w:r>
              <w:rPr>
                <w:rFonts w:hint="eastAsia" w:ascii="仿宋_GB2312" w:eastAsia="仿宋_GB2312" w:cs="宋体"/>
                <w:szCs w:val="21"/>
              </w:rPr>
              <w:t>三种模式</w:t>
            </w:r>
          </w:p>
          <w:p>
            <w:pPr>
              <w:rPr>
                <w:rFonts w:hint="eastAsia" w:ascii="仿宋_GB2312" w:eastAsia="仿宋_GB2312"/>
                <w:szCs w:val="21"/>
              </w:rPr>
            </w:pPr>
            <w:r>
              <w:rPr>
                <w:rFonts w:hint="eastAsia" w:ascii="仿宋_GB2312" w:eastAsia="仿宋_GB2312" w:cs="宋体"/>
                <w:szCs w:val="21"/>
              </w:rPr>
              <w:t>可支持最大接入总带宽</w:t>
            </w:r>
            <w:r>
              <w:rPr>
                <w:rFonts w:hint="eastAsia" w:ascii="仿宋_GB2312" w:eastAsia="仿宋_GB2312"/>
                <w:szCs w:val="21"/>
              </w:rPr>
              <w:t>512Mbps</w:t>
            </w:r>
            <w:r>
              <w:rPr>
                <w:rFonts w:hint="eastAsia" w:ascii="仿宋_GB2312" w:eastAsia="仿宋_GB2312" w:cs="宋体"/>
                <w:szCs w:val="21"/>
              </w:rPr>
              <w:t>的</w:t>
            </w:r>
            <w:r>
              <w:rPr>
                <w:rFonts w:hint="eastAsia" w:ascii="仿宋_GB2312" w:eastAsia="仿宋_GB2312"/>
                <w:szCs w:val="21"/>
              </w:rPr>
              <w:t>32</w:t>
            </w:r>
            <w:r>
              <w:rPr>
                <w:rFonts w:hint="eastAsia" w:ascii="仿宋_GB2312" w:eastAsia="仿宋_GB2312" w:cs="宋体"/>
                <w:szCs w:val="21"/>
              </w:rPr>
              <w:t>路视频图像</w:t>
            </w:r>
          </w:p>
          <w:p>
            <w:pPr>
              <w:rPr>
                <w:rFonts w:hint="eastAsia" w:ascii="仿宋_GB2312" w:eastAsia="仿宋_GB2312"/>
                <w:szCs w:val="21"/>
              </w:rPr>
            </w:pPr>
            <w:r>
              <w:rPr>
                <w:rFonts w:hint="eastAsia" w:ascii="仿宋_GB2312" w:eastAsia="仿宋_GB2312" w:cs="宋体"/>
                <w:szCs w:val="21"/>
              </w:rPr>
              <w:t>可接入</w:t>
            </w:r>
            <w:r>
              <w:rPr>
                <w:rFonts w:hint="eastAsia" w:ascii="仿宋_GB2312" w:eastAsia="仿宋_GB2312"/>
                <w:szCs w:val="21"/>
              </w:rPr>
              <w:t>H.265</w:t>
            </w:r>
            <w:r>
              <w:rPr>
                <w:rFonts w:hint="eastAsia" w:ascii="仿宋_GB2312" w:eastAsia="仿宋_GB2312" w:cs="宋体"/>
                <w:szCs w:val="21"/>
              </w:rPr>
              <w:t>、</w:t>
            </w:r>
            <w:r>
              <w:rPr>
                <w:rFonts w:hint="eastAsia" w:ascii="仿宋_GB2312" w:eastAsia="仿宋_GB2312"/>
                <w:szCs w:val="21"/>
              </w:rPr>
              <w:t>H.264</w:t>
            </w:r>
            <w:r>
              <w:rPr>
                <w:rFonts w:hint="eastAsia" w:ascii="仿宋_GB2312" w:eastAsia="仿宋_GB2312" w:cs="宋体"/>
                <w:szCs w:val="21"/>
              </w:rPr>
              <w:t>、</w:t>
            </w:r>
            <w:r>
              <w:rPr>
                <w:rFonts w:hint="eastAsia" w:ascii="仿宋_GB2312" w:eastAsia="仿宋_GB2312"/>
                <w:szCs w:val="21"/>
              </w:rPr>
              <w:t>MPEG4</w:t>
            </w:r>
            <w:r>
              <w:rPr>
                <w:rFonts w:hint="eastAsia" w:ascii="仿宋_GB2312" w:eastAsia="仿宋_GB2312" w:cs="宋体"/>
                <w:szCs w:val="21"/>
              </w:rPr>
              <w:t>、</w:t>
            </w:r>
            <w:r>
              <w:rPr>
                <w:rFonts w:hint="eastAsia" w:ascii="仿宋_GB2312" w:eastAsia="仿宋_GB2312"/>
                <w:szCs w:val="21"/>
              </w:rPr>
              <w:t>SVAC</w:t>
            </w:r>
            <w:r>
              <w:rPr>
                <w:rFonts w:hint="eastAsia" w:ascii="仿宋_GB2312" w:eastAsia="仿宋_GB2312" w:cs="宋体"/>
                <w:szCs w:val="21"/>
              </w:rPr>
              <w:t>视频编码格式的</w:t>
            </w:r>
            <w:r>
              <w:rPr>
                <w:rFonts w:hint="eastAsia" w:ascii="仿宋_GB2312" w:eastAsia="仿宋_GB2312"/>
                <w:szCs w:val="21"/>
              </w:rPr>
              <w:t>IPC</w:t>
            </w:r>
          </w:p>
          <w:p>
            <w:pPr>
              <w:rPr>
                <w:rFonts w:hint="eastAsia" w:ascii="仿宋_GB2312" w:eastAsia="仿宋_GB2312"/>
                <w:szCs w:val="21"/>
              </w:rPr>
            </w:pPr>
            <w:r>
              <w:rPr>
                <w:rFonts w:hint="eastAsia" w:ascii="仿宋_GB2312" w:eastAsia="仿宋_GB2312" w:cs="宋体"/>
                <w:szCs w:val="21"/>
              </w:rPr>
              <w:t>支持带有越界、区域入侵、进入</w:t>
            </w:r>
            <w:r>
              <w:rPr>
                <w:rFonts w:hint="eastAsia" w:ascii="仿宋_GB2312" w:eastAsia="仿宋_GB2312"/>
                <w:szCs w:val="21"/>
              </w:rPr>
              <w:t>/</w:t>
            </w:r>
            <w:r>
              <w:rPr>
                <w:rFonts w:hint="eastAsia" w:ascii="仿宋_GB2312" w:eastAsia="仿宋_GB2312" w:cs="宋体"/>
                <w:szCs w:val="21"/>
              </w:rPr>
              <w:t>离开区域、人员聚集、快速移动、物品遗留</w:t>
            </w:r>
            <w:r>
              <w:rPr>
                <w:rFonts w:hint="eastAsia" w:ascii="仿宋_GB2312" w:eastAsia="仿宋_GB2312"/>
                <w:szCs w:val="21"/>
              </w:rPr>
              <w:t>/</w:t>
            </w:r>
            <w:r>
              <w:rPr>
                <w:rFonts w:hint="eastAsia" w:ascii="仿宋_GB2312" w:eastAsia="仿宋_GB2312" w:cs="宋体"/>
                <w:szCs w:val="21"/>
              </w:rPr>
              <w:t>拿取、停车、徘徊、场景变更、虚焦、音频异常报警、</w:t>
            </w:r>
            <w:r>
              <w:rPr>
                <w:rFonts w:hint="eastAsia" w:ascii="仿宋_GB2312" w:eastAsia="仿宋_GB2312"/>
                <w:szCs w:val="21"/>
              </w:rPr>
              <w:t>PIR</w:t>
            </w:r>
            <w:r>
              <w:rPr>
                <w:rFonts w:hint="eastAsia" w:ascii="仿宋_GB2312" w:eastAsia="仿宋_GB2312" w:cs="宋体"/>
                <w:szCs w:val="21"/>
              </w:rPr>
              <w:t>报警功能的网络摄像机接入与相关报警联动功能</w:t>
            </w:r>
          </w:p>
          <w:p>
            <w:pPr>
              <w:rPr>
                <w:rFonts w:hint="eastAsia" w:ascii="仿宋_GB2312" w:eastAsia="仿宋_GB2312"/>
                <w:szCs w:val="21"/>
              </w:rPr>
            </w:pPr>
            <w:r>
              <w:rPr>
                <w:rFonts w:hint="eastAsia" w:ascii="仿宋_GB2312" w:eastAsia="仿宋_GB2312" w:cs="宋体"/>
                <w:szCs w:val="21"/>
              </w:rPr>
              <w:t>支持</w:t>
            </w:r>
            <w:r>
              <w:rPr>
                <w:rFonts w:hint="eastAsia" w:ascii="仿宋_GB2312" w:eastAsia="仿宋_GB2312"/>
                <w:szCs w:val="21"/>
              </w:rPr>
              <w:t>RAID0</w:t>
            </w:r>
            <w:r>
              <w:rPr>
                <w:rFonts w:hint="eastAsia" w:ascii="仿宋_GB2312" w:eastAsia="仿宋_GB2312" w:cs="宋体"/>
                <w:szCs w:val="21"/>
              </w:rPr>
              <w:t>、</w:t>
            </w:r>
            <w:r>
              <w:rPr>
                <w:rFonts w:hint="eastAsia" w:ascii="仿宋_GB2312" w:eastAsia="仿宋_GB2312"/>
                <w:szCs w:val="21"/>
              </w:rPr>
              <w:t>RAID1</w:t>
            </w:r>
            <w:r>
              <w:rPr>
                <w:rFonts w:hint="eastAsia" w:ascii="仿宋_GB2312" w:eastAsia="仿宋_GB2312" w:cs="宋体"/>
                <w:szCs w:val="21"/>
              </w:rPr>
              <w:t>、</w:t>
            </w:r>
            <w:r>
              <w:rPr>
                <w:rFonts w:hint="eastAsia" w:ascii="仿宋_GB2312" w:eastAsia="仿宋_GB2312"/>
                <w:szCs w:val="21"/>
              </w:rPr>
              <w:t>RAID5</w:t>
            </w:r>
            <w:r>
              <w:rPr>
                <w:rFonts w:hint="eastAsia" w:ascii="仿宋_GB2312" w:eastAsia="仿宋_GB2312" w:cs="宋体"/>
                <w:szCs w:val="21"/>
              </w:rPr>
              <w:t>、</w:t>
            </w:r>
            <w:r>
              <w:rPr>
                <w:rFonts w:hint="eastAsia" w:ascii="仿宋_GB2312" w:eastAsia="仿宋_GB2312"/>
                <w:szCs w:val="21"/>
              </w:rPr>
              <w:t>RAID6</w:t>
            </w:r>
            <w:r>
              <w:rPr>
                <w:rFonts w:hint="eastAsia" w:ascii="仿宋_GB2312" w:eastAsia="仿宋_GB2312" w:cs="宋体"/>
                <w:szCs w:val="21"/>
              </w:rPr>
              <w:t>、</w:t>
            </w:r>
            <w:r>
              <w:rPr>
                <w:rFonts w:hint="eastAsia" w:ascii="仿宋_GB2312" w:eastAsia="仿宋_GB2312"/>
                <w:szCs w:val="21"/>
              </w:rPr>
              <w:t>RAID10</w:t>
            </w:r>
            <w:r>
              <w:rPr>
                <w:rFonts w:hint="eastAsia" w:ascii="仿宋_GB2312" w:eastAsia="仿宋_GB2312" w:cs="宋体"/>
                <w:szCs w:val="21"/>
              </w:rPr>
              <w:t>、</w:t>
            </w:r>
            <w:r>
              <w:rPr>
                <w:rFonts w:hint="eastAsia" w:ascii="仿宋_GB2312" w:eastAsia="仿宋_GB2312"/>
                <w:szCs w:val="21"/>
              </w:rPr>
              <w:t>RAID50</w:t>
            </w:r>
            <w:r>
              <w:rPr>
                <w:rFonts w:hint="eastAsia" w:ascii="仿宋_GB2312" w:eastAsia="仿宋_GB2312" w:cs="宋体"/>
                <w:szCs w:val="21"/>
              </w:rPr>
              <w:t>、</w:t>
            </w:r>
            <w:r>
              <w:rPr>
                <w:rFonts w:hint="eastAsia" w:ascii="仿宋_GB2312" w:eastAsia="仿宋_GB2312"/>
                <w:szCs w:val="21"/>
              </w:rPr>
              <w:t>RAID60</w:t>
            </w:r>
            <w:r>
              <w:rPr>
                <w:rFonts w:hint="eastAsia" w:ascii="仿宋_GB2312" w:eastAsia="仿宋_GB2312" w:cs="宋体"/>
                <w:szCs w:val="21"/>
              </w:rPr>
              <w:t>和</w:t>
            </w:r>
            <w:r>
              <w:rPr>
                <w:rFonts w:hint="eastAsia" w:ascii="仿宋_GB2312" w:eastAsia="仿宋_GB2312"/>
                <w:szCs w:val="21"/>
              </w:rPr>
              <w:t>JBOD</w:t>
            </w:r>
            <w:r>
              <w:rPr>
                <w:rFonts w:hint="eastAsia" w:ascii="仿宋_GB2312" w:eastAsia="仿宋_GB2312" w:cs="宋体"/>
                <w:szCs w:val="21"/>
              </w:rPr>
              <w:t>模式，可指定某一块硬盘为热备盘；可设置未进行读写操作的硬盘、</w:t>
            </w:r>
            <w:r>
              <w:rPr>
                <w:rFonts w:hint="eastAsia" w:ascii="仿宋_GB2312" w:eastAsia="仿宋_GB2312"/>
                <w:szCs w:val="21"/>
              </w:rPr>
              <w:t>Raid</w:t>
            </w:r>
            <w:r>
              <w:rPr>
                <w:rFonts w:hint="eastAsia" w:ascii="仿宋_GB2312" w:eastAsia="仿宋_GB2312" w:cs="宋体"/>
                <w:szCs w:val="21"/>
              </w:rPr>
              <w:t>组自动处于休眠状态</w:t>
            </w:r>
          </w:p>
          <w:p>
            <w:pPr>
              <w:rPr>
                <w:rFonts w:hint="eastAsia" w:ascii="仿宋_GB2312" w:eastAsia="仿宋_GB2312"/>
                <w:szCs w:val="21"/>
              </w:rPr>
            </w:pPr>
            <w:r>
              <w:rPr>
                <w:rFonts w:hint="eastAsia" w:ascii="仿宋_GB2312" w:eastAsia="仿宋_GB2312" w:cs="宋体"/>
                <w:szCs w:val="21"/>
              </w:rPr>
              <w:t>支持</w:t>
            </w:r>
            <w:r>
              <w:rPr>
                <w:rFonts w:hint="eastAsia" w:ascii="仿宋_GB2312" w:eastAsia="仿宋_GB2312"/>
                <w:szCs w:val="21"/>
              </w:rPr>
              <w:t>8T</w:t>
            </w:r>
            <w:r>
              <w:rPr>
                <w:rFonts w:hint="eastAsia" w:ascii="仿宋_GB2312" w:eastAsia="仿宋_GB2312" w:cs="宋体"/>
                <w:szCs w:val="21"/>
              </w:rPr>
              <w:t>容量的</w:t>
            </w:r>
            <w:r>
              <w:rPr>
                <w:rFonts w:hint="eastAsia" w:ascii="仿宋_GB2312" w:eastAsia="仿宋_GB2312"/>
                <w:szCs w:val="21"/>
              </w:rPr>
              <w:t>SATA</w:t>
            </w:r>
            <w:r>
              <w:rPr>
                <w:rFonts w:hint="eastAsia" w:ascii="仿宋_GB2312" w:eastAsia="仿宋_GB2312" w:cs="宋体"/>
                <w:szCs w:val="21"/>
              </w:rPr>
              <w:t>接口硬盘；支持硬盘热插拔和休眠</w:t>
            </w:r>
          </w:p>
          <w:p>
            <w:pPr>
              <w:rPr>
                <w:rFonts w:hint="eastAsia" w:ascii="仿宋_GB2312" w:eastAsia="仿宋_GB2312"/>
                <w:szCs w:val="21"/>
              </w:rPr>
            </w:pPr>
            <w:r>
              <w:rPr>
                <w:rFonts w:hint="eastAsia" w:ascii="仿宋_GB2312" w:eastAsia="仿宋_GB2312" w:cs="宋体"/>
                <w:szCs w:val="21"/>
              </w:rPr>
              <w:t>支持将</w:t>
            </w:r>
            <w:r>
              <w:rPr>
                <w:rFonts w:hint="eastAsia" w:ascii="仿宋_GB2312" w:eastAsia="仿宋_GB2312"/>
                <w:szCs w:val="21"/>
              </w:rPr>
              <w:t>2</w:t>
            </w:r>
            <w:r>
              <w:rPr>
                <w:rFonts w:hint="eastAsia" w:ascii="仿宋_GB2312" w:eastAsia="仿宋_GB2312" w:cs="宋体"/>
                <w:szCs w:val="21"/>
              </w:rPr>
              <w:t>个网口设置不同网段的</w:t>
            </w:r>
            <w:r>
              <w:rPr>
                <w:rFonts w:hint="eastAsia" w:ascii="仿宋_GB2312" w:eastAsia="仿宋_GB2312"/>
                <w:szCs w:val="21"/>
              </w:rPr>
              <w:t>IP</w:t>
            </w:r>
            <w:r>
              <w:rPr>
                <w:rFonts w:hint="eastAsia" w:ascii="仿宋_GB2312" w:eastAsia="仿宋_GB2312" w:cs="宋体"/>
                <w:szCs w:val="21"/>
              </w:rPr>
              <w:t>地址</w:t>
            </w:r>
          </w:p>
          <w:p>
            <w:pPr>
              <w:rPr>
                <w:rFonts w:hint="eastAsia" w:ascii="仿宋_GB2312" w:eastAsia="仿宋_GB2312"/>
                <w:szCs w:val="21"/>
              </w:rPr>
            </w:pPr>
            <w:r>
              <w:rPr>
                <w:rFonts w:hint="eastAsia" w:ascii="仿宋_GB2312" w:eastAsia="仿宋_GB2312" w:cs="宋体"/>
                <w:szCs w:val="21"/>
              </w:rPr>
              <w:t>支持系统备份功能，检测到一个系统异常时，可从另一个系统启动，并恢复异常系统</w:t>
            </w:r>
          </w:p>
          <w:p>
            <w:pPr>
              <w:rPr>
                <w:rFonts w:hint="eastAsia" w:ascii="仿宋_GB2312" w:eastAsia="仿宋_GB2312"/>
                <w:kern w:val="0"/>
                <w:szCs w:val="21"/>
              </w:rPr>
            </w:pPr>
            <w:r>
              <w:rPr>
                <w:rFonts w:hint="eastAsia" w:ascii="仿宋_GB2312" w:eastAsia="仿宋_GB2312" w:cs="宋体"/>
                <w:szCs w:val="21"/>
              </w:rPr>
              <w:t>支持</w:t>
            </w:r>
            <w:r>
              <w:rPr>
                <w:rFonts w:hint="eastAsia" w:ascii="仿宋_GB2312" w:eastAsia="仿宋_GB2312"/>
                <w:szCs w:val="21"/>
              </w:rPr>
              <w:t>SATA</w:t>
            </w:r>
            <w:r>
              <w:rPr>
                <w:rFonts w:hint="eastAsia" w:ascii="仿宋_GB2312" w:eastAsia="仿宋_GB2312" w:cs="宋体"/>
                <w:szCs w:val="21"/>
              </w:rPr>
              <w:t>接口</w:t>
            </w:r>
            <w:r>
              <w:rPr>
                <w:rFonts w:hint="eastAsia" w:ascii="仿宋_GB2312" w:hAnsi="宋体" w:eastAsia="仿宋_GB2312" w:cs="宋体"/>
                <w:szCs w:val="21"/>
              </w:rPr>
              <w:t>≥</w:t>
            </w:r>
            <w:r>
              <w:rPr>
                <w:rFonts w:hint="eastAsia" w:ascii="仿宋_GB2312" w:eastAsia="仿宋_GB2312"/>
                <w:szCs w:val="21"/>
              </w:rPr>
              <w:t>8</w:t>
            </w:r>
            <w:r>
              <w:rPr>
                <w:rFonts w:hint="eastAsia" w:ascii="仿宋_GB2312" w:eastAsia="仿宋_GB2312" w:cs="宋体"/>
                <w:szCs w:val="21"/>
              </w:rPr>
              <w:t>个，带</w:t>
            </w:r>
            <w:r>
              <w:rPr>
                <w:rFonts w:hint="eastAsia" w:ascii="仿宋_GB2312" w:eastAsia="仿宋_GB2312"/>
                <w:szCs w:val="21"/>
              </w:rPr>
              <w:t>eSATA</w:t>
            </w:r>
            <w:r>
              <w:rPr>
                <w:rFonts w:hint="eastAsia" w:ascii="仿宋_GB2312" w:eastAsia="仿宋_GB2312" w:cs="宋体"/>
                <w:szCs w:val="21"/>
              </w:rPr>
              <w:t>接口和</w:t>
            </w:r>
            <w:r>
              <w:rPr>
                <w:rFonts w:hint="eastAsia" w:ascii="仿宋_GB2312" w:eastAsia="仿宋_GB2312"/>
                <w:szCs w:val="21"/>
              </w:rPr>
              <w:t>USB3.0</w:t>
            </w:r>
            <w:r>
              <w:rPr>
                <w:rFonts w:hint="eastAsia" w:ascii="仿宋_GB2312" w:eastAsia="仿宋_GB2312" w:cs="宋体"/>
                <w:szCs w:val="21"/>
              </w:rPr>
              <w:t>接口，</w:t>
            </w:r>
            <w:r>
              <w:rPr>
                <w:rFonts w:hint="eastAsia" w:ascii="仿宋_GB2312" w:eastAsia="仿宋_GB2312"/>
                <w:szCs w:val="21"/>
              </w:rPr>
              <w:t>USB2.0</w:t>
            </w:r>
            <w:r>
              <w:rPr>
                <w:rFonts w:hint="eastAsia" w:ascii="仿宋_GB2312" w:hAnsi="宋体" w:eastAsia="仿宋_GB2312" w:cs="宋体"/>
                <w:szCs w:val="21"/>
              </w:rPr>
              <w:t>≥2</w:t>
            </w:r>
            <w:r>
              <w:rPr>
                <w:rFonts w:hint="eastAsia" w:ascii="仿宋_GB2312" w:eastAsia="仿宋_GB2312" w:cs="宋体"/>
                <w:szCs w:val="21"/>
              </w:rPr>
              <w:t>个；报警输入</w:t>
            </w:r>
            <w:r>
              <w:rPr>
                <w:rFonts w:hint="eastAsia" w:ascii="仿宋_GB2312" w:hAnsi="宋体" w:eastAsia="仿宋_GB2312" w:cs="宋体"/>
                <w:szCs w:val="21"/>
              </w:rPr>
              <w:t>≥</w:t>
            </w:r>
            <w:r>
              <w:rPr>
                <w:rFonts w:hint="eastAsia" w:ascii="仿宋_GB2312" w:eastAsia="仿宋_GB2312"/>
                <w:szCs w:val="21"/>
              </w:rPr>
              <w:t>16</w:t>
            </w:r>
            <w:r>
              <w:rPr>
                <w:rFonts w:hint="eastAsia" w:ascii="仿宋_GB2312" w:eastAsia="仿宋_GB2312" w:cs="宋体"/>
                <w:szCs w:val="21"/>
              </w:rPr>
              <w:t>路，报警输出接口</w:t>
            </w:r>
            <w:r>
              <w:rPr>
                <w:rFonts w:hint="eastAsia" w:ascii="仿宋_GB2312" w:hAnsi="宋体" w:eastAsia="仿宋_GB2312" w:cs="宋体"/>
                <w:szCs w:val="21"/>
              </w:rPr>
              <w:t>≥</w:t>
            </w:r>
            <w:r>
              <w:rPr>
                <w:rFonts w:hint="eastAsia" w:ascii="仿宋_GB2312" w:eastAsia="仿宋_GB2312"/>
                <w:szCs w:val="21"/>
              </w:rPr>
              <w:t>8</w:t>
            </w:r>
            <w:r>
              <w:rPr>
                <w:rFonts w:hint="eastAsia" w:ascii="仿宋_GB2312" w:eastAsia="仿宋_GB2312" w:cs="宋体"/>
                <w:szCs w:val="21"/>
              </w:rPr>
              <w:t>路</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台</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1</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5</w:t>
            </w:r>
          </w:p>
        </w:tc>
        <w:tc>
          <w:tcPr>
            <w:tcW w:w="1265"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网络录像机专用硬盘</w:t>
            </w:r>
          </w:p>
        </w:tc>
        <w:tc>
          <w:tcPr>
            <w:tcW w:w="5640" w:type="dxa"/>
            <w:tcBorders>
              <w:top w:val="single" w:color="auto" w:sz="4" w:space="0"/>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4TB/7200RPM/64M/6GB/SATA,保存录像30天以上。</w:t>
            </w:r>
          </w:p>
        </w:tc>
        <w:tc>
          <w:tcPr>
            <w:tcW w:w="769"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块</w:t>
            </w:r>
          </w:p>
        </w:tc>
        <w:tc>
          <w:tcPr>
            <w:tcW w:w="792"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6</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b/>
                <w:bCs/>
                <w:kern w:val="0"/>
                <w:szCs w:val="21"/>
              </w:rPr>
            </w:pPr>
            <w:r>
              <w:rPr>
                <w:rFonts w:hint="eastAsia" w:ascii="仿宋_GB2312" w:hAnsi="宋体" w:eastAsia="仿宋_GB2312" w:cs="宋体"/>
                <w:b/>
                <w:bCs/>
                <w:kern w:val="0"/>
                <w:szCs w:val="21"/>
              </w:rPr>
              <w:t>五</w:t>
            </w:r>
          </w:p>
        </w:tc>
        <w:tc>
          <w:tcPr>
            <w:tcW w:w="6905" w:type="dxa"/>
            <w:gridSpan w:val="2"/>
            <w:tcBorders>
              <w:top w:val="nil"/>
              <w:left w:val="nil"/>
              <w:bottom w:val="single" w:color="auto" w:sz="4" w:space="0"/>
              <w:right w:val="single" w:color="auto" w:sz="4" w:space="0"/>
            </w:tcBorders>
            <w:noWrap w:val="0"/>
            <w:vAlign w:val="center"/>
          </w:tcPr>
          <w:p>
            <w:pPr>
              <w:rPr>
                <w:rFonts w:hint="eastAsia" w:ascii="仿宋_GB2312" w:eastAsia="仿宋_GB2312"/>
                <w:b/>
                <w:bCs/>
                <w:kern w:val="0"/>
                <w:szCs w:val="21"/>
              </w:rPr>
            </w:pPr>
            <w:r>
              <w:rPr>
                <w:rFonts w:hint="eastAsia" w:ascii="仿宋_GB2312" w:hAnsi="宋体" w:eastAsia="仿宋_GB2312" w:cs="宋体"/>
                <w:b/>
                <w:bCs/>
                <w:kern w:val="0"/>
                <w:szCs w:val="21"/>
              </w:rPr>
              <w:t>围墙周界智能防范部分　</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b/>
                <w:bCs/>
                <w:kern w:val="0"/>
                <w:szCs w:val="21"/>
              </w:rPr>
            </w:pPr>
            <w:r>
              <w:rPr>
                <w:rFonts w:hint="eastAsia" w:ascii="仿宋_GB2312" w:hAnsi="宋体" w:eastAsia="仿宋_GB2312" w:cs="宋体"/>
                <w:b/>
                <w:bCs/>
                <w:kern w:val="0"/>
                <w:szCs w:val="21"/>
              </w:rPr>
              <w:t>　</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b/>
                <w:bCs/>
                <w:kern w:val="0"/>
                <w:szCs w:val="21"/>
              </w:rPr>
            </w:pPr>
            <w:r>
              <w:rPr>
                <w:rFonts w:hint="eastAsia" w:ascii="仿宋_GB2312" w:hAnsi="宋体" w:eastAsia="仿宋_GB2312" w:cs="宋体"/>
                <w:b/>
                <w:bCs/>
                <w:kern w:val="0"/>
                <w:szCs w:val="21"/>
              </w:rPr>
              <w:t>　</w:t>
            </w:r>
          </w:p>
        </w:tc>
      </w:tr>
      <w:tr>
        <w:tblPrEx>
          <w:tblCellMar>
            <w:top w:w="0" w:type="dxa"/>
            <w:left w:w="108" w:type="dxa"/>
            <w:bottom w:w="0" w:type="dxa"/>
            <w:right w:w="108" w:type="dxa"/>
          </w:tblCellMar>
        </w:tblPrEx>
        <w:trPr>
          <w:trHeight w:val="150" w:hRule="atLeast"/>
          <w:jc w:val="center"/>
        </w:trPr>
        <w:tc>
          <w:tcPr>
            <w:tcW w:w="7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1</w:t>
            </w:r>
          </w:p>
        </w:tc>
        <w:tc>
          <w:tcPr>
            <w:tcW w:w="126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400万智能警戒高清摄像机</w:t>
            </w:r>
          </w:p>
        </w:tc>
        <w:tc>
          <w:tcPr>
            <w:tcW w:w="5640" w:type="dxa"/>
            <w:tcBorders>
              <w:top w:val="single" w:color="auto" w:sz="4" w:space="0"/>
              <w:left w:val="nil"/>
              <w:bottom w:val="single" w:color="auto" w:sz="4" w:space="0"/>
              <w:right w:val="single" w:color="auto" w:sz="4" w:space="0"/>
            </w:tcBorders>
            <w:noWrap w:val="0"/>
            <w:vAlign w:val="center"/>
          </w:tcPr>
          <w:p>
            <w:pPr>
              <w:rPr>
                <w:rFonts w:hint="eastAsia" w:ascii="仿宋_GB2312" w:eastAsia="仿宋_GB2312"/>
                <w:szCs w:val="21"/>
              </w:rPr>
            </w:pPr>
            <w:r>
              <w:rPr>
                <w:rFonts w:hint="eastAsia" w:ascii="仿宋_GB2312" w:eastAsia="仿宋_GB2312"/>
                <w:szCs w:val="21"/>
              </w:rPr>
              <w:t>400</w:t>
            </w:r>
            <w:r>
              <w:rPr>
                <w:rFonts w:hint="eastAsia" w:ascii="仿宋_GB2312" w:eastAsia="仿宋_GB2312" w:cs="宋体"/>
                <w:szCs w:val="21"/>
              </w:rPr>
              <w:t>万星光级</w:t>
            </w:r>
            <w:r>
              <w:rPr>
                <w:rFonts w:hint="eastAsia" w:ascii="仿宋_GB2312" w:eastAsia="仿宋_GB2312"/>
                <w:szCs w:val="21"/>
              </w:rPr>
              <w:t>1/2.7</w:t>
            </w:r>
            <w:r>
              <w:rPr>
                <w:rFonts w:hint="eastAsia" w:ascii="仿宋_GB2312" w:eastAsia="仿宋_GB2312" w:cs="宋体"/>
                <w:szCs w:val="21"/>
              </w:rPr>
              <w:t>”</w:t>
            </w:r>
            <w:r>
              <w:rPr>
                <w:rFonts w:hint="eastAsia" w:ascii="仿宋_GB2312" w:eastAsia="仿宋_GB2312"/>
                <w:szCs w:val="21"/>
              </w:rPr>
              <w:t xml:space="preserve">CMOS </w:t>
            </w:r>
            <w:r>
              <w:rPr>
                <w:rFonts w:hint="eastAsia" w:ascii="仿宋_GB2312" w:eastAsia="仿宋_GB2312" w:cs="宋体"/>
                <w:szCs w:val="21"/>
              </w:rPr>
              <w:t>智能筒型网络摄像机</w:t>
            </w:r>
          </w:p>
          <w:p>
            <w:pPr>
              <w:rPr>
                <w:rFonts w:hint="eastAsia" w:ascii="仿宋_GB2312" w:eastAsia="仿宋_GB2312"/>
                <w:szCs w:val="21"/>
              </w:rPr>
            </w:pPr>
            <w:r>
              <w:rPr>
                <w:rFonts w:hint="eastAsia" w:ascii="仿宋_GB2312" w:eastAsia="仿宋_GB2312" w:cs="宋体"/>
                <w:szCs w:val="21"/>
              </w:rPr>
              <w:t>内置</w:t>
            </w:r>
            <w:r>
              <w:rPr>
                <w:rFonts w:hint="eastAsia" w:ascii="仿宋_GB2312" w:eastAsia="仿宋_GB2312"/>
                <w:szCs w:val="21"/>
              </w:rPr>
              <w:t>GPU</w:t>
            </w:r>
            <w:r>
              <w:rPr>
                <w:rFonts w:hint="eastAsia" w:ascii="仿宋_GB2312" w:eastAsia="仿宋_GB2312" w:cs="宋体"/>
                <w:szCs w:val="21"/>
              </w:rPr>
              <w:t>芯片。</w:t>
            </w:r>
          </w:p>
          <w:p>
            <w:pPr>
              <w:rPr>
                <w:rFonts w:hint="eastAsia" w:ascii="仿宋_GB2312" w:eastAsia="仿宋_GB2312"/>
                <w:szCs w:val="21"/>
              </w:rPr>
            </w:pPr>
            <w:r>
              <w:rPr>
                <w:rFonts w:hint="eastAsia" w:ascii="仿宋_GB2312" w:eastAsia="仿宋_GB2312" w:cs="宋体"/>
                <w:szCs w:val="21"/>
              </w:rPr>
              <w:t>内置红外与白光补光灯。</w:t>
            </w:r>
          </w:p>
          <w:p>
            <w:pPr>
              <w:rPr>
                <w:rFonts w:hint="eastAsia" w:ascii="仿宋_GB2312" w:eastAsia="仿宋_GB2312"/>
                <w:szCs w:val="21"/>
              </w:rPr>
            </w:pPr>
            <w:r>
              <w:rPr>
                <w:rFonts w:hint="eastAsia" w:ascii="仿宋_GB2312" w:eastAsia="仿宋_GB2312" w:cs="宋体"/>
                <w:szCs w:val="21"/>
              </w:rPr>
              <w:t>支持白光报警功能，当报警产生时，可触发联动声音警报和白光闪烁。</w:t>
            </w:r>
          </w:p>
          <w:p>
            <w:pPr>
              <w:rPr>
                <w:rFonts w:hint="eastAsia" w:ascii="仿宋_GB2312" w:eastAsia="仿宋_GB2312"/>
                <w:szCs w:val="21"/>
              </w:rPr>
            </w:pPr>
            <w:r>
              <w:rPr>
                <w:rFonts w:hint="eastAsia" w:ascii="仿宋_GB2312" w:eastAsia="仿宋_GB2312" w:cs="宋体"/>
                <w:szCs w:val="21"/>
              </w:rPr>
              <w:t>具有取流路数能力</w:t>
            </w:r>
            <w:r>
              <w:rPr>
                <w:rFonts w:hint="eastAsia" w:ascii="仿宋_GB2312" w:hAnsi="宋体" w:eastAsia="仿宋_GB2312" w:cs="宋体"/>
                <w:szCs w:val="21"/>
              </w:rPr>
              <w:t>≥</w:t>
            </w:r>
            <w:r>
              <w:rPr>
                <w:rFonts w:hint="eastAsia" w:ascii="仿宋_GB2312" w:eastAsia="仿宋_GB2312"/>
                <w:szCs w:val="21"/>
              </w:rPr>
              <w:t>20</w:t>
            </w:r>
            <w:r>
              <w:rPr>
                <w:rFonts w:hint="eastAsia" w:ascii="仿宋_GB2312" w:eastAsia="仿宋_GB2312" w:cs="宋体"/>
                <w:szCs w:val="21"/>
              </w:rPr>
              <w:t>路，</w:t>
            </w:r>
          </w:p>
          <w:p>
            <w:pPr>
              <w:rPr>
                <w:rFonts w:hint="eastAsia" w:ascii="仿宋_GB2312" w:eastAsia="仿宋_GB2312"/>
                <w:szCs w:val="21"/>
              </w:rPr>
            </w:pPr>
            <w:r>
              <w:rPr>
                <w:rFonts w:hint="eastAsia" w:ascii="仿宋_GB2312" w:eastAsia="仿宋_GB2312" w:cs="宋体"/>
                <w:szCs w:val="21"/>
              </w:rPr>
              <w:t>最低照度彩色：</w:t>
            </w:r>
            <w:r>
              <w:rPr>
                <w:rFonts w:hint="eastAsia" w:ascii="仿宋_GB2312" w:eastAsia="仿宋_GB2312"/>
                <w:szCs w:val="21"/>
              </w:rPr>
              <w:t>0.0008 lx</w:t>
            </w:r>
            <w:r>
              <w:rPr>
                <w:rFonts w:hint="eastAsia" w:ascii="仿宋_GB2312" w:eastAsia="仿宋_GB2312" w:cs="宋体"/>
                <w:szCs w:val="21"/>
              </w:rPr>
              <w:t>，黑白：</w:t>
            </w:r>
            <w:r>
              <w:rPr>
                <w:rFonts w:hint="eastAsia" w:ascii="仿宋_GB2312" w:eastAsia="仿宋_GB2312"/>
                <w:szCs w:val="21"/>
              </w:rPr>
              <w:t>0.0001 lx</w:t>
            </w:r>
            <w:r>
              <w:rPr>
                <w:rFonts w:hint="eastAsia" w:ascii="仿宋_GB2312" w:eastAsia="仿宋_GB2312" w:cs="宋体"/>
                <w:szCs w:val="21"/>
              </w:rPr>
              <w:t>，灰度等级不小于</w:t>
            </w:r>
            <w:r>
              <w:rPr>
                <w:rFonts w:hint="eastAsia" w:ascii="仿宋_GB2312" w:eastAsia="仿宋_GB2312"/>
                <w:szCs w:val="21"/>
              </w:rPr>
              <w:t>11</w:t>
            </w:r>
            <w:r>
              <w:rPr>
                <w:rFonts w:hint="eastAsia" w:ascii="仿宋_GB2312" w:eastAsia="仿宋_GB2312" w:cs="宋体"/>
                <w:szCs w:val="21"/>
              </w:rPr>
              <w:t>级。</w:t>
            </w:r>
          </w:p>
          <w:p>
            <w:pPr>
              <w:rPr>
                <w:rFonts w:hint="eastAsia" w:ascii="仿宋_GB2312" w:eastAsia="仿宋_GB2312"/>
                <w:szCs w:val="21"/>
              </w:rPr>
            </w:pPr>
            <w:r>
              <w:rPr>
                <w:rFonts w:hint="eastAsia" w:ascii="仿宋_GB2312" w:eastAsia="仿宋_GB2312" w:cs="宋体"/>
                <w:szCs w:val="21"/>
              </w:rPr>
              <w:t>红外补光距离不小于</w:t>
            </w:r>
            <w:r>
              <w:rPr>
                <w:rFonts w:hint="eastAsia" w:ascii="仿宋_GB2312" w:eastAsia="仿宋_GB2312"/>
                <w:szCs w:val="21"/>
              </w:rPr>
              <w:t>85</w:t>
            </w:r>
            <w:r>
              <w:rPr>
                <w:rFonts w:hint="eastAsia" w:ascii="仿宋_GB2312" w:eastAsia="仿宋_GB2312" w:cs="宋体"/>
                <w:szCs w:val="21"/>
              </w:rPr>
              <w:t>米。</w:t>
            </w:r>
          </w:p>
          <w:p>
            <w:pPr>
              <w:rPr>
                <w:rFonts w:hint="eastAsia" w:ascii="仿宋_GB2312" w:eastAsia="仿宋_GB2312"/>
                <w:szCs w:val="21"/>
              </w:rPr>
            </w:pPr>
            <w:r>
              <w:rPr>
                <w:rFonts w:hint="eastAsia" w:ascii="仿宋_GB2312" w:eastAsia="仿宋_GB2312" w:cs="宋体"/>
                <w:szCs w:val="21"/>
              </w:rPr>
              <w:t>支持三码流技术，可同时输出三路码流，主码流最高</w:t>
            </w:r>
            <w:r>
              <w:rPr>
                <w:rFonts w:hint="eastAsia" w:ascii="仿宋_GB2312" w:eastAsia="仿宋_GB2312"/>
                <w:szCs w:val="21"/>
              </w:rPr>
              <w:t>2560x1440@30fps</w:t>
            </w:r>
            <w:r>
              <w:rPr>
                <w:rFonts w:hint="eastAsia" w:ascii="仿宋_GB2312" w:eastAsia="仿宋_GB2312" w:cs="宋体"/>
                <w:szCs w:val="21"/>
              </w:rPr>
              <w:t>，第三码流最大</w:t>
            </w:r>
            <w:r>
              <w:rPr>
                <w:rFonts w:hint="eastAsia" w:ascii="仿宋_GB2312" w:eastAsia="仿宋_GB2312"/>
                <w:szCs w:val="21"/>
              </w:rPr>
              <w:t>2560x1440 @ 30fps</w:t>
            </w:r>
            <w:r>
              <w:rPr>
                <w:rFonts w:hint="eastAsia" w:ascii="仿宋_GB2312" w:eastAsia="仿宋_GB2312" w:cs="宋体"/>
                <w:szCs w:val="21"/>
              </w:rPr>
              <w:t>，子码流</w:t>
            </w:r>
            <w:r>
              <w:rPr>
                <w:rFonts w:hint="eastAsia" w:ascii="仿宋_GB2312" w:eastAsia="仿宋_GB2312"/>
                <w:szCs w:val="21"/>
              </w:rPr>
              <w:t>704x576@30fps</w:t>
            </w:r>
            <w:r>
              <w:rPr>
                <w:rFonts w:hint="eastAsia" w:ascii="仿宋_GB2312" w:eastAsia="仿宋_GB2312" w:cs="宋体"/>
                <w:szCs w:val="21"/>
              </w:rPr>
              <w:t>。</w:t>
            </w:r>
          </w:p>
          <w:p>
            <w:pPr>
              <w:rPr>
                <w:rFonts w:hint="eastAsia" w:ascii="仿宋_GB2312" w:eastAsia="仿宋_GB2312"/>
                <w:szCs w:val="21"/>
              </w:rPr>
            </w:pPr>
            <w:r>
              <w:rPr>
                <w:rFonts w:hint="eastAsia" w:ascii="仿宋_GB2312" w:eastAsia="仿宋_GB2312" w:cs="宋体"/>
                <w:szCs w:val="21"/>
              </w:rPr>
              <w:t>在</w:t>
            </w:r>
            <w:r>
              <w:rPr>
                <w:rFonts w:hint="eastAsia" w:ascii="仿宋_GB2312" w:eastAsia="仿宋_GB2312"/>
                <w:szCs w:val="21"/>
              </w:rPr>
              <w:t>2560x1440 @ 25fps</w:t>
            </w:r>
            <w:r>
              <w:rPr>
                <w:rFonts w:hint="eastAsia" w:ascii="仿宋_GB2312" w:eastAsia="仿宋_GB2312" w:cs="宋体"/>
                <w:szCs w:val="21"/>
              </w:rPr>
              <w:t>下，清晰度不小于</w:t>
            </w:r>
            <w:r>
              <w:rPr>
                <w:rFonts w:hint="eastAsia" w:ascii="仿宋_GB2312" w:eastAsia="仿宋_GB2312"/>
                <w:szCs w:val="21"/>
              </w:rPr>
              <w:t>1400TVL</w:t>
            </w:r>
            <w:r>
              <w:rPr>
                <w:rFonts w:hint="eastAsia" w:ascii="仿宋_GB2312" w:eastAsia="仿宋_GB2312" w:cs="宋体"/>
                <w:szCs w:val="21"/>
              </w:rPr>
              <w:t>。</w:t>
            </w:r>
          </w:p>
          <w:p>
            <w:pPr>
              <w:rPr>
                <w:rFonts w:hint="eastAsia" w:ascii="仿宋_GB2312" w:eastAsia="仿宋_GB2312"/>
                <w:szCs w:val="21"/>
              </w:rPr>
            </w:pPr>
            <w:r>
              <w:rPr>
                <w:rFonts w:hint="eastAsia" w:ascii="仿宋_GB2312" w:eastAsia="仿宋_GB2312" w:cs="宋体"/>
                <w:szCs w:val="21"/>
              </w:rPr>
              <w:t>支持</w:t>
            </w:r>
            <w:r>
              <w:rPr>
                <w:rFonts w:hint="eastAsia" w:ascii="仿宋_GB2312" w:eastAsia="仿宋_GB2312"/>
                <w:szCs w:val="21"/>
              </w:rPr>
              <w:t>H.264</w:t>
            </w:r>
            <w:r>
              <w:rPr>
                <w:rFonts w:hint="eastAsia" w:ascii="仿宋_GB2312" w:eastAsia="仿宋_GB2312" w:cs="宋体"/>
                <w:szCs w:val="21"/>
              </w:rPr>
              <w:t>、</w:t>
            </w:r>
            <w:r>
              <w:rPr>
                <w:rFonts w:hint="eastAsia" w:ascii="仿宋_GB2312" w:eastAsia="仿宋_GB2312"/>
                <w:szCs w:val="21"/>
              </w:rPr>
              <w:t>H.265</w:t>
            </w:r>
            <w:r>
              <w:rPr>
                <w:rFonts w:hint="eastAsia" w:ascii="仿宋_GB2312" w:eastAsia="仿宋_GB2312" w:cs="宋体"/>
                <w:szCs w:val="21"/>
              </w:rPr>
              <w:t>、</w:t>
            </w:r>
            <w:r>
              <w:rPr>
                <w:rFonts w:hint="eastAsia" w:ascii="仿宋_GB2312" w:eastAsia="仿宋_GB2312"/>
                <w:szCs w:val="21"/>
              </w:rPr>
              <w:t>MJPEG</w:t>
            </w:r>
            <w:r>
              <w:rPr>
                <w:rFonts w:hint="eastAsia" w:ascii="仿宋_GB2312" w:eastAsia="仿宋_GB2312" w:cs="宋体"/>
                <w:szCs w:val="21"/>
              </w:rPr>
              <w:t>视频编码格式，且具有</w:t>
            </w:r>
            <w:r>
              <w:rPr>
                <w:rFonts w:hint="eastAsia" w:ascii="仿宋_GB2312" w:eastAsia="仿宋_GB2312"/>
                <w:szCs w:val="21"/>
              </w:rPr>
              <w:t>High Profile</w:t>
            </w:r>
            <w:r>
              <w:rPr>
                <w:rFonts w:hint="eastAsia" w:ascii="仿宋_GB2312" w:eastAsia="仿宋_GB2312" w:cs="宋体"/>
                <w:szCs w:val="21"/>
              </w:rPr>
              <w:t>编码能力。</w:t>
            </w:r>
          </w:p>
          <w:p>
            <w:pPr>
              <w:rPr>
                <w:rFonts w:hint="eastAsia" w:ascii="仿宋_GB2312" w:eastAsia="仿宋_GB2312"/>
                <w:szCs w:val="21"/>
              </w:rPr>
            </w:pPr>
            <w:r>
              <w:rPr>
                <w:rFonts w:hint="eastAsia" w:ascii="仿宋_GB2312" w:eastAsia="仿宋_GB2312" w:cs="宋体"/>
                <w:szCs w:val="21"/>
              </w:rPr>
              <w:t>信噪比不小于</w:t>
            </w:r>
            <w:r>
              <w:rPr>
                <w:rFonts w:hint="eastAsia" w:ascii="仿宋_GB2312" w:eastAsia="仿宋_GB2312"/>
                <w:szCs w:val="21"/>
              </w:rPr>
              <w:t>55dB</w:t>
            </w:r>
            <w:r>
              <w:rPr>
                <w:rFonts w:hint="eastAsia" w:ascii="仿宋_GB2312" w:eastAsia="仿宋_GB2312" w:cs="宋体"/>
                <w:szCs w:val="21"/>
              </w:rPr>
              <w:t>。</w:t>
            </w:r>
          </w:p>
          <w:p>
            <w:pPr>
              <w:rPr>
                <w:rFonts w:hint="eastAsia" w:ascii="仿宋_GB2312" w:eastAsia="仿宋_GB2312"/>
                <w:szCs w:val="21"/>
              </w:rPr>
            </w:pPr>
            <w:r>
              <w:rPr>
                <w:rFonts w:hint="eastAsia" w:ascii="仿宋_GB2312" w:eastAsia="仿宋_GB2312" w:cs="宋体"/>
                <w:szCs w:val="21"/>
              </w:rPr>
              <w:t>有电子防抖、</w:t>
            </w:r>
            <w:r>
              <w:rPr>
                <w:rFonts w:hint="eastAsia" w:ascii="仿宋_GB2312" w:eastAsia="仿宋_GB2312"/>
                <w:szCs w:val="21"/>
              </w:rPr>
              <w:t>ROI</w:t>
            </w:r>
            <w:r>
              <w:rPr>
                <w:rFonts w:hint="eastAsia" w:ascii="仿宋_GB2312" w:eastAsia="仿宋_GB2312" w:cs="宋体"/>
                <w:szCs w:val="21"/>
              </w:rPr>
              <w:t>感兴趣区域、</w:t>
            </w:r>
            <w:r>
              <w:rPr>
                <w:rFonts w:hint="eastAsia" w:ascii="仿宋_GB2312" w:eastAsia="仿宋_GB2312"/>
                <w:szCs w:val="21"/>
              </w:rPr>
              <w:t>SVC</w:t>
            </w:r>
            <w:r>
              <w:rPr>
                <w:rFonts w:hint="eastAsia" w:ascii="仿宋_GB2312" w:eastAsia="仿宋_GB2312" w:cs="宋体"/>
                <w:szCs w:val="21"/>
              </w:rPr>
              <w:t>可伸缩编码、自动增益、背光补偿、数字降噪、强光抑制、走廊模式等功能。</w:t>
            </w:r>
          </w:p>
          <w:p>
            <w:pPr>
              <w:rPr>
                <w:rFonts w:hint="eastAsia" w:ascii="仿宋_GB2312" w:eastAsia="仿宋_GB2312"/>
                <w:szCs w:val="21"/>
              </w:rPr>
            </w:pPr>
            <w:r>
              <w:rPr>
                <w:rFonts w:hint="eastAsia" w:ascii="仿宋_GB2312" w:eastAsia="仿宋_GB2312" w:cs="宋体"/>
                <w:szCs w:val="21"/>
              </w:rPr>
              <w:t>设备与客户端之间用</w:t>
            </w:r>
            <w:r>
              <w:rPr>
                <w:rFonts w:hint="eastAsia" w:ascii="仿宋_GB2312" w:eastAsia="仿宋_GB2312"/>
                <w:szCs w:val="21"/>
              </w:rPr>
              <w:t>100</w:t>
            </w:r>
            <w:r>
              <w:rPr>
                <w:rFonts w:hint="eastAsia" w:ascii="仿宋_GB2312" w:eastAsia="仿宋_GB2312" w:cs="宋体"/>
                <w:szCs w:val="21"/>
              </w:rPr>
              <w:t>米网线进行传输，数据包丢包率小于</w:t>
            </w:r>
            <w:r>
              <w:rPr>
                <w:rFonts w:hint="eastAsia" w:ascii="仿宋_GB2312" w:eastAsia="仿宋_GB2312"/>
                <w:szCs w:val="21"/>
              </w:rPr>
              <w:t>0.1%</w:t>
            </w:r>
            <w:r>
              <w:rPr>
                <w:rFonts w:hint="eastAsia" w:ascii="仿宋_GB2312" w:eastAsia="仿宋_GB2312" w:cs="宋体"/>
                <w:szCs w:val="21"/>
              </w:rPr>
              <w:t>。</w:t>
            </w:r>
          </w:p>
          <w:p>
            <w:pPr>
              <w:rPr>
                <w:rFonts w:hint="eastAsia" w:ascii="仿宋_GB2312" w:eastAsia="仿宋_GB2312"/>
                <w:szCs w:val="21"/>
              </w:rPr>
            </w:pPr>
            <w:r>
              <w:rPr>
                <w:rFonts w:hint="eastAsia" w:ascii="仿宋_GB2312" w:eastAsia="仿宋_GB2312"/>
                <w:szCs w:val="21"/>
              </w:rPr>
              <w:t>IP67</w:t>
            </w:r>
            <w:r>
              <w:rPr>
                <w:rFonts w:hint="eastAsia" w:ascii="仿宋_GB2312" w:eastAsia="仿宋_GB2312" w:cs="宋体"/>
                <w:szCs w:val="21"/>
              </w:rPr>
              <w:t>防尘防水等级。</w:t>
            </w:r>
          </w:p>
          <w:p>
            <w:pPr>
              <w:rPr>
                <w:rFonts w:hint="eastAsia" w:ascii="仿宋_GB2312" w:eastAsia="仿宋_GB2312"/>
                <w:kern w:val="0"/>
                <w:szCs w:val="21"/>
              </w:rPr>
            </w:pPr>
            <w:r>
              <w:rPr>
                <w:rFonts w:hint="eastAsia" w:ascii="仿宋_GB2312" w:eastAsia="仿宋_GB2312" w:cs="宋体"/>
                <w:szCs w:val="21"/>
              </w:rPr>
              <w:t>支持空气放电</w:t>
            </w:r>
            <w:r>
              <w:rPr>
                <w:rFonts w:hint="eastAsia" w:ascii="仿宋_GB2312" w:eastAsia="仿宋_GB2312"/>
                <w:szCs w:val="21"/>
              </w:rPr>
              <w:t>8kV</w:t>
            </w:r>
            <w:r>
              <w:rPr>
                <w:rFonts w:hint="eastAsia" w:ascii="仿宋_GB2312" w:eastAsia="仿宋_GB2312" w:cs="宋体"/>
                <w:szCs w:val="21"/>
              </w:rPr>
              <w:t>，接触放电</w:t>
            </w:r>
            <w:r>
              <w:rPr>
                <w:rFonts w:hint="eastAsia" w:ascii="仿宋_GB2312" w:eastAsia="仿宋_GB2312"/>
                <w:szCs w:val="21"/>
              </w:rPr>
              <w:t>6kV</w:t>
            </w:r>
            <w:r>
              <w:rPr>
                <w:rFonts w:hint="eastAsia" w:ascii="仿宋_GB2312" w:eastAsia="仿宋_GB2312" w:cs="宋体"/>
                <w:szCs w:val="21"/>
              </w:rPr>
              <w:t>，通讯端口支持</w:t>
            </w:r>
            <w:r>
              <w:rPr>
                <w:rFonts w:hint="eastAsia" w:ascii="仿宋_GB2312" w:eastAsia="仿宋_GB2312"/>
                <w:szCs w:val="21"/>
              </w:rPr>
              <w:t>6kV</w:t>
            </w:r>
            <w:r>
              <w:rPr>
                <w:rFonts w:hint="eastAsia" w:ascii="仿宋_GB2312" w:eastAsia="仿宋_GB2312" w:cs="宋体"/>
                <w:szCs w:val="21"/>
              </w:rPr>
              <w:t>峰值电压。</w:t>
            </w:r>
          </w:p>
        </w:tc>
        <w:tc>
          <w:tcPr>
            <w:tcW w:w="769"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台</w:t>
            </w:r>
          </w:p>
        </w:tc>
        <w:tc>
          <w:tcPr>
            <w:tcW w:w="792"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15</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2</w:t>
            </w:r>
          </w:p>
        </w:tc>
        <w:tc>
          <w:tcPr>
            <w:tcW w:w="1265"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摄像机围墙支架</w:t>
            </w:r>
          </w:p>
        </w:tc>
        <w:tc>
          <w:tcPr>
            <w:tcW w:w="5640" w:type="dxa"/>
            <w:tcBorders>
              <w:top w:val="nil"/>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定制，热镀锌喷塑，防锈防腐，管壁直径不小于76MM, 壁厚不小于5MM，立柱式高1-2米。</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只</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15</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3</w:t>
            </w:r>
          </w:p>
        </w:tc>
        <w:tc>
          <w:tcPr>
            <w:tcW w:w="1265"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监控电源</w:t>
            </w:r>
          </w:p>
        </w:tc>
        <w:tc>
          <w:tcPr>
            <w:tcW w:w="5640"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AC220V电源输入，DC12V10A稳压输出</w:t>
            </w:r>
          </w:p>
        </w:tc>
        <w:tc>
          <w:tcPr>
            <w:tcW w:w="769"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只</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5</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4</w:t>
            </w:r>
          </w:p>
        </w:tc>
        <w:tc>
          <w:tcPr>
            <w:tcW w:w="1265"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喇叭</w:t>
            </w:r>
          </w:p>
        </w:tc>
        <w:tc>
          <w:tcPr>
            <w:tcW w:w="5640" w:type="dxa"/>
            <w:tcBorders>
              <w:top w:val="single" w:color="auto" w:sz="4" w:space="0"/>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与摄像机配套使用</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只</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15</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5</w:t>
            </w:r>
          </w:p>
        </w:tc>
        <w:tc>
          <w:tcPr>
            <w:tcW w:w="1265"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室外防水机箱</w:t>
            </w:r>
          </w:p>
        </w:tc>
        <w:tc>
          <w:tcPr>
            <w:tcW w:w="5640" w:type="dxa"/>
            <w:tcBorders>
              <w:top w:val="nil"/>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定制，防锈防腐，壁厚不小于1.5MM，箱体防护等级应能达到IP54防护等级，尺寸：400*300*250</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组</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4</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6</w:t>
            </w:r>
          </w:p>
        </w:tc>
        <w:tc>
          <w:tcPr>
            <w:tcW w:w="1265"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智能NVR</w:t>
            </w:r>
          </w:p>
        </w:tc>
        <w:tc>
          <w:tcPr>
            <w:tcW w:w="5640" w:type="dxa"/>
            <w:tcBorders>
              <w:top w:val="nil"/>
              <w:left w:val="nil"/>
              <w:bottom w:val="single" w:color="auto" w:sz="4" w:space="0"/>
              <w:right w:val="single" w:color="auto" w:sz="4" w:space="0"/>
            </w:tcBorders>
            <w:noWrap w:val="0"/>
            <w:vAlign w:val="center"/>
          </w:tcPr>
          <w:p>
            <w:pPr>
              <w:rPr>
                <w:rFonts w:hint="eastAsia" w:ascii="仿宋_GB2312" w:eastAsia="仿宋_GB2312"/>
                <w:szCs w:val="21"/>
              </w:rPr>
            </w:pPr>
            <w:r>
              <w:rPr>
                <w:rFonts w:hint="eastAsia" w:ascii="仿宋_GB2312" w:eastAsia="仿宋_GB2312" w:cs="宋体"/>
                <w:szCs w:val="21"/>
              </w:rPr>
              <w:t>支持周界报警过滤功能，对</w:t>
            </w:r>
            <w:r>
              <w:rPr>
                <w:rFonts w:hint="eastAsia" w:ascii="仿宋_GB2312" w:eastAsia="仿宋_GB2312"/>
                <w:szCs w:val="21"/>
              </w:rPr>
              <w:t>IPC</w:t>
            </w:r>
            <w:r>
              <w:rPr>
                <w:rFonts w:hint="eastAsia" w:ascii="仿宋_GB2312" w:eastAsia="仿宋_GB2312" w:cs="宋体"/>
                <w:szCs w:val="21"/>
              </w:rPr>
              <w:t>上报的越界侦测报警和区域入侵报警进行去误报，可去除由树叶、灯光、车辆、阴影以及小动物引起的误报，支持</w:t>
            </w:r>
            <w:r>
              <w:rPr>
                <w:rFonts w:hint="eastAsia" w:ascii="仿宋_GB2312" w:eastAsia="仿宋_GB2312"/>
                <w:szCs w:val="21"/>
              </w:rPr>
              <w:t>16</w:t>
            </w:r>
            <w:r>
              <w:rPr>
                <w:rFonts w:hint="eastAsia" w:ascii="仿宋_GB2312" w:eastAsia="仿宋_GB2312" w:cs="宋体"/>
                <w:szCs w:val="21"/>
              </w:rPr>
              <w:t>路及以上</w:t>
            </w:r>
          </w:p>
          <w:p>
            <w:pPr>
              <w:rPr>
                <w:rFonts w:hint="eastAsia" w:ascii="仿宋_GB2312" w:eastAsia="仿宋_GB2312"/>
                <w:szCs w:val="21"/>
              </w:rPr>
            </w:pPr>
            <w:r>
              <w:rPr>
                <w:rFonts w:hint="eastAsia" w:ascii="仿宋_GB2312" w:eastAsia="仿宋_GB2312" w:cs="宋体"/>
                <w:szCs w:val="21"/>
              </w:rPr>
              <w:t>支持接入人体抓拍机，当抓拍机侦测到人体并触发报警时，</w:t>
            </w:r>
            <w:r>
              <w:rPr>
                <w:rFonts w:hint="eastAsia" w:ascii="仿宋_GB2312" w:eastAsia="仿宋_GB2312"/>
                <w:szCs w:val="21"/>
              </w:rPr>
              <w:t>NVR</w:t>
            </w:r>
            <w:r>
              <w:rPr>
                <w:rFonts w:hint="eastAsia" w:ascii="仿宋_GB2312" w:eastAsia="仿宋_GB2312" w:cs="宋体"/>
                <w:szCs w:val="21"/>
              </w:rPr>
              <w:t>可联动录像、保存人体图片、弹出报警画面、声音警告、上传中心、发送邮件、触发报警输出，可按通道、时间检索图片</w:t>
            </w:r>
          </w:p>
          <w:p>
            <w:pPr>
              <w:rPr>
                <w:rFonts w:hint="eastAsia" w:ascii="仿宋_GB2312" w:eastAsia="仿宋_GB2312"/>
                <w:szCs w:val="21"/>
              </w:rPr>
            </w:pPr>
            <w:r>
              <w:rPr>
                <w:rFonts w:hint="eastAsia" w:ascii="仿宋_GB2312" w:eastAsia="仿宋_GB2312" w:cs="宋体"/>
                <w:szCs w:val="21"/>
              </w:rPr>
              <w:t>支持对人体抓拍机上报的报警图片进行二次识别，去除非人体报警</w:t>
            </w:r>
          </w:p>
          <w:p>
            <w:pPr>
              <w:rPr>
                <w:rFonts w:hint="eastAsia" w:ascii="仿宋_GB2312" w:eastAsia="仿宋_GB2312"/>
                <w:szCs w:val="21"/>
              </w:rPr>
            </w:pPr>
            <w:r>
              <w:rPr>
                <w:rFonts w:hint="eastAsia" w:ascii="仿宋_GB2312" w:eastAsia="仿宋_GB2312" w:cs="宋体"/>
                <w:szCs w:val="21"/>
              </w:rPr>
              <w:t>支持对人体图片进行结构化识别，可提取出人体属性（性别、年龄段、衣服颜色、戴眼镜、背包、骑车），并支持按属性进行检索人体图片；可对图片进行建模，并支持人体以图搜图</w:t>
            </w:r>
          </w:p>
          <w:p>
            <w:pPr>
              <w:rPr>
                <w:rFonts w:hint="eastAsia" w:ascii="仿宋_GB2312" w:eastAsia="仿宋_GB2312"/>
                <w:szCs w:val="21"/>
              </w:rPr>
            </w:pPr>
            <w:r>
              <w:rPr>
                <w:rFonts w:hint="eastAsia" w:ascii="仿宋_GB2312" w:eastAsia="仿宋_GB2312" w:cs="宋体"/>
                <w:szCs w:val="21"/>
              </w:rPr>
              <w:t>可接入双目摄像机进行预览和回放</w:t>
            </w:r>
          </w:p>
          <w:p>
            <w:pPr>
              <w:rPr>
                <w:rFonts w:hint="eastAsia" w:ascii="仿宋_GB2312" w:eastAsia="仿宋_GB2312"/>
                <w:szCs w:val="21"/>
              </w:rPr>
            </w:pPr>
            <w:r>
              <w:rPr>
                <w:rFonts w:hint="eastAsia" w:ascii="仿宋_GB2312" w:eastAsia="仿宋_GB2312" w:cs="宋体"/>
                <w:szCs w:val="21"/>
              </w:rPr>
              <w:t>支持视频摘要回放功能：将不同时间段的多个目标叠加在一个背景上同时回放</w:t>
            </w:r>
          </w:p>
          <w:p>
            <w:pPr>
              <w:rPr>
                <w:rFonts w:hint="eastAsia" w:ascii="仿宋_GB2312" w:eastAsia="仿宋_GB2312"/>
                <w:szCs w:val="21"/>
              </w:rPr>
            </w:pPr>
            <w:r>
              <w:rPr>
                <w:rFonts w:hint="eastAsia" w:ascii="仿宋_GB2312" w:eastAsia="仿宋_GB2312" w:cs="宋体"/>
                <w:szCs w:val="21"/>
              </w:rPr>
              <w:t>支持同时输出</w:t>
            </w:r>
            <w:r>
              <w:rPr>
                <w:rFonts w:hint="eastAsia" w:ascii="仿宋_GB2312" w:eastAsia="仿宋_GB2312"/>
                <w:szCs w:val="21"/>
              </w:rPr>
              <w:t>3</w:t>
            </w:r>
            <w:r>
              <w:rPr>
                <w:rFonts w:hint="eastAsia" w:ascii="仿宋_GB2312" w:eastAsia="仿宋_GB2312" w:cs="宋体"/>
                <w:szCs w:val="21"/>
              </w:rPr>
              <w:t>路</w:t>
            </w:r>
            <w:r>
              <w:rPr>
                <w:rFonts w:hint="eastAsia" w:ascii="仿宋_GB2312" w:eastAsia="仿宋_GB2312"/>
                <w:szCs w:val="21"/>
              </w:rPr>
              <w:t>H.264</w:t>
            </w:r>
            <w:r>
              <w:rPr>
                <w:rFonts w:hint="eastAsia" w:ascii="仿宋_GB2312" w:eastAsia="仿宋_GB2312" w:cs="宋体"/>
                <w:szCs w:val="21"/>
              </w:rPr>
              <w:t>编码、</w:t>
            </w:r>
            <w:r>
              <w:rPr>
                <w:rFonts w:hint="eastAsia" w:ascii="仿宋_GB2312" w:eastAsia="仿宋_GB2312"/>
                <w:szCs w:val="21"/>
              </w:rPr>
              <w:t>20fps</w:t>
            </w:r>
            <w:r>
              <w:rPr>
                <w:rFonts w:hint="eastAsia" w:ascii="仿宋_GB2312" w:eastAsia="仿宋_GB2312" w:cs="宋体"/>
                <w:szCs w:val="21"/>
              </w:rPr>
              <w:t>、</w:t>
            </w:r>
            <w:r>
              <w:rPr>
                <w:rFonts w:hint="eastAsia" w:ascii="仿宋_GB2312" w:eastAsia="仿宋_GB2312"/>
                <w:szCs w:val="21"/>
              </w:rPr>
              <w:t>4000</w:t>
            </w:r>
            <w:r>
              <w:rPr>
                <w:rFonts w:hint="eastAsia" w:ascii="仿宋_GB2312" w:eastAsia="仿宋_GB2312" w:cs="宋体"/>
                <w:szCs w:val="21"/>
              </w:rPr>
              <w:t>×</w:t>
            </w:r>
            <w:r>
              <w:rPr>
                <w:rFonts w:hint="eastAsia" w:ascii="仿宋_GB2312" w:eastAsia="仿宋_GB2312"/>
                <w:szCs w:val="21"/>
              </w:rPr>
              <w:t>3000</w:t>
            </w:r>
            <w:r>
              <w:rPr>
                <w:rFonts w:hint="eastAsia" w:ascii="仿宋_GB2312" w:eastAsia="仿宋_GB2312" w:cs="宋体"/>
                <w:szCs w:val="21"/>
              </w:rPr>
              <w:t>格式的视频图像</w:t>
            </w:r>
          </w:p>
          <w:p>
            <w:pPr>
              <w:rPr>
                <w:rFonts w:hint="eastAsia" w:ascii="仿宋_GB2312" w:eastAsia="仿宋_GB2312"/>
                <w:szCs w:val="21"/>
              </w:rPr>
            </w:pPr>
            <w:r>
              <w:rPr>
                <w:rFonts w:hint="eastAsia" w:ascii="仿宋_GB2312" w:eastAsia="仿宋_GB2312" w:cs="宋体"/>
                <w:szCs w:val="21"/>
              </w:rPr>
              <w:t>支持对鱼眼</w:t>
            </w:r>
            <w:r>
              <w:rPr>
                <w:rFonts w:hint="eastAsia" w:ascii="仿宋_GB2312" w:eastAsia="仿宋_GB2312"/>
                <w:szCs w:val="21"/>
              </w:rPr>
              <w:t>IPC</w:t>
            </w:r>
            <w:r>
              <w:rPr>
                <w:rFonts w:hint="eastAsia" w:ascii="仿宋_GB2312" w:eastAsia="仿宋_GB2312" w:cs="宋体"/>
                <w:szCs w:val="21"/>
              </w:rPr>
              <w:t>进行矫正，可设置</w:t>
            </w:r>
            <w:r>
              <w:rPr>
                <w:rFonts w:hint="eastAsia" w:ascii="仿宋_GB2312" w:eastAsia="仿宋_GB2312"/>
                <w:szCs w:val="21"/>
              </w:rPr>
              <w:t>180</w:t>
            </w:r>
            <w:r>
              <w:rPr>
                <w:rFonts w:hint="eastAsia" w:ascii="仿宋_GB2312" w:eastAsia="仿宋_GB2312" w:cs="宋体"/>
                <w:szCs w:val="21"/>
              </w:rPr>
              <w:t>度全景、</w:t>
            </w:r>
            <w:r>
              <w:rPr>
                <w:rFonts w:hint="eastAsia" w:ascii="仿宋_GB2312" w:eastAsia="仿宋_GB2312"/>
                <w:szCs w:val="21"/>
              </w:rPr>
              <w:t>360</w:t>
            </w:r>
            <w:r>
              <w:rPr>
                <w:rFonts w:hint="eastAsia" w:ascii="仿宋_GB2312" w:eastAsia="仿宋_GB2312" w:cs="宋体"/>
                <w:szCs w:val="21"/>
              </w:rPr>
              <w:t>度全景、</w:t>
            </w:r>
            <w:r>
              <w:rPr>
                <w:rFonts w:hint="eastAsia" w:ascii="仿宋_GB2312" w:eastAsia="仿宋_GB2312"/>
                <w:szCs w:val="21"/>
              </w:rPr>
              <w:t>PTZ</w:t>
            </w:r>
            <w:r>
              <w:rPr>
                <w:rFonts w:hint="eastAsia" w:ascii="仿宋_GB2312" w:eastAsia="仿宋_GB2312" w:cs="宋体"/>
                <w:szCs w:val="21"/>
              </w:rPr>
              <w:t>三种模式</w:t>
            </w:r>
          </w:p>
          <w:p>
            <w:pPr>
              <w:rPr>
                <w:rFonts w:hint="eastAsia" w:ascii="仿宋_GB2312" w:eastAsia="仿宋_GB2312"/>
                <w:szCs w:val="21"/>
              </w:rPr>
            </w:pPr>
            <w:r>
              <w:rPr>
                <w:rFonts w:hint="eastAsia" w:ascii="仿宋_GB2312" w:eastAsia="仿宋_GB2312" w:cs="宋体"/>
                <w:szCs w:val="21"/>
              </w:rPr>
              <w:t>可支持最大接入总带宽</w:t>
            </w:r>
            <w:r>
              <w:rPr>
                <w:rFonts w:hint="eastAsia" w:ascii="仿宋_GB2312" w:eastAsia="仿宋_GB2312"/>
                <w:szCs w:val="21"/>
              </w:rPr>
              <w:t>512Mbps</w:t>
            </w:r>
            <w:r>
              <w:rPr>
                <w:rFonts w:hint="eastAsia" w:ascii="仿宋_GB2312" w:eastAsia="仿宋_GB2312" w:cs="宋体"/>
                <w:szCs w:val="21"/>
              </w:rPr>
              <w:t>的</w:t>
            </w:r>
            <w:r>
              <w:rPr>
                <w:rFonts w:hint="eastAsia" w:ascii="仿宋_GB2312" w:eastAsia="仿宋_GB2312"/>
                <w:szCs w:val="21"/>
              </w:rPr>
              <w:t>32</w:t>
            </w:r>
            <w:r>
              <w:rPr>
                <w:rFonts w:hint="eastAsia" w:ascii="仿宋_GB2312" w:eastAsia="仿宋_GB2312" w:cs="宋体"/>
                <w:szCs w:val="21"/>
              </w:rPr>
              <w:t>路视频图像</w:t>
            </w:r>
          </w:p>
          <w:p>
            <w:pPr>
              <w:rPr>
                <w:rFonts w:hint="eastAsia" w:ascii="仿宋_GB2312" w:eastAsia="仿宋_GB2312"/>
                <w:szCs w:val="21"/>
              </w:rPr>
            </w:pPr>
            <w:r>
              <w:rPr>
                <w:rFonts w:hint="eastAsia" w:ascii="仿宋_GB2312" w:eastAsia="仿宋_GB2312" w:cs="宋体"/>
                <w:szCs w:val="21"/>
              </w:rPr>
              <w:t>可接入</w:t>
            </w:r>
            <w:r>
              <w:rPr>
                <w:rFonts w:hint="eastAsia" w:ascii="仿宋_GB2312" w:eastAsia="仿宋_GB2312"/>
                <w:szCs w:val="21"/>
              </w:rPr>
              <w:t>H.265</w:t>
            </w:r>
            <w:r>
              <w:rPr>
                <w:rFonts w:hint="eastAsia" w:ascii="仿宋_GB2312" w:eastAsia="仿宋_GB2312" w:cs="宋体"/>
                <w:szCs w:val="21"/>
              </w:rPr>
              <w:t>、</w:t>
            </w:r>
            <w:r>
              <w:rPr>
                <w:rFonts w:hint="eastAsia" w:ascii="仿宋_GB2312" w:eastAsia="仿宋_GB2312"/>
                <w:szCs w:val="21"/>
              </w:rPr>
              <w:t>H.264</w:t>
            </w:r>
            <w:r>
              <w:rPr>
                <w:rFonts w:hint="eastAsia" w:ascii="仿宋_GB2312" w:eastAsia="仿宋_GB2312" w:cs="宋体"/>
                <w:szCs w:val="21"/>
              </w:rPr>
              <w:t>、</w:t>
            </w:r>
            <w:r>
              <w:rPr>
                <w:rFonts w:hint="eastAsia" w:ascii="仿宋_GB2312" w:eastAsia="仿宋_GB2312"/>
                <w:szCs w:val="21"/>
              </w:rPr>
              <w:t>MPEG4</w:t>
            </w:r>
            <w:r>
              <w:rPr>
                <w:rFonts w:hint="eastAsia" w:ascii="仿宋_GB2312" w:eastAsia="仿宋_GB2312" w:cs="宋体"/>
                <w:szCs w:val="21"/>
              </w:rPr>
              <w:t>、</w:t>
            </w:r>
            <w:r>
              <w:rPr>
                <w:rFonts w:hint="eastAsia" w:ascii="仿宋_GB2312" w:eastAsia="仿宋_GB2312"/>
                <w:szCs w:val="21"/>
              </w:rPr>
              <w:t>SVAC</w:t>
            </w:r>
            <w:r>
              <w:rPr>
                <w:rFonts w:hint="eastAsia" w:ascii="仿宋_GB2312" w:eastAsia="仿宋_GB2312" w:cs="宋体"/>
                <w:szCs w:val="21"/>
              </w:rPr>
              <w:t>视频编码格式的</w:t>
            </w:r>
            <w:r>
              <w:rPr>
                <w:rFonts w:hint="eastAsia" w:ascii="仿宋_GB2312" w:eastAsia="仿宋_GB2312"/>
                <w:szCs w:val="21"/>
              </w:rPr>
              <w:t>IPC</w:t>
            </w:r>
          </w:p>
          <w:p>
            <w:pPr>
              <w:rPr>
                <w:rFonts w:hint="eastAsia" w:ascii="仿宋_GB2312" w:eastAsia="仿宋_GB2312"/>
                <w:szCs w:val="21"/>
              </w:rPr>
            </w:pPr>
            <w:r>
              <w:rPr>
                <w:rFonts w:hint="eastAsia" w:ascii="仿宋_GB2312" w:eastAsia="仿宋_GB2312" w:cs="宋体"/>
                <w:szCs w:val="21"/>
              </w:rPr>
              <w:t>支持带有越界、区域入侵、进入</w:t>
            </w:r>
            <w:r>
              <w:rPr>
                <w:rFonts w:hint="eastAsia" w:ascii="仿宋_GB2312" w:eastAsia="仿宋_GB2312"/>
                <w:szCs w:val="21"/>
              </w:rPr>
              <w:t>/</w:t>
            </w:r>
            <w:r>
              <w:rPr>
                <w:rFonts w:hint="eastAsia" w:ascii="仿宋_GB2312" w:eastAsia="仿宋_GB2312" w:cs="宋体"/>
                <w:szCs w:val="21"/>
              </w:rPr>
              <w:t>离开区域、人员聚集、快速移动、物品遗留</w:t>
            </w:r>
            <w:r>
              <w:rPr>
                <w:rFonts w:hint="eastAsia" w:ascii="仿宋_GB2312" w:eastAsia="仿宋_GB2312"/>
                <w:szCs w:val="21"/>
              </w:rPr>
              <w:t>/</w:t>
            </w:r>
            <w:r>
              <w:rPr>
                <w:rFonts w:hint="eastAsia" w:ascii="仿宋_GB2312" w:eastAsia="仿宋_GB2312" w:cs="宋体"/>
                <w:szCs w:val="21"/>
              </w:rPr>
              <w:t>拿取、停车、徘徊、场景变更、虚焦、音频异常报警、</w:t>
            </w:r>
            <w:r>
              <w:rPr>
                <w:rFonts w:hint="eastAsia" w:ascii="仿宋_GB2312" w:eastAsia="仿宋_GB2312"/>
                <w:szCs w:val="21"/>
              </w:rPr>
              <w:t>PIR</w:t>
            </w:r>
            <w:r>
              <w:rPr>
                <w:rFonts w:hint="eastAsia" w:ascii="仿宋_GB2312" w:eastAsia="仿宋_GB2312" w:cs="宋体"/>
                <w:szCs w:val="21"/>
              </w:rPr>
              <w:t>报警功能的网络摄像机接入与相关报警联动功能</w:t>
            </w:r>
          </w:p>
          <w:p>
            <w:pPr>
              <w:rPr>
                <w:rFonts w:hint="eastAsia" w:ascii="仿宋_GB2312" w:eastAsia="仿宋_GB2312"/>
                <w:szCs w:val="21"/>
              </w:rPr>
            </w:pPr>
            <w:r>
              <w:rPr>
                <w:rFonts w:hint="eastAsia" w:ascii="仿宋_GB2312" w:eastAsia="仿宋_GB2312" w:cs="宋体"/>
                <w:szCs w:val="21"/>
              </w:rPr>
              <w:t>支持</w:t>
            </w:r>
            <w:r>
              <w:rPr>
                <w:rFonts w:hint="eastAsia" w:ascii="仿宋_GB2312" w:eastAsia="仿宋_GB2312"/>
                <w:szCs w:val="21"/>
              </w:rPr>
              <w:t>RAID0</w:t>
            </w:r>
            <w:r>
              <w:rPr>
                <w:rFonts w:hint="eastAsia" w:ascii="仿宋_GB2312" w:eastAsia="仿宋_GB2312" w:cs="宋体"/>
                <w:szCs w:val="21"/>
              </w:rPr>
              <w:t>、</w:t>
            </w:r>
            <w:r>
              <w:rPr>
                <w:rFonts w:hint="eastAsia" w:ascii="仿宋_GB2312" w:eastAsia="仿宋_GB2312"/>
                <w:szCs w:val="21"/>
              </w:rPr>
              <w:t>RAID1</w:t>
            </w:r>
            <w:r>
              <w:rPr>
                <w:rFonts w:hint="eastAsia" w:ascii="仿宋_GB2312" w:eastAsia="仿宋_GB2312" w:cs="宋体"/>
                <w:szCs w:val="21"/>
              </w:rPr>
              <w:t>、</w:t>
            </w:r>
            <w:r>
              <w:rPr>
                <w:rFonts w:hint="eastAsia" w:ascii="仿宋_GB2312" w:eastAsia="仿宋_GB2312"/>
                <w:szCs w:val="21"/>
              </w:rPr>
              <w:t>RAID5</w:t>
            </w:r>
            <w:r>
              <w:rPr>
                <w:rFonts w:hint="eastAsia" w:ascii="仿宋_GB2312" w:eastAsia="仿宋_GB2312" w:cs="宋体"/>
                <w:szCs w:val="21"/>
              </w:rPr>
              <w:t>、</w:t>
            </w:r>
            <w:r>
              <w:rPr>
                <w:rFonts w:hint="eastAsia" w:ascii="仿宋_GB2312" w:eastAsia="仿宋_GB2312"/>
                <w:szCs w:val="21"/>
              </w:rPr>
              <w:t>RAID6</w:t>
            </w:r>
            <w:r>
              <w:rPr>
                <w:rFonts w:hint="eastAsia" w:ascii="仿宋_GB2312" w:eastAsia="仿宋_GB2312" w:cs="宋体"/>
                <w:szCs w:val="21"/>
              </w:rPr>
              <w:t>、</w:t>
            </w:r>
            <w:r>
              <w:rPr>
                <w:rFonts w:hint="eastAsia" w:ascii="仿宋_GB2312" w:eastAsia="仿宋_GB2312"/>
                <w:szCs w:val="21"/>
              </w:rPr>
              <w:t>RAID10</w:t>
            </w:r>
            <w:r>
              <w:rPr>
                <w:rFonts w:hint="eastAsia" w:ascii="仿宋_GB2312" w:eastAsia="仿宋_GB2312" w:cs="宋体"/>
                <w:szCs w:val="21"/>
              </w:rPr>
              <w:t>、</w:t>
            </w:r>
            <w:r>
              <w:rPr>
                <w:rFonts w:hint="eastAsia" w:ascii="仿宋_GB2312" w:eastAsia="仿宋_GB2312"/>
                <w:szCs w:val="21"/>
              </w:rPr>
              <w:t>RAID50</w:t>
            </w:r>
            <w:r>
              <w:rPr>
                <w:rFonts w:hint="eastAsia" w:ascii="仿宋_GB2312" w:eastAsia="仿宋_GB2312" w:cs="宋体"/>
                <w:szCs w:val="21"/>
              </w:rPr>
              <w:t>、</w:t>
            </w:r>
            <w:r>
              <w:rPr>
                <w:rFonts w:hint="eastAsia" w:ascii="仿宋_GB2312" w:eastAsia="仿宋_GB2312"/>
                <w:szCs w:val="21"/>
              </w:rPr>
              <w:t>RAID60</w:t>
            </w:r>
            <w:r>
              <w:rPr>
                <w:rFonts w:hint="eastAsia" w:ascii="仿宋_GB2312" w:eastAsia="仿宋_GB2312" w:cs="宋体"/>
                <w:szCs w:val="21"/>
              </w:rPr>
              <w:t>和</w:t>
            </w:r>
            <w:r>
              <w:rPr>
                <w:rFonts w:hint="eastAsia" w:ascii="仿宋_GB2312" w:eastAsia="仿宋_GB2312"/>
                <w:szCs w:val="21"/>
              </w:rPr>
              <w:t>JBOD</w:t>
            </w:r>
            <w:r>
              <w:rPr>
                <w:rFonts w:hint="eastAsia" w:ascii="仿宋_GB2312" w:eastAsia="仿宋_GB2312" w:cs="宋体"/>
                <w:szCs w:val="21"/>
              </w:rPr>
              <w:t>模式</w:t>
            </w:r>
          </w:p>
          <w:p>
            <w:pPr>
              <w:rPr>
                <w:rFonts w:hint="eastAsia" w:ascii="仿宋_GB2312" w:eastAsia="仿宋_GB2312"/>
                <w:szCs w:val="21"/>
              </w:rPr>
            </w:pPr>
            <w:r>
              <w:rPr>
                <w:rFonts w:hint="eastAsia" w:ascii="仿宋_GB2312" w:eastAsia="仿宋_GB2312" w:cs="宋体"/>
                <w:szCs w:val="21"/>
              </w:rPr>
              <w:t>支持</w:t>
            </w:r>
            <w:r>
              <w:rPr>
                <w:rFonts w:hint="eastAsia" w:ascii="仿宋_GB2312" w:eastAsia="仿宋_GB2312"/>
                <w:szCs w:val="21"/>
              </w:rPr>
              <w:t>8T</w:t>
            </w:r>
            <w:r>
              <w:rPr>
                <w:rFonts w:hint="eastAsia" w:ascii="仿宋_GB2312" w:eastAsia="仿宋_GB2312" w:cs="宋体"/>
                <w:szCs w:val="21"/>
              </w:rPr>
              <w:t>容量的</w:t>
            </w:r>
            <w:r>
              <w:rPr>
                <w:rFonts w:hint="eastAsia" w:ascii="仿宋_GB2312" w:eastAsia="仿宋_GB2312"/>
                <w:szCs w:val="21"/>
              </w:rPr>
              <w:t>SATA</w:t>
            </w:r>
            <w:r>
              <w:rPr>
                <w:rFonts w:hint="eastAsia" w:ascii="仿宋_GB2312" w:eastAsia="仿宋_GB2312" w:cs="宋体"/>
                <w:szCs w:val="21"/>
              </w:rPr>
              <w:t>接口硬盘；支持硬盘热插拔和休眠</w:t>
            </w:r>
          </w:p>
          <w:p>
            <w:pPr>
              <w:rPr>
                <w:rFonts w:hint="eastAsia" w:ascii="仿宋_GB2312" w:eastAsia="仿宋_GB2312"/>
                <w:szCs w:val="21"/>
              </w:rPr>
            </w:pPr>
            <w:r>
              <w:rPr>
                <w:rFonts w:hint="eastAsia" w:ascii="仿宋_GB2312" w:eastAsia="仿宋_GB2312" w:cs="宋体"/>
                <w:szCs w:val="21"/>
              </w:rPr>
              <w:t>支持将</w:t>
            </w:r>
            <w:r>
              <w:rPr>
                <w:rFonts w:hint="eastAsia" w:ascii="仿宋_GB2312" w:eastAsia="仿宋_GB2312"/>
                <w:szCs w:val="21"/>
              </w:rPr>
              <w:t>2</w:t>
            </w:r>
            <w:r>
              <w:rPr>
                <w:rFonts w:hint="eastAsia" w:ascii="仿宋_GB2312" w:eastAsia="仿宋_GB2312" w:cs="宋体"/>
                <w:szCs w:val="21"/>
              </w:rPr>
              <w:t>个网口设置不同网段的</w:t>
            </w:r>
            <w:r>
              <w:rPr>
                <w:rFonts w:hint="eastAsia" w:ascii="仿宋_GB2312" w:eastAsia="仿宋_GB2312"/>
                <w:szCs w:val="21"/>
              </w:rPr>
              <w:t>IP</w:t>
            </w:r>
            <w:r>
              <w:rPr>
                <w:rFonts w:hint="eastAsia" w:ascii="仿宋_GB2312" w:eastAsia="仿宋_GB2312" w:cs="宋体"/>
                <w:szCs w:val="21"/>
              </w:rPr>
              <w:t>地址</w:t>
            </w:r>
          </w:p>
          <w:p>
            <w:pPr>
              <w:rPr>
                <w:rFonts w:hint="eastAsia" w:ascii="仿宋_GB2312" w:eastAsia="仿宋_GB2312"/>
                <w:szCs w:val="21"/>
              </w:rPr>
            </w:pPr>
            <w:r>
              <w:rPr>
                <w:rFonts w:hint="eastAsia" w:ascii="仿宋_GB2312" w:eastAsia="仿宋_GB2312" w:cs="宋体"/>
                <w:szCs w:val="21"/>
              </w:rPr>
              <w:t>支持系统备份功能，检测到一个系统异常时，可从另一个系统启动，并恢复异常系统</w:t>
            </w:r>
          </w:p>
          <w:p>
            <w:pPr>
              <w:rPr>
                <w:rFonts w:hint="eastAsia" w:ascii="仿宋_GB2312" w:eastAsia="仿宋_GB2312"/>
                <w:kern w:val="0"/>
                <w:szCs w:val="21"/>
              </w:rPr>
            </w:pPr>
            <w:r>
              <w:rPr>
                <w:rFonts w:hint="eastAsia" w:ascii="仿宋_GB2312" w:eastAsia="仿宋_GB2312" w:cs="宋体"/>
                <w:szCs w:val="21"/>
              </w:rPr>
              <w:t>支持</w:t>
            </w:r>
            <w:r>
              <w:rPr>
                <w:rFonts w:hint="eastAsia" w:ascii="仿宋_GB2312" w:eastAsia="仿宋_GB2312"/>
                <w:szCs w:val="21"/>
              </w:rPr>
              <w:t>SATA</w:t>
            </w:r>
            <w:r>
              <w:rPr>
                <w:rFonts w:hint="eastAsia" w:ascii="仿宋_GB2312" w:eastAsia="仿宋_GB2312" w:cs="宋体"/>
                <w:szCs w:val="21"/>
              </w:rPr>
              <w:t>接口</w:t>
            </w:r>
            <w:r>
              <w:rPr>
                <w:rFonts w:hint="eastAsia" w:ascii="仿宋_GB2312" w:hAnsi="宋体" w:eastAsia="仿宋_GB2312" w:cs="宋体"/>
                <w:szCs w:val="21"/>
              </w:rPr>
              <w:t>≥</w:t>
            </w:r>
            <w:r>
              <w:rPr>
                <w:rFonts w:hint="eastAsia" w:ascii="仿宋_GB2312" w:eastAsia="仿宋_GB2312"/>
                <w:szCs w:val="21"/>
              </w:rPr>
              <w:t>8</w:t>
            </w:r>
            <w:r>
              <w:rPr>
                <w:rFonts w:hint="eastAsia" w:ascii="仿宋_GB2312" w:eastAsia="仿宋_GB2312" w:cs="宋体"/>
                <w:szCs w:val="21"/>
              </w:rPr>
              <w:t>个，带</w:t>
            </w:r>
            <w:r>
              <w:rPr>
                <w:rFonts w:hint="eastAsia" w:ascii="仿宋_GB2312" w:eastAsia="仿宋_GB2312"/>
                <w:szCs w:val="21"/>
              </w:rPr>
              <w:t>eSATA</w:t>
            </w:r>
            <w:r>
              <w:rPr>
                <w:rFonts w:hint="eastAsia" w:ascii="仿宋_GB2312" w:eastAsia="仿宋_GB2312" w:cs="宋体"/>
                <w:szCs w:val="21"/>
              </w:rPr>
              <w:t>接口和</w:t>
            </w:r>
            <w:r>
              <w:rPr>
                <w:rFonts w:hint="eastAsia" w:ascii="仿宋_GB2312" w:eastAsia="仿宋_GB2312"/>
                <w:szCs w:val="21"/>
              </w:rPr>
              <w:t>USB3.0</w:t>
            </w:r>
            <w:r>
              <w:rPr>
                <w:rFonts w:hint="eastAsia" w:ascii="仿宋_GB2312" w:eastAsia="仿宋_GB2312" w:cs="宋体"/>
                <w:szCs w:val="21"/>
              </w:rPr>
              <w:t>接口，</w:t>
            </w:r>
            <w:r>
              <w:rPr>
                <w:rFonts w:hint="eastAsia" w:ascii="仿宋_GB2312" w:eastAsia="仿宋_GB2312"/>
                <w:szCs w:val="21"/>
              </w:rPr>
              <w:t>USB2.0</w:t>
            </w:r>
            <w:r>
              <w:rPr>
                <w:rFonts w:hint="eastAsia" w:ascii="仿宋_GB2312" w:hAnsi="宋体" w:eastAsia="仿宋_GB2312" w:cs="宋体"/>
                <w:szCs w:val="21"/>
              </w:rPr>
              <w:t>≥2</w:t>
            </w:r>
            <w:r>
              <w:rPr>
                <w:rFonts w:hint="eastAsia" w:ascii="仿宋_GB2312" w:eastAsia="仿宋_GB2312" w:cs="宋体"/>
                <w:szCs w:val="21"/>
              </w:rPr>
              <w:t>个；报警输入</w:t>
            </w:r>
            <w:r>
              <w:rPr>
                <w:rFonts w:hint="eastAsia" w:ascii="仿宋_GB2312" w:hAnsi="宋体" w:eastAsia="仿宋_GB2312" w:cs="宋体"/>
                <w:szCs w:val="21"/>
              </w:rPr>
              <w:t>≥</w:t>
            </w:r>
            <w:r>
              <w:rPr>
                <w:rFonts w:hint="eastAsia" w:ascii="仿宋_GB2312" w:eastAsia="仿宋_GB2312"/>
                <w:szCs w:val="21"/>
              </w:rPr>
              <w:t>16</w:t>
            </w:r>
            <w:r>
              <w:rPr>
                <w:rFonts w:hint="eastAsia" w:ascii="仿宋_GB2312" w:eastAsia="仿宋_GB2312" w:cs="宋体"/>
                <w:szCs w:val="21"/>
              </w:rPr>
              <w:t>路，报警输出接口</w:t>
            </w:r>
            <w:r>
              <w:rPr>
                <w:rFonts w:hint="eastAsia" w:ascii="仿宋_GB2312" w:hAnsi="宋体" w:eastAsia="仿宋_GB2312" w:cs="宋体"/>
                <w:szCs w:val="21"/>
              </w:rPr>
              <w:t>≥</w:t>
            </w:r>
            <w:r>
              <w:rPr>
                <w:rFonts w:hint="eastAsia" w:ascii="仿宋_GB2312" w:eastAsia="仿宋_GB2312"/>
                <w:szCs w:val="21"/>
              </w:rPr>
              <w:t>8</w:t>
            </w:r>
            <w:r>
              <w:rPr>
                <w:rFonts w:hint="eastAsia" w:ascii="仿宋_GB2312" w:eastAsia="仿宋_GB2312" w:cs="宋体"/>
                <w:szCs w:val="21"/>
              </w:rPr>
              <w:t>路</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台</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1</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7</w:t>
            </w:r>
          </w:p>
        </w:tc>
        <w:tc>
          <w:tcPr>
            <w:tcW w:w="1265"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网络录像机专用硬盘</w:t>
            </w:r>
          </w:p>
        </w:tc>
        <w:tc>
          <w:tcPr>
            <w:tcW w:w="5640" w:type="dxa"/>
            <w:tcBorders>
              <w:top w:val="single" w:color="auto" w:sz="4" w:space="0"/>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4TB/7200RPM/64M/6GB/SATA,保存录像30天以上。</w:t>
            </w:r>
          </w:p>
        </w:tc>
        <w:tc>
          <w:tcPr>
            <w:tcW w:w="769"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块</w:t>
            </w:r>
          </w:p>
        </w:tc>
        <w:tc>
          <w:tcPr>
            <w:tcW w:w="792"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6</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b/>
                <w:bCs/>
                <w:kern w:val="0"/>
                <w:szCs w:val="21"/>
              </w:rPr>
            </w:pPr>
            <w:r>
              <w:rPr>
                <w:rFonts w:hint="eastAsia" w:ascii="仿宋_GB2312" w:hAnsi="宋体" w:eastAsia="仿宋_GB2312" w:cs="宋体"/>
                <w:b/>
                <w:bCs/>
                <w:kern w:val="0"/>
                <w:szCs w:val="21"/>
              </w:rPr>
              <w:t>六</w:t>
            </w:r>
          </w:p>
        </w:tc>
        <w:tc>
          <w:tcPr>
            <w:tcW w:w="6905" w:type="dxa"/>
            <w:gridSpan w:val="2"/>
            <w:tcBorders>
              <w:top w:val="nil"/>
              <w:left w:val="nil"/>
              <w:bottom w:val="single" w:color="auto" w:sz="4" w:space="0"/>
              <w:right w:val="single" w:color="auto" w:sz="4" w:space="0"/>
            </w:tcBorders>
            <w:noWrap w:val="0"/>
            <w:vAlign w:val="center"/>
          </w:tcPr>
          <w:p>
            <w:pPr>
              <w:rPr>
                <w:rFonts w:hint="eastAsia" w:ascii="仿宋_GB2312" w:eastAsia="仿宋_GB2312"/>
                <w:b/>
                <w:bCs/>
                <w:kern w:val="0"/>
                <w:szCs w:val="21"/>
              </w:rPr>
            </w:pPr>
            <w:r>
              <w:rPr>
                <w:rFonts w:hint="eastAsia" w:ascii="仿宋_GB2312" w:hAnsi="宋体" w:eastAsia="仿宋_GB2312" w:cs="宋体"/>
                <w:b/>
                <w:bCs/>
                <w:kern w:val="0"/>
                <w:szCs w:val="21"/>
              </w:rPr>
              <w:t>监控终端设备部分　</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b/>
                <w:bCs/>
                <w:kern w:val="0"/>
                <w:szCs w:val="21"/>
              </w:rPr>
            </w:pPr>
            <w:r>
              <w:rPr>
                <w:rFonts w:hint="eastAsia" w:ascii="仿宋_GB2312" w:hAnsi="宋体" w:eastAsia="仿宋_GB2312" w:cs="宋体"/>
                <w:b/>
                <w:bCs/>
                <w:kern w:val="0"/>
                <w:szCs w:val="21"/>
              </w:rPr>
              <w:t>　</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b/>
                <w:bCs/>
                <w:kern w:val="0"/>
                <w:szCs w:val="21"/>
              </w:rPr>
            </w:pPr>
            <w:r>
              <w:rPr>
                <w:rFonts w:hint="eastAsia" w:ascii="仿宋_GB2312" w:hAnsi="宋体" w:eastAsia="仿宋_GB2312" w:cs="宋体"/>
                <w:b/>
                <w:bCs/>
                <w:kern w:val="0"/>
                <w:szCs w:val="21"/>
              </w:rPr>
              <w:t>　</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shd w:val="clear" w:color="auto" w:fill="auto"/>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1</w:t>
            </w:r>
          </w:p>
        </w:tc>
        <w:tc>
          <w:tcPr>
            <w:tcW w:w="1265"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jc w:val="center"/>
              <w:rPr>
                <w:rFonts w:hint="eastAsia" w:ascii="仿宋_GB2312" w:eastAsia="仿宋_GB2312"/>
                <w:color w:val="000000"/>
                <w:kern w:val="0"/>
                <w:szCs w:val="21"/>
              </w:rPr>
            </w:pPr>
            <w:r>
              <w:rPr>
                <w:rFonts w:hint="eastAsia" w:ascii="仿宋_GB2312" w:hAnsi="宋体" w:eastAsia="仿宋_GB2312" w:cs="宋体"/>
                <w:color w:val="000000"/>
                <w:kern w:val="0"/>
                <w:szCs w:val="21"/>
              </w:rPr>
              <w:t>IPSAN磁盘阵列</w:t>
            </w:r>
          </w:p>
        </w:tc>
        <w:tc>
          <w:tcPr>
            <w:tcW w:w="5640" w:type="dxa"/>
            <w:tcBorders>
              <w:top w:val="single" w:color="auto" w:sz="4" w:space="0"/>
              <w:left w:val="nil"/>
              <w:bottom w:val="single" w:color="auto" w:sz="4" w:space="0"/>
              <w:right w:val="single" w:color="auto" w:sz="4" w:space="0"/>
            </w:tcBorders>
            <w:noWrap w:val="0"/>
            <w:vAlign w:val="center"/>
          </w:tcPr>
          <w:p>
            <w:pPr>
              <w:rPr>
                <w:rFonts w:hint="eastAsia" w:ascii="仿宋_GB2312" w:eastAsia="仿宋_GB2312"/>
                <w:szCs w:val="21"/>
              </w:rPr>
            </w:pPr>
            <w:r>
              <w:rPr>
                <w:rFonts w:hint="eastAsia" w:ascii="仿宋_GB2312" w:eastAsia="仿宋_GB2312" w:cs="宋体"/>
                <w:szCs w:val="21"/>
              </w:rPr>
              <w:t>单设备应配置≥</w:t>
            </w:r>
            <w:r>
              <w:rPr>
                <w:rFonts w:hint="eastAsia" w:ascii="仿宋_GB2312" w:eastAsia="仿宋_GB2312"/>
                <w:szCs w:val="21"/>
              </w:rPr>
              <w:t>64</w:t>
            </w:r>
            <w:r>
              <w:rPr>
                <w:rFonts w:hint="eastAsia" w:ascii="仿宋_GB2312" w:eastAsia="仿宋_GB2312" w:cs="宋体"/>
                <w:szCs w:val="21"/>
              </w:rPr>
              <w:t>位多核处理器，≥</w:t>
            </w:r>
            <w:r>
              <w:rPr>
                <w:rFonts w:hint="eastAsia" w:ascii="仿宋_GB2312" w:eastAsia="仿宋_GB2312"/>
                <w:szCs w:val="21"/>
              </w:rPr>
              <w:t>4GB</w:t>
            </w:r>
            <w:r>
              <w:rPr>
                <w:rFonts w:hint="eastAsia" w:ascii="仿宋_GB2312" w:eastAsia="仿宋_GB2312" w:cs="宋体"/>
                <w:szCs w:val="21"/>
              </w:rPr>
              <w:t>内存，内存支持扩展到≥</w:t>
            </w:r>
            <w:r>
              <w:rPr>
                <w:rFonts w:hint="eastAsia" w:ascii="仿宋_GB2312" w:eastAsia="仿宋_GB2312"/>
                <w:szCs w:val="21"/>
              </w:rPr>
              <w:t>256GB</w:t>
            </w:r>
            <w:r>
              <w:rPr>
                <w:rFonts w:hint="eastAsia" w:ascii="仿宋_GB2312" w:eastAsia="仿宋_GB2312" w:cs="宋体"/>
                <w:szCs w:val="21"/>
              </w:rPr>
              <w:t>，需配置冗余金牌电源，支持双系统</w:t>
            </w:r>
          </w:p>
          <w:p>
            <w:pPr>
              <w:rPr>
                <w:rFonts w:hint="eastAsia" w:ascii="仿宋_GB2312" w:eastAsia="仿宋_GB2312"/>
                <w:szCs w:val="21"/>
              </w:rPr>
            </w:pPr>
            <w:r>
              <w:rPr>
                <w:rFonts w:hint="eastAsia" w:ascii="仿宋_GB2312" w:eastAsia="仿宋_GB2312" w:cs="宋体"/>
                <w:szCs w:val="21"/>
              </w:rPr>
              <w:t>单设备应标配≥</w:t>
            </w:r>
            <w:r>
              <w:rPr>
                <w:rFonts w:hint="eastAsia" w:ascii="仿宋_GB2312" w:eastAsia="仿宋_GB2312"/>
                <w:szCs w:val="21"/>
              </w:rPr>
              <w:t>2</w:t>
            </w:r>
            <w:r>
              <w:rPr>
                <w:rFonts w:hint="eastAsia" w:ascii="仿宋_GB2312" w:eastAsia="仿宋_GB2312" w:cs="宋体"/>
                <w:szCs w:val="21"/>
              </w:rPr>
              <w:t>个千兆网口，可增扩≥</w:t>
            </w:r>
            <w:r>
              <w:rPr>
                <w:rFonts w:hint="eastAsia" w:ascii="仿宋_GB2312" w:eastAsia="仿宋_GB2312"/>
                <w:szCs w:val="21"/>
              </w:rPr>
              <w:t>4</w:t>
            </w:r>
            <w:r>
              <w:rPr>
                <w:rFonts w:hint="eastAsia" w:ascii="仿宋_GB2312" w:eastAsia="仿宋_GB2312" w:cs="宋体"/>
                <w:szCs w:val="21"/>
              </w:rPr>
              <w:t>个万兆口或≥</w:t>
            </w:r>
            <w:r>
              <w:rPr>
                <w:rFonts w:hint="eastAsia" w:ascii="仿宋_GB2312" w:eastAsia="仿宋_GB2312"/>
                <w:szCs w:val="21"/>
              </w:rPr>
              <w:t>8</w:t>
            </w:r>
            <w:r>
              <w:rPr>
                <w:rFonts w:hint="eastAsia" w:ascii="仿宋_GB2312" w:eastAsia="仿宋_GB2312" w:cs="宋体"/>
                <w:szCs w:val="21"/>
              </w:rPr>
              <w:t>个光纤接口或增配≥</w:t>
            </w:r>
            <w:r>
              <w:rPr>
                <w:rFonts w:hint="eastAsia" w:ascii="仿宋_GB2312" w:eastAsia="仿宋_GB2312"/>
                <w:szCs w:val="21"/>
              </w:rPr>
              <w:t>4</w:t>
            </w:r>
            <w:r>
              <w:rPr>
                <w:rFonts w:hint="eastAsia" w:ascii="仿宋_GB2312" w:eastAsia="仿宋_GB2312" w:cs="宋体"/>
                <w:szCs w:val="21"/>
              </w:rPr>
              <w:t>个</w:t>
            </w:r>
            <w:r>
              <w:rPr>
                <w:rFonts w:hint="eastAsia" w:ascii="仿宋_GB2312" w:eastAsia="仿宋_GB2312"/>
                <w:szCs w:val="21"/>
              </w:rPr>
              <w:t>HDMI</w:t>
            </w:r>
            <w:r>
              <w:rPr>
                <w:rFonts w:hint="eastAsia" w:ascii="仿宋_GB2312" w:eastAsia="仿宋_GB2312" w:cs="宋体"/>
                <w:szCs w:val="21"/>
              </w:rPr>
              <w:t>接口或≥</w:t>
            </w:r>
            <w:r>
              <w:rPr>
                <w:rFonts w:hint="eastAsia" w:ascii="仿宋_GB2312" w:eastAsia="仿宋_GB2312"/>
                <w:szCs w:val="21"/>
              </w:rPr>
              <w:t>2</w:t>
            </w:r>
            <w:r>
              <w:rPr>
                <w:rFonts w:hint="eastAsia" w:ascii="仿宋_GB2312" w:eastAsia="仿宋_GB2312" w:cs="宋体"/>
                <w:szCs w:val="21"/>
              </w:rPr>
              <w:t>个</w:t>
            </w:r>
            <w:r>
              <w:rPr>
                <w:rFonts w:hint="eastAsia" w:ascii="仿宋_GB2312" w:eastAsia="仿宋_GB2312"/>
                <w:szCs w:val="21"/>
              </w:rPr>
              <w:t>SAS3.0</w:t>
            </w:r>
            <w:r>
              <w:rPr>
                <w:rFonts w:hint="eastAsia" w:ascii="仿宋_GB2312" w:eastAsia="仿宋_GB2312" w:cs="宋体"/>
                <w:szCs w:val="21"/>
              </w:rPr>
              <w:t>接口，可扩展</w:t>
            </w:r>
            <w:r>
              <w:rPr>
                <w:rFonts w:hint="eastAsia" w:ascii="仿宋_GB2312" w:eastAsia="仿宋_GB2312"/>
                <w:szCs w:val="21"/>
              </w:rPr>
              <w:t>2</w:t>
            </w:r>
            <w:r>
              <w:rPr>
                <w:rFonts w:hint="eastAsia" w:ascii="仿宋_GB2312" w:eastAsia="仿宋_GB2312" w:cs="宋体"/>
                <w:szCs w:val="21"/>
              </w:rPr>
              <w:t>个</w:t>
            </w:r>
            <w:r>
              <w:rPr>
                <w:rFonts w:hint="eastAsia" w:ascii="仿宋_GB2312" w:eastAsia="仿宋_GB2312"/>
                <w:szCs w:val="21"/>
              </w:rPr>
              <w:t>SSD</w:t>
            </w:r>
            <w:r>
              <w:rPr>
                <w:rFonts w:hint="eastAsia" w:ascii="仿宋_GB2312" w:eastAsia="仿宋_GB2312" w:cs="宋体"/>
                <w:szCs w:val="21"/>
              </w:rPr>
              <w:t>固态硬盘</w:t>
            </w:r>
          </w:p>
          <w:p>
            <w:pPr>
              <w:rPr>
                <w:rFonts w:hint="eastAsia" w:ascii="仿宋_GB2312" w:eastAsia="仿宋_GB2312"/>
                <w:szCs w:val="21"/>
              </w:rPr>
            </w:pPr>
            <w:r>
              <w:rPr>
                <w:rFonts w:hint="eastAsia" w:ascii="仿宋_GB2312" w:eastAsia="仿宋_GB2312" w:cs="宋体"/>
                <w:szCs w:val="21"/>
              </w:rPr>
              <w:t>应支持</w:t>
            </w:r>
            <w:r>
              <w:rPr>
                <w:rFonts w:hint="eastAsia" w:ascii="仿宋_GB2312" w:eastAsia="仿宋_GB2312"/>
                <w:szCs w:val="21"/>
              </w:rPr>
              <w:t>FCSAN</w:t>
            </w:r>
            <w:r>
              <w:rPr>
                <w:rFonts w:hint="eastAsia" w:ascii="仿宋_GB2312" w:eastAsia="仿宋_GB2312" w:cs="宋体"/>
                <w:szCs w:val="21"/>
              </w:rPr>
              <w:t>、</w:t>
            </w:r>
            <w:r>
              <w:rPr>
                <w:rFonts w:hint="eastAsia" w:ascii="仿宋_GB2312" w:eastAsia="仿宋_GB2312"/>
                <w:szCs w:val="21"/>
              </w:rPr>
              <w:t>IPSAN</w:t>
            </w:r>
            <w:r>
              <w:rPr>
                <w:rFonts w:hint="eastAsia" w:ascii="仿宋_GB2312" w:eastAsia="仿宋_GB2312" w:cs="宋体"/>
                <w:szCs w:val="21"/>
              </w:rPr>
              <w:t>、</w:t>
            </w:r>
            <w:r>
              <w:rPr>
                <w:rFonts w:hint="eastAsia" w:ascii="仿宋_GB2312" w:eastAsia="仿宋_GB2312"/>
                <w:szCs w:val="21"/>
              </w:rPr>
              <w:t>NAS</w:t>
            </w:r>
            <w:r>
              <w:rPr>
                <w:rFonts w:hint="eastAsia" w:ascii="仿宋_GB2312" w:eastAsia="仿宋_GB2312" w:cs="宋体"/>
                <w:szCs w:val="21"/>
              </w:rPr>
              <w:t>存储功能</w:t>
            </w:r>
          </w:p>
          <w:p>
            <w:pPr>
              <w:rPr>
                <w:rFonts w:hint="eastAsia" w:ascii="仿宋_GB2312" w:eastAsia="仿宋_GB2312"/>
                <w:szCs w:val="21"/>
              </w:rPr>
            </w:pPr>
            <w:r>
              <w:rPr>
                <w:rFonts w:hint="eastAsia" w:ascii="仿宋_GB2312" w:eastAsia="仿宋_GB2312" w:cs="宋体"/>
                <w:szCs w:val="21"/>
              </w:rPr>
              <w:t>可接入</w:t>
            </w:r>
            <w:r>
              <w:rPr>
                <w:rFonts w:hint="eastAsia" w:ascii="仿宋_GB2312" w:eastAsia="仿宋_GB2312"/>
                <w:szCs w:val="21"/>
              </w:rPr>
              <w:t>2T/3T/4T/6T/8T/10TSATA</w:t>
            </w:r>
            <w:r>
              <w:rPr>
                <w:rFonts w:hint="eastAsia" w:ascii="仿宋_GB2312" w:eastAsia="仿宋_GB2312" w:cs="宋体"/>
                <w:szCs w:val="21"/>
              </w:rPr>
              <w:t>磁盘，支持磁盘交错启动和漫游，并支持在线热插拔；</w:t>
            </w:r>
          </w:p>
          <w:p>
            <w:pPr>
              <w:rPr>
                <w:rFonts w:hint="eastAsia" w:ascii="仿宋_GB2312" w:eastAsia="仿宋_GB2312"/>
                <w:szCs w:val="21"/>
              </w:rPr>
            </w:pPr>
            <w:r>
              <w:rPr>
                <w:rFonts w:hint="eastAsia" w:ascii="仿宋_GB2312" w:eastAsia="仿宋_GB2312" w:cs="宋体"/>
                <w:szCs w:val="21"/>
              </w:rPr>
              <w:t>可接入硬盘≥</w:t>
            </w:r>
            <w:r>
              <w:rPr>
                <w:rFonts w:hint="eastAsia" w:ascii="仿宋_GB2312" w:eastAsia="仿宋_GB2312"/>
                <w:szCs w:val="21"/>
              </w:rPr>
              <w:t>24</w:t>
            </w:r>
            <w:r>
              <w:rPr>
                <w:rFonts w:hint="eastAsia" w:ascii="仿宋_GB2312" w:eastAsia="仿宋_GB2312" w:cs="宋体"/>
                <w:szCs w:val="21"/>
              </w:rPr>
              <w:t>块，支持</w:t>
            </w:r>
            <w:r>
              <w:rPr>
                <w:rFonts w:hint="eastAsia" w:ascii="仿宋_GB2312" w:eastAsia="仿宋_GB2312"/>
                <w:szCs w:val="21"/>
              </w:rPr>
              <w:t>SATA</w:t>
            </w:r>
            <w:r>
              <w:rPr>
                <w:rFonts w:hint="eastAsia" w:ascii="仿宋_GB2312" w:eastAsia="仿宋_GB2312" w:cs="宋体"/>
                <w:szCs w:val="21"/>
              </w:rPr>
              <w:t>和</w:t>
            </w:r>
            <w:r>
              <w:rPr>
                <w:rFonts w:hint="eastAsia" w:ascii="仿宋_GB2312" w:eastAsia="仿宋_GB2312"/>
                <w:szCs w:val="21"/>
              </w:rPr>
              <w:t>SAS</w:t>
            </w:r>
            <w:r>
              <w:rPr>
                <w:rFonts w:hint="eastAsia" w:ascii="仿宋_GB2312" w:eastAsia="仿宋_GB2312" w:cs="宋体"/>
                <w:szCs w:val="21"/>
              </w:rPr>
              <w:t>混插，并支持≥</w:t>
            </w:r>
            <w:r>
              <w:rPr>
                <w:rFonts w:hint="eastAsia" w:ascii="仿宋_GB2312" w:eastAsia="仿宋_GB2312"/>
                <w:szCs w:val="21"/>
              </w:rPr>
              <w:t>12</w:t>
            </w:r>
            <w:r>
              <w:rPr>
                <w:rFonts w:hint="eastAsia" w:ascii="仿宋_GB2312" w:eastAsia="仿宋_GB2312" w:cs="宋体"/>
                <w:szCs w:val="21"/>
              </w:rPr>
              <w:t>级扩展柜级联扩展；</w:t>
            </w:r>
          </w:p>
          <w:p>
            <w:pPr>
              <w:rPr>
                <w:rFonts w:hint="eastAsia" w:ascii="仿宋_GB2312" w:eastAsia="仿宋_GB2312"/>
                <w:szCs w:val="21"/>
              </w:rPr>
            </w:pPr>
            <w:r>
              <w:rPr>
                <w:rFonts w:hint="eastAsia" w:ascii="仿宋_GB2312" w:eastAsia="仿宋_GB2312" w:cs="宋体"/>
                <w:szCs w:val="21"/>
              </w:rPr>
              <w:t>应能提供</w:t>
            </w:r>
            <w:r>
              <w:rPr>
                <w:rFonts w:hint="eastAsia" w:ascii="仿宋_GB2312" w:eastAsia="仿宋_GB2312"/>
                <w:szCs w:val="21"/>
              </w:rPr>
              <w:t>RAID0</w:t>
            </w:r>
            <w:r>
              <w:rPr>
                <w:rFonts w:hint="eastAsia" w:ascii="仿宋_GB2312" w:eastAsia="仿宋_GB2312" w:cs="宋体"/>
                <w:szCs w:val="21"/>
              </w:rPr>
              <w:t>、</w:t>
            </w:r>
            <w:r>
              <w:rPr>
                <w:rFonts w:hint="eastAsia" w:ascii="仿宋_GB2312" w:eastAsia="仿宋_GB2312"/>
                <w:szCs w:val="21"/>
              </w:rPr>
              <w:t>1</w:t>
            </w:r>
            <w:r>
              <w:rPr>
                <w:rFonts w:hint="eastAsia" w:ascii="仿宋_GB2312" w:eastAsia="仿宋_GB2312" w:cs="宋体"/>
                <w:szCs w:val="21"/>
              </w:rPr>
              <w:t>、</w:t>
            </w:r>
            <w:r>
              <w:rPr>
                <w:rFonts w:hint="eastAsia" w:ascii="仿宋_GB2312" w:eastAsia="仿宋_GB2312"/>
                <w:szCs w:val="21"/>
              </w:rPr>
              <w:t>3</w:t>
            </w:r>
            <w:r>
              <w:rPr>
                <w:rFonts w:hint="eastAsia" w:ascii="仿宋_GB2312" w:eastAsia="仿宋_GB2312" w:cs="宋体"/>
                <w:szCs w:val="21"/>
              </w:rPr>
              <w:t>、</w:t>
            </w:r>
            <w:r>
              <w:rPr>
                <w:rFonts w:hint="eastAsia" w:ascii="仿宋_GB2312" w:eastAsia="仿宋_GB2312"/>
                <w:szCs w:val="21"/>
              </w:rPr>
              <w:t>5</w:t>
            </w:r>
            <w:r>
              <w:rPr>
                <w:rFonts w:hint="eastAsia" w:ascii="仿宋_GB2312" w:eastAsia="仿宋_GB2312" w:cs="宋体"/>
                <w:szCs w:val="21"/>
              </w:rPr>
              <w:t>、</w:t>
            </w:r>
            <w:r>
              <w:rPr>
                <w:rFonts w:hint="eastAsia" w:ascii="仿宋_GB2312" w:eastAsia="仿宋_GB2312"/>
                <w:szCs w:val="21"/>
              </w:rPr>
              <w:t>6</w:t>
            </w:r>
            <w:r>
              <w:rPr>
                <w:rFonts w:hint="eastAsia" w:ascii="仿宋_GB2312" w:eastAsia="仿宋_GB2312" w:cs="宋体"/>
                <w:szCs w:val="21"/>
              </w:rPr>
              <w:t>、</w:t>
            </w:r>
            <w:r>
              <w:rPr>
                <w:rFonts w:hint="eastAsia" w:ascii="仿宋_GB2312" w:eastAsia="仿宋_GB2312"/>
                <w:szCs w:val="21"/>
              </w:rPr>
              <w:t>10</w:t>
            </w:r>
            <w:r>
              <w:rPr>
                <w:rFonts w:hint="eastAsia" w:ascii="仿宋_GB2312" w:eastAsia="仿宋_GB2312" w:cs="宋体"/>
                <w:szCs w:val="21"/>
              </w:rPr>
              <w:t>、</w:t>
            </w:r>
            <w:r>
              <w:rPr>
                <w:rFonts w:hint="eastAsia" w:ascii="仿宋_GB2312" w:eastAsia="仿宋_GB2312"/>
                <w:szCs w:val="21"/>
              </w:rPr>
              <w:t>50</w:t>
            </w:r>
            <w:r>
              <w:rPr>
                <w:rFonts w:hint="eastAsia" w:ascii="仿宋_GB2312" w:eastAsia="仿宋_GB2312" w:cs="宋体"/>
                <w:szCs w:val="21"/>
              </w:rPr>
              <w:t>，</w:t>
            </w:r>
            <w:r>
              <w:rPr>
                <w:rFonts w:hint="eastAsia" w:ascii="仿宋_GB2312" w:eastAsia="仿宋_GB2312"/>
                <w:szCs w:val="21"/>
              </w:rPr>
              <w:t>60</w:t>
            </w:r>
            <w:r>
              <w:rPr>
                <w:rFonts w:hint="eastAsia" w:ascii="仿宋_GB2312" w:eastAsia="仿宋_GB2312" w:cs="宋体"/>
                <w:szCs w:val="21"/>
              </w:rPr>
              <w:t>、</w:t>
            </w:r>
            <w:r>
              <w:rPr>
                <w:rFonts w:hint="eastAsia" w:ascii="仿宋_GB2312" w:eastAsia="仿宋_GB2312"/>
                <w:szCs w:val="21"/>
              </w:rPr>
              <w:t>JBOD</w:t>
            </w:r>
            <w:r>
              <w:rPr>
                <w:rFonts w:hint="eastAsia" w:ascii="仿宋_GB2312" w:eastAsia="仿宋_GB2312" w:cs="宋体"/>
                <w:szCs w:val="21"/>
              </w:rPr>
              <w:t>、</w:t>
            </w:r>
            <w:r>
              <w:rPr>
                <w:rFonts w:hint="eastAsia" w:ascii="仿宋_GB2312" w:eastAsia="仿宋_GB2312"/>
                <w:szCs w:val="21"/>
              </w:rPr>
              <w:t>RAIDErasingCode</w:t>
            </w:r>
            <w:r>
              <w:rPr>
                <w:rFonts w:hint="eastAsia" w:ascii="仿宋_GB2312" w:eastAsia="仿宋_GB2312" w:cs="宋体"/>
                <w:szCs w:val="21"/>
              </w:rPr>
              <w:t>、</w:t>
            </w:r>
            <w:r>
              <w:rPr>
                <w:rFonts w:hint="eastAsia" w:ascii="仿宋_GB2312" w:eastAsia="仿宋_GB2312"/>
                <w:szCs w:val="21"/>
              </w:rPr>
              <w:t>Raid5EE</w:t>
            </w:r>
            <w:r>
              <w:rPr>
                <w:rFonts w:hint="eastAsia" w:ascii="仿宋_GB2312" w:eastAsia="仿宋_GB2312" w:cs="宋体"/>
                <w:szCs w:val="21"/>
              </w:rPr>
              <w:t>模式，支持全局、局部等多种热备选择，支持坏盘自动重构；</w:t>
            </w:r>
          </w:p>
          <w:p>
            <w:pPr>
              <w:rPr>
                <w:rFonts w:hint="eastAsia" w:ascii="仿宋_GB2312" w:eastAsia="仿宋_GB2312"/>
                <w:szCs w:val="21"/>
              </w:rPr>
            </w:pPr>
            <w:r>
              <w:rPr>
                <w:rFonts w:hint="eastAsia" w:ascii="仿宋_GB2312" w:eastAsia="仿宋_GB2312" w:cs="宋体"/>
                <w:szCs w:val="21"/>
              </w:rPr>
              <w:t>设备可对视音频、图片、智能数据（智能行为分析录像）流进行混合直存，无须存储服务器和图片服务器的参与，平台服务器宕机时，存储业务正常</w:t>
            </w:r>
          </w:p>
          <w:p>
            <w:pPr>
              <w:rPr>
                <w:rFonts w:hint="eastAsia" w:ascii="仿宋_GB2312" w:eastAsia="仿宋_GB2312"/>
                <w:szCs w:val="21"/>
              </w:rPr>
            </w:pPr>
            <w:r>
              <w:rPr>
                <w:rFonts w:hint="eastAsia" w:ascii="仿宋_GB2312" w:eastAsia="仿宋_GB2312" w:cs="宋体"/>
                <w:szCs w:val="21"/>
              </w:rPr>
              <w:t>应能接入并存储</w:t>
            </w:r>
            <w:r>
              <w:rPr>
                <w:rFonts w:hint="eastAsia" w:ascii="仿宋_GB2312" w:eastAsia="仿宋_GB2312"/>
                <w:szCs w:val="21"/>
              </w:rPr>
              <w:t>1880Mbps</w:t>
            </w:r>
            <w:r>
              <w:rPr>
                <w:rFonts w:hint="eastAsia" w:ascii="仿宋_GB2312" w:eastAsia="仿宋_GB2312" w:cs="宋体"/>
                <w:szCs w:val="21"/>
              </w:rPr>
              <w:t>视频图像，同时转发</w:t>
            </w:r>
            <w:r>
              <w:rPr>
                <w:rFonts w:hint="eastAsia" w:ascii="仿宋_GB2312" w:eastAsia="仿宋_GB2312"/>
                <w:szCs w:val="21"/>
              </w:rPr>
              <w:t>1880Mbps</w:t>
            </w:r>
            <w:r>
              <w:rPr>
                <w:rFonts w:hint="eastAsia" w:ascii="仿宋_GB2312" w:eastAsia="仿宋_GB2312" w:cs="宋体"/>
                <w:szCs w:val="21"/>
              </w:rPr>
              <w:t>的视频图像；同时回放</w:t>
            </w:r>
            <w:r>
              <w:rPr>
                <w:rFonts w:hint="eastAsia" w:ascii="仿宋_GB2312" w:eastAsia="仿宋_GB2312"/>
                <w:szCs w:val="21"/>
              </w:rPr>
              <w:t>512Mbps</w:t>
            </w:r>
            <w:r>
              <w:rPr>
                <w:rFonts w:hint="eastAsia" w:ascii="仿宋_GB2312" w:eastAsia="仿宋_GB2312" w:cs="宋体"/>
                <w:szCs w:val="21"/>
              </w:rPr>
              <w:t>的视频图像；</w:t>
            </w:r>
          </w:p>
          <w:p>
            <w:pPr>
              <w:rPr>
                <w:rFonts w:hint="eastAsia" w:ascii="仿宋_GB2312" w:eastAsia="仿宋_GB2312"/>
                <w:szCs w:val="21"/>
              </w:rPr>
            </w:pPr>
            <w:r>
              <w:rPr>
                <w:rFonts w:hint="eastAsia" w:ascii="仿宋_GB2312" w:eastAsia="仿宋_GB2312" w:cs="宋体"/>
                <w:szCs w:val="21"/>
              </w:rPr>
              <w:t>当</w:t>
            </w:r>
            <w:r>
              <w:rPr>
                <w:rFonts w:hint="eastAsia" w:ascii="仿宋_GB2312" w:eastAsia="仿宋_GB2312"/>
                <w:szCs w:val="21"/>
              </w:rPr>
              <w:t>RAID</w:t>
            </w:r>
            <w:r>
              <w:rPr>
                <w:rFonts w:hint="eastAsia" w:ascii="仿宋_GB2312" w:eastAsia="仿宋_GB2312" w:cs="宋体"/>
                <w:szCs w:val="21"/>
              </w:rPr>
              <w:t>中某块工作正常的硬盘被误拔出后，</w:t>
            </w:r>
            <w:r>
              <w:rPr>
                <w:rFonts w:hint="eastAsia" w:ascii="仿宋_GB2312" w:eastAsia="仿宋_GB2312"/>
                <w:szCs w:val="21"/>
              </w:rPr>
              <w:t>60</w:t>
            </w:r>
            <w:r>
              <w:rPr>
                <w:rFonts w:hint="eastAsia" w:ascii="仿宋_GB2312" w:eastAsia="仿宋_GB2312" w:cs="宋体"/>
                <w:szCs w:val="21"/>
              </w:rPr>
              <w:t>分钟内插回，该硬盘能恢复到原</w:t>
            </w:r>
            <w:r>
              <w:rPr>
                <w:rFonts w:hint="eastAsia" w:ascii="仿宋_GB2312" w:eastAsia="仿宋_GB2312"/>
                <w:szCs w:val="21"/>
              </w:rPr>
              <w:t>RAID</w:t>
            </w:r>
            <w:r>
              <w:rPr>
                <w:rFonts w:hint="eastAsia" w:ascii="仿宋_GB2312" w:eastAsia="仿宋_GB2312" w:cs="宋体"/>
                <w:szCs w:val="21"/>
              </w:rPr>
              <w:t>中，系统自动恢复工作，而且会对拔掉的硬盘进行增量数据恢复</w:t>
            </w:r>
          </w:p>
          <w:p>
            <w:pPr>
              <w:rPr>
                <w:rFonts w:hint="eastAsia" w:ascii="仿宋_GB2312" w:eastAsia="仿宋_GB2312"/>
                <w:szCs w:val="21"/>
              </w:rPr>
            </w:pPr>
            <w:r>
              <w:rPr>
                <w:rFonts w:hint="eastAsia" w:ascii="仿宋_GB2312" w:eastAsia="仿宋_GB2312" w:cs="宋体"/>
                <w:szCs w:val="21"/>
              </w:rPr>
              <w:t>在</w:t>
            </w:r>
            <w:r>
              <w:rPr>
                <w:rFonts w:hint="eastAsia" w:ascii="仿宋_GB2312" w:eastAsia="仿宋_GB2312"/>
                <w:szCs w:val="21"/>
              </w:rPr>
              <w:t>RAID</w:t>
            </w:r>
            <w:r>
              <w:rPr>
                <w:rFonts w:hint="eastAsia" w:ascii="仿宋_GB2312" w:eastAsia="仿宋_GB2312" w:cs="宋体"/>
                <w:szCs w:val="21"/>
              </w:rPr>
              <w:t>内丢失</w:t>
            </w:r>
            <w:r>
              <w:rPr>
                <w:rFonts w:hint="eastAsia" w:ascii="仿宋_GB2312" w:eastAsia="仿宋_GB2312"/>
                <w:szCs w:val="21"/>
              </w:rPr>
              <w:t>2</w:t>
            </w:r>
            <w:r>
              <w:rPr>
                <w:rFonts w:hint="eastAsia" w:ascii="仿宋_GB2312" w:eastAsia="仿宋_GB2312" w:cs="宋体"/>
                <w:szCs w:val="21"/>
              </w:rPr>
              <w:t>块（含）以上硬盘但至少有</w:t>
            </w:r>
            <w:r>
              <w:rPr>
                <w:rFonts w:hint="eastAsia" w:ascii="仿宋_GB2312" w:eastAsia="仿宋_GB2312"/>
                <w:szCs w:val="21"/>
              </w:rPr>
              <w:t>1</w:t>
            </w:r>
            <w:r>
              <w:rPr>
                <w:rFonts w:hint="eastAsia" w:ascii="仿宋_GB2312" w:eastAsia="仿宋_GB2312" w:cs="宋体"/>
                <w:szCs w:val="21"/>
              </w:rPr>
              <w:t>块正常磁盘时，无需等待丢失盘恢复，保留的硬盘中的数据可正常读出，且新数据可正常写入</w:t>
            </w:r>
          </w:p>
          <w:p>
            <w:pPr>
              <w:rPr>
                <w:rFonts w:hint="eastAsia" w:ascii="仿宋_GB2312" w:eastAsia="仿宋_GB2312"/>
                <w:szCs w:val="21"/>
              </w:rPr>
            </w:pPr>
            <w:r>
              <w:rPr>
                <w:rFonts w:hint="eastAsia" w:ascii="仿宋_GB2312" w:eastAsia="仿宋_GB2312" w:cs="宋体"/>
                <w:szCs w:val="21"/>
              </w:rPr>
              <w:t>支持接入单前端设备不超出</w:t>
            </w:r>
            <w:r>
              <w:rPr>
                <w:rFonts w:hint="eastAsia" w:ascii="仿宋_GB2312" w:eastAsia="仿宋_GB2312"/>
                <w:szCs w:val="21"/>
              </w:rPr>
              <w:t>30</w:t>
            </w:r>
            <w:r>
              <w:rPr>
                <w:rFonts w:hint="eastAsia" w:ascii="仿宋_GB2312" w:eastAsia="仿宋_GB2312" w:cs="宋体"/>
                <w:szCs w:val="21"/>
              </w:rPr>
              <w:t>路码流冗余存储</w:t>
            </w:r>
          </w:p>
          <w:p>
            <w:pPr>
              <w:rPr>
                <w:rFonts w:hint="eastAsia" w:ascii="仿宋_GB2312" w:eastAsia="仿宋_GB2312"/>
                <w:szCs w:val="21"/>
              </w:rPr>
            </w:pPr>
            <w:r>
              <w:rPr>
                <w:rFonts w:hint="eastAsia" w:ascii="仿宋_GB2312" w:eastAsia="仿宋_GB2312" w:cs="宋体"/>
                <w:szCs w:val="21"/>
              </w:rPr>
              <w:t>可接入</w:t>
            </w:r>
            <w:r>
              <w:rPr>
                <w:rFonts w:hint="eastAsia" w:ascii="仿宋_GB2312" w:eastAsia="仿宋_GB2312"/>
                <w:szCs w:val="21"/>
              </w:rPr>
              <w:t>MPEG4</w:t>
            </w:r>
            <w:r>
              <w:rPr>
                <w:rFonts w:hint="eastAsia" w:ascii="仿宋_GB2312" w:eastAsia="仿宋_GB2312" w:cs="宋体"/>
                <w:szCs w:val="21"/>
              </w:rPr>
              <w:t>、</w:t>
            </w:r>
            <w:r>
              <w:rPr>
                <w:rFonts w:hint="eastAsia" w:ascii="仿宋_GB2312" w:eastAsia="仿宋_GB2312"/>
                <w:szCs w:val="21"/>
              </w:rPr>
              <w:t>H.264</w:t>
            </w:r>
            <w:r>
              <w:rPr>
                <w:rFonts w:hint="eastAsia" w:ascii="仿宋_GB2312" w:eastAsia="仿宋_GB2312" w:cs="宋体"/>
                <w:szCs w:val="21"/>
              </w:rPr>
              <w:t>、</w:t>
            </w:r>
            <w:r>
              <w:rPr>
                <w:rFonts w:hint="eastAsia" w:ascii="仿宋_GB2312" w:eastAsia="仿宋_GB2312"/>
                <w:szCs w:val="21"/>
              </w:rPr>
              <w:t>H.265</w:t>
            </w:r>
            <w:r>
              <w:rPr>
                <w:rFonts w:hint="eastAsia" w:ascii="仿宋_GB2312" w:eastAsia="仿宋_GB2312" w:cs="宋体"/>
                <w:szCs w:val="21"/>
              </w:rPr>
              <w:t>、</w:t>
            </w:r>
            <w:r>
              <w:rPr>
                <w:rFonts w:hint="eastAsia" w:ascii="仿宋_GB2312" w:eastAsia="仿宋_GB2312"/>
                <w:szCs w:val="21"/>
              </w:rPr>
              <w:t>Smart265</w:t>
            </w:r>
            <w:r>
              <w:rPr>
                <w:rFonts w:hint="eastAsia" w:ascii="仿宋_GB2312" w:eastAsia="仿宋_GB2312" w:cs="宋体"/>
                <w:szCs w:val="21"/>
              </w:rPr>
              <w:t>、</w:t>
            </w:r>
            <w:r>
              <w:rPr>
                <w:rFonts w:hint="eastAsia" w:ascii="仿宋_GB2312" w:eastAsia="仿宋_GB2312"/>
                <w:szCs w:val="21"/>
              </w:rPr>
              <w:t>SVAC</w:t>
            </w:r>
            <w:r>
              <w:rPr>
                <w:rFonts w:hint="eastAsia" w:ascii="仿宋_GB2312" w:eastAsia="仿宋_GB2312" w:cs="宋体"/>
                <w:szCs w:val="21"/>
              </w:rPr>
              <w:t>的前端设备并存储录像文件</w:t>
            </w:r>
            <w:r>
              <w:rPr>
                <w:rFonts w:hint="eastAsia" w:ascii="仿宋_GB2312" w:eastAsia="仿宋_GB2312"/>
                <w:szCs w:val="21"/>
              </w:rPr>
              <w:t>,</w:t>
            </w:r>
            <w:r>
              <w:rPr>
                <w:rFonts w:hint="eastAsia" w:ascii="仿宋_GB2312" w:eastAsia="仿宋_GB2312" w:cs="宋体"/>
                <w:szCs w:val="21"/>
              </w:rPr>
              <w:t>可将大华、宇视、海康等厂商</w:t>
            </w:r>
            <w:r>
              <w:rPr>
                <w:rFonts w:hint="eastAsia" w:ascii="仿宋_GB2312" w:eastAsia="仿宋_GB2312"/>
                <w:szCs w:val="21"/>
              </w:rPr>
              <w:t>SDK</w:t>
            </w:r>
            <w:r>
              <w:rPr>
                <w:rFonts w:hint="eastAsia" w:ascii="仿宋_GB2312" w:eastAsia="仿宋_GB2312" w:cs="宋体"/>
                <w:szCs w:val="21"/>
              </w:rPr>
              <w:t>封装格式的视频流转成标准（</w:t>
            </w:r>
            <w:r>
              <w:rPr>
                <w:rFonts w:hint="eastAsia" w:ascii="仿宋_GB2312" w:eastAsia="仿宋_GB2312"/>
                <w:szCs w:val="21"/>
              </w:rPr>
              <w:t>MPEG4</w:t>
            </w:r>
            <w:r>
              <w:rPr>
                <w:rFonts w:hint="eastAsia" w:ascii="仿宋_GB2312" w:eastAsia="仿宋_GB2312" w:cs="宋体"/>
                <w:szCs w:val="21"/>
              </w:rPr>
              <w:t>、</w:t>
            </w:r>
            <w:r>
              <w:rPr>
                <w:rFonts w:hint="eastAsia" w:ascii="仿宋_GB2312" w:eastAsia="仿宋_GB2312"/>
                <w:szCs w:val="21"/>
              </w:rPr>
              <w:t>H.264</w:t>
            </w:r>
            <w:r>
              <w:rPr>
                <w:rFonts w:hint="eastAsia" w:ascii="仿宋_GB2312" w:eastAsia="仿宋_GB2312" w:cs="宋体"/>
                <w:szCs w:val="21"/>
              </w:rPr>
              <w:t>、</w:t>
            </w:r>
            <w:r>
              <w:rPr>
                <w:rFonts w:hint="eastAsia" w:ascii="仿宋_GB2312" w:eastAsia="仿宋_GB2312"/>
                <w:szCs w:val="21"/>
              </w:rPr>
              <w:t>H.265</w:t>
            </w:r>
            <w:r>
              <w:rPr>
                <w:rFonts w:hint="eastAsia" w:ascii="仿宋_GB2312" w:eastAsia="仿宋_GB2312" w:cs="宋体"/>
                <w:szCs w:val="21"/>
              </w:rPr>
              <w:t>、</w:t>
            </w:r>
            <w:r>
              <w:rPr>
                <w:rFonts w:hint="eastAsia" w:ascii="仿宋_GB2312" w:eastAsia="仿宋_GB2312"/>
                <w:szCs w:val="21"/>
              </w:rPr>
              <w:t>SVAC</w:t>
            </w:r>
            <w:r>
              <w:rPr>
                <w:rFonts w:hint="eastAsia" w:ascii="仿宋_GB2312" w:eastAsia="仿宋_GB2312" w:cs="宋体"/>
                <w:szCs w:val="21"/>
              </w:rPr>
              <w:t>等编码格式）</w:t>
            </w:r>
            <w:r>
              <w:rPr>
                <w:rFonts w:hint="eastAsia" w:ascii="仿宋_GB2312" w:eastAsia="仿宋_GB2312"/>
                <w:szCs w:val="21"/>
              </w:rPr>
              <w:t>PS</w:t>
            </w:r>
            <w:r>
              <w:rPr>
                <w:rFonts w:hint="eastAsia" w:ascii="仿宋_GB2312" w:eastAsia="仿宋_GB2312" w:cs="宋体"/>
                <w:szCs w:val="21"/>
              </w:rPr>
              <w:t>流（</w:t>
            </w:r>
            <w:r>
              <w:rPr>
                <w:rFonts w:hint="eastAsia" w:ascii="仿宋_GB2312" w:eastAsia="仿宋_GB2312"/>
                <w:szCs w:val="21"/>
              </w:rPr>
              <w:t>ProgramStream</w:t>
            </w:r>
            <w:r>
              <w:rPr>
                <w:rFonts w:hint="eastAsia" w:ascii="仿宋_GB2312" w:eastAsia="仿宋_GB2312" w:cs="宋体"/>
                <w:szCs w:val="21"/>
              </w:rPr>
              <w:t>）输出。</w:t>
            </w:r>
          </w:p>
          <w:p>
            <w:pPr>
              <w:rPr>
                <w:rFonts w:hint="eastAsia" w:ascii="仿宋_GB2312" w:eastAsia="仿宋_GB2312"/>
                <w:szCs w:val="21"/>
              </w:rPr>
            </w:pPr>
            <w:r>
              <w:rPr>
                <w:rFonts w:hint="eastAsia" w:ascii="仿宋_GB2312" w:eastAsia="仿宋_GB2312" w:cs="宋体"/>
                <w:szCs w:val="21"/>
              </w:rPr>
              <w:t>客户端进行检索、查看、下载图片及进行录像</w:t>
            </w:r>
          </w:p>
          <w:p>
            <w:pPr>
              <w:rPr>
                <w:rFonts w:hint="eastAsia" w:ascii="仿宋_GB2312" w:eastAsia="仿宋_GB2312"/>
                <w:szCs w:val="21"/>
              </w:rPr>
            </w:pPr>
            <w:r>
              <w:rPr>
                <w:rFonts w:hint="eastAsia" w:ascii="仿宋_GB2312" w:eastAsia="仿宋_GB2312" w:cs="宋体"/>
                <w:szCs w:val="21"/>
              </w:rPr>
              <w:t>网络中断后重新恢复，设备可续存断网期间存储在前端设备中的录像文件，并可通过</w:t>
            </w:r>
            <w:r>
              <w:rPr>
                <w:rFonts w:hint="eastAsia" w:ascii="仿宋_GB2312" w:eastAsia="仿宋_GB2312"/>
                <w:szCs w:val="21"/>
              </w:rPr>
              <w:t>IE</w:t>
            </w:r>
            <w:r>
              <w:rPr>
                <w:rFonts w:hint="eastAsia" w:ascii="仿宋_GB2312" w:eastAsia="仿宋_GB2312" w:cs="宋体"/>
                <w:szCs w:val="21"/>
              </w:rPr>
              <w:t>浏览器设置自动回传和手动回传。支持</w:t>
            </w:r>
            <w:r>
              <w:rPr>
                <w:rFonts w:hint="eastAsia" w:ascii="仿宋_GB2312" w:eastAsia="仿宋_GB2312"/>
                <w:szCs w:val="21"/>
              </w:rPr>
              <w:t>256</w:t>
            </w:r>
            <w:r>
              <w:rPr>
                <w:rFonts w:hint="eastAsia" w:ascii="仿宋_GB2312" w:eastAsia="仿宋_GB2312" w:cs="宋体"/>
                <w:szCs w:val="21"/>
              </w:rPr>
              <w:t>路</w:t>
            </w:r>
            <w:r>
              <w:rPr>
                <w:rFonts w:hint="eastAsia" w:ascii="仿宋_GB2312" w:eastAsia="仿宋_GB2312"/>
                <w:szCs w:val="21"/>
              </w:rPr>
              <w:t>4M</w:t>
            </w:r>
            <w:r>
              <w:rPr>
                <w:rFonts w:hint="eastAsia" w:ascii="仿宋_GB2312" w:eastAsia="仿宋_GB2312" w:cs="宋体"/>
                <w:szCs w:val="21"/>
              </w:rPr>
              <w:t>的录像回传</w:t>
            </w:r>
          </w:p>
          <w:p>
            <w:pPr>
              <w:rPr>
                <w:rFonts w:hint="eastAsia" w:ascii="仿宋_GB2312" w:eastAsia="仿宋_GB2312"/>
                <w:szCs w:val="21"/>
              </w:rPr>
            </w:pPr>
            <w:r>
              <w:rPr>
                <w:rFonts w:hint="eastAsia" w:ascii="仿宋_GB2312" w:eastAsia="仿宋_GB2312" w:cs="宋体"/>
                <w:szCs w:val="21"/>
              </w:rPr>
              <w:t>当录像视频流发生丢失</w:t>
            </w:r>
            <w:r>
              <w:rPr>
                <w:rFonts w:hint="eastAsia" w:ascii="仿宋_GB2312" w:eastAsia="仿宋_GB2312"/>
                <w:szCs w:val="21"/>
              </w:rPr>
              <w:t>5s</w:t>
            </w:r>
            <w:r>
              <w:rPr>
                <w:rFonts w:hint="eastAsia" w:ascii="仿宋_GB2312" w:eastAsia="仿宋_GB2312" w:cs="宋体"/>
                <w:szCs w:val="21"/>
              </w:rPr>
              <w:t>以上可在日志中记录报警信息。</w:t>
            </w:r>
          </w:p>
          <w:p>
            <w:pPr>
              <w:rPr>
                <w:rFonts w:hint="eastAsia" w:ascii="仿宋_GB2312" w:eastAsia="仿宋_GB2312"/>
                <w:szCs w:val="21"/>
              </w:rPr>
            </w:pPr>
            <w:r>
              <w:rPr>
                <w:rFonts w:hint="eastAsia" w:ascii="仿宋_GB2312" w:eastAsia="仿宋_GB2312" w:cs="宋体"/>
                <w:szCs w:val="21"/>
              </w:rPr>
              <w:t>设备可将接入的鱼眼摄像机、双目摄像机、全景自拼接摄像机（鹰眼摄像机）、热成像相机的图像以多画面分割方式显示；</w:t>
            </w:r>
          </w:p>
          <w:p>
            <w:pPr>
              <w:rPr>
                <w:rFonts w:hint="eastAsia" w:ascii="仿宋_GB2312" w:eastAsia="仿宋_GB2312"/>
                <w:szCs w:val="21"/>
              </w:rPr>
            </w:pPr>
            <w:r>
              <w:rPr>
                <w:rFonts w:hint="eastAsia" w:ascii="仿宋_GB2312" w:eastAsia="仿宋_GB2312" w:cs="宋体"/>
                <w:szCs w:val="21"/>
              </w:rPr>
              <w:t>设备可同时支持视频、图片、智能流和文件直写存储。</w:t>
            </w:r>
          </w:p>
          <w:p>
            <w:pPr>
              <w:rPr>
                <w:rFonts w:hint="eastAsia" w:ascii="仿宋_GB2312" w:eastAsia="仿宋_GB2312"/>
                <w:szCs w:val="21"/>
              </w:rPr>
            </w:pPr>
            <w:r>
              <w:rPr>
                <w:rFonts w:hint="eastAsia" w:ascii="仿宋_GB2312" w:eastAsia="仿宋_GB2312" w:cs="宋体"/>
                <w:szCs w:val="21"/>
              </w:rPr>
              <w:t>具有</w:t>
            </w:r>
            <w:r>
              <w:rPr>
                <w:rFonts w:hint="eastAsia" w:ascii="仿宋_GB2312" w:eastAsia="仿宋_GB2312"/>
                <w:szCs w:val="21"/>
              </w:rPr>
              <w:t>ONVIF</w:t>
            </w:r>
            <w:r>
              <w:rPr>
                <w:rFonts w:hint="eastAsia" w:ascii="仿宋_GB2312" w:eastAsia="仿宋_GB2312" w:cs="宋体"/>
                <w:szCs w:val="21"/>
              </w:rPr>
              <w:t>、</w:t>
            </w:r>
            <w:r>
              <w:rPr>
                <w:rFonts w:hint="eastAsia" w:ascii="仿宋_GB2312" w:eastAsia="仿宋_GB2312"/>
                <w:szCs w:val="21"/>
              </w:rPr>
              <w:t>PSIA</w:t>
            </w:r>
            <w:r>
              <w:rPr>
                <w:rFonts w:hint="eastAsia" w:ascii="仿宋_GB2312" w:eastAsia="仿宋_GB2312" w:cs="宋体"/>
                <w:szCs w:val="21"/>
              </w:rPr>
              <w:t>、</w:t>
            </w:r>
            <w:r>
              <w:rPr>
                <w:rFonts w:hint="eastAsia" w:ascii="仿宋_GB2312" w:eastAsia="仿宋_GB2312"/>
                <w:szCs w:val="21"/>
              </w:rPr>
              <w:t>TCP/IP</w:t>
            </w:r>
            <w:r>
              <w:rPr>
                <w:rFonts w:hint="eastAsia" w:ascii="仿宋_GB2312" w:eastAsia="仿宋_GB2312" w:cs="宋体"/>
                <w:szCs w:val="21"/>
              </w:rPr>
              <w:t>、</w:t>
            </w:r>
            <w:r>
              <w:rPr>
                <w:rFonts w:hint="eastAsia" w:ascii="仿宋_GB2312" w:eastAsia="仿宋_GB2312"/>
                <w:szCs w:val="21"/>
              </w:rPr>
              <w:t>UDP</w:t>
            </w:r>
            <w:r>
              <w:rPr>
                <w:rFonts w:hint="eastAsia" w:ascii="仿宋_GB2312" w:eastAsia="仿宋_GB2312" w:cs="宋体"/>
                <w:szCs w:val="21"/>
              </w:rPr>
              <w:t>、</w:t>
            </w:r>
            <w:r>
              <w:rPr>
                <w:rFonts w:hint="eastAsia" w:ascii="仿宋_GB2312" w:eastAsia="仿宋_GB2312"/>
                <w:szCs w:val="21"/>
              </w:rPr>
              <w:t>SIP</w:t>
            </w:r>
            <w:r>
              <w:rPr>
                <w:rFonts w:hint="eastAsia" w:ascii="仿宋_GB2312" w:eastAsia="仿宋_GB2312" w:cs="宋体"/>
                <w:szCs w:val="21"/>
              </w:rPr>
              <w:t>、</w:t>
            </w:r>
            <w:r>
              <w:rPr>
                <w:rFonts w:hint="eastAsia" w:ascii="仿宋_GB2312" w:eastAsia="仿宋_GB2312"/>
                <w:szCs w:val="21"/>
              </w:rPr>
              <w:t>RTSP</w:t>
            </w:r>
            <w:r>
              <w:rPr>
                <w:rFonts w:hint="eastAsia" w:ascii="仿宋_GB2312" w:eastAsia="仿宋_GB2312" w:cs="宋体"/>
                <w:szCs w:val="21"/>
              </w:rPr>
              <w:t>、</w:t>
            </w:r>
            <w:r>
              <w:rPr>
                <w:rFonts w:hint="eastAsia" w:ascii="仿宋_GB2312" w:eastAsia="仿宋_GB2312"/>
                <w:szCs w:val="21"/>
              </w:rPr>
              <w:t>RTP</w:t>
            </w:r>
            <w:r>
              <w:rPr>
                <w:rFonts w:hint="eastAsia" w:ascii="仿宋_GB2312" w:eastAsia="仿宋_GB2312" w:cs="宋体"/>
                <w:szCs w:val="21"/>
              </w:rPr>
              <w:t>、</w:t>
            </w:r>
            <w:r>
              <w:rPr>
                <w:rFonts w:hint="eastAsia" w:ascii="仿宋_GB2312" w:eastAsia="仿宋_GB2312"/>
                <w:szCs w:val="21"/>
              </w:rPr>
              <w:t>RTCP</w:t>
            </w:r>
            <w:r>
              <w:rPr>
                <w:rFonts w:hint="eastAsia" w:ascii="仿宋_GB2312" w:eastAsia="仿宋_GB2312" w:cs="宋体"/>
                <w:szCs w:val="21"/>
              </w:rPr>
              <w:t>、</w:t>
            </w:r>
            <w:r>
              <w:rPr>
                <w:rFonts w:hint="eastAsia" w:ascii="仿宋_GB2312" w:eastAsia="仿宋_GB2312"/>
                <w:szCs w:val="21"/>
              </w:rPr>
              <w:t>iSCSI</w:t>
            </w:r>
            <w:r>
              <w:rPr>
                <w:rFonts w:hint="eastAsia" w:ascii="仿宋_GB2312" w:eastAsia="仿宋_GB2312" w:cs="宋体"/>
                <w:szCs w:val="21"/>
              </w:rPr>
              <w:t>、</w:t>
            </w:r>
            <w:r>
              <w:rPr>
                <w:rFonts w:hint="eastAsia" w:ascii="仿宋_GB2312" w:eastAsia="仿宋_GB2312"/>
                <w:szCs w:val="21"/>
              </w:rPr>
              <w:t>CIFS(SMB)</w:t>
            </w:r>
            <w:r>
              <w:rPr>
                <w:rFonts w:hint="eastAsia" w:ascii="仿宋_GB2312" w:eastAsia="仿宋_GB2312" w:cs="宋体"/>
                <w:szCs w:val="21"/>
              </w:rPr>
              <w:t>、</w:t>
            </w:r>
            <w:r>
              <w:rPr>
                <w:rFonts w:hint="eastAsia" w:ascii="仿宋_GB2312" w:eastAsia="仿宋_GB2312"/>
                <w:szCs w:val="21"/>
              </w:rPr>
              <w:t>NFS</w:t>
            </w:r>
            <w:r>
              <w:rPr>
                <w:rFonts w:hint="eastAsia" w:ascii="仿宋_GB2312" w:eastAsia="仿宋_GB2312" w:cs="宋体"/>
                <w:szCs w:val="21"/>
              </w:rPr>
              <w:t>、</w:t>
            </w:r>
            <w:r>
              <w:rPr>
                <w:rFonts w:hint="eastAsia" w:ascii="仿宋_GB2312" w:eastAsia="仿宋_GB2312"/>
                <w:szCs w:val="21"/>
              </w:rPr>
              <w:t>FTP</w:t>
            </w:r>
            <w:r>
              <w:rPr>
                <w:rFonts w:hint="eastAsia" w:ascii="仿宋_GB2312" w:eastAsia="仿宋_GB2312" w:cs="宋体"/>
                <w:szCs w:val="21"/>
              </w:rPr>
              <w:t>、</w:t>
            </w:r>
            <w:r>
              <w:rPr>
                <w:rFonts w:hint="eastAsia" w:ascii="仿宋_GB2312" w:eastAsia="仿宋_GB2312"/>
                <w:szCs w:val="21"/>
              </w:rPr>
              <w:t>HTTP</w:t>
            </w:r>
            <w:r>
              <w:rPr>
                <w:rFonts w:hint="eastAsia" w:ascii="仿宋_GB2312" w:eastAsia="仿宋_GB2312" w:cs="宋体"/>
                <w:szCs w:val="21"/>
              </w:rPr>
              <w:t>、</w:t>
            </w:r>
            <w:r>
              <w:rPr>
                <w:rFonts w:hint="eastAsia" w:ascii="仿宋_GB2312" w:eastAsia="仿宋_GB2312"/>
                <w:szCs w:val="21"/>
              </w:rPr>
              <w:t>AFP</w:t>
            </w:r>
            <w:r>
              <w:rPr>
                <w:rFonts w:hint="eastAsia" w:ascii="仿宋_GB2312" w:eastAsia="仿宋_GB2312" w:cs="宋体"/>
                <w:szCs w:val="21"/>
              </w:rPr>
              <w:t>、</w:t>
            </w:r>
            <w:r>
              <w:rPr>
                <w:rFonts w:hint="eastAsia" w:ascii="仿宋_GB2312" w:eastAsia="仿宋_GB2312"/>
                <w:szCs w:val="21"/>
              </w:rPr>
              <w:t>RSYNC</w:t>
            </w:r>
            <w:r>
              <w:rPr>
                <w:rFonts w:hint="eastAsia" w:ascii="仿宋_GB2312" w:eastAsia="仿宋_GB2312" w:cs="宋体"/>
                <w:szCs w:val="21"/>
              </w:rPr>
              <w:t>、</w:t>
            </w:r>
            <w:r>
              <w:rPr>
                <w:rFonts w:hint="eastAsia" w:ascii="仿宋_GB2312" w:eastAsia="仿宋_GB2312"/>
                <w:szCs w:val="21"/>
              </w:rPr>
              <w:t>SNMP</w:t>
            </w:r>
            <w:r>
              <w:rPr>
                <w:rFonts w:hint="eastAsia" w:ascii="仿宋_GB2312" w:eastAsia="仿宋_GB2312" w:cs="宋体"/>
                <w:szCs w:val="21"/>
              </w:rPr>
              <w:t>、</w:t>
            </w:r>
            <w:r>
              <w:rPr>
                <w:rFonts w:hint="eastAsia" w:ascii="仿宋_GB2312" w:eastAsia="仿宋_GB2312"/>
                <w:szCs w:val="21"/>
              </w:rPr>
              <w:t>IPV4</w:t>
            </w:r>
            <w:r>
              <w:rPr>
                <w:rFonts w:hint="eastAsia" w:ascii="仿宋_GB2312" w:eastAsia="仿宋_GB2312" w:cs="宋体"/>
                <w:szCs w:val="21"/>
              </w:rPr>
              <w:t>、</w:t>
            </w:r>
            <w:r>
              <w:rPr>
                <w:rFonts w:hint="eastAsia" w:ascii="仿宋_GB2312" w:eastAsia="仿宋_GB2312"/>
                <w:szCs w:val="21"/>
              </w:rPr>
              <w:t>IPV6</w:t>
            </w:r>
            <w:r>
              <w:rPr>
                <w:rFonts w:hint="eastAsia" w:ascii="仿宋_GB2312" w:eastAsia="仿宋_GB2312" w:cs="宋体"/>
                <w:szCs w:val="21"/>
              </w:rPr>
              <w:t>设置选项，支持</w:t>
            </w:r>
            <w:r>
              <w:rPr>
                <w:rFonts w:hint="eastAsia" w:ascii="仿宋_GB2312" w:eastAsia="仿宋_GB2312"/>
                <w:szCs w:val="21"/>
              </w:rPr>
              <w:t>IP</w:t>
            </w:r>
            <w:r>
              <w:rPr>
                <w:rFonts w:hint="eastAsia" w:ascii="仿宋_GB2312" w:eastAsia="仿宋_GB2312" w:cs="宋体"/>
                <w:szCs w:val="21"/>
              </w:rPr>
              <w:t>组播</w:t>
            </w:r>
          </w:p>
          <w:p>
            <w:pPr>
              <w:rPr>
                <w:rFonts w:hint="eastAsia" w:ascii="仿宋_GB2312" w:eastAsia="仿宋_GB2312"/>
                <w:kern w:val="0"/>
                <w:szCs w:val="21"/>
              </w:rPr>
            </w:pPr>
            <w:r>
              <w:rPr>
                <w:rFonts w:hint="eastAsia" w:ascii="仿宋_GB2312" w:eastAsia="仿宋_GB2312" w:cs="宋体"/>
                <w:szCs w:val="21"/>
              </w:rPr>
              <w:t>可对指定的录像段或指定事件的</w:t>
            </w:r>
            <w:r>
              <w:rPr>
                <w:rFonts w:hint="eastAsia" w:ascii="仿宋_GB2312" w:eastAsia="仿宋_GB2312"/>
                <w:szCs w:val="21"/>
              </w:rPr>
              <w:t>1</w:t>
            </w:r>
            <w:r>
              <w:rPr>
                <w:rFonts w:hint="eastAsia" w:ascii="仿宋_GB2312" w:eastAsia="仿宋_GB2312" w:cs="宋体"/>
                <w:szCs w:val="21"/>
              </w:rPr>
              <w:t>个或多个前端的不同时间段录像段添加标签，并自动备份到存档卷中，使之不会被覆盖删除。</w:t>
            </w:r>
          </w:p>
        </w:tc>
        <w:tc>
          <w:tcPr>
            <w:tcW w:w="769"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台</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2</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shd w:val="clear" w:color="auto" w:fill="auto"/>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2</w:t>
            </w:r>
          </w:p>
        </w:tc>
        <w:tc>
          <w:tcPr>
            <w:tcW w:w="1265" w:type="dxa"/>
            <w:tcBorders>
              <w:top w:val="nil"/>
              <w:left w:val="single" w:color="000000" w:sz="4" w:space="0"/>
              <w:bottom w:val="nil"/>
              <w:right w:val="single" w:color="000000" w:sz="4" w:space="0"/>
            </w:tcBorders>
            <w:shd w:val="clear" w:color="000000" w:fill="FFFFFF"/>
            <w:noWrap w:val="0"/>
            <w:vAlign w:val="center"/>
          </w:tcPr>
          <w:p>
            <w:pPr>
              <w:jc w:val="center"/>
              <w:rPr>
                <w:rFonts w:hint="eastAsia" w:ascii="仿宋_GB2312" w:eastAsia="仿宋_GB2312"/>
                <w:color w:val="000000"/>
                <w:kern w:val="0"/>
                <w:szCs w:val="21"/>
              </w:rPr>
            </w:pPr>
            <w:r>
              <w:rPr>
                <w:rFonts w:hint="eastAsia" w:ascii="仿宋_GB2312" w:hAnsi="宋体" w:eastAsia="仿宋_GB2312" w:cs="宋体"/>
                <w:color w:val="000000"/>
                <w:kern w:val="0"/>
                <w:szCs w:val="21"/>
              </w:rPr>
              <w:t>企业级SATA磁盘 4T</w:t>
            </w:r>
          </w:p>
        </w:tc>
        <w:tc>
          <w:tcPr>
            <w:tcW w:w="5640" w:type="dxa"/>
            <w:tcBorders>
              <w:top w:val="nil"/>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4T,3.5",SAS,512N</w:t>
            </w:r>
          </w:p>
        </w:tc>
        <w:tc>
          <w:tcPr>
            <w:tcW w:w="769"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块</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36</w:t>
            </w:r>
          </w:p>
        </w:tc>
      </w:tr>
      <w:tr>
        <w:tblPrEx>
          <w:tblCellMar>
            <w:top w:w="0" w:type="dxa"/>
            <w:left w:w="108" w:type="dxa"/>
            <w:bottom w:w="0" w:type="dxa"/>
            <w:right w:w="108" w:type="dxa"/>
          </w:tblCellMar>
        </w:tblPrEx>
        <w:trPr>
          <w:trHeight w:val="48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3</w:t>
            </w:r>
          </w:p>
        </w:tc>
        <w:tc>
          <w:tcPr>
            <w:tcW w:w="1265"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网络控制键盘</w:t>
            </w:r>
          </w:p>
        </w:tc>
        <w:tc>
          <w:tcPr>
            <w:tcW w:w="5640" w:type="dxa"/>
            <w:tcBorders>
              <w:top w:val="single" w:color="auto" w:sz="4" w:space="0"/>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网络键盘，网络/串口（232/485）接入方式，4维摇杆控制，7 英寸800*480 的触摸式液晶屏，音频输入/输出口，1个USB接口，1路1080P，兼容公司各行业平台软件、全系列前后端、监控中心设备。</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台</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1</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4</w:t>
            </w:r>
          </w:p>
        </w:tc>
        <w:tc>
          <w:tcPr>
            <w:tcW w:w="1265"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双位操作台</w:t>
            </w:r>
          </w:p>
        </w:tc>
        <w:tc>
          <w:tcPr>
            <w:tcW w:w="5640" w:type="dxa"/>
            <w:tcBorders>
              <w:top w:val="nil"/>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双席位，定制，采用SPCC冷轧钢板2.0 mm厚</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组</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1</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5</w:t>
            </w:r>
          </w:p>
        </w:tc>
        <w:tc>
          <w:tcPr>
            <w:tcW w:w="1265"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网络机柜</w:t>
            </w:r>
          </w:p>
        </w:tc>
        <w:tc>
          <w:tcPr>
            <w:tcW w:w="5640" w:type="dxa"/>
            <w:tcBorders>
              <w:top w:val="nil"/>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600*900*2000，国标</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组</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2</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6</w:t>
            </w:r>
          </w:p>
        </w:tc>
        <w:tc>
          <w:tcPr>
            <w:tcW w:w="1265"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流媒体服务器</w:t>
            </w:r>
          </w:p>
        </w:tc>
        <w:tc>
          <w:tcPr>
            <w:tcW w:w="5640" w:type="dxa"/>
            <w:tcBorders>
              <w:top w:val="nil"/>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 xml:space="preserve">E5-2620 V4(8核2.1GHz)×1/16GB DDR4/1TB SATA×2/SAS_HBA/DVD/1GbE×4/冗电/2U/Win  2008 R2简中标准版   1、电源：高效能550W铂金1+1 冗余电源；2、电源电压 200-240V/50Hz。 </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台</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1</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shd w:val="clear" w:color="auto" w:fill="auto"/>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7</w:t>
            </w:r>
          </w:p>
        </w:tc>
        <w:tc>
          <w:tcPr>
            <w:tcW w:w="1265"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jc w:val="center"/>
              <w:rPr>
                <w:rFonts w:hint="eastAsia" w:ascii="仿宋_GB2312" w:eastAsia="仿宋_GB2312"/>
                <w:color w:val="000000"/>
                <w:kern w:val="0"/>
                <w:szCs w:val="21"/>
              </w:rPr>
            </w:pPr>
            <w:r>
              <w:rPr>
                <w:rFonts w:hint="eastAsia" w:ascii="仿宋_GB2312" w:hAnsi="宋体" w:eastAsia="仿宋_GB2312" w:cs="宋体"/>
                <w:color w:val="000000"/>
                <w:kern w:val="0"/>
                <w:szCs w:val="21"/>
              </w:rPr>
              <w:t>视频质量诊断智能分析服务器</w:t>
            </w:r>
          </w:p>
        </w:tc>
        <w:tc>
          <w:tcPr>
            <w:tcW w:w="5640" w:type="dxa"/>
            <w:tcBorders>
              <w:top w:val="single" w:color="auto" w:sz="4" w:space="0"/>
              <w:left w:val="nil"/>
              <w:bottom w:val="single" w:color="auto" w:sz="4" w:space="0"/>
              <w:right w:val="single" w:color="auto" w:sz="4" w:space="0"/>
            </w:tcBorders>
            <w:noWrap w:val="0"/>
            <w:vAlign w:val="center"/>
          </w:tcPr>
          <w:p>
            <w:pPr>
              <w:rPr>
                <w:rFonts w:hint="eastAsia" w:ascii="仿宋_GB2312" w:eastAsia="仿宋_GB2312"/>
                <w:szCs w:val="21"/>
              </w:rPr>
            </w:pPr>
            <w:r>
              <w:rPr>
                <w:rFonts w:hint="eastAsia" w:ascii="仿宋_GB2312" w:eastAsia="仿宋_GB2312" w:cs="宋体"/>
                <w:szCs w:val="21"/>
              </w:rPr>
              <w:t>对摄像机异常情况进行巡检，异常情况包括：无图像、网络中断、图像异常等；</w:t>
            </w:r>
            <w:r>
              <w:rPr>
                <w:rFonts w:hint="eastAsia" w:ascii="仿宋_GB2312" w:eastAsia="仿宋_GB2312"/>
                <w:szCs w:val="21"/>
              </w:rPr>
              <w:t>CPU</w:t>
            </w:r>
            <w:r>
              <w:rPr>
                <w:rFonts w:hint="eastAsia" w:ascii="仿宋_GB2312" w:hAnsi="宋体" w:eastAsia="仿宋_GB2312" w:cs="宋体"/>
                <w:szCs w:val="21"/>
              </w:rPr>
              <w:t>≥</w:t>
            </w:r>
            <w:r>
              <w:rPr>
                <w:rFonts w:hint="eastAsia" w:ascii="仿宋_GB2312" w:eastAsia="仿宋_GB2312"/>
                <w:szCs w:val="21"/>
              </w:rPr>
              <w:t>E3-1225 V5</w:t>
            </w:r>
            <w:r>
              <w:rPr>
                <w:rFonts w:hint="eastAsia" w:ascii="仿宋_GB2312" w:eastAsia="仿宋_GB2312" w:cs="宋体"/>
                <w:szCs w:val="21"/>
              </w:rPr>
              <w:t>，内存</w:t>
            </w:r>
            <w:r>
              <w:rPr>
                <w:rFonts w:hint="eastAsia" w:ascii="仿宋_GB2312" w:hAnsi="宋体" w:eastAsia="仿宋_GB2312" w:cs="宋体"/>
                <w:szCs w:val="21"/>
              </w:rPr>
              <w:t>≥16</w:t>
            </w:r>
            <w:r>
              <w:rPr>
                <w:rFonts w:hint="eastAsia" w:ascii="仿宋_GB2312" w:eastAsia="仿宋_GB2312"/>
                <w:szCs w:val="21"/>
              </w:rPr>
              <w:t>GB DDR4</w:t>
            </w:r>
            <w:r>
              <w:rPr>
                <w:rFonts w:hint="eastAsia" w:ascii="仿宋_GB2312" w:eastAsia="仿宋_GB2312" w:cs="宋体"/>
                <w:szCs w:val="21"/>
              </w:rPr>
              <w:t>；</w:t>
            </w:r>
            <w:r>
              <w:rPr>
                <w:rFonts w:hint="eastAsia" w:ascii="仿宋_GB2312" w:eastAsia="仿宋_GB2312"/>
                <w:szCs w:val="21"/>
              </w:rPr>
              <w:t xml:space="preserve">  SATA</w:t>
            </w:r>
            <w:r>
              <w:rPr>
                <w:rFonts w:hint="eastAsia" w:ascii="仿宋_GB2312" w:eastAsia="仿宋_GB2312" w:cs="宋体"/>
                <w:szCs w:val="21"/>
              </w:rPr>
              <w:t>硬盘</w:t>
            </w:r>
            <w:r>
              <w:rPr>
                <w:rFonts w:hint="eastAsia" w:ascii="仿宋_GB2312" w:hAnsi="宋体" w:eastAsia="仿宋_GB2312" w:cs="宋体"/>
                <w:szCs w:val="21"/>
              </w:rPr>
              <w:t>≥</w:t>
            </w:r>
            <w:r>
              <w:rPr>
                <w:rFonts w:hint="eastAsia" w:ascii="仿宋_GB2312" w:eastAsia="仿宋_GB2312"/>
                <w:szCs w:val="21"/>
              </w:rPr>
              <w:t>1TB</w:t>
            </w:r>
          </w:p>
          <w:p>
            <w:pPr>
              <w:rPr>
                <w:rFonts w:hint="eastAsia" w:ascii="仿宋_GB2312" w:eastAsia="仿宋_GB2312"/>
                <w:szCs w:val="21"/>
              </w:rPr>
            </w:pPr>
            <w:r>
              <w:rPr>
                <w:rFonts w:hint="eastAsia" w:ascii="仿宋_GB2312" w:eastAsia="仿宋_GB2312" w:cs="宋体"/>
                <w:szCs w:val="21"/>
              </w:rPr>
              <w:t>支持多种常见摄像机故障，检测内容包括信号丢失、图像模糊、噪声干扰、黑白图像、图像偏色、图像剧变、场景变更、画面冻结、视频抖动、视频遮挡、对比度异常、登录异常。</w:t>
            </w:r>
          </w:p>
          <w:p>
            <w:pPr>
              <w:rPr>
                <w:rFonts w:hint="eastAsia" w:ascii="仿宋_GB2312" w:eastAsia="仿宋_GB2312"/>
                <w:szCs w:val="21"/>
              </w:rPr>
            </w:pPr>
            <w:r>
              <w:rPr>
                <w:rFonts w:hint="eastAsia" w:ascii="仿宋_GB2312" w:eastAsia="仿宋_GB2312" w:cs="宋体"/>
                <w:szCs w:val="21"/>
              </w:rPr>
              <w:t>支持多种常见摄像机故障，检测内容包括亮度异常、条纹干扰、云台失控、取流异常。</w:t>
            </w:r>
          </w:p>
          <w:p>
            <w:pPr>
              <w:rPr>
                <w:rFonts w:hint="eastAsia" w:ascii="仿宋_GB2312" w:eastAsia="仿宋_GB2312"/>
                <w:szCs w:val="21"/>
              </w:rPr>
            </w:pPr>
            <w:r>
              <w:rPr>
                <w:rFonts w:hint="eastAsia" w:ascii="仿宋_GB2312" w:eastAsia="仿宋_GB2312" w:cs="宋体"/>
                <w:szCs w:val="21"/>
              </w:rPr>
              <w:t>支持新建多个周期性任务，任务只在配置的周期内才会执行。每天可设置多个执行时间段，可设置是否循环。（提供软件界面截图证明）</w:t>
            </w:r>
          </w:p>
          <w:p>
            <w:pPr>
              <w:rPr>
                <w:rFonts w:hint="eastAsia" w:ascii="仿宋_GB2312" w:eastAsia="仿宋_GB2312"/>
                <w:szCs w:val="21"/>
              </w:rPr>
            </w:pPr>
            <w:r>
              <w:rPr>
                <w:rFonts w:hint="eastAsia" w:ascii="仿宋_GB2312" w:eastAsia="仿宋_GB2312" w:cs="宋体"/>
                <w:szCs w:val="21"/>
              </w:rPr>
              <w:t>支持设置即时任务，设置任务后马上执行，执行完毕后不会再次执行。（提供软件界面截图证明）</w:t>
            </w:r>
          </w:p>
          <w:p>
            <w:pPr>
              <w:rPr>
                <w:rFonts w:hint="eastAsia" w:ascii="仿宋_GB2312" w:eastAsia="仿宋_GB2312"/>
                <w:szCs w:val="21"/>
              </w:rPr>
            </w:pPr>
            <w:r>
              <w:rPr>
                <w:rFonts w:hint="eastAsia" w:ascii="仿宋_GB2312" w:eastAsia="仿宋_GB2312" w:cs="宋体"/>
                <w:szCs w:val="21"/>
              </w:rPr>
              <w:t>信息总览功能，显示出最近诊断的大致信息，可以按任务或者按监控点显示，并可将诊断信息及质量诊断异常图片以</w:t>
            </w:r>
            <w:r>
              <w:rPr>
                <w:rFonts w:hint="eastAsia" w:ascii="仿宋_GB2312" w:eastAsia="仿宋_GB2312"/>
                <w:szCs w:val="21"/>
              </w:rPr>
              <w:t>excel</w:t>
            </w:r>
            <w:r>
              <w:rPr>
                <w:rFonts w:hint="eastAsia" w:ascii="仿宋_GB2312" w:eastAsia="仿宋_GB2312" w:cs="宋体"/>
                <w:szCs w:val="21"/>
              </w:rPr>
              <w:t>格式保存到本地。（提供软件界面截图证明）</w:t>
            </w:r>
          </w:p>
          <w:p>
            <w:pPr>
              <w:rPr>
                <w:rFonts w:hint="eastAsia" w:ascii="仿宋_GB2312" w:eastAsia="仿宋_GB2312"/>
                <w:szCs w:val="21"/>
              </w:rPr>
            </w:pPr>
            <w:r>
              <w:rPr>
                <w:rFonts w:hint="eastAsia" w:ascii="仿宋_GB2312" w:eastAsia="仿宋_GB2312" w:cs="宋体"/>
                <w:szCs w:val="21"/>
              </w:rPr>
              <w:t>阈值修正，可根据实际检测效果对该监控点的阈值进行修正，达到符合实际情况的最佳检测效果。（提供软件界面截图证明）</w:t>
            </w:r>
          </w:p>
          <w:p>
            <w:pPr>
              <w:rPr>
                <w:rFonts w:hint="eastAsia" w:ascii="仿宋_GB2312" w:eastAsia="仿宋_GB2312"/>
                <w:szCs w:val="21"/>
              </w:rPr>
            </w:pPr>
            <w:r>
              <w:rPr>
                <w:rFonts w:hint="eastAsia" w:ascii="仿宋_GB2312" w:eastAsia="仿宋_GB2312" w:cs="宋体"/>
                <w:szCs w:val="21"/>
              </w:rPr>
              <w:t>添加信任监控点，可以将指定监控点添加到信任列表，则只对该监控点进行信号丢失检测。（提供软件界面截图证明）</w:t>
            </w:r>
          </w:p>
          <w:p>
            <w:pPr>
              <w:rPr>
                <w:rFonts w:hint="eastAsia" w:ascii="仿宋_GB2312" w:eastAsia="仿宋_GB2312"/>
                <w:szCs w:val="21"/>
              </w:rPr>
            </w:pPr>
            <w:r>
              <w:rPr>
                <w:rFonts w:hint="eastAsia" w:ascii="仿宋_GB2312" w:eastAsia="仿宋_GB2312" w:cs="宋体"/>
                <w:szCs w:val="21"/>
              </w:rPr>
              <w:t>重新检测，对有疑问的监控点进行视频质量的重新检测。（提供软件界面截图证明）</w:t>
            </w:r>
          </w:p>
          <w:p>
            <w:pPr>
              <w:rPr>
                <w:rFonts w:hint="eastAsia" w:ascii="仿宋_GB2312" w:eastAsia="仿宋_GB2312"/>
                <w:szCs w:val="21"/>
              </w:rPr>
            </w:pPr>
            <w:r>
              <w:rPr>
                <w:rFonts w:hint="eastAsia" w:ascii="仿宋_GB2312" w:eastAsia="仿宋_GB2312" w:cs="宋体"/>
                <w:szCs w:val="21"/>
              </w:rPr>
              <w:t>人工修正基准图片，对场景变更检测的基准图片进行人工修正。（提供软件界面截图证明）</w:t>
            </w:r>
          </w:p>
          <w:p>
            <w:pPr>
              <w:rPr>
                <w:rFonts w:hint="eastAsia" w:ascii="仿宋_GB2312" w:eastAsia="仿宋_GB2312"/>
                <w:kern w:val="0"/>
                <w:szCs w:val="21"/>
              </w:rPr>
            </w:pPr>
            <w:r>
              <w:rPr>
                <w:rFonts w:hint="eastAsia" w:ascii="仿宋_GB2312" w:eastAsia="仿宋_GB2312" w:cs="宋体"/>
                <w:szCs w:val="21"/>
              </w:rPr>
              <w:t>统计分析，可以按照故障类型、区域统计、故障率进行统计，并以线图、柱状图或饼图来展示，通过点击线图的折点、柱状图柱块或饼状图饼块，可罗列出该异常类型就的监控点。（提供软件界面截图证明）</w:t>
            </w:r>
          </w:p>
        </w:tc>
        <w:tc>
          <w:tcPr>
            <w:tcW w:w="769"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台</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1</w:t>
            </w:r>
          </w:p>
        </w:tc>
      </w:tr>
      <w:tr>
        <w:tblPrEx>
          <w:tblCellMar>
            <w:top w:w="0" w:type="dxa"/>
            <w:left w:w="108" w:type="dxa"/>
            <w:bottom w:w="0" w:type="dxa"/>
            <w:right w:w="108" w:type="dxa"/>
          </w:tblCellMar>
        </w:tblPrEx>
        <w:trPr>
          <w:trHeight w:val="270" w:hRule="atLeast"/>
          <w:jc w:val="center"/>
        </w:trPr>
        <w:tc>
          <w:tcPr>
            <w:tcW w:w="72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8</w:t>
            </w:r>
          </w:p>
        </w:tc>
        <w:tc>
          <w:tcPr>
            <w:tcW w:w="1265" w:type="dxa"/>
            <w:tcBorders>
              <w:top w:val="single" w:color="auto" w:sz="4" w:space="0"/>
              <w:left w:val="single" w:color="000000" w:sz="4" w:space="0"/>
              <w:bottom w:val="single" w:color="000000" w:sz="4" w:space="0"/>
              <w:right w:val="single" w:color="000000" w:sz="4" w:space="0"/>
            </w:tcBorders>
            <w:shd w:val="clear" w:color="000000" w:fill="FFFFFF"/>
            <w:noWrap w:val="0"/>
            <w:vAlign w:val="center"/>
          </w:tcPr>
          <w:p>
            <w:pPr>
              <w:jc w:val="center"/>
              <w:rPr>
                <w:rFonts w:hint="eastAsia" w:ascii="仿宋_GB2312" w:eastAsia="仿宋_GB2312"/>
                <w:color w:val="000000"/>
                <w:kern w:val="0"/>
                <w:szCs w:val="21"/>
              </w:rPr>
            </w:pPr>
            <w:r>
              <w:rPr>
                <w:rFonts w:hint="eastAsia" w:ascii="仿宋_GB2312" w:hAnsi="宋体" w:eastAsia="仿宋_GB2312" w:cs="宋体"/>
                <w:color w:val="000000"/>
                <w:kern w:val="0"/>
                <w:szCs w:val="21"/>
              </w:rPr>
              <w:t>视频管理平台（含服务器）</w:t>
            </w:r>
          </w:p>
        </w:tc>
        <w:tc>
          <w:tcPr>
            <w:tcW w:w="5640" w:type="dxa"/>
            <w:tcBorders>
              <w:top w:val="single" w:color="auto" w:sz="4" w:space="0"/>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智慧校园综合安防管理平台</w:t>
            </w:r>
          </w:p>
          <w:p>
            <w:pPr>
              <w:rPr>
                <w:rFonts w:hint="eastAsia" w:ascii="仿宋_GB2312" w:eastAsia="仿宋_GB2312"/>
                <w:kern w:val="0"/>
                <w:szCs w:val="21"/>
              </w:rPr>
            </w:pPr>
            <w:r>
              <w:rPr>
                <w:rFonts w:hint="eastAsia" w:ascii="仿宋_GB2312" w:hAnsi="宋体" w:eastAsia="仿宋_GB2312" w:cs="宋体"/>
                <w:kern w:val="0"/>
                <w:szCs w:val="21"/>
              </w:rPr>
              <w:t>视频应用、事件告警、电视墙、基础配置（组织/资源/用户/服务/日志/智能设备接入）</w:t>
            </w:r>
          </w:p>
          <w:p>
            <w:pPr>
              <w:rPr>
                <w:rFonts w:hint="eastAsia" w:ascii="仿宋_GB2312" w:eastAsia="仿宋_GB2312"/>
                <w:kern w:val="0"/>
                <w:szCs w:val="21"/>
              </w:rPr>
            </w:pPr>
            <w:r>
              <w:rPr>
                <w:rFonts w:hint="eastAsia" w:ascii="仿宋_GB2312" w:hAnsi="宋体" w:eastAsia="仿宋_GB2312" w:cs="宋体"/>
                <w:kern w:val="0"/>
                <w:szCs w:val="21"/>
              </w:rPr>
              <w:t>能与原平台无缝对接</w:t>
            </w:r>
            <w:r>
              <w:rPr>
                <w:rFonts w:hint="eastAsia" w:ascii="仿宋_GB2312" w:eastAsia="仿宋_GB2312" w:cs="宋体"/>
                <w:kern w:val="0"/>
                <w:szCs w:val="21"/>
              </w:rPr>
              <w:t>,</w:t>
            </w:r>
            <w:r>
              <w:rPr>
                <w:rFonts w:hint="eastAsia" w:ascii="仿宋_GB2312" w:hAnsi="宋体" w:eastAsia="仿宋_GB2312" w:cs="宋体"/>
                <w:kern w:val="0"/>
                <w:szCs w:val="21"/>
              </w:rPr>
              <w:t>提供对接证明</w:t>
            </w:r>
          </w:p>
        </w:tc>
        <w:tc>
          <w:tcPr>
            <w:tcW w:w="76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台</w:t>
            </w:r>
          </w:p>
        </w:tc>
        <w:tc>
          <w:tcPr>
            <w:tcW w:w="79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1</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9</w:t>
            </w:r>
          </w:p>
        </w:tc>
        <w:tc>
          <w:tcPr>
            <w:tcW w:w="1265"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监控工作站</w:t>
            </w:r>
          </w:p>
        </w:tc>
        <w:tc>
          <w:tcPr>
            <w:tcW w:w="5640" w:type="dxa"/>
            <w:tcBorders>
              <w:top w:val="single" w:color="auto" w:sz="4" w:space="0"/>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CPU≥E5-1603/内存≥8G，硬盘≥500G SATA，带DVDRW,gkp 独立显卡≥1GB，液晶显示≥24寸，带键盘鼠标</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台</w:t>
            </w:r>
          </w:p>
        </w:tc>
        <w:tc>
          <w:tcPr>
            <w:tcW w:w="792"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2</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b/>
                <w:bCs/>
                <w:kern w:val="0"/>
                <w:szCs w:val="21"/>
              </w:rPr>
            </w:pPr>
            <w:r>
              <w:rPr>
                <w:rFonts w:hint="eastAsia" w:ascii="仿宋_GB2312" w:hAnsi="宋体" w:eastAsia="仿宋_GB2312" w:cs="宋体"/>
                <w:b/>
                <w:bCs/>
                <w:kern w:val="0"/>
                <w:szCs w:val="21"/>
              </w:rPr>
              <w:t>七</w:t>
            </w:r>
          </w:p>
        </w:tc>
        <w:tc>
          <w:tcPr>
            <w:tcW w:w="1265" w:type="dxa"/>
            <w:tcBorders>
              <w:top w:val="nil"/>
              <w:left w:val="nil"/>
              <w:bottom w:val="single" w:color="auto" w:sz="4" w:space="0"/>
              <w:right w:val="single" w:color="auto" w:sz="4" w:space="0"/>
            </w:tcBorders>
            <w:noWrap w:val="0"/>
            <w:vAlign w:val="center"/>
          </w:tcPr>
          <w:p>
            <w:pPr>
              <w:jc w:val="center"/>
              <w:rPr>
                <w:rFonts w:hint="eastAsia" w:ascii="仿宋_GB2312" w:eastAsia="仿宋_GB2312"/>
                <w:b/>
                <w:bCs/>
                <w:kern w:val="0"/>
                <w:szCs w:val="21"/>
              </w:rPr>
            </w:pPr>
            <w:r>
              <w:rPr>
                <w:rFonts w:hint="eastAsia" w:ascii="仿宋_GB2312" w:hAnsi="宋体" w:eastAsia="仿宋_GB2312" w:cs="宋体"/>
                <w:b/>
                <w:bCs/>
                <w:kern w:val="0"/>
                <w:szCs w:val="21"/>
              </w:rPr>
              <w:t>监控专网部分</w:t>
            </w:r>
          </w:p>
        </w:tc>
        <w:tc>
          <w:tcPr>
            <w:tcW w:w="5640" w:type="dxa"/>
            <w:tcBorders>
              <w:top w:val="nil"/>
              <w:left w:val="nil"/>
              <w:bottom w:val="single" w:color="auto" w:sz="4" w:space="0"/>
              <w:right w:val="single" w:color="auto" w:sz="4" w:space="0"/>
            </w:tcBorders>
            <w:noWrap w:val="0"/>
            <w:vAlign w:val="center"/>
          </w:tcPr>
          <w:p>
            <w:pPr>
              <w:jc w:val="center"/>
              <w:rPr>
                <w:rFonts w:hint="eastAsia" w:ascii="仿宋_GB2312" w:eastAsia="仿宋_GB2312"/>
                <w:b/>
                <w:bCs/>
                <w:kern w:val="0"/>
                <w:szCs w:val="21"/>
              </w:rPr>
            </w:pPr>
            <w:r>
              <w:rPr>
                <w:rFonts w:hint="eastAsia" w:ascii="仿宋_GB2312" w:hAnsi="宋体" w:eastAsia="仿宋_GB2312" w:cs="宋体"/>
                <w:b/>
                <w:bCs/>
                <w:kern w:val="0"/>
                <w:szCs w:val="21"/>
              </w:rPr>
              <w:t>　</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b/>
                <w:bCs/>
                <w:kern w:val="0"/>
                <w:szCs w:val="21"/>
              </w:rPr>
            </w:pPr>
            <w:r>
              <w:rPr>
                <w:rFonts w:hint="eastAsia" w:ascii="仿宋_GB2312" w:hAnsi="宋体" w:eastAsia="仿宋_GB2312" w:cs="宋体"/>
                <w:b/>
                <w:bCs/>
                <w:kern w:val="0"/>
                <w:szCs w:val="21"/>
              </w:rPr>
              <w:t>　</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b/>
                <w:bCs/>
                <w:kern w:val="0"/>
                <w:szCs w:val="21"/>
              </w:rPr>
            </w:pPr>
            <w:r>
              <w:rPr>
                <w:rFonts w:hint="eastAsia" w:ascii="仿宋_GB2312" w:hAnsi="宋体" w:eastAsia="仿宋_GB2312" w:cs="宋体"/>
                <w:b/>
                <w:bCs/>
                <w:kern w:val="0"/>
                <w:szCs w:val="21"/>
              </w:rPr>
              <w:t>　</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shd w:val="clear" w:color="auto" w:fill="auto"/>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1</w:t>
            </w:r>
          </w:p>
        </w:tc>
        <w:tc>
          <w:tcPr>
            <w:tcW w:w="1265"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核心交换机</w:t>
            </w:r>
          </w:p>
        </w:tc>
        <w:tc>
          <w:tcPr>
            <w:tcW w:w="5640" w:type="dxa"/>
            <w:tcBorders>
              <w:top w:val="single" w:color="auto" w:sz="4" w:space="0"/>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主控引擎槽位数≥2，独立业务插槽数≥6个（不含主控引擎槽位、电源风扇槽位）； 整机交换容量≥15Tbps，包转发率≥2880Mpps；主机+双引擎+双电源+48端口电口接口板+ 24端口千兆以太网光接口4端口万兆以太网光接口模块板</w:t>
            </w:r>
          </w:p>
        </w:tc>
        <w:tc>
          <w:tcPr>
            <w:tcW w:w="769"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台</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1</w:t>
            </w:r>
          </w:p>
        </w:tc>
      </w:tr>
      <w:tr>
        <w:tblPrEx>
          <w:tblCellMar>
            <w:top w:w="0" w:type="dxa"/>
            <w:left w:w="108" w:type="dxa"/>
            <w:bottom w:w="0" w:type="dxa"/>
            <w:right w:w="108" w:type="dxa"/>
          </w:tblCellMar>
        </w:tblPrEx>
        <w:trPr>
          <w:trHeight w:val="480" w:hRule="atLeast"/>
          <w:jc w:val="center"/>
        </w:trPr>
        <w:tc>
          <w:tcPr>
            <w:tcW w:w="728" w:type="dxa"/>
            <w:tcBorders>
              <w:top w:val="nil"/>
              <w:left w:val="single" w:color="auto" w:sz="4" w:space="0"/>
              <w:bottom w:val="single" w:color="auto" w:sz="4" w:space="0"/>
              <w:right w:val="single" w:color="auto" w:sz="4" w:space="0"/>
            </w:tcBorders>
            <w:shd w:val="clear" w:color="auto" w:fill="auto"/>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2</w:t>
            </w:r>
          </w:p>
        </w:tc>
        <w:tc>
          <w:tcPr>
            <w:tcW w:w="1265" w:type="dxa"/>
            <w:tcBorders>
              <w:top w:val="nil"/>
              <w:left w:val="single" w:color="000000" w:sz="4" w:space="0"/>
              <w:bottom w:val="single" w:color="000000" w:sz="4" w:space="0"/>
              <w:right w:val="single" w:color="000000" w:sz="4" w:space="0"/>
            </w:tcBorders>
            <w:shd w:val="clear" w:color="000000" w:fill="FFFFFF"/>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接入交换机</w:t>
            </w:r>
          </w:p>
        </w:tc>
        <w:tc>
          <w:tcPr>
            <w:tcW w:w="5640" w:type="dxa"/>
            <w:tcBorders>
              <w:top w:val="nil"/>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固化10/100/1000M以太网端口≥24,SFP千兆光接口≥4个；交换容量≥256Gbps, 包转发率≥65Mpps；三层交换机，支持路由。</w:t>
            </w:r>
          </w:p>
        </w:tc>
        <w:tc>
          <w:tcPr>
            <w:tcW w:w="769"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台</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3</w:t>
            </w:r>
          </w:p>
        </w:tc>
      </w:tr>
      <w:tr>
        <w:tblPrEx>
          <w:tblCellMar>
            <w:top w:w="0" w:type="dxa"/>
            <w:left w:w="108" w:type="dxa"/>
            <w:bottom w:w="0" w:type="dxa"/>
            <w:right w:w="108" w:type="dxa"/>
          </w:tblCellMar>
        </w:tblPrEx>
        <w:trPr>
          <w:trHeight w:val="480" w:hRule="atLeast"/>
          <w:jc w:val="center"/>
        </w:trPr>
        <w:tc>
          <w:tcPr>
            <w:tcW w:w="728" w:type="dxa"/>
            <w:tcBorders>
              <w:top w:val="nil"/>
              <w:left w:val="single" w:color="auto" w:sz="4" w:space="0"/>
              <w:bottom w:val="single" w:color="auto" w:sz="4" w:space="0"/>
              <w:right w:val="single" w:color="auto" w:sz="4" w:space="0"/>
            </w:tcBorders>
            <w:shd w:val="clear" w:color="auto" w:fill="auto"/>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3</w:t>
            </w:r>
          </w:p>
        </w:tc>
        <w:tc>
          <w:tcPr>
            <w:tcW w:w="1265" w:type="dxa"/>
            <w:tcBorders>
              <w:top w:val="nil"/>
              <w:left w:val="single" w:color="000000" w:sz="4" w:space="0"/>
              <w:bottom w:val="single" w:color="000000" w:sz="4" w:space="0"/>
              <w:right w:val="single" w:color="000000" w:sz="4" w:space="0"/>
            </w:tcBorders>
            <w:shd w:val="clear" w:color="000000" w:fill="FFFFFF"/>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接入交换机</w:t>
            </w:r>
          </w:p>
        </w:tc>
        <w:tc>
          <w:tcPr>
            <w:tcW w:w="5640" w:type="dxa"/>
            <w:tcBorders>
              <w:top w:val="nil"/>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16个10/100Base-TX以太网端口,2个10/100/1000Base-T以太网端口,2个复用的千兆Combo SFP,交流供电；交换容量≥32Gbps，包转发率≥9.9Mpps</w:t>
            </w:r>
          </w:p>
        </w:tc>
        <w:tc>
          <w:tcPr>
            <w:tcW w:w="769"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台</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3</w:t>
            </w:r>
          </w:p>
        </w:tc>
      </w:tr>
      <w:tr>
        <w:tblPrEx>
          <w:tblCellMar>
            <w:top w:w="0" w:type="dxa"/>
            <w:left w:w="108" w:type="dxa"/>
            <w:bottom w:w="0" w:type="dxa"/>
            <w:right w:w="108" w:type="dxa"/>
          </w:tblCellMar>
        </w:tblPrEx>
        <w:trPr>
          <w:trHeight w:val="480" w:hRule="atLeast"/>
          <w:jc w:val="center"/>
        </w:trPr>
        <w:tc>
          <w:tcPr>
            <w:tcW w:w="728" w:type="dxa"/>
            <w:tcBorders>
              <w:top w:val="nil"/>
              <w:left w:val="single" w:color="auto" w:sz="4" w:space="0"/>
              <w:bottom w:val="single" w:color="auto" w:sz="4" w:space="0"/>
              <w:right w:val="single" w:color="auto" w:sz="4" w:space="0"/>
            </w:tcBorders>
            <w:shd w:val="clear" w:color="auto" w:fill="auto"/>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4</w:t>
            </w:r>
          </w:p>
        </w:tc>
        <w:tc>
          <w:tcPr>
            <w:tcW w:w="1265" w:type="dxa"/>
            <w:tcBorders>
              <w:top w:val="nil"/>
              <w:left w:val="single" w:color="000000" w:sz="4" w:space="0"/>
              <w:bottom w:val="single" w:color="000000" w:sz="4" w:space="0"/>
              <w:right w:val="single" w:color="000000" w:sz="4" w:space="0"/>
            </w:tcBorders>
            <w:shd w:val="clear" w:color="000000" w:fill="FFFFFF"/>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接入交换机</w:t>
            </w:r>
          </w:p>
        </w:tc>
        <w:tc>
          <w:tcPr>
            <w:tcW w:w="5640" w:type="dxa"/>
            <w:tcBorders>
              <w:top w:val="nil"/>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8个10/100Base-TX以太网端口,1个10/100/1000Base-T以太网端口,1个复用的千兆Combo SFP,交流供电；交换容量≥32Gbps，包转发率≥4.95Mpps</w:t>
            </w:r>
          </w:p>
        </w:tc>
        <w:tc>
          <w:tcPr>
            <w:tcW w:w="769"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台</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5</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shd w:val="clear" w:color="auto" w:fill="auto"/>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5</w:t>
            </w:r>
          </w:p>
        </w:tc>
        <w:tc>
          <w:tcPr>
            <w:tcW w:w="1265" w:type="dxa"/>
            <w:tcBorders>
              <w:top w:val="nil"/>
              <w:left w:val="single" w:color="000000" w:sz="4" w:space="0"/>
              <w:bottom w:val="single" w:color="000000" w:sz="4" w:space="0"/>
              <w:right w:val="single" w:color="000000" w:sz="4" w:space="0"/>
            </w:tcBorders>
            <w:shd w:val="clear" w:color="000000" w:fill="FFFFFF"/>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光纤模块</w:t>
            </w:r>
          </w:p>
        </w:tc>
        <w:tc>
          <w:tcPr>
            <w:tcW w:w="5640" w:type="dxa"/>
            <w:tcBorders>
              <w:top w:val="nil"/>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光模块-SFP-GE-单模模块-(1310nm,10km,LC)</w:t>
            </w:r>
          </w:p>
        </w:tc>
        <w:tc>
          <w:tcPr>
            <w:tcW w:w="769"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只</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4</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shd w:val="clear" w:color="auto" w:fill="auto"/>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6</w:t>
            </w:r>
          </w:p>
        </w:tc>
        <w:tc>
          <w:tcPr>
            <w:tcW w:w="1265" w:type="dxa"/>
            <w:tcBorders>
              <w:top w:val="nil"/>
              <w:left w:val="single" w:color="000000" w:sz="4" w:space="0"/>
              <w:bottom w:val="single" w:color="000000" w:sz="4" w:space="0"/>
              <w:right w:val="single" w:color="000000" w:sz="4" w:space="0"/>
            </w:tcBorders>
            <w:shd w:val="clear" w:color="000000" w:fill="FFFFFF"/>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光纤收发器</w:t>
            </w:r>
          </w:p>
        </w:tc>
        <w:tc>
          <w:tcPr>
            <w:tcW w:w="5640" w:type="dxa"/>
            <w:tcBorders>
              <w:top w:val="nil"/>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千兆、单纤、单模、20KM 光纤收发器</w:t>
            </w:r>
          </w:p>
        </w:tc>
        <w:tc>
          <w:tcPr>
            <w:tcW w:w="769"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对</w:t>
            </w:r>
          </w:p>
        </w:tc>
        <w:tc>
          <w:tcPr>
            <w:tcW w:w="792"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6</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b/>
                <w:bCs/>
                <w:kern w:val="0"/>
                <w:szCs w:val="21"/>
              </w:rPr>
            </w:pPr>
            <w:r>
              <w:rPr>
                <w:rFonts w:hint="eastAsia" w:ascii="仿宋_GB2312" w:hAnsi="宋体" w:eastAsia="仿宋_GB2312" w:cs="宋体"/>
                <w:b/>
                <w:bCs/>
                <w:kern w:val="0"/>
                <w:szCs w:val="21"/>
              </w:rPr>
              <w:t>八</w:t>
            </w:r>
          </w:p>
        </w:tc>
        <w:tc>
          <w:tcPr>
            <w:tcW w:w="6905" w:type="dxa"/>
            <w:gridSpan w:val="2"/>
            <w:tcBorders>
              <w:top w:val="single" w:color="auto" w:sz="4" w:space="0"/>
              <w:left w:val="nil"/>
              <w:bottom w:val="single" w:color="auto" w:sz="4" w:space="0"/>
              <w:right w:val="single" w:color="auto" w:sz="4" w:space="0"/>
            </w:tcBorders>
            <w:noWrap w:val="0"/>
            <w:vAlign w:val="center"/>
          </w:tcPr>
          <w:p>
            <w:pPr>
              <w:rPr>
                <w:rFonts w:hint="eastAsia" w:ascii="仿宋_GB2312" w:eastAsia="仿宋_GB2312"/>
                <w:b/>
                <w:bCs/>
                <w:kern w:val="0"/>
                <w:szCs w:val="21"/>
              </w:rPr>
            </w:pPr>
            <w:r>
              <w:rPr>
                <w:rFonts w:hint="eastAsia" w:ascii="仿宋_GB2312" w:hAnsi="宋体" w:eastAsia="仿宋_GB2312" w:cs="宋体"/>
                <w:b/>
                <w:bCs/>
                <w:kern w:val="0"/>
                <w:szCs w:val="21"/>
              </w:rPr>
              <w:t>液晶拼接大屏部分　</w:t>
            </w:r>
          </w:p>
        </w:tc>
        <w:tc>
          <w:tcPr>
            <w:tcW w:w="769"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b/>
                <w:bCs/>
                <w:kern w:val="0"/>
                <w:szCs w:val="21"/>
              </w:rPr>
            </w:pPr>
            <w:r>
              <w:rPr>
                <w:rFonts w:hint="eastAsia" w:ascii="仿宋_GB2312" w:hAnsi="宋体" w:eastAsia="仿宋_GB2312" w:cs="宋体"/>
                <w:b/>
                <w:bCs/>
                <w:kern w:val="0"/>
                <w:szCs w:val="21"/>
              </w:rPr>
              <w:t>　</w:t>
            </w:r>
          </w:p>
        </w:tc>
        <w:tc>
          <w:tcPr>
            <w:tcW w:w="792"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eastAsia="仿宋_GB2312"/>
                <w:b/>
                <w:bCs/>
                <w:kern w:val="0"/>
                <w:szCs w:val="21"/>
              </w:rPr>
            </w:pPr>
            <w:r>
              <w:rPr>
                <w:rFonts w:hint="eastAsia" w:ascii="仿宋_GB2312" w:hAnsi="宋体" w:eastAsia="仿宋_GB2312" w:cs="宋体"/>
                <w:b/>
                <w:bCs/>
                <w:kern w:val="0"/>
                <w:szCs w:val="21"/>
              </w:rPr>
              <w:t>　</w:t>
            </w:r>
          </w:p>
        </w:tc>
      </w:tr>
      <w:tr>
        <w:tblPrEx>
          <w:tblCellMar>
            <w:top w:w="0" w:type="dxa"/>
            <w:left w:w="108" w:type="dxa"/>
            <w:bottom w:w="0" w:type="dxa"/>
            <w:right w:w="108" w:type="dxa"/>
          </w:tblCellMar>
        </w:tblPrEx>
        <w:trPr>
          <w:trHeight w:val="274"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1</w:t>
            </w:r>
          </w:p>
        </w:tc>
        <w:tc>
          <w:tcPr>
            <w:tcW w:w="1265"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49寸液晶拼接屏</w:t>
            </w:r>
          </w:p>
        </w:tc>
        <w:tc>
          <w:tcPr>
            <w:tcW w:w="5640" w:type="dxa"/>
            <w:tcBorders>
              <w:top w:val="nil"/>
              <w:left w:val="nil"/>
              <w:bottom w:val="single" w:color="auto" w:sz="4" w:space="0"/>
              <w:right w:val="single" w:color="auto" w:sz="4" w:space="0"/>
            </w:tcBorders>
            <w:noWrap w:val="0"/>
            <w:vAlign w:val="center"/>
          </w:tcPr>
          <w:p>
            <w:pPr>
              <w:rPr>
                <w:rFonts w:hint="eastAsia" w:ascii="仿宋_GB2312" w:eastAsia="仿宋_GB2312"/>
                <w:szCs w:val="21"/>
              </w:rPr>
            </w:pPr>
            <w:r>
              <w:rPr>
                <w:rFonts w:hint="eastAsia" w:ascii="仿宋_GB2312" w:eastAsia="仿宋_GB2312"/>
                <w:szCs w:val="21"/>
              </w:rPr>
              <w:t>LCD</w:t>
            </w:r>
            <w:r>
              <w:rPr>
                <w:rFonts w:hint="eastAsia" w:ascii="仿宋_GB2312" w:eastAsia="仿宋_GB2312" w:cs="宋体"/>
                <w:szCs w:val="21"/>
              </w:rPr>
              <w:t>液晶显示单元；</w:t>
            </w:r>
          </w:p>
          <w:p>
            <w:pPr>
              <w:rPr>
                <w:rFonts w:hint="eastAsia" w:ascii="仿宋_GB2312" w:eastAsia="仿宋_GB2312"/>
                <w:szCs w:val="21"/>
              </w:rPr>
            </w:pPr>
            <w:r>
              <w:rPr>
                <w:rFonts w:hint="eastAsia" w:ascii="仿宋_GB2312" w:eastAsia="仿宋_GB2312"/>
                <w:szCs w:val="21"/>
              </w:rPr>
              <w:t>LCD</w:t>
            </w:r>
            <w:r>
              <w:rPr>
                <w:rFonts w:hint="eastAsia" w:ascii="仿宋_GB2312" w:eastAsia="仿宋_GB2312" w:cs="宋体"/>
                <w:szCs w:val="21"/>
              </w:rPr>
              <w:t>显示单元为：</w:t>
            </w:r>
            <w:r>
              <w:rPr>
                <w:rFonts w:hint="eastAsia" w:ascii="仿宋_GB2312" w:eastAsia="仿宋_GB2312"/>
                <w:szCs w:val="21"/>
              </w:rPr>
              <w:t>49</w:t>
            </w:r>
            <w:r>
              <w:rPr>
                <w:rFonts w:hint="eastAsia" w:ascii="仿宋_GB2312" w:eastAsia="仿宋_GB2312" w:cs="宋体"/>
                <w:szCs w:val="21"/>
              </w:rPr>
              <w:t>“超窄边液晶屏；物理分辨率</w:t>
            </w:r>
            <w:r>
              <w:rPr>
                <w:rFonts w:hint="eastAsia" w:ascii="仿宋_GB2312" w:hAnsi="宋体" w:eastAsia="仿宋_GB2312" w:cs="宋体"/>
                <w:szCs w:val="21"/>
              </w:rPr>
              <w:t>≥</w:t>
            </w:r>
            <w:r>
              <w:rPr>
                <w:rFonts w:hint="eastAsia" w:ascii="仿宋_GB2312" w:eastAsia="仿宋_GB2312"/>
                <w:szCs w:val="21"/>
              </w:rPr>
              <w:t>1920</w:t>
            </w:r>
            <w:r>
              <w:rPr>
                <w:rFonts w:hint="eastAsia" w:ascii="仿宋_GB2312" w:eastAsia="仿宋_GB2312" w:cs="宋体"/>
                <w:szCs w:val="21"/>
              </w:rPr>
              <w:t>×</w:t>
            </w:r>
            <w:r>
              <w:rPr>
                <w:rFonts w:hint="eastAsia" w:ascii="仿宋_GB2312" w:eastAsia="仿宋_GB2312"/>
                <w:szCs w:val="21"/>
              </w:rPr>
              <w:t>1080</w:t>
            </w:r>
            <w:r>
              <w:rPr>
                <w:rFonts w:hint="eastAsia" w:ascii="仿宋_GB2312" w:eastAsia="仿宋_GB2312" w:cs="宋体"/>
                <w:szCs w:val="21"/>
              </w:rPr>
              <w:t>，物理拼缝≤</w:t>
            </w:r>
            <w:r>
              <w:rPr>
                <w:rFonts w:hint="eastAsia" w:ascii="仿宋_GB2312" w:eastAsia="仿宋_GB2312"/>
                <w:szCs w:val="21"/>
              </w:rPr>
              <w:t>3.5mm</w:t>
            </w:r>
            <w:r>
              <w:rPr>
                <w:rFonts w:hint="eastAsia" w:ascii="仿宋_GB2312" w:eastAsia="仿宋_GB2312" w:cs="宋体"/>
                <w:szCs w:val="21"/>
              </w:rPr>
              <w:t>，响应时间≤</w:t>
            </w:r>
            <w:r>
              <w:rPr>
                <w:rFonts w:hint="eastAsia" w:ascii="仿宋_GB2312" w:eastAsia="仿宋_GB2312"/>
                <w:szCs w:val="21"/>
              </w:rPr>
              <w:t>8ms</w:t>
            </w:r>
            <w:r>
              <w:rPr>
                <w:rFonts w:hint="eastAsia" w:ascii="仿宋_GB2312" w:eastAsia="仿宋_GB2312" w:cs="宋体"/>
                <w:szCs w:val="21"/>
              </w:rPr>
              <w:t>。</w:t>
            </w:r>
          </w:p>
          <w:p>
            <w:pPr>
              <w:rPr>
                <w:rFonts w:hint="eastAsia" w:ascii="仿宋_GB2312" w:eastAsia="仿宋_GB2312"/>
                <w:szCs w:val="21"/>
              </w:rPr>
            </w:pPr>
            <w:r>
              <w:rPr>
                <w:rFonts w:hint="eastAsia" w:ascii="仿宋_GB2312" w:eastAsia="仿宋_GB2312" w:cs="宋体"/>
                <w:szCs w:val="21"/>
              </w:rPr>
              <w:t>视角：</w:t>
            </w:r>
            <w:r>
              <w:rPr>
                <w:rFonts w:hint="eastAsia" w:ascii="仿宋_GB2312" w:eastAsia="仿宋_GB2312"/>
                <w:szCs w:val="21"/>
              </w:rPr>
              <w:t>178</w:t>
            </w:r>
            <w:r>
              <w:rPr>
                <w:rFonts w:hint="eastAsia" w:ascii="仿宋_GB2312" w:eastAsia="仿宋_GB2312" w:cs="宋体"/>
                <w:szCs w:val="21"/>
              </w:rPr>
              <w:t>°</w:t>
            </w:r>
            <w:r>
              <w:rPr>
                <w:rFonts w:hint="eastAsia" w:ascii="仿宋_GB2312" w:eastAsia="仿宋_GB2312"/>
                <w:szCs w:val="21"/>
              </w:rPr>
              <w:t>(</w:t>
            </w:r>
            <w:r>
              <w:rPr>
                <w:rFonts w:hint="eastAsia" w:ascii="仿宋_GB2312" w:eastAsia="仿宋_GB2312" w:cs="宋体"/>
                <w:szCs w:val="21"/>
              </w:rPr>
              <w:t>水平</w:t>
            </w:r>
            <w:r>
              <w:rPr>
                <w:rFonts w:hint="eastAsia" w:ascii="仿宋_GB2312" w:eastAsia="仿宋_GB2312"/>
                <w:szCs w:val="21"/>
              </w:rPr>
              <w:t>)/ 178</w:t>
            </w:r>
            <w:r>
              <w:rPr>
                <w:rFonts w:hint="eastAsia" w:ascii="仿宋_GB2312" w:eastAsia="仿宋_GB2312" w:cs="宋体"/>
                <w:szCs w:val="21"/>
              </w:rPr>
              <w:t>°</w:t>
            </w:r>
            <w:r>
              <w:rPr>
                <w:rFonts w:hint="eastAsia" w:ascii="仿宋_GB2312" w:eastAsia="仿宋_GB2312"/>
                <w:szCs w:val="21"/>
              </w:rPr>
              <w:t>(</w:t>
            </w:r>
            <w:r>
              <w:rPr>
                <w:rFonts w:hint="eastAsia" w:ascii="仿宋_GB2312" w:eastAsia="仿宋_GB2312" w:cs="宋体"/>
                <w:szCs w:val="21"/>
              </w:rPr>
              <w:t>垂直</w:t>
            </w:r>
            <w:r>
              <w:rPr>
                <w:rFonts w:hint="eastAsia" w:ascii="仿宋_GB2312" w:eastAsia="仿宋_GB2312"/>
                <w:szCs w:val="21"/>
              </w:rPr>
              <w:t>)</w:t>
            </w:r>
            <w:r>
              <w:rPr>
                <w:rFonts w:hint="eastAsia" w:ascii="仿宋_GB2312" w:eastAsia="仿宋_GB2312" w:cs="宋体"/>
                <w:szCs w:val="21"/>
              </w:rPr>
              <w:t>；</w:t>
            </w:r>
          </w:p>
          <w:p>
            <w:pPr>
              <w:rPr>
                <w:rFonts w:hint="eastAsia" w:ascii="仿宋_GB2312" w:eastAsia="仿宋_GB2312"/>
                <w:szCs w:val="21"/>
              </w:rPr>
            </w:pPr>
            <w:r>
              <w:rPr>
                <w:rFonts w:hint="eastAsia" w:ascii="仿宋_GB2312" w:eastAsia="仿宋_GB2312" w:cs="宋体"/>
                <w:szCs w:val="21"/>
              </w:rPr>
              <w:t>▲</w:t>
            </w:r>
            <w:r>
              <w:rPr>
                <w:rFonts w:hint="eastAsia" w:ascii="仿宋_GB2312" w:eastAsia="仿宋_GB2312"/>
                <w:szCs w:val="21"/>
              </w:rPr>
              <w:t>LCD</w:t>
            </w:r>
            <w:r>
              <w:rPr>
                <w:rFonts w:hint="eastAsia" w:ascii="仿宋_GB2312" w:eastAsia="仿宋_GB2312" w:cs="宋体"/>
                <w:szCs w:val="21"/>
              </w:rPr>
              <w:t>显示单元亮度</w:t>
            </w:r>
            <w:r>
              <w:rPr>
                <w:rFonts w:hint="eastAsia" w:ascii="仿宋_GB2312" w:hAnsi="宋体" w:eastAsia="仿宋_GB2312" w:cs="宋体"/>
                <w:szCs w:val="21"/>
              </w:rPr>
              <w:t>≥</w:t>
            </w:r>
            <w:r>
              <w:rPr>
                <w:rFonts w:hint="eastAsia" w:ascii="仿宋_GB2312" w:eastAsia="仿宋_GB2312"/>
                <w:szCs w:val="21"/>
              </w:rPr>
              <w:t>600cd/</w:t>
            </w:r>
            <w:r>
              <w:rPr>
                <w:rFonts w:hint="eastAsia" w:ascii="宋体" w:hAnsi="宋体" w:cs="宋体"/>
                <w:szCs w:val="21"/>
              </w:rPr>
              <w:t>㎡</w:t>
            </w:r>
            <w:r>
              <w:rPr>
                <w:rFonts w:hint="eastAsia" w:ascii="仿宋_GB2312" w:hAnsi="仿宋_GB2312" w:eastAsia="仿宋_GB2312" w:cs="仿宋_GB2312"/>
                <w:szCs w:val="21"/>
              </w:rPr>
              <w:t>，对比度</w:t>
            </w:r>
            <w:r>
              <w:rPr>
                <w:rFonts w:hint="eastAsia" w:ascii="仿宋_GB2312" w:hAnsi="宋体" w:eastAsia="仿宋_GB2312" w:cs="宋体"/>
                <w:szCs w:val="21"/>
              </w:rPr>
              <w:t>≥</w:t>
            </w:r>
            <w:r>
              <w:rPr>
                <w:rFonts w:hint="eastAsia" w:ascii="仿宋_GB2312" w:eastAsia="仿宋_GB2312"/>
                <w:szCs w:val="21"/>
              </w:rPr>
              <w:t>5000:1</w:t>
            </w:r>
            <w:r>
              <w:rPr>
                <w:rFonts w:hint="eastAsia" w:ascii="仿宋_GB2312" w:eastAsia="仿宋_GB2312" w:cs="宋体"/>
                <w:szCs w:val="21"/>
              </w:rPr>
              <w:t>，图像显示清晰度</w:t>
            </w:r>
            <w:r>
              <w:rPr>
                <w:rFonts w:hint="eastAsia" w:ascii="仿宋_GB2312" w:hAnsi="宋体" w:eastAsia="仿宋_GB2312" w:cs="宋体"/>
                <w:szCs w:val="21"/>
              </w:rPr>
              <w:t>≥</w:t>
            </w:r>
            <w:r>
              <w:rPr>
                <w:rFonts w:hint="eastAsia" w:ascii="仿宋_GB2312" w:eastAsia="仿宋_GB2312"/>
                <w:szCs w:val="21"/>
              </w:rPr>
              <w:t>1000TVL</w:t>
            </w:r>
            <w:r>
              <w:rPr>
                <w:rFonts w:hint="eastAsia" w:ascii="仿宋_GB2312" w:eastAsia="仿宋_GB2312" w:cs="宋体"/>
                <w:szCs w:val="21"/>
              </w:rPr>
              <w:t>，亮度等级</w:t>
            </w:r>
            <w:r>
              <w:rPr>
                <w:rFonts w:hint="eastAsia" w:ascii="仿宋_GB2312" w:hAnsi="宋体" w:eastAsia="仿宋_GB2312" w:cs="宋体"/>
                <w:szCs w:val="21"/>
              </w:rPr>
              <w:t>≥</w:t>
            </w:r>
            <w:r>
              <w:rPr>
                <w:rFonts w:hint="eastAsia" w:ascii="仿宋_GB2312" w:eastAsia="仿宋_GB2312"/>
                <w:szCs w:val="21"/>
              </w:rPr>
              <w:t>11</w:t>
            </w:r>
            <w:r>
              <w:rPr>
                <w:rFonts w:hint="eastAsia" w:ascii="仿宋_GB2312" w:eastAsia="仿宋_GB2312" w:cs="宋体"/>
                <w:szCs w:val="21"/>
              </w:rPr>
              <w:t>级。</w:t>
            </w:r>
          </w:p>
          <w:p>
            <w:pPr>
              <w:rPr>
                <w:rFonts w:hint="eastAsia" w:ascii="仿宋_GB2312" w:eastAsia="仿宋_GB2312"/>
                <w:szCs w:val="21"/>
              </w:rPr>
            </w:pPr>
            <w:r>
              <w:rPr>
                <w:rFonts w:hint="eastAsia" w:ascii="仿宋_GB2312" w:eastAsia="仿宋_GB2312" w:cs="宋体"/>
                <w:szCs w:val="21"/>
              </w:rPr>
              <w:t>输入接口有</w:t>
            </w:r>
            <w:r>
              <w:rPr>
                <w:rFonts w:hint="eastAsia" w:ascii="仿宋_GB2312" w:eastAsia="仿宋_GB2312"/>
                <w:szCs w:val="21"/>
              </w:rPr>
              <w:t>VGA</w:t>
            </w:r>
            <w:r>
              <w:rPr>
                <w:rFonts w:hint="eastAsia" w:ascii="仿宋_GB2312" w:eastAsia="仿宋_GB2312" w:cs="宋体"/>
                <w:szCs w:val="21"/>
              </w:rPr>
              <w:t>、</w:t>
            </w:r>
            <w:r>
              <w:rPr>
                <w:rFonts w:hint="eastAsia" w:ascii="仿宋_GB2312" w:eastAsia="仿宋_GB2312"/>
                <w:szCs w:val="21"/>
              </w:rPr>
              <w:t>DVI</w:t>
            </w:r>
            <w:r>
              <w:rPr>
                <w:rFonts w:hint="eastAsia" w:ascii="仿宋_GB2312" w:eastAsia="仿宋_GB2312" w:cs="宋体"/>
                <w:szCs w:val="21"/>
              </w:rPr>
              <w:t>、</w:t>
            </w:r>
            <w:r>
              <w:rPr>
                <w:rFonts w:hint="eastAsia" w:ascii="仿宋_GB2312" w:eastAsia="仿宋_GB2312"/>
                <w:szCs w:val="21"/>
              </w:rPr>
              <w:t>BNC</w:t>
            </w:r>
            <w:r>
              <w:rPr>
                <w:rFonts w:hint="eastAsia" w:ascii="仿宋_GB2312" w:eastAsia="仿宋_GB2312" w:cs="宋体"/>
                <w:szCs w:val="21"/>
              </w:rPr>
              <w:t>、</w:t>
            </w:r>
            <w:r>
              <w:rPr>
                <w:rFonts w:hint="eastAsia" w:ascii="仿宋_GB2312" w:eastAsia="仿宋_GB2312"/>
                <w:szCs w:val="21"/>
              </w:rPr>
              <w:t>YPbPr</w:t>
            </w:r>
            <w:r>
              <w:rPr>
                <w:rFonts w:hint="eastAsia" w:ascii="仿宋_GB2312" w:eastAsia="仿宋_GB2312" w:cs="宋体"/>
                <w:szCs w:val="21"/>
              </w:rPr>
              <w:t>、</w:t>
            </w:r>
            <w:r>
              <w:rPr>
                <w:rFonts w:hint="eastAsia" w:ascii="仿宋_GB2312" w:eastAsia="仿宋_GB2312"/>
                <w:szCs w:val="21"/>
              </w:rPr>
              <w:t>HDMI</w:t>
            </w:r>
            <w:r>
              <w:rPr>
                <w:rFonts w:hint="eastAsia" w:ascii="仿宋_GB2312" w:eastAsia="仿宋_GB2312" w:cs="宋体"/>
                <w:szCs w:val="21"/>
              </w:rPr>
              <w:t>和</w:t>
            </w:r>
            <w:r>
              <w:rPr>
                <w:rFonts w:hint="eastAsia" w:ascii="仿宋_GB2312" w:eastAsia="仿宋_GB2312"/>
                <w:szCs w:val="21"/>
              </w:rPr>
              <w:t>USB</w:t>
            </w:r>
          </w:p>
          <w:p>
            <w:pPr>
              <w:rPr>
                <w:rFonts w:hint="eastAsia" w:ascii="仿宋_GB2312" w:eastAsia="仿宋_GB2312"/>
                <w:szCs w:val="21"/>
              </w:rPr>
            </w:pPr>
            <w:r>
              <w:rPr>
                <w:rFonts w:hint="eastAsia" w:ascii="仿宋_GB2312" w:eastAsia="仿宋_GB2312" w:cs="宋体"/>
                <w:szCs w:val="21"/>
              </w:rPr>
              <w:t>输出接口有</w:t>
            </w:r>
            <w:r>
              <w:rPr>
                <w:rFonts w:hint="eastAsia" w:ascii="仿宋_GB2312" w:eastAsia="仿宋_GB2312"/>
                <w:szCs w:val="21"/>
              </w:rPr>
              <w:t>VGA</w:t>
            </w:r>
            <w:r>
              <w:rPr>
                <w:rFonts w:hint="eastAsia" w:ascii="仿宋_GB2312" w:eastAsia="仿宋_GB2312" w:cs="宋体"/>
                <w:szCs w:val="21"/>
              </w:rPr>
              <w:t>、</w:t>
            </w:r>
            <w:r>
              <w:rPr>
                <w:rFonts w:hint="eastAsia" w:ascii="仿宋_GB2312" w:eastAsia="仿宋_GB2312"/>
                <w:szCs w:val="21"/>
              </w:rPr>
              <w:t>DVI</w:t>
            </w:r>
            <w:r>
              <w:rPr>
                <w:rFonts w:hint="eastAsia" w:ascii="仿宋_GB2312" w:eastAsia="仿宋_GB2312" w:cs="宋体"/>
                <w:szCs w:val="21"/>
              </w:rPr>
              <w:t>、</w:t>
            </w:r>
            <w:r>
              <w:rPr>
                <w:rFonts w:hint="eastAsia" w:ascii="仿宋_GB2312" w:eastAsia="仿宋_GB2312"/>
                <w:szCs w:val="21"/>
              </w:rPr>
              <w:t>BNC</w:t>
            </w:r>
          </w:p>
          <w:p>
            <w:pPr>
              <w:rPr>
                <w:rFonts w:hint="eastAsia" w:ascii="仿宋_GB2312" w:eastAsia="仿宋_GB2312"/>
                <w:szCs w:val="21"/>
              </w:rPr>
            </w:pPr>
            <w:r>
              <w:rPr>
                <w:rFonts w:hint="eastAsia" w:ascii="仿宋_GB2312" w:eastAsia="仿宋_GB2312" w:cs="宋体"/>
                <w:szCs w:val="21"/>
              </w:rPr>
              <w:t>▲为保证产品具备良好的防护性和稳定性，</w:t>
            </w:r>
            <w:r>
              <w:rPr>
                <w:rFonts w:hint="eastAsia" w:ascii="仿宋_GB2312" w:eastAsia="仿宋_GB2312"/>
                <w:szCs w:val="21"/>
              </w:rPr>
              <w:t>LCD</w:t>
            </w:r>
            <w:r>
              <w:rPr>
                <w:rFonts w:hint="eastAsia" w:ascii="仿宋_GB2312" w:eastAsia="仿宋_GB2312" w:cs="宋体"/>
                <w:szCs w:val="21"/>
              </w:rPr>
              <w:t>显示单元需提供封面首页具有</w:t>
            </w:r>
            <w:r>
              <w:rPr>
                <w:rFonts w:hint="eastAsia" w:ascii="仿宋_GB2312" w:eastAsia="仿宋_GB2312"/>
                <w:szCs w:val="21"/>
              </w:rPr>
              <w:t>CNAS</w:t>
            </w:r>
            <w:r>
              <w:rPr>
                <w:rFonts w:hint="eastAsia" w:ascii="仿宋_GB2312" w:eastAsia="仿宋_GB2312" w:cs="宋体"/>
                <w:szCs w:val="21"/>
              </w:rPr>
              <w:t>标识的盐雾试验、防火、防尘等级</w:t>
            </w:r>
            <w:r>
              <w:rPr>
                <w:rFonts w:hint="eastAsia" w:ascii="仿宋_GB2312" w:eastAsia="仿宋_GB2312"/>
                <w:szCs w:val="21"/>
              </w:rPr>
              <w:t>IP6X</w:t>
            </w:r>
            <w:r>
              <w:rPr>
                <w:rFonts w:hint="eastAsia" w:ascii="仿宋_GB2312" w:eastAsia="仿宋_GB2312" w:cs="宋体"/>
                <w:szCs w:val="21"/>
              </w:rPr>
              <w:t>检测报告复印件。</w:t>
            </w:r>
          </w:p>
          <w:p>
            <w:pPr>
              <w:rPr>
                <w:rFonts w:hint="eastAsia" w:ascii="仿宋_GB2312" w:eastAsia="仿宋_GB2312"/>
                <w:szCs w:val="21"/>
              </w:rPr>
            </w:pPr>
            <w:r>
              <w:rPr>
                <w:rFonts w:hint="eastAsia" w:ascii="仿宋_GB2312" w:eastAsia="仿宋_GB2312" w:cs="宋体"/>
                <w:szCs w:val="21"/>
              </w:rPr>
              <w:t>功耗：≤</w:t>
            </w:r>
            <w:r>
              <w:rPr>
                <w:rFonts w:hint="eastAsia" w:ascii="仿宋_GB2312" w:eastAsia="仿宋_GB2312"/>
                <w:szCs w:val="21"/>
              </w:rPr>
              <w:t>135W</w:t>
            </w:r>
            <w:r>
              <w:rPr>
                <w:rFonts w:hint="eastAsia" w:ascii="仿宋_GB2312" w:eastAsia="仿宋_GB2312" w:cs="宋体"/>
                <w:szCs w:val="21"/>
              </w:rPr>
              <w:t>；</w:t>
            </w:r>
          </w:p>
          <w:p>
            <w:pPr>
              <w:rPr>
                <w:rFonts w:hint="eastAsia" w:ascii="仿宋_GB2312" w:eastAsia="仿宋_GB2312"/>
                <w:szCs w:val="21"/>
              </w:rPr>
            </w:pPr>
            <w:r>
              <w:rPr>
                <w:rFonts w:hint="eastAsia" w:ascii="仿宋_GB2312" w:eastAsia="仿宋_GB2312" w:cs="宋体"/>
                <w:szCs w:val="21"/>
              </w:rPr>
              <w:t>寿命：≥</w:t>
            </w:r>
            <w:r>
              <w:rPr>
                <w:rFonts w:hint="eastAsia" w:ascii="仿宋_GB2312" w:eastAsia="仿宋_GB2312"/>
                <w:szCs w:val="21"/>
              </w:rPr>
              <w:t xml:space="preserve">60000 </w:t>
            </w:r>
            <w:r>
              <w:rPr>
                <w:rFonts w:hint="eastAsia" w:ascii="仿宋_GB2312" w:eastAsia="仿宋_GB2312" w:cs="宋体"/>
                <w:szCs w:val="21"/>
              </w:rPr>
              <w:t>小时；</w:t>
            </w:r>
          </w:p>
          <w:p>
            <w:pPr>
              <w:rPr>
                <w:rFonts w:hint="eastAsia" w:ascii="仿宋_GB2312" w:eastAsia="仿宋_GB2312"/>
                <w:szCs w:val="21"/>
              </w:rPr>
            </w:pPr>
            <w:r>
              <w:rPr>
                <w:rFonts w:hint="eastAsia" w:ascii="仿宋_GB2312" w:eastAsia="仿宋_GB2312" w:cs="宋体"/>
                <w:szCs w:val="21"/>
              </w:rPr>
              <w:t>工作温度和湿度</w:t>
            </w:r>
            <w:r>
              <w:rPr>
                <w:rFonts w:hint="eastAsia" w:ascii="仿宋_GB2312" w:eastAsia="仿宋_GB2312"/>
                <w:szCs w:val="21"/>
              </w:rPr>
              <w:t>0</w:t>
            </w:r>
            <w:r>
              <w:rPr>
                <w:rFonts w:hint="eastAsia" w:ascii="仿宋_GB2312" w:eastAsia="仿宋_GB2312" w:cs="宋体"/>
                <w:szCs w:val="21"/>
              </w:rPr>
              <w:t>℃</w:t>
            </w:r>
            <w:r>
              <w:rPr>
                <w:rFonts w:hint="eastAsia" w:ascii="仿宋_GB2312" w:eastAsia="仿宋_GB2312"/>
                <w:szCs w:val="21"/>
              </w:rPr>
              <w:t>--50</w:t>
            </w:r>
            <w:r>
              <w:rPr>
                <w:rFonts w:hint="eastAsia" w:ascii="仿宋_GB2312" w:eastAsia="仿宋_GB2312" w:cs="宋体"/>
                <w:szCs w:val="21"/>
              </w:rPr>
              <w:t>℃：</w:t>
            </w:r>
            <w:r>
              <w:rPr>
                <w:rFonts w:hint="eastAsia" w:ascii="仿宋_GB2312" w:eastAsia="仿宋_GB2312"/>
                <w:szCs w:val="21"/>
              </w:rPr>
              <w:t>10%--90%</w:t>
            </w:r>
            <w:r>
              <w:rPr>
                <w:rFonts w:hint="eastAsia" w:ascii="仿宋_GB2312" w:eastAsia="仿宋_GB2312" w:cs="宋体"/>
                <w:szCs w:val="21"/>
              </w:rPr>
              <w:t>（无凝露）；</w:t>
            </w:r>
          </w:p>
          <w:p>
            <w:pPr>
              <w:rPr>
                <w:rFonts w:hint="eastAsia" w:ascii="仿宋_GB2312" w:eastAsia="仿宋_GB2312"/>
                <w:szCs w:val="21"/>
              </w:rPr>
            </w:pPr>
            <w:r>
              <w:rPr>
                <w:rFonts w:hint="eastAsia" w:ascii="仿宋_GB2312" w:eastAsia="仿宋_GB2312" w:cs="宋体"/>
                <w:szCs w:val="21"/>
              </w:rPr>
              <w:t>边框宽度左</w:t>
            </w:r>
            <w:r>
              <w:rPr>
                <w:rFonts w:hint="eastAsia" w:ascii="仿宋_GB2312" w:eastAsia="仿宋_GB2312"/>
                <w:szCs w:val="21"/>
              </w:rPr>
              <w:t>/</w:t>
            </w:r>
            <w:r>
              <w:rPr>
                <w:rFonts w:hint="eastAsia" w:ascii="仿宋_GB2312" w:eastAsia="仿宋_GB2312" w:cs="宋体"/>
                <w:szCs w:val="21"/>
              </w:rPr>
              <w:t>上</w:t>
            </w:r>
            <w:r>
              <w:rPr>
                <w:rFonts w:hint="eastAsia" w:ascii="仿宋_GB2312" w:hAnsi="宋体" w:eastAsia="仿宋_GB2312" w:cs="宋体"/>
                <w:szCs w:val="21"/>
              </w:rPr>
              <w:t>≤</w:t>
            </w:r>
            <w:r>
              <w:rPr>
                <w:rFonts w:hint="eastAsia" w:ascii="仿宋_GB2312" w:eastAsia="仿宋_GB2312"/>
                <w:szCs w:val="21"/>
              </w:rPr>
              <w:t xml:space="preserve">2.3mm, </w:t>
            </w:r>
            <w:r>
              <w:rPr>
                <w:rFonts w:hint="eastAsia" w:ascii="仿宋_GB2312" w:eastAsia="仿宋_GB2312" w:cs="宋体"/>
                <w:szCs w:val="21"/>
              </w:rPr>
              <w:t>右</w:t>
            </w:r>
            <w:r>
              <w:rPr>
                <w:rFonts w:hint="eastAsia" w:ascii="仿宋_GB2312" w:eastAsia="仿宋_GB2312"/>
                <w:szCs w:val="21"/>
              </w:rPr>
              <w:t>/</w:t>
            </w:r>
            <w:r>
              <w:rPr>
                <w:rFonts w:hint="eastAsia" w:ascii="仿宋_GB2312" w:eastAsia="仿宋_GB2312" w:cs="宋体"/>
                <w:szCs w:val="21"/>
              </w:rPr>
              <w:t>下</w:t>
            </w:r>
            <w:r>
              <w:rPr>
                <w:rFonts w:hint="eastAsia" w:ascii="仿宋_GB2312" w:hAnsi="宋体" w:eastAsia="仿宋_GB2312" w:cs="宋体"/>
                <w:szCs w:val="21"/>
              </w:rPr>
              <w:t>≤</w:t>
            </w:r>
            <w:r>
              <w:rPr>
                <w:rFonts w:hint="eastAsia" w:ascii="仿宋_GB2312" w:eastAsia="仿宋_GB2312"/>
                <w:szCs w:val="21"/>
              </w:rPr>
              <w:t>1.2mm</w:t>
            </w:r>
          </w:p>
          <w:p>
            <w:pPr>
              <w:rPr>
                <w:rFonts w:hint="eastAsia" w:ascii="仿宋_GB2312" w:eastAsia="仿宋_GB2312"/>
                <w:kern w:val="0"/>
                <w:szCs w:val="21"/>
              </w:rPr>
            </w:pPr>
            <w:r>
              <w:rPr>
                <w:rFonts w:hint="eastAsia" w:ascii="仿宋_GB2312" w:eastAsia="仿宋_GB2312" w:cs="宋体"/>
                <w:szCs w:val="21"/>
              </w:rPr>
              <w:t>具有节能功能。可以实现拼接单元的自动变频节能功能。打开“节能模式”时，对应拼接单元上会依次显示实时百分比功率、实时功率、累计功率、节能减排等直观显示项目。显示单元支持定时屏保和开启。背光手动控制功能，可以手动调节背光</w:t>
            </w:r>
            <w:r>
              <w:rPr>
                <w:rFonts w:hint="eastAsia" w:ascii="仿宋_GB2312" w:eastAsia="仿宋_GB2312"/>
                <w:szCs w:val="21"/>
              </w:rPr>
              <w:t>;</w:t>
            </w:r>
            <w:r>
              <w:rPr>
                <w:rFonts w:hint="eastAsia" w:ascii="仿宋_GB2312" w:eastAsia="仿宋_GB2312" w:cs="宋体"/>
                <w:szCs w:val="21"/>
              </w:rPr>
              <w:t>支持一键开启或关闭背光功能，实现节能环保效果。</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台</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8</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2</w:t>
            </w:r>
          </w:p>
        </w:tc>
        <w:tc>
          <w:tcPr>
            <w:tcW w:w="1265"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拼接大屏支架</w:t>
            </w:r>
          </w:p>
        </w:tc>
        <w:tc>
          <w:tcPr>
            <w:tcW w:w="5640" w:type="dxa"/>
            <w:tcBorders>
              <w:top w:val="nil"/>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2*4一体化支架，按实际需求，根据监控室现场进行定制</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套</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1</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3</w:t>
            </w:r>
          </w:p>
        </w:tc>
        <w:tc>
          <w:tcPr>
            <w:tcW w:w="1265"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视频综合平台</w:t>
            </w:r>
          </w:p>
        </w:tc>
        <w:tc>
          <w:tcPr>
            <w:tcW w:w="5640" w:type="dxa"/>
            <w:tcBorders>
              <w:top w:val="nil"/>
              <w:left w:val="nil"/>
              <w:bottom w:val="single" w:color="auto" w:sz="4" w:space="0"/>
              <w:right w:val="single" w:color="auto" w:sz="4" w:space="0"/>
            </w:tcBorders>
            <w:noWrap w:val="0"/>
            <w:vAlign w:val="center"/>
          </w:tcPr>
          <w:p>
            <w:pPr>
              <w:rPr>
                <w:rFonts w:hint="eastAsia" w:ascii="仿宋_GB2312" w:eastAsia="仿宋_GB2312"/>
                <w:szCs w:val="21"/>
              </w:rPr>
            </w:pPr>
            <w:r>
              <w:rPr>
                <w:rFonts w:hint="eastAsia" w:ascii="仿宋_GB2312" w:eastAsia="仿宋_GB2312" w:cs="宋体"/>
                <w:szCs w:val="21"/>
              </w:rPr>
              <w:t>框架式结构，采用无源背板，机箱</w:t>
            </w:r>
            <w:r>
              <w:rPr>
                <w:rFonts w:hint="eastAsia" w:ascii="仿宋_GB2312" w:hAnsi="宋体" w:eastAsia="仿宋_GB2312" w:cs="宋体"/>
                <w:szCs w:val="21"/>
              </w:rPr>
              <w:t>≥</w:t>
            </w:r>
            <w:r>
              <w:rPr>
                <w:rFonts w:hint="eastAsia" w:ascii="仿宋_GB2312" w:eastAsia="仿宋_GB2312"/>
                <w:szCs w:val="21"/>
              </w:rPr>
              <w:t>13</w:t>
            </w:r>
            <w:r>
              <w:rPr>
                <w:rFonts w:hint="eastAsia" w:ascii="仿宋_GB2312" w:eastAsia="仿宋_GB2312" w:cs="宋体"/>
                <w:szCs w:val="21"/>
              </w:rPr>
              <w:t>个板卡插槽。</w:t>
            </w:r>
          </w:p>
          <w:p>
            <w:pPr>
              <w:rPr>
                <w:rFonts w:hint="eastAsia" w:ascii="仿宋_GB2312" w:eastAsia="仿宋_GB2312"/>
                <w:szCs w:val="21"/>
              </w:rPr>
            </w:pPr>
            <w:r>
              <w:rPr>
                <w:rFonts w:hint="eastAsia" w:ascii="仿宋_GB2312" w:eastAsia="仿宋_GB2312" w:cs="宋体"/>
                <w:szCs w:val="21"/>
              </w:rPr>
              <w:t>支持视频输入通道参数设置功能，可对单个视频输入通道进行分辨率、帧率、码率、亮度、对比度、饱和度、色调、去噪等参数设置，图像显示模式可设定标准、室内、室外、弱光等显示模式进行设置。</w:t>
            </w:r>
          </w:p>
          <w:p>
            <w:pPr>
              <w:rPr>
                <w:rFonts w:hint="eastAsia" w:ascii="仿宋_GB2312" w:eastAsia="仿宋_GB2312"/>
                <w:szCs w:val="21"/>
              </w:rPr>
            </w:pPr>
            <w:r>
              <w:rPr>
                <w:rFonts w:hint="eastAsia" w:ascii="仿宋_GB2312" w:eastAsia="仿宋_GB2312" w:cs="宋体"/>
                <w:szCs w:val="21"/>
              </w:rPr>
              <w:t>有三码流编码功能：样机支持主码流、子码流、第三码流编码输出功能。</w:t>
            </w:r>
          </w:p>
          <w:p>
            <w:pPr>
              <w:rPr>
                <w:rFonts w:hint="eastAsia" w:ascii="仿宋_GB2312" w:eastAsia="仿宋_GB2312"/>
                <w:szCs w:val="21"/>
              </w:rPr>
            </w:pPr>
            <w:r>
              <w:rPr>
                <w:rFonts w:hint="eastAsia" w:ascii="仿宋_GB2312" w:eastAsia="仿宋_GB2312" w:cs="宋体"/>
                <w:szCs w:val="21"/>
              </w:rPr>
              <w:t>支持双主控切换过程，编码显示视频无卡顿，编码预览视频无卡顿。。</w:t>
            </w:r>
          </w:p>
          <w:p>
            <w:pPr>
              <w:rPr>
                <w:rFonts w:hint="eastAsia" w:ascii="仿宋_GB2312" w:eastAsia="仿宋_GB2312"/>
                <w:szCs w:val="21"/>
              </w:rPr>
            </w:pPr>
            <w:r>
              <w:rPr>
                <w:rFonts w:hint="eastAsia" w:ascii="仿宋_GB2312" w:eastAsia="仿宋_GB2312" w:cs="宋体"/>
                <w:szCs w:val="21"/>
              </w:rPr>
              <w:t>支持显示预案功能，可将样机的视频输出状态保存为场景，可设置多个场景并可对每个场景进行配置、清空、复制、修改、切换等操作，可实现多个场景轮巡切换、（预案）轮巡。</w:t>
            </w:r>
          </w:p>
          <w:p>
            <w:pPr>
              <w:rPr>
                <w:rFonts w:hint="eastAsia" w:ascii="仿宋_GB2312" w:eastAsia="仿宋_GB2312"/>
                <w:szCs w:val="21"/>
              </w:rPr>
            </w:pPr>
            <w:r>
              <w:rPr>
                <w:rFonts w:hint="eastAsia" w:ascii="仿宋_GB2312" w:eastAsia="仿宋_GB2312" w:cs="宋体"/>
                <w:szCs w:val="21"/>
              </w:rPr>
              <w:t>支持</w:t>
            </w:r>
            <w:r>
              <w:rPr>
                <w:rFonts w:hint="eastAsia" w:ascii="仿宋_GB2312" w:eastAsia="仿宋_GB2312"/>
                <w:szCs w:val="21"/>
              </w:rPr>
              <w:t>128</w:t>
            </w:r>
            <w:r>
              <w:rPr>
                <w:rFonts w:hint="eastAsia" w:ascii="仿宋_GB2312" w:eastAsia="仿宋_GB2312" w:cs="宋体"/>
                <w:szCs w:val="21"/>
              </w:rPr>
              <w:t>个漫游窗口叠加，支持窗口置顶或置底设置。</w:t>
            </w:r>
          </w:p>
          <w:p>
            <w:pPr>
              <w:rPr>
                <w:rFonts w:hint="eastAsia" w:ascii="仿宋_GB2312" w:eastAsia="仿宋_GB2312"/>
                <w:szCs w:val="21"/>
              </w:rPr>
            </w:pPr>
            <w:r>
              <w:rPr>
                <w:rFonts w:hint="eastAsia" w:ascii="仿宋_GB2312" w:eastAsia="仿宋_GB2312" w:cs="宋体"/>
                <w:szCs w:val="21"/>
              </w:rPr>
              <w:t>投标产品支持</w:t>
            </w:r>
            <w:r>
              <w:rPr>
                <w:rFonts w:hint="eastAsia" w:ascii="仿宋_GB2312" w:eastAsia="仿宋_GB2312"/>
                <w:szCs w:val="21"/>
              </w:rPr>
              <w:t>1</w:t>
            </w:r>
            <w:r>
              <w:rPr>
                <w:rFonts w:hint="eastAsia" w:ascii="仿宋_GB2312" w:eastAsia="仿宋_GB2312" w:cs="宋体"/>
                <w:szCs w:val="21"/>
              </w:rPr>
              <w:t>、</w:t>
            </w:r>
            <w:r>
              <w:rPr>
                <w:rFonts w:hint="eastAsia" w:ascii="仿宋_GB2312" w:eastAsia="仿宋_GB2312"/>
                <w:szCs w:val="21"/>
              </w:rPr>
              <w:t>2</w:t>
            </w:r>
            <w:r>
              <w:rPr>
                <w:rFonts w:hint="eastAsia" w:ascii="仿宋_GB2312" w:eastAsia="仿宋_GB2312" w:cs="宋体"/>
                <w:szCs w:val="21"/>
              </w:rPr>
              <w:t>、</w:t>
            </w:r>
            <w:r>
              <w:rPr>
                <w:rFonts w:hint="eastAsia" w:ascii="仿宋_GB2312" w:eastAsia="仿宋_GB2312"/>
                <w:szCs w:val="21"/>
              </w:rPr>
              <w:t>4</w:t>
            </w:r>
            <w:r>
              <w:rPr>
                <w:rFonts w:hint="eastAsia" w:ascii="仿宋_GB2312" w:eastAsia="仿宋_GB2312" w:cs="宋体"/>
                <w:szCs w:val="21"/>
              </w:rPr>
              <w:t>、</w:t>
            </w:r>
            <w:r>
              <w:rPr>
                <w:rFonts w:hint="eastAsia" w:ascii="仿宋_GB2312" w:eastAsia="仿宋_GB2312"/>
                <w:szCs w:val="21"/>
              </w:rPr>
              <w:t>6</w:t>
            </w:r>
            <w:r>
              <w:rPr>
                <w:rFonts w:hint="eastAsia" w:ascii="仿宋_GB2312" w:eastAsia="仿宋_GB2312" w:cs="宋体"/>
                <w:szCs w:val="21"/>
              </w:rPr>
              <w:t>、</w:t>
            </w:r>
            <w:r>
              <w:rPr>
                <w:rFonts w:hint="eastAsia" w:ascii="仿宋_GB2312" w:eastAsia="仿宋_GB2312"/>
                <w:szCs w:val="21"/>
              </w:rPr>
              <w:t>8</w:t>
            </w:r>
            <w:r>
              <w:rPr>
                <w:rFonts w:hint="eastAsia" w:ascii="仿宋_GB2312" w:eastAsia="仿宋_GB2312" w:cs="宋体"/>
                <w:szCs w:val="21"/>
              </w:rPr>
              <w:t>、</w:t>
            </w:r>
            <w:r>
              <w:rPr>
                <w:rFonts w:hint="eastAsia" w:ascii="仿宋_GB2312" w:eastAsia="仿宋_GB2312"/>
                <w:szCs w:val="21"/>
              </w:rPr>
              <w:t>9</w:t>
            </w:r>
            <w:r>
              <w:rPr>
                <w:rFonts w:hint="eastAsia" w:ascii="仿宋_GB2312" w:eastAsia="仿宋_GB2312" w:cs="宋体"/>
                <w:szCs w:val="21"/>
              </w:rPr>
              <w:t>、</w:t>
            </w:r>
            <w:r>
              <w:rPr>
                <w:rFonts w:hint="eastAsia" w:ascii="仿宋_GB2312" w:eastAsia="仿宋_GB2312"/>
                <w:szCs w:val="21"/>
              </w:rPr>
              <w:t>12</w:t>
            </w:r>
            <w:r>
              <w:rPr>
                <w:rFonts w:hint="eastAsia" w:ascii="仿宋_GB2312" w:eastAsia="仿宋_GB2312" w:cs="宋体"/>
                <w:szCs w:val="21"/>
              </w:rPr>
              <w:t>、</w:t>
            </w:r>
            <w:r>
              <w:rPr>
                <w:rFonts w:hint="eastAsia" w:ascii="仿宋_GB2312" w:eastAsia="仿宋_GB2312"/>
                <w:szCs w:val="21"/>
              </w:rPr>
              <w:t>16</w:t>
            </w:r>
            <w:r>
              <w:rPr>
                <w:rFonts w:hint="eastAsia" w:ascii="仿宋_GB2312" w:eastAsia="仿宋_GB2312" w:cs="宋体"/>
                <w:szCs w:val="21"/>
              </w:rPr>
              <w:t>、</w:t>
            </w:r>
            <w:r>
              <w:rPr>
                <w:rFonts w:hint="eastAsia" w:ascii="仿宋_GB2312" w:eastAsia="仿宋_GB2312"/>
                <w:szCs w:val="21"/>
              </w:rPr>
              <w:t>32</w:t>
            </w:r>
            <w:r>
              <w:rPr>
                <w:rFonts w:hint="eastAsia" w:ascii="仿宋_GB2312" w:eastAsia="仿宋_GB2312" w:cs="宋体"/>
                <w:szCs w:val="21"/>
              </w:rPr>
              <w:t>、</w:t>
            </w:r>
            <w:r>
              <w:rPr>
                <w:rFonts w:hint="eastAsia" w:ascii="仿宋_GB2312" w:eastAsia="仿宋_GB2312"/>
                <w:szCs w:val="21"/>
              </w:rPr>
              <w:t>36</w:t>
            </w:r>
            <w:r>
              <w:rPr>
                <w:rFonts w:hint="eastAsia" w:ascii="仿宋_GB2312" w:eastAsia="仿宋_GB2312" w:cs="宋体"/>
                <w:szCs w:val="21"/>
              </w:rPr>
              <w:t>、</w:t>
            </w:r>
            <w:r>
              <w:rPr>
                <w:rFonts w:hint="eastAsia" w:ascii="仿宋_GB2312" w:eastAsia="仿宋_GB2312"/>
                <w:szCs w:val="21"/>
              </w:rPr>
              <w:t>48</w:t>
            </w:r>
            <w:r>
              <w:rPr>
                <w:rFonts w:hint="eastAsia" w:ascii="仿宋_GB2312" w:eastAsia="仿宋_GB2312" w:cs="宋体"/>
                <w:szCs w:val="21"/>
              </w:rPr>
              <w:t>、</w:t>
            </w:r>
            <w:r>
              <w:rPr>
                <w:rFonts w:hint="eastAsia" w:ascii="仿宋_GB2312" w:eastAsia="仿宋_GB2312"/>
                <w:szCs w:val="21"/>
              </w:rPr>
              <w:t>64</w:t>
            </w:r>
            <w:r>
              <w:rPr>
                <w:rFonts w:hint="eastAsia" w:ascii="仿宋_GB2312" w:eastAsia="仿宋_GB2312" w:cs="宋体"/>
                <w:szCs w:val="21"/>
              </w:rPr>
              <w:t>画面分割显示。</w:t>
            </w:r>
          </w:p>
          <w:p>
            <w:pPr>
              <w:rPr>
                <w:rFonts w:hint="eastAsia" w:ascii="仿宋_GB2312" w:eastAsia="仿宋_GB2312"/>
                <w:szCs w:val="21"/>
              </w:rPr>
            </w:pPr>
            <w:r>
              <w:rPr>
                <w:rFonts w:hint="eastAsia" w:ascii="仿宋_GB2312" w:eastAsia="仿宋_GB2312" w:cs="宋体"/>
                <w:szCs w:val="21"/>
              </w:rPr>
              <w:t>标产品对录像文件解码延时≤</w:t>
            </w:r>
            <w:r>
              <w:rPr>
                <w:rFonts w:hint="eastAsia" w:ascii="仿宋_GB2312" w:eastAsia="仿宋_GB2312"/>
                <w:szCs w:val="21"/>
              </w:rPr>
              <w:t>110ms</w:t>
            </w:r>
            <w:r>
              <w:rPr>
                <w:rFonts w:hint="eastAsia" w:ascii="仿宋_GB2312" w:eastAsia="仿宋_GB2312" w:cs="宋体"/>
                <w:szCs w:val="21"/>
              </w:rPr>
              <w:t>。</w:t>
            </w:r>
          </w:p>
          <w:p>
            <w:pPr>
              <w:rPr>
                <w:rFonts w:hint="eastAsia" w:ascii="仿宋_GB2312" w:eastAsia="仿宋_GB2312"/>
                <w:szCs w:val="21"/>
              </w:rPr>
            </w:pPr>
            <w:r>
              <w:rPr>
                <w:rFonts w:hint="eastAsia" w:ascii="仿宋_GB2312" w:eastAsia="仿宋_GB2312" w:cs="宋体"/>
                <w:szCs w:val="21"/>
              </w:rPr>
              <w:t>支持</w:t>
            </w:r>
            <w:r>
              <w:rPr>
                <w:rFonts w:hint="eastAsia" w:ascii="仿宋_GB2312" w:eastAsia="仿宋_GB2312"/>
                <w:szCs w:val="21"/>
              </w:rPr>
              <w:t>4K</w:t>
            </w:r>
            <w:r>
              <w:rPr>
                <w:rFonts w:hint="eastAsia" w:ascii="仿宋_GB2312" w:eastAsia="仿宋_GB2312" w:cs="宋体"/>
                <w:szCs w:val="21"/>
              </w:rPr>
              <w:t>输出板最大分辨率为</w:t>
            </w:r>
            <w:r>
              <w:rPr>
                <w:rFonts w:hint="eastAsia" w:ascii="仿宋_GB2312" w:eastAsia="仿宋_GB2312"/>
                <w:szCs w:val="21"/>
              </w:rPr>
              <w:t>4096</w:t>
            </w:r>
            <w:r>
              <w:rPr>
                <w:rFonts w:hint="eastAsia" w:ascii="仿宋_GB2312" w:eastAsia="仿宋_GB2312" w:cs="宋体"/>
                <w:szCs w:val="21"/>
              </w:rPr>
              <w:t>×</w:t>
            </w:r>
            <w:r>
              <w:rPr>
                <w:rFonts w:hint="eastAsia" w:ascii="仿宋_GB2312" w:eastAsia="仿宋_GB2312"/>
                <w:szCs w:val="21"/>
              </w:rPr>
              <w:t>2160</w:t>
            </w:r>
            <w:r>
              <w:rPr>
                <w:rFonts w:hint="eastAsia" w:ascii="仿宋_GB2312" w:eastAsia="仿宋_GB2312" w:cs="宋体"/>
                <w:szCs w:val="21"/>
              </w:rPr>
              <w:t>，其它板卡支持至少</w:t>
            </w:r>
            <w:r>
              <w:rPr>
                <w:rFonts w:hint="eastAsia" w:ascii="仿宋_GB2312" w:eastAsia="仿宋_GB2312"/>
                <w:szCs w:val="21"/>
              </w:rPr>
              <w:t>8</w:t>
            </w:r>
            <w:r>
              <w:rPr>
                <w:rFonts w:hint="eastAsia" w:ascii="仿宋_GB2312" w:eastAsia="仿宋_GB2312" w:cs="宋体"/>
                <w:szCs w:val="21"/>
              </w:rPr>
              <w:t>中分辨率输出</w:t>
            </w:r>
            <w:r>
              <w:rPr>
                <w:rFonts w:hint="eastAsia" w:ascii="仿宋_GB2312" w:eastAsia="仿宋_GB2312"/>
                <w:szCs w:val="21"/>
              </w:rPr>
              <w:t>1920</w:t>
            </w:r>
            <w:r>
              <w:rPr>
                <w:rFonts w:hint="eastAsia" w:ascii="仿宋_GB2312" w:eastAsia="仿宋_GB2312" w:cs="宋体"/>
                <w:szCs w:val="21"/>
              </w:rPr>
              <w:t>×</w:t>
            </w:r>
            <w:r>
              <w:rPr>
                <w:rFonts w:hint="eastAsia" w:ascii="仿宋_GB2312" w:eastAsia="仿宋_GB2312"/>
                <w:szCs w:val="21"/>
              </w:rPr>
              <w:t>1080</w:t>
            </w:r>
            <w:r>
              <w:rPr>
                <w:rFonts w:hint="eastAsia" w:ascii="仿宋_GB2312" w:eastAsia="仿宋_GB2312" w:cs="宋体"/>
                <w:szCs w:val="21"/>
              </w:rPr>
              <w:t>、</w:t>
            </w:r>
            <w:r>
              <w:rPr>
                <w:rFonts w:hint="eastAsia" w:ascii="仿宋_GB2312" w:eastAsia="仿宋_GB2312"/>
                <w:szCs w:val="21"/>
              </w:rPr>
              <w:t>1680</w:t>
            </w:r>
            <w:r>
              <w:rPr>
                <w:rFonts w:hint="eastAsia" w:ascii="仿宋_GB2312" w:eastAsia="仿宋_GB2312" w:cs="宋体"/>
                <w:szCs w:val="21"/>
              </w:rPr>
              <w:t>×</w:t>
            </w:r>
            <w:r>
              <w:rPr>
                <w:rFonts w:hint="eastAsia" w:ascii="仿宋_GB2312" w:eastAsia="仿宋_GB2312"/>
                <w:szCs w:val="21"/>
              </w:rPr>
              <w:t>1050</w:t>
            </w:r>
            <w:r>
              <w:rPr>
                <w:rFonts w:hint="eastAsia" w:ascii="仿宋_GB2312" w:eastAsia="仿宋_GB2312" w:cs="宋体"/>
                <w:szCs w:val="21"/>
              </w:rPr>
              <w:t>、</w:t>
            </w:r>
            <w:r>
              <w:rPr>
                <w:rFonts w:hint="eastAsia" w:ascii="仿宋_GB2312" w:eastAsia="仿宋_GB2312"/>
                <w:szCs w:val="21"/>
              </w:rPr>
              <w:t>1600</w:t>
            </w:r>
            <w:r>
              <w:rPr>
                <w:rFonts w:hint="eastAsia" w:ascii="仿宋_GB2312" w:eastAsia="仿宋_GB2312" w:cs="宋体"/>
                <w:szCs w:val="21"/>
              </w:rPr>
              <w:t>×</w:t>
            </w:r>
            <w:r>
              <w:rPr>
                <w:rFonts w:hint="eastAsia" w:ascii="仿宋_GB2312" w:eastAsia="仿宋_GB2312"/>
                <w:szCs w:val="21"/>
              </w:rPr>
              <w:t>1200</w:t>
            </w:r>
            <w:r>
              <w:rPr>
                <w:rFonts w:hint="eastAsia" w:ascii="仿宋_GB2312" w:eastAsia="仿宋_GB2312" w:cs="宋体"/>
                <w:szCs w:val="21"/>
              </w:rPr>
              <w:t>、</w:t>
            </w:r>
            <w:r>
              <w:rPr>
                <w:rFonts w:hint="eastAsia" w:ascii="仿宋_GB2312" w:eastAsia="仿宋_GB2312"/>
                <w:szCs w:val="21"/>
              </w:rPr>
              <w:t>1400</w:t>
            </w:r>
            <w:r>
              <w:rPr>
                <w:rFonts w:hint="eastAsia" w:ascii="仿宋_GB2312" w:eastAsia="仿宋_GB2312" w:cs="宋体"/>
                <w:szCs w:val="21"/>
              </w:rPr>
              <w:t>×</w:t>
            </w:r>
            <w:r>
              <w:rPr>
                <w:rFonts w:hint="eastAsia" w:ascii="仿宋_GB2312" w:eastAsia="仿宋_GB2312"/>
                <w:szCs w:val="21"/>
              </w:rPr>
              <w:t>1050</w:t>
            </w:r>
            <w:r>
              <w:rPr>
                <w:rFonts w:hint="eastAsia" w:ascii="仿宋_GB2312" w:eastAsia="仿宋_GB2312" w:cs="宋体"/>
                <w:szCs w:val="21"/>
              </w:rPr>
              <w:t>、</w:t>
            </w:r>
            <w:r>
              <w:rPr>
                <w:rFonts w:hint="eastAsia" w:ascii="仿宋_GB2312" w:eastAsia="仿宋_GB2312"/>
                <w:szCs w:val="21"/>
              </w:rPr>
              <w:t>1280</w:t>
            </w:r>
            <w:r>
              <w:rPr>
                <w:rFonts w:hint="eastAsia" w:ascii="仿宋_GB2312" w:eastAsia="仿宋_GB2312" w:cs="宋体"/>
                <w:szCs w:val="21"/>
              </w:rPr>
              <w:t>×</w:t>
            </w:r>
            <w:r>
              <w:rPr>
                <w:rFonts w:hint="eastAsia" w:ascii="仿宋_GB2312" w:eastAsia="仿宋_GB2312"/>
                <w:szCs w:val="21"/>
              </w:rPr>
              <w:t>1024</w:t>
            </w:r>
            <w:r>
              <w:rPr>
                <w:rFonts w:hint="eastAsia" w:ascii="仿宋_GB2312" w:eastAsia="仿宋_GB2312" w:cs="宋体"/>
                <w:szCs w:val="21"/>
              </w:rPr>
              <w:t>、</w:t>
            </w:r>
            <w:r>
              <w:rPr>
                <w:rFonts w:hint="eastAsia" w:ascii="仿宋_GB2312" w:eastAsia="仿宋_GB2312"/>
                <w:szCs w:val="21"/>
              </w:rPr>
              <w:t>1280</w:t>
            </w:r>
            <w:r>
              <w:rPr>
                <w:rFonts w:hint="eastAsia" w:ascii="仿宋_GB2312" w:eastAsia="仿宋_GB2312" w:cs="宋体"/>
                <w:szCs w:val="21"/>
              </w:rPr>
              <w:t>×</w:t>
            </w:r>
            <w:r>
              <w:rPr>
                <w:rFonts w:hint="eastAsia" w:ascii="仿宋_GB2312" w:eastAsia="仿宋_GB2312"/>
                <w:szCs w:val="21"/>
              </w:rPr>
              <w:t>960</w:t>
            </w:r>
            <w:r>
              <w:rPr>
                <w:rFonts w:hint="eastAsia" w:ascii="仿宋_GB2312" w:eastAsia="仿宋_GB2312" w:cs="宋体"/>
                <w:szCs w:val="21"/>
              </w:rPr>
              <w:t>、</w:t>
            </w:r>
            <w:r>
              <w:rPr>
                <w:rFonts w:hint="eastAsia" w:ascii="仿宋_GB2312" w:eastAsia="仿宋_GB2312"/>
                <w:szCs w:val="21"/>
              </w:rPr>
              <w:t>1280</w:t>
            </w:r>
            <w:r>
              <w:rPr>
                <w:rFonts w:hint="eastAsia" w:ascii="仿宋_GB2312" w:eastAsia="仿宋_GB2312" w:cs="宋体"/>
                <w:szCs w:val="21"/>
              </w:rPr>
              <w:t>×</w:t>
            </w:r>
            <w:r>
              <w:rPr>
                <w:rFonts w:hint="eastAsia" w:ascii="仿宋_GB2312" w:eastAsia="仿宋_GB2312"/>
                <w:szCs w:val="21"/>
              </w:rPr>
              <w:t>720</w:t>
            </w:r>
            <w:r>
              <w:rPr>
                <w:rFonts w:hint="eastAsia" w:ascii="仿宋_GB2312" w:eastAsia="仿宋_GB2312" w:cs="宋体"/>
                <w:szCs w:val="21"/>
              </w:rPr>
              <w:t>、</w:t>
            </w:r>
            <w:r>
              <w:rPr>
                <w:rFonts w:hint="eastAsia" w:ascii="仿宋_GB2312" w:eastAsia="仿宋_GB2312"/>
                <w:szCs w:val="21"/>
              </w:rPr>
              <w:t>1024</w:t>
            </w:r>
            <w:r>
              <w:rPr>
                <w:rFonts w:hint="eastAsia" w:ascii="仿宋_GB2312" w:eastAsia="仿宋_GB2312" w:cs="宋体"/>
                <w:szCs w:val="21"/>
              </w:rPr>
              <w:t>×</w:t>
            </w:r>
            <w:r>
              <w:rPr>
                <w:rFonts w:hint="eastAsia" w:ascii="仿宋_GB2312" w:eastAsia="仿宋_GB2312"/>
                <w:szCs w:val="21"/>
              </w:rPr>
              <w:t>768</w:t>
            </w:r>
            <w:r>
              <w:rPr>
                <w:rFonts w:hint="eastAsia" w:ascii="仿宋_GB2312" w:eastAsia="仿宋_GB2312" w:cs="宋体"/>
                <w:szCs w:val="21"/>
              </w:rPr>
              <w:t>。</w:t>
            </w:r>
          </w:p>
          <w:p>
            <w:pPr>
              <w:rPr>
                <w:rFonts w:hint="eastAsia" w:ascii="仿宋_GB2312" w:eastAsia="仿宋_GB2312"/>
                <w:szCs w:val="21"/>
              </w:rPr>
            </w:pPr>
            <w:r>
              <w:rPr>
                <w:rFonts w:hint="eastAsia" w:ascii="仿宋_GB2312" w:eastAsia="仿宋_GB2312" w:cs="宋体"/>
                <w:szCs w:val="21"/>
              </w:rPr>
              <w:t>可通过无线终端将视音频、图片、</w:t>
            </w:r>
            <w:r>
              <w:rPr>
                <w:rFonts w:hint="eastAsia" w:ascii="仿宋_GB2312" w:eastAsia="仿宋_GB2312"/>
                <w:szCs w:val="21"/>
              </w:rPr>
              <w:t>PPT</w:t>
            </w:r>
            <w:r>
              <w:rPr>
                <w:rFonts w:hint="eastAsia" w:ascii="仿宋_GB2312" w:eastAsia="仿宋_GB2312" w:cs="宋体"/>
                <w:szCs w:val="21"/>
              </w:rPr>
              <w:t>等传送到屏幕上显示。</w:t>
            </w:r>
          </w:p>
          <w:p>
            <w:pPr>
              <w:rPr>
                <w:rFonts w:hint="eastAsia" w:ascii="仿宋_GB2312" w:eastAsia="仿宋_GB2312"/>
                <w:kern w:val="0"/>
                <w:szCs w:val="21"/>
              </w:rPr>
            </w:pPr>
            <w:r>
              <w:rPr>
                <w:rFonts w:hint="eastAsia" w:ascii="仿宋_GB2312" w:eastAsia="仿宋_GB2312" w:cs="宋体"/>
                <w:szCs w:val="21"/>
              </w:rPr>
              <w:t>采用嵌入式非</w:t>
            </w:r>
            <w:r>
              <w:rPr>
                <w:rFonts w:hint="eastAsia" w:ascii="仿宋_GB2312" w:eastAsia="仿宋_GB2312"/>
                <w:szCs w:val="21"/>
              </w:rPr>
              <w:t>X86</w:t>
            </w:r>
            <w:r>
              <w:rPr>
                <w:rFonts w:hint="eastAsia" w:ascii="仿宋_GB2312" w:eastAsia="仿宋_GB2312" w:cs="宋体"/>
                <w:szCs w:val="21"/>
              </w:rPr>
              <w:t>架构，并提供产品主控板照片</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台</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1</w:t>
            </w:r>
          </w:p>
        </w:tc>
      </w:tr>
      <w:tr>
        <w:tblPrEx>
          <w:tblCellMar>
            <w:top w:w="0" w:type="dxa"/>
            <w:left w:w="108" w:type="dxa"/>
            <w:bottom w:w="0" w:type="dxa"/>
            <w:right w:w="108" w:type="dxa"/>
          </w:tblCellMar>
        </w:tblPrEx>
        <w:trPr>
          <w:trHeight w:val="72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4</w:t>
            </w:r>
          </w:p>
        </w:tc>
        <w:tc>
          <w:tcPr>
            <w:tcW w:w="1265"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输出板</w:t>
            </w:r>
          </w:p>
        </w:tc>
        <w:tc>
          <w:tcPr>
            <w:tcW w:w="5640" w:type="dxa"/>
            <w:tcBorders>
              <w:top w:val="nil"/>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HDMI接口输出265解码板，支持HDMI信号输出≥4路，支持解码2400W@25fps≥2路、或4路以上1200W@25fps、或8路以上800W@25fps、或16路以上400W@25fps、或 32路以上200W@25fps，支持3840x2160@30Hz和1080p标准分辨率输出</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块</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2</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5</w:t>
            </w:r>
          </w:p>
        </w:tc>
        <w:tc>
          <w:tcPr>
            <w:tcW w:w="1265"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输入板</w:t>
            </w:r>
          </w:p>
        </w:tc>
        <w:tc>
          <w:tcPr>
            <w:tcW w:w="5640" w:type="dxa"/>
            <w:tcBorders>
              <w:top w:val="nil"/>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DVI接入板，支持DVI信号接入≥4路</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块</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1</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6</w:t>
            </w:r>
          </w:p>
        </w:tc>
        <w:tc>
          <w:tcPr>
            <w:tcW w:w="1265"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线缆及相关配件</w:t>
            </w:r>
          </w:p>
        </w:tc>
        <w:tc>
          <w:tcPr>
            <w:tcW w:w="5640" w:type="dxa"/>
            <w:tcBorders>
              <w:top w:val="nil"/>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DVI线缆（按需）</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套</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8</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b/>
                <w:bCs/>
                <w:kern w:val="0"/>
                <w:szCs w:val="21"/>
              </w:rPr>
            </w:pPr>
            <w:r>
              <w:rPr>
                <w:rFonts w:hint="eastAsia" w:ascii="仿宋_GB2312" w:hAnsi="宋体" w:eastAsia="仿宋_GB2312" w:cs="宋体"/>
                <w:b/>
                <w:bCs/>
                <w:kern w:val="0"/>
                <w:szCs w:val="21"/>
              </w:rPr>
              <w:t>九</w:t>
            </w:r>
          </w:p>
        </w:tc>
        <w:tc>
          <w:tcPr>
            <w:tcW w:w="1265" w:type="dxa"/>
            <w:tcBorders>
              <w:top w:val="nil"/>
              <w:left w:val="nil"/>
              <w:bottom w:val="single" w:color="auto" w:sz="4" w:space="0"/>
              <w:right w:val="single" w:color="auto" w:sz="4" w:space="0"/>
            </w:tcBorders>
            <w:noWrap w:val="0"/>
            <w:vAlign w:val="center"/>
          </w:tcPr>
          <w:p>
            <w:pPr>
              <w:jc w:val="center"/>
              <w:rPr>
                <w:rFonts w:hint="eastAsia" w:ascii="仿宋_GB2312" w:eastAsia="仿宋_GB2312"/>
                <w:b/>
                <w:bCs/>
                <w:kern w:val="0"/>
                <w:szCs w:val="21"/>
              </w:rPr>
            </w:pPr>
            <w:r>
              <w:rPr>
                <w:rFonts w:hint="eastAsia" w:ascii="仿宋_GB2312" w:hAnsi="宋体" w:eastAsia="仿宋_GB2312" w:cs="宋体"/>
                <w:b/>
                <w:bCs/>
                <w:kern w:val="0"/>
                <w:szCs w:val="21"/>
              </w:rPr>
              <w:t>管路、线缆及配件</w:t>
            </w:r>
          </w:p>
        </w:tc>
        <w:tc>
          <w:tcPr>
            <w:tcW w:w="5640" w:type="dxa"/>
            <w:tcBorders>
              <w:top w:val="nil"/>
              <w:left w:val="nil"/>
              <w:bottom w:val="single" w:color="auto" w:sz="4" w:space="0"/>
              <w:right w:val="single" w:color="auto" w:sz="4" w:space="0"/>
            </w:tcBorders>
            <w:noWrap w:val="0"/>
            <w:vAlign w:val="center"/>
          </w:tcPr>
          <w:p>
            <w:pPr>
              <w:jc w:val="center"/>
              <w:rPr>
                <w:rFonts w:hint="eastAsia" w:ascii="仿宋_GB2312" w:eastAsia="仿宋_GB2312"/>
                <w:b/>
                <w:bCs/>
                <w:kern w:val="0"/>
                <w:szCs w:val="21"/>
              </w:rPr>
            </w:pPr>
            <w:r>
              <w:rPr>
                <w:rFonts w:hint="eastAsia" w:ascii="仿宋_GB2312" w:hAnsi="宋体" w:eastAsia="仿宋_GB2312" w:cs="宋体"/>
                <w:b/>
                <w:bCs/>
                <w:kern w:val="0"/>
                <w:szCs w:val="21"/>
              </w:rPr>
              <w:t>　</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b/>
                <w:bCs/>
                <w:kern w:val="0"/>
                <w:szCs w:val="21"/>
              </w:rPr>
            </w:pPr>
            <w:r>
              <w:rPr>
                <w:rFonts w:hint="eastAsia" w:ascii="仿宋_GB2312" w:hAnsi="宋体" w:eastAsia="仿宋_GB2312" w:cs="宋体"/>
                <w:b/>
                <w:bCs/>
                <w:kern w:val="0"/>
                <w:szCs w:val="21"/>
              </w:rPr>
              <w:t>　</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b/>
                <w:bCs/>
                <w:kern w:val="0"/>
                <w:szCs w:val="21"/>
              </w:rPr>
            </w:pPr>
            <w:r>
              <w:rPr>
                <w:rFonts w:hint="eastAsia" w:ascii="仿宋_GB2312" w:hAnsi="宋体" w:eastAsia="仿宋_GB2312" w:cs="宋体"/>
                <w:b/>
                <w:bCs/>
                <w:kern w:val="0"/>
                <w:szCs w:val="21"/>
              </w:rPr>
              <w:t>　</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1</w:t>
            </w:r>
          </w:p>
        </w:tc>
        <w:tc>
          <w:tcPr>
            <w:tcW w:w="1265"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 xml:space="preserve">PVC配管 </w:t>
            </w:r>
          </w:p>
        </w:tc>
        <w:tc>
          <w:tcPr>
            <w:tcW w:w="5640" w:type="dxa"/>
            <w:tcBorders>
              <w:top w:val="nil"/>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国产优质中型管Φ20，国标</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米</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500</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2</w:t>
            </w:r>
          </w:p>
        </w:tc>
        <w:tc>
          <w:tcPr>
            <w:tcW w:w="1265"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 xml:space="preserve">PVC配管 </w:t>
            </w:r>
          </w:p>
        </w:tc>
        <w:tc>
          <w:tcPr>
            <w:tcW w:w="5640" w:type="dxa"/>
            <w:tcBorders>
              <w:top w:val="nil"/>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国产优质中型管Φ25，国标</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米</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600</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3</w:t>
            </w:r>
          </w:p>
        </w:tc>
        <w:tc>
          <w:tcPr>
            <w:tcW w:w="1265"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 xml:space="preserve">PE配管 </w:t>
            </w:r>
          </w:p>
        </w:tc>
        <w:tc>
          <w:tcPr>
            <w:tcW w:w="5640" w:type="dxa"/>
            <w:tcBorders>
              <w:top w:val="nil"/>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国产优质中型管Φ32，国标</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米</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500</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4</w:t>
            </w:r>
          </w:p>
        </w:tc>
        <w:tc>
          <w:tcPr>
            <w:tcW w:w="1265"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PVC线槽</w:t>
            </w:r>
          </w:p>
        </w:tc>
        <w:tc>
          <w:tcPr>
            <w:tcW w:w="5640" w:type="dxa"/>
            <w:tcBorders>
              <w:top w:val="nil"/>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国产优质 PVC 线槽，50*20，国标</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米</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300</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5</w:t>
            </w:r>
          </w:p>
        </w:tc>
        <w:tc>
          <w:tcPr>
            <w:tcW w:w="1265"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超五类网线</w:t>
            </w:r>
          </w:p>
        </w:tc>
        <w:tc>
          <w:tcPr>
            <w:tcW w:w="5640" w:type="dxa"/>
            <w:tcBorders>
              <w:top w:val="nil"/>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超五类非屏蔽双绞线，UTP-CAT5E，国标</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米</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9800</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6</w:t>
            </w:r>
          </w:p>
        </w:tc>
        <w:tc>
          <w:tcPr>
            <w:tcW w:w="1265"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水晶头</w:t>
            </w:r>
          </w:p>
        </w:tc>
        <w:tc>
          <w:tcPr>
            <w:tcW w:w="5640" w:type="dxa"/>
            <w:tcBorders>
              <w:top w:val="nil"/>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超五类水晶头，100 个/盒</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盒</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3</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7</w:t>
            </w:r>
          </w:p>
        </w:tc>
        <w:tc>
          <w:tcPr>
            <w:tcW w:w="1265"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尾纤</w:t>
            </w:r>
          </w:p>
        </w:tc>
        <w:tc>
          <w:tcPr>
            <w:tcW w:w="5640" w:type="dxa"/>
            <w:tcBorders>
              <w:top w:val="nil"/>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单模</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根</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64</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8</w:t>
            </w:r>
          </w:p>
        </w:tc>
        <w:tc>
          <w:tcPr>
            <w:tcW w:w="1265"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光纤跳线</w:t>
            </w:r>
          </w:p>
        </w:tc>
        <w:tc>
          <w:tcPr>
            <w:tcW w:w="5640" w:type="dxa"/>
            <w:tcBorders>
              <w:top w:val="nil"/>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3米，单模光纤跳线</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根</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64</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9</w:t>
            </w:r>
          </w:p>
        </w:tc>
        <w:tc>
          <w:tcPr>
            <w:tcW w:w="1265"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光纤熔接盒</w:t>
            </w:r>
          </w:p>
        </w:tc>
        <w:tc>
          <w:tcPr>
            <w:tcW w:w="5640" w:type="dxa"/>
            <w:tcBorders>
              <w:top w:val="nil"/>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12口光纤熔接盒</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个</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32</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10</w:t>
            </w:r>
          </w:p>
        </w:tc>
        <w:tc>
          <w:tcPr>
            <w:tcW w:w="1265"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光纤熔接</w:t>
            </w:r>
          </w:p>
        </w:tc>
        <w:tc>
          <w:tcPr>
            <w:tcW w:w="5640" w:type="dxa"/>
            <w:tcBorders>
              <w:top w:val="nil"/>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定制</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芯</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64</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11</w:t>
            </w:r>
          </w:p>
        </w:tc>
        <w:tc>
          <w:tcPr>
            <w:tcW w:w="1265"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电源线</w:t>
            </w:r>
          </w:p>
        </w:tc>
        <w:tc>
          <w:tcPr>
            <w:tcW w:w="5640" w:type="dxa"/>
            <w:tcBorders>
              <w:top w:val="nil"/>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电源线RVV-2*1.0，国标</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米</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9800</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12</w:t>
            </w:r>
          </w:p>
        </w:tc>
        <w:tc>
          <w:tcPr>
            <w:tcW w:w="1265"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室外铠装电缆</w:t>
            </w:r>
          </w:p>
        </w:tc>
        <w:tc>
          <w:tcPr>
            <w:tcW w:w="5640" w:type="dxa"/>
            <w:tcBorders>
              <w:top w:val="nil"/>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室外铠装电缆RVV-2*1.5，国标</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米</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2500</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13</w:t>
            </w:r>
          </w:p>
        </w:tc>
        <w:tc>
          <w:tcPr>
            <w:tcW w:w="1265"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室外铠装光缆</w:t>
            </w:r>
          </w:p>
        </w:tc>
        <w:tc>
          <w:tcPr>
            <w:tcW w:w="5640" w:type="dxa"/>
            <w:tcBorders>
              <w:top w:val="nil"/>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室外铠装12芯单模光缆，国标</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米</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2500</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14</w:t>
            </w:r>
          </w:p>
        </w:tc>
        <w:tc>
          <w:tcPr>
            <w:tcW w:w="1265"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破路埋管等</w:t>
            </w:r>
          </w:p>
        </w:tc>
        <w:tc>
          <w:tcPr>
            <w:tcW w:w="5640" w:type="dxa"/>
            <w:tcBorders>
              <w:top w:val="nil"/>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开挖路面、埋管、夯填及混泥土浇注等，开挖深度大于30CM</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米</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300</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15</w:t>
            </w:r>
          </w:p>
        </w:tc>
        <w:tc>
          <w:tcPr>
            <w:tcW w:w="1265"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配件及原有设备拆除等</w:t>
            </w:r>
          </w:p>
        </w:tc>
        <w:tc>
          <w:tcPr>
            <w:tcW w:w="5640" w:type="dxa"/>
            <w:tcBorders>
              <w:top w:val="nil"/>
              <w:left w:val="nil"/>
              <w:bottom w:val="single" w:color="auto" w:sz="4" w:space="0"/>
              <w:right w:val="single" w:color="auto" w:sz="4" w:space="0"/>
            </w:tcBorders>
            <w:noWrap w:val="0"/>
            <w:vAlign w:val="center"/>
          </w:tcPr>
          <w:p>
            <w:pPr>
              <w:rPr>
                <w:rFonts w:hint="eastAsia" w:ascii="仿宋_GB2312" w:eastAsia="仿宋_GB2312"/>
                <w:kern w:val="0"/>
                <w:szCs w:val="21"/>
              </w:rPr>
            </w:pPr>
            <w:r>
              <w:rPr>
                <w:rFonts w:hint="eastAsia" w:ascii="仿宋_GB2312" w:hAnsi="宋体" w:eastAsia="仿宋_GB2312" w:cs="宋体"/>
                <w:kern w:val="0"/>
                <w:szCs w:val="21"/>
              </w:rPr>
              <w:t>连接线、接线板、空开、PVC管槽配件，连接件，3M 防水胶布，标签，扎带及接插件等</w:t>
            </w:r>
          </w:p>
        </w:tc>
        <w:tc>
          <w:tcPr>
            <w:tcW w:w="769"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批</w:t>
            </w:r>
          </w:p>
        </w:tc>
        <w:tc>
          <w:tcPr>
            <w:tcW w:w="792" w:type="dxa"/>
            <w:tcBorders>
              <w:top w:val="nil"/>
              <w:left w:val="nil"/>
              <w:bottom w:val="single" w:color="auto" w:sz="4" w:space="0"/>
              <w:right w:val="single" w:color="auto" w:sz="4" w:space="0"/>
            </w:tcBorders>
            <w:noWrap w:val="0"/>
            <w:vAlign w:val="center"/>
          </w:tcPr>
          <w:p>
            <w:pPr>
              <w:jc w:val="center"/>
              <w:rPr>
                <w:rFonts w:hint="eastAsia" w:ascii="仿宋_GB2312" w:eastAsia="仿宋_GB2312"/>
                <w:kern w:val="0"/>
                <w:szCs w:val="21"/>
              </w:rPr>
            </w:pPr>
            <w:r>
              <w:rPr>
                <w:rFonts w:hint="eastAsia" w:ascii="仿宋_GB2312" w:hAnsi="宋体" w:eastAsia="仿宋_GB2312" w:cs="宋体"/>
                <w:kern w:val="0"/>
                <w:szCs w:val="21"/>
              </w:rPr>
              <w:t>1</w:t>
            </w:r>
          </w:p>
        </w:tc>
      </w:tr>
    </w:tbl>
    <w:p>
      <w:pPr>
        <w:rPr>
          <w:rFonts w:hint="eastAsia" w:ascii="仿宋_GB2312" w:hAnsi="宋体" w:eastAsia="仿宋_GB2312"/>
          <w:sz w:val="24"/>
          <w:szCs w:val="24"/>
        </w:rPr>
      </w:pPr>
    </w:p>
    <w:p>
      <w:pPr>
        <w:rPr>
          <w:rFonts w:hint="eastAsia" w:ascii="仿宋_GB2312" w:eastAsia="仿宋_GB2312"/>
          <w:b/>
          <w:sz w:val="30"/>
          <w:szCs w:val="30"/>
        </w:rPr>
      </w:pPr>
      <w:r>
        <w:rPr>
          <w:rFonts w:hint="eastAsia" w:ascii="仿宋_GB2312" w:hAnsi="等线" w:eastAsia="仿宋_GB2312" w:cs="宋体"/>
          <w:b/>
          <w:sz w:val="30"/>
          <w:szCs w:val="30"/>
        </w:rPr>
        <w:t>四．投标要求：</w:t>
      </w:r>
    </w:p>
    <w:p>
      <w:pPr>
        <w:widowControl w:val="0"/>
        <w:jc w:val="both"/>
        <w:rPr>
          <w:rFonts w:hint="eastAsia" w:ascii="仿宋_GB2312" w:hAnsi="宋体" w:eastAsia="仿宋_GB2312"/>
          <w:sz w:val="24"/>
          <w:szCs w:val="24"/>
        </w:rPr>
      </w:pPr>
      <w:r>
        <w:rPr>
          <w:rFonts w:hint="eastAsia" w:ascii="仿宋_GB2312" w:hAnsi="宋体" w:eastAsia="仿宋_GB2312" w:cs="仿宋_GB2312"/>
          <w:sz w:val="24"/>
          <w:szCs w:val="24"/>
        </w:rPr>
        <w:t>1.带</w:t>
      </w:r>
      <w:r>
        <w:rPr>
          <w:rFonts w:hint="eastAsia" w:ascii="仿宋_GB2312" w:hAnsi="仿宋" w:eastAsia="仿宋_GB2312" w:cs="仿宋"/>
          <w:sz w:val="24"/>
          <w:szCs w:val="24"/>
        </w:rPr>
        <w:t>▲</w:t>
      </w:r>
      <w:r>
        <w:rPr>
          <w:rFonts w:hint="eastAsia" w:ascii="仿宋_GB2312" w:hAnsi="宋体" w:eastAsia="仿宋_GB2312" w:cs="仿宋_GB2312"/>
          <w:sz w:val="24"/>
          <w:szCs w:val="24"/>
        </w:rPr>
        <w:t>项为必须满足，不能负偏离。</w:t>
      </w:r>
    </w:p>
    <w:p>
      <w:pPr>
        <w:rPr>
          <w:rFonts w:hint="eastAsia" w:ascii="仿宋_GB2312" w:hAnsi="宋体" w:eastAsia="仿宋_GB2312"/>
          <w:sz w:val="24"/>
          <w:szCs w:val="24"/>
        </w:rPr>
      </w:pPr>
      <w:r>
        <w:rPr>
          <w:rFonts w:hint="eastAsia" w:ascii="仿宋_GB2312" w:hAnsi="宋体" w:eastAsia="仿宋_GB2312" w:cs="仿宋_GB2312"/>
          <w:sz w:val="24"/>
          <w:szCs w:val="24"/>
        </w:rPr>
        <w:t>2.由于监控项目的特殊性，为保证布点的合理性，重要场所无盲点，投标单位必须进行到现场勘查场地，听取甲方介绍，与甲方沟通并合理设计方案。在投标文件中有详细监控布点位置示意图，并根据实际使用情况，若验收未达到要求，由中标单位免费增加点位。</w:t>
      </w:r>
    </w:p>
    <w:p>
      <w:pPr>
        <w:autoSpaceDE w:val="0"/>
        <w:autoSpaceDN w:val="0"/>
        <w:adjustRightInd w:val="0"/>
        <w:rPr>
          <w:rFonts w:hint="eastAsia" w:ascii="仿宋_GB2312" w:hAnsi="宋体" w:eastAsia="仿宋_GB2312"/>
          <w:sz w:val="24"/>
          <w:szCs w:val="24"/>
        </w:rPr>
      </w:pPr>
      <w:r>
        <w:rPr>
          <w:rFonts w:hint="eastAsia" w:ascii="仿宋_GB2312" w:hAnsi="宋体" w:eastAsia="仿宋_GB2312" w:cs="仿宋_GB2312"/>
          <w:sz w:val="24"/>
          <w:szCs w:val="24"/>
        </w:rPr>
        <w:t>4.所投产品需为原厂全新产品，2019年1月份后生产的符合国家技术规格和质量标准的出厂合格产品，通过国家有关部门检测合格的原产地产品，未曾开箱使用，能够与学校现有设备正常连接；设备安装调试完毕后，能在其功能范围内保障用户的系统安全、稳定运行。</w:t>
      </w:r>
    </w:p>
    <w:p>
      <w:pPr>
        <w:autoSpaceDE w:val="0"/>
        <w:autoSpaceDN w:val="0"/>
        <w:adjustRightInd w:val="0"/>
        <w:rPr>
          <w:rFonts w:hint="eastAsia" w:ascii="仿宋_GB2312" w:hAnsi="宋体" w:eastAsia="仿宋_GB2312"/>
          <w:sz w:val="24"/>
          <w:szCs w:val="24"/>
        </w:rPr>
      </w:pPr>
      <w:r>
        <w:rPr>
          <w:rFonts w:hint="eastAsia" w:ascii="仿宋_GB2312" w:hAnsi="宋体" w:eastAsia="仿宋_GB2312" w:cs="仿宋_GB2312"/>
          <w:sz w:val="24"/>
          <w:szCs w:val="24"/>
        </w:rPr>
        <w:t>5. 投标总价应包括运抵学校的运费及安装调试费等，投标方案中的硬件设备如需使用特别接头、插座等，由投标人免费提供。</w:t>
      </w:r>
    </w:p>
    <w:p>
      <w:pPr>
        <w:widowControl w:val="0"/>
        <w:jc w:val="both"/>
        <w:rPr>
          <w:rFonts w:hint="eastAsia" w:ascii="仿宋_GB2312" w:hAnsi="宋体" w:eastAsia="仿宋_GB2312"/>
          <w:sz w:val="24"/>
          <w:szCs w:val="24"/>
        </w:rPr>
      </w:pPr>
      <w:r>
        <w:rPr>
          <w:rFonts w:hint="eastAsia" w:ascii="仿宋_GB2312" w:hAnsi="宋体" w:eastAsia="仿宋_GB2312" w:cs="仿宋_GB2312"/>
          <w:sz w:val="24"/>
          <w:szCs w:val="24"/>
        </w:rPr>
        <w:t>6. 投标时须提供3年原厂商质保函、保修和售后服务，并提供三年7×24小时免费设备保修和售后现场技术服务。</w:t>
      </w:r>
    </w:p>
    <w:p>
      <w:pPr>
        <w:spacing w:line="360" w:lineRule="auto"/>
        <w:jc w:val="center"/>
        <w:outlineLvl w:val="0"/>
        <w:rPr>
          <w:rFonts w:hint="eastAsia" w:ascii="仿宋_GB2312" w:eastAsia="仿宋_GB2312"/>
          <w:b/>
          <w:kern w:val="0"/>
          <w:sz w:val="30"/>
          <w:szCs w:val="30"/>
          <w:lang w:val="zh-CN"/>
        </w:rPr>
      </w:pPr>
      <w:r>
        <w:rPr>
          <w:rFonts w:hint="eastAsia" w:ascii="仿宋_GB2312" w:eastAsia="仿宋_GB2312"/>
          <w:b/>
          <w:kern w:val="0"/>
          <w:sz w:val="30"/>
          <w:szCs w:val="30"/>
        </w:rPr>
        <w:br w:type="page"/>
      </w:r>
      <w:r>
        <w:rPr>
          <w:rFonts w:hint="eastAsia" w:ascii="仿宋_GB2312" w:eastAsia="仿宋_GB2312"/>
          <w:b/>
          <w:kern w:val="0"/>
          <w:sz w:val="30"/>
          <w:szCs w:val="30"/>
          <w:lang w:val="zh-CN"/>
        </w:rPr>
        <w:t>第三标项：杭州市电子信息职业学校丁桥校区安防监控系统改造项目</w:t>
      </w:r>
    </w:p>
    <w:p>
      <w:pPr>
        <w:spacing w:line="360" w:lineRule="auto"/>
        <w:jc w:val="center"/>
        <w:outlineLvl w:val="0"/>
        <w:rPr>
          <w:rFonts w:hint="eastAsia" w:ascii="仿宋_GB2312" w:eastAsia="仿宋_GB2312"/>
          <w:b/>
          <w:kern w:val="0"/>
          <w:sz w:val="30"/>
          <w:szCs w:val="30"/>
          <w:lang w:val="zh-CN"/>
        </w:rPr>
      </w:pPr>
      <w:r>
        <w:rPr>
          <w:rFonts w:hint="eastAsia" w:ascii="仿宋_GB2312" w:eastAsia="仿宋_GB2312"/>
          <w:b/>
          <w:kern w:val="0"/>
          <w:sz w:val="30"/>
          <w:szCs w:val="30"/>
          <w:lang w:val="zh-CN"/>
        </w:rPr>
        <w:t>（标有</w:t>
      </w:r>
      <w:r>
        <w:rPr>
          <w:rFonts w:hint="eastAsia" w:ascii="仿宋_GB2312" w:hAnsi="仿宋" w:eastAsia="仿宋_GB2312"/>
          <w:sz w:val="30"/>
          <w:szCs w:val="30"/>
        </w:rPr>
        <w:t>“★”系产品采购项目中单一产品或核心产品，“▲” 系指实质性要求条款，</w:t>
      </w:r>
      <w:r>
        <w:rPr>
          <w:rFonts w:hint="eastAsia" w:ascii="仿宋_GB2312" w:eastAsia="仿宋_GB2312"/>
          <w:b/>
          <w:kern w:val="0"/>
          <w:sz w:val="30"/>
          <w:szCs w:val="30"/>
          <w:lang w:val="zh-CN"/>
        </w:rPr>
        <w:t>）</w:t>
      </w:r>
    </w:p>
    <w:p>
      <w:pPr>
        <w:keepLines/>
        <w:widowControl w:val="0"/>
        <w:spacing w:before="240" w:after="120" w:line="360" w:lineRule="auto"/>
        <w:contextualSpacing/>
        <w:outlineLvl w:val="1"/>
        <w:rPr>
          <w:rFonts w:hint="eastAsia" w:ascii="仿宋_GB2312" w:hAnsi="宋体" w:eastAsia="仿宋_GB2312"/>
          <w:kern w:val="0"/>
          <w:sz w:val="28"/>
          <w:szCs w:val="28"/>
          <w:lang w:bidi="en-US"/>
        </w:rPr>
      </w:pPr>
      <w:r>
        <w:rPr>
          <w:rFonts w:hint="eastAsia" w:ascii="仿宋_GB2312" w:hAnsi="宋体" w:eastAsia="仿宋_GB2312"/>
          <w:b/>
          <w:kern w:val="0"/>
          <w:sz w:val="28"/>
          <w:szCs w:val="28"/>
          <w:lang w:bidi="en-US"/>
        </w:rPr>
        <w:t>一、</w:t>
      </w:r>
      <w:r>
        <w:rPr>
          <w:rFonts w:hint="eastAsia" w:ascii="仿宋_GB2312" w:hAnsi="宋体" w:eastAsia="仿宋_GB2312"/>
          <w:kern w:val="0"/>
          <w:sz w:val="28"/>
          <w:szCs w:val="28"/>
          <w:lang w:bidi="en-US"/>
        </w:rPr>
        <w:t>项目概述</w:t>
      </w:r>
    </w:p>
    <w:p>
      <w:pPr>
        <w:widowControl w:val="0"/>
        <w:spacing w:line="360" w:lineRule="auto"/>
        <w:ind w:firstLine="480" w:firstLineChars="200"/>
        <w:jc w:val="both"/>
        <w:rPr>
          <w:rFonts w:hint="eastAsia" w:ascii="仿宋_GB2312" w:hAnsi="宋体" w:eastAsia="仿宋_GB2312"/>
          <w:sz w:val="24"/>
          <w:szCs w:val="22"/>
        </w:rPr>
      </w:pPr>
      <w:r>
        <w:rPr>
          <w:rFonts w:hint="eastAsia" w:ascii="仿宋_GB2312" w:hAnsi="宋体" w:eastAsia="仿宋_GB2312"/>
          <w:sz w:val="24"/>
          <w:szCs w:val="22"/>
        </w:rPr>
        <w:t>杭州市电子信息职业学校丁桥校区校园监控系统目前大部分为2009年建校时所建设的模拟监控设备，已运行了9年之久，目前有很多摄像机已老化，图像模糊，已完全达不到校园的安保监控的需求。</w:t>
      </w:r>
    </w:p>
    <w:p>
      <w:pPr>
        <w:widowControl w:val="0"/>
        <w:spacing w:line="360" w:lineRule="auto"/>
        <w:ind w:firstLine="480" w:firstLineChars="200"/>
        <w:jc w:val="both"/>
        <w:rPr>
          <w:rFonts w:hint="eastAsia" w:ascii="仿宋_GB2312" w:hAnsi="宋体" w:eastAsia="仿宋_GB2312"/>
          <w:sz w:val="24"/>
          <w:szCs w:val="22"/>
        </w:rPr>
      </w:pPr>
      <w:r>
        <w:rPr>
          <w:rFonts w:hint="eastAsia" w:ascii="仿宋_GB2312" w:hAnsi="宋体" w:eastAsia="仿宋_GB2312"/>
          <w:sz w:val="24"/>
          <w:szCs w:val="22"/>
        </w:rPr>
        <w:t>为了保障校园师生财产及人身的安全，现需将校园内所有的模拟监控系统进行改造，建设一套数字全高清的智能监控系统。其中，前端采用300万高清摄像机及200万高清球型摄像机，在校园制高点部署全景摄像机覆盖操场及东面广场，在校园重点区域部署黑光枪机；在学校6个建筑楼顶部署警戒摄像机对进入楼顶人员发出声光报警；在学校周界布设周界防范系统，对越界人员发出实时报警同时自动过滤非人物体的报警；在学校董门口、宿舍等重点部位部署人脸识别摄像机和人脸签到信息发布屏，摄像机接入后端人脸比对服务器实现校内人员人脸签到，出现记录可查，以进一步提高校园安全水平；在监控指挥中心建设3*4的LCD拼接大屏供日常安防管理使用，大屏上方安装LED条屏显示所需文字信息；本次安防建设要求录像存储时间达到三个月，并要求与校园内原有的数字监控系无缝对接，采用统一的平台进行管理。此外，消防建设也是校园安全的重要组成部分，在宿舍楼建设消防报警设备和烟感并接入学校已有的消防系统进行管理。</w:t>
      </w:r>
    </w:p>
    <w:p>
      <w:pPr>
        <w:keepLines/>
        <w:widowControl w:val="0"/>
        <w:spacing w:before="240" w:after="120" w:line="360" w:lineRule="auto"/>
        <w:contextualSpacing/>
        <w:outlineLvl w:val="1"/>
        <w:rPr>
          <w:rFonts w:hint="eastAsia" w:ascii="仿宋_GB2312" w:hAnsi="宋体" w:eastAsia="仿宋_GB2312"/>
          <w:kern w:val="0"/>
          <w:sz w:val="32"/>
          <w:szCs w:val="36"/>
          <w:lang w:bidi="en-US"/>
        </w:rPr>
      </w:pPr>
      <w:r>
        <w:rPr>
          <w:rFonts w:hint="eastAsia" w:ascii="仿宋_GB2312" w:hAnsi="宋体" w:eastAsia="仿宋_GB2312"/>
          <w:b/>
          <w:kern w:val="0"/>
          <w:sz w:val="28"/>
          <w:szCs w:val="28"/>
          <w:lang w:bidi="en-US"/>
        </w:rPr>
        <w:t>二、</w:t>
      </w:r>
      <w:bookmarkStart w:id="53" w:name="_Toc510186314"/>
      <w:bookmarkStart w:id="54" w:name="_Toc510632779"/>
      <w:r>
        <w:rPr>
          <w:rFonts w:hint="eastAsia" w:ascii="仿宋_GB2312" w:hAnsi="宋体" w:eastAsia="仿宋_GB2312"/>
          <w:b/>
          <w:kern w:val="0"/>
          <w:sz w:val="28"/>
          <w:szCs w:val="28"/>
          <w:lang w:bidi="en-US"/>
        </w:rPr>
        <w:t>项目要求</w:t>
      </w:r>
    </w:p>
    <w:p>
      <w:pPr>
        <w:widowControl w:val="0"/>
        <w:spacing w:line="360" w:lineRule="auto"/>
        <w:ind w:firstLine="480" w:firstLineChars="200"/>
        <w:jc w:val="both"/>
        <w:rPr>
          <w:rFonts w:hint="eastAsia" w:ascii="仿宋_GB2312" w:hAnsi="宋体" w:eastAsia="仿宋_GB2312"/>
          <w:sz w:val="24"/>
          <w:szCs w:val="22"/>
        </w:rPr>
      </w:pPr>
      <w:r>
        <w:rPr>
          <w:rFonts w:hint="eastAsia" w:ascii="仿宋_GB2312" w:hAnsi="宋体" w:eastAsia="仿宋_GB2312"/>
          <w:sz w:val="24"/>
          <w:szCs w:val="22"/>
        </w:rPr>
        <w:t>1、将校内所有的模拟监控全部改造成高清数字监控，需与校内原监控系统无缝对接。</w:t>
      </w:r>
    </w:p>
    <w:p>
      <w:pPr>
        <w:widowControl w:val="0"/>
        <w:spacing w:line="360" w:lineRule="auto"/>
        <w:ind w:firstLine="480" w:firstLineChars="200"/>
        <w:jc w:val="both"/>
        <w:rPr>
          <w:rFonts w:hint="eastAsia" w:ascii="仿宋_GB2312" w:hAnsi="宋体" w:eastAsia="仿宋_GB2312"/>
          <w:sz w:val="24"/>
          <w:szCs w:val="22"/>
        </w:rPr>
      </w:pPr>
      <w:r>
        <w:rPr>
          <w:rFonts w:hint="eastAsia" w:ascii="仿宋_GB2312" w:hAnsi="宋体" w:eastAsia="仿宋_GB2312"/>
          <w:sz w:val="24"/>
          <w:szCs w:val="22"/>
        </w:rPr>
        <w:t>2、将围墙红外报警系统取消，采购防区型光纤入侵探测系统及周界防范摄像机进行双重布防，并将原围墙的高清数字球型摄像机拆除下来后安装到校园主通道及看台、操场内，此次需考虑设备拆除及安装所有的线材及附材。</w:t>
      </w:r>
    </w:p>
    <w:p>
      <w:pPr>
        <w:widowControl w:val="0"/>
        <w:spacing w:line="360" w:lineRule="auto"/>
        <w:ind w:firstLine="480" w:firstLineChars="200"/>
        <w:jc w:val="both"/>
        <w:rPr>
          <w:rFonts w:hint="eastAsia" w:ascii="仿宋_GB2312" w:hAnsi="宋体" w:eastAsia="仿宋_GB2312"/>
          <w:sz w:val="24"/>
          <w:szCs w:val="22"/>
        </w:rPr>
      </w:pPr>
      <w:r>
        <w:rPr>
          <w:rFonts w:hint="eastAsia" w:ascii="仿宋_GB2312" w:hAnsi="宋体" w:eastAsia="仿宋_GB2312"/>
          <w:sz w:val="24"/>
          <w:szCs w:val="22"/>
        </w:rPr>
        <w:t>3、在综合楼高点安装2台全景摄像机，从立体化的角度实现对学校操场和东广场全景监控，将整个大场景的情况尽收眼底。通过一体化鹰眼摄像机上自带球机查看大院内局部细节。在前端实现全景拼接的整体监控画面中点击或者框选任意区域后，球机就可以自动调整呈现出该区域细节画面。</w:t>
      </w:r>
    </w:p>
    <w:p>
      <w:pPr>
        <w:widowControl w:val="0"/>
        <w:spacing w:line="360" w:lineRule="auto"/>
        <w:ind w:firstLine="480" w:firstLineChars="200"/>
        <w:jc w:val="both"/>
        <w:rPr>
          <w:rFonts w:hint="eastAsia" w:ascii="仿宋_GB2312" w:hAnsi="宋体" w:eastAsia="仿宋_GB2312"/>
          <w:sz w:val="24"/>
          <w:szCs w:val="22"/>
        </w:rPr>
      </w:pPr>
      <w:r>
        <w:rPr>
          <w:rFonts w:hint="eastAsia" w:ascii="仿宋_GB2312" w:hAnsi="宋体" w:eastAsia="仿宋_GB2312"/>
          <w:sz w:val="24"/>
          <w:szCs w:val="22"/>
        </w:rPr>
        <w:t>4、在校园主通道上安装6台黑光超低照度摄像机，用于晚上亮光不足的情况下，可以提升图像清晰度，在极低照度下，呈现亮如白昼的彩色画质。</w:t>
      </w:r>
    </w:p>
    <w:p>
      <w:pPr>
        <w:widowControl w:val="0"/>
        <w:spacing w:line="360" w:lineRule="auto"/>
        <w:ind w:firstLine="480" w:firstLineChars="200"/>
        <w:jc w:val="both"/>
        <w:rPr>
          <w:rFonts w:hint="eastAsia" w:ascii="仿宋_GB2312" w:hAnsi="宋体" w:eastAsia="仿宋_GB2312"/>
          <w:sz w:val="24"/>
          <w:szCs w:val="22"/>
        </w:rPr>
      </w:pPr>
      <w:r>
        <w:rPr>
          <w:rFonts w:hint="eastAsia" w:ascii="仿宋_GB2312" w:hAnsi="宋体" w:eastAsia="仿宋_GB2312"/>
          <w:sz w:val="24"/>
          <w:szCs w:val="22"/>
        </w:rPr>
        <w:t>5、</w:t>
      </w:r>
      <w:bookmarkStart w:id="55" w:name="_Toc3393426"/>
      <w:r>
        <w:rPr>
          <w:rFonts w:hint="eastAsia" w:ascii="仿宋_GB2312" w:hAnsi="宋体" w:eastAsia="仿宋_GB2312"/>
          <w:sz w:val="24"/>
          <w:szCs w:val="22"/>
        </w:rPr>
        <w:t>在部分楼顶安装警戒摄像机</w:t>
      </w:r>
      <w:bookmarkEnd w:id="55"/>
      <w:r>
        <w:rPr>
          <w:rFonts w:hint="eastAsia" w:ascii="仿宋_GB2312" w:hAnsi="宋体" w:eastAsia="仿宋_GB2312"/>
          <w:sz w:val="24"/>
          <w:szCs w:val="22"/>
        </w:rPr>
        <w:t>，能够对入侵目标进行判定，过滤掉非人目标，对人体目标进行声光报警，对入侵者产生威慑。同时，报警信息也能实时在监控中心进行弹窗，提示保安人员前往现场处置。</w:t>
      </w:r>
    </w:p>
    <w:p>
      <w:pPr>
        <w:widowControl w:val="0"/>
        <w:spacing w:line="360" w:lineRule="auto"/>
        <w:ind w:firstLine="480" w:firstLineChars="200"/>
        <w:jc w:val="both"/>
        <w:rPr>
          <w:rFonts w:hint="eastAsia" w:ascii="仿宋_GB2312" w:hAnsi="宋体" w:eastAsia="仿宋_GB2312"/>
          <w:sz w:val="24"/>
          <w:szCs w:val="22"/>
        </w:rPr>
      </w:pPr>
      <w:r>
        <w:rPr>
          <w:rFonts w:hint="eastAsia" w:ascii="仿宋_GB2312" w:hAnsi="宋体" w:eastAsia="仿宋_GB2312"/>
          <w:sz w:val="24"/>
          <w:szCs w:val="22"/>
        </w:rPr>
        <w:t>6、在学校的重点管控区域，安装人脸抓拍摄像机，做到人员轨迹的跟踪，人脸的签到及考勤，黑名单的报警等。</w:t>
      </w:r>
    </w:p>
    <w:p>
      <w:pPr>
        <w:widowControl w:val="0"/>
        <w:spacing w:line="360" w:lineRule="auto"/>
        <w:ind w:firstLine="480" w:firstLineChars="200"/>
        <w:jc w:val="both"/>
        <w:rPr>
          <w:rFonts w:hint="eastAsia" w:ascii="仿宋_GB2312" w:hAnsi="宋体" w:eastAsia="仿宋_GB2312"/>
          <w:sz w:val="24"/>
          <w:szCs w:val="22"/>
        </w:rPr>
      </w:pPr>
      <w:r>
        <w:rPr>
          <w:rFonts w:hint="eastAsia" w:ascii="仿宋_GB2312" w:hAnsi="宋体" w:eastAsia="仿宋_GB2312"/>
          <w:sz w:val="24"/>
          <w:szCs w:val="22"/>
        </w:rPr>
        <w:t>7、将传达室内的监控大屏及监控设备搬迁到校园消控室内，并在原来大屏的基础上再安装1*4大屏及LED条屏，做到新老大屏无缝对接。</w:t>
      </w:r>
      <w:bookmarkEnd w:id="53"/>
      <w:bookmarkEnd w:id="54"/>
      <w:bookmarkStart w:id="56" w:name="_Toc3393436"/>
      <w:r>
        <w:rPr>
          <w:rFonts w:hint="eastAsia" w:ascii="仿宋_GB2312" w:hAnsi="宋体" w:eastAsia="仿宋_GB2312"/>
          <w:sz w:val="24"/>
          <w:szCs w:val="22"/>
        </w:rPr>
        <w:t>并对大屏固定包装。</w:t>
      </w:r>
    </w:p>
    <w:p>
      <w:pPr>
        <w:widowControl w:val="0"/>
        <w:spacing w:line="360" w:lineRule="auto"/>
        <w:ind w:firstLine="480" w:firstLineChars="200"/>
        <w:jc w:val="both"/>
        <w:rPr>
          <w:rFonts w:hint="eastAsia" w:ascii="仿宋_GB2312" w:hAnsi="宋体" w:eastAsia="仿宋_GB2312"/>
          <w:sz w:val="24"/>
          <w:szCs w:val="22"/>
        </w:rPr>
      </w:pPr>
      <w:r>
        <w:rPr>
          <w:rFonts w:hint="eastAsia" w:ascii="仿宋_GB2312" w:hAnsi="宋体" w:eastAsia="仿宋_GB2312"/>
          <w:sz w:val="24"/>
          <w:szCs w:val="22"/>
        </w:rPr>
        <w:t>8、在消控室内进行简易装修，要求对大屏两边及顶面进行轻钢龙骨隔墙，并做一道隐蔽门，在大屏后方留出设备间及检修通道；将消控室内的墙面进行粉刷，踢脚线的更换及灯具的更换，踢脚线要求为不锈钢材质，灯具为吸顶LED灯。</w:t>
      </w:r>
    </w:p>
    <w:p>
      <w:pPr>
        <w:widowControl w:val="0"/>
        <w:spacing w:line="360" w:lineRule="auto"/>
        <w:ind w:firstLine="480" w:firstLineChars="200"/>
        <w:jc w:val="both"/>
        <w:rPr>
          <w:rFonts w:hint="eastAsia" w:ascii="仿宋_GB2312" w:hAnsi="宋体" w:eastAsia="仿宋_GB2312"/>
          <w:sz w:val="24"/>
          <w:szCs w:val="22"/>
        </w:rPr>
      </w:pPr>
      <w:r>
        <w:rPr>
          <w:rFonts w:hint="eastAsia" w:ascii="仿宋_GB2312" w:hAnsi="宋体" w:eastAsia="仿宋_GB2312"/>
          <w:sz w:val="24"/>
          <w:szCs w:val="22"/>
        </w:rPr>
        <w:t>9、</w:t>
      </w:r>
      <w:bookmarkEnd w:id="56"/>
      <w:r>
        <w:rPr>
          <w:rFonts w:hint="eastAsia" w:ascii="仿宋_GB2312" w:hAnsi="宋体" w:eastAsia="仿宋_GB2312"/>
          <w:sz w:val="24"/>
          <w:szCs w:val="22"/>
        </w:rPr>
        <w:t>在宿舍楼内安装消防报警设备和烟感，所新装的消防设备需要接入学校原有消防系统，实现宿舍楼的消防报警管理以及校园消防报警的统一管理，保护校园师生和学校资产的安全。并对原校园消防系统中部分控制箱及接线端子箱进行更换。</w:t>
      </w:r>
    </w:p>
    <w:p>
      <w:pPr>
        <w:widowControl w:val="0"/>
        <w:spacing w:line="360" w:lineRule="auto"/>
        <w:ind w:firstLine="480" w:firstLineChars="200"/>
        <w:jc w:val="both"/>
        <w:rPr>
          <w:rFonts w:hint="eastAsia" w:ascii="仿宋_GB2312" w:hAnsi="宋体" w:eastAsia="仿宋_GB2312"/>
          <w:sz w:val="24"/>
          <w:szCs w:val="22"/>
        </w:rPr>
      </w:pPr>
      <w:r>
        <w:rPr>
          <w:rFonts w:hint="eastAsia" w:ascii="仿宋_GB2312" w:hAnsi="宋体" w:eastAsia="仿宋_GB2312"/>
          <w:sz w:val="24"/>
          <w:szCs w:val="22"/>
        </w:rPr>
        <w:t>10、组建校园监控专网，以消控室为中心分别向各幢楼及外围设备箱铺设光纤，组建一套全新的监控专网。</w:t>
      </w:r>
    </w:p>
    <w:p>
      <w:pPr>
        <w:widowControl w:val="0"/>
        <w:spacing w:line="360" w:lineRule="auto"/>
        <w:ind w:firstLine="480" w:firstLineChars="200"/>
        <w:jc w:val="both"/>
        <w:rPr>
          <w:rFonts w:hint="eastAsia" w:ascii="仿宋_GB2312" w:hAnsi="宋体" w:eastAsia="仿宋_GB2312"/>
          <w:sz w:val="24"/>
          <w:szCs w:val="22"/>
        </w:rPr>
      </w:pPr>
    </w:p>
    <w:p>
      <w:pPr>
        <w:widowControl w:val="0"/>
        <w:spacing w:line="360" w:lineRule="auto"/>
        <w:ind w:firstLine="480" w:firstLineChars="200"/>
        <w:jc w:val="both"/>
        <w:rPr>
          <w:rFonts w:hint="eastAsia" w:ascii="仿宋_GB2312" w:hAnsi="宋体" w:eastAsia="仿宋_GB2312"/>
          <w:sz w:val="24"/>
          <w:szCs w:val="22"/>
        </w:rPr>
      </w:pPr>
    </w:p>
    <w:p>
      <w:pPr>
        <w:widowControl w:val="0"/>
        <w:spacing w:line="360" w:lineRule="auto"/>
        <w:ind w:firstLine="480" w:firstLineChars="200"/>
        <w:jc w:val="both"/>
        <w:rPr>
          <w:rFonts w:hint="eastAsia" w:ascii="仿宋_GB2312" w:hAnsi="宋体" w:eastAsia="仿宋_GB2312"/>
          <w:sz w:val="24"/>
          <w:szCs w:val="22"/>
        </w:rPr>
      </w:pPr>
    </w:p>
    <w:p>
      <w:pPr>
        <w:keepLines/>
        <w:widowControl w:val="0"/>
        <w:spacing w:before="240" w:after="120" w:line="360" w:lineRule="auto"/>
        <w:contextualSpacing/>
        <w:outlineLvl w:val="1"/>
        <w:rPr>
          <w:rFonts w:hint="eastAsia" w:ascii="仿宋_GB2312" w:hAnsi="宋体" w:eastAsia="仿宋_GB2312"/>
          <w:b/>
          <w:kern w:val="0"/>
          <w:sz w:val="28"/>
          <w:szCs w:val="28"/>
          <w:lang w:bidi="en-US"/>
        </w:rPr>
        <w:sectPr>
          <w:headerReference r:id="rId5" w:type="first"/>
          <w:footerReference r:id="rId8" w:type="first"/>
          <w:headerReference r:id="rId3" w:type="default"/>
          <w:footerReference r:id="rId6" w:type="default"/>
          <w:headerReference r:id="rId4" w:type="even"/>
          <w:footerReference r:id="rId7" w:type="even"/>
          <w:pgSz w:w="11906" w:h="16838"/>
          <w:pgMar w:top="1531" w:right="1800" w:bottom="1440" w:left="1800" w:header="850" w:footer="850" w:gutter="0"/>
          <w:cols w:space="425" w:num="1"/>
          <w:docGrid w:type="lines" w:linePitch="326" w:charSpace="0"/>
        </w:sectPr>
      </w:pPr>
    </w:p>
    <w:p>
      <w:pPr>
        <w:keepLines/>
        <w:widowControl w:val="0"/>
        <w:spacing w:before="240" w:after="120" w:line="360" w:lineRule="auto"/>
        <w:contextualSpacing/>
        <w:outlineLvl w:val="1"/>
        <w:rPr>
          <w:rFonts w:hint="eastAsia" w:ascii="仿宋_GB2312" w:hAnsi="宋体" w:eastAsia="仿宋_GB2312"/>
          <w:b/>
          <w:kern w:val="0"/>
          <w:sz w:val="28"/>
          <w:szCs w:val="28"/>
          <w:lang w:bidi="en-US"/>
        </w:rPr>
      </w:pPr>
      <w:r>
        <w:rPr>
          <w:rFonts w:hint="eastAsia" w:ascii="仿宋_GB2312" w:hAnsi="宋体" w:eastAsia="仿宋_GB2312"/>
          <w:b/>
          <w:kern w:val="0"/>
          <w:sz w:val="28"/>
          <w:szCs w:val="28"/>
          <w:lang w:bidi="en-US"/>
        </w:rPr>
        <w:t>三、系统加构图</w:t>
      </w:r>
    </w:p>
    <w:p>
      <w:pPr>
        <w:widowControl w:val="0"/>
        <w:spacing w:line="360" w:lineRule="auto"/>
        <w:ind w:firstLine="420" w:firstLineChars="200"/>
        <w:jc w:val="both"/>
        <w:rPr>
          <w:rFonts w:hint="eastAsia" w:ascii="仿宋_GB2312" w:hAnsi="宋体" w:eastAsia="仿宋_GB2312"/>
          <w:sz w:val="24"/>
          <w:szCs w:val="22"/>
        </w:rPr>
      </w:pPr>
      <w:r>
        <w:rPr>
          <w:rFonts w:hint="eastAsia" w:ascii="仿宋_GB2312" w:eastAsia="仿宋_GB2312"/>
          <w:lang/>
        </w:rPr>
        <w:drawing>
          <wp:anchor distT="0" distB="0" distL="114300" distR="114300" simplePos="0" relativeHeight="251660288" behindDoc="1" locked="0" layoutInCell="1" allowOverlap="1">
            <wp:simplePos x="0" y="0"/>
            <wp:positionH relativeFrom="column">
              <wp:posOffset>133350</wp:posOffset>
            </wp:positionH>
            <wp:positionV relativeFrom="paragraph">
              <wp:posOffset>469265</wp:posOffset>
            </wp:positionV>
            <wp:extent cx="8438515" cy="4848225"/>
            <wp:effectExtent l="0" t="0" r="635" b="9525"/>
            <wp:wrapNone/>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7"/>
                    <a:stretch>
                      <a:fillRect/>
                    </a:stretch>
                  </pic:blipFill>
                  <pic:spPr>
                    <a:xfrm>
                      <a:off x="0" y="0"/>
                      <a:ext cx="8438515" cy="4848225"/>
                    </a:xfrm>
                    <a:prstGeom prst="rect">
                      <a:avLst/>
                    </a:prstGeom>
                    <a:noFill/>
                    <a:ln>
                      <a:noFill/>
                    </a:ln>
                  </pic:spPr>
                </pic:pic>
              </a:graphicData>
            </a:graphic>
          </wp:anchor>
        </w:drawing>
      </w:r>
    </w:p>
    <w:p>
      <w:pPr>
        <w:widowControl w:val="0"/>
        <w:spacing w:line="360" w:lineRule="auto"/>
        <w:ind w:firstLine="480" w:firstLineChars="200"/>
        <w:jc w:val="both"/>
        <w:rPr>
          <w:rFonts w:hint="eastAsia" w:ascii="仿宋_GB2312" w:hAnsi="宋体" w:eastAsia="仿宋_GB2312"/>
          <w:sz w:val="24"/>
          <w:szCs w:val="22"/>
        </w:rPr>
      </w:pPr>
    </w:p>
    <w:p>
      <w:pPr>
        <w:widowControl w:val="0"/>
        <w:spacing w:line="360" w:lineRule="auto"/>
        <w:ind w:firstLine="480" w:firstLineChars="200"/>
        <w:jc w:val="both"/>
        <w:rPr>
          <w:rFonts w:hint="eastAsia" w:ascii="仿宋_GB2312" w:hAnsi="宋体" w:eastAsia="仿宋_GB2312"/>
          <w:sz w:val="24"/>
          <w:szCs w:val="22"/>
        </w:rPr>
      </w:pPr>
    </w:p>
    <w:p>
      <w:pPr>
        <w:widowControl w:val="0"/>
        <w:spacing w:line="360" w:lineRule="auto"/>
        <w:ind w:firstLine="480" w:firstLineChars="200"/>
        <w:jc w:val="both"/>
        <w:rPr>
          <w:rFonts w:hint="eastAsia" w:ascii="仿宋_GB2312" w:hAnsi="宋体" w:eastAsia="仿宋_GB2312"/>
          <w:sz w:val="24"/>
          <w:szCs w:val="22"/>
        </w:rPr>
      </w:pPr>
    </w:p>
    <w:p>
      <w:pPr>
        <w:widowControl w:val="0"/>
        <w:spacing w:line="360" w:lineRule="auto"/>
        <w:ind w:firstLine="480" w:firstLineChars="200"/>
        <w:jc w:val="both"/>
        <w:rPr>
          <w:rFonts w:hint="eastAsia" w:ascii="仿宋_GB2312" w:hAnsi="宋体" w:eastAsia="仿宋_GB2312"/>
          <w:sz w:val="24"/>
          <w:szCs w:val="22"/>
        </w:rPr>
      </w:pPr>
    </w:p>
    <w:p>
      <w:pPr>
        <w:widowControl w:val="0"/>
        <w:spacing w:line="360" w:lineRule="auto"/>
        <w:ind w:firstLine="480" w:firstLineChars="200"/>
        <w:jc w:val="both"/>
        <w:rPr>
          <w:rFonts w:hint="eastAsia" w:ascii="仿宋_GB2312" w:hAnsi="宋体" w:eastAsia="仿宋_GB2312"/>
          <w:sz w:val="24"/>
          <w:szCs w:val="22"/>
        </w:rPr>
      </w:pPr>
    </w:p>
    <w:p>
      <w:pPr>
        <w:widowControl w:val="0"/>
        <w:spacing w:line="360" w:lineRule="auto"/>
        <w:ind w:firstLine="480" w:firstLineChars="200"/>
        <w:jc w:val="both"/>
        <w:rPr>
          <w:rFonts w:hint="eastAsia" w:ascii="仿宋_GB2312" w:hAnsi="宋体" w:eastAsia="仿宋_GB2312"/>
          <w:sz w:val="24"/>
          <w:szCs w:val="22"/>
        </w:rPr>
      </w:pPr>
    </w:p>
    <w:p>
      <w:pPr>
        <w:widowControl w:val="0"/>
        <w:spacing w:line="360" w:lineRule="auto"/>
        <w:ind w:firstLine="480" w:firstLineChars="200"/>
        <w:jc w:val="both"/>
        <w:rPr>
          <w:rFonts w:hint="eastAsia" w:ascii="仿宋_GB2312" w:hAnsi="宋体" w:eastAsia="仿宋_GB2312"/>
          <w:sz w:val="24"/>
          <w:szCs w:val="22"/>
        </w:rPr>
      </w:pPr>
    </w:p>
    <w:p>
      <w:pPr>
        <w:widowControl w:val="0"/>
        <w:spacing w:line="360" w:lineRule="auto"/>
        <w:ind w:firstLine="480" w:firstLineChars="200"/>
        <w:jc w:val="both"/>
        <w:rPr>
          <w:rFonts w:hint="eastAsia" w:ascii="仿宋_GB2312" w:hAnsi="宋体" w:eastAsia="仿宋_GB2312"/>
          <w:sz w:val="24"/>
          <w:szCs w:val="22"/>
        </w:rPr>
      </w:pPr>
    </w:p>
    <w:p>
      <w:pPr>
        <w:widowControl w:val="0"/>
        <w:spacing w:line="360" w:lineRule="auto"/>
        <w:ind w:firstLine="480" w:firstLineChars="200"/>
        <w:jc w:val="both"/>
        <w:rPr>
          <w:rFonts w:hint="eastAsia" w:ascii="仿宋_GB2312" w:hAnsi="宋体" w:eastAsia="仿宋_GB2312"/>
          <w:sz w:val="24"/>
          <w:szCs w:val="22"/>
        </w:rPr>
      </w:pPr>
    </w:p>
    <w:p>
      <w:pPr>
        <w:widowControl w:val="0"/>
        <w:spacing w:line="360" w:lineRule="auto"/>
        <w:ind w:firstLine="480" w:firstLineChars="200"/>
        <w:jc w:val="both"/>
        <w:rPr>
          <w:rFonts w:hint="eastAsia" w:ascii="仿宋_GB2312" w:hAnsi="宋体" w:eastAsia="仿宋_GB2312"/>
          <w:sz w:val="24"/>
          <w:szCs w:val="22"/>
        </w:rPr>
      </w:pPr>
    </w:p>
    <w:p>
      <w:pPr>
        <w:widowControl w:val="0"/>
        <w:spacing w:line="360" w:lineRule="auto"/>
        <w:ind w:firstLine="480" w:firstLineChars="200"/>
        <w:jc w:val="both"/>
        <w:rPr>
          <w:rFonts w:hint="eastAsia" w:ascii="仿宋_GB2312" w:hAnsi="宋体" w:eastAsia="仿宋_GB2312"/>
          <w:sz w:val="24"/>
          <w:szCs w:val="22"/>
        </w:rPr>
      </w:pPr>
    </w:p>
    <w:p>
      <w:pPr>
        <w:widowControl w:val="0"/>
        <w:spacing w:line="360" w:lineRule="auto"/>
        <w:ind w:firstLine="480" w:firstLineChars="200"/>
        <w:jc w:val="both"/>
        <w:rPr>
          <w:rFonts w:hint="eastAsia" w:ascii="仿宋_GB2312" w:hAnsi="宋体" w:eastAsia="仿宋_GB2312"/>
          <w:sz w:val="24"/>
          <w:szCs w:val="22"/>
        </w:rPr>
      </w:pPr>
    </w:p>
    <w:p>
      <w:pPr>
        <w:widowControl w:val="0"/>
        <w:spacing w:line="360" w:lineRule="auto"/>
        <w:ind w:firstLine="480" w:firstLineChars="200"/>
        <w:jc w:val="both"/>
        <w:rPr>
          <w:rFonts w:hint="eastAsia" w:ascii="仿宋_GB2312" w:hAnsi="宋体" w:eastAsia="仿宋_GB2312"/>
          <w:sz w:val="24"/>
          <w:szCs w:val="22"/>
        </w:rPr>
      </w:pPr>
    </w:p>
    <w:p>
      <w:pPr>
        <w:widowControl w:val="0"/>
        <w:spacing w:line="360" w:lineRule="auto"/>
        <w:ind w:firstLine="480" w:firstLineChars="200"/>
        <w:jc w:val="both"/>
        <w:rPr>
          <w:rFonts w:hint="eastAsia" w:ascii="仿宋_GB2312" w:hAnsi="宋体" w:eastAsia="仿宋_GB2312"/>
          <w:sz w:val="24"/>
          <w:szCs w:val="22"/>
        </w:rPr>
      </w:pPr>
    </w:p>
    <w:p>
      <w:pPr>
        <w:widowControl w:val="0"/>
        <w:spacing w:line="360" w:lineRule="auto"/>
        <w:ind w:firstLine="480" w:firstLineChars="200"/>
        <w:jc w:val="both"/>
        <w:rPr>
          <w:rFonts w:hint="eastAsia" w:ascii="仿宋_GB2312" w:hAnsi="宋体" w:eastAsia="仿宋_GB2312"/>
          <w:sz w:val="24"/>
          <w:szCs w:val="22"/>
        </w:rPr>
        <w:sectPr>
          <w:pgSz w:w="16838" w:h="11906" w:orient="landscape"/>
          <w:pgMar w:top="1797" w:right="1440" w:bottom="1797" w:left="1531" w:header="851" w:footer="851" w:gutter="0"/>
          <w:cols w:space="425" w:num="1"/>
          <w:docGrid w:type="linesAndChars" w:linePitch="326" w:charSpace="0"/>
        </w:sectPr>
      </w:pPr>
    </w:p>
    <w:p>
      <w:pPr>
        <w:keepLines/>
        <w:widowControl w:val="0"/>
        <w:spacing w:before="240" w:after="120" w:line="360" w:lineRule="auto"/>
        <w:contextualSpacing/>
        <w:outlineLvl w:val="1"/>
        <w:rPr>
          <w:rFonts w:hint="eastAsia" w:ascii="仿宋_GB2312" w:hAnsi="宋体" w:eastAsia="仿宋_GB2312"/>
          <w:b/>
          <w:kern w:val="0"/>
          <w:sz w:val="28"/>
          <w:szCs w:val="28"/>
          <w:lang w:bidi="en-US"/>
        </w:rPr>
      </w:pPr>
      <w:r>
        <w:rPr>
          <w:rFonts w:hint="eastAsia" w:ascii="仿宋_GB2312" w:hAnsi="宋体" w:eastAsia="仿宋_GB2312"/>
          <w:b/>
          <w:kern w:val="0"/>
          <w:sz w:val="28"/>
          <w:szCs w:val="28"/>
          <w:lang w:bidi="en-US"/>
        </w:rPr>
        <w:t>四、点位表</w:t>
      </w:r>
    </w:p>
    <w:tbl>
      <w:tblPr>
        <w:tblStyle w:val="64"/>
        <w:tblW w:w="864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2160"/>
        <w:gridCol w:w="1080"/>
        <w:gridCol w:w="1080"/>
        <w:gridCol w:w="1080"/>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640" w:type="dxa"/>
            <w:gridSpan w:val="7"/>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电子职高丁桥校区校园监控点位表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位置</w:t>
            </w: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点位地址</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枪式摄像机</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警戒摄像机</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黑光摄像机</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全景摄像机</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周界防范摄像机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restart"/>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地下室车库</w:t>
            </w: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出入口</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通道</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14</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restart"/>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一层</w:t>
            </w: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实训室</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走廊</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门厅</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厕所前</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restart"/>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二层</w:t>
            </w: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厕所前</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楼梯口</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电梯口</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restart"/>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三层</w:t>
            </w: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厕所前</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楼梯口</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通道</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电梯口</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vMerge w:val="restart"/>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四层</w:t>
            </w: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厕所前</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楼梯口</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通道</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电梯口</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restart"/>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五层</w:t>
            </w: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厕所前</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楼梯口</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通道</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电梯口</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restart"/>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六层</w:t>
            </w: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厕所前</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楼梯口</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通道</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restart"/>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七层</w:t>
            </w: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厕所前</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楼梯口</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通道</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电梯口</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restart"/>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八层</w:t>
            </w: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厕所前</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楼梯口</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通道</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电梯口</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restart"/>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九层</w:t>
            </w: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厕所前</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楼梯口</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通道</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电梯口</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restart"/>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十层</w:t>
            </w: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厕所前</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楼梯口</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通道</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电梯口</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restart"/>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十一层</w:t>
            </w: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厕所前</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楼梯口</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通道</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电梯口</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屋顶</w:t>
            </w: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屋顶</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40" w:type="dxa"/>
            <w:gridSpan w:val="2"/>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小计</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94</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60" w:type="dxa"/>
            <w:gridSpan w:val="6"/>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行政图书综合楼</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vMerge w:val="restart"/>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一层</w:t>
            </w: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大厅</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学生阅览室通道</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侧门入口</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走廊</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restart"/>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二层</w:t>
            </w: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休息前厅</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走廊</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三层</w:t>
            </w: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走廊</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四层</w:t>
            </w: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走廊</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五层</w:t>
            </w: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走廊</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屋顶</w:t>
            </w: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屋顶</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40" w:type="dxa"/>
            <w:gridSpan w:val="2"/>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小计</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15</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60" w:type="dxa"/>
            <w:gridSpan w:val="6"/>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教学楼南、北</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restart"/>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一层</w:t>
            </w: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走廊</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连廊</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楼梯口</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厕所前</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restart"/>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二层</w:t>
            </w: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走廊</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连廊</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楼梯口</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厕所前</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restart"/>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三层</w:t>
            </w: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走廊</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楼梯口</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厕所前</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restart"/>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四层</w:t>
            </w: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走廊</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楼梯口</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厕所前</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vMerge w:val="restart"/>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五层</w:t>
            </w: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走廊</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楼梯口</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厕所前</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屋顶</w:t>
            </w: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屋顶</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240" w:type="dxa"/>
            <w:gridSpan w:val="2"/>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小计</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74</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60" w:type="dxa"/>
            <w:gridSpan w:val="6"/>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体艺馆</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restart"/>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一层</w:t>
            </w: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门厅</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走廊</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楼梯</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restart"/>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二层</w:t>
            </w: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舞台</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篮球场</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6</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40" w:type="dxa"/>
            <w:gridSpan w:val="2"/>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小计</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17</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60" w:type="dxa"/>
            <w:gridSpan w:val="6"/>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一#宿舍楼</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restart"/>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一层</w:t>
            </w: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入口</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走廊</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restart"/>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二层</w:t>
            </w: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楼梯口</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走廊</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restart"/>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三层</w:t>
            </w: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楼梯口</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走廊</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restart"/>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四层</w:t>
            </w: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楼梯口</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走廊</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restart"/>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五层</w:t>
            </w: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楼梯口</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走廊</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restart"/>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六层</w:t>
            </w: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楼梯口</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走廊</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屋顶</w:t>
            </w: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屋顶</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40" w:type="dxa"/>
            <w:gridSpan w:val="2"/>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小计</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35</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60" w:type="dxa"/>
            <w:gridSpan w:val="6"/>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操场</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看台</w:t>
            </w: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对照</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2（围墙上拆下来的球机）</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40" w:type="dxa"/>
            <w:gridSpan w:val="2"/>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小计</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0</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60" w:type="dxa"/>
            <w:gridSpan w:val="6"/>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食堂</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restart"/>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一层</w:t>
            </w: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通道</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电梯口</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切配</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restart"/>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2层</w:t>
            </w: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通道</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楼梯口</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充值室</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入口</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restart"/>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3层</w:t>
            </w: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通道</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7</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楼梯口</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4层</w:t>
            </w: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楼梯口</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40" w:type="dxa"/>
            <w:gridSpan w:val="2"/>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小计</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22</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auto" w:fill="auto"/>
            <w:noWrap/>
            <w:vAlign w:val="bottom"/>
          </w:tcPr>
          <w:p>
            <w:pP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080" w:type="dxa"/>
            <w:vMerge w:val="restart"/>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周界</w:t>
            </w: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主要通道</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17（围墙上拆下来的球机）</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6</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shd w:val="clear" w:color="auto" w:fill="auto"/>
            <w:noWrap w:val="0"/>
            <w:vAlign w:val="center"/>
          </w:tcPr>
          <w:p>
            <w:pPr>
              <w:rPr>
                <w:rFonts w:hint="eastAsia" w:ascii="仿宋_GB2312" w:hAnsi="宋体" w:eastAsia="仿宋_GB2312" w:cs="宋体"/>
                <w:kern w:val="0"/>
                <w:szCs w:val="21"/>
              </w:rPr>
            </w:pPr>
          </w:p>
        </w:tc>
        <w:tc>
          <w:tcPr>
            <w:tcW w:w="216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围墙</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40" w:type="dxa"/>
            <w:gridSpan w:val="2"/>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小计</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0</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6</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40" w:type="dxa"/>
            <w:gridSpan w:val="2"/>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总计</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257</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6</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6</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08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40</w:t>
            </w:r>
          </w:p>
        </w:tc>
      </w:tr>
    </w:tbl>
    <w:p>
      <w:pPr>
        <w:widowControl w:val="0"/>
        <w:spacing w:line="360" w:lineRule="auto"/>
        <w:ind w:firstLine="480" w:firstLineChars="200"/>
        <w:jc w:val="both"/>
        <w:rPr>
          <w:rFonts w:hint="eastAsia" w:ascii="仿宋_GB2312" w:hAnsi="宋体" w:eastAsia="仿宋_GB2312"/>
          <w:sz w:val="24"/>
          <w:szCs w:val="22"/>
        </w:rPr>
      </w:pPr>
    </w:p>
    <w:p>
      <w:pPr>
        <w:widowControl w:val="0"/>
        <w:spacing w:line="360" w:lineRule="auto"/>
        <w:ind w:firstLine="480" w:firstLineChars="200"/>
        <w:jc w:val="both"/>
        <w:rPr>
          <w:rFonts w:hint="eastAsia" w:ascii="仿宋_GB2312" w:hAnsi="宋体" w:eastAsia="仿宋_GB2312"/>
          <w:sz w:val="24"/>
          <w:szCs w:val="22"/>
        </w:rPr>
      </w:pPr>
    </w:p>
    <w:p>
      <w:pPr>
        <w:keepLines/>
        <w:widowControl w:val="0"/>
        <w:spacing w:before="240" w:after="120" w:line="360" w:lineRule="auto"/>
        <w:contextualSpacing/>
        <w:outlineLvl w:val="1"/>
        <w:rPr>
          <w:rFonts w:hint="eastAsia" w:ascii="仿宋_GB2312" w:hAnsi="宋体" w:eastAsia="仿宋_GB2312"/>
          <w:b/>
          <w:kern w:val="0"/>
          <w:sz w:val="28"/>
          <w:szCs w:val="28"/>
          <w:lang w:bidi="en-US"/>
        </w:rPr>
      </w:pPr>
      <w:r>
        <w:rPr>
          <w:rFonts w:hint="eastAsia" w:ascii="仿宋_GB2312" w:hAnsi="宋体" w:eastAsia="仿宋_GB2312"/>
          <w:b/>
          <w:kern w:val="0"/>
          <w:sz w:val="28"/>
          <w:szCs w:val="28"/>
          <w:lang w:bidi="en-US"/>
        </w:rPr>
        <w:t>五、设备清单</w:t>
      </w:r>
    </w:p>
    <w:tbl>
      <w:tblPr>
        <w:tblStyle w:val="64"/>
        <w:tblW w:w="944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1915"/>
        <w:gridCol w:w="5610"/>
        <w:gridCol w:w="716"/>
        <w:gridCol w:w="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00" w:type="dxa"/>
            <w:shd w:val="clear" w:color="000000" w:fill="FFFFFF"/>
            <w:noWrap w:val="0"/>
            <w:vAlign w:val="center"/>
          </w:tcPr>
          <w:p>
            <w:pPr>
              <w:jc w:val="both"/>
              <w:rPr>
                <w:rFonts w:hint="eastAsia" w:ascii="仿宋_GB2312" w:hAnsi="宋体" w:eastAsia="仿宋_GB2312" w:cs="宋体"/>
                <w:b/>
                <w:bCs/>
                <w:kern w:val="0"/>
                <w:szCs w:val="21"/>
              </w:rPr>
            </w:pPr>
            <w:r>
              <w:rPr>
                <w:rFonts w:hint="eastAsia" w:ascii="仿宋_GB2312" w:hAnsi="宋体" w:eastAsia="仿宋_GB2312" w:cs="宋体"/>
                <w:b/>
                <w:bCs/>
                <w:kern w:val="0"/>
                <w:szCs w:val="21"/>
              </w:rPr>
              <w:t>序号</w:t>
            </w:r>
          </w:p>
        </w:tc>
        <w:tc>
          <w:tcPr>
            <w:tcW w:w="1915" w:type="dxa"/>
            <w:shd w:val="clear" w:color="000000" w:fill="FFFFFF"/>
            <w:noWrap w:val="0"/>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名称</w:t>
            </w:r>
          </w:p>
        </w:tc>
        <w:tc>
          <w:tcPr>
            <w:tcW w:w="5610" w:type="dxa"/>
            <w:shd w:val="clear" w:color="000000" w:fill="FFFFFF"/>
            <w:noWrap w:val="0"/>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招标参数</w:t>
            </w:r>
          </w:p>
        </w:tc>
        <w:tc>
          <w:tcPr>
            <w:tcW w:w="716" w:type="dxa"/>
            <w:shd w:val="clear" w:color="000000" w:fill="FFFFFF"/>
            <w:noWrap w:val="0"/>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数量</w:t>
            </w:r>
          </w:p>
        </w:tc>
        <w:tc>
          <w:tcPr>
            <w:tcW w:w="599" w:type="dxa"/>
            <w:shd w:val="clear" w:color="000000" w:fill="FFFFFF"/>
            <w:noWrap w:val="0"/>
            <w:vAlign w:val="center"/>
          </w:tcPr>
          <w:p>
            <w:pPr>
              <w:jc w:val="center"/>
              <w:rPr>
                <w:rFonts w:hint="eastAsia" w:ascii="仿宋_GB2312" w:hAnsi="宋体" w:eastAsia="仿宋_GB2312" w:cs="宋体"/>
                <w:b/>
                <w:bCs/>
                <w:kern w:val="0"/>
                <w:szCs w:val="21"/>
              </w:rPr>
            </w:pPr>
            <w:r>
              <w:rPr>
                <w:rFonts w:hint="eastAsia" w:ascii="仿宋_GB2312" w:hAnsi="宋体" w:eastAsia="仿宋_GB2312" w:cs="宋体"/>
                <w:b/>
                <w:bCs/>
                <w:kern w:val="0"/>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440" w:type="dxa"/>
            <w:gridSpan w:val="5"/>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一、前端部分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300万像素红外防水枪型网络摄像机</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具有300万像素CMOS传感器。</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最大分辨率2048x1536。</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需具有20路取流路数能力，以满足更多用户同时在线访问摄像机视频。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最低照度彩色：0.001lx，黑白：0.0001lx，灰度等级不小于11级。</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红外补光距离不小于85米。</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需支持三码流技术，可同时输出三路码流，主码流最高2048x1536@30fps，第三码流最大2048x1536@30fps，子码流704x576@30fps。</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在2048x1536@25fps下，清晰度不小于1400TVL。</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在IE浏览器下，具有H.264、H.265、MJPEG视频编码格式，可将H.264、H.265格式设置为Baseline/Main/HighProfile</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信噪比不小于55dB。</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需具备人脸抓拍、区域入侵检测、越界检测、虚焦检测、进入区域、离开区域、徘徊、人员聚集、逆行、场景变更等功能。</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需具有电子防抖、ROI感兴趣区域、SVC可伸缩编码、自动增益、背光补偿、数字降噪、强光抑制、走廊模式、视频水印等功能。</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摄像机能够在-30~60摄氏度，湿度小于93%环境下稳定工作。</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设备与客户端之间用100米网线进行传输，数据包丢包率不大于0.1%。</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不低于IP67防尘防水等级。</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需具有1个RJ-4510M/100M自适应网络接口。</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需支持DC12V供电，且在不小于DC12V±30%范围内变化时可以正常工作。</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257</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摄像机支架</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配套</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257</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200万黑光摄像机</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具有200万像素星光级 CMOS传感器。镜头接口应采用C或CS接口。</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内置两个图像传感器，分别输出黑白及彩色图像，可对视频图像进行融合输出。（提供权威部门检测报告证明）</w:t>
            </w:r>
          </w:p>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最低照度彩色：0.0002 lx，黑白:0.0001 lx，最大亮度鉴别等级（灰度等级）不小于11级。红外补光距离不小于200米。</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需支持四码流技术，主码流最高1920x1080@60fps，子码流704x576@50fps，第三码流1920x1080@30fps，第四码流1920x1080@30fps。</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在1920x1080 @ 25fps下，清晰度不小于1100TVL。</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支持H.264、H.265、MJPEG视频编码格式，且具有High Profile编码能力。</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信噪比不小于58dB。</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需具不小于106dB宽动态。</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需具备人脸检测、区域入侵检测、越界检测、进入区域、离开区域、徘徊、人员聚集、逆行、场景变更、虚焦检测、音频异常检测等功能。</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摄像机能够在-40~70摄氏度，湿度小于93%环境下稳定工作。</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需具有1个RJ45网络接口、1个RS232接口、1路CVBS视频输出、2路报警输入、1路报警输出接口、1个音频输入、1个音频输出接口，需支持MP2L2、AAC和PCM音频编码。</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需支持AC24V供电，且在不小于AC24V±30%范围内变化时可以正常工作。</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需支持本地SD卡存储，最大支持256G，并支持存储卡损坏程度、剩余存储时间显示，当存储卡损坏程度达到阈值时可给出报警提示。</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▲支持对存储卡进行读写锁定，锁定后的存储卡在移动终端需要密码才能访问。（提供权威部门检测报告证明）</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设备与客户端之间用200米网线进行传输，数据包丢包率不大于0.1%。</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6</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黑光摄像机支架</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配套</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6</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5</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楼顶警戒摄像机</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具有400万像素 CMOS传感器。</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▲内置GPU芯片。内置红外与白光补光灯。支持白光报警功能，当报警产生时，可触发联动声音警报和白光闪烁。（提供权威部门检测报告证明）</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最低照度彩色：0.0008 lx，黑白：0.0001 lx，灰度等级不小于11级。</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红外补光距离不小于85米。</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需支持三码流技术，可同时输出三路码流，主码流最高2560x1440@30fps，第三码流最大2560x1440 @ 30fps，子码流704x576@30fps。在2560x1440 @ 25fps下，清晰度不小于1400TVL。</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支持H.264、H.265、MJPEG视频编码格式，其中H.264支持Baseline/Main/High Profile。</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信噪比不小于55dB。</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需具有电子防抖、ROI感兴趣区域、SVC可伸缩编码、自动增益、背光补偿、数字降噪、强光抑制、防红外过曝等功能。</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摄像机能够在-30~60摄氏度，湿度小于93%环境下稳定工作。</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不低于IP67防尘防水等级。</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需支持DC12V供电，且在不小于DC12V±30%范围内变化时可以正常工作。</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同一静止场景相同图像质量下，设备在H.265编码方式时，开启智能编码功能和不开启智能编码相比，码率节约1/2。</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6</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6</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警戒摄像机支架</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配套</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6</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7</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周界防范摄像机</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具有300万像素CMOS传感器。</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最低照度彩色：0.001lx，黑白:0.0001lx，灰度等级不小于11级。</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红外补光距离不小于85米。</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需支持三码流技术，主码流最高2048x1536@30fps，第三码流最大2048x1536@30fps，子码流704x576@30fps。</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在2048x1536@25fps下，清晰度不小于1400TVL。</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支持H.264、H.265、MJPEG视频编码格式，且具有HighProfile编码能力。</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需具备人脸检测、区域入侵检测、越界检测、虚焦检测、进入区域、离开区域、徘徊、人员聚集、逆行、场景变更等功能。</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可开启或关闭智能后检索功能。</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▲同一静止场景相同图像质量下，设备在H.265编码方式时，开启智能编码功能和不开启智能编码相比，码率节约1/2。（提供权威部门检测报告证明）</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需具有ROI感兴趣区域、SVC可伸缩编码、自动增益、背光补偿、数字降噪、强光抑制、防红外过曝等功能。</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不低于IP67防尘防水等级。</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需具有1个RJ-4510M/100M自适应网络接口。</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需支持DC12V供电，且在不小于DC12V±30%范围内变化时可以正常工作。</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40</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周界摄像机支架</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配套</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40</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9</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电梯专用摄像机</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配电梯楼层感应器；l </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采用200万逐行扫描CMOS,捕捉运动图像无锯齿；</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支持同轴高清输出和标清CVBS模拟输出(复用1路BNC接口)，可由拨码相互切换(默认HDTVI输出)；</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低照度,0.01Lux @ (F1.2,AGC ON),0 Lux with IR；</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支持ICR红外滤片式自动切换,自动彩转黑功能,实现昼夜监控；</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支持OSD菜单控制,适合客户自定义设置；</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支持智能SMART IR功能,有效防止近距离红外过曝问题‘</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支持RS485功能,配合楼层感应器，可显示所在楼层(-7楼~98楼）；</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工程设计先进,三轴旋转,可靠性高；</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防暴等级IK07；</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支持同轴视控(HIKVISION-C)功能</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全景摄像机</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自带镜头，另配4个图像采集模块，可输出1路主视频图像和4路辅视频图像。可将4个辅视频图像进行无缝拼接，实现180°拼接画面显示，并抓拍拼接后的图像。拼接后的辅视频图像：水平视场角为180°，垂直视场角为80°</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全景摄像机和细节跟踪摄像机均采用1/1.8" 2MP  CMOS</w:t>
            </w:r>
          </w:p>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内置GPU芯片（提供权威部门检测报告证明）</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主视频图像：1920×1080@60fps，辅视频图像：4096×1800@30fps，其中主视频图像分辨力不小于1100线。</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主视频支持不小于37倍光学变倍，镜头最大焦距不小于208mm</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彩色：0.0003lux；黑白：0.0001lux</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具备较强的网络自适应能力，在丢包率为25%的网络环境下，仍可正常显示监视画面。</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支持水平手控速度不小于800°/S，云台定位精度为不大于0.1°。垂直手控速度不小于200°/S</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水平连续360°旋转。垂直旋转范围为-20°~90°</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支持7路报警输入接口，2路报警输出接口，支持1路音频输入，1路输出接口。</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支持500个预置位，支持32条巡航扫描，每条巡航路径可设置16个预置点。</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具备本地存储功能，支持SD卡热插拔，最大支持256GB。</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支持五码流同时输出，主码流球机摄像机通道支持输出1920×1080@50fps图像、全景通道支持输出4096×1800@25fps图像；第五码流球机摄像机通道支持输出1920×1080@50fps图像、全景通道支持输出2048×896@25fps图像。</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支持区域入侵、越界入侵、徘徊、物品遗留、物品移除、音频异常、人员聚集、快速移动、进入区域、离开区域，并联动报警。</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产品支持定位联动功能，可自动或手动标定辅视频图像及主视频图像，使通过客户端软件或IE浏览器在辅视频图像中点击或框选任意区域后，在主视频图像旋转角度范围允许的条件下，可将该区域处于主视频图像中央。</w:t>
            </w:r>
          </w:p>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产品支持在自动跟踪模式下，最多对60个目标进行检测并抓拍。（提供权威部门检测报告证明）</w:t>
            </w:r>
          </w:p>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电源具有较强适应性，电源电压在DC36V±47%范围内变化时，摄像机可以正常工作</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红外灯开启时，全景摄像机可根据被摄物的距离自动调节红外灯功率密度。红外夜视距离：可识别距离全景摄像机550m外人体轮廓当全景摄像机检测到雾的浓度达到设定的阈值时，可自动在算法透雾和光学透雾之间进行切换。具有三种滤光片，在白天、夜晚及有雾情况下可自动切换不同的滤光片进行成像。三片滤光片透过率均不小于95%。（提供权威部门检测报告证明）</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11</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全局摄像机</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设备可输出两路视频图像：通道1、通道2。支持同时输出3路码流，且通道1、通道2的主码流、第三码流同时支持1920×1080、60帧/秒。</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视频输出支持分辨率设置为1920x1080，帧率设置为25fps，分辨力不小于1100线。</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支持最低照度可达彩色0.0003Lux，黑白0.0001Lux。</w:t>
            </w:r>
          </w:p>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在设定的侦测区域内有目标移动时，设备可联动开启白光灯并抓拍图像。</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支持水平、垂直旋转，水平手控速度不小于240°/s，定位准确度不大于0.1°。</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设备支持设置300个预置位和18条巡航路径，支持自动扫描和守望功能。</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设备支持断电记忆、背光补偿功能。</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支持快速聚焦功能，录像通过单帧回放时应能保证每帧画面清晰稳定。</w:t>
            </w:r>
          </w:p>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设备可对30米处的行人进行人脸抓拍，并可生成分辨率不小于110×120的人脸图片。（提供权威部门检测报告证明）</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设备在距离10米处，抓拍准确率不小于97%；设备在距离30米处，抓拍准确率不小于92%。通道1检测到且框出移动目标至通道2摄像机开始转动的时间不大于0.2秒。（提供权威部门检测报告证明）</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支持本机存储功能，支持SD卡热插拔，SD卡最大支持256GB。</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电压在DC12V±20%范围内变化时，设备可正常工作，工作温度范围可达-45℃-70℃，支持IP67。</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12</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人脸识别一体机</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设备应具有以下接口类型及相应数量：TCP/IP接口1个；RS485通讯接口1个；Wiegand通讯接口1个；USB2.0接口1个；报警输入接口2个；门磁输入接口1个；开门按钮接口1个；电锁输出接口1个；报警输出接口1个7寸电容触摸屏；设备应能显示时间、日期、星期，及刷卡时显示工号、用户名、用户照片等信息。（提供权威部门检测报告证明）</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系统主要操作响应时间小于2s，电控锁响应时间应小于等于1s，报警响应时间应小于等于1s。设备具有如下门禁功能：</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1. 反潜回（防跟随）功能</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2. 认证方式：人脸识别、刷卡、密码，持上述任意一种、任意两组组合、任意三组组合认证开门</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3. 多重卡认证开门</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4. 多重卡+中心远程认证开门</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5. 多重卡+超级密码开门</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6. 多重卡+超级卡开门</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7. 首卡开门</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8. 超级权限开门</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9. 中心远程开门</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10. 单向刷卡（人脸）和双向刷卡（人脸）开门</w:t>
            </w:r>
          </w:p>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系统应支持最多支持50000张卡片容量管理；20000张人脸容量；支持最多50000条事件存储。（提供权威部门检测报告证明）</w:t>
            </w:r>
          </w:p>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设备应具有2路入侵探测接口，能联动报警输出。</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设备支持在线升级功能；设备支持本地U盘升级功能。</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设备应具有防拆功能，强力拆除时，可上传报警事件到中心</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设备应支持1路200W可见光，1路200W红外补光摄像头。</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抓拍图片可叠加显示卡号、用户名字等用户信息。</w:t>
            </w:r>
          </w:p>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设备应支持人脸真人检测：只有当人脸识别后并检测为真人时，整体认证才能通过。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设备可外接副读卡器（通过RS485或wiegand接口方式），实现进出双向刷卡功能。</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13</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室外人脸抓拍机</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具有不小于1/1.8"靶面尺寸。</w:t>
            </w:r>
          </w:p>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内置GPU芯片。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支持通过浏览器控制设备聚焦及变焦，变焦过程中可自动聚焦。</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信噪比不小于60dB。</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需支持五码流技术，主码流最高≥1920x1080@25fps；子码流≥704x576@25fps；第三码流最高≥1920x1080@25fps；第四码流最高≥704x576@25fps；第五码流最高≥704x576@25fps。</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最低照度彩色：0.001 lx，黑白:0.0001 lx，最大亮度鉴别等级（灰度等级）不小于11级。</w:t>
            </w:r>
          </w:p>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自带点阵白光灯，补光距离不小于50米，并可分别调节远光灯、近光灯的亮度。（提供权威部门检测报告证明）</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支持H.264、H.265、MJPEG视频编码格式，且具有High Profile编码能力。</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支持检出两眼瞳距20像素点以上的人脸图片。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支持单场景同时检出不少于30张人脸图片，并支持面部跟踪。</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人脸检出率不小于99%。</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在丢包率设置为20%的网络环境下，可正常显示监视画面。</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支持人脸抓拍功能，可对经过设定区域的行人进行人脸检测和人脸跟踪，当检测到人脸后，可抓拍人脸图片，抓拍图片数量可设。</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需支持本地SD卡存储，最大支持256G。</w:t>
            </w:r>
          </w:p>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支持对存储卡进行读写锁定，锁定后的存储卡在移动终端需要密码才能访问。（提供权威部门检测报告证明）</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不低于IP67防尘防水、IK10防暴等级。</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需具有1个RJ45接口、1路RS485、2路RS232、1个CVBS接口、1路音频输入、1路音频输出、2路报警输入、2路报警输出、1个SD卡卡槽、1个复位按键。</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14</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逆光人脸抓拍机</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200万1/1.8” CMOS 智能人脸枪机护罩一体化网络摄像机</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镜头3.8~16mm 适用于常规监控和常规人脸抓拍</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最低照度:彩色:0.0002 Lux @(F1.2,AGC ON)；黑白:0.0001Lux @(F1.2,AGC ON)</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视频压缩标准:H.265/H.264 / MJPEG</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 xml:space="preserve">存储功能:支持Micro SD/SDHC /SDXC卡(128G)断网本地存储,NAS(NFS,SMB/CIFS均支持) </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人脸抓拍:支持对运动人脸进行检测、跟踪、抓拍、评分、筛选，输出最优的人脸抓图</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抓图分辨率:分辨率：1920*1080/1280*720可选</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背景大图图片字符叠加功能:支持设备编号、抓拍时间、监测点信息</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抓拍次数:支持抓拍次数（1-10次）可设</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人脸曝光支持</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宽动态:120dB</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智能补光:设备内置高效白光阵列灯，可定时开启</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音频接口:1对3.5mm音频输入(Mic in/Line in)/输出外部接口，1个内置麦克风（可关闭）</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通讯接口:1 个RJ45 10M / 100M /1000M自适应以太网口,1个RS-485接口</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报警输入2路</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报警输出2路</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工作温度和湿度:-30℃~60℃,湿度小于95%(无凝结)</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15</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抓拍机支架</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配套</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16</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吊装支架</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配套</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17</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摄像机立杆含基础</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国产优质（含基础、地笼、安装），高≥3.5m</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23</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18</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机架式电源</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机柜密集型机架式稳压电源，电压可调型AC24V/DC12V 40A</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18</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tcBorders>
              <w:bottom w:val="single" w:color="auto" w:sz="4" w:space="0"/>
            </w:tcBorders>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19</w:t>
            </w:r>
          </w:p>
        </w:tc>
        <w:tc>
          <w:tcPr>
            <w:tcW w:w="1915" w:type="dxa"/>
            <w:tcBorders>
              <w:bottom w:val="single" w:color="auto" w:sz="4" w:space="0"/>
            </w:tcBorders>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监控电源</w:t>
            </w:r>
          </w:p>
        </w:tc>
        <w:tc>
          <w:tcPr>
            <w:tcW w:w="5610" w:type="dxa"/>
            <w:tcBorders>
              <w:bottom w:val="single" w:color="auto" w:sz="4" w:space="0"/>
            </w:tcBorders>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DC12V/5A</w:t>
            </w:r>
          </w:p>
        </w:tc>
        <w:tc>
          <w:tcPr>
            <w:tcW w:w="716" w:type="dxa"/>
            <w:tcBorders>
              <w:bottom w:val="single" w:color="auto" w:sz="4" w:space="0"/>
            </w:tcBorders>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40</w:t>
            </w:r>
          </w:p>
        </w:tc>
        <w:tc>
          <w:tcPr>
            <w:tcW w:w="599" w:type="dxa"/>
            <w:tcBorders>
              <w:bottom w:val="single" w:color="auto" w:sz="4" w:space="0"/>
            </w:tcBorders>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20</w:t>
            </w:r>
          </w:p>
        </w:tc>
        <w:tc>
          <w:tcPr>
            <w:tcW w:w="191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室外防水光纤电源箱</w:t>
            </w:r>
          </w:p>
        </w:tc>
        <w:tc>
          <w:tcPr>
            <w:tcW w:w="561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不锈钢定制室外防水型400*500*300</w:t>
            </w:r>
          </w:p>
        </w:tc>
        <w:tc>
          <w:tcPr>
            <w:tcW w:w="716"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99"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tcBorders>
              <w:top w:val="single" w:color="auto" w:sz="4" w:space="0"/>
            </w:tcBorders>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21</w:t>
            </w:r>
          </w:p>
        </w:tc>
        <w:tc>
          <w:tcPr>
            <w:tcW w:w="1915" w:type="dxa"/>
            <w:tcBorders>
              <w:top w:val="single" w:color="auto" w:sz="4" w:space="0"/>
            </w:tcBorders>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网络防雷器</w:t>
            </w:r>
          </w:p>
        </w:tc>
        <w:tc>
          <w:tcPr>
            <w:tcW w:w="5610" w:type="dxa"/>
            <w:tcBorders>
              <w:top w:val="single" w:color="auto" w:sz="4" w:space="0"/>
            </w:tcBorders>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网络额定放电电流In(8/20)uS)：10 KA</w:t>
            </w:r>
          </w:p>
        </w:tc>
        <w:tc>
          <w:tcPr>
            <w:tcW w:w="716" w:type="dxa"/>
            <w:tcBorders>
              <w:top w:val="single" w:color="auto" w:sz="4" w:space="0"/>
            </w:tcBorders>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311</w:t>
            </w:r>
          </w:p>
        </w:tc>
        <w:tc>
          <w:tcPr>
            <w:tcW w:w="599" w:type="dxa"/>
            <w:tcBorders>
              <w:top w:val="single" w:color="auto" w:sz="4" w:space="0"/>
            </w:tcBorders>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22</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电源防雷</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电源额定放电电流In(8/20)uS)：10 KA</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311</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9440" w:type="dxa"/>
            <w:gridSpan w:val="5"/>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二、周界振动光纤部分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2防区振动光纤处理器</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2防区振动光纤处理器(含不锈钢防水箱)；采用迈克尔逊光纤干涉传感技术;防区探测距离达1500米;探测灵敏度达到10m/s2;有3路继电器输出，具有RJ45通讯接口；报警响应时间</w:t>
            </w:r>
            <w:r>
              <w:rPr>
                <w:rFonts w:hint="eastAsia" w:ascii="宋体" w:hAnsi="宋体" w:cs="宋体"/>
                <w:kern w:val="0"/>
                <w:szCs w:val="21"/>
              </w:rPr>
              <w:t>≦</w:t>
            </w:r>
            <w:r>
              <w:rPr>
                <w:rFonts w:hint="eastAsia" w:ascii="仿宋_GB2312" w:hAnsi="宋体" w:eastAsia="仿宋_GB2312" w:cs="宋体"/>
                <w:kern w:val="0"/>
                <w:szCs w:val="21"/>
              </w:rPr>
              <w:t>2秒，误报率</w:t>
            </w:r>
            <w:r>
              <w:rPr>
                <w:rFonts w:hint="eastAsia" w:ascii="宋体" w:hAnsi="宋体" w:cs="宋体"/>
                <w:kern w:val="0"/>
                <w:szCs w:val="21"/>
              </w:rPr>
              <w:t>≦</w:t>
            </w:r>
            <w:r>
              <w:rPr>
                <w:rFonts w:hint="eastAsia" w:ascii="仿宋_GB2312" w:hAnsi="宋体" w:eastAsia="仿宋_GB2312" w:cs="宋体"/>
                <w:kern w:val="0"/>
                <w:szCs w:val="21"/>
              </w:rPr>
              <w:t>2%；设备保护：断纤报警/防拆报警；工作温度：-40℃~+70℃；工作湿度：0~95%RH；</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6</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2防区处理主机专用探测光缆</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2防区处理主机专用探测光缆；300米一卷，探测光缆-免熔；单模 铠装光缆，波长1550nm；防腐蚀、防氧化、防紫外线、阻燃；使用寿命为10年以上</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14</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不锈钢扎带</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不锈钢扎带；不锈钢扎带用于将探测光缆固定于承载物上；304不锈钢氢退丝线径1.0mm 两端圆环内径8mm 圆心间距150mm</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200</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振动光纤中心控制键盘</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中心控制键盘；报警输入：512路；报警输出：1路；警号供电：DC 12V/500mA；自带键盘：LCD键盘；防拆开关：支持主机防拆报警；定时布撤防：支持（日常计划、优先计划）；网口:1个RJ45 10M/100M自适应；  电源：DC14.3V/2.8A；工作温度：-10℃-- ＋55℃；工作湿度：10％-- 90％；安装方式：壁挂；尺寸（mm）:245*199*35</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5</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振动光纤管理调试软件</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管理调试平台软件；单机版智能控制软件，支持优化前端模型库，配置软件，不含电子地图，需搭载服务器</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6</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服务器</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E3-1220 V5(4核3.0GHz)×1/8GB DDR4×2/1TB SATA×1/1GbE×2/导轨/1U</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简要参数</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电源：350W金牌电源</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7</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16防区网络报警主机</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16个板载有线防区，4路继电器输出（可扩展至16路）</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支持通过网络、电话线方式上传报警数据</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手机APP（报警推送、远程布撤防、消警、防区编程等功能）；支持250条CID报告缓存,支持4000条报警事件记录、2000条操作事件记录，1000条用户管理操作记录，支持远程搜索查询事件日志；支持8个独立控制的子系统和1个公共子系统；支持2组独立的以太网接警中心、2组独立的电话接警中心；支持4个独立中心组，每组可灵活配置报警数据上传策略、冗余备份策略；支持定时布撤防（日常计划、优先计划）支持主机防拆、防移动报警，支持探测器防拆报警；支持外接8个LED/LCD键盘；支持32个遥控器，最大遥控距离100M；支持无线RF控制键盘接入，遥控器回控；支持1路RS485半双工接口、1路RS232接口，1路RJ45；支持外置蓄电池，蓄电池电压实时监测，主辅电源可自动切换支持警号输出、键盘电源、辅助电源防反接和过流保护；支持远程升级,远程导入导出配置参数；支持硬件复位</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报警主机键盘</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报警主机配套键盘</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9</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备用电池</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充电后备电池OT7-12（12V6.5AH，报警主机专用）</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9440" w:type="dxa"/>
            <w:gridSpan w:val="5"/>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三、监控后端部分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32路网络硬盘录像机</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支持设备级联，NVR接入NVR、DVR、XVR设备，选择通道添加；支持查看硬盘健康状态信息，包括温度，震动，链路稳定性。并支持状态信息预警显示；支持查看最近7天（168小时）的硬盘状态显示信息； </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支持本地预览权限的配置，设置权限后的通道只有登录后才会出现预览画面；支持远程预览加密，只有输入密钥才能解开视频；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 xml:space="preserve">支持秒级检索查看硬盘中录像文件；支持重要录像片段秒级检测，秒级检索录像文件中的人员、车辆、人体等活动目标，并以弹窗形式来展示活动目标关联的录像片段； </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图片文件秒级检索，秒级提取硬盘中人脸、车辆、人体等图片文件，用户可快速浏览全部通道中的图片文件；支持缩略图,录像回放中，当鼠标在进度条上移动时，可自动显示该时间点附近的视频画面图片；支持10T容量的SATA接口硬盘；支持硬盘热插拔和休眠；</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可支持最大接入总带宽640Mbps的32路H.265编码、1080p格式的视频图像</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支持整机热备份功能，设置一台备份硬盘录像机，当主设备异常离线时，备份设备替换主设备进行录像，当主设备正常时，备份设备可回传录像文件至主设备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可设置定时抓图、移动侦测抓图、报警抓图、移动侦测且报警抓图、智能侦测抓图、手动抓图，可进行32路抓拍并存储1080P格式的图片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支持通过客户端软件预览或远程回放图像时，可重新编码一路与主码流不同分辨率、帧率、码率的图像</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支持16个SATA接，至少支持2个USB2.0，1个USB3.0接口；2个千兆网口；支持16路报警输入，4路报警输出接口；</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22</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周界防范服务器</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支持周界报警过滤功能，对IPC上报的越界侦测报警和区域入侵报警进行去误报，可去除由树叶、灯光、车辆、阴影以及小动物引起的误报，支持设置检查目标为人体或车辆（提供权威部门检测报告证明）</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支持希捷硬盘健康功能，支持查看并显示硬盘温度、振动、链路稳定性健康状态信息。可查看最近7天内的硬盘状态详细信息</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支持对重要的数据能够进行备份，备份格式MP4和AVI可选，支持实时监测并显示系统正在进行的录像备份任务，可查看剩余录像大小、剩余时间、备份进度百分比和进度条</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报警事件、异常事件实时计算提醒，并以图标形式在监控界面上提醒用户，当有新事件发生时计数自动累加，当用户查看后计数自动清零支持报警输入触发一键撤防功能，撤防的报警类型可选（弹出报警画面、声音警告、上传中心、发送邮件、触发报警输出）（提供权威部门检测报告证明）</w:t>
            </w:r>
          </w:p>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支持缩略图,拖动回放时间进度条，在回放控制条上显示当前拖动时间点的缩略图（提供权威部门检测报告证明）</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 xml:space="preserve">支持设置图案密码，用户通过绘制图案来解锁并登录；具有密码定时提示修改、删除功能，支持密码复杂度登记显示功能； </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支持多屏输出，可设置2组4屏显示输出，每组包含HDMI和VGA接口各一个，同一组内为同源输出，两组之间可以异源输出视频图像。支持64/36/32/25/16/9/8/6/4/1分屏预览；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支持同时输出4路 H.264编码、15fps、4000×3000格式的视频图像</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 xml:space="preserve"> 支持1/8、1/4、1/2、1、2、4、8、16、32、64、128、256等倍速回放录像，支持录像文件剪辑和回放截图功能</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可同时正放或倒放16路H.265编码的视频图像</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可支持最大接入总带宽640Mbps的16路视频图像</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可接入H.265、H.264、MPEG4、SVAC、smart265、smart264视频编码格式的IPC</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支持带有越界、区域入侵、进入/离开区域、人员聚集、快速移动、物品遗留/拿取、停车、徘徊、场景变更、虚焦、音频异常报警、PIR报警功能的网络摄像机接入与相关报警联动功能</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支持RAID0、RAID1、RAID5、RAID6 、RAID10、RAID50、RAID60和JBOD模式，可指定某一块硬盘为热备盘；可设置未进行读写操作的硬盘、Raid组自动处于休眠状态</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支持定时、移动侦测、报警、移动侦测且报警、智能侦测和手动抓图功能，可进行32路抓拍并存储1080P格式的图片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支持8个SATA接口，1个eSATA接口，支持2个USB2.0，1个USB3.0接口；支持个千兆网口；支持16路报警输入，8路报警输出接口</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电梯专用硬盘录像机</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4路视频输入，4路音频输入</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所有通道支持WD1实时编码；</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支持4路同步回放</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支持HDMI、VGA、CVBS同时输出</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1个SATA接口</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专用硬盘</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4TB/64MB(6Gb/秒 NCQ)/5900RPM/SATA3</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184</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5</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人脸比对服务器</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尺寸：19英寸1U机架式标准机箱。电源：支持220V双路或单路可插拔电源接入。热拔插1+1冗余电源模块。接口：支持2块硬盘接口、4个千兆自适应网络接口、1个VGA接口、4个USB3.0接口和2个USB2.0接口；</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支持本地存储1亿条人脸模型及结构化数据；支持本地存储500万人脸图片；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大数据写入情况下,人脸图片建模速度不低于32张/秒；</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支持添加、修改删除人脸抓拍机；支持实时预览人脸抓拍机界面；支持接入不少于32路人脸抓拍机；</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支持单场景同时检出不少于20张人脸照片；支持检出两眼瞳距20像素点以上的人脸图片；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单人图片的人脸检出率不低于99%；单人图片的人脸检出响应时间不超过1秒；</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支持识别人脸性别，人脸性别检出率不低于99%，人脸性别识别准确率不低于99%；</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支持将单张待比对图片与抓拍库或静态库中人脸图片进行比对，输出比对的相似人脸图片；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100万人脸库以脸搜脸检索响应速度不超过3秒；</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以脸搜脸首位命中率不低于95%，以脸搜脸前10位命中率不低于99%，以脸搜前50位命中率不低于99.99%；</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支持批量导入静态库，支持静态库人脸图片信息更改；支持按照性别、年龄段、是否戴眼镜、是否微笑、是否高危人群、点位信息、抓拍时间对历史抓拍人脸图片进行检索与导出；（提供权威部门检测报告证明）</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支持100万人脸检索响应速度不超过1秒；支持导入两张人脸图片进行一对一比对，输出比对相似度，比对性能不低于16对/秒，1V1比对响应时间不超过1秒；（提供权威部门检测报告证明）</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支持按照时间、名称查看检索运行、报警、操作日志，支持日志以文档形式一键导出；</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支持在特定条件下，设备对抓拍的人脸图片进行分析，将分析后的结果与关联的黑名单库进行比较，比对成功时触发报警，并产生报警提示；</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支持黑名单库容量不低于100万；支持将黑名单库分为16个库分别管理，每个库设置不同报警阈值或关联相机；</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100万黑名单库实时报警响应速度不超过1秒；黑名单实时报警首位命中准确率不低于99%；黑名单库实时报警误报率不超过0.01%；黑名单库实时报漏报报率不超过0.1%；（提供权威部门检测报告证明）</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6</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平台服务器</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支持直接注册管理10万台的设备资源容量。支持注册管理2万个用户。支持5000个用户同时在线访问。支持100个用户并发登录。（提供权威部门出具的检测报告证明）</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用户注册时，用户信息可以绑定IP地址与MAC地址；用户登录方式包括普通登录、MAC地址绑定登录、IP地址绑定登录；支持互联网用户域名登录（手机客户端、CS客户端、浏览器访问支持域名方式）；</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在用户进入系统后，进入其他相关系统或者独立子系统不需要再次登录；支持用户只需要登录一次就可以访问所有相互信任的应用系统；</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支持按组织迁移、按资源点迁移监控点、告警器、对讲通道；移动后，配置信息、录像计划、告警计划不变；</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支持各类前端智能、后端智能与采集端的组合配单，支持人脸识别结果等配合发布屏作信息发布；</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支持目标分类布控：可支持多个重点目标库分类按照不同的相似度将目标布控到不同的位置；</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支持客户端一机多屏展示多个预览窗口，或展示不同业务模块；</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支持H.264，Mpeg4，H.265，SVAC等视频编码和G711、G722、AAC等音频编码的视音频预览播放；</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关闭预览界面后，再次打开默认记住上次的画面分割方式；</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支持在地图上可视化展示多个单位的位置及告警数据，如某有新的告警直接提示；支持周界、密度、紧急求助等重要告警的提示；支持告警统计分析及数据导出；</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支持手动备份或还原平台数据库；也支持定时自动备份。</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投标时提供产品登记证书、软件著作权证书。</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投标软件提供商应具有成熟的软件开发体系，需提供产品及平台开发体系CMMI5证书。</w:t>
            </w:r>
          </w:p>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投标硬件要求：4114(10核2.2GHz)×1/32G DDR4/1TB 7.2K  SATA×2/SAS_HBA/1GbE×2/550W(1+1)/2U/16DIMM</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7</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人脸签到屏</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投标产品表面无明显的凹痕、划伤、裂缝、变形和污染。表面涂层均匀,不起泡、无龟裂、无脱落和其他机械损,金属零部件无锈蚀和机械损伤。各操作开关、按键灵活、可开、方便,供用户使用选择的开关便于操作。说明功能的文字、符号和标志内容正确、清晰、端正,所有相关文字使用中文,在此基础有其他语言可选。显示图形与字符清晰可辨。投标产品显示效果出众，具有良好的亮度一致性和色彩一致性，灰度等级≥16级，漏光度≤0.2cd/m2，且具备抗强光干扰功能，可抵抗太阳光等强光干扰，照度在95KLux能正常工作。（提供权威部门检测报告证明）</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投标产品支持智能局部放大功能。可任意选择当前显示画面的某一个区域进行图像放大。</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投标产品支持设备状态实时检测功能。控制客户端和显示单元可以实时显示高温、风扇、在线等运行状态。</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投标产品具备信号备份功能，当第一套信号系统出现故障时，会自动切换到备份信号系统，当系统信号系统恢复后，显示单元会自动换回。</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投标产品可选配手势识别功能，根据手势动作，会识别开关机、调用屏幕菜单、设置屏幕参数等显示单元控制操作。投标产品具备节目管理功能。节目由多个页面（最多32个）组成，页面包括多个窗口（最多16个），同一页面中的窗口类型可以不一样，支持一个页面不同的窗口播放不同的素材，每一个窗口最多放16个素材。同时可以添加时钟窗口（时钟的样式可选），也可以添加节目单背景图。支持功能：新建节目，修改节目（名称、分辨率、属性、描述、窗口），删除节目，复制节目（复制节目模板和完全复制两种），节目预览，审核节目（通过、未通过）；支持的节目分辨率：1920*1080、1080*1920。（提供权威部门检测报告证明）</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投标产品具备日志管理功能。支持功能：日志搜索，导出日志。搜索方式：全部，按时间，按类型（操作，异常，报警，信息）。</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投标产品可设置本地时间，自定义时间，终端时间可记忆。</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投标产品支持蓝牙、WIFI、3G、4G、LAN网络接入。投标产品支持接入NVR、IPC、流媒体服务器直接取流显示，支持取实时流，回放流，可支持4路取流同时显示。</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一体机移动架</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人脸签到屏专用移动架</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9</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监控工作站</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品牌机，I5-4570及以上/内存4G DDR3及以上/ 1T STAT硬盘 7200转/ 1G独立显卡及以上/≥21英寸宽屏LED显示器/ DVD-RW光驱 /Win7操作系统/要求3年原厂保修及上门服务。</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操作台</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四席位操作台</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11</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成品网络跳线</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2米网络成品跳线</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360</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12</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安装附件</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设备接地铜线、扁铜及连接配件，铜轨、空开，报警接线模块，机柜及操作台镀锌螺丝螺母等</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9440" w:type="dxa"/>
            <w:gridSpan w:val="5"/>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四、监控拼接屏部分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LCD显示单元</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LCD显示单元为：46“超窄边液晶屏；物理分辨率达到1920×1080，物理拼缝≤5.3mm，响应时间≤8ms。</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输入接口：VGA×1，DVI×1，BNC×1，HDMI×1。</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LCD显示单元亮度达到600cd/</w:t>
            </w:r>
            <w:r>
              <w:rPr>
                <w:rFonts w:hint="eastAsia" w:ascii="宋体" w:hAnsi="宋体" w:cs="宋体"/>
                <w:kern w:val="0"/>
                <w:szCs w:val="21"/>
              </w:rPr>
              <w:t>㎡</w:t>
            </w:r>
            <w:r>
              <w:rPr>
                <w:rFonts w:hint="eastAsia" w:ascii="仿宋_GB2312" w:hAnsi="仿宋_GB2312" w:eastAsia="仿宋_GB2312" w:cs="仿宋_GB2312"/>
                <w:kern w:val="0"/>
                <w:szCs w:val="21"/>
              </w:rPr>
              <w:t>，对比度达到</w:t>
            </w:r>
            <w:r>
              <w:rPr>
                <w:rFonts w:hint="eastAsia" w:ascii="仿宋_GB2312" w:hAnsi="宋体" w:eastAsia="仿宋_GB2312" w:cs="宋体"/>
                <w:kern w:val="0"/>
                <w:szCs w:val="21"/>
              </w:rPr>
              <w:t>6000:1，图像显示清晰度为950TVL，亮度鉴别等级为11级。</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LCD显示单元采用超宽视角液晶屏，视角可达178°，画面的输出精确和稳定，色彩饱和靓丽，屏幕更加明亮。屏幕漏光度小于0.01cd/</w:t>
            </w:r>
            <w:r>
              <w:rPr>
                <w:rFonts w:hint="eastAsia" w:ascii="宋体" w:hAnsi="宋体" w:cs="宋体"/>
                <w:kern w:val="0"/>
                <w:szCs w:val="21"/>
              </w:rPr>
              <w:t>㎡</w:t>
            </w:r>
            <w:r>
              <w:rPr>
                <w:rFonts w:hint="eastAsia" w:ascii="仿宋_GB2312" w:hAnsi="仿宋_GB2312" w:eastAsia="仿宋_GB2312" w:cs="仿宋_GB2312"/>
                <w:kern w:val="0"/>
                <w:szCs w:val="21"/>
              </w:rPr>
              <w:t>，可抵抗太阳光等强光干扰</w:t>
            </w:r>
            <w:r>
              <w:rPr>
                <w:rFonts w:hint="eastAsia" w:ascii="仿宋_GB2312" w:hAnsi="宋体" w:eastAsia="仿宋_GB2312" w:cs="宋体"/>
                <w:kern w:val="0"/>
                <w:szCs w:val="21"/>
              </w:rPr>
              <w:t>,照度在95KLux能正常工作。提供针对漏光和抗强光的权威部门检测报告证明液晶拼接屏必须采用整机设计，严禁使用飞线屏（供货时如果发现飞线屏，业主有权取消中标资格），显示屏具备完整后壳，不得以支架或挡板替代，无任何裸露在外的电路线，整体美观大方，而且产品符合检测规范，可提供国家级检测机构出具的检测报告里的样品照片佐证。</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LCD显示单元支持HDTVI同轴高清视频信号，带一入一出环通接口。支持分辨率：720P@50Hz/60Hz、720P@25Hz/30Hz、1080P@25Hz/30Hz。</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LCD显示单元支持全接口环通，支持BNC、VGA、DVI、SDI、DP(4K)、S-video等接口的环通，BNC、DVI、VGA、HDMI、SDI、DP(4K)、S-video等信号的环通显示，及RJ45接口环通输出；内置拼接处理引擎，配合环通接口，无需外设拼接控制器可实现自拼接显示。</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LCD显示单元需支持7色独立调整、精确色彩控制、肤色校正功能。内置图像处理引擎支持、RGBCMYF七种颜色亮度(IBC)、色调(IHC)、饱和度(ICC)独立调整。显示器需要具有厂家自带的自动校色系统，不需要人工参与自动对显示器进行色彩属性一致性校准。显示器色温可以以100K为单位，在2000K至10000K之间调节。</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LCD显示单元可将输入的非50Hz/60Hz的图像转换成60Hz输出，彻底解决由于低帧率造成的画面卡顿感，使图像显示相比低帧率的图像更平滑顺畅。</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LCD显示单元内置wifi模块，支持无线管理，支持手机短信及网络邮件报警功能，显示屏出现异常时可通过互联网进行邮件和短信报警。提供第三方检测报告复印件。</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LCD显示单元支持边缘屏蔽功能，智能去除黑边功能，可消除显示终端上存在的黑边，及因拼缝带来的图像变形；</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LCD显示单元采用10bit芯片，显示图像色彩度达到1.07billion，显示256灰阶。（提供权威部门检测报告证明）</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大屏支架</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大屏支架</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室内单色LED显示单元</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投标产品需通过静电放电抗扰度、浪涌抗扰度、射频电磁场辐射抗扰度和温度适应性检测试验。</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投标产品平均无故障工作时间MTBF≥100,000小时，故障平均修复时间MTTR不超过15分钟。</w:t>
            </w:r>
          </w:p>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投标产品LED像素直径3.75mm，像素点间距≤4.75mm；LED灯管的每个像素点由1纯红LED灯构成显示屏有效显示尺寸为4.256*0.304m，</w:t>
            </w:r>
          </w:p>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投标方也可根据自身产品尺寸进行拼接，但是设计显示尺寸长和宽均不得小于规定长宽。</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投标产品水平和垂直视角≥140°；亮度均匀性≥97%。投标产品的显示单元亮度≥600Nits。</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投标产品的LED像素失控率≤1/10000。</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LED显示屏具有良好的防护性，可通过盐雾10级检测试验。投标产品采用无风扇散热、低噪音，而且节能，提供中国质量认证中心出具的环保II型认证证书。</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1.294</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宋体" w:hAnsi="宋体" w:cs="宋体"/>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LED单色控制器</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1）单/双基色异步接收卡</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2）控制点数：8192*128 4096*256 2048*512</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3）区域支持的功能：图文/字幕/动画/农历/时间/模拟表盘/正负计时/温度/温湿度/噪声。</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4）高度最大带载16行，超过8行时宽度最大带载不超过32列</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5</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LED控制软件</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LED演播室（需无版权纠纷）</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6</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LED显示屏支架</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显示专用支架</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7</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图像拼接控制器</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采用嵌入式架构，专用Linux系统，使用DSP解码。为了设备稳定可靠运行，不得采用工控机或者PC机的X86架构。</w:t>
            </w:r>
          </w:p>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要求设备具备，20个RJ45网络接口，1路语音输入，1路语音输出，1个RS232接口，1个RS485接口，8路报警输入，8路报警输出，1个VGA视频输入接口，1个DVI-I输入接口。输出口支持16个HDMI接口，支持16路模拟音频输出，支持8路模拟视频输出。（提供权威部门检测报告证明）</w:t>
            </w:r>
          </w:p>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具有1个电源指示灯，2个硬盘指示灯。</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可通过客户端软件设置HDMI接口输出分辨率为1024×768（60Hz）、1280×1024（60Hz）、1280×720（60Hz）、1280×720（50Hz）、1920×1080（50Hz）、1920×1080（60Hz）、1600×1200（60Hz）、1680×1050（60Hz）、3840x2160（30Hz）。</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可通过客户端软件将1路输入视频图像发送至多个输出接口拼接显示，支持1×2、1×3、1×4、1×5、1×6、1×7、1×8、1×9、1×10、1×11、1×12、1×13、1×14、1×15、1×16、2×1、2×2、2×3、2×4、2×5、2×6、2×7、2×8、3×1、3×2、3×3、3×4、3×5、4×1、4×2、4×3、4×4、5×1、5×2、5×3、6×1、6×2、7×1、7×2、8×1、8×2、9×1、10×1、11×1、12×1、13×1、14×1、15×1、16×1的拼接显示。</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设备通过高温、低温、恒定湿热试验（高温55±2℃，低温-10±3℃，持续时间2H；相对湿度90%~95%、温度40±2℃，持续时间48H）。可对以下分辨率的视频图像进行解码后输出：16路分辨率为4000×3000（20fps）的视频图像；32路分辨率为4096×2160（25fps）的视频图像；32路分辨率为3840×2160（25fps）的视频图像；48路分辨率为2592×1944（30fps，25fps）的视频图像；80路分辨率为2048×1536（30fps）的视频图像；128路分辨率为1920×1080（30fps）的视频图像；256路分辨率为1280×720（30fps）的视频图像。（提供权威部门检测报告证明）可对以下编码格式的视频图像进行解码后输出：H.264、H.265、Smart264、Smart265、MPEG4视频图像。可通过DVI-I视频输入接口接入分辨率为1024×768（60Hz）、800×600（60Hz）、1280×1024（60Hz）、1280×720（60Hz）、1280×720（50Hz）、1280×960（60Hz）、1600×1200（60Hz）、1920×1080（50Hz）、1920×1080（60Hz）、1680×1050（60Hz）、1366×768（60Hz）、1280×800（60Hz）、1440×900（60Hz）的视频图像并显示。</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可通过VGA视频输入接口接入分辨率为1024×768（60Hz）、800×600（60Hz）、1280×1024（60Hz）、1280×720（60Hz）、1280×720（50Hz）、1280×960（60Hz）、1600×1200（60Hz）、1920×1080（50Hz）、1920×1080（60Hz）、1680×1050（60Hz）、1366×768（60Hz）、1280×800（60Hz）、1440×900（60Hz）的视频图像并显示。</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支持解码音频格式为G.722、G.711A、G.726、G.711U、MPEG2-L2、AAC、PCM的文件。</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可通过客户端软件上传分辨率为1920×1080的JPEG图片，作为墙纸显示在窗口图层底图，可通过客户端软件设置底色，当无解码画面时，设备输出显示该底色。</w:t>
            </w:r>
          </w:p>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设备接入具有智能行为分析功能的摄像机，可解码显示智能行为分析信息，包括移动侦测、越界入侵、区域入侵、起身离开等，并上传报警信息。</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大屏幕显示系统控制软件</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大屏幕显示系统控制软件（需无版权纠纷）</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9</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大屏搬迁</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原传达室2*4大屏（含支架）搬迁至消控室内，</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线缆辅材</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大屏原装数据线</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9440" w:type="dxa"/>
            <w:gridSpan w:val="5"/>
            <w:tcBorders>
              <w:bottom w:val="single" w:color="auto" w:sz="4" w:space="0"/>
            </w:tcBorders>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五、监控安防专网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91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安防核心交换机</w:t>
            </w:r>
          </w:p>
        </w:tc>
        <w:tc>
          <w:tcPr>
            <w:tcW w:w="561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主控引擎槽位数≥2，独立业务插槽数≥6个（不含主控引擎槽位、电源风扇槽位）; 整机交换容量≥10Tbps（未来可扩展至≥25Tbps），包转发率≥1900Mpps（未来可扩展至≥7600Mpps）接口要求：支持百兆千兆、万兆的以太网电口和光口，要求所有接口板必须是分布式转发工作模式  IPv4协议：硬件支持分布式IPv4线速处理，其中路由协议必须支持RIP、OSPF V2、IS-IS和BGP,组播协议必须支持IGMP V1/V2/V3 Snooping、PIM-SM、PIM-DM、PIM-SSM和MSDP  IPv6协议：硬件支持分布式IPv6线速处理，其中路由协议必须支持RIPng、OSPF V3、IPv6 IS-IS和IPv6 BGP,隧道协议必须支持IPv6手动隧道、6to4隧道和ISATAP隧道 MPLS：支持MPLS，可由引擎集中处理或者板卡分布式处理模式 虚拟化：支持将两台或者多台物理设备智能堆叠，堆叠后可实现统一的转发表项、统一的管理界面以及跨物理设备的链路聚合  有线无线融合：支持内置无线控制器模块；安全业务扩展：支持高性能的内置防火墙模块；支持入侵防御/检测系统插卡；支持应用控制网关插卡扩展；支持SSL VPN插卡扩展；负载均衡：支持专业的插卡实现服务器负载均衡、链路负载均衡；单块插卡吞吐性能不低于8Gbps；访问控制：支持基于第二层、第三层和第四层的ACL；支持VLAN ACL和IPv6 ACL；支持出方向ACL，以便于灵活实现QoS；支持IEEE 802.1和Portal方式用户认证；QoS支持：至少具备8个QoS优先级，通过服务质量策略（特别是优先权规则和算法）为关键业务和特定应用预留带宽；支持出方向的流量限速功能（Egress Car）；提供广播风暴抑制功能端口镜像：支持多个物理端口的流量镜像到一个端口；支持跨单板和跨设备的端口镜像；支持流镜像到CPU和端口 ；管理特性支持SNMP V1/V2/V3、RMON、SSHV2支持通过命令行、Web、中文图形化配置软件等方式进行配置和管理。引擎支持并配置外置Flash，便于配置升级和日志存放  认证：提供工信部的IPv4和IPv6入网证 ;配置要求千兆光口≥28个，千兆电口≥20个，双电源，双引擎冗余。且能在信产部网站查询。入网证上申请单位与生产企业必须为同一厂商，以保证该产品非OEM产品;提供绿色环保证书;提供第三方测试机构测试报告; 签订合同前提供厂家签发的授权书及原厂正品服务承诺书原件。</w:t>
            </w:r>
          </w:p>
        </w:tc>
        <w:tc>
          <w:tcPr>
            <w:tcW w:w="716"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599"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tcBorders>
              <w:top w:val="single" w:color="auto" w:sz="4" w:space="0"/>
            </w:tcBorders>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915" w:type="dxa"/>
            <w:tcBorders>
              <w:top w:val="single" w:color="auto" w:sz="4" w:space="0"/>
            </w:tcBorders>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安防接入交换机</w:t>
            </w:r>
          </w:p>
        </w:tc>
        <w:tc>
          <w:tcPr>
            <w:tcW w:w="5610" w:type="dxa"/>
            <w:tcBorders>
              <w:top w:val="single" w:color="auto" w:sz="4" w:space="0"/>
            </w:tcBorders>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实配≥24 个 10/100/1000Base-T 以太网端口，实配≥4个光口，背板带宽：≥250Gbps；交换容量≥128Gbps；包转发率率：≥95.238Mpps；MAC地址表≥16K，支持基于端口的VLAN，支持基于协议的VLAN；支持基于MAC的VLAN；最大VLAN数≥4094；支持本地端口镜像和远程端口镜像RSPAN；支持将≥9台物理设备智能堆叠，堆叠带宽≥20Gbps，堆叠后可实现统一的转发表项、统一的管理界面以及跨物理设备的链路聚合，智能堆叠技术需提供专利证明和浙江省内用户使用报告证明文件；支持将设备虚拟化为核心交换机等主控设备的接口板卡，通过核心交换机在一个界面下直接管理、直接进行配置操作（非telnet等远程登录方式、无需跳转），虚拟化为核心交换机的接口板卡时，支持数据从本设备本地转发和通过核心交换机集中转发等模式；每端口支持8个优先级队列；支持IPv4、IPv6组播协议；支持IPv4 静态路由、RIPv1/v2路由，支持IPv6 静态路由、RIPng路由；支持STP/RSTP/MSTP协议；支持Smart Link；支持基于第二层、第三层和第四层的ACL；支持OpenFlow标准、支持软件定义网络（SDN）技术，实现网络流量的灵活控制，利于网络及应用的扩展；支持IPv6 ACL；支持802.1x认证，支持集中式MAC地址认证；支持IP+MAC+PORT的绑定；支持设备作为DHCP Server，支持DHCP Snooping，防止欺骗的DHCP服务器；支持802.1X认证/集中式MAC地址认证；支持SNMP V1/V2/V3、RMON、SSHV2；支持单向链路检测,有效的防止网络中单通故障的发生；支持通过命令行、Web、中文图形化配置软件等方式进行配置和管理；提供工信部的IPv4入网证；签订合同前提供厂家签发的授权书及原厂正品服务承诺书原件。</w:t>
            </w:r>
          </w:p>
        </w:tc>
        <w:tc>
          <w:tcPr>
            <w:tcW w:w="716" w:type="dxa"/>
            <w:tcBorders>
              <w:top w:val="single" w:color="auto" w:sz="4" w:space="0"/>
            </w:tcBorders>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18</w:t>
            </w:r>
          </w:p>
        </w:tc>
        <w:tc>
          <w:tcPr>
            <w:tcW w:w="599" w:type="dxa"/>
            <w:tcBorders>
              <w:top w:val="single" w:color="auto" w:sz="4" w:space="0"/>
            </w:tcBorders>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安防接入交换机</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8 个 10/100/1000Base-T 以太网端口；</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22</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光纤模块</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光模块-SFP-GE-单模模块-(1310nm,10km,LC)</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18</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5</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千兆单纤单模收发器</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千兆、单纤、单模、20KM 光纤收发器</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20</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6</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模块化光纤收发器机架</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集中使用、集中管理、统一供电，标准2U机架，可同时插入16个光纤收发模块,机架每个槽都支持热插拔功能。</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7</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网络配线架</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24口超五类配线架含超五类模块</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18</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理线器</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机架式理线器</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36</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9440" w:type="dxa"/>
            <w:gridSpan w:val="5"/>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六、传输线路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监控机柜</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800*600*1200 机柜外观高贵典雅,工艺精湛、尺寸精密。含基础的制作 安装及接地工作，含散力架及黑色细砂亚光漆  标准机柜落地式安装含背板、减震底座、基 础、接地等。</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9</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服务器机柜</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800*600*2000 机柜外观高贵典雅,工艺精湛、尺寸精密。含基础的制作 安装及接地工作，含散力架及黑色细砂亚光漆,标准机柜落地式安装含背板、减震底座、基 础、接地等。</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电源线</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电源线RVV2*1.5</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25</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电源线</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电源线RVV3*2.5</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6</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5</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超五类网线</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超五类非屏蔽双绞线，采用芯线 4 对 0.57mm(24AWG)单芯无氧铜线，保证了安装前后都具有稳定的串扰和阻抗性能，符合并超过 TIA/EIA568-B-2 性能要求，通过信息产 业部检验；传输性能符合 CE/EMC 认证。</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85</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6</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水晶头</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超五类水晶头，100 个/盒</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5</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7</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光纤</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8 芯室外单模光纤；良好的抗压性和柔软性 双面涂塑钢带（ PSP ）提高光缆的抗透潮能力；具有很好的机械性能和温度特性，松套管材料本身具有良好的耐水解性 能和较高的强度。　</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尾纤</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单模</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304</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9</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光纤跳线</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 米，单模光纤跳线</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76</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光纤熔接盒</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8 口光纤熔接盒</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19</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11</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光纤熔接盒</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24 口机架式光纤熔接盒</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5</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12</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光纤熔接</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定制</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304</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13</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硅芯管</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ф40 硅芯管，主管材及接口配件，用于保护光纤防鼠咬及防止其他损坏隐患</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500</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14</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PVC 管</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国产优质￠25</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3500</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15</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PVC 线槽</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国产优质 PVC 线槽，40*15</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2000</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16</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配套工程</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路面开挖、墙壁开槽、回填、恢复等</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500</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17</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辅材</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PVC 管槽配件，连接件，3M 防水胶布，标签，扎带，熔接耗材等</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9440" w:type="dxa"/>
            <w:gridSpan w:val="5"/>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七、消控室装修部分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大屏周边封堵</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消控室大屏周边轻钢龙骨隔墙,并定制一套隐藏门</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墙面粉刷</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消控室内墙面及顶面粉刷</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踢脚线</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消控室内不锈钢踢脚线</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灯具</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600*600吸顶LED灯，58W</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9</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17</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辅材</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装饰附材</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9440" w:type="dxa"/>
            <w:gridSpan w:val="5"/>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八、消防部分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配管</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砖、混凝土结构明配电线管  公称口径16mm以内</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3000 </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配管</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砖、混凝土结构明配电线管  公称口径20mm以内</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配线</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穿多芯软导线ZR-RVS2*1.5mm2</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3678 </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配线</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穿照明线ZR-BV1.5mm2</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3683 </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5</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接线盒</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接线盒增加</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1000</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6</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控制电缆</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控制电缆敷设 KVVP22-10*2.5</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500 </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7</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感烟探测器</w:t>
            </w:r>
          </w:p>
        </w:tc>
        <w:tc>
          <w:tcPr>
            <w:tcW w:w="5610" w:type="dxa"/>
            <w:shd w:val="clear" w:color="000000" w:fill="FFFFFF"/>
            <w:noWrap w:val="0"/>
            <w:vAlign w:val="center"/>
          </w:tcPr>
          <w:p>
            <w:pPr>
              <w:widowControl w:val="0"/>
              <w:spacing w:line="360" w:lineRule="auto"/>
              <w:ind w:firstLine="420" w:firstLineChars="200"/>
              <w:jc w:val="center"/>
              <w:rPr>
                <w:rFonts w:hint="eastAsia" w:ascii="仿宋_GB2312" w:hAnsi="宋体" w:eastAsia="仿宋_GB2312" w:cs="宋体"/>
                <w:szCs w:val="21"/>
              </w:rPr>
            </w:pPr>
            <w:r>
              <w:rPr>
                <w:rFonts w:hint="eastAsia" w:ascii="仿宋_GB2312" w:hAnsi="Calibri" w:eastAsia="仿宋_GB2312"/>
                <w:szCs w:val="21"/>
              </w:rPr>
              <w:t>总线制点型感烟探测器</w:t>
            </w:r>
            <w:r>
              <w:rPr>
                <w:rFonts w:hint="eastAsia" w:ascii="仿宋_GB2312" w:hAnsi="Calibri" w:eastAsia="仿宋_GB2312"/>
                <w:szCs w:val="21"/>
              </w:rPr>
              <w:br w:type="textWrapping"/>
            </w:r>
            <w:r>
              <w:rPr>
                <w:rFonts w:hint="eastAsia" w:ascii="仿宋_GB2312" w:hAnsi="Calibri" w:eastAsia="仿宋_GB2312"/>
                <w:szCs w:val="21"/>
              </w:rPr>
              <w:t>防尘、防虫、抗白光干扰设计</w:t>
            </w:r>
            <w:r>
              <w:rPr>
                <w:rFonts w:hint="eastAsia" w:ascii="仿宋_GB2312" w:hAnsi="Calibri" w:eastAsia="仿宋_GB2312"/>
                <w:szCs w:val="21"/>
              </w:rPr>
              <w:br w:type="textWrapping"/>
            </w:r>
            <w:r>
              <w:rPr>
                <w:rFonts w:hint="eastAsia" w:ascii="仿宋_GB2312" w:hAnsi="Calibri" w:eastAsia="仿宋_GB2312"/>
                <w:szCs w:val="21"/>
              </w:rPr>
              <w:t>电源：DC12V-24V</w:t>
            </w:r>
            <w:r>
              <w:rPr>
                <w:rFonts w:hint="eastAsia" w:ascii="仿宋_GB2312" w:hAnsi="Calibri" w:eastAsia="仿宋_GB2312"/>
                <w:szCs w:val="21"/>
              </w:rPr>
              <w:br w:type="textWrapping"/>
            </w:r>
            <w:r>
              <w:rPr>
                <w:rFonts w:hint="eastAsia" w:ascii="仿宋_GB2312" w:hAnsi="Calibri" w:eastAsia="仿宋_GB2312"/>
                <w:szCs w:val="21"/>
              </w:rPr>
              <w:t>静态电流：≤2mA</w:t>
            </w:r>
            <w:r>
              <w:rPr>
                <w:rFonts w:hint="eastAsia" w:ascii="仿宋_GB2312" w:hAnsi="Calibri" w:eastAsia="仿宋_GB2312"/>
                <w:szCs w:val="21"/>
              </w:rPr>
              <w:br w:type="textWrapping"/>
            </w:r>
            <w:r>
              <w:rPr>
                <w:rFonts w:hint="eastAsia" w:ascii="仿宋_GB2312" w:hAnsi="Calibri" w:eastAsia="仿宋_GB2312"/>
                <w:szCs w:val="21"/>
              </w:rPr>
              <w:t>报警电流：≤10mA  　　</w:t>
            </w:r>
            <w:r>
              <w:rPr>
                <w:rFonts w:hint="eastAsia" w:ascii="仿宋_GB2312" w:hAnsi="Calibri" w:eastAsia="仿宋_GB2312"/>
                <w:szCs w:val="21"/>
              </w:rPr>
              <w:br w:type="textWrapping"/>
            </w:r>
            <w:r>
              <w:rPr>
                <w:rFonts w:hint="eastAsia" w:ascii="仿宋_GB2312" w:hAnsi="Calibri" w:eastAsia="仿宋_GB2312"/>
                <w:szCs w:val="21"/>
              </w:rPr>
              <w:t xml:space="preserve">工作温度：-10℃～50℃ </w:t>
            </w:r>
            <w:r>
              <w:rPr>
                <w:rFonts w:hint="eastAsia" w:ascii="仿宋_GB2312" w:hAnsi="Calibri" w:eastAsia="仿宋_GB2312"/>
                <w:szCs w:val="21"/>
              </w:rPr>
              <w:br w:type="textWrapping"/>
            </w:r>
            <w:r>
              <w:rPr>
                <w:rFonts w:hint="eastAsia" w:ascii="仿宋_GB2312" w:hAnsi="Calibri" w:eastAsia="仿宋_GB2312"/>
                <w:szCs w:val="21"/>
              </w:rPr>
              <w:t xml:space="preserve">报警方式：联网输出 / LED指示报警  </w:t>
            </w:r>
            <w:r>
              <w:rPr>
                <w:rFonts w:hint="eastAsia" w:ascii="仿宋_GB2312" w:hAnsi="Calibri" w:eastAsia="仿宋_GB2312"/>
                <w:szCs w:val="21"/>
              </w:rPr>
              <w:br w:type="textWrapping"/>
            </w:r>
            <w:r>
              <w:rPr>
                <w:rFonts w:hint="eastAsia" w:ascii="仿宋_GB2312" w:hAnsi="Calibri" w:eastAsia="仿宋_GB2312"/>
                <w:szCs w:val="21"/>
              </w:rPr>
              <w:t xml:space="preserve">报警输出：继电器输出 </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527</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按钮</w:t>
            </w:r>
          </w:p>
        </w:tc>
        <w:tc>
          <w:tcPr>
            <w:tcW w:w="5610" w:type="dxa"/>
            <w:shd w:val="clear" w:color="000000" w:fill="FFFFFF"/>
            <w:noWrap w:val="0"/>
            <w:vAlign w:val="center"/>
          </w:tcPr>
          <w:p>
            <w:pPr>
              <w:widowControl w:val="0"/>
              <w:spacing w:line="360" w:lineRule="auto"/>
              <w:ind w:firstLine="420" w:firstLineChars="200"/>
              <w:jc w:val="center"/>
              <w:rPr>
                <w:rFonts w:hint="eastAsia" w:ascii="仿宋_GB2312" w:hAnsi="宋体" w:eastAsia="仿宋_GB2312" w:cs="宋体"/>
                <w:szCs w:val="21"/>
              </w:rPr>
            </w:pPr>
            <w:r>
              <w:rPr>
                <w:rFonts w:hint="eastAsia" w:ascii="仿宋_GB2312" w:hAnsi="Calibri" w:eastAsia="仿宋_GB2312"/>
                <w:szCs w:val="21"/>
              </w:rPr>
              <w:t>紧急按钮（凸出墙面），钥匙复位/防火ABS阻燃外壳,工作电压: ≤250V,工作电流≤300ma</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36</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9</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声光报警器</w:t>
            </w:r>
          </w:p>
        </w:tc>
        <w:tc>
          <w:tcPr>
            <w:tcW w:w="5610" w:type="dxa"/>
            <w:shd w:val="clear" w:color="000000" w:fill="FFFFFF"/>
            <w:noWrap w:val="0"/>
            <w:vAlign w:val="center"/>
          </w:tcPr>
          <w:p>
            <w:pPr>
              <w:widowControl w:val="0"/>
              <w:spacing w:line="360" w:lineRule="auto"/>
              <w:ind w:firstLine="420" w:firstLineChars="200"/>
              <w:jc w:val="center"/>
              <w:rPr>
                <w:rFonts w:hint="eastAsia" w:ascii="仿宋_GB2312" w:hAnsi="宋体" w:eastAsia="仿宋_GB2312" w:cs="宋体"/>
                <w:szCs w:val="21"/>
              </w:rPr>
            </w:pPr>
            <w:r>
              <w:rPr>
                <w:rFonts w:hint="eastAsia" w:ascii="仿宋_GB2312" w:hAnsi="Calibri" w:eastAsia="仿宋_GB2312"/>
                <w:szCs w:val="21"/>
              </w:rPr>
              <w:t>声光报警器(红/白双色外观),12VDC 压电警号,防火ABS阻燃外壳,声压(VDC)：110±3</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36</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区域报警控制箱</w:t>
            </w:r>
          </w:p>
        </w:tc>
        <w:tc>
          <w:tcPr>
            <w:tcW w:w="5610" w:type="dxa"/>
            <w:shd w:val="clear" w:color="000000" w:fill="FFFFFF"/>
            <w:noWrap w:val="0"/>
            <w:vAlign w:val="center"/>
          </w:tcPr>
          <w:p>
            <w:pPr>
              <w:widowControl w:val="0"/>
              <w:spacing w:line="360" w:lineRule="auto"/>
              <w:ind w:firstLine="420" w:firstLineChars="200"/>
              <w:jc w:val="center"/>
              <w:rPr>
                <w:rFonts w:hint="eastAsia" w:ascii="仿宋_GB2312" w:hAnsi="宋体" w:eastAsia="仿宋_GB2312" w:cs="宋体"/>
                <w:szCs w:val="21"/>
              </w:rPr>
            </w:pPr>
            <w:r>
              <w:rPr>
                <w:rFonts w:hint="eastAsia" w:ascii="仿宋_GB2312" w:hAnsi="Calibri" w:eastAsia="仿宋_GB2312"/>
                <w:szCs w:val="21"/>
              </w:rPr>
              <w:t>电源电压：DC24V，静态电流〈20mA,动态电源&lt;80mA，可同时报警数量&gt;=512条，通讯距离&lt;=1500米（每回路最多可配接32个火灾显示盘）</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12</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11</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火灾报警控制器双回路板</w:t>
            </w:r>
          </w:p>
        </w:tc>
        <w:tc>
          <w:tcPr>
            <w:tcW w:w="5610" w:type="dxa"/>
            <w:shd w:val="clear" w:color="000000" w:fill="FFFFFF"/>
            <w:noWrap w:val="0"/>
            <w:vAlign w:val="center"/>
          </w:tcPr>
          <w:p>
            <w:pPr>
              <w:widowControl w:val="0"/>
              <w:spacing w:line="360" w:lineRule="auto"/>
              <w:ind w:firstLine="420" w:firstLineChars="200"/>
              <w:jc w:val="center"/>
              <w:rPr>
                <w:rFonts w:hint="eastAsia" w:ascii="仿宋_GB2312" w:hAnsi="宋体" w:eastAsia="仿宋_GB2312" w:cs="宋体"/>
                <w:szCs w:val="21"/>
              </w:rPr>
            </w:pPr>
            <w:r>
              <w:rPr>
                <w:rFonts w:hint="eastAsia" w:ascii="仿宋_GB2312" w:hAnsi="Calibri" w:eastAsia="仿宋_GB2312"/>
                <w:szCs w:val="21"/>
              </w:rPr>
              <w:t>火灾报警控制器双回路板增加，需与校园原消防主机配套</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12</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模块(模块箱）</w:t>
            </w:r>
          </w:p>
        </w:tc>
        <w:tc>
          <w:tcPr>
            <w:tcW w:w="5610" w:type="dxa"/>
            <w:shd w:val="clear" w:color="000000" w:fill="FFFFFF"/>
            <w:noWrap w:val="0"/>
            <w:vAlign w:val="center"/>
          </w:tcPr>
          <w:p>
            <w:pPr>
              <w:widowControl w:val="0"/>
              <w:spacing w:line="360" w:lineRule="auto"/>
              <w:ind w:firstLine="420" w:firstLineChars="200"/>
              <w:jc w:val="center"/>
              <w:rPr>
                <w:rFonts w:hint="eastAsia" w:ascii="仿宋_GB2312" w:hAnsi="宋体" w:eastAsia="仿宋_GB2312" w:cs="宋体"/>
                <w:szCs w:val="21"/>
              </w:rPr>
            </w:pPr>
            <w:r>
              <w:rPr>
                <w:rFonts w:hint="eastAsia" w:ascii="仿宋_GB2312" w:hAnsi="Calibri" w:eastAsia="仿宋_GB2312"/>
                <w:szCs w:val="21"/>
              </w:rPr>
              <w:t>（1）二总线，无极性。</w:t>
            </w:r>
            <w:r>
              <w:rPr>
                <w:rFonts w:hint="eastAsia" w:ascii="仿宋_GB2312" w:hAnsi="Calibri" w:eastAsia="仿宋_GB2312"/>
                <w:szCs w:val="21"/>
              </w:rPr>
              <w:br w:type="textWrapping"/>
            </w:r>
            <w:r>
              <w:rPr>
                <w:rFonts w:hint="eastAsia" w:ascii="仿宋_GB2312" w:hAnsi="Calibri" w:eastAsia="仿宋_GB2312"/>
                <w:szCs w:val="21"/>
              </w:rPr>
              <w:t>（2）内置微处理器。</w:t>
            </w:r>
            <w:r>
              <w:rPr>
                <w:rFonts w:hint="eastAsia" w:ascii="仿宋_GB2312" w:hAnsi="Calibri" w:eastAsia="仿宋_GB2312"/>
                <w:szCs w:val="21"/>
              </w:rPr>
              <w:br w:type="textWrapping"/>
            </w:r>
            <w:r>
              <w:rPr>
                <w:rFonts w:hint="eastAsia" w:ascii="仿宋_GB2312" w:hAnsi="Calibri" w:eastAsia="仿宋_GB2312"/>
                <w:szCs w:val="21"/>
              </w:rPr>
              <w:t>（3）输出线、输入线都具有断路、短路检测功能。</w:t>
            </w:r>
            <w:r>
              <w:rPr>
                <w:rFonts w:hint="eastAsia" w:ascii="仿宋_GB2312" w:hAnsi="Calibri" w:eastAsia="仿宋_GB2312"/>
                <w:szCs w:val="21"/>
              </w:rPr>
              <w:br w:type="textWrapping"/>
            </w:r>
            <w:r>
              <w:rPr>
                <w:rFonts w:hint="eastAsia" w:ascii="仿宋_GB2312" w:hAnsi="Calibri" w:eastAsia="仿宋_GB2312"/>
                <w:szCs w:val="21"/>
              </w:rPr>
              <w:t>（4）总线输入端与输出端完全隔离设计。</w:t>
            </w:r>
            <w:r>
              <w:rPr>
                <w:rFonts w:hint="eastAsia" w:ascii="仿宋_GB2312" w:hAnsi="Calibri" w:eastAsia="仿宋_GB2312"/>
                <w:szCs w:val="21"/>
              </w:rPr>
              <w:br w:type="textWrapping"/>
            </w:r>
            <w:r>
              <w:rPr>
                <w:rFonts w:hint="eastAsia" w:ascii="仿宋_GB2312" w:hAnsi="Calibri" w:eastAsia="仿宋_GB2312"/>
                <w:szCs w:val="21"/>
              </w:rPr>
              <w:t>（5）采用软硬件滤波技术，提高模块的抗干扰能力。</w:t>
            </w:r>
            <w:r>
              <w:rPr>
                <w:rFonts w:hint="eastAsia" w:ascii="仿宋_GB2312" w:hAnsi="Calibri" w:eastAsia="仿宋_GB2312"/>
                <w:szCs w:val="21"/>
              </w:rPr>
              <w:br w:type="textWrapping"/>
            </w:r>
            <w:r>
              <w:rPr>
                <w:rFonts w:hint="eastAsia" w:ascii="仿宋_GB2312" w:hAnsi="Calibri" w:eastAsia="仿宋_GB2312"/>
                <w:szCs w:val="21"/>
              </w:rPr>
              <w:t>（6）PCB板全密封防护工艺。</w:t>
            </w:r>
            <w:r>
              <w:rPr>
                <w:rFonts w:hint="eastAsia" w:ascii="仿宋_GB2312" w:hAnsi="Calibri" w:eastAsia="仿宋_GB2312"/>
                <w:szCs w:val="21"/>
              </w:rPr>
              <w:br w:type="textWrapping"/>
            </w:r>
            <w:r>
              <w:rPr>
                <w:rFonts w:hint="eastAsia" w:ascii="仿宋_GB2312" w:hAnsi="Calibri" w:eastAsia="仿宋_GB2312"/>
                <w:szCs w:val="21"/>
              </w:rPr>
              <w:t>（7）采用插拔式结构设计，接触可靠，方便安装、更换，便于施工。</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12</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13</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模块(模块箱）</w:t>
            </w:r>
          </w:p>
        </w:tc>
        <w:tc>
          <w:tcPr>
            <w:tcW w:w="5610" w:type="dxa"/>
            <w:shd w:val="clear" w:color="000000" w:fill="FFFFFF"/>
            <w:noWrap w:val="0"/>
            <w:vAlign w:val="center"/>
          </w:tcPr>
          <w:p>
            <w:pPr>
              <w:widowControl w:val="0"/>
              <w:spacing w:line="360" w:lineRule="auto"/>
              <w:ind w:firstLine="420" w:firstLineChars="200"/>
              <w:jc w:val="center"/>
              <w:rPr>
                <w:rFonts w:hint="eastAsia" w:ascii="仿宋_GB2312" w:hAnsi="宋体" w:eastAsia="仿宋_GB2312" w:cs="宋体"/>
                <w:szCs w:val="21"/>
              </w:rPr>
            </w:pPr>
            <w:r>
              <w:rPr>
                <w:rFonts w:hint="eastAsia" w:ascii="仿宋_GB2312" w:hAnsi="Calibri" w:eastAsia="仿宋_GB2312"/>
                <w:szCs w:val="21"/>
              </w:rPr>
              <w:t>模块箱300*400mm*100mm，冷扎钢板定制</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14</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模块(模块箱）</w:t>
            </w:r>
          </w:p>
        </w:tc>
        <w:tc>
          <w:tcPr>
            <w:tcW w:w="5610" w:type="dxa"/>
            <w:shd w:val="clear" w:color="000000" w:fill="FFFFFF"/>
            <w:noWrap w:val="0"/>
            <w:vAlign w:val="center"/>
          </w:tcPr>
          <w:p>
            <w:pPr>
              <w:widowControl w:val="0"/>
              <w:spacing w:line="360" w:lineRule="auto"/>
              <w:ind w:firstLine="420" w:firstLineChars="200"/>
              <w:jc w:val="center"/>
              <w:rPr>
                <w:rFonts w:hint="eastAsia" w:ascii="仿宋_GB2312" w:hAnsi="宋体" w:eastAsia="仿宋_GB2312" w:cs="宋体"/>
                <w:szCs w:val="21"/>
              </w:rPr>
            </w:pPr>
            <w:r>
              <w:rPr>
                <w:rFonts w:hint="eastAsia" w:ascii="仿宋_GB2312" w:hAnsi="Calibri" w:eastAsia="仿宋_GB2312"/>
                <w:szCs w:val="21"/>
              </w:rPr>
              <w:t>消防接线端子箱400*500mm*100mm，冷扎钢板定制，含接线端子</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15</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编码器</w:t>
            </w:r>
          </w:p>
        </w:tc>
        <w:tc>
          <w:tcPr>
            <w:tcW w:w="5610" w:type="dxa"/>
            <w:shd w:val="clear" w:color="000000" w:fill="FFFFFF"/>
            <w:noWrap w:val="0"/>
            <w:vAlign w:val="center"/>
          </w:tcPr>
          <w:p>
            <w:pPr>
              <w:widowControl w:val="0"/>
              <w:spacing w:line="360" w:lineRule="auto"/>
              <w:ind w:firstLine="420" w:firstLineChars="200"/>
              <w:jc w:val="center"/>
              <w:rPr>
                <w:rFonts w:hint="eastAsia" w:ascii="仿宋_GB2312" w:hAnsi="宋体" w:eastAsia="仿宋_GB2312" w:cs="宋体"/>
                <w:szCs w:val="21"/>
              </w:rPr>
            </w:pPr>
            <w:r>
              <w:rPr>
                <w:rFonts w:hint="eastAsia" w:ascii="仿宋_GB2312" w:hAnsi="Calibri" w:eastAsia="仿宋_GB2312"/>
                <w:szCs w:val="21"/>
              </w:rPr>
              <w:t>手持编码器，具有对电子编码的探测器、模块进行地址码、设备类型、灵敏度、动作方式、ID码的读出和地址码、灵敏度、动作方式的写入功能。需兼容校园消防系统。</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16</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消防检测</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消防设施功能检测电气消防安全检测</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 </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0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17</w:t>
            </w:r>
          </w:p>
        </w:tc>
        <w:tc>
          <w:tcPr>
            <w:tcW w:w="1915"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附材</w:t>
            </w:r>
          </w:p>
        </w:tc>
        <w:tc>
          <w:tcPr>
            <w:tcW w:w="5610"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16"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 </w:t>
            </w:r>
          </w:p>
        </w:tc>
        <w:tc>
          <w:tcPr>
            <w:tcW w:w="599" w:type="dxa"/>
            <w:shd w:val="clear" w:color="000000" w:fill="FFFFFF"/>
            <w:noWrap w:val="0"/>
            <w:vAlign w:val="center"/>
          </w:tcPr>
          <w:p>
            <w:pPr>
              <w:jc w:val="center"/>
              <w:rPr>
                <w:rFonts w:hint="eastAsia" w:ascii="仿宋_GB2312" w:hAnsi="宋体" w:eastAsia="仿宋_GB2312" w:cs="宋体"/>
                <w:kern w:val="0"/>
                <w:szCs w:val="21"/>
              </w:rPr>
            </w:pPr>
            <w:r>
              <w:rPr>
                <w:rFonts w:hint="eastAsia" w:ascii="仿宋_GB2312" w:hAnsi="宋体" w:eastAsia="仿宋_GB2312" w:cs="宋体"/>
                <w:kern w:val="0"/>
                <w:szCs w:val="21"/>
              </w:rPr>
              <w:t>批</w:t>
            </w:r>
          </w:p>
        </w:tc>
      </w:tr>
    </w:tbl>
    <w:p>
      <w:pPr>
        <w:spacing w:line="360" w:lineRule="auto"/>
        <w:jc w:val="center"/>
        <w:outlineLvl w:val="0"/>
        <w:rPr>
          <w:rFonts w:hint="eastAsia" w:ascii="仿宋_GB2312" w:hAnsi="仿宋" w:eastAsia="仿宋_GB2312"/>
          <w:b/>
          <w:sz w:val="36"/>
          <w:szCs w:val="36"/>
        </w:rPr>
      </w:pPr>
      <w:r>
        <w:rPr>
          <w:rFonts w:hint="eastAsia" w:ascii="仿宋_GB2312" w:hAnsi="仿宋" w:eastAsia="仿宋_GB2312"/>
          <w:b/>
          <w:sz w:val="36"/>
        </w:rPr>
        <w:br w:type="page"/>
      </w:r>
      <w:r>
        <w:rPr>
          <w:rFonts w:hint="eastAsia" w:ascii="仿宋_GB2312" w:hAnsi="仿宋" w:eastAsia="仿宋_GB2312"/>
          <w:b/>
          <w:sz w:val="36"/>
        </w:rPr>
        <w:t>第四部分</w:t>
      </w:r>
      <w:r>
        <w:rPr>
          <w:rFonts w:hint="eastAsia" w:ascii="仿宋_GB2312" w:eastAsia="仿宋_GB2312"/>
          <w:b/>
          <w:sz w:val="36"/>
        </w:rPr>
        <w:t xml:space="preserve">   </w:t>
      </w:r>
      <w:r>
        <w:rPr>
          <w:rFonts w:hint="eastAsia" w:ascii="仿宋_GB2312" w:eastAsia="仿宋_GB2312"/>
          <w:b/>
          <w:sz w:val="36"/>
          <w:szCs w:val="36"/>
        </w:rPr>
        <w:t xml:space="preserve">   </w:t>
      </w:r>
      <w:bookmarkStart w:id="57" w:name="_Toc184314448"/>
      <w:bookmarkEnd w:id="57"/>
      <w:bookmarkStart w:id="58" w:name="_Toc184312089"/>
      <w:bookmarkEnd w:id="58"/>
      <w:bookmarkStart w:id="59" w:name="_Toc184310316"/>
      <w:bookmarkEnd w:id="59"/>
      <w:bookmarkStart w:id="60" w:name="_Toc184310344"/>
      <w:bookmarkEnd w:id="60"/>
      <w:bookmarkStart w:id="61" w:name="_Toc184314474"/>
      <w:bookmarkEnd w:id="61"/>
      <w:bookmarkStart w:id="62" w:name="_Toc184308060"/>
      <w:bookmarkEnd w:id="62"/>
      <w:bookmarkStart w:id="63" w:name="_Toc184314433"/>
      <w:bookmarkEnd w:id="63"/>
      <w:bookmarkStart w:id="64" w:name="_Toc184313284"/>
      <w:bookmarkEnd w:id="64"/>
      <w:bookmarkStart w:id="65" w:name="_Toc184310304"/>
      <w:bookmarkEnd w:id="65"/>
      <w:bookmarkStart w:id="66" w:name="_Toc184313282"/>
      <w:bookmarkEnd w:id="66"/>
      <w:bookmarkStart w:id="67" w:name="_Toc184313261"/>
      <w:bookmarkEnd w:id="67"/>
      <w:bookmarkStart w:id="68" w:name="_Toc184308038"/>
      <w:bookmarkEnd w:id="68"/>
      <w:bookmarkStart w:id="69" w:name="_Toc184314435"/>
      <w:bookmarkEnd w:id="69"/>
      <w:bookmarkStart w:id="70" w:name="_Toc184310295"/>
      <w:bookmarkEnd w:id="70"/>
      <w:bookmarkStart w:id="71" w:name="_Toc184308075"/>
      <w:bookmarkEnd w:id="71"/>
      <w:bookmarkStart w:id="72" w:name="_Toc184308062"/>
      <w:bookmarkEnd w:id="72"/>
      <w:bookmarkStart w:id="73" w:name="_Toc184314412"/>
      <w:bookmarkEnd w:id="73"/>
      <w:bookmarkStart w:id="74" w:name="_Toc184314414"/>
      <w:bookmarkEnd w:id="74"/>
      <w:bookmarkStart w:id="75" w:name="_Toc184308041"/>
      <w:bookmarkEnd w:id="75"/>
      <w:bookmarkStart w:id="76" w:name="_Toc184308037"/>
      <w:bookmarkEnd w:id="76"/>
      <w:bookmarkStart w:id="77" w:name="_Toc184312076"/>
      <w:bookmarkEnd w:id="77"/>
      <w:bookmarkStart w:id="78" w:name="_Toc184308036"/>
      <w:bookmarkEnd w:id="78"/>
      <w:bookmarkStart w:id="79" w:name="_Toc184314411"/>
      <w:bookmarkEnd w:id="79"/>
      <w:bookmarkStart w:id="80" w:name="_Toc184310272"/>
      <w:bookmarkEnd w:id="80"/>
      <w:bookmarkStart w:id="81" w:name="_Toc184308045"/>
      <w:bookmarkEnd w:id="81"/>
      <w:bookmarkStart w:id="82" w:name="_Toc184310342"/>
      <w:bookmarkEnd w:id="82"/>
      <w:bookmarkStart w:id="83" w:name="_Toc184314425"/>
      <w:bookmarkEnd w:id="83"/>
      <w:bookmarkStart w:id="84" w:name="_Toc184310294"/>
      <w:bookmarkEnd w:id="84"/>
      <w:bookmarkStart w:id="85" w:name="_Toc184310321"/>
      <w:bookmarkEnd w:id="85"/>
      <w:bookmarkStart w:id="86" w:name="_Toc184308059"/>
      <w:bookmarkEnd w:id="86"/>
      <w:bookmarkStart w:id="87" w:name="_Toc184314415"/>
      <w:bookmarkEnd w:id="87"/>
      <w:bookmarkStart w:id="88" w:name="_Toc184313243"/>
      <w:bookmarkEnd w:id="88"/>
      <w:bookmarkStart w:id="89" w:name="_Toc184310277"/>
      <w:bookmarkEnd w:id="89"/>
      <w:bookmarkStart w:id="90" w:name="_Toc184308042"/>
      <w:bookmarkEnd w:id="90"/>
      <w:bookmarkStart w:id="91" w:name="_Toc184312072"/>
      <w:bookmarkEnd w:id="91"/>
      <w:bookmarkStart w:id="92" w:name="_Toc184313309"/>
      <w:bookmarkEnd w:id="92"/>
      <w:bookmarkStart w:id="93" w:name="_Toc184313276"/>
      <w:bookmarkEnd w:id="93"/>
      <w:bookmarkStart w:id="94" w:name="_Toc184312077"/>
      <w:bookmarkEnd w:id="94"/>
      <w:bookmarkStart w:id="95" w:name="_Toc184308046"/>
      <w:bookmarkEnd w:id="95"/>
      <w:bookmarkStart w:id="96" w:name="_Toc184312090"/>
      <w:bookmarkEnd w:id="96"/>
      <w:bookmarkStart w:id="97" w:name="_Toc184312107"/>
      <w:bookmarkEnd w:id="97"/>
      <w:bookmarkStart w:id="98" w:name="_Toc184313278"/>
      <w:bookmarkEnd w:id="98"/>
      <w:bookmarkStart w:id="99" w:name="_Toc184308076"/>
      <w:bookmarkEnd w:id="99"/>
      <w:bookmarkStart w:id="100" w:name="_Toc184310287"/>
      <w:bookmarkEnd w:id="100"/>
      <w:bookmarkStart w:id="101" w:name="_Toc184312110"/>
      <w:bookmarkEnd w:id="101"/>
      <w:bookmarkStart w:id="102" w:name="_Toc184308073"/>
      <w:bookmarkEnd w:id="102"/>
      <w:bookmarkStart w:id="103" w:name="_Toc184313285"/>
      <w:bookmarkEnd w:id="103"/>
      <w:bookmarkStart w:id="104" w:name="_Toc184310290"/>
      <w:bookmarkEnd w:id="104"/>
      <w:bookmarkStart w:id="105" w:name="_Toc184314437"/>
      <w:bookmarkEnd w:id="105"/>
      <w:bookmarkStart w:id="106" w:name="_Toc184314424"/>
      <w:bookmarkEnd w:id="106"/>
      <w:bookmarkStart w:id="107" w:name="_Toc184310276"/>
      <w:bookmarkEnd w:id="107"/>
      <w:bookmarkStart w:id="108" w:name="_Toc184313286"/>
      <w:bookmarkEnd w:id="108"/>
      <w:bookmarkStart w:id="109" w:name="_Toc184314457"/>
      <w:bookmarkEnd w:id="109"/>
      <w:bookmarkStart w:id="110" w:name="_Toc184310312"/>
      <w:bookmarkEnd w:id="110"/>
      <w:bookmarkStart w:id="111" w:name="_Toc184312132"/>
      <w:bookmarkEnd w:id="111"/>
      <w:bookmarkStart w:id="112" w:name="_Toc184310320"/>
      <w:bookmarkEnd w:id="112"/>
      <w:bookmarkStart w:id="113" w:name="_Toc184308106"/>
      <w:bookmarkEnd w:id="113"/>
      <w:bookmarkStart w:id="114" w:name="_Toc184308050"/>
      <w:bookmarkEnd w:id="114"/>
      <w:bookmarkStart w:id="115" w:name="_Toc184313265"/>
      <w:bookmarkEnd w:id="115"/>
      <w:bookmarkStart w:id="116" w:name="_Toc184313244"/>
      <w:bookmarkEnd w:id="116"/>
      <w:bookmarkStart w:id="117" w:name="_Toc184312073"/>
      <w:bookmarkEnd w:id="117"/>
      <w:bookmarkStart w:id="118" w:name="_Toc184314416"/>
      <w:bookmarkEnd w:id="118"/>
      <w:bookmarkStart w:id="119" w:name="_Toc184310278"/>
      <w:bookmarkEnd w:id="119"/>
      <w:bookmarkStart w:id="120" w:name="_Toc184312075"/>
      <w:bookmarkEnd w:id="120"/>
      <w:bookmarkStart w:id="121" w:name="_Toc184310279"/>
      <w:bookmarkEnd w:id="121"/>
      <w:bookmarkStart w:id="122" w:name="_Toc184310280"/>
      <w:bookmarkEnd w:id="122"/>
      <w:bookmarkStart w:id="123" w:name="_Toc184308044"/>
      <w:bookmarkEnd w:id="123"/>
      <w:bookmarkStart w:id="124" w:name="_Toc184314418"/>
      <w:bookmarkEnd w:id="124"/>
      <w:bookmarkStart w:id="125" w:name="_Toc184313245"/>
      <w:bookmarkEnd w:id="125"/>
      <w:bookmarkStart w:id="126" w:name="_Toc184314417"/>
      <w:bookmarkEnd w:id="126"/>
      <w:bookmarkStart w:id="127" w:name="_Toc184313246"/>
      <w:bookmarkEnd w:id="127"/>
      <w:bookmarkStart w:id="128" w:name="_Toc184308043"/>
      <w:bookmarkEnd w:id="128"/>
      <w:bookmarkStart w:id="129" w:name="_Toc184313260"/>
      <w:bookmarkEnd w:id="129"/>
      <w:bookmarkStart w:id="130" w:name="_Toc184312074"/>
      <w:bookmarkEnd w:id="130"/>
      <w:bookmarkStart w:id="131" w:name="_Toc184313280"/>
      <w:bookmarkEnd w:id="131"/>
      <w:bookmarkStart w:id="132" w:name="_Toc184310274"/>
      <w:bookmarkEnd w:id="132"/>
      <w:bookmarkStart w:id="133" w:name="_Toc184312094"/>
      <w:bookmarkEnd w:id="133"/>
      <w:bookmarkStart w:id="134" w:name="_Toc184310298"/>
      <w:bookmarkEnd w:id="134"/>
      <w:bookmarkStart w:id="135" w:name="_Toc184308105"/>
      <w:bookmarkEnd w:id="135"/>
      <w:bookmarkStart w:id="136" w:name="_Toc184312135"/>
      <w:bookmarkEnd w:id="136"/>
      <w:bookmarkStart w:id="137" w:name="_Toc184312117"/>
      <w:bookmarkEnd w:id="137"/>
      <w:bookmarkStart w:id="138" w:name="_Toc184312115"/>
      <w:bookmarkEnd w:id="138"/>
      <w:bookmarkStart w:id="139" w:name="_Toc184314459"/>
      <w:bookmarkEnd w:id="139"/>
      <w:bookmarkStart w:id="140" w:name="_Toc184313263"/>
      <w:bookmarkEnd w:id="140"/>
      <w:bookmarkStart w:id="141" w:name="_Toc184310314"/>
      <w:bookmarkEnd w:id="141"/>
      <w:bookmarkStart w:id="142" w:name="_Toc184314458"/>
      <w:bookmarkEnd w:id="142"/>
      <w:bookmarkStart w:id="143" w:name="_Toc184313287"/>
      <w:bookmarkEnd w:id="143"/>
      <w:bookmarkStart w:id="144" w:name="_Toc184314450"/>
      <w:bookmarkEnd w:id="144"/>
      <w:bookmarkStart w:id="145" w:name="_Toc184308049"/>
      <w:bookmarkEnd w:id="145"/>
      <w:bookmarkStart w:id="146" w:name="_Toc184313253"/>
      <w:bookmarkEnd w:id="146"/>
      <w:bookmarkStart w:id="147" w:name="_Toc184312085"/>
      <w:bookmarkEnd w:id="147"/>
      <w:bookmarkStart w:id="148" w:name="_Toc184310296"/>
      <w:bookmarkEnd w:id="148"/>
      <w:bookmarkStart w:id="149" w:name="_Toc184308040"/>
      <w:bookmarkEnd w:id="149"/>
      <w:bookmarkStart w:id="150" w:name="_Toc184312116"/>
      <w:bookmarkEnd w:id="150"/>
      <w:bookmarkStart w:id="151" w:name="_Toc184314449"/>
      <w:bookmarkEnd w:id="151"/>
      <w:bookmarkStart w:id="152" w:name="_Toc184313262"/>
      <w:bookmarkEnd w:id="152"/>
      <w:bookmarkStart w:id="153" w:name="_Toc184314431"/>
      <w:bookmarkEnd w:id="153"/>
      <w:bookmarkStart w:id="154" w:name="_Toc184308081"/>
      <w:bookmarkEnd w:id="154"/>
      <w:bookmarkStart w:id="155" w:name="_Toc184308039"/>
      <w:bookmarkEnd w:id="155"/>
      <w:bookmarkStart w:id="156" w:name="_Toc184308058"/>
      <w:bookmarkEnd w:id="156"/>
      <w:bookmarkStart w:id="157" w:name="_Toc184313292"/>
      <w:bookmarkEnd w:id="157"/>
      <w:bookmarkStart w:id="158" w:name="_Toc184308061"/>
      <w:bookmarkEnd w:id="158"/>
      <w:bookmarkStart w:id="159" w:name="_Toc184313277"/>
      <w:bookmarkEnd w:id="159"/>
      <w:bookmarkStart w:id="160" w:name="_Toc184310317"/>
      <w:bookmarkEnd w:id="160"/>
      <w:bookmarkStart w:id="161" w:name="_Toc184310275"/>
      <w:bookmarkEnd w:id="161"/>
      <w:bookmarkStart w:id="162" w:name="_Toc184312112"/>
      <w:bookmarkEnd w:id="162"/>
      <w:bookmarkStart w:id="163" w:name="_Toc184310297"/>
      <w:bookmarkEnd w:id="163"/>
      <w:bookmarkStart w:id="164" w:name="_Toc184314473"/>
      <w:bookmarkEnd w:id="164"/>
      <w:bookmarkStart w:id="165" w:name="_Toc184310322"/>
      <w:bookmarkEnd w:id="165"/>
      <w:bookmarkStart w:id="166" w:name="_Toc184310288"/>
      <w:bookmarkEnd w:id="166"/>
      <w:bookmarkStart w:id="167" w:name="_Toc184314432"/>
      <w:bookmarkEnd w:id="167"/>
      <w:bookmarkStart w:id="168" w:name="_Toc184310336"/>
      <w:bookmarkEnd w:id="168"/>
      <w:bookmarkStart w:id="169" w:name="_Toc184312070"/>
      <w:bookmarkEnd w:id="169"/>
      <w:bookmarkStart w:id="170" w:name="_Toc184314413"/>
      <w:bookmarkEnd w:id="170"/>
      <w:bookmarkStart w:id="171" w:name="_Toc184310281"/>
      <w:bookmarkEnd w:id="171"/>
      <w:bookmarkStart w:id="172" w:name="_Toc184308053"/>
      <w:bookmarkEnd w:id="172"/>
      <w:bookmarkStart w:id="173" w:name="_Toc184312069"/>
      <w:bookmarkEnd w:id="173"/>
      <w:bookmarkStart w:id="174" w:name="_Toc184313306"/>
      <w:bookmarkEnd w:id="174"/>
      <w:bookmarkStart w:id="175" w:name="_Toc184312084"/>
      <w:bookmarkEnd w:id="175"/>
      <w:bookmarkStart w:id="176" w:name="_Toc184314455"/>
      <w:bookmarkEnd w:id="176"/>
      <w:bookmarkStart w:id="177" w:name="_Toc184310299"/>
      <w:bookmarkEnd w:id="177"/>
      <w:bookmarkStart w:id="178" w:name="_Toc184308101"/>
      <w:bookmarkEnd w:id="178"/>
      <w:bookmarkStart w:id="179" w:name="_Toc184312067"/>
      <w:bookmarkEnd w:id="179"/>
      <w:bookmarkStart w:id="180" w:name="_Toc184313307"/>
      <w:bookmarkEnd w:id="180"/>
      <w:bookmarkStart w:id="181" w:name="_Toc184313254"/>
      <w:bookmarkEnd w:id="181"/>
      <w:bookmarkStart w:id="182" w:name="_Toc184314478"/>
      <w:bookmarkEnd w:id="182"/>
      <w:bookmarkStart w:id="183" w:name="_Toc184308054"/>
      <w:bookmarkEnd w:id="183"/>
      <w:bookmarkStart w:id="184" w:name="_Toc184313251"/>
      <w:bookmarkEnd w:id="184"/>
      <w:bookmarkStart w:id="185" w:name="_Toc184314430"/>
      <w:bookmarkEnd w:id="185"/>
      <w:bookmarkStart w:id="186" w:name="_Toc184314428"/>
      <w:bookmarkEnd w:id="186"/>
      <w:bookmarkStart w:id="187" w:name="_Toc184312086"/>
      <w:bookmarkEnd w:id="187"/>
      <w:bookmarkStart w:id="188" w:name="_Toc184313257"/>
      <w:bookmarkEnd w:id="188"/>
      <w:bookmarkStart w:id="189" w:name="_Toc184314429"/>
      <w:bookmarkEnd w:id="189"/>
      <w:bookmarkStart w:id="190" w:name="_Toc184308056"/>
      <w:bookmarkEnd w:id="190"/>
      <w:bookmarkStart w:id="191" w:name="_Toc184310291"/>
      <w:bookmarkEnd w:id="191"/>
      <w:bookmarkStart w:id="192" w:name="_Toc184312087"/>
      <w:bookmarkEnd w:id="192"/>
      <w:bookmarkStart w:id="193" w:name="_Toc184313258"/>
      <w:bookmarkEnd w:id="193"/>
      <w:bookmarkStart w:id="194" w:name="_Toc184308055"/>
      <w:bookmarkEnd w:id="194"/>
      <w:bookmarkStart w:id="195" w:name="_Toc184310292"/>
      <w:bookmarkEnd w:id="195"/>
      <w:bookmarkStart w:id="196" w:name="_Toc184313256"/>
      <w:bookmarkEnd w:id="196"/>
      <w:bookmarkStart w:id="197" w:name="_Toc184308057"/>
      <w:bookmarkEnd w:id="197"/>
      <w:bookmarkStart w:id="198" w:name="_Toc184310293"/>
      <w:bookmarkEnd w:id="198"/>
      <w:bookmarkStart w:id="199" w:name="_Toc184312088"/>
      <w:bookmarkEnd w:id="199"/>
      <w:bookmarkStart w:id="200" w:name="_Toc184313259"/>
      <w:bookmarkEnd w:id="200"/>
      <w:bookmarkStart w:id="201" w:name="_Toc184313255"/>
      <w:bookmarkEnd w:id="201"/>
      <w:bookmarkStart w:id="202" w:name="_Toc184312106"/>
      <w:bookmarkEnd w:id="202"/>
      <w:bookmarkStart w:id="203" w:name="_Toc184310289"/>
      <w:bookmarkEnd w:id="203"/>
      <w:bookmarkStart w:id="204" w:name="_Toc184314446"/>
      <w:bookmarkEnd w:id="204"/>
      <w:bookmarkStart w:id="205" w:name="_Toc184314434"/>
      <w:bookmarkEnd w:id="205"/>
      <w:bookmarkStart w:id="206" w:name="_Toc184314426"/>
      <w:bookmarkEnd w:id="206"/>
      <w:bookmarkStart w:id="207" w:name="_Toc184312083"/>
      <w:bookmarkEnd w:id="207"/>
      <w:bookmarkStart w:id="208" w:name="_Toc184312068"/>
      <w:bookmarkEnd w:id="208"/>
      <w:bookmarkStart w:id="209" w:name="_Toc184314447"/>
      <w:bookmarkEnd w:id="209"/>
      <w:bookmarkStart w:id="210" w:name="_Toc184308052"/>
      <w:bookmarkEnd w:id="210"/>
      <w:bookmarkStart w:id="211" w:name="_Toc184308074"/>
      <w:bookmarkEnd w:id="211"/>
      <w:bookmarkStart w:id="212" w:name="_Toc184314475"/>
      <w:bookmarkEnd w:id="212"/>
      <w:bookmarkStart w:id="213" w:name="_Toc184314454"/>
      <w:bookmarkEnd w:id="213"/>
      <w:bookmarkStart w:id="214" w:name="_Toc184310273"/>
      <w:bookmarkEnd w:id="214"/>
      <w:bookmarkStart w:id="215" w:name="_Toc184313275"/>
      <w:bookmarkEnd w:id="215"/>
      <w:bookmarkStart w:id="216" w:name="_Toc184313303"/>
      <w:bookmarkEnd w:id="216"/>
      <w:bookmarkStart w:id="217" w:name="_Toc184312113"/>
      <w:bookmarkEnd w:id="217"/>
      <w:bookmarkStart w:id="218" w:name="_Toc184310282"/>
      <w:bookmarkEnd w:id="218"/>
      <w:bookmarkStart w:id="219" w:name="_Toc184308064"/>
      <w:bookmarkEnd w:id="219"/>
      <w:bookmarkStart w:id="220" w:name="_Toc184310315"/>
      <w:bookmarkEnd w:id="220"/>
      <w:bookmarkStart w:id="221" w:name="_Toc184312095"/>
      <w:bookmarkEnd w:id="221"/>
      <w:bookmarkStart w:id="222" w:name="_Toc184313266"/>
      <w:bookmarkEnd w:id="222"/>
      <w:bookmarkStart w:id="223" w:name="_Toc184313281"/>
      <w:bookmarkEnd w:id="223"/>
      <w:bookmarkStart w:id="224" w:name="_Toc184310300"/>
      <w:bookmarkEnd w:id="224"/>
      <w:bookmarkStart w:id="225" w:name="_Toc184314438"/>
      <w:bookmarkEnd w:id="225"/>
      <w:bookmarkStart w:id="226" w:name="_Toc184313283"/>
      <w:bookmarkEnd w:id="226"/>
      <w:bookmarkStart w:id="227" w:name="_Toc184310341"/>
      <w:bookmarkEnd w:id="227"/>
      <w:bookmarkStart w:id="228" w:name="_Toc184313268"/>
      <w:bookmarkEnd w:id="228"/>
      <w:bookmarkStart w:id="229" w:name="_Toc184314440"/>
      <w:bookmarkEnd w:id="229"/>
      <w:bookmarkStart w:id="230" w:name="_Toc184310301"/>
      <w:bookmarkEnd w:id="230"/>
      <w:bookmarkStart w:id="231" w:name="_Toc184310302"/>
      <w:bookmarkEnd w:id="231"/>
      <w:bookmarkStart w:id="232" w:name="_Toc184314439"/>
      <w:bookmarkEnd w:id="232"/>
      <w:bookmarkStart w:id="233" w:name="_Toc184308066"/>
      <w:bookmarkEnd w:id="233"/>
      <w:bookmarkStart w:id="234" w:name="_Toc184312097"/>
      <w:bookmarkEnd w:id="234"/>
      <w:bookmarkStart w:id="235" w:name="_Toc184313267"/>
      <w:bookmarkEnd w:id="235"/>
      <w:bookmarkStart w:id="236" w:name="_Toc184308065"/>
      <w:bookmarkEnd w:id="236"/>
      <w:bookmarkStart w:id="237" w:name="_Toc184312096"/>
      <w:bookmarkEnd w:id="237"/>
      <w:bookmarkStart w:id="238" w:name="_Toc184312098"/>
      <w:bookmarkEnd w:id="238"/>
      <w:bookmarkStart w:id="239" w:name="_Toc184312136"/>
      <w:bookmarkEnd w:id="239"/>
      <w:bookmarkStart w:id="240" w:name="_Toc184308047"/>
      <w:bookmarkEnd w:id="240"/>
      <w:bookmarkStart w:id="241" w:name="_Toc184308069"/>
      <w:bookmarkEnd w:id="241"/>
      <w:bookmarkStart w:id="242" w:name="_Toc184308067"/>
      <w:bookmarkEnd w:id="242"/>
      <w:bookmarkStart w:id="243" w:name="_Toc184310303"/>
      <w:bookmarkEnd w:id="243"/>
      <w:bookmarkStart w:id="244" w:name="_Toc184313269"/>
      <w:bookmarkEnd w:id="244"/>
      <w:bookmarkStart w:id="245" w:name="_Toc184312103"/>
      <w:bookmarkEnd w:id="245"/>
      <w:bookmarkStart w:id="246" w:name="_Toc184310310"/>
      <w:bookmarkEnd w:id="246"/>
      <w:bookmarkStart w:id="247" w:name="_Toc184313270"/>
      <w:bookmarkEnd w:id="247"/>
      <w:bookmarkStart w:id="248" w:name="_Toc184314442"/>
      <w:bookmarkEnd w:id="248"/>
      <w:bookmarkStart w:id="249" w:name="_Toc184308071"/>
      <w:bookmarkEnd w:id="249"/>
      <w:bookmarkStart w:id="250" w:name="_Toc184310307"/>
      <w:bookmarkEnd w:id="250"/>
      <w:bookmarkStart w:id="251" w:name="_Toc184310305"/>
      <w:bookmarkEnd w:id="251"/>
      <w:bookmarkStart w:id="252" w:name="_Toc184312100"/>
      <w:bookmarkEnd w:id="252"/>
      <w:bookmarkStart w:id="253" w:name="_Toc184314443"/>
      <w:bookmarkEnd w:id="253"/>
      <w:bookmarkStart w:id="254" w:name="_Toc184310306"/>
      <w:bookmarkEnd w:id="254"/>
      <w:bookmarkStart w:id="255" w:name="_Toc184312101"/>
      <w:bookmarkEnd w:id="255"/>
      <w:bookmarkStart w:id="256" w:name="_Toc184314444"/>
      <w:bookmarkEnd w:id="256"/>
      <w:bookmarkStart w:id="257" w:name="_Toc184313271"/>
      <w:bookmarkEnd w:id="257"/>
      <w:bookmarkStart w:id="258" w:name="_Toc184308070"/>
      <w:bookmarkEnd w:id="258"/>
      <w:bookmarkStart w:id="259" w:name="_Toc184313272"/>
      <w:bookmarkEnd w:id="259"/>
      <w:bookmarkStart w:id="260" w:name="_Toc184313273"/>
      <w:bookmarkEnd w:id="260"/>
      <w:bookmarkStart w:id="261" w:name="_Toc184314445"/>
      <w:bookmarkEnd w:id="261"/>
      <w:bookmarkStart w:id="262" w:name="_Toc184312102"/>
      <w:bookmarkEnd w:id="262"/>
      <w:bookmarkStart w:id="263" w:name="_Toc184310311"/>
      <w:bookmarkEnd w:id="263"/>
      <w:bookmarkStart w:id="264" w:name="_Toc184312081"/>
      <w:bookmarkEnd w:id="264"/>
      <w:bookmarkStart w:id="265" w:name="_Toc184308084"/>
      <w:bookmarkEnd w:id="265"/>
      <w:bookmarkStart w:id="266" w:name="_Toc184312079"/>
      <w:bookmarkEnd w:id="266"/>
      <w:bookmarkStart w:id="267" w:name="_Toc184308100"/>
      <w:bookmarkEnd w:id="267"/>
      <w:bookmarkStart w:id="268" w:name="_Toc184314410"/>
      <w:bookmarkEnd w:id="268"/>
      <w:bookmarkStart w:id="269" w:name="_Toc184308072"/>
      <w:bookmarkEnd w:id="269"/>
      <w:bookmarkStart w:id="270" w:name="_Toc184310308"/>
      <w:bookmarkEnd w:id="270"/>
      <w:bookmarkStart w:id="271" w:name="_Toc184310283"/>
      <w:bookmarkEnd w:id="271"/>
      <w:bookmarkStart w:id="272" w:name="_Toc184312138"/>
      <w:bookmarkEnd w:id="272"/>
      <w:bookmarkStart w:id="273" w:name="_Toc184312126"/>
      <w:bookmarkEnd w:id="273"/>
      <w:bookmarkStart w:id="274" w:name="_Toc184313238"/>
      <w:bookmarkEnd w:id="274"/>
      <w:bookmarkStart w:id="275" w:name="_Toc184313247"/>
      <w:bookmarkEnd w:id="275"/>
      <w:bookmarkStart w:id="276" w:name="_Toc184312078"/>
      <w:bookmarkEnd w:id="276"/>
      <w:bookmarkStart w:id="277" w:name="_Toc184313249"/>
      <w:bookmarkEnd w:id="277"/>
      <w:bookmarkStart w:id="278" w:name="_Toc184313240"/>
      <w:bookmarkEnd w:id="278"/>
      <w:bookmarkStart w:id="279" w:name="_Toc184314420"/>
      <w:bookmarkEnd w:id="279"/>
      <w:bookmarkStart w:id="280" w:name="_Toc184314419"/>
      <w:bookmarkEnd w:id="280"/>
      <w:bookmarkStart w:id="281" w:name="_Toc184308102"/>
      <w:bookmarkEnd w:id="281"/>
      <w:bookmarkStart w:id="282" w:name="_Toc184312104"/>
      <w:bookmarkEnd w:id="282"/>
      <w:bookmarkStart w:id="283" w:name="_Toc184312071"/>
      <w:bookmarkEnd w:id="283"/>
      <w:bookmarkStart w:id="284" w:name="_Toc184314423"/>
      <w:bookmarkEnd w:id="284"/>
      <w:bookmarkStart w:id="285" w:name="_Toc184308082"/>
      <w:bookmarkEnd w:id="285"/>
      <w:bookmarkStart w:id="286" w:name="_Toc184310286"/>
      <w:bookmarkEnd w:id="286"/>
      <w:bookmarkStart w:id="287" w:name="_Toc184313252"/>
      <w:bookmarkEnd w:id="287"/>
      <w:bookmarkStart w:id="288" w:name="_Toc184308051"/>
      <w:bookmarkEnd w:id="288"/>
      <w:bookmarkStart w:id="289" w:name="_Toc184313242"/>
      <w:bookmarkEnd w:id="289"/>
      <w:bookmarkStart w:id="290" w:name="_Toc184310284"/>
      <w:bookmarkEnd w:id="290"/>
      <w:bookmarkStart w:id="291" w:name="_Toc184308086"/>
      <w:bookmarkEnd w:id="291"/>
      <w:bookmarkStart w:id="292" w:name="_Toc184314456"/>
      <w:bookmarkEnd w:id="292"/>
      <w:bookmarkStart w:id="293" w:name="_Toc184314453"/>
      <w:bookmarkEnd w:id="293"/>
      <w:bookmarkStart w:id="294" w:name="_Toc184312139"/>
      <w:bookmarkEnd w:id="294"/>
      <w:bookmarkStart w:id="295" w:name="_Toc184314441"/>
      <w:bookmarkEnd w:id="295"/>
      <w:bookmarkStart w:id="296" w:name="_Toc184312099"/>
      <w:bookmarkEnd w:id="296"/>
      <w:bookmarkStart w:id="297" w:name="_Toc184312131"/>
      <w:bookmarkEnd w:id="297"/>
      <w:bookmarkStart w:id="298" w:name="_Toc184308063"/>
      <w:bookmarkEnd w:id="298"/>
      <w:bookmarkStart w:id="299" w:name="_Toc184313310"/>
      <w:bookmarkEnd w:id="299"/>
      <w:bookmarkStart w:id="300" w:name="_Toc184314482"/>
      <w:bookmarkEnd w:id="300"/>
      <w:bookmarkStart w:id="301" w:name="_Toc184313279"/>
      <w:bookmarkEnd w:id="301"/>
      <w:bookmarkStart w:id="302" w:name="_Toc184310313"/>
      <w:bookmarkEnd w:id="302"/>
      <w:bookmarkStart w:id="303" w:name="_Toc184314421"/>
      <w:bookmarkEnd w:id="303"/>
      <w:bookmarkStart w:id="304" w:name="_Toc184313264"/>
      <w:bookmarkEnd w:id="304"/>
      <w:bookmarkStart w:id="305" w:name="_Toc184313239"/>
      <w:bookmarkEnd w:id="305"/>
      <w:bookmarkStart w:id="306" w:name="_Toc184310309"/>
      <w:bookmarkEnd w:id="306"/>
      <w:bookmarkStart w:id="307" w:name="_Toc184308048"/>
      <w:bookmarkEnd w:id="307"/>
      <w:bookmarkStart w:id="308" w:name="_Toc184314436"/>
      <w:bookmarkEnd w:id="308"/>
      <w:bookmarkStart w:id="309" w:name="_Toc184312093"/>
      <w:bookmarkEnd w:id="309"/>
      <w:bookmarkStart w:id="310" w:name="_Toc184310285"/>
      <w:bookmarkEnd w:id="310"/>
      <w:bookmarkStart w:id="311" w:name="_Toc184310337"/>
      <w:bookmarkEnd w:id="311"/>
      <w:bookmarkStart w:id="312" w:name="_Toc184314422"/>
      <w:bookmarkEnd w:id="312"/>
      <w:bookmarkStart w:id="313" w:name="_Toc184313250"/>
      <w:bookmarkEnd w:id="313"/>
      <w:bookmarkStart w:id="314" w:name="_Toc184308078"/>
      <w:bookmarkEnd w:id="314"/>
      <w:bookmarkStart w:id="315" w:name="_Toc184314479"/>
      <w:bookmarkEnd w:id="315"/>
      <w:bookmarkStart w:id="316" w:name="_Toc184308083"/>
      <w:bookmarkEnd w:id="316"/>
      <w:bookmarkStart w:id="317" w:name="_Toc184308108"/>
      <w:bookmarkEnd w:id="317"/>
      <w:bookmarkStart w:id="318" w:name="_Toc184314464"/>
      <w:bookmarkEnd w:id="318"/>
      <w:bookmarkStart w:id="319" w:name="_Toc184308085"/>
      <w:bookmarkEnd w:id="319"/>
      <w:bookmarkStart w:id="320" w:name="_Toc184313274"/>
      <w:bookmarkEnd w:id="320"/>
      <w:bookmarkStart w:id="321" w:name="_Toc184312114"/>
      <w:bookmarkEnd w:id="321"/>
      <w:bookmarkStart w:id="322" w:name="_Toc184310319"/>
      <w:bookmarkEnd w:id="322"/>
      <w:bookmarkStart w:id="323" w:name="_Toc184308079"/>
      <w:bookmarkEnd w:id="323"/>
      <w:bookmarkStart w:id="324" w:name="_Toc184312105"/>
      <w:bookmarkEnd w:id="324"/>
      <w:bookmarkStart w:id="325" w:name="_Toc184310331"/>
      <w:bookmarkEnd w:id="325"/>
      <w:bookmarkStart w:id="326" w:name="_Toc184312137"/>
      <w:bookmarkEnd w:id="326"/>
      <w:bookmarkStart w:id="327" w:name="_Toc184314451"/>
      <w:bookmarkEnd w:id="327"/>
      <w:bookmarkStart w:id="328" w:name="_Toc184313248"/>
      <w:bookmarkEnd w:id="328"/>
      <w:bookmarkStart w:id="329" w:name="_Toc184314480"/>
      <w:bookmarkEnd w:id="329"/>
      <w:bookmarkStart w:id="330" w:name="_Toc184312080"/>
      <w:bookmarkEnd w:id="330"/>
      <w:bookmarkStart w:id="331" w:name="_Toc184314481"/>
      <w:bookmarkEnd w:id="331"/>
      <w:bookmarkStart w:id="332" w:name="_Toc184308107"/>
      <w:bookmarkEnd w:id="332"/>
      <w:bookmarkStart w:id="333" w:name="_Toc184312108"/>
      <w:bookmarkEnd w:id="333"/>
      <w:bookmarkStart w:id="334" w:name="_Toc184313308"/>
      <w:bookmarkEnd w:id="334"/>
      <w:bookmarkStart w:id="335" w:name="_Toc184310343"/>
      <w:bookmarkEnd w:id="335"/>
      <w:bookmarkStart w:id="336" w:name="_Toc184308087"/>
      <w:bookmarkEnd w:id="336"/>
      <w:bookmarkStart w:id="337" w:name="_Toc184314461"/>
      <w:bookmarkEnd w:id="337"/>
      <w:bookmarkStart w:id="338" w:name="_Toc184308088"/>
      <w:bookmarkEnd w:id="338"/>
      <w:bookmarkStart w:id="339" w:name="_Toc184310324"/>
      <w:bookmarkEnd w:id="339"/>
      <w:bookmarkStart w:id="340" w:name="_Toc184308077"/>
      <w:bookmarkEnd w:id="340"/>
      <w:bookmarkStart w:id="341" w:name="_Toc184313288"/>
      <w:bookmarkEnd w:id="341"/>
      <w:bookmarkStart w:id="342" w:name="_Toc184310323"/>
      <w:bookmarkEnd w:id="342"/>
      <w:bookmarkStart w:id="343" w:name="_Toc184313289"/>
      <w:bookmarkEnd w:id="343"/>
      <w:bookmarkStart w:id="344" w:name="_Toc184312118"/>
      <w:bookmarkEnd w:id="344"/>
      <w:bookmarkStart w:id="345" w:name="_Toc184314460"/>
      <w:bookmarkEnd w:id="345"/>
      <w:bookmarkStart w:id="346" w:name="_Toc184312120"/>
      <w:bookmarkEnd w:id="346"/>
      <w:bookmarkStart w:id="347" w:name="_Toc184308089"/>
      <w:bookmarkEnd w:id="347"/>
      <w:bookmarkStart w:id="348" w:name="_Toc184310325"/>
      <w:bookmarkEnd w:id="348"/>
      <w:bookmarkStart w:id="349" w:name="_Toc184313291"/>
      <w:bookmarkEnd w:id="349"/>
      <w:bookmarkStart w:id="350" w:name="_Toc184314463"/>
      <w:bookmarkEnd w:id="350"/>
      <w:bookmarkStart w:id="351" w:name="_Toc184308090"/>
      <w:bookmarkEnd w:id="351"/>
      <w:bookmarkStart w:id="352" w:name="_Toc184312119"/>
      <w:bookmarkEnd w:id="352"/>
      <w:bookmarkStart w:id="353" w:name="_Toc184310326"/>
      <w:bookmarkEnd w:id="353"/>
      <w:bookmarkStart w:id="354" w:name="_Toc184313290"/>
      <w:bookmarkEnd w:id="354"/>
      <w:bookmarkStart w:id="355" w:name="_Toc184314462"/>
      <w:bookmarkEnd w:id="355"/>
      <w:bookmarkStart w:id="356" w:name="_Toc184313241"/>
      <w:bookmarkEnd w:id="356"/>
      <w:bookmarkStart w:id="357" w:name="_Toc184310327"/>
      <w:bookmarkEnd w:id="357"/>
      <w:bookmarkStart w:id="358" w:name="_Toc184312122"/>
      <w:bookmarkEnd w:id="358"/>
      <w:bookmarkStart w:id="359" w:name="_Toc184312121"/>
      <w:bookmarkEnd w:id="359"/>
      <w:bookmarkStart w:id="360" w:name="_Toc184313293"/>
      <w:bookmarkEnd w:id="360"/>
      <w:bookmarkStart w:id="361" w:name="_Toc184314465"/>
      <w:bookmarkEnd w:id="361"/>
      <w:bookmarkStart w:id="362" w:name="_Toc184308092"/>
      <w:bookmarkEnd w:id="362"/>
      <w:bookmarkStart w:id="363" w:name="_Toc184312109"/>
      <w:bookmarkEnd w:id="363"/>
      <w:bookmarkStart w:id="364" w:name="_Toc184313302"/>
      <w:bookmarkEnd w:id="364"/>
      <w:bookmarkStart w:id="365" w:name="_Toc184308068"/>
      <w:bookmarkEnd w:id="365"/>
      <w:bookmarkStart w:id="366" w:name="_Toc184308091"/>
      <w:bookmarkEnd w:id="366"/>
      <w:bookmarkStart w:id="367" w:name="_Toc184310328"/>
      <w:bookmarkEnd w:id="367"/>
      <w:bookmarkStart w:id="368" w:name="_Toc184312123"/>
      <w:bookmarkEnd w:id="368"/>
      <w:bookmarkStart w:id="369" w:name="_Toc184308093"/>
      <w:bookmarkEnd w:id="369"/>
      <w:bookmarkStart w:id="370" w:name="_Toc184313294"/>
      <w:bookmarkEnd w:id="370"/>
      <w:bookmarkStart w:id="371" w:name="_Toc184310329"/>
      <w:bookmarkEnd w:id="371"/>
      <w:bookmarkStart w:id="372" w:name="_Toc184312124"/>
      <w:bookmarkEnd w:id="372"/>
      <w:bookmarkStart w:id="373" w:name="_Toc184313295"/>
      <w:bookmarkEnd w:id="373"/>
      <w:bookmarkStart w:id="374" w:name="_Toc184314467"/>
      <w:bookmarkEnd w:id="374"/>
      <w:bookmarkStart w:id="375" w:name="_Toc184308094"/>
      <w:bookmarkEnd w:id="375"/>
      <w:bookmarkStart w:id="376" w:name="_Toc184310330"/>
      <w:bookmarkEnd w:id="376"/>
      <w:bookmarkStart w:id="377" w:name="_Toc184314466"/>
      <w:bookmarkEnd w:id="377"/>
      <w:bookmarkStart w:id="378" w:name="_Toc184310332"/>
      <w:bookmarkEnd w:id="378"/>
      <w:bookmarkStart w:id="379" w:name="_Toc184312125"/>
      <w:bookmarkEnd w:id="379"/>
      <w:bookmarkStart w:id="380" w:name="_Toc184314469"/>
      <w:bookmarkEnd w:id="380"/>
      <w:bookmarkStart w:id="381" w:name="_Toc184313296"/>
      <w:bookmarkEnd w:id="381"/>
      <w:bookmarkStart w:id="382" w:name="_Toc184314468"/>
      <w:bookmarkEnd w:id="382"/>
      <w:bookmarkStart w:id="383" w:name="_Toc184308095"/>
      <w:bookmarkEnd w:id="383"/>
      <w:bookmarkStart w:id="384" w:name="_Toc184312091"/>
      <w:bookmarkEnd w:id="384"/>
      <w:bookmarkStart w:id="385" w:name="_Toc184312082"/>
      <w:bookmarkEnd w:id="385"/>
      <w:bookmarkStart w:id="386" w:name="_Toc184313297"/>
      <w:bookmarkEnd w:id="386"/>
      <w:bookmarkStart w:id="387" w:name="_Toc184308096"/>
      <w:bookmarkEnd w:id="387"/>
      <w:bookmarkStart w:id="388" w:name="_Toc184313299"/>
      <w:bookmarkEnd w:id="388"/>
      <w:bookmarkStart w:id="389" w:name="_Toc184312129"/>
      <w:bookmarkEnd w:id="389"/>
      <w:bookmarkStart w:id="390" w:name="_Toc184310333"/>
      <w:bookmarkEnd w:id="390"/>
      <w:bookmarkStart w:id="391" w:name="_Toc184308097"/>
      <w:bookmarkEnd w:id="391"/>
      <w:bookmarkStart w:id="392" w:name="_Toc184314471"/>
      <w:bookmarkEnd w:id="392"/>
      <w:bookmarkStart w:id="393" w:name="_Toc184313298"/>
      <w:bookmarkEnd w:id="393"/>
      <w:bookmarkStart w:id="394" w:name="_Toc184314470"/>
      <w:bookmarkEnd w:id="394"/>
      <w:bookmarkStart w:id="395" w:name="_Toc184312128"/>
      <w:bookmarkEnd w:id="395"/>
      <w:bookmarkStart w:id="396" w:name="_Toc184308098"/>
      <w:bookmarkEnd w:id="396"/>
      <w:bookmarkStart w:id="397" w:name="_Toc184310334"/>
      <w:bookmarkEnd w:id="397"/>
      <w:bookmarkStart w:id="398" w:name="_Toc184312127"/>
      <w:bookmarkEnd w:id="398"/>
      <w:bookmarkStart w:id="399" w:name="_Toc184313300"/>
      <w:bookmarkEnd w:id="399"/>
      <w:bookmarkStart w:id="400" w:name="_Toc184314472"/>
      <w:bookmarkEnd w:id="400"/>
      <w:bookmarkStart w:id="401" w:name="_Toc184308099"/>
      <w:bookmarkEnd w:id="401"/>
      <w:bookmarkStart w:id="402" w:name="_Toc184313301"/>
      <w:bookmarkEnd w:id="402"/>
      <w:bookmarkStart w:id="403" w:name="_Toc184314452"/>
      <w:bookmarkEnd w:id="403"/>
      <w:bookmarkStart w:id="404" w:name="_Toc184314476"/>
      <w:bookmarkEnd w:id="404"/>
      <w:bookmarkStart w:id="405" w:name="_Toc184310335"/>
      <w:bookmarkEnd w:id="405"/>
      <w:bookmarkStart w:id="406" w:name="_Toc184312130"/>
      <w:bookmarkEnd w:id="406"/>
      <w:bookmarkStart w:id="407" w:name="_Toc184310338"/>
      <w:bookmarkEnd w:id="407"/>
      <w:bookmarkStart w:id="408" w:name="_Toc184312133"/>
      <w:bookmarkEnd w:id="408"/>
      <w:bookmarkStart w:id="409" w:name="_Toc184313304"/>
      <w:bookmarkEnd w:id="409"/>
      <w:bookmarkStart w:id="410" w:name="_Toc184312111"/>
      <w:bookmarkEnd w:id="410"/>
      <w:bookmarkStart w:id="411" w:name="_Toc184308080"/>
      <w:bookmarkEnd w:id="411"/>
      <w:bookmarkStart w:id="412" w:name="_Toc184312134"/>
      <w:bookmarkEnd w:id="412"/>
      <w:bookmarkStart w:id="413" w:name="_Toc184308103"/>
      <w:bookmarkEnd w:id="413"/>
      <w:bookmarkStart w:id="414" w:name="_Toc184310339"/>
      <w:bookmarkEnd w:id="414"/>
      <w:bookmarkStart w:id="415" w:name="_Toc184314477"/>
      <w:bookmarkEnd w:id="415"/>
      <w:bookmarkStart w:id="416" w:name="_Toc184308104"/>
      <w:bookmarkEnd w:id="416"/>
      <w:bookmarkStart w:id="417" w:name="_Toc184310318"/>
      <w:bookmarkEnd w:id="417"/>
      <w:bookmarkStart w:id="418" w:name="_Toc184313305"/>
      <w:bookmarkEnd w:id="418"/>
      <w:bookmarkStart w:id="419" w:name="_Toc184310340"/>
      <w:bookmarkEnd w:id="419"/>
      <w:bookmarkStart w:id="420" w:name="_Toc184312092"/>
      <w:bookmarkEnd w:id="420"/>
      <w:bookmarkStart w:id="421" w:name="_Toc184314427"/>
      <w:bookmarkEnd w:id="421"/>
      <w:r>
        <w:rPr>
          <w:rFonts w:hint="eastAsia" w:ascii="仿宋_GB2312" w:hAnsi="仿宋" w:eastAsia="仿宋_GB2312"/>
          <w:b/>
          <w:sz w:val="36"/>
          <w:szCs w:val="36"/>
        </w:rPr>
        <w:t>评标办法及评分标准</w:t>
      </w:r>
    </w:p>
    <w:p>
      <w:pPr>
        <w:widowControl w:val="0"/>
        <w:adjustRightInd w:val="0"/>
        <w:snapToGrid w:val="0"/>
        <w:spacing w:line="360" w:lineRule="auto"/>
        <w:ind w:firstLine="3052" w:firstLineChars="950"/>
        <w:jc w:val="both"/>
        <w:rPr>
          <w:rFonts w:hint="eastAsia" w:ascii="仿宋_GB2312" w:hAnsi="仿宋" w:eastAsia="仿宋_GB2312"/>
          <w:b/>
          <w:sz w:val="28"/>
          <w:szCs w:val="28"/>
        </w:rPr>
      </w:pPr>
      <w:r>
        <w:rPr>
          <w:rFonts w:hint="eastAsia" w:ascii="仿宋_GB2312" w:hAnsi="仿宋" w:eastAsia="仿宋_GB2312" w:cs="仿宋_GB2312"/>
          <w:b/>
          <w:sz w:val="32"/>
          <w:szCs w:val="24"/>
        </w:rPr>
        <w:t>一、评标方法</w:t>
      </w:r>
    </w:p>
    <w:p>
      <w:pPr>
        <w:widowControl w:val="0"/>
        <w:spacing w:line="360" w:lineRule="auto"/>
        <w:jc w:val="both"/>
        <w:rPr>
          <w:rFonts w:hint="eastAsia" w:ascii="仿宋_GB2312" w:hAnsi="仿宋" w:eastAsia="仿宋_GB2312" w:cs="Arial"/>
          <w:kern w:val="0"/>
          <w:sz w:val="24"/>
          <w:szCs w:val="24"/>
        </w:rPr>
      </w:pPr>
      <w:r>
        <w:rPr>
          <w:rFonts w:hint="eastAsia" w:ascii="仿宋_GB2312" w:hAnsi="仿宋" w:eastAsia="仿宋_GB2312" w:cs="Arial"/>
          <w:b/>
          <w:kern w:val="0"/>
          <w:sz w:val="24"/>
          <w:szCs w:val="24"/>
        </w:rPr>
        <w:t>1.综合评分法。</w:t>
      </w:r>
      <w:r>
        <w:rPr>
          <w:rFonts w:hint="eastAsia" w:ascii="仿宋_GB2312" w:hAnsi="仿宋" w:eastAsia="仿宋_GB2312" w:cs="Arial"/>
          <w:kern w:val="0"/>
          <w:sz w:val="24"/>
          <w:szCs w:val="24"/>
        </w:rPr>
        <w:t>综合评分法，是指投标文件满足招标文件全部实质性要求，且按照评审因素的量化指标评审得分最高的投标人为中标候选人的评标方法。</w:t>
      </w:r>
    </w:p>
    <w:p>
      <w:pPr>
        <w:widowControl w:val="0"/>
        <w:spacing w:line="360" w:lineRule="auto"/>
        <w:jc w:val="both"/>
        <w:rPr>
          <w:rFonts w:hint="eastAsia" w:ascii="仿宋_GB2312" w:hAnsi="仿宋" w:eastAsia="仿宋_GB2312" w:cs="Arial"/>
          <w:kern w:val="0"/>
          <w:sz w:val="24"/>
          <w:szCs w:val="24"/>
        </w:rPr>
      </w:pPr>
    </w:p>
    <w:p>
      <w:pPr>
        <w:widowControl w:val="0"/>
        <w:adjustRightInd w:val="0"/>
        <w:snapToGrid w:val="0"/>
        <w:spacing w:line="360" w:lineRule="auto"/>
        <w:ind w:left="120" w:leftChars="57" w:firstLine="422" w:firstLineChars="150"/>
        <w:jc w:val="center"/>
        <w:rPr>
          <w:rFonts w:hint="eastAsia" w:ascii="仿宋_GB2312" w:hAnsi="仿宋" w:eastAsia="仿宋_GB2312" w:cs="仿宋_GB2312"/>
          <w:b/>
          <w:sz w:val="32"/>
          <w:szCs w:val="24"/>
        </w:rPr>
      </w:pPr>
      <w:r>
        <w:rPr>
          <w:rFonts w:hint="eastAsia" w:ascii="仿宋_GB2312" w:hAnsi="仿宋" w:eastAsia="仿宋_GB2312"/>
          <w:b/>
          <w:sz w:val="28"/>
          <w:szCs w:val="28"/>
        </w:rPr>
        <w:t xml:space="preserve">   </w:t>
      </w:r>
      <w:r>
        <w:rPr>
          <w:rFonts w:hint="eastAsia" w:ascii="仿宋_GB2312" w:hAnsi="仿宋" w:eastAsia="仿宋_GB2312" w:cs="仿宋_GB2312"/>
          <w:b/>
          <w:sz w:val="32"/>
          <w:szCs w:val="24"/>
        </w:rPr>
        <w:t>二、评标委员会的组成</w:t>
      </w:r>
    </w:p>
    <w:p>
      <w:pPr>
        <w:widowControl w:val="0"/>
        <w:adjustRightInd w:val="0"/>
        <w:snapToGrid w:val="0"/>
        <w:spacing w:line="360" w:lineRule="auto"/>
        <w:jc w:val="both"/>
        <w:rPr>
          <w:rFonts w:hint="eastAsia" w:ascii="仿宋_GB2312" w:hAnsi="仿宋" w:eastAsia="仿宋_GB2312" w:cs="Arial"/>
          <w:kern w:val="0"/>
          <w:sz w:val="24"/>
          <w:szCs w:val="24"/>
        </w:rPr>
      </w:pPr>
      <w:r>
        <w:rPr>
          <w:rFonts w:hint="eastAsia" w:ascii="仿宋_GB2312" w:hAnsi="仿宋" w:eastAsia="仿宋_GB2312" w:cs="Arial"/>
          <w:b/>
          <w:kern w:val="0"/>
          <w:sz w:val="24"/>
          <w:szCs w:val="24"/>
        </w:rPr>
        <w:t>2.评标委员会的组成。</w:t>
      </w:r>
      <w:r>
        <w:rPr>
          <w:rFonts w:hint="eastAsia" w:ascii="仿宋_GB2312" w:hAnsi="仿宋" w:eastAsia="仿宋_GB2312" w:cs="Arial"/>
          <w:kern w:val="0"/>
          <w:sz w:val="24"/>
          <w:szCs w:val="24"/>
        </w:rPr>
        <w:t>评标委员会由采购人代表和评审专家组成，成员人数为5人以上单数，其中评审专家不少于成员总数的三分之二。</w:t>
      </w:r>
    </w:p>
    <w:p>
      <w:pPr>
        <w:widowControl w:val="0"/>
        <w:adjustRightInd w:val="0"/>
        <w:spacing w:line="360" w:lineRule="auto"/>
        <w:jc w:val="both"/>
        <w:rPr>
          <w:rFonts w:hint="eastAsia" w:ascii="仿宋_GB2312" w:hAnsi="仿宋" w:eastAsia="仿宋_GB2312" w:cs="Arial"/>
          <w:kern w:val="0"/>
          <w:sz w:val="24"/>
        </w:rPr>
      </w:pPr>
      <w:r>
        <w:rPr>
          <w:rFonts w:hint="eastAsia" w:ascii="仿宋_GB2312" w:hAnsi="仿宋" w:eastAsia="仿宋_GB2312" w:cs="Arial"/>
          <w:b/>
          <w:kern w:val="0"/>
          <w:sz w:val="24"/>
        </w:rPr>
        <w:t>3.评</w:t>
      </w:r>
      <w:r>
        <w:rPr>
          <w:rFonts w:hint="eastAsia" w:ascii="仿宋_GB2312" w:hAnsi="仿宋" w:eastAsia="仿宋_GB2312" w:cs="Arial"/>
          <w:b/>
          <w:kern w:val="0"/>
          <w:sz w:val="24"/>
          <w:szCs w:val="24"/>
        </w:rPr>
        <w:t>标委员会的组成人员的回避。</w:t>
      </w:r>
      <w:r>
        <w:rPr>
          <w:rFonts w:hint="eastAsia" w:ascii="仿宋_GB2312" w:hAnsi="仿宋" w:eastAsia="仿宋_GB2312" w:cs="Arial"/>
          <w:kern w:val="0"/>
          <w:sz w:val="24"/>
        </w:rPr>
        <w:t>在政府采购活动中，评标委员会的组成人员与供应商有下列利害关系之一的，应当回避：</w:t>
      </w:r>
    </w:p>
    <w:p>
      <w:pPr>
        <w:widowControl w:val="0"/>
        <w:adjustRightInd w:val="0"/>
        <w:spacing w:line="360" w:lineRule="auto"/>
        <w:jc w:val="both"/>
        <w:rPr>
          <w:rFonts w:hint="eastAsia" w:ascii="仿宋_GB2312" w:hAnsi="仿宋" w:eastAsia="仿宋_GB2312" w:cs="Arial"/>
          <w:kern w:val="0"/>
          <w:sz w:val="24"/>
        </w:rPr>
      </w:pPr>
      <w:r>
        <w:rPr>
          <w:rFonts w:hint="eastAsia" w:ascii="仿宋_GB2312" w:hAnsi="仿宋" w:eastAsia="仿宋_GB2312" w:cs="Arial"/>
          <w:kern w:val="0"/>
          <w:sz w:val="24"/>
        </w:rPr>
        <w:t>　　3.1参加采购活动前3年内与供应商存在劳动关系；</w:t>
      </w:r>
    </w:p>
    <w:p>
      <w:pPr>
        <w:widowControl w:val="0"/>
        <w:adjustRightInd w:val="0"/>
        <w:spacing w:line="360" w:lineRule="auto"/>
        <w:jc w:val="both"/>
        <w:rPr>
          <w:rFonts w:hint="eastAsia" w:ascii="仿宋_GB2312" w:hAnsi="仿宋" w:eastAsia="仿宋_GB2312" w:cs="Arial"/>
          <w:kern w:val="0"/>
          <w:sz w:val="24"/>
        </w:rPr>
      </w:pPr>
      <w:r>
        <w:rPr>
          <w:rFonts w:hint="eastAsia" w:ascii="仿宋_GB2312" w:hAnsi="仿宋" w:eastAsia="仿宋_GB2312" w:cs="Arial"/>
          <w:kern w:val="0"/>
          <w:sz w:val="24"/>
        </w:rPr>
        <w:t>　　3.2参加采购活动前3年内担任供应商的董事、监事；</w:t>
      </w:r>
    </w:p>
    <w:p>
      <w:pPr>
        <w:widowControl w:val="0"/>
        <w:adjustRightInd w:val="0"/>
        <w:spacing w:line="360" w:lineRule="auto"/>
        <w:jc w:val="both"/>
        <w:rPr>
          <w:rFonts w:hint="eastAsia" w:ascii="仿宋_GB2312" w:hAnsi="仿宋" w:eastAsia="仿宋_GB2312" w:cs="Arial"/>
          <w:kern w:val="0"/>
          <w:sz w:val="24"/>
        </w:rPr>
      </w:pPr>
      <w:r>
        <w:rPr>
          <w:rFonts w:hint="eastAsia" w:ascii="仿宋_GB2312" w:hAnsi="仿宋" w:eastAsia="仿宋_GB2312" w:cs="Arial"/>
          <w:kern w:val="0"/>
          <w:sz w:val="24"/>
        </w:rPr>
        <w:t>　　3.3参加采购活动前3年内是供应商的控股股东或者实际控制人；</w:t>
      </w:r>
    </w:p>
    <w:p>
      <w:pPr>
        <w:widowControl w:val="0"/>
        <w:adjustRightInd w:val="0"/>
        <w:spacing w:line="360" w:lineRule="auto"/>
        <w:jc w:val="both"/>
        <w:rPr>
          <w:rFonts w:hint="eastAsia" w:ascii="仿宋_GB2312" w:hAnsi="仿宋" w:eastAsia="仿宋_GB2312" w:cs="Arial"/>
          <w:kern w:val="0"/>
          <w:sz w:val="24"/>
        </w:rPr>
      </w:pPr>
      <w:r>
        <w:rPr>
          <w:rFonts w:hint="eastAsia" w:ascii="仿宋_GB2312" w:hAnsi="仿宋" w:eastAsia="仿宋_GB2312" w:cs="Arial"/>
          <w:kern w:val="0"/>
          <w:sz w:val="24"/>
        </w:rPr>
        <w:t>　　3.4与供应商的法定代表人或者负责人有夫妻、直系血亲、三代以内旁系血亲或者近姻亲关系；</w:t>
      </w:r>
    </w:p>
    <w:p>
      <w:pPr>
        <w:widowControl w:val="0"/>
        <w:adjustRightInd w:val="0"/>
        <w:spacing w:line="360" w:lineRule="auto"/>
        <w:jc w:val="both"/>
        <w:rPr>
          <w:rFonts w:hint="eastAsia" w:ascii="仿宋_GB2312" w:hAnsi="仿宋" w:eastAsia="仿宋_GB2312" w:cs="Arial"/>
          <w:kern w:val="0"/>
          <w:sz w:val="24"/>
        </w:rPr>
      </w:pPr>
      <w:r>
        <w:rPr>
          <w:rFonts w:hint="eastAsia" w:ascii="仿宋_GB2312" w:hAnsi="仿宋" w:eastAsia="仿宋_GB2312" w:cs="Arial"/>
          <w:kern w:val="0"/>
          <w:sz w:val="24"/>
        </w:rPr>
        <w:t>　 3.5与供应商有其他可能影响政府采购活动公平、公正进行的关系。</w:t>
      </w:r>
    </w:p>
    <w:p>
      <w:pPr>
        <w:widowControl w:val="0"/>
        <w:adjustRightInd w:val="0"/>
        <w:snapToGrid w:val="0"/>
        <w:spacing w:line="360" w:lineRule="auto"/>
        <w:ind w:left="120" w:leftChars="57" w:firstLine="482" w:firstLineChars="150"/>
        <w:jc w:val="center"/>
        <w:rPr>
          <w:rFonts w:hint="eastAsia" w:ascii="仿宋_GB2312" w:hAnsi="仿宋" w:eastAsia="仿宋_GB2312"/>
          <w:b/>
          <w:sz w:val="32"/>
          <w:szCs w:val="32"/>
        </w:rPr>
      </w:pPr>
    </w:p>
    <w:p>
      <w:pPr>
        <w:widowControl w:val="0"/>
        <w:adjustRightInd w:val="0"/>
        <w:snapToGrid w:val="0"/>
        <w:spacing w:line="360" w:lineRule="auto"/>
        <w:ind w:left="120" w:leftChars="57" w:firstLine="482" w:firstLineChars="150"/>
        <w:jc w:val="center"/>
        <w:rPr>
          <w:rFonts w:hint="eastAsia" w:ascii="仿宋_GB2312" w:hAnsi="仿宋" w:eastAsia="仿宋_GB2312"/>
          <w:b/>
          <w:sz w:val="32"/>
          <w:szCs w:val="32"/>
        </w:rPr>
      </w:pPr>
      <w:r>
        <w:rPr>
          <w:rFonts w:hint="eastAsia" w:ascii="仿宋_GB2312" w:hAnsi="仿宋" w:eastAsia="仿宋_GB2312"/>
          <w:b/>
          <w:sz w:val="32"/>
          <w:szCs w:val="32"/>
        </w:rPr>
        <w:t>　</w:t>
      </w:r>
      <w:r>
        <w:rPr>
          <w:rFonts w:hint="eastAsia" w:ascii="仿宋_GB2312" w:hAnsi="仿宋" w:eastAsia="仿宋_GB2312" w:cs="仿宋_GB2312"/>
          <w:b/>
          <w:sz w:val="32"/>
          <w:szCs w:val="24"/>
        </w:rPr>
        <w:t>　三、评标委员会的职责</w:t>
      </w:r>
    </w:p>
    <w:p>
      <w:pPr>
        <w:widowControl w:val="0"/>
        <w:adjustRightInd w:val="0"/>
        <w:spacing w:line="360" w:lineRule="auto"/>
        <w:jc w:val="both"/>
        <w:rPr>
          <w:rFonts w:hint="eastAsia" w:ascii="仿宋_GB2312" w:hAnsi="仿宋" w:eastAsia="仿宋_GB2312" w:cs="Arial"/>
          <w:b/>
          <w:kern w:val="0"/>
          <w:sz w:val="24"/>
          <w:szCs w:val="24"/>
        </w:rPr>
      </w:pPr>
      <w:r>
        <w:rPr>
          <w:rFonts w:hint="eastAsia" w:ascii="仿宋_GB2312" w:hAnsi="仿宋" w:eastAsia="仿宋_GB2312" w:cs="Arial"/>
          <w:b/>
          <w:kern w:val="0"/>
          <w:sz w:val="24"/>
          <w:szCs w:val="24"/>
        </w:rPr>
        <w:t>4.评标委员会负责具体评标事务，并独立履行下列职责：</w:t>
      </w:r>
    </w:p>
    <w:p>
      <w:pPr>
        <w:widowControl w:val="0"/>
        <w:adjustRightInd w:val="0"/>
        <w:spacing w:line="360" w:lineRule="auto"/>
        <w:ind w:firstLine="480" w:firstLineChars="200"/>
        <w:jc w:val="both"/>
        <w:rPr>
          <w:rFonts w:hint="eastAsia" w:ascii="仿宋_GB2312" w:hAnsi="仿宋" w:eastAsia="仿宋_GB2312" w:cs="Arial"/>
          <w:kern w:val="0"/>
          <w:sz w:val="24"/>
        </w:rPr>
      </w:pPr>
      <w:r>
        <w:rPr>
          <w:rFonts w:hint="eastAsia" w:ascii="仿宋_GB2312" w:hAnsi="仿宋" w:eastAsia="仿宋_GB2312" w:cs="Arial"/>
          <w:kern w:val="0"/>
          <w:sz w:val="24"/>
        </w:rPr>
        <w:t>4.1审查、评价投标文件是否符合招标文件的商务、技术等实质性要求；</w:t>
      </w:r>
    </w:p>
    <w:p>
      <w:pPr>
        <w:widowControl w:val="0"/>
        <w:adjustRightInd w:val="0"/>
        <w:spacing w:line="360" w:lineRule="auto"/>
        <w:ind w:firstLine="480" w:firstLineChars="200"/>
        <w:jc w:val="both"/>
        <w:rPr>
          <w:rFonts w:hint="eastAsia" w:ascii="仿宋_GB2312" w:hAnsi="仿宋" w:eastAsia="仿宋_GB2312" w:cs="Arial"/>
          <w:kern w:val="0"/>
          <w:sz w:val="24"/>
        </w:rPr>
      </w:pPr>
      <w:r>
        <w:rPr>
          <w:rFonts w:hint="eastAsia" w:ascii="仿宋_GB2312" w:hAnsi="仿宋" w:eastAsia="仿宋_GB2312" w:cs="Arial"/>
          <w:kern w:val="0"/>
          <w:sz w:val="24"/>
        </w:rPr>
        <w:t>4.2要求投标人对投标文件有关事项作出澄清或者说明；</w:t>
      </w:r>
    </w:p>
    <w:p>
      <w:pPr>
        <w:widowControl w:val="0"/>
        <w:adjustRightInd w:val="0"/>
        <w:spacing w:line="360" w:lineRule="auto"/>
        <w:ind w:firstLine="480" w:firstLineChars="200"/>
        <w:jc w:val="both"/>
        <w:rPr>
          <w:rFonts w:hint="eastAsia" w:ascii="仿宋_GB2312" w:hAnsi="仿宋" w:eastAsia="仿宋_GB2312" w:cs="Arial"/>
          <w:kern w:val="0"/>
          <w:sz w:val="24"/>
        </w:rPr>
      </w:pPr>
      <w:r>
        <w:rPr>
          <w:rFonts w:hint="eastAsia" w:ascii="仿宋_GB2312" w:hAnsi="仿宋" w:eastAsia="仿宋_GB2312" w:cs="Arial"/>
          <w:kern w:val="0"/>
          <w:sz w:val="24"/>
        </w:rPr>
        <w:t>4.3对投标文件进行比较和评价；</w:t>
      </w:r>
    </w:p>
    <w:p>
      <w:pPr>
        <w:widowControl w:val="0"/>
        <w:adjustRightInd w:val="0"/>
        <w:spacing w:line="360" w:lineRule="auto"/>
        <w:ind w:firstLine="480" w:firstLineChars="200"/>
        <w:jc w:val="both"/>
        <w:rPr>
          <w:rFonts w:hint="eastAsia" w:ascii="仿宋_GB2312" w:hAnsi="仿宋" w:eastAsia="仿宋_GB2312" w:cs="Arial"/>
          <w:kern w:val="0"/>
          <w:sz w:val="24"/>
        </w:rPr>
      </w:pPr>
      <w:r>
        <w:rPr>
          <w:rFonts w:hint="eastAsia" w:ascii="仿宋_GB2312" w:hAnsi="仿宋" w:eastAsia="仿宋_GB2312" w:cs="Arial"/>
          <w:kern w:val="0"/>
          <w:sz w:val="24"/>
        </w:rPr>
        <w:t>4.4确定中标候选人名单，以及根据采购人委托直接确定中标人；</w:t>
      </w:r>
    </w:p>
    <w:p>
      <w:pPr>
        <w:widowControl w:val="0"/>
        <w:adjustRightInd w:val="0"/>
        <w:spacing w:line="360" w:lineRule="auto"/>
        <w:ind w:firstLine="480" w:firstLineChars="200"/>
        <w:jc w:val="both"/>
        <w:rPr>
          <w:rFonts w:hint="eastAsia" w:ascii="仿宋_GB2312" w:hAnsi="仿宋" w:eastAsia="仿宋_GB2312" w:cs="Arial"/>
          <w:kern w:val="0"/>
          <w:sz w:val="24"/>
        </w:rPr>
      </w:pPr>
      <w:r>
        <w:rPr>
          <w:rFonts w:hint="eastAsia" w:ascii="仿宋_GB2312" w:hAnsi="仿宋" w:eastAsia="仿宋_GB2312" w:cs="Arial"/>
          <w:kern w:val="0"/>
          <w:sz w:val="24"/>
        </w:rPr>
        <w:t>4.5向采购人、采购机构或者有关部门报告评标中发现的违法行为；</w:t>
      </w:r>
    </w:p>
    <w:p>
      <w:pPr>
        <w:widowControl w:val="0"/>
        <w:adjustRightInd w:val="0"/>
        <w:spacing w:line="360" w:lineRule="auto"/>
        <w:ind w:firstLine="480" w:firstLineChars="200"/>
        <w:jc w:val="both"/>
        <w:rPr>
          <w:rFonts w:hint="eastAsia" w:ascii="仿宋_GB2312" w:hAnsi="仿宋" w:eastAsia="仿宋_GB2312" w:cs="Arial"/>
          <w:kern w:val="0"/>
          <w:sz w:val="24"/>
        </w:rPr>
      </w:pPr>
      <w:r>
        <w:rPr>
          <w:rFonts w:hint="eastAsia" w:ascii="仿宋_GB2312" w:hAnsi="仿宋" w:eastAsia="仿宋_GB2312" w:cs="Arial"/>
          <w:kern w:val="0"/>
          <w:sz w:val="24"/>
        </w:rPr>
        <w:t>4.6法律、法规、规章、招标文件等规定的其它事项。</w:t>
      </w:r>
    </w:p>
    <w:p>
      <w:pPr>
        <w:widowControl w:val="0"/>
        <w:adjustRightInd w:val="0"/>
        <w:spacing w:line="360" w:lineRule="auto"/>
        <w:jc w:val="both"/>
        <w:rPr>
          <w:rFonts w:hint="eastAsia" w:ascii="仿宋_GB2312" w:hAnsi="仿宋" w:eastAsia="仿宋_GB2312" w:cs="Arial"/>
          <w:b/>
          <w:kern w:val="0"/>
          <w:sz w:val="24"/>
          <w:szCs w:val="24"/>
        </w:rPr>
      </w:pPr>
      <w:r>
        <w:rPr>
          <w:rFonts w:hint="eastAsia" w:ascii="仿宋_GB2312" w:hAnsi="仿宋" w:eastAsia="仿宋_GB2312" w:cs="Arial"/>
          <w:b/>
          <w:kern w:val="0"/>
          <w:sz w:val="24"/>
          <w:szCs w:val="24"/>
        </w:rPr>
        <w:t>5.评标委员会及其成员不得有下列行为：</w:t>
      </w:r>
    </w:p>
    <w:p>
      <w:pPr>
        <w:widowControl w:val="0"/>
        <w:adjustRightInd w:val="0"/>
        <w:spacing w:line="360" w:lineRule="auto"/>
        <w:jc w:val="both"/>
        <w:rPr>
          <w:rFonts w:hint="eastAsia" w:ascii="仿宋_GB2312" w:hAnsi="仿宋" w:eastAsia="仿宋_GB2312" w:cs="Arial"/>
          <w:kern w:val="0"/>
          <w:sz w:val="24"/>
        </w:rPr>
      </w:pPr>
      <w:r>
        <w:rPr>
          <w:rFonts w:hint="eastAsia" w:ascii="仿宋_GB2312" w:hAnsi="仿宋" w:eastAsia="仿宋_GB2312" w:cs="Arial"/>
          <w:kern w:val="0"/>
          <w:sz w:val="24"/>
        </w:rPr>
        <w:t>　5.1确定参与评标至评标结束前私自接触投标人；</w:t>
      </w:r>
    </w:p>
    <w:p>
      <w:pPr>
        <w:widowControl w:val="0"/>
        <w:adjustRightInd w:val="0"/>
        <w:spacing w:line="360" w:lineRule="auto"/>
        <w:jc w:val="both"/>
        <w:rPr>
          <w:rFonts w:hint="eastAsia" w:ascii="仿宋_GB2312" w:hAnsi="仿宋" w:eastAsia="仿宋_GB2312" w:cs="Arial"/>
          <w:kern w:val="0"/>
          <w:sz w:val="24"/>
        </w:rPr>
      </w:pPr>
      <w:r>
        <w:rPr>
          <w:rFonts w:hint="eastAsia" w:ascii="仿宋_GB2312" w:hAnsi="仿宋" w:eastAsia="仿宋_GB2312" w:cs="Arial"/>
          <w:kern w:val="0"/>
          <w:sz w:val="24"/>
        </w:rPr>
        <w:t>　5.2接受投标人提出的与投标文件不一致的澄清或者说明，</w:t>
      </w:r>
      <w:r>
        <w:rPr>
          <w:rFonts w:hint="eastAsia" w:ascii="仿宋_GB2312" w:hAnsi="仿宋" w:eastAsia="仿宋_GB2312" w:cs="Arial"/>
          <w:kern w:val="0"/>
          <w:sz w:val="24"/>
          <w:szCs w:val="24"/>
        </w:rPr>
        <w:t>财政部第87号令 《政府采购货物和服务招标投标管理办法》</w:t>
      </w:r>
      <w:r>
        <w:rPr>
          <w:rFonts w:hint="eastAsia" w:ascii="仿宋_GB2312" w:hAnsi="仿宋" w:eastAsia="仿宋_GB2312" w:cs="Arial"/>
          <w:kern w:val="0"/>
          <w:sz w:val="24"/>
        </w:rPr>
        <w:t>第五十一条规定的情形除外；</w:t>
      </w:r>
    </w:p>
    <w:p>
      <w:pPr>
        <w:widowControl w:val="0"/>
        <w:adjustRightInd w:val="0"/>
        <w:spacing w:line="360" w:lineRule="auto"/>
        <w:jc w:val="both"/>
        <w:rPr>
          <w:rFonts w:hint="eastAsia" w:ascii="仿宋_GB2312" w:hAnsi="仿宋" w:eastAsia="仿宋_GB2312" w:cs="Arial"/>
          <w:kern w:val="0"/>
          <w:sz w:val="24"/>
        </w:rPr>
      </w:pPr>
      <w:r>
        <w:rPr>
          <w:rFonts w:hint="eastAsia" w:ascii="仿宋_GB2312" w:hAnsi="仿宋" w:eastAsia="仿宋_GB2312" w:cs="Arial"/>
          <w:kern w:val="0"/>
          <w:sz w:val="24"/>
        </w:rPr>
        <w:t>　5.3违反评标纪律发表倾向性意见或者征询采购人的倾向性意见；</w:t>
      </w:r>
    </w:p>
    <w:p>
      <w:pPr>
        <w:widowControl w:val="0"/>
        <w:adjustRightInd w:val="0"/>
        <w:spacing w:line="360" w:lineRule="auto"/>
        <w:jc w:val="both"/>
        <w:rPr>
          <w:rFonts w:hint="eastAsia" w:ascii="仿宋_GB2312" w:hAnsi="仿宋" w:eastAsia="仿宋_GB2312" w:cs="Arial"/>
          <w:kern w:val="0"/>
          <w:sz w:val="24"/>
        </w:rPr>
      </w:pPr>
      <w:r>
        <w:rPr>
          <w:rFonts w:hint="eastAsia" w:ascii="仿宋_GB2312" w:hAnsi="仿宋" w:eastAsia="仿宋_GB2312" w:cs="Arial"/>
          <w:kern w:val="0"/>
          <w:sz w:val="24"/>
        </w:rPr>
        <w:t>　5.4对需要专业判断的主观评审因素协商评分；</w:t>
      </w:r>
    </w:p>
    <w:p>
      <w:pPr>
        <w:widowControl w:val="0"/>
        <w:adjustRightInd w:val="0"/>
        <w:spacing w:line="360" w:lineRule="auto"/>
        <w:jc w:val="both"/>
        <w:rPr>
          <w:rFonts w:hint="eastAsia" w:ascii="仿宋_GB2312" w:hAnsi="仿宋" w:eastAsia="仿宋_GB2312" w:cs="Arial"/>
          <w:kern w:val="0"/>
          <w:sz w:val="24"/>
        </w:rPr>
      </w:pPr>
      <w:r>
        <w:rPr>
          <w:rFonts w:hint="eastAsia" w:ascii="仿宋_GB2312" w:hAnsi="仿宋" w:eastAsia="仿宋_GB2312" w:cs="Arial"/>
          <w:kern w:val="0"/>
          <w:sz w:val="24"/>
        </w:rPr>
        <w:t>　5.5在评标过程中擅离职守，影响评标程序正常进行的；</w:t>
      </w:r>
    </w:p>
    <w:p>
      <w:pPr>
        <w:widowControl w:val="0"/>
        <w:adjustRightInd w:val="0"/>
        <w:spacing w:line="360" w:lineRule="auto"/>
        <w:ind w:firstLine="240" w:firstLineChars="100"/>
        <w:jc w:val="both"/>
        <w:rPr>
          <w:rFonts w:hint="eastAsia" w:ascii="仿宋_GB2312" w:hAnsi="仿宋" w:eastAsia="仿宋_GB2312" w:cs="Arial"/>
          <w:kern w:val="0"/>
          <w:sz w:val="24"/>
        </w:rPr>
      </w:pPr>
      <w:r>
        <w:rPr>
          <w:rFonts w:hint="eastAsia" w:ascii="仿宋_GB2312" w:hAnsi="仿宋" w:eastAsia="仿宋_GB2312" w:cs="Arial"/>
          <w:kern w:val="0"/>
          <w:sz w:val="24"/>
        </w:rPr>
        <w:t>5.6记录、复制或者带走任何评标资料；</w:t>
      </w:r>
    </w:p>
    <w:p>
      <w:pPr>
        <w:widowControl w:val="0"/>
        <w:adjustRightInd w:val="0"/>
        <w:spacing w:line="360" w:lineRule="auto"/>
        <w:jc w:val="both"/>
        <w:rPr>
          <w:rFonts w:hint="eastAsia" w:ascii="仿宋_GB2312" w:hAnsi="仿宋" w:eastAsia="仿宋_GB2312" w:cs="Arial"/>
          <w:kern w:val="0"/>
          <w:sz w:val="24"/>
        </w:rPr>
      </w:pPr>
      <w:r>
        <w:rPr>
          <w:rFonts w:hint="eastAsia" w:ascii="仿宋_GB2312" w:hAnsi="仿宋" w:eastAsia="仿宋_GB2312" w:cs="Arial"/>
          <w:kern w:val="0"/>
          <w:sz w:val="24"/>
        </w:rPr>
        <w:t>　5.7其他不遵守评标纪律的行为。</w:t>
      </w:r>
    </w:p>
    <w:p>
      <w:pPr>
        <w:widowControl w:val="0"/>
        <w:adjustRightInd w:val="0"/>
        <w:spacing w:line="360" w:lineRule="auto"/>
        <w:jc w:val="both"/>
        <w:rPr>
          <w:rFonts w:hint="eastAsia" w:ascii="仿宋_GB2312" w:hAnsi="仿宋" w:eastAsia="仿宋_GB2312" w:cs="Arial"/>
          <w:kern w:val="0"/>
          <w:sz w:val="24"/>
        </w:rPr>
      </w:pPr>
      <w:r>
        <w:rPr>
          <w:rFonts w:hint="eastAsia" w:ascii="仿宋_GB2312" w:hAnsi="仿宋" w:eastAsia="仿宋_GB2312" w:cs="Arial"/>
          <w:kern w:val="0"/>
          <w:sz w:val="24"/>
        </w:rPr>
        <w:t>　　评标委员会成员有5.1-5.5行为之一的，其评审意见无效，并不得获取评审劳务报酬和报销异地评审差旅费。</w:t>
      </w:r>
    </w:p>
    <w:p>
      <w:pPr>
        <w:widowControl w:val="0"/>
        <w:adjustRightInd w:val="0"/>
        <w:spacing w:line="360" w:lineRule="auto"/>
        <w:jc w:val="both"/>
        <w:rPr>
          <w:rFonts w:hint="eastAsia" w:ascii="仿宋_GB2312" w:hAnsi="仿宋" w:eastAsia="仿宋_GB2312" w:cs="Arial"/>
          <w:kern w:val="0"/>
          <w:sz w:val="24"/>
        </w:rPr>
      </w:pPr>
    </w:p>
    <w:p>
      <w:pPr>
        <w:widowControl w:val="0"/>
        <w:adjustRightInd w:val="0"/>
        <w:snapToGrid w:val="0"/>
        <w:spacing w:line="360" w:lineRule="auto"/>
        <w:ind w:left="120" w:leftChars="57" w:firstLine="482" w:firstLineChars="150"/>
        <w:jc w:val="center"/>
        <w:rPr>
          <w:rFonts w:hint="eastAsia" w:ascii="仿宋_GB2312" w:hAnsi="仿宋" w:eastAsia="仿宋_GB2312" w:cs="仿宋_GB2312"/>
          <w:b/>
          <w:sz w:val="32"/>
          <w:szCs w:val="24"/>
        </w:rPr>
      </w:pPr>
      <w:r>
        <w:rPr>
          <w:rFonts w:hint="eastAsia" w:ascii="仿宋_GB2312" w:hAnsi="仿宋" w:eastAsia="仿宋_GB2312" w:cs="仿宋_GB2312"/>
          <w:b/>
          <w:sz w:val="32"/>
          <w:szCs w:val="24"/>
        </w:rPr>
        <w:t>四、评审程序</w:t>
      </w:r>
    </w:p>
    <w:p>
      <w:pPr>
        <w:widowControl w:val="0"/>
        <w:adjustRightInd w:val="0"/>
        <w:spacing w:line="360" w:lineRule="auto"/>
        <w:jc w:val="both"/>
        <w:rPr>
          <w:rFonts w:hint="eastAsia" w:ascii="仿宋_GB2312" w:hAnsi="仿宋" w:eastAsia="仿宋_GB2312" w:cs="Arial"/>
          <w:kern w:val="0"/>
          <w:sz w:val="24"/>
          <w:szCs w:val="24"/>
        </w:rPr>
      </w:pPr>
      <w:r>
        <w:rPr>
          <w:rFonts w:hint="eastAsia" w:ascii="仿宋_GB2312" w:hAnsi="仿宋" w:eastAsia="仿宋_GB2312" w:cs="Arial"/>
          <w:b/>
          <w:kern w:val="0"/>
          <w:sz w:val="24"/>
          <w:szCs w:val="24"/>
        </w:rPr>
        <w:t xml:space="preserve">6.符合性审查。 </w:t>
      </w:r>
      <w:r>
        <w:rPr>
          <w:rFonts w:hint="eastAsia" w:ascii="仿宋_GB2312" w:hAnsi="仿宋" w:eastAsia="仿宋_GB2312" w:cs="Arial"/>
          <w:kern w:val="0"/>
          <w:sz w:val="24"/>
          <w:szCs w:val="24"/>
        </w:rPr>
        <w:t>评标委员会应当对符合资格的投标人的投标文件进行符合性审查，以确定其是否满足招标文件的实质性要求。符合投标无效情形的，投标无效。</w:t>
      </w:r>
    </w:p>
    <w:p>
      <w:pPr>
        <w:widowControl w:val="0"/>
        <w:adjustRightInd w:val="0"/>
        <w:spacing w:line="360" w:lineRule="auto"/>
        <w:jc w:val="both"/>
        <w:rPr>
          <w:rFonts w:hint="eastAsia" w:ascii="仿宋_GB2312" w:hAnsi="仿宋" w:eastAsia="仿宋_GB2312" w:cs="Arial"/>
          <w:kern w:val="0"/>
          <w:sz w:val="24"/>
          <w:szCs w:val="24"/>
        </w:rPr>
      </w:pPr>
      <w:r>
        <w:rPr>
          <w:rFonts w:hint="eastAsia" w:ascii="仿宋_GB2312" w:hAnsi="仿宋" w:eastAsia="仿宋_GB2312" w:cs="Arial"/>
          <w:b/>
          <w:kern w:val="0"/>
          <w:sz w:val="24"/>
          <w:szCs w:val="24"/>
        </w:rPr>
        <w:t>7.投标人澄清、说明或者补正。</w:t>
      </w:r>
      <w:r>
        <w:rPr>
          <w:rFonts w:hint="eastAsia" w:ascii="仿宋_GB2312" w:hAnsi="仿宋" w:eastAsia="仿宋_GB2312" w:cs="Arial"/>
          <w:kern w:val="0"/>
          <w:sz w:val="24"/>
          <w:szCs w:val="24"/>
        </w:rPr>
        <w:t>对于投标文件中含义不明确、同类问题表述不一致或者有明显文字和计算错误的内容，评标委员会应当以书面形式要求投标人作出必要的澄清、说明或者补正。澄清、说明或者补正应当采用书面形式，并加盖公章，或者由法定代表人或其授权的代表签字。投标人的澄清、说明或者补正不得超出投标文件的范围或者改变投标文件的实质性内容。</w:t>
      </w:r>
    </w:p>
    <w:p>
      <w:pPr>
        <w:widowControl w:val="0"/>
        <w:adjustRightInd w:val="0"/>
        <w:spacing w:line="360" w:lineRule="auto"/>
        <w:jc w:val="both"/>
        <w:rPr>
          <w:rFonts w:hint="eastAsia" w:ascii="仿宋_GB2312" w:hAnsi="仿宋" w:eastAsia="仿宋_GB2312" w:cs="Arial"/>
          <w:kern w:val="0"/>
          <w:sz w:val="24"/>
          <w:szCs w:val="24"/>
        </w:rPr>
      </w:pPr>
      <w:r>
        <w:rPr>
          <w:rFonts w:hint="eastAsia" w:ascii="仿宋_GB2312" w:hAnsi="仿宋" w:eastAsia="仿宋_GB2312" w:cs="Arial"/>
          <w:b/>
          <w:kern w:val="0"/>
          <w:sz w:val="24"/>
          <w:szCs w:val="24"/>
        </w:rPr>
        <w:t>8. 比较与评价。</w:t>
      </w:r>
      <w:r>
        <w:rPr>
          <w:rFonts w:hint="eastAsia" w:ascii="仿宋_GB2312" w:hAnsi="仿宋" w:eastAsia="仿宋_GB2312" w:cs="Arial"/>
          <w:kern w:val="0"/>
          <w:sz w:val="24"/>
          <w:szCs w:val="24"/>
        </w:rPr>
        <w:t>标委员会应当按照评标标准，对符合性审查合格的投标文件进行商务和技术评估，综合比较与评价。</w:t>
      </w:r>
    </w:p>
    <w:p>
      <w:pPr>
        <w:widowControl w:val="0"/>
        <w:adjustRightInd w:val="0"/>
        <w:spacing w:line="360" w:lineRule="auto"/>
        <w:jc w:val="both"/>
        <w:rPr>
          <w:rFonts w:hint="eastAsia" w:ascii="仿宋_GB2312" w:hAnsi="仿宋" w:eastAsia="仿宋_GB2312" w:cs="Arial"/>
          <w:kern w:val="0"/>
          <w:sz w:val="24"/>
          <w:szCs w:val="24"/>
        </w:rPr>
      </w:pPr>
      <w:r>
        <w:rPr>
          <w:rFonts w:hint="eastAsia" w:ascii="仿宋_GB2312" w:hAnsi="仿宋" w:eastAsia="仿宋_GB2312" w:cs="Arial"/>
          <w:b/>
          <w:kern w:val="0"/>
          <w:sz w:val="24"/>
          <w:szCs w:val="24"/>
        </w:rPr>
        <w:t>9. 汇总（商务技术得分情况）。</w:t>
      </w:r>
      <w:r>
        <w:rPr>
          <w:rFonts w:hint="eastAsia" w:ascii="仿宋_GB2312" w:hAnsi="仿宋" w:eastAsia="仿宋_GB2312" w:cs="Arial"/>
          <w:kern w:val="0"/>
          <w:sz w:val="24"/>
          <w:szCs w:val="24"/>
        </w:rPr>
        <w:t>评标委员会各成员应当独立对每个投标人的商务和技术文件进行评价，并汇总商务技术得分情况。</w:t>
      </w:r>
    </w:p>
    <w:p>
      <w:pPr>
        <w:widowControl w:val="0"/>
        <w:adjustRightInd w:val="0"/>
        <w:spacing w:line="360" w:lineRule="auto"/>
        <w:jc w:val="both"/>
        <w:rPr>
          <w:rFonts w:hint="eastAsia" w:ascii="仿宋_GB2312" w:hAnsi="仿宋" w:eastAsia="仿宋_GB2312" w:cs="Arial"/>
          <w:kern w:val="0"/>
          <w:sz w:val="24"/>
          <w:szCs w:val="24"/>
        </w:rPr>
      </w:pPr>
      <w:r>
        <w:rPr>
          <w:rFonts w:hint="eastAsia" w:ascii="仿宋_GB2312" w:hAnsi="仿宋" w:eastAsia="仿宋_GB2312" w:cs="Arial"/>
          <w:b/>
          <w:kern w:val="0"/>
          <w:sz w:val="24"/>
          <w:szCs w:val="24"/>
        </w:rPr>
        <w:t>10. 报价审核。</w:t>
      </w:r>
      <w:r>
        <w:rPr>
          <w:rFonts w:hint="eastAsia" w:ascii="仿宋_GB2312" w:hAnsi="仿宋" w:eastAsia="仿宋_GB2312" w:cs="Arial"/>
          <w:kern w:val="0"/>
          <w:sz w:val="24"/>
          <w:szCs w:val="24"/>
        </w:rPr>
        <w:t>对经商务和技术评审符合采购需求的投标人的报价的合理性、准确性等进行审查核实。</w:t>
      </w:r>
    </w:p>
    <w:p>
      <w:pPr>
        <w:widowControl w:val="0"/>
        <w:adjustRightInd w:val="0"/>
        <w:spacing w:line="360" w:lineRule="auto"/>
        <w:jc w:val="both"/>
        <w:rPr>
          <w:rFonts w:hint="eastAsia" w:ascii="仿宋_GB2312" w:hAnsi="仿宋" w:eastAsia="仿宋_GB2312" w:cs="Arial"/>
          <w:kern w:val="0"/>
          <w:sz w:val="24"/>
          <w:szCs w:val="24"/>
        </w:rPr>
      </w:pPr>
      <w:r>
        <w:rPr>
          <w:rFonts w:hint="eastAsia" w:ascii="仿宋_GB2312" w:hAnsi="仿宋" w:eastAsia="仿宋_GB2312" w:cs="Arial"/>
          <w:kern w:val="0"/>
          <w:sz w:val="24"/>
          <w:szCs w:val="24"/>
        </w:rPr>
        <w:t>10.1评标委员会认为投标人的报价明显低于其他通过符合性审查投标人的报价，有可能影响产品质量或者不能诚信履约的，应当要求其在评标现场合理的时间内提供书面说明，必要时提交相关证明材料。</w:t>
      </w:r>
    </w:p>
    <w:p>
      <w:pPr>
        <w:widowControl w:val="0"/>
        <w:adjustRightInd w:val="0"/>
        <w:spacing w:line="360" w:lineRule="auto"/>
        <w:jc w:val="both"/>
        <w:rPr>
          <w:rFonts w:hint="eastAsia" w:ascii="仿宋_GB2312" w:hAnsi="仿宋" w:eastAsia="仿宋_GB2312" w:cs="Arial"/>
          <w:kern w:val="0"/>
          <w:sz w:val="24"/>
          <w:szCs w:val="24"/>
        </w:rPr>
      </w:pPr>
      <w:r>
        <w:rPr>
          <w:rFonts w:hint="eastAsia" w:ascii="仿宋_GB2312" w:hAnsi="仿宋" w:eastAsia="仿宋_GB2312" w:cs="Arial"/>
          <w:kern w:val="0"/>
          <w:sz w:val="24"/>
          <w:szCs w:val="24"/>
        </w:rPr>
        <w:t>10.2根据财政部发布的《政府采购促进中小企业发展暂行办法》规定，对于非专门面向中小企业的项目，对小型和微型企业产品的价格给予一定的扣除，用扣除后的价格参与评审。</w:t>
      </w:r>
    </w:p>
    <w:p>
      <w:pPr>
        <w:widowControl w:val="0"/>
        <w:adjustRightInd w:val="0"/>
        <w:spacing w:line="360" w:lineRule="auto"/>
        <w:jc w:val="both"/>
        <w:rPr>
          <w:rFonts w:hint="eastAsia" w:ascii="仿宋_GB2312" w:hAnsi="仿宋" w:eastAsia="仿宋_GB2312" w:cs="Arial"/>
          <w:kern w:val="0"/>
          <w:sz w:val="24"/>
          <w:szCs w:val="24"/>
        </w:rPr>
      </w:pPr>
      <w:r>
        <w:rPr>
          <w:rFonts w:hint="eastAsia" w:ascii="仿宋_GB2312" w:hAnsi="仿宋" w:eastAsia="仿宋_GB2312" w:cs="Arial"/>
          <w:kern w:val="0"/>
          <w:sz w:val="24"/>
          <w:szCs w:val="24"/>
        </w:rPr>
        <w:t>10.3投标价格的修正原则。投标文件报价出现前后不一致的，按照下列规定修正：</w:t>
      </w:r>
    </w:p>
    <w:p>
      <w:pPr>
        <w:widowControl w:val="0"/>
        <w:adjustRightInd w:val="0"/>
        <w:spacing w:line="360" w:lineRule="auto"/>
        <w:jc w:val="both"/>
        <w:rPr>
          <w:rFonts w:hint="eastAsia" w:ascii="仿宋_GB2312" w:hAnsi="仿宋" w:eastAsia="仿宋_GB2312" w:cs="Arial"/>
          <w:kern w:val="0"/>
          <w:sz w:val="24"/>
          <w:szCs w:val="24"/>
        </w:rPr>
      </w:pPr>
      <w:r>
        <w:rPr>
          <w:rFonts w:hint="eastAsia" w:ascii="仿宋_GB2312" w:hAnsi="仿宋" w:eastAsia="仿宋_GB2312" w:cs="Arial"/>
          <w:kern w:val="0"/>
          <w:sz w:val="24"/>
          <w:szCs w:val="24"/>
        </w:rPr>
        <w:t>10.3.1投标文件中开标一览表(报价表)内容与投标文件中相应内容不一致的，以开标一览表(报价表)为准;</w:t>
      </w:r>
    </w:p>
    <w:p>
      <w:pPr>
        <w:widowControl w:val="0"/>
        <w:adjustRightInd w:val="0"/>
        <w:spacing w:line="360" w:lineRule="auto"/>
        <w:jc w:val="both"/>
        <w:rPr>
          <w:rFonts w:hint="eastAsia" w:ascii="仿宋_GB2312" w:hAnsi="仿宋" w:eastAsia="仿宋_GB2312" w:cs="Arial"/>
          <w:kern w:val="0"/>
          <w:sz w:val="24"/>
          <w:szCs w:val="24"/>
        </w:rPr>
      </w:pPr>
      <w:r>
        <w:rPr>
          <w:rFonts w:hint="eastAsia" w:ascii="仿宋_GB2312" w:hAnsi="仿宋" w:eastAsia="仿宋_GB2312" w:cs="Arial"/>
          <w:kern w:val="0"/>
          <w:sz w:val="24"/>
          <w:szCs w:val="24"/>
        </w:rPr>
        <w:t>10.3.2大写金额和小写金额不一致的，以大写金额为准;</w:t>
      </w:r>
    </w:p>
    <w:p>
      <w:pPr>
        <w:widowControl w:val="0"/>
        <w:adjustRightInd w:val="0"/>
        <w:spacing w:line="360" w:lineRule="auto"/>
        <w:jc w:val="both"/>
        <w:rPr>
          <w:rFonts w:hint="eastAsia" w:ascii="仿宋_GB2312" w:hAnsi="仿宋" w:eastAsia="仿宋_GB2312" w:cs="Arial"/>
          <w:kern w:val="0"/>
          <w:sz w:val="24"/>
          <w:szCs w:val="24"/>
        </w:rPr>
      </w:pPr>
      <w:r>
        <w:rPr>
          <w:rFonts w:hint="eastAsia" w:ascii="仿宋_GB2312" w:hAnsi="仿宋" w:eastAsia="仿宋_GB2312" w:cs="Arial"/>
          <w:kern w:val="0"/>
          <w:sz w:val="24"/>
          <w:szCs w:val="24"/>
        </w:rPr>
        <w:t>10.3.3单价金额小数点或者百分比有明显错位的，以开标一览表的总价为准，并修改单价;</w:t>
      </w:r>
    </w:p>
    <w:p>
      <w:pPr>
        <w:widowControl w:val="0"/>
        <w:adjustRightInd w:val="0"/>
        <w:spacing w:line="360" w:lineRule="auto"/>
        <w:jc w:val="both"/>
        <w:rPr>
          <w:rFonts w:hint="eastAsia" w:ascii="仿宋_GB2312" w:hAnsi="仿宋" w:eastAsia="仿宋_GB2312" w:cs="Arial"/>
          <w:kern w:val="0"/>
          <w:sz w:val="24"/>
          <w:szCs w:val="24"/>
        </w:rPr>
      </w:pPr>
      <w:r>
        <w:rPr>
          <w:rFonts w:hint="eastAsia" w:ascii="仿宋_GB2312" w:hAnsi="仿宋" w:eastAsia="仿宋_GB2312" w:cs="Arial"/>
          <w:kern w:val="0"/>
          <w:sz w:val="24"/>
          <w:szCs w:val="24"/>
        </w:rPr>
        <w:t>10.3.4总价金额与按单价汇总金额不一致的，以单价金额计算结果为准。</w:t>
      </w:r>
    </w:p>
    <w:p>
      <w:pPr>
        <w:widowControl w:val="0"/>
        <w:adjustRightInd w:val="0"/>
        <w:spacing w:line="360" w:lineRule="auto"/>
        <w:jc w:val="both"/>
        <w:rPr>
          <w:rFonts w:hint="eastAsia" w:ascii="仿宋_GB2312" w:hAnsi="仿宋" w:eastAsia="仿宋_GB2312" w:cs="Arial"/>
          <w:kern w:val="0"/>
          <w:sz w:val="24"/>
          <w:szCs w:val="24"/>
        </w:rPr>
      </w:pPr>
      <w:r>
        <w:rPr>
          <w:rFonts w:hint="eastAsia" w:ascii="仿宋_GB2312" w:hAnsi="仿宋" w:eastAsia="仿宋_GB2312" w:cs="Arial"/>
          <w:kern w:val="0"/>
          <w:sz w:val="24"/>
          <w:szCs w:val="24"/>
        </w:rPr>
        <w:t>10.3.5同时出现两种以上不一致的，按照前款规定的顺序修正。修正后的报价按照财政部第87号令 《政府采购货物和服务招标投标管理办法》第五十一条第二款的规定经投标人确认后产生约束力。</w:t>
      </w:r>
    </w:p>
    <w:p>
      <w:pPr>
        <w:widowControl w:val="0"/>
        <w:adjustRightInd w:val="0"/>
        <w:spacing w:line="360" w:lineRule="auto"/>
        <w:jc w:val="both"/>
        <w:rPr>
          <w:rFonts w:hint="eastAsia" w:ascii="仿宋_GB2312" w:hAnsi="仿宋" w:eastAsia="仿宋_GB2312" w:cs="仿宋_GB2312"/>
          <w:b/>
          <w:bCs/>
          <w:sz w:val="24"/>
          <w:szCs w:val="24"/>
        </w:rPr>
      </w:pPr>
      <w:r>
        <w:rPr>
          <w:rFonts w:hint="eastAsia" w:ascii="仿宋_GB2312" w:hAnsi="仿宋" w:eastAsia="仿宋_GB2312" w:cs="仿宋_GB2312"/>
          <w:bCs/>
          <w:sz w:val="24"/>
          <w:szCs w:val="24"/>
        </w:rPr>
        <w:t>▲</w:t>
      </w:r>
      <w:r>
        <w:rPr>
          <w:rFonts w:hint="eastAsia" w:ascii="仿宋_GB2312" w:hAnsi="仿宋" w:eastAsia="仿宋_GB2312" w:cs="仿宋_GB2312"/>
          <w:b/>
          <w:bCs/>
          <w:sz w:val="24"/>
          <w:szCs w:val="24"/>
        </w:rPr>
        <w:t>投标人对根据修正原则修正后的报价不确认的，投标无效。</w:t>
      </w:r>
    </w:p>
    <w:p>
      <w:pPr>
        <w:widowControl w:val="0"/>
        <w:adjustRightInd w:val="0"/>
        <w:spacing w:line="360" w:lineRule="auto"/>
        <w:jc w:val="both"/>
        <w:rPr>
          <w:rFonts w:hint="eastAsia" w:ascii="仿宋_GB2312" w:hAnsi="仿宋" w:eastAsia="仿宋_GB2312" w:cs="Arial"/>
          <w:kern w:val="0"/>
          <w:sz w:val="24"/>
          <w:szCs w:val="24"/>
        </w:rPr>
      </w:pPr>
      <w:r>
        <w:rPr>
          <w:rFonts w:hint="eastAsia" w:ascii="仿宋_GB2312" w:hAnsi="仿宋" w:eastAsia="仿宋_GB2312" w:cs="Arial"/>
          <w:b/>
          <w:kern w:val="0"/>
          <w:sz w:val="24"/>
          <w:szCs w:val="24"/>
        </w:rPr>
        <w:t>11.汇总得分。</w:t>
      </w:r>
      <w:r>
        <w:rPr>
          <w:rFonts w:hint="eastAsia" w:ascii="仿宋_GB2312" w:hAnsi="仿宋" w:eastAsia="仿宋_GB2312" w:cs="Arial"/>
          <w:kern w:val="0"/>
          <w:sz w:val="24"/>
          <w:szCs w:val="24"/>
        </w:rPr>
        <w:t>评标委员会各成员应当独立对每个投标人的投标文件进行评价，并汇总每个投标人的得分。</w:t>
      </w:r>
    </w:p>
    <w:p>
      <w:pPr>
        <w:widowControl w:val="0"/>
        <w:adjustRightInd w:val="0"/>
        <w:spacing w:line="360" w:lineRule="auto"/>
        <w:jc w:val="both"/>
        <w:rPr>
          <w:rFonts w:hint="eastAsia" w:ascii="仿宋_GB2312" w:hAnsi="仿宋" w:eastAsia="仿宋_GB2312" w:cs="Arial"/>
          <w:b/>
          <w:kern w:val="0"/>
          <w:sz w:val="24"/>
          <w:szCs w:val="24"/>
        </w:rPr>
      </w:pPr>
      <w:r>
        <w:rPr>
          <w:rFonts w:hint="eastAsia" w:ascii="仿宋_GB2312" w:hAnsi="仿宋" w:eastAsia="仿宋_GB2312" w:cs="Arial"/>
          <w:b/>
          <w:kern w:val="0"/>
          <w:sz w:val="24"/>
          <w:szCs w:val="24"/>
        </w:rPr>
        <w:t>12.顺序排列与中标候选推荐。</w:t>
      </w:r>
    </w:p>
    <w:p>
      <w:pPr>
        <w:widowControl w:val="0"/>
        <w:adjustRightInd w:val="0"/>
        <w:spacing w:line="360" w:lineRule="auto"/>
        <w:jc w:val="both"/>
        <w:rPr>
          <w:rFonts w:hint="eastAsia" w:ascii="仿宋_GB2312" w:hAnsi="仿宋" w:eastAsia="仿宋_GB2312" w:cs="仿宋_GB2312"/>
          <w:sz w:val="24"/>
          <w:szCs w:val="21"/>
        </w:rPr>
      </w:pPr>
      <w:r>
        <w:rPr>
          <w:rFonts w:hint="eastAsia" w:ascii="仿宋_GB2312" w:hAnsi="仿宋" w:eastAsia="仿宋_GB2312" w:cs="仿宋_GB2312"/>
          <w:sz w:val="24"/>
          <w:szCs w:val="21"/>
        </w:rPr>
        <w:t>12.1评标结果按评审后得分由高到低顺序排列。得分相同的，按投标报价由低到高顺序排列。得分且投标报价相同的并列。得分最高的投标人为排名第一的中标候选人。</w:t>
      </w:r>
    </w:p>
    <w:p>
      <w:pPr>
        <w:widowControl w:val="0"/>
        <w:adjustRightInd w:val="0"/>
        <w:spacing w:line="360" w:lineRule="auto"/>
        <w:jc w:val="both"/>
        <w:rPr>
          <w:rFonts w:hint="eastAsia" w:ascii="仿宋_GB2312" w:hAnsi="仿宋" w:eastAsia="仿宋_GB2312" w:cs="仿宋_GB2312"/>
          <w:sz w:val="24"/>
          <w:szCs w:val="21"/>
        </w:rPr>
      </w:pPr>
      <w:r>
        <w:rPr>
          <w:rFonts w:hint="eastAsia" w:ascii="仿宋_GB2312" w:hAnsi="仿宋" w:eastAsia="仿宋_GB2312" w:cs="仿宋_GB2312"/>
          <w:sz w:val="24"/>
          <w:szCs w:val="21"/>
        </w:rPr>
        <w:t>12.2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widowControl w:val="0"/>
        <w:adjustRightInd w:val="0"/>
        <w:spacing w:line="360" w:lineRule="auto"/>
        <w:ind w:left="559" w:hanging="559" w:hangingChars="199"/>
        <w:jc w:val="both"/>
        <w:rPr>
          <w:rFonts w:hint="eastAsia" w:ascii="仿宋_GB2312" w:hAnsi="仿宋" w:eastAsia="仿宋_GB2312" w:cs="仿宋_GB2312"/>
          <w:sz w:val="24"/>
          <w:szCs w:val="21"/>
        </w:rPr>
      </w:pPr>
      <w:r>
        <w:rPr>
          <w:rFonts w:hint="eastAsia" w:ascii="仿宋_GB2312" w:hAnsi="仿宋" w:eastAsia="仿宋_GB2312" w:cs="仿宋_GB2312"/>
          <w:b/>
          <w:spacing w:val="20"/>
          <w:sz w:val="24"/>
          <w:szCs w:val="24"/>
        </w:rPr>
        <w:t>13.投标无效。</w:t>
      </w:r>
      <w:r>
        <w:rPr>
          <w:rFonts w:hint="eastAsia" w:ascii="仿宋_GB2312" w:hAnsi="仿宋" w:eastAsia="仿宋_GB2312" w:cs="仿宋_GB2312"/>
          <w:sz w:val="24"/>
          <w:szCs w:val="21"/>
        </w:rPr>
        <w:t>有下列情况之一的，投标无效：</w:t>
      </w:r>
    </w:p>
    <w:p>
      <w:pPr>
        <w:widowControl w:val="0"/>
        <w:adjustRightInd w:val="0"/>
        <w:spacing w:line="360" w:lineRule="auto"/>
        <w:ind w:firstLine="420" w:firstLineChars="200"/>
        <w:jc w:val="both"/>
        <w:rPr>
          <w:rFonts w:hint="eastAsia" w:ascii="仿宋_GB2312" w:hAnsi="仿宋" w:eastAsia="仿宋_GB2312" w:cs="仿宋_GB2312"/>
          <w:sz w:val="24"/>
          <w:szCs w:val="21"/>
        </w:rPr>
      </w:pPr>
      <w:r>
        <w:rPr>
          <w:rFonts w:hint="eastAsia" w:ascii="仿宋_GB2312" w:hAnsi="仿宋" w:eastAsia="仿宋_GB2312"/>
          <w:szCs w:val="24"/>
        </w:rPr>
        <w:t>13.1</w:t>
      </w:r>
      <w:r>
        <w:rPr>
          <w:rFonts w:hint="eastAsia" w:ascii="仿宋_GB2312" w:hAnsi="仿宋" w:eastAsia="仿宋_GB2312" w:cs="仿宋_GB2312"/>
          <w:sz w:val="24"/>
          <w:szCs w:val="21"/>
        </w:rPr>
        <w:t>单位负责人为同一人或者存在直接控股、管理关系的不同供应商参加同一合同项下的政府采购活动的（均无效）；</w:t>
      </w:r>
    </w:p>
    <w:p>
      <w:pPr>
        <w:widowControl w:val="0"/>
        <w:adjustRightInd w:val="0"/>
        <w:spacing w:line="360" w:lineRule="auto"/>
        <w:ind w:firstLine="420" w:firstLineChars="200"/>
        <w:jc w:val="both"/>
        <w:rPr>
          <w:rFonts w:hint="eastAsia" w:ascii="仿宋_GB2312" w:hAnsi="仿宋" w:eastAsia="仿宋_GB2312" w:cs="仿宋_GB2312"/>
          <w:sz w:val="24"/>
          <w:szCs w:val="21"/>
        </w:rPr>
      </w:pPr>
      <w:r>
        <w:rPr>
          <w:rFonts w:hint="eastAsia" w:ascii="仿宋_GB2312" w:hAnsi="仿宋" w:eastAsia="仿宋_GB2312"/>
          <w:szCs w:val="24"/>
        </w:rPr>
        <w:t>13.2</w:t>
      </w:r>
      <w:r>
        <w:rPr>
          <w:rFonts w:hint="eastAsia" w:ascii="仿宋_GB2312" w:hAnsi="仿宋" w:eastAsia="仿宋_GB2312" w:cs="仿宋_GB2312"/>
          <w:sz w:val="24"/>
          <w:szCs w:val="21"/>
        </w:rPr>
        <w:t xml:space="preserve">为采购项目提供整体设计、规范编制或者项目管理、监理、检测等服务的供应商再参加该采购项目的其他采购活动的； </w:t>
      </w:r>
    </w:p>
    <w:p>
      <w:pPr>
        <w:widowControl w:val="0"/>
        <w:adjustRightInd w:val="0"/>
        <w:spacing w:line="360" w:lineRule="auto"/>
        <w:ind w:firstLine="420" w:firstLineChars="200"/>
        <w:jc w:val="both"/>
        <w:rPr>
          <w:rFonts w:hint="eastAsia" w:ascii="仿宋_GB2312" w:hAnsi="仿宋" w:eastAsia="仿宋_GB2312" w:cs="仿宋_GB2312"/>
          <w:sz w:val="24"/>
          <w:szCs w:val="21"/>
        </w:rPr>
      </w:pPr>
      <w:r>
        <w:rPr>
          <w:rFonts w:hint="eastAsia" w:ascii="仿宋_GB2312" w:hAnsi="仿宋" w:eastAsia="仿宋_GB2312"/>
          <w:szCs w:val="24"/>
        </w:rPr>
        <w:t>13.3</w:t>
      </w:r>
      <w:r>
        <w:rPr>
          <w:rFonts w:hint="eastAsia" w:ascii="仿宋_GB2312" w:hAnsi="仿宋" w:eastAsia="仿宋_GB2312" w:cs="仿宋_GB2312"/>
          <w:sz w:val="24"/>
          <w:szCs w:val="21"/>
        </w:rPr>
        <w:t>投标人不具备招标文件中规定的资格要求的（投标人未提供有效的资格证明文件的，视为投标人不具备招标文件中规定的资格要求）；</w:t>
      </w:r>
    </w:p>
    <w:p>
      <w:pPr>
        <w:widowControl w:val="0"/>
        <w:adjustRightInd w:val="0"/>
        <w:spacing w:line="360" w:lineRule="auto"/>
        <w:ind w:firstLine="420" w:firstLineChars="200"/>
        <w:jc w:val="both"/>
        <w:rPr>
          <w:rFonts w:hint="eastAsia" w:ascii="仿宋_GB2312" w:hAnsi="仿宋" w:eastAsia="仿宋_GB2312" w:cs="仿宋_GB2312"/>
          <w:sz w:val="24"/>
          <w:szCs w:val="21"/>
        </w:rPr>
      </w:pPr>
      <w:r>
        <w:rPr>
          <w:rFonts w:hint="eastAsia" w:ascii="仿宋_GB2312" w:hAnsi="仿宋" w:eastAsia="仿宋_GB2312"/>
          <w:szCs w:val="24"/>
        </w:rPr>
        <w:t>13.4</w:t>
      </w:r>
      <w:r>
        <w:rPr>
          <w:rFonts w:hint="eastAsia" w:ascii="仿宋_GB2312" w:hAnsi="仿宋" w:eastAsia="仿宋_GB2312" w:cs="仿宋_GB2312"/>
          <w:sz w:val="24"/>
          <w:szCs w:val="21"/>
        </w:rPr>
        <w:t>如以联合体形式参加政府采购活动的，联合体协议不符合招标文件规定的联合体协议要求的；</w:t>
      </w:r>
    </w:p>
    <w:p>
      <w:pPr>
        <w:widowControl w:val="0"/>
        <w:adjustRightInd w:val="0"/>
        <w:spacing w:line="360" w:lineRule="auto"/>
        <w:ind w:firstLine="420" w:firstLineChars="200"/>
        <w:jc w:val="both"/>
        <w:rPr>
          <w:rFonts w:hint="eastAsia" w:ascii="仿宋_GB2312" w:hAnsi="仿宋" w:eastAsia="仿宋_GB2312" w:cs="仿宋_GB2312"/>
          <w:sz w:val="24"/>
          <w:szCs w:val="21"/>
        </w:rPr>
      </w:pPr>
      <w:r>
        <w:rPr>
          <w:rFonts w:hint="eastAsia" w:ascii="仿宋_GB2312" w:hAnsi="仿宋" w:eastAsia="仿宋_GB2312"/>
          <w:szCs w:val="24"/>
        </w:rPr>
        <w:t>13. 5</w:t>
      </w:r>
      <w:r>
        <w:rPr>
          <w:rFonts w:hint="eastAsia" w:ascii="仿宋_GB2312" w:hAnsi="仿宋" w:eastAsia="仿宋_GB2312" w:cs="仿宋_GB2312"/>
          <w:sz w:val="24"/>
          <w:szCs w:val="21"/>
        </w:rPr>
        <w:t>投标文件未按规定的格式编制的；</w:t>
      </w:r>
    </w:p>
    <w:p>
      <w:pPr>
        <w:widowControl w:val="0"/>
        <w:adjustRightInd w:val="0"/>
        <w:spacing w:line="360" w:lineRule="auto"/>
        <w:ind w:firstLine="420" w:firstLineChars="200"/>
        <w:jc w:val="both"/>
        <w:rPr>
          <w:rFonts w:hint="eastAsia" w:ascii="仿宋_GB2312" w:hAnsi="仿宋" w:eastAsia="仿宋_GB2312" w:cs="仿宋_GB2312"/>
          <w:sz w:val="24"/>
          <w:szCs w:val="21"/>
        </w:rPr>
      </w:pPr>
      <w:r>
        <w:rPr>
          <w:rFonts w:hint="eastAsia" w:ascii="仿宋_GB2312" w:hAnsi="仿宋" w:eastAsia="仿宋_GB2312"/>
          <w:szCs w:val="24"/>
        </w:rPr>
        <w:t>13.6</w:t>
      </w:r>
      <w:r>
        <w:rPr>
          <w:rFonts w:hint="eastAsia" w:ascii="仿宋_GB2312" w:hAnsi="仿宋" w:eastAsia="仿宋_GB2312" w:cs="仿宋_GB2312"/>
          <w:sz w:val="24"/>
          <w:szCs w:val="21"/>
        </w:rPr>
        <w:t>投标文件未按招标文件的澄清、修改的内容编制，又不符合实质性要求的；</w:t>
      </w:r>
    </w:p>
    <w:p>
      <w:pPr>
        <w:widowControl w:val="0"/>
        <w:adjustRightInd w:val="0"/>
        <w:spacing w:line="360" w:lineRule="auto"/>
        <w:ind w:firstLine="420" w:firstLineChars="200"/>
        <w:jc w:val="both"/>
        <w:rPr>
          <w:rFonts w:hint="eastAsia" w:ascii="仿宋_GB2312" w:hAnsi="仿宋" w:eastAsia="仿宋_GB2312" w:cs="仿宋_GB2312"/>
          <w:sz w:val="24"/>
          <w:szCs w:val="21"/>
        </w:rPr>
      </w:pPr>
      <w:r>
        <w:rPr>
          <w:rFonts w:hint="eastAsia" w:ascii="仿宋_GB2312" w:hAnsi="仿宋" w:eastAsia="仿宋_GB2312"/>
          <w:szCs w:val="24"/>
        </w:rPr>
        <w:t>13.7</w:t>
      </w:r>
      <w:r>
        <w:rPr>
          <w:rFonts w:hint="eastAsia" w:ascii="仿宋_GB2312" w:hAnsi="仿宋" w:eastAsia="仿宋_GB2312" w:cs="仿宋_GB2312"/>
          <w:sz w:val="24"/>
          <w:szCs w:val="21"/>
        </w:rPr>
        <w:t>投标文件组成漏项，内容不全或内容字迹模糊辨认不清的；</w:t>
      </w:r>
    </w:p>
    <w:p>
      <w:pPr>
        <w:widowControl w:val="0"/>
        <w:adjustRightInd w:val="0"/>
        <w:spacing w:line="360" w:lineRule="auto"/>
        <w:ind w:firstLine="420" w:firstLineChars="200"/>
        <w:jc w:val="both"/>
        <w:rPr>
          <w:rFonts w:hint="eastAsia" w:ascii="仿宋_GB2312" w:hAnsi="仿宋" w:eastAsia="仿宋_GB2312" w:cs="仿宋_GB2312"/>
          <w:sz w:val="24"/>
          <w:szCs w:val="21"/>
        </w:rPr>
      </w:pPr>
      <w:r>
        <w:rPr>
          <w:rFonts w:hint="eastAsia" w:ascii="仿宋_GB2312" w:hAnsi="仿宋" w:eastAsia="仿宋_GB2312"/>
          <w:szCs w:val="24"/>
        </w:rPr>
        <w:t>13.8</w:t>
      </w:r>
      <w:r>
        <w:rPr>
          <w:rFonts w:hint="eastAsia" w:ascii="仿宋_GB2312" w:hAnsi="仿宋" w:eastAsia="仿宋_GB2312" w:cs="仿宋_GB2312"/>
          <w:sz w:val="24"/>
          <w:szCs w:val="21"/>
        </w:rPr>
        <w:t>投标文件中法定代表人授权书所载内容与本项目内容有异的；</w:t>
      </w:r>
    </w:p>
    <w:p>
      <w:pPr>
        <w:widowControl w:val="0"/>
        <w:adjustRightInd w:val="0"/>
        <w:spacing w:line="360" w:lineRule="auto"/>
        <w:ind w:firstLine="420" w:firstLineChars="200"/>
        <w:jc w:val="both"/>
        <w:rPr>
          <w:rFonts w:hint="eastAsia" w:ascii="仿宋_GB2312" w:hAnsi="仿宋" w:eastAsia="仿宋_GB2312" w:cs="仿宋_GB2312"/>
          <w:sz w:val="24"/>
          <w:szCs w:val="21"/>
        </w:rPr>
      </w:pPr>
      <w:r>
        <w:rPr>
          <w:rFonts w:hint="eastAsia" w:ascii="仿宋_GB2312" w:hAnsi="仿宋" w:eastAsia="仿宋_GB2312"/>
          <w:szCs w:val="24"/>
        </w:rPr>
        <w:t>13.9</w:t>
      </w:r>
      <w:r>
        <w:rPr>
          <w:rFonts w:hint="eastAsia" w:ascii="仿宋_GB2312" w:hAnsi="仿宋" w:eastAsia="仿宋_GB2312" w:cs="仿宋_GB2312"/>
          <w:sz w:val="24"/>
          <w:szCs w:val="21"/>
        </w:rPr>
        <w:t>投标文件未按照招标文件要求签署、盖章的；</w:t>
      </w:r>
    </w:p>
    <w:p>
      <w:pPr>
        <w:widowControl w:val="0"/>
        <w:adjustRightInd w:val="0"/>
        <w:spacing w:line="360" w:lineRule="auto"/>
        <w:ind w:firstLine="420" w:firstLineChars="200"/>
        <w:jc w:val="both"/>
        <w:rPr>
          <w:rFonts w:hint="eastAsia" w:ascii="仿宋_GB2312" w:hAnsi="仿宋" w:eastAsia="仿宋_GB2312" w:cs="仿宋_GB2312"/>
          <w:sz w:val="24"/>
          <w:szCs w:val="21"/>
        </w:rPr>
      </w:pPr>
      <w:r>
        <w:rPr>
          <w:rFonts w:hint="eastAsia" w:ascii="仿宋_GB2312" w:hAnsi="仿宋" w:eastAsia="仿宋_GB2312"/>
          <w:szCs w:val="24"/>
        </w:rPr>
        <w:t>13.10</w:t>
      </w:r>
      <w:r>
        <w:rPr>
          <w:rFonts w:hint="eastAsia" w:ascii="仿宋_GB2312" w:hAnsi="仿宋" w:eastAsia="仿宋_GB2312" w:cs="仿宋_GB2312"/>
          <w:sz w:val="24"/>
          <w:szCs w:val="21"/>
        </w:rPr>
        <w:t>投标文件正、副本份数不足，其投标文件作无效处理；</w:t>
      </w:r>
    </w:p>
    <w:p>
      <w:pPr>
        <w:widowControl w:val="0"/>
        <w:adjustRightInd w:val="0"/>
        <w:spacing w:line="360" w:lineRule="auto"/>
        <w:ind w:firstLine="480" w:firstLineChars="200"/>
        <w:jc w:val="both"/>
        <w:rPr>
          <w:rFonts w:hint="eastAsia" w:ascii="仿宋_GB2312" w:hAnsi="仿宋" w:eastAsia="仿宋_GB2312" w:cs="仿宋_GB2312"/>
          <w:sz w:val="24"/>
          <w:szCs w:val="24"/>
        </w:rPr>
      </w:pPr>
      <w:r>
        <w:rPr>
          <w:rFonts w:hint="eastAsia" w:ascii="仿宋_GB2312" w:hAnsi="仿宋" w:eastAsia="仿宋_GB2312"/>
          <w:sz w:val="24"/>
          <w:szCs w:val="24"/>
        </w:rPr>
        <w:t>13.11</w:t>
      </w:r>
      <w:r>
        <w:rPr>
          <w:rFonts w:hint="eastAsia" w:ascii="仿宋_GB2312" w:hAnsi="仿宋" w:eastAsia="仿宋_GB2312" w:cs="仿宋_GB2312"/>
          <w:sz w:val="24"/>
          <w:szCs w:val="24"/>
        </w:rPr>
        <w:t>招标文件要求提供样品，投标人提供非投标产品样品或没有提供样品的；</w:t>
      </w:r>
    </w:p>
    <w:p>
      <w:pPr>
        <w:widowControl w:val="0"/>
        <w:adjustRightInd w:val="0"/>
        <w:spacing w:line="360" w:lineRule="auto"/>
        <w:ind w:firstLine="480" w:firstLineChars="200"/>
        <w:jc w:val="both"/>
        <w:rPr>
          <w:rFonts w:hint="eastAsia" w:ascii="仿宋_GB2312" w:hAnsi="仿宋" w:eastAsia="仿宋_GB2312"/>
          <w:sz w:val="24"/>
          <w:szCs w:val="24"/>
        </w:rPr>
      </w:pPr>
      <w:r>
        <w:rPr>
          <w:rFonts w:hint="eastAsia" w:ascii="仿宋_GB2312" w:hAnsi="仿宋" w:eastAsia="仿宋_GB2312"/>
          <w:sz w:val="24"/>
          <w:szCs w:val="24"/>
        </w:rPr>
        <w:t>13.12采购人拟采购的产品属于政府强制采购的节能产品品目清单范围的，投标人未按招标文件要求提供国家确定的认证机构出具的、处于有效期之内的节能产品认证证书的；</w:t>
      </w:r>
    </w:p>
    <w:p>
      <w:pPr>
        <w:widowControl w:val="0"/>
        <w:adjustRightInd w:val="0"/>
        <w:spacing w:line="360" w:lineRule="auto"/>
        <w:ind w:firstLine="480" w:firstLineChars="200"/>
        <w:jc w:val="both"/>
        <w:rPr>
          <w:rFonts w:hint="eastAsia" w:ascii="仿宋_GB2312" w:hAnsi="仿宋" w:eastAsia="仿宋_GB2312"/>
          <w:sz w:val="24"/>
          <w:szCs w:val="24"/>
        </w:rPr>
      </w:pPr>
      <w:r>
        <w:rPr>
          <w:rFonts w:hint="eastAsia" w:ascii="仿宋_GB2312" w:hAnsi="仿宋" w:eastAsia="仿宋_GB2312"/>
          <w:sz w:val="24"/>
          <w:szCs w:val="24"/>
        </w:rPr>
        <w:t>13.13投标文件含有采购人不能接受的附加条件的；</w:t>
      </w:r>
    </w:p>
    <w:p>
      <w:pPr>
        <w:widowControl w:val="0"/>
        <w:adjustRightInd w:val="0"/>
        <w:spacing w:line="360" w:lineRule="auto"/>
        <w:ind w:firstLine="420" w:firstLineChars="200"/>
        <w:jc w:val="both"/>
        <w:rPr>
          <w:rFonts w:hint="eastAsia" w:ascii="仿宋_GB2312" w:hAnsi="仿宋" w:eastAsia="仿宋_GB2312" w:cs="仿宋_GB2312"/>
          <w:sz w:val="24"/>
          <w:szCs w:val="21"/>
        </w:rPr>
      </w:pPr>
      <w:r>
        <w:rPr>
          <w:rFonts w:hint="eastAsia" w:ascii="仿宋_GB2312" w:hAnsi="仿宋" w:eastAsia="仿宋_GB2312"/>
          <w:szCs w:val="24"/>
        </w:rPr>
        <w:t>13.14</w:t>
      </w:r>
      <w:r>
        <w:rPr>
          <w:rFonts w:hint="eastAsia" w:ascii="仿宋_GB2312" w:hAnsi="仿宋" w:eastAsia="仿宋_GB2312" w:cs="仿宋_GB2312"/>
          <w:sz w:val="24"/>
          <w:szCs w:val="21"/>
        </w:rPr>
        <w:t>投标文件中承诺的投标有效期少于招标文件中载明的投标有效期的；</w:t>
      </w:r>
    </w:p>
    <w:p>
      <w:pPr>
        <w:widowControl w:val="0"/>
        <w:adjustRightInd w:val="0"/>
        <w:spacing w:line="360" w:lineRule="auto"/>
        <w:ind w:firstLine="420" w:firstLineChars="200"/>
        <w:jc w:val="both"/>
        <w:rPr>
          <w:rFonts w:hint="eastAsia" w:ascii="仿宋_GB2312" w:hAnsi="仿宋" w:eastAsia="仿宋_GB2312" w:cs="仿宋_GB2312"/>
          <w:sz w:val="24"/>
          <w:szCs w:val="21"/>
        </w:rPr>
      </w:pPr>
      <w:r>
        <w:rPr>
          <w:rFonts w:hint="eastAsia" w:ascii="仿宋_GB2312" w:hAnsi="仿宋" w:eastAsia="仿宋_GB2312"/>
          <w:szCs w:val="24"/>
        </w:rPr>
        <w:t>13.15</w:t>
      </w:r>
      <w:r>
        <w:rPr>
          <w:rFonts w:hint="eastAsia" w:ascii="仿宋_GB2312" w:hAnsi="仿宋" w:eastAsia="仿宋_GB2312" w:cs="仿宋_GB2312"/>
          <w:sz w:val="24"/>
          <w:szCs w:val="21"/>
        </w:rPr>
        <w:t>投标人所投内容不符合采购需求中实质性要求的（带“</w:t>
      </w:r>
      <w:r>
        <w:rPr>
          <w:rFonts w:hint="eastAsia" w:ascii="仿宋_GB2312" w:hAnsi="仿宋" w:eastAsia="仿宋_GB2312" w:cs="仿宋_GB2312"/>
          <w:bCs/>
          <w:sz w:val="24"/>
          <w:szCs w:val="24"/>
        </w:rPr>
        <w:t>▲</w:t>
      </w:r>
      <w:r>
        <w:rPr>
          <w:rFonts w:hint="eastAsia" w:ascii="仿宋_GB2312" w:hAnsi="仿宋" w:eastAsia="仿宋_GB2312" w:cs="仿宋_GB2312"/>
          <w:sz w:val="24"/>
          <w:szCs w:val="21"/>
        </w:rPr>
        <w:t>”部分）；</w:t>
      </w:r>
    </w:p>
    <w:p>
      <w:pPr>
        <w:widowControl w:val="0"/>
        <w:adjustRightInd w:val="0"/>
        <w:snapToGrid w:val="0"/>
        <w:spacing w:line="360" w:lineRule="auto"/>
        <w:rPr>
          <w:rFonts w:hint="eastAsia" w:ascii="仿宋_GB2312" w:hAnsi="仿宋" w:eastAsia="仿宋_GB2312" w:cs="仿宋_GB2312"/>
          <w:sz w:val="24"/>
          <w:szCs w:val="21"/>
        </w:rPr>
      </w:pPr>
      <w:r>
        <w:rPr>
          <w:rFonts w:hint="eastAsia" w:ascii="仿宋_GB2312" w:hAnsi="仿宋" w:eastAsia="仿宋_GB2312" w:cs="仿宋_GB2312"/>
          <w:sz w:val="24"/>
          <w:szCs w:val="21"/>
        </w:rPr>
        <w:t xml:space="preserve">   </w:t>
      </w:r>
      <w:r>
        <w:rPr>
          <w:rFonts w:hint="eastAsia" w:ascii="仿宋_GB2312" w:hAnsi="仿宋" w:eastAsia="仿宋_GB2312"/>
          <w:szCs w:val="24"/>
        </w:rPr>
        <w:t>13.16</w:t>
      </w:r>
      <w:r>
        <w:rPr>
          <w:rFonts w:hint="eastAsia" w:ascii="仿宋_GB2312" w:hAnsi="仿宋" w:eastAsia="仿宋_GB2312" w:cs="仿宋_GB2312"/>
          <w:sz w:val="24"/>
          <w:szCs w:val="21"/>
        </w:rPr>
        <w:t>投标文件出现不是唯一的、有选择性投标报价的;</w:t>
      </w:r>
    </w:p>
    <w:p>
      <w:pPr>
        <w:widowControl w:val="0"/>
        <w:adjustRightInd w:val="0"/>
        <w:spacing w:line="360" w:lineRule="auto"/>
        <w:ind w:firstLine="420" w:firstLineChars="200"/>
        <w:jc w:val="both"/>
        <w:rPr>
          <w:rFonts w:hint="eastAsia" w:ascii="仿宋_GB2312" w:hAnsi="仿宋" w:eastAsia="仿宋_GB2312" w:cs="仿宋_GB2312"/>
          <w:sz w:val="24"/>
          <w:szCs w:val="21"/>
        </w:rPr>
      </w:pPr>
      <w:r>
        <w:rPr>
          <w:rFonts w:hint="eastAsia" w:ascii="仿宋_GB2312" w:hAnsi="仿宋" w:eastAsia="仿宋_GB2312"/>
          <w:szCs w:val="24"/>
        </w:rPr>
        <w:t>13.17</w:t>
      </w:r>
      <w:r>
        <w:rPr>
          <w:rFonts w:hint="eastAsia" w:ascii="仿宋_GB2312" w:hAnsi="仿宋" w:eastAsia="仿宋_GB2312" w:cs="仿宋_GB2312"/>
          <w:sz w:val="24"/>
          <w:szCs w:val="21"/>
        </w:rPr>
        <w:t>投标报价高于本项目采购预算或者最高限价的;</w:t>
      </w:r>
    </w:p>
    <w:p>
      <w:pPr>
        <w:widowControl w:val="0"/>
        <w:adjustRightInd w:val="0"/>
        <w:spacing w:line="360" w:lineRule="auto"/>
        <w:ind w:firstLine="420" w:firstLineChars="200"/>
        <w:jc w:val="both"/>
        <w:rPr>
          <w:rFonts w:hint="eastAsia" w:ascii="仿宋_GB2312" w:hAnsi="仿宋" w:eastAsia="仿宋_GB2312" w:cs="仿宋_GB2312"/>
          <w:sz w:val="24"/>
          <w:szCs w:val="21"/>
        </w:rPr>
      </w:pPr>
      <w:r>
        <w:rPr>
          <w:rFonts w:hint="eastAsia" w:ascii="仿宋_GB2312" w:hAnsi="仿宋" w:eastAsia="仿宋_GB2312"/>
          <w:szCs w:val="24"/>
        </w:rPr>
        <w:t>13.18</w:t>
      </w:r>
      <w:r>
        <w:rPr>
          <w:rFonts w:hint="eastAsia" w:ascii="仿宋_GB2312" w:hAnsi="仿宋" w:eastAsia="仿宋_GB2312" w:cs="仿宋_GB2312"/>
          <w:sz w:val="24"/>
          <w:szCs w:val="21"/>
        </w:rPr>
        <w:t>报价明显低于其他通过符合性审查投标人的报价，有可能影响产品质量或者不能诚信履约的，未能按要求提供书面说明或者提交相关证明材料，不能证明其报价合理性的;</w:t>
      </w:r>
    </w:p>
    <w:p>
      <w:pPr>
        <w:widowControl w:val="0"/>
        <w:adjustRightInd w:val="0"/>
        <w:spacing w:line="360" w:lineRule="auto"/>
        <w:ind w:firstLine="480" w:firstLineChars="200"/>
        <w:jc w:val="both"/>
        <w:rPr>
          <w:rFonts w:hint="eastAsia" w:ascii="仿宋_GB2312" w:hAnsi="仿宋" w:eastAsia="仿宋_GB2312" w:cs="仿宋_GB2312"/>
          <w:sz w:val="24"/>
          <w:szCs w:val="21"/>
        </w:rPr>
      </w:pPr>
      <w:r>
        <w:rPr>
          <w:rFonts w:hint="eastAsia" w:ascii="仿宋_GB2312" w:hAnsi="仿宋" w:eastAsia="仿宋_GB2312" w:cs="仿宋_GB2312"/>
          <w:sz w:val="24"/>
          <w:szCs w:val="21"/>
        </w:rPr>
        <w:t>13.19《投标（开标）一览表》填写不完整或字迹不能辨认或有漏项的；</w:t>
      </w:r>
    </w:p>
    <w:p>
      <w:pPr>
        <w:widowControl w:val="0"/>
        <w:adjustRightInd w:val="0"/>
        <w:spacing w:line="360" w:lineRule="auto"/>
        <w:ind w:firstLine="480" w:firstLineChars="200"/>
        <w:jc w:val="both"/>
        <w:rPr>
          <w:rFonts w:hint="eastAsia" w:ascii="仿宋_GB2312" w:hAnsi="仿宋" w:eastAsia="仿宋_GB2312" w:cs="仿宋_GB2312"/>
          <w:sz w:val="24"/>
          <w:szCs w:val="21"/>
        </w:rPr>
      </w:pPr>
      <w:r>
        <w:rPr>
          <w:rFonts w:hint="eastAsia" w:ascii="仿宋_GB2312" w:hAnsi="仿宋" w:eastAsia="仿宋_GB2312" w:cs="仿宋_GB2312"/>
          <w:sz w:val="24"/>
          <w:szCs w:val="21"/>
        </w:rPr>
        <w:t>13.20投标人对根据修正原则修正后的报价不确认的；</w:t>
      </w:r>
    </w:p>
    <w:p>
      <w:pPr>
        <w:widowControl w:val="0"/>
        <w:adjustRightInd w:val="0"/>
        <w:spacing w:line="360" w:lineRule="auto"/>
        <w:ind w:firstLine="480" w:firstLineChars="200"/>
        <w:jc w:val="both"/>
        <w:rPr>
          <w:rFonts w:hint="eastAsia" w:ascii="仿宋_GB2312" w:hAnsi="仿宋" w:eastAsia="仿宋_GB2312" w:cs="仿宋_GB2312"/>
          <w:sz w:val="24"/>
          <w:szCs w:val="21"/>
        </w:rPr>
      </w:pPr>
      <w:r>
        <w:rPr>
          <w:rFonts w:hint="eastAsia" w:ascii="仿宋_GB2312" w:hAnsi="仿宋" w:eastAsia="仿宋_GB2312" w:cs="仿宋_GB2312"/>
          <w:sz w:val="24"/>
          <w:szCs w:val="21"/>
        </w:rPr>
        <w:t>13.21投标人提供虚假材料投标的（包括但不限于以下情节）；</w:t>
      </w:r>
    </w:p>
    <w:p>
      <w:pPr>
        <w:widowControl w:val="0"/>
        <w:adjustRightInd w:val="0"/>
        <w:spacing w:line="360" w:lineRule="auto"/>
        <w:ind w:firstLine="720" w:firstLineChars="300"/>
        <w:rPr>
          <w:rFonts w:hint="eastAsia" w:ascii="仿宋_GB2312" w:hAnsi="仿宋" w:eastAsia="仿宋_GB2312" w:cs="仿宋_GB2312"/>
          <w:sz w:val="24"/>
          <w:szCs w:val="21"/>
        </w:rPr>
      </w:pPr>
      <w:r>
        <w:rPr>
          <w:rFonts w:hint="eastAsia" w:ascii="仿宋_GB2312" w:hAnsi="仿宋" w:eastAsia="仿宋_GB2312" w:cs="仿宋_GB2312"/>
          <w:sz w:val="24"/>
          <w:szCs w:val="21"/>
        </w:rPr>
        <w:t>13.21.1使用伪造、变造的许可证件；</w:t>
      </w:r>
      <w:r>
        <w:rPr>
          <w:rFonts w:hint="eastAsia" w:ascii="仿宋_GB2312" w:hAnsi="仿宋" w:eastAsia="仿宋_GB2312" w:cs="仿宋_GB2312"/>
          <w:sz w:val="24"/>
          <w:szCs w:val="21"/>
        </w:rPr>
        <w:br w:type="textWrapping"/>
      </w:r>
      <w:r>
        <w:rPr>
          <w:rFonts w:hint="eastAsia" w:ascii="仿宋_GB2312" w:hAnsi="宋体" w:eastAsia="仿宋_GB2312" w:cs="宋体"/>
          <w:sz w:val="24"/>
          <w:szCs w:val="21"/>
        </w:rPr>
        <w:t>  </w:t>
      </w:r>
      <w:r>
        <w:rPr>
          <w:rFonts w:hint="eastAsia" w:ascii="仿宋_GB2312" w:hAnsi="仿宋" w:eastAsia="仿宋_GB2312" w:cs="仿宋_GB2312"/>
          <w:sz w:val="24"/>
          <w:szCs w:val="21"/>
        </w:rPr>
        <w:t xml:space="preserve">  13.21.2提供虚假的财务状况或者业绩；</w:t>
      </w:r>
      <w:r>
        <w:rPr>
          <w:rFonts w:hint="eastAsia" w:ascii="仿宋_GB2312" w:hAnsi="仿宋" w:eastAsia="仿宋_GB2312" w:cs="仿宋_GB2312"/>
          <w:sz w:val="24"/>
          <w:szCs w:val="21"/>
        </w:rPr>
        <w:br w:type="textWrapping"/>
      </w:r>
      <w:r>
        <w:rPr>
          <w:rFonts w:hint="eastAsia" w:ascii="仿宋_GB2312" w:hAnsi="宋体" w:eastAsia="仿宋_GB2312" w:cs="宋体"/>
          <w:sz w:val="24"/>
          <w:szCs w:val="21"/>
        </w:rPr>
        <w:t>  </w:t>
      </w:r>
      <w:r>
        <w:rPr>
          <w:rFonts w:hint="eastAsia" w:ascii="仿宋_GB2312" w:hAnsi="仿宋" w:eastAsia="仿宋_GB2312" w:cs="仿宋_GB2312"/>
          <w:sz w:val="24"/>
          <w:szCs w:val="21"/>
        </w:rPr>
        <w:t xml:space="preserve">  13.21.3提供虚假的项目负责人或者主要技术人员简历、劳动关系证明；</w:t>
      </w:r>
      <w:r>
        <w:rPr>
          <w:rFonts w:hint="eastAsia" w:ascii="仿宋_GB2312" w:hAnsi="仿宋" w:eastAsia="仿宋_GB2312" w:cs="仿宋_GB2312"/>
          <w:sz w:val="24"/>
          <w:szCs w:val="21"/>
        </w:rPr>
        <w:br w:type="textWrapping"/>
      </w:r>
      <w:r>
        <w:rPr>
          <w:rFonts w:hint="eastAsia" w:ascii="仿宋_GB2312" w:hAnsi="宋体" w:eastAsia="仿宋_GB2312" w:cs="宋体"/>
          <w:sz w:val="24"/>
          <w:szCs w:val="21"/>
        </w:rPr>
        <w:t>  </w:t>
      </w:r>
      <w:r>
        <w:rPr>
          <w:rFonts w:hint="eastAsia" w:ascii="仿宋_GB2312" w:hAnsi="仿宋" w:eastAsia="仿宋_GB2312" w:cs="仿宋_GB2312"/>
          <w:sz w:val="24"/>
          <w:szCs w:val="21"/>
        </w:rPr>
        <w:t xml:space="preserve">  13.21.4提供虚假的信用状况；</w:t>
      </w:r>
      <w:r>
        <w:rPr>
          <w:rFonts w:hint="eastAsia" w:ascii="仿宋_GB2312" w:hAnsi="仿宋" w:eastAsia="仿宋_GB2312" w:cs="仿宋_GB2312"/>
          <w:sz w:val="24"/>
          <w:szCs w:val="21"/>
        </w:rPr>
        <w:br w:type="textWrapping"/>
      </w:r>
      <w:r>
        <w:rPr>
          <w:rFonts w:hint="eastAsia" w:ascii="仿宋_GB2312" w:hAnsi="宋体" w:eastAsia="仿宋_GB2312" w:cs="宋体"/>
          <w:sz w:val="24"/>
          <w:szCs w:val="21"/>
        </w:rPr>
        <w:t> </w:t>
      </w:r>
      <w:r>
        <w:rPr>
          <w:rFonts w:hint="eastAsia" w:ascii="仿宋_GB2312" w:hAnsi="仿宋" w:eastAsia="仿宋_GB2312" w:cs="仿宋_GB2312"/>
          <w:sz w:val="24"/>
          <w:szCs w:val="21"/>
        </w:rPr>
        <w:t xml:space="preserve">    13.21.5其他弄虚作假的行为。</w:t>
      </w:r>
      <w:r>
        <w:rPr>
          <w:rFonts w:hint="eastAsia" w:ascii="仿宋_GB2312" w:hAnsi="仿宋" w:eastAsia="仿宋_GB2312" w:cs="仿宋_GB2312"/>
          <w:sz w:val="24"/>
          <w:szCs w:val="21"/>
        </w:rPr>
        <w:br w:type="textWrapping"/>
      </w:r>
      <w:r>
        <w:rPr>
          <w:rFonts w:hint="eastAsia" w:ascii="仿宋_GB2312" w:hAnsi="仿宋" w:eastAsia="仿宋_GB2312" w:cs="仿宋_GB2312"/>
          <w:sz w:val="24"/>
          <w:szCs w:val="21"/>
        </w:rPr>
        <w:t xml:space="preserve">   13.22投标人有恶意串通、妨碍其他投标人的竞争行为、损害采购人或者其他投标人的合法权益情形的；有下列情形之一的，属于或视为恶意串通，其投标无效：</w:t>
      </w:r>
    </w:p>
    <w:p>
      <w:pPr>
        <w:widowControl w:val="0"/>
        <w:adjustRightInd w:val="0"/>
        <w:spacing w:line="360" w:lineRule="auto"/>
        <w:ind w:firstLine="525" w:firstLineChars="250"/>
        <w:jc w:val="both"/>
        <w:rPr>
          <w:rFonts w:hint="eastAsia" w:ascii="仿宋_GB2312" w:hAnsi="仿宋" w:eastAsia="仿宋_GB2312" w:cs="仿宋_GB2312"/>
          <w:sz w:val="24"/>
          <w:szCs w:val="21"/>
        </w:rPr>
      </w:pPr>
      <w:r>
        <w:rPr>
          <w:rFonts w:hint="eastAsia" w:ascii="仿宋_GB2312" w:hAnsi="仿宋" w:eastAsia="仿宋_GB2312"/>
          <w:szCs w:val="24"/>
        </w:rPr>
        <w:t>13.22.1</w:t>
      </w:r>
      <w:r>
        <w:rPr>
          <w:rFonts w:hint="eastAsia" w:ascii="仿宋_GB2312" w:hAnsi="仿宋" w:eastAsia="仿宋_GB2312" w:cs="仿宋_GB2312"/>
          <w:sz w:val="24"/>
          <w:szCs w:val="21"/>
        </w:rPr>
        <w:t>供应商直接或者间接从采购人或者采购机构处获得其他供应商的相关情况并修改其投标文件或者响应文件；</w:t>
      </w:r>
    </w:p>
    <w:p>
      <w:pPr>
        <w:widowControl w:val="0"/>
        <w:adjustRightInd w:val="0"/>
        <w:spacing w:line="360" w:lineRule="auto"/>
        <w:ind w:firstLine="480" w:firstLineChars="200"/>
        <w:jc w:val="both"/>
        <w:rPr>
          <w:rFonts w:hint="eastAsia" w:ascii="仿宋_GB2312" w:hAnsi="仿宋" w:eastAsia="仿宋_GB2312" w:cs="仿宋_GB2312"/>
          <w:sz w:val="24"/>
          <w:szCs w:val="21"/>
        </w:rPr>
      </w:pPr>
      <w:r>
        <w:rPr>
          <w:rFonts w:hint="eastAsia" w:ascii="仿宋_GB2312" w:hAnsi="仿宋" w:eastAsia="仿宋_GB2312" w:cs="仿宋_GB2312"/>
          <w:sz w:val="24"/>
          <w:szCs w:val="21"/>
        </w:rPr>
        <w:t>13.22.2供应商按照采购人或者采购机构的授意撤换、修改投标文件或者响应文件；</w:t>
      </w:r>
    </w:p>
    <w:p>
      <w:pPr>
        <w:widowControl w:val="0"/>
        <w:adjustRightInd w:val="0"/>
        <w:spacing w:line="360" w:lineRule="auto"/>
        <w:ind w:firstLine="480" w:firstLineChars="200"/>
        <w:jc w:val="both"/>
        <w:rPr>
          <w:rFonts w:hint="eastAsia" w:ascii="仿宋_GB2312" w:hAnsi="仿宋" w:eastAsia="仿宋_GB2312" w:cs="仿宋_GB2312"/>
          <w:sz w:val="24"/>
          <w:szCs w:val="21"/>
        </w:rPr>
      </w:pPr>
      <w:r>
        <w:rPr>
          <w:rFonts w:hint="eastAsia" w:ascii="仿宋_GB2312" w:hAnsi="仿宋" w:eastAsia="仿宋_GB2312" w:cs="仿宋_GB2312"/>
          <w:sz w:val="24"/>
          <w:szCs w:val="21"/>
        </w:rPr>
        <w:t>13.22.3供应商之间协商报价、技术方案等投标文件或者响应文件的实质性内容；</w:t>
      </w:r>
    </w:p>
    <w:p>
      <w:pPr>
        <w:widowControl w:val="0"/>
        <w:adjustRightInd w:val="0"/>
        <w:spacing w:line="360" w:lineRule="auto"/>
        <w:ind w:firstLine="480" w:firstLineChars="200"/>
        <w:jc w:val="both"/>
        <w:rPr>
          <w:rFonts w:hint="eastAsia" w:ascii="仿宋_GB2312" w:hAnsi="仿宋" w:eastAsia="仿宋_GB2312" w:cs="仿宋_GB2312"/>
          <w:sz w:val="24"/>
          <w:szCs w:val="21"/>
        </w:rPr>
      </w:pPr>
      <w:r>
        <w:rPr>
          <w:rFonts w:hint="eastAsia" w:ascii="仿宋_GB2312" w:hAnsi="仿宋" w:eastAsia="仿宋_GB2312" w:cs="仿宋_GB2312"/>
          <w:sz w:val="24"/>
          <w:szCs w:val="21"/>
        </w:rPr>
        <w:t>13.22.4属于同一集团、协会、商会等组织成员的供应商按照该组织要求协同参加政府采购活动；</w:t>
      </w:r>
    </w:p>
    <w:p>
      <w:pPr>
        <w:widowControl w:val="0"/>
        <w:adjustRightInd w:val="0"/>
        <w:spacing w:line="360" w:lineRule="auto"/>
        <w:ind w:firstLine="480" w:firstLineChars="200"/>
        <w:jc w:val="both"/>
        <w:rPr>
          <w:rFonts w:hint="eastAsia" w:ascii="仿宋_GB2312" w:hAnsi="仿宋" w:eastAsia="仿宋_GB2312" w:cs="仿宋_GB2312"/>
          <w:sz w:val="24"/>
          <w:szCs w:val="21"/>
        </w:rPr>
      </w:pPr>
      <w:r>
        <w:rPr>
          <w:rFonts w:hint="eastAsia" w:ascii="仿宋_GB2312" w:hAnsi="仿宋" w:eastAsia="仿宋_GB2312" w:cs="仿宋_GB2312"/>
          <w:sz w:val="24"/>
          <w:szCs w:val="21"/>
        </w:rPr>
        <w:t>13.22.5供应商之间事先约定由某一特定供应商中标、成交；</w:t>
      </w:r>
    </w:p>
    <w:p>
      <w:pPr>
        <w:widowControl w:val="0"/>
        <w:adjustRightInd w:val="0"/>
        <w:spacing w:line="360" w:lineRule="auto"/>
        <w:ind w:firstLine="480" w:firstLineChars="200"/>
        <w:jc w:val="both"/>
        <w:rPr>
          <w:rFonts w:hint="eastAsia" w:ascii="仿宋_GB2312" w:hAnsi="仿宋" w:eastAsia="仿宋_GB2312" w:cs="仿宋_GB2312"/>
          <w:sz w:val="24"/>
          <w:szCs w:val="21"/>
        </w:rPr>
      </w:pPr>
      <w:r>
        <w:rPr>
          <w:rFonts w:hint="eastAsia" w:ascii="仿宋_GB2312" w:hAnsi="仿宋" w:eastAsia="仿宋_GB2312" w:cs="仿宋_GB2312"/>
          <w:sz w:val="24"/>
          <w:szCs w:val="21"/>
        </w:rPr>
        <w:t>13.22.6供应商之间商定部分供应商放弃参加政府采购活动或者放弃中标、成交；</w:t>
      </w:r>
    </w:p>
    <w:p>
      <w:pPr>
        <w:widowControl w:val="0"/>
        <w:adjustRightInd w:val="0"/>
        <w:spacing w:line="360" w:lineRule="auto"/>
        <w:ind w:firstLine="480" w:firstLineChars="200"/>
        <w:jc w:val="both"/>
        <w:rPr>
          <w:rFonts w:hint="eastAsia" w:ascii="仿宋_GB2312" w:hAnsi="仿宋" w:eastAsia="仿宋_GB2312" w:cs="仿宋_GB2312"/>
          <w:sz w:val="24"/>
          <w:szCs w:val="21"/>
        </w:rPr>
      </w:pPr>
      <w:r>
        <w:rPr>
          <w:rFonts w:hint="eastAsia" w:ascii="仿宋_GB2312" w:hAnsi="仿宋" w:eastAsia="仿宋_GB2312" w:cs="仿宋_GB2312"/>
          <w:sz w:val="24"/>
          <w:szCs w:val="21"/>
        </w:rPr>
        <w:t>13.22.7供应商与采购人或者采购机构之间、供应商相互之间，为谋求特定供应商中标、成交或者排斥其他供应商的其他串通行为。</w:t>
      </w:r>
    </w:p>
    <w:p>
      <w:pPr>
        <w:widowControl w:val="0"/>
        <w:adjustRightInd w:val="0"/>
        <w:spacing w:line="360" w:lineRule="auto"/>
        <w:ind w:firstLine="480" w:firstLineChars="200"/>
        <w:jc w:val="both"/>
        <w:rPr>
          <w:rFonts w:hint="eastAsia" w:ascii="仿宋_GB2312" w:hAnsi="仿宋" w:eastAsia="仿宋_GB2312" w:cs="仿宋_GB2312"/>
          <w:sz w:val="24"/>
          <w:szCs w:val="21"/>
        </w:rPr>
      </w:pPr>
      <w:r>
        <w:rPr>
          <w:rFonts w:hint="eastAsia" w:ascii="仿宋_GB2312" w:hAnsi="仿宋" w:eastAsia="仿宋_GB2312" w:cs="仿宋_GB2312"/>
          <w:sz w:val="24"/>
          <w:szCs w:val="21"/>
        </w:rPr>
        <w:t>13.22.8不同投标人的投标文件由同一单位或者个人编制；</w:t>
      </w:r>
    </w:p>
    <w:p>
      <w:pPr>
        <w:widowControl w:val="0"/>
        <w:adjustRightInd w:val="0"/>
        <w:spacing w:line="360" w:lineRule="auto"/>
        <w:ind w:firstLine="480" w:firstLineChars="200"/>
        <w:jc w:val="both"/>
        <w:rPr>
          <w:rFonts w:hint="eastAsia" w:ascii="仿宋_GB2312" w:hAnsi="仿宋" w:eastAsia="仿宋_GB2312" w:cs="仿宋_GB2312"/>
          <w:sz w:val="24"/>
          <w:szCs w:val="21"/>
        </w:rPr>
      </w:pPr>
      <w:r>
        <w:rPr>
          <w:rFonts w:hint="eastAsia" w:ascii="仿宋_GB2312" w:hAnsi="仿宋" w:eastAsia="仿宋_GB2312" w:cs="仿宋_GB2312"/>
          <w:sz w:val="24"/>
          <w:szCs w:val="21"/>
        </w:rPr>
        <w:t>13.22.9不同投标人委托同一单位或者个人办理投标事宜；</w:t>
      </w:r>
    </w:p>
    <w:p>
      <w:pPr>
        <w:widowControl w:val="0"/>
        <w:adjustRightInd w:val="0"/>
        <w:spacing w:line="360" w:lineRule="auto"/>
        <w:ind w:firstLine="480" w:firstLineChars="200"/>
        <w:jc w:val="both"/>
        <w:rPr>
          <w:rFonts w:hint="eastAsia" w:ascii="仿宋_GB2312" w:hAnsi="仿宋" w:eastAsia="仿宋_GB2312" w:cs="仿宋_GB2312"/>
          <w:sz w:val="24"/>
          <w:szCs w:val="21"/>
        </w:rPr>
      </w:pPr>
      <w:r>
        <w:rPr>
          <w:rFonts w:hint="eastAsia" w:ascii="仿宋_GB2312" w:hAnsi="仿宋" w:eastAsia="仿宋_GB2312" w:cs="仿宋_GB2312"/>
          <w:sz w:val="24"/>
          <w:szCs w:val="21"/>
        </w:rPr>
        <w:t>13.22.10不同投标人的投标文件载明的项目管理成员或者联系人员为同一人；</w:t>
      </w:r>
    </w:p>
    <w:p>
      <w:pPr>
        <w:widowControl w:val="0"/>
        <w:adjustRightInd w:val="0"/>
        <w:spacing w:line="360" w:lineRule="auto"/>
        <w:ind w:firstLine="480" w:firstLineChars="200"/>
        <w:jc w:val="both"/>
        <w:rPr>
          <w:rFonts w:hint="eastAsia" w:ascii="仿宋_GB2312" w:hAnsi="仿宋" w:eastAsia="仿宋_GB2312" w:cs="仿宋_GB2312"/>
          <w:sz w:val="24"/>
          <w:szCs w:val="21"/>
        </w:rPr>
      </w:pPr>
      <w:r>
        <w:rPr>
          <w:rFonts w:hint="eastAsia" w:ascii="仿宋_GB2312" w:hAnsi="仿宋" w:eastAsia="仿宋_GB2312" w:cs="仿宋_GB2312"/>
          <w:sz w:val="24"/>
          <w:szCs w:val="21"/>
        </w:rPr>
        <w:t>13.22.11不同投标人的投标文件异常一致或者投标报价呈规律性差异；</w:t>
      </w:r>
    </w:p>
    <w:p>
      <w:pPr>
        <w:widowControl w:val="0"/>
        <w:adjustRightInd w:val="0"/>
        <w:spacing w:line="360" w:lineRule="auto"/>
        <w:ind w:firstLine="480" w:firstLineChars="200"/>
        <w:jc w:val="both"/>
        <w:rPr>
          <w:rFonts w:hint="eastAsia" w:ascii="仿宋_GB2312" w:hAnsi="仿宋" w:eastAsia="仿宋_GB2312" w:cs="仿宋_GB2312"/>
          <w:sz w:val="24"/>
          <w:szCs w:val="21"/>
        </w:rPr>
      </w:pPr>
      <w:r>
        <w:rPr>
          <w:rFonts w:hint="eastAsia" w:ascii="仿宋_GB2312" w:hAnsi="仿宋" w:eastAsia="仿宋_GB2312" w:cs="仿宋_GB2312"/>
          <w:sz w:val="24"/>
          <w:szCs w:val="21"/>
        </w:rPr>
        <w:t>13.22.12不同投标人的投标文件相互混装；</w:t>
      </w:r>
    </w:p>
    <w:p>
      <w:pPr>
        <w:widowControl w:val="0"/>
        <w:adjustRightInd w:val="0"/>
        <w:spacing w:line="360" w:lineRule="auto"/>
        <w:ind w:firstLine="480" w:firstLineChars="200"/>
        <w:jc w:val="both"/>
        <w:rPr>
          <w:rFonts w:hint="eastAsia" w:ascii="仿宋_GB2312" w:hAnsi="仿宋" w:eastAsia="仿宋_GB2312" w:cs="仿宋_GB2312"/>
          <w:sz w:val="24"/>
          <w:szCs w:val="21"/>
        </w:rPr>
      </w:pPr>
      <w:r>
        <w:rPr>
          <w:rFonts w:hint="eastAsia" w:ascii="仿宋_GB2312" w:hAnsi="仿宋" w:eastAsia="仿宋_GB2312" w:cs="仿宋_GB2312"/>
          <w:sz w:val="24"/>
          <w:szCs w:val="21"/>
        </w:rPr>
        <w:t>13.23法律、法规、规章（适用本市的）及省级以上规范性文件（适用本市的）规定的其他无效情形。</w:t>
      </w:r>
    </w:p>
    <w:p>
      <w:pPr>
        <w:widowControl w:val="0"/>
        <w:adjustRightInd w:val="0"/>
        <w:spacing w:line="360" w:lineRule="auto"/>
        <w:ind w:firstLine="240" w:firstLineChars="100"/>
        <w:jc w:val="both"/>
        <w:rPr>
          <w:rFonts w:hint="eastAsia" w:ascii="仿宋_GB2312" w:hAnsi="仿宋" w:eastAsia="仿宋_GB2312" w:cs="仿宋_GB2312"/>
          <w:sz w:val="24"/>
          <w:szCs w:val="21"/>
        </w:rPr>
      </w:pPr>
    </w:p>
    <w:p>
      <w:pPr>
        <w:widowControl w:val="0"/>
        <w:adjustRightInd w:val="0"/>
        <w:snapToGrid w:val="0"/>
        <w:spacing w:line="360" w:lineRule="auto"/>
        <w:ind w:left="120" w:leftChars="57" w:firstLine="482" w:firstLineChars="150"/>
        <w:jc w:val="center"/>
        <w:rPr>
          <w:rFonts w:hint="eastAsia" w:ascii="仿宋_GB2312" w:hAnsi="仿宋" w:eastAsia="仿宋_GB2312" w:cs="仿宋_GB2312"/>
          <w:b/>
          <w:sz w:val="32"/>
          <w:szCs w:val="24"/>
        </w:rPr>
      </w:pPr>
      <w:r>
        <w:rPr>
          <w:rFonts w:hint="eastAsia" w:ascii="仿宋_GB2312" w:hAnsi="仿宋" w:eastAsia="仿宋_GB2312" w:cs="仿宋_GB2312"/>
          <w:b/>
          <w:sz w:val="32"/>
          <w:szCs w:val="24"/>
        </w:rPr>
        <w:t xml:space="preserve">五、评标报告。 </w:t>
      </w:r>
    </w:p>
    <w:p>
      <w:pPr>
        <w:widowControl w:val="0"/>
        <w:adjustRightInd w:val="0"/>
        <w:spacing w:line="360" w:lineRule="auto"/>
        <w:jc w:val="both"/>
        <w:rPr>
          <w:rFonts w:hint="eastAsia" w:ascii="仿宋_GB2312" w:hAnsi="仿宋" w:eastAsia="仿宋_GB2312" w:cs="仿宋_GB2312"/>
          <w:sz w:val="24"/>
          <w:szCs w:val="24"/>
        </w:rPr>
      </w:pPr>
      <w:r>
        <w:rPr>
          <w:rFonts w:hint="eastAsia" w:ascii="仿宋_GB2312" w:hAnsi="仿宋" w:eastAsia="仿宋_GB2312" w:cs="仿宋_GB2312"/>
          <w:b/>
          <w:sz w:val="24"/>
          <w:szCs w:val="24"/>
        </w:rPr>
        <w:t>14. 评标报告与推荐中标候选人。</w:t>
      </w:r>
      <w:r>
        <w:rPr>
          <w:rFonts w:hint="eastAsia" w:ascii="仿宋_GB2312" w:hAnsi="仿宋" w:eastAsia="仿宋_GB2312" w:cs="仿宋_GB2312"/>
          <w:sz w:val="24"/>
          <w:szCs w:val="24"/>
        </w:rPr>
        <w:t>评标委员会根据全体评标成员签字的原始评标记录和评标结果编写评标报告，并推荐中标候选人，评审报告由评标委员会成员签字确认提交。</w:t>
      </w:r>
    </w:p>
    <w:p>
      <w:pPr>
        <w:spacing w:before="100" w:beforeAutospacing="1" w:after="100" w:afterAutospacing="1" w:line="432" w:lineRule="auto"/>
        <w:rPr>
          <w:rFonts w:hint="eastAsia" w:ascii="仿宋_GB2312" w:hAnsi="ˎ̥" w:eastAsia="仿宋_GB2312" w:cs="宋体"/>
          <w:kern w:val="0"/>
          <w:sz w:val="24"/>
          <w:szCs w:val="24"/>
        </w:rPr>
      </w:pPr>
      <w:r>
        <w:rPr>
          <w:rFonts w:hint="eastAsia" w:ascii="仿宋_GB2312" w:hAnsi="仿宋" w:eastAsia="仿宋_GB2312" w:cs="仿宋_GB2312"/>
          <w:b/>
          <w:sz w:val="24"/>
          <w:szCs w:val="24"/>
        </w:rPr>
        <w:t>15. 评标争议事项处理。</w:t>
      </w:r>
      <w:r>
        <w:rPr>
          <w:rFonts w:hint="eastAsia" w:ascii="仿宋_GB2312" w:hAnsi="仿宋" w:eastAsia="仿宋_GB2312" w:cs="仿宋_GB2312"/>
          <w:sz w:val="24"/>
          <w:szCs w:val="24"/>
        </w:rPr>
        <w:t>评标委员会成员对需要共同认定的事项存在争议的，应当按照少数服从多数的原则作出结论。持不同意见的评标委员会成员应当在评标报告上签署不同意见及理由，否则视为同意评标报告。</w:t>
      </w:r>
    </w:p>
    <w:p>
      <w:pPr>
        <w:spacing w:before="100" w:beforeAutospacing="1" w:after="100" w:afterAutospacing="1" w:line="432" w:lineRule="auto"/>
        <w:rPr>
          <w:rFonts w:hint="eastAsia" w:ascii="仿宋_GB2312" w:hAnsi="仿宋" w:eastAsia="仿宋_GB2312" w:cs="仿宋_GB2312"/>
          <w:b/>
          <w:sz w:val="32"/>
          <w:szCs w:val="24"/>
        </w:rPr>
      </w:pPr>
      <w:r>
        <w:rPr>
          <w:rFonts w:hint="eastAsia" w:ascii="仿宋_GB2312" w:hAnsi="ˎ̥" w:eastAsia="仿宋_GB2312" w:cs="宋体"/>
          <w:kern w:val="0"/>
          <w:sz w:val="24"/>
          <w:szCs w:val="24"/>
        </w:rPr>
        <w:t xml:space="preserve">　                      </w:t>
      </w:r>
      <w:r>
        <w:rPr>
          <w:rFonts w:hint="eastAsia" w:ascii="仿宋_GB2312" w:hAnsi="仿宋" w:eastAsia="仿宋_GB2312" w:cs="仿宋_GB2312"/>
          <w:b/>
          <w:sz w:val="32"/>
          <w:szCs w:val="24"/>
        </w:rPr>
        <w:t>六、 废标</w:t>
      </w:r>
    </w:p>
    <w:p>
      <w:pPr>
        <w:widowControl w:val="0"/>
        <w:adjustRightInd w:val="0"/>
        <w:snapToGrid w:val="0"/>
        <w:spacing w:line="360" w:lineRule="auto"/>
        <w:jc w:val="both"/>
        <w:rPr>
          <w:rFonts w:hint="eastAsia" w:ascii="仿宋_GB2312" w:hAnsi="仿宋" w:eastAsia="仿宋_GB2312" w:cs="仿宋_GB2312"/>
          <w:sz w:val="24"/>
          <w:szCs w:val="24"/>
        </w:rPr>
      </w:pPr>
      <w:r>
        <w:rPr>
          <w:rFonts w:hint="eastAsia" w:ascii="仿宋_GB2312" w:hAnsi="仿宋" w:eastAsia="仿宋_GB2312" w:cs="仿宋_GB2312"/>
          <w:b/>
          <w:sz w:val="24"/>
          <w:szCs w:val="24"/>
        </w:rPr>
        <w:t>16.废标。</w:t>
      </w:r>
      <w:r>
        <w:rPr>
          <w:rFonts w:hint="eastAsia" w:ascii="仿宋_GB2312" w:hAnsi="仿宋" w:eastAsia="仿宋_GB2312" w:cs="仿宋_GB2312"/>
          <w:sz w:val="24"/>
          <w:szCs w:val="24"/>
        </w:rPr>
        <w:t>根据《中华人民共和国政府采购法》第三十六条之规定，在采购中，出现下列情形之一的，应予废标：</w:t>
      </w:r>
    </w:p>
    <w:p>
      <w:pPr>
        <w:widowControl w:val="0"/>
        <w:adjustRightInd w:val="0"/>
        <w:snapToGrid w:val="0"/>
        <w:spacing w:line="360" w:lineRule="auto"/>
        <w:ind w:firstLine="480" w:firstLineChars="200"/>
        <w:jc w:val="both"/>
        <w:rPr>
          <w:rFonts w:hint="eastAsia" w:ascii="仿宋_GB2312" w:hAnsi="仿宋" w:eastAsia="仿宋_GB2312" w:cs="仿宋_GB2312"/>
          <w:sz w:val="24"/>
          <w:szCs w:val="24"/>
        </w:rPr>
      </w:pPr>
      <w:r>
        <w:rPr>
          <w:rFonts w:hint="eastAsia" w:ascii="仿宋_GB2312" w:hAnsi="仿宋" w:eastAsia="仿宋_GB2312" w:cs="仿宋_GB2312"/>
          <w:sz w:val="24"/>
          <w:szCs w:val="24"/>
        </w:rPr>
        <w:t>16.1符合专业条件的供应商或者对招标文件作实质响应的供应商不足3家的；</w:t>
      </w:r>
    </w:p>
    <w:p>
      <w:pPr>
        <w:widowControl w:val="0"/>
        <w:adjustRightInd w:val="0"/>
        <w:snapToGrid w:val="0"/>
        <w:spacing w:line="360" w:lineRule="auto"/>
        <w:ind w:firstLine="480" w:firstLineChars="200"/>
        <w:jc w:val="both"/>
        <w:rPr>
          <w:rFonts w:hint="eastAsia" w:ascii="仿宋_GB2312" w:hAnsi="仿宋" w:eastAsia="仿宋_GB2312" w:cs="仿宋_GB2312"/>
          <w:sz w:val="24"/>
          <w:szCs w:val="24"/>
        </w:rPr>
      </w:pPr>
      <w:r>
        <w:rPr>
          <w:rFonts w:hint="eastAsia" w:ascii="仿宋_GB2312" w:hAnsi="仿宋" w:eastAsia="仿宋_GB2312" w:cs="仿宋_GB2312"/>
          <w:sz w:val="24"/>
          <w:szCs w:val="24"/>
        </w:rPr>
        <w:t>16.2出现影响采购公正的违法、违规行为的；</w:t>
      </w:r>
    </w:p>
    <w:p>
      <w:pPr>
        <w:widowControl w:val="0"/>
        <w:adjustRightInd w:val="0"/>
        <w:snapToGrid w:val="0"/>
        <w:spacing w:line="360" w:lineRule="auto"/>
        <w:ind w:firstLine="480" w:firstLineChars="200"/>
        <w:jc w:val="both"/>
        <w:rPr>
          <w:rFonts w:hint="eastAsia" w:ascii="仿宋_GB2312" w:hAnsi="仿宋" w:eastAsia="仿宋_GB2312" w:cs="仿宋_GB2312"/>
          <w:sz w:val="24"/>
          <w:szCs w:val="24"/>
        </w:rPr>
      </w:pPr>
      <w:r>
        <w:rPr>
          <w:rFonts w:hint="eastAsia" w:ascii="仿宋_GB2312" w:hAnsi="仿宋" w:eastAsia="仿宋_GB2312" w:cs="仿宋_GB2312"/>
          <w:sz w:val="24"/>
          <w:szCs w:val="24"/>
        </w:rPr>
        <w:t>16.3投标人的报价均超过了采购预算，采购人不能支付的；</w:t>
      </w:r>
    </w:p>
    <w:p>
      <w:pPr>
        <w:widowControl w:val="0"/>
        <w:adjustRightInd w:val="0"/>
        <w:snapToGrid w:val="0"/>
        <w:spacing w:line="360" w:lineRule="auto"/>
        <w:ind w:firstLine="480" w:firstLineChars="200"/>
        <w:jc w:val="both"/>
        <w:rPr>
          <w:rFonts w:hint="eastAsia" w:ascii="仿宋_GB2312" w:hAnsi="仿宋" w:eastAsia="仿宋_GB2312" w:cs="仿宋_GB2312"/>
          <w:sz w:val="24"/>
          <w:szCs w:val="24"/>
        </w:rPr>
      </w:pPr>
      <w:r>
        <w:rPr>
          <w:rFonts w:hint="eastAsia" w:ascii="仿宋_GB2312" w:hAnsi="仿宋" w:eastAsia="仿宋_GB2312" w:cs="仿宋_GB2312"/>
          <w:sz w:val="24"/>
          <w:szCs w:val="24"/>
        </w:rPr>
        <w:t>16.4因重大变故，采购任务取消的。</w:t>
      </w:r>
    </w:p>
    <w:p>
      <w:pPr>
        <w:widowControl w:val="0"/>
        <w:adjustRightInd w:val="0"/>
        <w:snapToGrid w:val="0"/>
        <w:spacing w:line="360" w:lineRule="auto"/>
        <w:ind w:firstLine="480" w:firstLineChars="200"/>
        <w:jc w:val="both"/>
        <w:rPr>
          <w:rFonts w:hint="eastAsia" w:ascii="仿宋_GB2312" w:hAnsi="仿宋" w:eastAsia="仿宋_GB2312" w:cs="仿宋_GB2312"/>
          <w:sz w:val="24"/>
          <w:szCs w:val="24"/>
        </w:rPr>
      </w:pPr>
      <w:r>
        <w:rPr>
          <w:rFonts w:hint="eastAsia" w:ascii="仿宋_GB2312" w:hAnsi="仿宋" w:eastAsia="仿宋_GB2312" w:cs="仿宋_GB2312"/>
          <w:sz w:val="24"/>
          <w:szCs w:val="24"/>
        </w:rPr>
        <w:t>废标后，采购机构应当将废标理由通知所有投标人。</w:t>
      </w:r>
    </w:p>
    <w:p>
      <w:pPr>
        <w:widowControl w:val="0"/>
        <w:adjustRightInd w:val="0"/>
        <w:snapToGrid w:val="0"/>
        <w:spacing w:line="360" w:lineRule="auto"/>
        <w:ind w:firstLine="480" w:firstLineChars="200"/>
        <w:jc w:val="both"/>
        <w:rPr>
          <w:rFonts w:hint="eastAsia" w:ascii="仿宋_GB2312" w:hAnsi="仿宋" w:eastAsia="仿宋_GB2312" w:cs="仿宋_GB2312"/>
          <w:sz w:val="24"/>
          <w:szCs w:val="24"/>
        </w:rPr>
      </w:pPr>
    </w:p>
    <w:p>
      <w:pPr>
        <w:widowControl w:val="0"/>
        <w:adjustRightInd w:val="0"/>
        <w:snapToGrid w:val="0"/>
        <w:spacing w:line="360" w:lineRule="auto"/>
        <w:ind w:left="120" w:leftChars="57" w:firstLine="482" w:firstLineChars="150"/>
        <w:jc w:val="center"/>
        <w:rPr>
          <w:rFonts w:hint="eastAsia" w:ascii="仿宋_GB2312" w:hAnsi="仿宋" w:eastAsia="仿宋_GB2312" w:cs="仿宋_GB2312"/>
          <w:b/>
          <w:sz w:val="32"/>
          <w:szCs w:val="24"/>
        </w:rPr>
      </w:pPr>
      <w:r>
        <w:rPr>
          <w:rFonts w:hint="eastAsia" w:ascii="仿宋_GB2312" w:hAnsi="仿宋" w:eastAsia="仿宋_GB2312" w:cs="仿宋_GB2312"/>
          <w:b/>
          <w:sz w:val="32"/>
          <w:szCs w:val="24"/>
        </w:rPr>
        <w:t>七、 重新组织采购</w:t>
      </w:r>
    </w:p>
    <w:p>
      <w:pPr>
        <w:widowControl w:val="0"/>
        <w:adjustRightInd w:val="0"/>
        <w:snapToGrid w:val="0"/>
        <w:spacing w:line="360" w:lineRule="auto"/>
        <w:ind w:firstLine="482" w:firstLineChars="200"/>
        <w:jc w:val="both"/>
        <w:rPr>
          <w:rFonts w:hint="eastAsia" w:ascii="仿宋_GB2312" w:hAnsi="仿宋" w:eastAsia="仿宋_GB2312" w:cs="仿宋_GB2312"/>
          <w:sz w:val="24"/>
          <w:szCs w:val="24"/>
        </w:rPr>
      </w:pPr>
      <w:r>
        <w:rPr>
          <w:rFonts w:hint="eastAsia" w:ascii="仿宋_GB2312" w:hAnsi="仿宋" w:eastAsia="仿宋_GB2312" w:cs="仿宋_GB2312"/>
          <w:b/>
          <w:sz w:val="24"/>
          <w:szCs w:val="24"/>
        </w:rPr>
        <w:t>17.修改招标文件，重新组织采购活动。</w:t>
      </w:r>
      <w:r>
        <w:rPr>
          <w:rFonts w:hint="eastAsia" w:ascii="仿宋_GB2312" w:hAnsi="仿宋" w:eastAsia="仿宋_GB2312" w:cs="仿宋_GB2312"/>
          <w:sz w:val="24"/>
          <w:szCs w:val="24"/>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widowControl w:val="0"/>
        <w:adjustRightInd w:val="0"/>
        <w:snapToGrid w:val="0"/>
        <w:spacing w:line="360" w:lineRule="auto"/>
        <w:ind w:firstLine="482" w:firstLineChars="200"/>
        <w:jc w:val="both"/>
        <w:rPr>
          <w:rFonts w:hint="eastAsia" w:ascii="仿宋_GB2312" w:hAnsi="仿宋" w:eastAsia="仿宋_GB2312" w:cs="仿宋_GB2312"/>
          <w:sz w:val="24"/>
          <w:szCs w:val="24"/>
        </w:rPr>
      </w:pPr>
      <w:r>
        <w:rPr>
          <w:rFonts w:hint="eastAsia" w:ascii="仿宋_GB2312" w:hAnsi="Helvetica" w:eastAsia="仿宋_GB2312" w:cs="Helvetica"/>
          <w:b/>
          <w:kern w:val="0"/>
          <w:sz w:val="24"/>
          <w:szCs w:val="24"/>
        </w:rPr>
        <w:t>18.重新开展采购。</w:t>
      </w:r>
      <w:r>
        <w:rPr>
          <w:rFonts w:hint="eastAsia" w:ascii="仿宋_GB2312" w:hAnsi="仿宋" w:eastAsia="仿宋_GB2312" w:cs="仿宋_GB2312"/>
          <w:sz w:val="24"/>
          <w:szCs w:val="24"/>
        </w:rPr>
        <w:t>有政府采购法第七十一条、第七十二条规定的违法行为之一，影响或者可能影响中标、成交结果的，依照下列规定处理：</w:t>
      </w:r>
    </w:p>
    <w:p>
      <w:pPr>
        <w:widowControl w:val="0"/>
        <w:adjustRightInd w:val="0"/>
        <w:snapToGrid w:val="0"/>
        <w:spacing w:line="360" w:lineRule="auto"/>
        <w:ind w:firstLine="480" w:firstLineChars="200"/>
        <w:jc w:val="both"/>
        <w:rPr>
          <w:rFonts w:hint="eastAsia" w:ascii="仿宋_GB2312" w:hAnsi="仿宋" w:eastAsia="仿宋_GB2312" w:cs="仿宋_GB2312"/>
          <w:sz w:val="24"/>
          <w:szCs w:val="24"/>
        </w:rPr>
      </w:pPr>
      <w:r>
        <w:rPr>
          <w:rFonts w:hint="eastAsia" w:ascii="仿宋_GB2312" w:hAnsi="仿宋" w:eastAsia="仿宋_GB2312" w:cs="仿宋_GB2312"/>
          <w:sz w:val="24"/>
          <w:szCs w:val="24"/>
        </w:rPr>
        <w:t>18.1未确定中标或者成交供应商的，终止本次政府采购活动，重新开展政府采购活动。</w:t>
      </w:r>
    </w:p>
    <w:p>
      <w:pPr>
        <w:widowControl w:val="0"/>
        <w:adjustRightInd w:val="0"/>
        <w:snapToGrid w:val="0"/>
        <w:spacing w:line="360" w:lineRule="auto"/>
        <w:ind w:firstLine="480" w:firstLineChars="200"/>
        <w:jc w:val="both"/>
        <w:rPr>
          <w:rFonts w:hint="eastAsia" w:ascii="仿宋_GB2312" w:hAnsi="仿宋" w:eastAsia="仿宋_GB2312" w:cs="仿宋_GB2312"/>
          <w:sz w:val="24"/>
          <w:szCs w:val="24"/>
        </w:rPr>
      </w:pPr>
      <w:r>
        <w:rPr>
          <w:rFonts w:hint="eastAsia" w:ascii="仿宋_GB2312" w:hAnsi="仿宋" w:eastAsia="仿宋_GB2312" w:cs="仿宋_GB2312"/>
          <w:sz w:val="24"/>
          <w:szCs w:val="24"/>
        </w:rPr>
        <w:t>18.2已确定中标或者成交供应商但尚未签订政府采购合同的，中标或者成交结果无效，从合格的中标或者成交候选人中另行确定中标或者成交供应商；没有合格的中标或者成交候选人的，重新开展政府采购活动。</w:t>
      </w:r>
    </w:p>
    <w:p>
      <w:pPr>
        <w:widowControl w:val="0"/>
        <w:adjustRightInd w:val="0"/>
        <w:snapToGrid w:val="0"/>
        <w:spacing w:line="360" w:lineRule="auto"/>
        <w:ind w:firstLine="480" w:firstLineChars="200"/>
        <w:jc w:val="both"/>
        <w:rPr>
          <w:rFonts w:hint="eastAsia" w:ascii="仿宋_GB2312" w:hAnsi="仿宋" w:eastAsia="仿宋_GB2312" w:cs="仿宋_GB2312"/>
          <w:sz w:val="24"/>
          <w:szCs w:val="24"/>
        </w:rPr>
      </w:pPr>
      <w:r>
        <w:rPr>
          <w:rFonts w:hint="eastAsia" w:ascii="仿宋_GB2312" w:hAnsi="仿宋" w:eastAsia="仿宋_GB2312" w:cs="仿宋_GB2312"/>
          <w:sz w:val="24"/>
          <w:szCs w:val="24"/>
        </w:rPr>
        <w:t>18.3政府采购合同已签订但尚未履行的，撤销合同，从合格的中标或者成交候选人中另行确定中标或者成交供应商；没有合格的中标或者成交候选人的，重新开展政府采购活动。</w:t>
      </w:r>
    </w:p>
    <w:p>
      <w:pPr>
        <w:widowControl w:val="0"/>
        <w:adjustRightInd w:val="0"/>
        <w:snapToGrid w:val="0"/>
        <w:spacing w:line="360" w:lineRule="auto"/>
        <w:ind w:firstLine="480" w:firstLineChars="200"/>
        <w:jc w:val="both"/>
        <w:rPr>
          <w:rFonts w:hint="eastAsia" w:ascii="仿宋_GB2312" w:hAnsi="仿宋" w:eastAsia="仿宋_GB2312" w:cs="仿宋_GB2312"/>
          <w:sz w:val="24"/>
          <w:szCs w:val="24"/>
        </w:rPr>
      </w:pPr>
      <w:r>
        <w:rPr>
          <w:rFonts w:hint="eastAsia" w:ascii="仿宋_GB2312" w:hAnsi="仿宋" w:eastAsia="仿宋_GB2312" w:cs="仿宋_GB2312"/>
          <w:sz w:val="24"/>
          <w:szCs w:val="24"/>
        </w:rPr>
        <w:t>18.4政府采购合同已经履行，给采购人、供应商造成损失的，由责任人承担赔偿责任。</w:t>
      </w:r>
    </w:p>
    <w:p>
      <w:pPr>
        <w:widowControl w:val="0"/>
        <w:adjustRightInd w:val="0"/>
        <w:snapToGrid w:val="0"/>
        <w:spacing w:line="360" w:lineRule="auto"/>
        <w:ind w:firstLine="480" w:firstLineChars="200"/>
        <w:jc w:val="both"/>
        <w:rPr>
          <w:rFonts w:hint="eastAsia" w:ascii="仿宋_GB2312" w:hAnsi="仿宋" w:eastAsia="仿宋_GB2312" w:cs="仿宋_GB2312"/>
          <w:sz w:val="24"/>
          <w:szCs w:val="24"/>
        </w:rPr>
      </w:pPr>
      <w:r>
        <w:rPr>
          <w:rFonts w:hint="eastAsia" w:ascii="仿宋_GB2312" w:hAnsi="仿宋" w:eastAsia="仿宋_GB2312" w:cs="仿宋_GB2312"/>
          <w:sz w:val="24"/>
          <w:szCs w:val="24"/>
        </w:rPr>
        <w:t>18.5政府采购当事人有其他违反政府采购法或者本条例规定的行为，经改正后仍然影响或者可能影响中标、成交结果或者依法被认定为中标、成交无效的，依照18.1-18.4规定处理。</w:t>
      </w:r>
    </w:p>
    <w:p>
      <w:pPr>
        <w:widowControl w:val="0"/>
        <w:adjustRightInd w:val="0"/>
        <w:snapToGrid w:val="0"/>
        <w:spacing w:line="360" w:lineRule="auto"/>
        <w:jc w:val="both"/>
        <w:rPr>
          <w:rFonts w:hint="eastAsia" w:ascii="仿宋_GB2312" w:hAnsi="仿宋" w:eastAsia="仿宋_GB2312" w:cs="仿宋_GB2312"/>
          <w:sz w:val="24"/>
          <w:szCs w:val="24"/>
        </w:rPr>
      </w:pPr>
    </w:p>
    <w:p>
      <w:pPr>
        <w:widowControl w:val="0"/>
        <w:adjustRightInd w:val="0"/>
        <w:snapToGrid w:val="0"/>
        <w:spacing w:line="360" w:lineRule="auto"/>
        <w:ind w:firstLine="480" w:firstLineChars="200"/>
        <w:jc w:val="both"/>
        <w:rPr>
          <w:rFonts w:hint="eastAsia" w:ascii="仿宋_GB2312" w:hAnsi="仿宋" w:eastAsia="仿宋_GB2312" w:cs="仿宋_GB2312"/>
          <w:sz w:val="24"/>
          <w:szCs w:val="24"/>
        </w:rPr>
      </w:pPr>
    </w:p>
    <w:p>
      <w:pPr>
        <w:widowControl w:val="0"/>
        <w:adjustRightInd w:val="0"/>
        <w:snapToGrid w:val="0"/>
        <w:spacing w:line="360" w:lineRule="auto"/>
        <w:ind w:left="120" w:leftChars="57" w:firstLine="482" w:firstLineChars="150"/>
        <w:jc w:val="center"/>
        <w:rPr>
          <w:rFonts w:hint="eastAsia" w:ascii="仿宋_GB2312" w:hAnsi="仿宋" w:eastAsia="仿宋_GB2312" w:cs="仿宋_GB2312"/>
          <w:b/>
          <w:sz w:val="32"/>
          <w:szCs w:val="24"/>
        </w:rPr>
      </w:pPr>
      <w:r>
        <w:rPr>
          <w:rFonts w:hint="eastAsia" w:ascii="仿宋_GB2312" w:hAnsi="仿宋" w:eastAsia="仿宋_GB2312" w:cs="仿宋_GB2312"/>
          <w:b/>
          <w:sz w:val="32"/>
          <w:szCs w:val="24"/>
        </w:rPr>
        <w:t>八、评审过程的保密与录像</w:t>
      </w:r>
    </w:p>
    <w:p>
      <w:pPr>
        <w:adjustRightInd w:val="0"/>
        <w:spacing w:line="500" w:lineRule="exact"/>
        <w:ind w:firstLine="482" w:firstLineChars="200"/>
        <w:jc w:val="both"/>
        <w:rPr>
          <w:rFonts w:hint="eastAsia" w:ascii="仿宋_GB2312" w:hAnsi="仿宋" w:eastAsia="仿宋_GB2312" w:cs="仿宋_GB2312"/>
          <w:sz w:val="24"/>
          <w:szCs w:val="24"/>
        </w:rPr>
      </w:pPr>
      <w:r>
        <w:rPr>
          <w:rFonts w:hint="eastAsia" w:ascii="仿宋_GB2312" w:hAnsi="仿宋" w:eastAsia="仿宋_GB2312" w:cs="仿宋_GB2312"/>
          <w:b/>
          <w:sz w:val="24"/>
          <w:szCs w:val="24"/>
        </w:rPr>
        <w:t>19.保密。</w:t>
      </w:r>
      <w:r>
        <w:rPr>
          <w:rFonts w:hint="eastAsia" w:ascii="仿宋_GB2312" w:hAnsi="仿宋" w:eastAsia="仿宋_GB2312" w:cs="仿宋_GB2312"/>
          <w:sz w:val="24"/>
          <w:szCs w:val="24"/>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pPr>
        <w:adjustRightInd w:val="0"/>
        <w:spacing w:line="500" w:lineRule="exact"/>
        <w:ind w:firstLine="482" w:firstLineChars="200"/>
        <w:jc w:val="both"/>
        <w:rPr>
          <w:rFonts w:hint="eastAsia" w:ascii="仿宋_GB2312" w:hAnsi="仿宋" w:eastAsia="仿宋_GB2312" w:cs="仿宋_GB2312"/>
          <w:sz w:val="24"/>
          <w:szCs w:val="24"/>
        </w:rPr>
      </w:pPr>
      <w:r>
        <w:rPr>
          <w:rFonts w:hint="eastAsia" w:ascii="仿宋_GB2312" w:hAnsi="仿宋" w:eastAsia="仿宋_GB2312" w:cs="仿宋_GB2312"/>
          <w:b/>
          <w:sz w:val="24"/>
          <w:szCs w:val="24"/>
        </w:rPr>
        <w:t>20.录音录像。</w:t>
      </w:r>
      <w:r>
        <w:rPr>
          <w:rFonts w:hint="eastAsia" w:ascii="仿宋_GB2312" w:hAnsi="仿宋" w:eastAsia="仿宋_GB2312" w:cs="仿宋_GB2312"/>
          <w:sz w:val="24"/>
          <w:szCs w:val="24"/>
        </w:rPr>
        <w:t>采购机构对评审工作现场进行全过程录音录像，录音录像资料作为采购项目文件随其他文件一并存档。</w:t>
      </w:r>
    </w:p>
    <w:p>
      <w:pPr>
        <w:widowControl w:val="0"/>
        <w:adjustRightInd w:val="0"/>
        <w:snapToGrid w:val="0"/>
        <w:spacing w:line="360" w:lineRule="auto"/>
        <w:ind w:left="120" w:leftChars="57" w:firstLine="482" w:firstLineChars="150"/>
        <w:jc w:val="center"/>
        <w:rPr>
          <w:rFonts w:hint="eastAsia" w:ascii="仿宋_GB2312" w:hAnsi="仿宋" w:eastAsia="仿宋_GB2312" w:cs="仿宋_GB2312"/>
          <w:b/>
          <w:sz w:val="32"/>
          <w:szCs w:val="24"/>
        </w:rPr>
      </w:pPr>
    </w:p>
    <w:p>
      <w:pPr>
        <w:widowControl w:val="0"/>
        <w:adjustRightInd w:val="0"/>
        <w:snapToGrid w:val="0"/>
        <w:spacing w:line="360" w:lineRule="auto"/>
        <w:ind w:left="120" w:leftChars="57" w:firstLine="482" w:firstLineChars="150"/>
        <w:jc w:val="center"/>
        <w:rPr>
          <w:rFonts w:hint="eastAsia" w:ascii="仿宋_GB2312" w:hAnsi="仿宋" w:eastAsia="仿宋_GB2312" w:cs="仿宋_GB2312"/>
          <w:b/>
          <w:sz w:val="32"/>
          <w:szCs w:val="24"/>
        </w:rPr>
      </w:pPr>
      <w:r>
        <w:rPr>
          <w:rFonts w:hint="eastAsia" w:ascii="仿宋_GB2312" w:hAnsi="仿宋" w:eastAsia="仿宋_GB2312" w:cs="仿宋_GB2312"/>
          <w:b/>
          <w:sz w:val="32"/>
          <w:szCs w:val="24"/>
        </w:rPr>
        <w:t>九、具体评标标准</w:t>
      </w:r>
    </w:p>
    <w:p>
      <w:pPr>
        <w:autoSpaceDE w:val="0"/>
        <w:autoSpaceDN w:val="0"/>
        <w:adjustRightInd w:val="0"/>
        <w:spacing w:line="460" w:lineRule="exact"/>
        <w:ind w:firstLine="480" w:firstLineChars="200"/>
        <w:rPr>
          <w:rFonts w:hint="eastAsia" w:ascii="仿宋_GB2312" w:hAnsi="宋体" w:eastAsia="仿宋_GB2312"/>
          <w:sz w:val="24"/>
        </w:rPr>
      </w:pPr>
      <w:r>
        <w:rPr>
          <w:rFonts w:hint="eastAsia" w:ascii="仿宋_GB2312" w:eastAsia="仿宋_GB2312"/>
          <w:sz w:val="24"/>
        </w:rPr>
        <w:t>1、</w:t>
      </w:r>
      <w:r>
        <w:rPr>
          <w:rFonts w:hint="eastAsia" w:ascii="仿宋_GB2312" w:eastAsia="仿宋_GB2312"/>
          <w:b/>
          <w:sz w:val="24"/>
        </w:rPr>
        <w:t>本项目采用综合评分法</w:t>
      </w:r>
      <w:r>
        <w:rPr>
          <w:rFonts w:hint="eastAsia" w:ascii="仿宋_GB2312" w:hAnsi="宋体" w:eastAsia="仿宋_GB2312"/>
          <w:sz w:val="24"/>
        </w:rPr>
        <w:t>。</w:t>
      </w:r>
      <w:r>
        <w:rPr>
          <w:rFonts w:hint="eastAsia" w:ascii="仿宋_GB2312" w:eastAsia="仿宋_GB2312"/>
          <w:sz w:val="24"/>
        </w:rPr>
        <w:t>评标委员会将对各投标人的投标报价、</w:t>
      </w:r>
      <w:r>
        <w:rPr>
          <w:rFonts w:hint="eastAsia" w:ascii="仿宋_GB2312" w:hAnsi="宋体" w:eastAsia="仿宋_GB2312"/>
          <w:sz w:val="24"/>
        </w:rPr>
        <w:t>技术和服务方案</w:t>
      </w:r>
      <w:r>
        <w:rPr>
          <w:rFonts w:hint="eastAsia" w:ascii="仿宋_GB2312" w:eastAsia="仿宋_GB2312"/>
          <w:sz w:val="24"/>
        </w:rPr>
        <w:t>、投标人的资质和业绩情况等方面进行综合评审，对实质上响应招标文件的投标人，由各评委独立记名打分</w:t>
      </w:r>
      <w:r>
        <w:rPr>
          <w:rFonts w:hint="eastAsia" w:ascii="仿宋_GB2312" w:hAnsi="宋体" w:eastAsia="仿宋_GB2312"/>
          <w:sz w:val="24"/>
        </w:rPr>
        <w:t>。</w:t>
      </w:r>
      <w:r>
        <w:rPr>
          <w:rFonts w:hint="eastAsia" w:ascii="仿宋_GB2312" w:eastAsia="仿宋_GB2312"/>
          <w:sz w:val="24"/>
        </w:rPr>
        <w:t>经统计，得出各投标人的最终评审分，按最终评审分由高到低顺序排列。得分相同的，按</w:t>
      </w:r>
      <w:r>
        <w:rPr>
          <w:rFonts w:hint="eastAsia" w:ascii="仿宋_GB2312" w:hAnsi="宋体" w:eastAsia="仿宋_GB2312"/>
          <w:sz w:val="24"/>
        </w:rPr>
        <w:t>投标</w:t>
      </w:r>
      <w:r>
        <w:rPr>
          <w:rFonts w:hint="eastAsia" w:ascii="仿宋_GB2312" w:eastAsia="仿宋_GB2312"/>
          <w:sz w:val="24"/>
        </w:rPr>
        <w:t>报价由低到高顺序排列。得分且投标报价相同的，按技术指标优劣顺序排列，并形成评标意见</w:t>
      </w:r>
      <w:r>
        <w:rPr>
          <w:rFonts w:hint="eastAsia" w:ascii="仿宋_GB2312" w:hAnsi="宋体" w:eastAsia="仿宋_GB2312"/>
          <w:sz w:val="24"/>
        </w:rPr>
        <w:t xml:space="preserve">。 </w:t>
      </w:r>
    </w:p>
    <w:p>
      <w:pPr>
        <w:tabs>
          <w:tab w:val="left" w:pos="0"/>
        </w:tabs>
        <w:spacing w:line="460" w:lineRule="exact"/>
        <w:ind w:firstLine="540" w:firstLineChars="225"/>
        <w:rPr>
          <w:rFonts w:hint="eastAsia" w:ascii="仿宋_GB2312" w:eastAsia="仿宋_GB2312"/>
          <w:b/>
          <w:sz w:val="24"/>
        </w:rPr>
      </w:pPr>
      <w:r>
        <w:rPr>
          <w:rFonts w:hint="eastAsia" w:ascii="仿宋_GB2312" w:eastAsia="仿宋_GB2312"/>
          <w:sz w:val="24"/>
        </w:rPr>
        <w:t>各投标人的综合得分为：投标价格得分+技术和服务方案得分+投标人的资质和业绩情况得分之和，</w:t>
      </w:r>
      <w:r>
        <w:rPr>
          <w:rFonts w:hint="eastAsia" w:ascii="仿宋_GB2312" w:eastAsia="仿宋_GB2312"/>
          <w:b/>
          <w:sz w:val="24"/>
        </w:rPr>
        <w:t>总分为</w:t>
      </w:r>
      <w:r>
        <w:rPr>
          <w:rFonts w:hint="eastAsia" w:ascii="仿宋_GB2312" w:eastAsia="仿宋_GB2312"/>
          <w:b/>
          <w:sz w:val="24"/>
          <w:u w:val="single"/>
        </w:rPr>
        <w:t>100</w:t>
      </w:r>
      <w:r>
        <w:rPr>
          <w:rFonts w:hint="eastAsia" w:ascii="仿宋_GB2312" w:eastAsia="仿宋_GB2312"/>
          <w:b/>
          <w:sz w:val="24"/>
        </w:rPr>
        <w:t>分</w:t>
      </w:r>
      <w:r>
        <w:rPr>
          <w:rFonts w:hint="eastAsia" w:ascii="仿宋_GB2312" w:eastAsia="仿宋_GB2312"/>
          <w:sz w:val="24"/>
        </w:rPr>
        <w:t>，其中：投标价格得分</w:t>
      </w:r>
      <w:r>
        <w:rPr>
          <w:rFonts w:hint="eastAsia" w:ascii="仿宋_GB2312" w:eastAsia="仿宋_GB2312"/>
          <w:b/>
          <w:sz w:val="24"/>
          <w:u w:val="single"/>
        </w:rPr>
        <w:t>35</w:t>
      </w:r>
      <w:r>
        <w:rPr>
          <w:rFonts w:hint="eastAsia" w:ascii="仿宋_GB2312" w:eastAsia="仿宋_GB2312"/>
          <w:b/>
          <w:sz w:val="24"/>
        </w:rPr>
        <w:t>分</w:t>
      </w:r>
      <w:r>
        <w:rPr>
          <w:rFonts w:hint="eastAsia" w:ascii="仿宋_GB2312" w:eastAsia="仿宋_GB2312"/>
          <w:sz w:val="24"/>
        </w:rPr>
        <w:t>，技术和服务方案</w:t>
      </w:r>
      <w:r>
        <w:rPr>
          <w:rFonts w:hint="eastAsia" w:ascii="仿宋_GB2312" w:eastAsia="仿宋_GB2312"/>
          <w:b/>
          <w:sz w:val="24"/>
          <w:u w:val="single"/>
        </w:rPr>
        <w:t xml:space="preserve"> 59分</w:t>
      </w:r>
      <w:r>
        <w:rPr>
          <w:rFonts w:hint="eastAsia" w:ascii="仿宋_GB2312" w:eastAsia="仿宋_GB2312"/>
          <w:sz w:val="24"/>
        </w:rPr>
        <w:t>，投标人的资质和业绩情况</w:t>
      </w:r>
      <w:r>
        <w:rPr>
          <w:rFonts w:hint="eastAsia" w:ascii="仿宋_GB2312" w:eastAsia="仿宋_GB2312"/>
          <w:b/>
          <w:sz w:val="24"/>
          <w:u w:val="single"/>
        </w:rPr>
        <w:t>6分</w:t>
      </w:r>
      <w:r>
        <w:rPr>
          <w:rFonts w:hint="eastAsia" w:ascii="仿宋_GB2312" w:eastAsia="仿宋_GB2312"/>
          <w:sz w:val="24"/>
        </w:rPr>
        <w:t>。</w:t>
      </w:r>
      <w:r>
        <w:rPr>
          <w:rFonts w:hint="eastAsia" w:ascii="仿宋_GB2312" w:hAnsi="宋体" w:eastAsia="仿宋_GB2312"/>
          <w:b/>
          <w:sz w:val="24"/>
        </w:rPr>
        <w:t>各投标人总分为：综合得分</w:t>
      </w:r>
      <w:r>
        <w:rPr>
          <w:rFonts w:hint="eastAsia" w:ascii="仿宋_GB2312" w:hAnsi="宋体" w:eastAsia="仿宋_GB2312"/>
          <w:sz w:val="24"/>
        </w:rPr>
        <w:t>-</w:t>
      </w:r>
      <w:r>
        <w:rPr>
          <w:rFonts w:hint="eastAsia" w:ascii="仿宋_GB2312" w:eastAsia="仿宋_GB2312"/>
          <w:b/>
          <w:sz w:val="24"/>
        </w:rPr>
        <w:t>投标人的信誉情况扣分。</w:t>
      </w:r>
    </w:p>
    <w:p>
      <w:pPr>
        <w:tabs>
          <w:tab w:val="left" w:pos="0"/>
        </w:tabs>
        <w:spacing w:line="460" w:lineRule="exact"/>
        <w:ind w:firstLine="542" w:firstLineChars="225"/>
        <w:rPr>
          <w:rFonts w:hint="eastAsia" w:ascii="仿宋_GB2312" w:hAnsi="宋体" w:eastAsia="仿宋_GB2312"/>
          <w:sz w:val="24"/>
        </w:rPr>
      </w:pPr>
      <w:r>
        <w:rPr>
          <w:rFonts w:hint="eastAsia" w:ascii="仿宋_GB2312" w:hAnsi="宋体" w:eastAsia="仿宋_GB2312"/>
          <w:b/>
          <w:sz w:val="24"/>
        </w:rPr>
        <w:t>各投标人的技术和服务方案、投标人的资质和业绩情况</w:t>
      </w:r>
      <w:r>
        <w:rPr>
          <w:rFonts w:hint="eastAsia" w:ascii="仿宋_GB2312" w:eastAsia="仿宋_GB2312"/>
          <w:b/>
          <w:sz w:val="24"/>
        </w:rPr>
        <w:t>（</w:t>
      </w:r>
      <w:r>
        <w:rPr>
          <w:rFonts w:hint="eastAsia" w:ascii="仿宋_GB2312" w:hAnsi="宋体" w:eastAsia="仿宋_GB2312"/>
          <w:b/>
          <w:sz w:val="24"/>
        </w:rPr>
        <w:t>评标委员会独立打分）得分为：评标委员会成员评分的算术平均值。各投标人的投标价格得分按投标价格评分公式计算。</w:t>
      </w:r>
      <w:r>
        <w:rPr>
          <w:rFonts w:hint="eastAsia" w:ascii="仿宋_GB2312" w:hAnsi="宋体" w:eastAsia="仿宋_GB2312"/>
          <w:sz w:val="24"/>
        </w:rPr>
        <w:t>根据上述评标原则，分值安排如下：</w:t>
      </w:r>
    </w:p>
    <w:p>
      <w:pPr>
        <w:spacing w:line="440" w:lineRule="exact"/>
        <w:ind w:firstLine="361" w:firstLineChars="150"/>
        <w:rPr>
          <w:rFonts w:hint="eastAsia" w:ascii="仿宋_GB2312" w:hAnsi="仿宋_GB2312" w:eastAsia="仿宋_GB2312"/>
          <w:b/>
          <w:sz w:val="24"/>
          <w:szCs w:val="24"/>
        </w:rPr>
      </w:pPr>
      <w:r>
        <w:rPr>
          <w:rFonts w:hint="eastAsia" w:ascii="仿宋_GB2312" w:hAnsi="仿宋_GB2312" w:eastAsia="仿宋_GB2312"/>
          <w:b/>
          <w:sz w:val="24"/>
          <w:szCs w:val="24"/>
        </w:rPr>
        <w:t>第一标项：</w:t>
      </w:r>
    </w:p>
    <w:p>
      <w:pPr>
        <w:widowControl w:val="0"/>
        <w:adjustRightInd w:val="0"/>
        <w:snapToGrid w:val="0"/>
        <w:spacing w:line="360" w:lineRule="auto"/>
        <w:ind w:firstLine="482" w:firstLineChars="200"/>
        <w:jc w:val="both"/>
        <w:rPr>
          <w:rFonts w:hint="eastAsia" w:ascii="仿宋_GB2312" w:hAnsi="宋体" w:eastAsia="仿宋_GB2312"/>
          <w:b/>
          <w:sz w:val="24"/>
        </w:rPr>
      </w:pPr>
      <w:r>
        <w:rPr>
          <w:rFonts w:hint="eastAsia" w:ascii="仿宋_GB2312" w:hAnsi="宋体" w:eastAsia="仿宋_GB2312"/>
          <w:b/>
          <w:sz w:val="24"/>
        </w:rPr>
        <w:t>▲投标价格 (35分)：</w:t>
      </w:r>
    </w:p>
    <w:p>
      <w:pPr>
        <w:widowControl w:val="0"/>
        <w:adjustRightInd w:val="0"/>
        <w:snapToGrid w:val="0"/>
        <w:spacing w:line="360" w:lineRule="auto"/>
        <w:ind w:firstLine="480" w:firstLineChars="200"/>
        <w:jc w:val="both"/>
        <w:rPr>
          <w:rFonts w:hint="eastAsia" w:ascii="仿宋_GB2312" w:hAnsi="宋体" w:eastAsia="仿宋_GB2312"/>
          <w:sz w:val="24"/>
        </w:rPr>
      </w:pPr>
      <w:r>
        <w:rPr>
          <w:rFonts w:hint="eastAsia" w:ascii="仿宋_GB2312" w:hAnsi="宋体" w:eastAsia="仿宋_GB2312"/>
          <w:sz w:val="24"/>
        </w:rPr>
        <w:t>投标价格的合理性：分析投标价格是否合理，投标价格范围是否完整，有否重大错漏项，评标委员会认为投标报价出现异常时，有权要求投标人在评标期间对投标报价的详细组成和投标设备的供应渠道等事项作出解释和澄清，并确认其投标报价是否有效。</w:t>
      </w:r>
    </w:p>
    <w:p>
      <w:pPr>
        <w:widowControl w:val="0"/>
        <w:adjustRightInd w:val="0"/>
        <w:snapToGrid w:val="0"/>
        <w:spacing w:line="360" w:lineRule="auto"/>
        <w:ind w:firstLine="480" w:firstLineChars="200"/>
        <w:jc w:val="both"/>
        <w:rPr>
          <w:rFonts w:hint="eastAsia" w:ascii="仿宋_GB2312" w:hAnsi="宋体" w:eastAsia="仿宋_GB2312"/>
          <w:sz w:val="24"/>
        </w:rPr>
      </w:pPr>
      <w:r>
        <w:rPr>
          <w:rFonts w:hint="eastAsia" w:ascii="仿宋_GB2312" w:hAnsi="宋体" w:eastAsia="仿宋_GB2312"/>
          <w:sz w:val="24"/>
        </w:rPr>
        <w:t>投标价格分计算方法：根据各投标人的有效投标报价，以满足招标文件要求且投标价格最低的投标报价为评标基准价，其价格分为35分。其他投标人的价格分统一按照下列公式计算：投标报价得分=(评标基准价／投标报价)×价格权值×100（精确到小数点后二位，由采购机构当场统一计算）。</w:t>
      </w:r>
    </w:p>
    <w:p>
      <w:pPr>
        <w:widowControl w:val="0"/>
        <w:adjustRightInd w:val="0"/>
        <w:snapToGrid w:val="0"/>
        <w:spacing w:line="360" w:lineRule="auto"/>
        <w:ind w:firstLine="482" w:firstLineChars="200"/>
        <w:jc w:val="both"/>
        <w:rPr>
          <w:rFonts w:hint="eastAsia" w:ascii="仿宋_GB2312" w:hAnsi="宋体" w:eastAsia="仿宋_GB2312"/>
          <w:b/>
          <w:sz w:val="24"/>
        </w:rPr>
      </w:pPr>
      <w:r>
        <w:rPr>
          <w:rFonts w:hint="eastAsia" w:ascii="仿宋_GB2312" w:hAnsi="宋体" w:eastAsia="仿宋_GB2312"/>
          <w:b/>
          <w:sz w:val="24"/>
        </w:rPr>
        <w:t>▲技术和服务方案 (59分)：</w:t>
      </w:r>
    </w:p>
    <w:p>
      <w:pPr>
        <w:widowControl w:val="0"/>
        <w:adjustRightInd w:val="0"/>
        <w:snapToGrid w:val="0"/>
        <w:spacing w:line="360" w:lineRule="auto"/>
        <w:ind w:firstLine="480" w:firstLineChars="200"/>
        <w:jc w:val="both"/>
        <w:rPr>
          <w:rFonts w:hint="eastAsia" w:ascii="仿宋_GB2312" w:hAnsi="宋体" w:eastAsia="仿宋_GB2312"/>
          <w:sz w:val="24"/>
        </w:rPr>
      </w:pPr>
      <w:r>
        <w:rPr>
          <w:rFonts w:hint="eastAsia" w:ascii="仿宋_GB2312" w:hAnsi="宋体" w:eastAsia="仿宋_GB2312"/>
          <w:sz w:val="24"/>
        </w:rPr>
        <w:t>主要包含方案的先进性、科学性和完整性，方案与需求的吻合程度，提供的售后服务方案、维护人员和机构服务优劣程度以及承诺和优惠等方面的因素。</w:t>
      </w:r>
    </w:p>
    <w:p>
      <w:pPr>
        <w:widowControl w:val="0"/>
        <w:adjustRightInd w:val="0"/>
        <w:snapToGrid w:val="0"/>
        <w:spacing w:line="360" w:lineRule="auto"/>
        <w:ind w:firstLine="480" w:firstLineChars="200"/>
        <w:jc w:val="both"/>
        <w:rPr>
          <w:rFonts w:hint="eastAsia" w:ascii="仿宋_GB2312" w:hAnsi="宋体" w:eastAsia="仿宋_GB2312"/>
          <w:sz w:val="24"/>
        </w:rPr>
      </w:pPr>
      <w:r>
        <w:rPr>
          <w:rFonts w:hint="eastAsia" w:ascii="仿宋_GB2312" w:hAnsi="宋体" w:eastAsia="仿宋_GB2312"/>
          <w:sz w:val="24"/>
        </w:rPr>
        <w:t>评审要点为：</w:t>
      </w:r>
    </w:p>
    <w:p>
      <w:pPr>
        <w:widowControl w:val="0"/>
        <w:adjustRightInd w:val="0"/>
        <w:snapToGrid w:val="0"/>
        <w:spacing w:line="360" w:lineRule="auto"/>
        <w:ind w:firstLine="482" w:firstLineChars="200"/>
        <w:jc w:val="both"/>
        <w:rPr>
          <w:rFonts w:hint="eastAsia" w:ascii="仿宋_GB2312" w:hAnsi="宋体" w:eastAsia="仿宋_GB2312"/>
          <w:b/>
          <w:sz w:val="24"/>
        </w:rPr>
      </w:pPr>
      <w:r>
        <w:rPr>
          <w:rFonts w:hint="eastAsia" w:ascii="仿宋_GB2312" w:hAnsi="宋体" w:eastAsia="仿宋_GB2312"/>
          <w:b/>
          <w:sz w:val="24"/>
        </w:rPr>
        <w:t>（1）投标方案的科学性和完整性（8分）：</w:t>
      </w:r>
    </w:p>
    <w:p>
      <w:pPr>
        <w:widowControl w:val="0"/>
        <w:adjustRightInd w:val="0"/>
        <w:snapToGrid w:val="0"/>
        <w:spacing w:line="360" w:lineRule="auto"/>
        <w:ind w:firstLine="480" w:firstLineChars="200"/>
        <w:jc w:val="both"/>
        <w:rPr>
          <w:rFonts w:hint="eastAsia" w:ascii="仿宋_GB2312" w:hAnsi="宋体" w:eastAsia="仿宋_GB2312"/>
          <w:sz w:val="24"/>
        </w:rPr>
      </w:pPr>
      <w:r>
        <w:rPr>
          <w:rFonts w:hint="eastAsia" w:ascii="仿宋_GB2312" w:hAnsi="宋体" w:eastAsia="仿宋_GB2312"/>
          <w:sz w:val="24"/>
        </w:rPr>
        <w:t>● 投标方案总体设计、建设方案和产品选型等，详细阐述系统的体系架构、功能模块、实现思路和关键技术，提出具体可行的实施方案（3分）；</w:t>
      </w:r>
    </w:p>
    <w:p>
      <w:pPr>
        <w:widowControl w:val="0"/>
        <w:adjustRightInd w:val="0"/>
        <w:snapToGrid w:val="0"/>
        <w:spacing w:line="360" w:lineRule="auto"/>
        <w:ind w:firstLine="480" w:firstLineChars="200"/>
        <w:jc w:val="both"/>
        <w:rPr>
          <w:rFonts w:hint="eastAsia" w:ascii="仿宋_GB2312" w:hAnsi="宋体" w:eastAsia="仿宋_GB2312"/>
          <w:sz w:val="24"/>
        </w:rPr>
      </w:pPr>
      <w:r>
        <w:rPr>
          <w:rFonts w:hint="eastAsia" w:ascii="仿宋_GB2312" w:hAnsi="宋体" w:eastAsia="仿宋_GB2312"/>
          <w:sz w:val="24"/>
        </w:rPr>
        <w:t>● 投标方案与需求的吻合程度，包括方案的科学性、先进性、可行性和扩展性；方案是否科学合理、安全严密、具有一定的前瞻性，是否有独到的优势（3分）；</w:t>
      </w:r>
    </w:p>
    <w:p>
      <w:pPr>
        <w:widowControl w:val="0"/>
        <w:adjustRightInd w:val="0"/>
        <w:snapToGrid w:val="0"/>
        <w:spacing w:line="360" w:lineRule="auto"/>
        <w:ind w:firstLine="480" w:firstLineChars="200"/>
        <w:jc w:val="both"/>
        <w:rPr>
          <w:rFonts w:hint="eastAsia" w:ascii="仿宋_GB2312" w:hAnsi="宋体" w:eastAsia="仿宋_GB2312"/>
          <w:sz w:val="24"/>
        </w:rPr>
      </w:pPr>
      <w:r>
        <w:rPr>
          <w:rFonts w:hint="eastAsia" w:ascii="仿宋_GB2312" w:hAnsi="宋体" w:eastAsia="仿宋_GB2312"/>
          <w:sz w:val="24"/>
        </w:rPr>
        <w:t>● 项目建设思路、原则、特点、技术要求的理解情况，投标人对现有标准规范体系的了解情况；投标技术方案内容对点应答是否详尽、明晰，是否满足采购文件要求，系统的应急方案设计是否合理，是否充分考虑用户实际使用需求（2分）。</w:t>
      </w:r>
    </w:p>
    <w:p>
      <w:pPr>
        <w:widowControl w:val="0"/>
        <w:adjustRightInd w:val="0"/>
        <w:snapToGrid w:val="0"/>
        <w:spacing w:line="360" w:lineRule="auto"/>
        <w:ind w:firstLine="482" w:firstLineChars="200"/>
        <w:jc w:val="both"/>
        <w:rPr>
          <w:rFonts w:hint="eastAsia" w:ascii="仿宋_GB2312" w:hAnsi="宋体" w:eastAsia="仿宋_GB2312"/>
          <w:b/>
          <w:sz w:val="24"/>
        </w:rPr>
      </w:pPr>
      <w:r>
        <w:rPr>
          <w:rFonts w:hint="eastAsia" w:ascii="仿宋_GB2312" w:hAnsi="宋体" w:eastAsia="仿宋_GB2312"/>
          <w:b/>
          <w:sz w:val="24"/>
        </w:rPr>
        <w:t>（2）投标产品的性能与需求的吻合程度（13分）：</w:t>
      </w:r>
    </w:p>
    <w:p>
      <w:pPr>
        <w:widowControl w:val="0"/>
        <w:adjustRightInd w:val="0"/>
        <w:snapToGrid w:val="0"/>
        <w:spacing w:line="360" w:lineRule="auto"/>
        <w:ind w:firstLine="480" w:firstLineChars="200"/>
        <w:jc w:val="both"/>
        <w:rPr>
          <w:rFonts w:hint="eastAsia" w:ascii="仿宋_GB2312" w:hAnsi="宋体" w:eastAsia="仿宋_GB2312"/>
          <w:sz w:val="24"/>
        </w:rPr>
      </w:pPr>
      <w:r>
        <w:rPr>
          <w:rFonts w:hint="eastAsia" w:ascii="仿宋_GB2312" w:hAnsi="宋体" w:eastAsia="仿宋_GB2312"/>
          <w:sz w:val="24"/>
        </w:rPr>
        <w:t>● 投标产品的基本功能、技术指标与需求的吻合程度和偏差情况（包括所投标产品的品牌、规格型号、详细配置、主要技术参数、随机软件等），是否能够满足投标文件要求，是否体现一定先进性、可靠性、成熟性、易维护性、可扩展性等。技术指标负偏离每一项扣减2分，扣完为止（8分）；</w:t>
      </w:r>
    </w:p>
    <w:p>
      <w:pPr>
        <w:widowControl w:val="0"/>
        <w:adjustRightInd w:val="0"/>
        <w:snapToGrid w:val="0"/>
        <w:spacing w:line="360" w:lineRule="auto"/>
        <w:ind w:firstLine="480" w:firstLineChars="200"/>
        <w:jc w:val="both"/>
        <w:rPr>
          <w:rFonts w:hint="eastAsia" w:ascii="仿宋_GB2312" w:hAnsi="宋体" w:eastAsia="仿宋_GB2312"/>
          <w:sz w:val="24"/>
        </w:rPr>
      </w:pPr>
      <w:r>
        <w:rPr>
          <w:rFonts w:hint="eastAsia" w:ascii="仿宋_GB2312" w:hAnsi="宋体" w:eastAsia="仿宋_GB2312"/>
          <w:sz w:val="24"/>
        </w:rPr>
        <w:t>● 投标产品是否能满足本系统运行的需求，其技术方案对产品、系统功能及其技术要点是否有完整和全面的响应和说明，以及产品的技术水平、应用程度、系统结构和产品实际布局设计的先进性、科学性和合理性等，在同类产品中是否具有优势（2分）；</w:t>
      </w:r>
    </w:p>
    <w:p>
      <w:pPr>
        <w:widowControl w:val="0"/>
        <w:adjustRightInd w:val="0"/>
        <w:snapToGrid w:val="0"/>
        <w:spacing w:line="360" w:lineRule="auto"/>
        <w:ind w:firstLine="480" w:firstLineChars="200"/>
        <w:jc w:val="both"/>
        <w:rPr>
          <w:rFonts w:hint="eastAsia" w:ascii="仿宋_GB2312" w:hAnsi="宋体" w:eastAsia="仿宋_GB2312"/>
          <w:sz w:val="24"/>
        </w:rPr>
      </w:pPr>
      <w:r>
        <w:rPr>
          <w:rFonts w:hint="eastAsia" w:ascii="仿宋_GB2312" w:hAnsi="宋体" w:eastAsia="仿宋_GB2312"/>
          <w:sz w:val="24"/>
        </w:rPr>
        <w:t>● 投标产品的兼容性、可靠性，结合投标产品的知名度、销售量、市场占有率、使用现况和用户反馈情况，功能是否达到采购人的实际需求，参考投标产品的供货合同、验收报告及中标通知书等；投标产品是否列入“节能产品政府采购清单”、具有环境标志认证产品等情况（3分）。</w:t>
      </w:r>
    </w:p>
    <w:p>
      <w:pPr>
        <w:widowControl w:val="0"/>
        <w:adjustRightInd w:val="0"/>
        <w:snapToGrid w:val="0"/>
        <w:spacing w:line="360" w:lineRule="auto"/>
        <w:ind w:firstLine="482" w:firstLineChars="200"/>
        <w:jc w:val="both"/>
        <w:rPr>
          <w:rFonts w:hint="eastAsia" w:ascii="仿宋_GB2312" w:hAnsi="宋体" w:eastAsia="仿宋_GB2312"/>
          <w:b/>
          <w:sz w:val="24"/>
        </w:rPr>
      </w:pPr>
      <w:r>
        <w:rPr>
          <w:rFonts w:hint="eastAsia" w:ascii="仿宋_GB2312" w:hAnsi="宋体" w:eastAsia="仿宋_GB2312"/>
          <w:b/>
          <w:sz w:val="24"/>
        </w:rPr>
        <w:t>（3）投标设备现场演示、方案现场讲解和项目功能的实现情况（8分）：</w:t>
      </w:r>
    </w:p>
    <w:p>
      <w:pPr>
        <w:widowControl w:val="0"/>
        <w:adjustRightInd w:val="0"/>
        <w:snapToGrid w:val="0"/>
        <w:spacing w:line="360" w:lineRule="auto"/>
        <w:ind w:firstLine="480" w:firstLineChars="200"/>
        <w:jc w:val="both"/>
        <w:rPr>
          <w:rFonts w:hint="eastAsia" w:ascii="仿宋_GB2312" w:hAnsi="宋体" w:eastAsia="仿宋_GB2312"/>
          <w:sz w:val="24"/>
        </w:rPr>
      </w:pPr>
      <w:r>
        <w:rPr>
          <w:rFonts w:hint="eastAsia" w:ascii="仿宋_GB2312" w:hAnsi="宋体" w:eastAsia="仿宋_GB2312"/>
          <w:sz w:val="24"/>
        </w:rPr>
        <w:t>● 投标人对应用系统整体架构，主要组成部分介绍、系统主要功能特性的实现等方面因素，与项目需求的吻合程度以及偏差情况等。结合设备现场演示、方案现场讲解情况，主要包括：</w:t>
      </w:r>
    </w:p>
    <w:p>
      <w:pPr>
        <w:widowControl w:val="0"/>
        <w:spacing w:line="360" w:lineRule="auto"/>
        <w:ind w:firstLine="480" w:firstLineChars="200"/>
        <w:jc w:val="both"/>
        <w:rPr>
          <w:rFonts w:hint="eastAsia" w:ascii="仿宋_GB2312" w:hAnsi="仿宋" w:eastAsia="仿宋_GB2312"/>
          <w:sz w:val="24"/>
          <w:szCs w:val="24"/>
        </w:rPr>
      </w:pPr>
      <w:r>
        <w:rPr>
          <w:rFonts w:hint="eastAsia" w:ascii="仿宋_GB2312" w:hAnsi="仿宋" w:eastAsia="仿宋_GB2312"/>
          <w:sz w:val="24"/>
          <w:szCs w:val="24"/>
        </w:rPr>
        <w:t>1、用户权限控制：方案要支持给各个岗位配置功能模块权限，多岗位老师可以通过切换岗位获取功能权限（1分）；</w:t>
      </w:r>
    </w:p>
    <w:p>
      <w:pPr>
        <w:widowControl w:val="0"/>
        <w:spacing w:line="360" w:lineRule="auto"/>
        <w:ind w:firstLine="480" w:firstLineChars="200"/>
        <w:jc w:val="both"/>
        <w:rPr>
          <w:rFonts w:hint="eastAsia" w:ascii="仿宋_GB2312" w:hAnsi="仿宋" w:eastAsia="仿宋_GB2312"/>
          <w:sz w:val="24"/>
          <w:szCs w:val="24"/>
        </w:rPr>
      </w:pPr>
      <w:r>
        <w:rPr>
          <w:rFonts w:hint="eastAsia" w:ascii="仿宋_GB2312" w:hAnsi="仿宋" w:eastAsia="仿宋_GB2312"/>
          <w:sz w:val="24"/>
          <w:szCs w:val="24"/>
        </w:rPr>
        <w:t>2、宿舍考勤报表演示：住校生床位要能够支持设置周几住校，住校开始时间和结束时间设置，以支持周末长期留宿人员的管理（2分）；</w:t>
      </w:r>
    </w:p>
    <w:p>
      <w:pPr>
        <w:widowControl w:val="0"/>
        <w:spacing w:line="360" w:lineRule="auto"/>
        <w:ind w:firstLine="480" w:firstLineChars="200"/>
        <w:jc w:val="both"/>
        <w:rPr>
          <w:rFonts w:hint="eastAsia" w:ascii="仿宋_GB2312" w:hAnsi="仿宋" w:eastAsia="仿宋_GB2312"/>
          <w:sz w:val="24"/>
          <w:szCs w:val="24"/>
        </w:rPr>
      </w:pPr>
      <w:r>
        <w:rPr>
          <w:rFonts w:hint="eastAsia" w:ascii="仿宋_GB2312" w:hAnsi="仿宋" w:eastAsia="仿宋_GB2312"/>
          <w:sz w:val="24"/>
          <w:szCs w:val="24"/>
        </w:rPr>
        <w:t>3、宿舍考勤报表演示：住校生考勤应用方案要具备临时通校、临时留宿功能，临时通校和临时留宿的学生会与学校考勤关联，在考勤报表中体现，也能在住校生查询里面查看到（2分）；</w:t>
      </w:r>
    </w:p>
    <w:p>
      <w:pPr>
        <w:widowControl w:val="0"/>
        <w:spacing w:line="360" w:lineRule="auto"/>
        <w:ind w:firstLine="480" w:firstLineChars="200"/>
        <w:jc w:val="both"/>
        <w:rPr>
          <w:rFonts w:hint="eastAsia" w:ascii="仿宋_GB2312" w:hAnsi="仿宋" w:eastAsia="仿宋_GB2312"/>
          <w:sz w:val="24"/>
          <w:szCs w:val="24"/>
        </w:rPr>
      </w:pPr>
      <w:r>
        <w:rPr>
          <w:rFonts w:hint="eastAsia" w:ascii="仿宋_GB2312" w:hAnsi="仿宋" w:eastAsia="仿宋_GB2312"/>
          <w:sz w:val="24"/>
          <w:szCs w:val="24"/>
        </w:rPr>
        <w:t>4、宿舍考勤报表演示：住校生考勤应用方案要支持住校生查询功能，可以查询每天的应住校人数、通校和临时留宿人数（2分）；</w:t>
      </w:r>
    </w:p>
    <w:p>
      <w:pPr>
        <w:widowControl w:val="0"/>
        <w:spacing w:line="360" w:lineRule="auto"/>
        <w:ind w:firstLine="480" w:firstLineChars="200"/>
        <w:jc w:val="both"/>
        <w:rPr>
          <w:rFonts w:hint="eastAsia" w:ascii="仿宋_GB2312" w:hAnsi="宋体" w:eastAsia="仿宋_GB2312" w:cs="宋体"/>
          <w:sz w:val="24"/>
          <w:szCs w:val="24"/>
        </w:rPr>
      </w:pPr>
      <w:r>
        <w:rPr>
          <w:rFonts w:hint="eastAsia" w:ascii="仿宋_GB2312" w:hAnsi="仿宋" w:eastAsia="仿宋_GB2312"/>
          <w:sz w:val="24"/>
          <w:szCs w:val="24"/>
        </w:rPr>
        <w:t>5、宿舍考勤报表演示：住校生考勤报表要支持按宿舍查询和按班级查询两种报表查询方式，按宿舍查询要支持平面图报表和统计报表两种报表查询方式（1分）。</w:t>
      </w:r>
    </w:p>
    <w:p>
      <w:pPr>
        <w:widowControl w:val="0"/>
        <w:ind w:firstLine="482" w:firstLineChars="200"/>
        <w:jc w:val="both"/>
        <w:rPr>
          <w:rFonts w:hint="eastAsia" w:ascii="仿宋_GB2312" w:hAnsi="宋体" w:eastAsia="仿宋_GB2312"/>
          <w:b/>
          <w:sz w:val="24"/>
        </w:rPr>
      </w:pPr>
      <w:r>
        <w:rPr>
          <w:rFonts w:hint="eastAsia" w:ascii="仿宋_GB2312" w:hAnsi="宋体" w:eastAsia="仿宋_GB2312"/>
          <w:b/>
          <w:sz w:val="24"/>
        </w:rPr>
        <w:t>（4）关键技术解决能力和资源整合利用的能力（9分）：</w:t>
      </w:r>
    </w:p>
    <w:p>
      <w:pPr>
        <w:widowControl w:val="0"/>
        <w:adjustRightInd w:val="0"/>
        <w:snapToGrid w:val="0"/>
        <w:spacing w:line="360" w:lineRule="auto"/>
        <w:ind w:firstLine="480" w:firstLineChars="200"/>
        <w:jc w:val="both"/>
        <w:rPr>
          <w:rFonts w:hint="eastAsia" w:ascii="仿宋_GB2312" w:hAnsi="宋体" w:eastAsia="仿宋_GB2312"/>
          <w:sz w:val="24"/>
        </w:rPr>
      </w:pPr>
      <w:r>
        <w:rPr>
          <w:rFonts w:hint="eastAsia" w:ascii="仿宋_GB2312" w:hAnsi="宋体" w:eastAsia="仿宋_GB2312"/>
          <w:sz w:val="24"/>
        </w:rPr>
        <w:t>● 投标方案设计中的关键技术解决能力，以及投标人根据自身经验对系统需求进行优化设计的情况；投标人对本次项目的技术难点分析、风险分析和解决难题、规避风险措施的合理性和可操作性（3分）；</w:t>
      </w:r>
    </w:p>
    <w:p>
      <w:pPr>
        <w:widowControl w:val="0"/>
        <w:adjustRightInd w:val="0"/>
        <w:snapToGrid w:val="0"/>
        <w:spacing w:line="360" w:lineRule="auto"/>
        <w:ind w:firstLine="480" w:firstLineChars="200"/>
        <w:jc w:val="both"/>
        <w:rPr>
          <w:rFonts w:hint="eastAsia" w:ascii="仿宋_GB2312" w:hAnsi="宋体" w:eastAsia="仿宋_GB2312"/>
          <w:sz w:val="24"/>
        </w:rPr>
      </w:pPr>
      <w:r>
        <w:rPr>
          <w:rFonts w:hint="eastAsia" w:ascii="仿宋_GB2312" w:hAnsi="宋体" w:eastAsia="仿宋_GB2312"/>
          <w:sz w:val="24"/>
        </w:rPr>
        <w:t>●　投标方案是否提出合理可操作的各相关系统之间的衔接及整合方案，特别是对本项目的建设与现有系统以及其它各相关信息系统之间的衔接，是否有安全、稳定、成熟可行的方案（3分）；</w:t>
      </w:r>
    </w:p>
    <w:p>
      <w:pPr>
        <w:widowControl w:val="0"/>
        <w:adjustRightInd w:val="0"/>
        <w:snapToGrid w:val="0"/>
        <w:spacing w:line="360" w:lineRule="auto"/>
        <w:ind w:firstLine="480" w:firstLineChars="200"/>
        <w:jc w:val="both"/>
        <w:rPr>
          <w:rFonts w:hint="eastAsia" w:ascii="仿宋_GB2312" w:hAnsi="宋体" w:eastAsia="仿宋_GB2312"/>
          <w:sz w:val="24"/>
        </w:rPr>
      </w:pPr>
      <w:r>
        <w:rPr>
          <w:rFonts w:hint="eastAsia" w:ascii="仿宋_GB2312" w:hAnsi="宋体" w:eastAsia="仿宋_GB2312"/>
          <w:sz w:val="24"/>
        </w:rPr>
        <w:t xml:space="preserve">●　考虑系统的扩展和延伸能力，以及承诺与其他软件、硬件产品供应商的合作等情况（3分）； </w:t>
      </w:r>
    </w:p>
    <w:p>
      <w:pPr>
        <w:widowControl w:val="0"/>
        <w:adjustRightInd w:val="0"/>
        <w:snapToGrid w:val="0"/>
        <w:spacing w:line="360" w:lineRule="auto"/>
        <w:ind w:firstLine="482" w:firstLineChars="200"/>
        <w:jc w:val="both"/>
        <w:rPr>
          <w:rFonts w:hint="eastAsia" w:ascii="仿宋_GB2312" w:hAnsi="宋体" w:eastAsia="仿宋_GB2312"/>
          <w:sz w:val="24"/>
        </w:rPr>
      </w:pPr>
      <w:r>
        <w:rPr>
          <w:rFonts w:hint="eastAsia" w:ascii="仿宋_GB2312" w:hAnsi="宋体" w:eastAsia="仿宋_GB2312"/>
          <w:b/>
          <w:sz w:val="24"/>
        </w:rPr>
        <w:t>（5）组织实施方案（2分）：</w:t>
      </w:r>
      <w:r>
        <w:rPr>
          <w:rFonts w:hint="eastAsia" w:ascii="仿宋_GB2312" w:hAnsi="宋体" w:eastAsia="仿宋_GB2312"/>
          <w:sz w:val="24"/>
        </w:rPr>
        <w:t xml:space="preserve">投标人组织实施方案的科学性、合理性、规范性和可操作性，包括系统集成、产品供货、验货、安装调试、试运行、测试、调优、系统管理培训、系统运行维护培训等内容，以及组织机构、工作时间进度表、工作程序和步骤、管理和协调方法、关键步骤的思路和要点等。 </w:t>
      </w:r>
    </w:p>
    <w:p>
      <w:pPr>
        <w:widowControl w:val="0"/>
        <w:adjustRightInd w:val="0"/>
        <w:snapToGrid w:val="0"/>
        <w:spacing w:line="360" w:lineRule="auto"/>
        <w:ind w:firstLine="482" w:firstLineChars="200"/>
        <w:jc w:val="both"/>
        <w:rPr>
          <w:rFonts w:hint="eastAsia" w:ascii="仿宋_GB2312" w:hAnsi="宋体" w:eastAsia="仿宋_GB2312"/>
          <w:b/>
          <w:sz w:val="24"/>
        </w:rPr>
      </w:pPr>
      <w:r>
        <w:rPr>
          <w:rFonts w:hint="eastAsia" w:ascii="仿宋_GB2312" w:hAnsi="宋体" w:eastAsia="仿宋_GB2312"/>
          <w:b/>
          <w:sz w:val="24"/>
        </w:rPr>
        <w:t>（6）售后服务方案情况（9分）：</w:t>
      </w:r>
    </w:p>
    <w:p>
      <w:pPr>
        <w:widowControl w:val="0"/>
        <w:adjustRightInd w:val="0"/>
        <w:snapToGrid w:val="0"/>
        <w:spacing w:line="360" w:lineRule="auto"/>
        <w:ind w:firstLine="480" w:firstLineChars="200"/>
        <w:jc w:val="both"/>
        <w:rPr>
          <w:rFonts w:hint="eastAsia" w:ascii="仿宋_GB2312" w:hAnsi="宋体" w:eastAsia="仿宋_GB2312"/>
          <w:sz w:val="24"/>
        </w:rPr>
      </w:pPr>
      <w:r>
        <w:rPr>
          <w:rFonts w:hint="eastAsia" w:ascii="仿宋_GB2312" w:hAnsi="宋体" w:eastAsia="仿宋_GB2312"/>
          <w:sz w:val="24"/>
        </w:rPr>
        <w:t>● 投标人提供的售后维护机构和人员等情况，是否具有较强的售后服务能力以及较强的专业技术队伍，能提供快速的售后服务响应（3分）；</w:t>
      </w:r>
    </w:p>
    <w:p>
      <w:pPr>
        <w:widowControl w:val="0"/>
        <w:adjustRightInd w:val="0"/>
        <w:snapToGrid w:val="0"/>
        <w:spacing w:line="360" w:lineRule="auto"/>
        <w:ind w:firstLine="480" w:firstLineChars="200"/>
        <w:jc w:val="both"/>
        <w:rPr>
          <w:rFonts w:hint="eastAsia" w:ascii="仿宋_GB2312" w:hAnsi="宋体" w:eastAsia="仿宋_GB2312"/>
          <w:sz w:val="24"/>
        </w:rPr>
      </w:pPr>
      <w:r>
        <w:rPr>
          <w:rFonts w:hint="eastAsia" w:ascii="仿宋_GB2312" w:hAnsi="宋体" w:eastAsia="仿宋_GB2312"/>
          <w:sz w:val="24"/>
        </w:rPr>
        <w:t>● 投标人提供的售后服务方案、维护人员和机构等情况，是否具备400或800售后服务热线，服务承诺的可行性、完整性以及服务承诺落实的保障措施，质保期内外的后续技术支持和维护能力情况等；投标设备的配件、附件、备品备件的准备和保障措施情况，其它有关资料和材料的完整性、合理性和可操作性等情况（3分）；</w:t>
      </w:r>
    </w:p>
    <w:p>
      <w:pPr>
        <w:widowControl w:val="0"/>
        <w:adjustRightInd w:val="0"/>
        <w:snapToGrid w:val="0"/>
        <w:spacing w:line="360" w:lineRule="auto"/>
        <w:ind w:firstLine="480" w:firstLineChars="200"/>
        <w:jc w:val="both"/>
        <w:rPr>
          <w:rFonts w:hint="eastAsia" w:ascii="仿宋_GB2312" w:hAnsi="宋体" w:eastAsia="仿宋_GB2312"/>
          <w:sz w:val="24"/>
        </w:rPr>
      </w:pPr>
      <w:r>
        <w:rPr>
          <w:rFonts w:hint="eastAsia" w:ascii="仿宋_GB2312" w:hAnsi="宋体" w:eastAsia="仿宋_GB2312"/>
          <w:sz w:val="24"/>
        </w:rPr>
        <w:t>●投标人</w:t>
      </w:r>
      <w:r>
        <w:rPr>
          <w:rFonts w:ascii="仿宋_GB2312" w:hAnsi="宋体" w:eastAsia="仿宋_GB2312"/>
          <w:sz w:val="24"/>
        </w:rPr>
        <w:t>需提供监控设备</w:t>
      </w:r>
      <w:r>
        <w:rPr>
          <w:rFonts w:hint="eastAsia" w:ascii="仿宋_GB2312" w:hAnsi="宋体" w:eastAsia="仿宋_GB2312"/>
          <w:sz w:val="24"/>
        </w:rPr>
        <w:t>、</w:t>
      </w:r>
      <w:r>
        <w:rPr>
          <w:rFonts w:ascii="仿宋_GB2312" w:hAnsi="宋体" w:eastAsia="仿宋_GB2312"/>
          <w:sz w:val="24"/>
        </w:rPr>
        <w:t>防撞升降柱设备</w:t>
      </w:r>
      <w:r>
        <w:rPr>
          <w:rFonts w:hint="eastAsia" w:ascii="仿宋_GB2312" w:hAnsi="宋体" w:eastAsia="仿宋_GB2312"/>
          <w:sz w:val="24"/>
        </w:rPr>
        <w:t>、</w:t>
      </w:r>
      <w:r>
        <w:rPr>
          <w:rFonts w:ascii="仿宋_GB2312" w:hAnsi="宋体" w:eastAsia="仿宋_GB2312"/>
          <w:sz w:val="24"/>
        </w:rPr>
        <w:t>电子班牌设备</w:t>
      </w:r>
      <w:r>
        <w:rPr>
          <w:rFonts w:hint="eastAsia" w:ascii="仿宋_GB2312" w:hAnsi="宋体" w:eastAsia="仿宋_GB2312"/>
          <w:sz w:val="24"/>
        </w:rPr>
        <w:t>、</w:t>
      </w:r>
      <w:r>
        <w:rPr>
          <w:rFonts w:ascii="仿宋_GB2312" w:hAnsi="宋体" w:eastAsia="仿宋_GB2312"/>
          <w:sz w:val="24"/>
        </w:rPr>
        <w:t>计算机网络设备针对该项目的原厂质保函</w:t>
      </w:r>
      <w:r>
        <w:rPr>
          <w:rFonts w:hint="eastAsia" w:ascii="仿宋_GB2312" w:hAnsi="宋体" w:eastAsia="仿宋_GB2312"/>
          <w:sz w:val="24"/>
        </w:rPr>
        <w:t xml:space="preserve">，每缺少一样扣1分，扣完为止，未提供或提供的质保期限及服务承诺不符合要求此项不得分（3分）。 </w:t>
      </w:r>
    </w:p>
    <w:p>
      <w:pPr>
        <w:widowControl w:val="0"/>
        <w:adjustRightInd w:val="0"/>
        <w:snapToGrid w:val="0"/>
        <w:spacing w:line="360" w:lineRule="auto"/>
        <w:ind w:firstLine="482" w:firstLineChars="200"/>
        <w:jc w:val="both"/>
        <w:rPr>
          <w:rFonts w:hint="eastAsia" w:ascii="仿宋_GB2312" w:hAnsi="宋体" w:eastAsia="仿宋_GB2312"/>
          <w:b/>
          <w:sz w:val="24"/>
        </w:rPr>
      </w:pPr>
      <w:r>
        <w:rPr>
          <w:rFonts w:hint="eastAsia" w:ascii="仿宋_GB2312" w:hAnsi="宋体" w:eastAsia="仿宋_GB2312"/>
          <w:b/>
          <w:sz w:val="24"/>
        </w:rPr>
        <w:t>（7）项目组人员素质情况（4分）：</w:t>
      </w:r>
    </w:p>
    <w:p>
      <w:pPr>
        <w:widowControl w:val="0"/>
        <w:adjustRightInd w:val="0"/>
        <w:snapToGrid w:val="0"/>
        <w:spacing w:line="360" w:lineRule="auto"/>
        <w:ind w:firstLine="480" w:firstLineChars="200"/>
        <w:jc w:val="both"/>
        <w:rPr>
          <w:rFonts w:hint="eastAsia" w:ascii="仿宋_GB2312" w:hAnsi="宋体" w:eastAsia="仿宋_GB2312"/>
          <w:sz w:val="24"/>
        </w:rPr>
      </w:pPr>
      <w:r>
        <w:rPr>
          <w:rFonts w:hint="eastAsia" w:ascii="仿宋_GB2312" w:hAnsi="宋体" w:eastAsia="仿宋_GB2312"/>
          <w:sz w:val="24"/>
        </w:rPr>
        <w:t>● 是否具有完备的管理组织、项目实施规范和管理制度等，并能有效实施；拟投入本项目的管理与作业人员总数、作业设备、软件和系统集成的综合水平情况（2分）；</w:t>
      </w:r>
    </w:p>
    <w:p>
      <w:pPr>
        <w:widowControl w:val="0"/>
        <w:adjustRightInd w:val="0"/>
        <w:snapToGrid w:val="0"/>
        <w:spacing w:line="360" w:lineRule="auto"/>
        <w:ind w:firstLine="480" w:firstLineChars="200"/>
        <w:jc w:val="both"/>
        <w:rPr>
          <w:rFonts w:hint="eastAsia" w:ascii="仿宋_GB2312" w:hAnsi="宋体" w:eastAsia="仿宋_GB2312"/>
          <w:sz w:val="24"/>
        </w:rPr>
      </w:pPr>
      <w:r>
        <w:rPr>
          <w:rFonts w:hint="eastAsia" w:ascii="仿宋_GB2312" w:hAnsi="宋体" w:eastAsia="仿宋_GB2312"/>
          <w:sz w:val="24"/>
        </w:rPr>
        <w:t>● 拟担任本项目经理、技术负责人和项目组实施人员的专业素质、技术能力、经验等情况，数量是否充足，配置是否合理等，是否具有同类项目建设经验，项目经理是否具有调动投标人各项资源能力，确保100%到位所采取的措施情况；项目经理和技术负责人的资质、工作履历、工程实践证明资料等情况（参考履历表和相关资料、证书等）（2分）。</w:t>
      </w:r>
    </w:p>
    <w:p>
      <w:pPr>
        <w:widowControl w:val="0"/>
        <w:adjustRightInd w:val="0"/>
        <w:snapToGrid w:val="0"/>
        <w:spacing w:line="360" w:lineRule="auto"/>
        <w:ind w:firstLine="482" w:firstLineChars="200"/>
        <w:jc w:val="both"/>
        <w:rPr>
          <w:rFonts w:hint="eastAsia" w:ascii="仿宋_GB2312" w:hAnsi="宋体" w:eastAsia="仿宋_GB2312"/>
          <w:b/>
          <w:sz w:val="24"/>
        </w:rPr>
      </w:pPr>
      <w:r>
        <w:rPr>
          <w:rFonts w:hint="eastAsia" w:ascii="仿宋_GB2312" w:hAnsi="宋体" w:eastAsia="仿宋_GB2312"/>
          <w:b/>
          <w:sz w:val="24"/>
        </w:rPr>
        <w:t>（8）培训、测试、试运行和验收（2分）：</w:t>
      </w:r>
    </w:p>
    <w:p>
      <w:pPr>
        <w:widowControl w:val="0"/>
        <w:adjustRightInd w:val="0"/>
        <w:snapToGrid w:val="0"/>
        <w:spacing w:line="360" w:lineRule="auto"/>
        <w:ind w:firstLine="480" w:firstLineChars="200"/>
        <w:jc w:val="both"/>
        <w:rPr>
          <w:rFonts w:hint="eastAsia" w:ascii="仿宋_GB2312" w:hAnsi="宋体" w:eastAsia="仿宋_GB2312"/>
          <w:sz w:val="24"/>
        </w:rPr>
      </w:pPr>
      <w:r>
        <w:rPr>
          <w:rFonts w:hint="eastAsia" w:ascii="仿宋_GB2312" w:hAnsi="宋体" w:eastAsia="仿宋_GB2312"/>
          <w:sz w:val="24"/>
        </w:rPr>
        <w:t>● 投标人提出的功能测试、试运行及验收方案的合理性、可行性情况等（1分）；</w:t>
      </w:r>
    </w:p>
    <w:p>
      <w:pPr>
        <w:widowControl w:val="0"/>
        <w:adjustRightInd w:val="0"/>
        <w:snapToGrid w:val="0"/>
        <w:spacing w:line="360" w:lineRule="auto"/>
        <w:ind w:firstLine="480" w:firstLineChars="200"/>
        <w:jc w:val="both"/>
        <w:rPr>
          <w:rFonts w:hint="eastAsia" w:ascii="仿宋_GB2312" w:hAnsi="宋体" w:eastAsia="仿宋_GB2312"/>
          <w:sz w:val="24"/>
        </w:rPr>
      </w:pPr>
      <w:r>
        <w:rPr>
          <w:rFonts w:hint="eastAsia" w:ascii="仿宋_GB2312" w:hAnsi="宋体" w:eastAsia="仿宋_GB2312"/>
          <w:sz w:val="24"/>
        </w:rPr>
        <w:t xml:space="preserve">● 投标人提出培训计划、地点、组织、人员配备、软硬件资料等内容是否完整、科学合理（1分）。 </w:t>
      </w:r>
    </w:p>
    <w:p>
      <w:pPr>
        <w:widowControl w:val="0"/>
        <w:adjustRightInd w:val="0"/>
        <w:snapToGrid w:val="0"/>
        <w:spacing w:line="360" w:lineRule="auto"/>
        <w:ind w:firstLine="482" w:firstLineChars="200"/>
        <w:jc w:val="both"/>
        <w:rPr>
          <w:rFonts w:hint="eastAsia" w:ascii="仿宋_GB2312" w:hAnsi="宋体" w:eastAsia="仿宋_GB2312"/>
          <w:b/>
          <w:sz w:val="24"/>
        </w:rPr>
      </w:pPr>
      <w:r>
        <w:rPr>
          <w:rFonts w:hint="eastAsia" w:ascii="仿宋_GB2312" w:hAnsi="宋体" w:eastAsia="仿宋_GB2312"/>
          <w:b/>
          <w:sz w:val="24"/>
        </w:rPr>
        <w:t>（9）质量保证措施和建设工期情况（2分）：</w:t>
      </w:r>
    </w:p>
    <w:p>
      <w:pPr>
        <w:widowControl w:val="0"/>
        <w:adjustRightInd w:val="0"/>
        <w:snapToGrid w:val="0"/>
        <w:spacing w:line="360" w:lineRule="auto"/>
        <w:ind w:firstLine="480" w:firstLineChars="200"/>
        <w:jc w:val="both"/>
        <w:rPr>
          <w:rFonts w:hint="eastAsia" w:ascii="仿宋_GB2312" w:hAnsi="宋体" w:eastAsia="仿宋_GB2312"/>
          <w:sz w:val="24"/>
        </w:rPr>
      </w:pPr>
      <w:r>
        <w:rPr>
          <w:rFonts w:hint="eastAsia" w:ascii="仿宋_GB2312" w:hAnsi="宋体" w:eastAsia="仿宋_GB2312"/>
          <w:sz w:val="24"/>
        </w:rPr>
        <w:t>● 投标人按采购人要求有明确的建设质量目标，质量保证措施，并具有详细可行的实施内容等（1分）；</w:t>
      </w:r>
    </w:p>
    <w:p>
      <w:pPr>
        <w:widowControl w:val="0"/>
        <w:adjustRightInd w:val="0"/>
        <w:snapToGrid w:val="0"/>
        <w:spacing w:line="360" w:lineRule="auto"/>
        <w:ind w:firstLine="480" w:firstLineChars="200"/>
        <w:jc w:val="both"/>
        <w:rPr>
          <w:rFonts w:hint="eastAsia" w:ascii="仿宋_GB2312" w:hAnsi="宋体" w:eastAsia="仿宋_GB2312"/>
          <w:sz w:val="24"/>
        </w:rPr>
      </w:pPr>
      <w:r>
        <w:rPr>
          <w:rFonts w:hint="eastAsia" w:ascii="仿宋_GB2312" w:hAnsi="宋体" w:eastAsia="仿宋_GB2312"/>
          <w:sz w:val="24"/>
        </w:rPr>
        <w:t>● 投标方案是否提出符合招标文件和采购人要求，按期完成设备供货、系统集成、上线运行、验收等措施（1分）；</w:t>
      </w:r>
    </w:p>
    <w:p>
      <w:pPr>
        <w:widowControl w:val="0"/>
        <w:adjustRightInd w:val="0"/>
        <w:snapToGrid w:val="0"/>
        <w:spacing w:line="360" w:lineRule="auto"/>
        <w:ind w:firstLine="482" w:firstLineChars="200"/>
        <w:jc w:val="both"/>
        <w:rPr>
          <w:rFonts w:hint="eastAsia" w:ascii="仿宋_GB2312" w:hAnsi="宋体" w:eastAsia="仿宋_GB2312"/>
          <w:sz w:val="24"/>
        </w:rPr>
      </w:pPr>
      <w:r>
        <w:rPr>
          <w:rFonts w:hint="eastAsia" w:ascii="仿宋_GB2312" w:hAnsi="宋体" w:eastAsia="仿宋_GB2312"/>
          <w:b/>
          <w:sz w:val="24"/>
        </w:rPr>
        <w:t>（10）优惠和承诺（1分）：</w:t>
      </w:r>
      <w:r>
        <w:rPr>
          <w:rFonts w:hint="eastAsia" w:ascii="仿宋_GB2312" w:hAnsi="宋体" w:eastAsia="仿宋_GB2312"/>
          <w:sz w:val="24"/>
        </w:rPr>
        <w:t>投标人提出的优惠条件和承诺情况，包括与其他软件、硬件产品供应商的合作和可实现程度等，对专家提出问题的回答情况是否全面、科学、合理。</w:t>
      </w:r>
    </w:p>
    <w:p>
      <w:pPr>
        <w:widowControl w:val="0"/>
        <w:adjustRightInd w:val="0"/>
        <w:snapToGrid w:val="0"/>
        <w:spacing w:line="360" w:lineRule="auto"/>
        <w:ind w:firstLine="482" w:firstLineChars="200"/>
        <w:jc w:val="both"/>
        <w:rPr>
          <w:rFonts w:hint="eastAsia" w:ascii="仿宋_GB2312" w:hAnsi="宋体" w:eastAsia="仿宋_GB2312"/>
          <w:sz w:val="24"/>
        </w:rPr>
      </w:pPr>
      <w:r>
        <w:rPr>
          <w:rFonts w:hint="eastAsia" w:ascii="仿宋_GB2312" w:hAnsi="宋体" w:eastAsia="仿宋_GB2312"/>
          <w:b/>
          <w:sz w:val="24"/>
        </w:rPr>
        <w:t>（11）投标文件的制作情况（1分）：</w:t>
      </w:r>
      <w:r>
        <w:rPr>
          <w:rFonts w:hint="eastAsia" w:ascii="仿宋_GB2312" w:hAnsi="宋体" w:eastAsia="仿宋_GB2312"/>
          <w:sz w:val="24"/>
        </w:rPr>
        <w:t>相关资料的提供情况，是否真实、完整、清晰、有序、合理；投标文件是否编制完整、格式规范、内容齐全、表述准确、条理清晰，内容无前后矛盾，符合招标文件要求。</w:t>
      </w:r>
    </w:p>
    <w:p>
      <w:pPr>
        <w:widowControl w:val="0"/>
        <w:adjustRightInd w:val="0"/>
        <w:snapToGrid w:val="0"/>
        <w:spacing w:line="360" w:lineRule="auto"/>
        <w:ind w:firstLine="482" w:firstLineChars="200"/>
        <w:jc w:val="both"/>
        <w:rPr>
          <w:rFonts w:hint="eastAsia" w:ascii="仿宋_GB2312" w:hAnsi="宋体" w:eastAsia="仿宋_GB2312"/>
          <w:sz w:val="24"/>
        </w:rPr>
      </w:pPr>
      <w:r>
        <w:rPr>
          <w:rFonts w:hint="eastAsia" w:ascii="仿宋_GB2312" w:hAnsi="宋体" w:eastAsia="仿宋_GB2312"/>
          <w:b/>
          <w:sz w:val="24"/>
        </w:rPr>
        <w:t>▲投标人的资质和业绩情况（6分）：</w:t>
      </w:r>
      <w:r>
        <w:rPr>
          <w:rFonts w:hint="eastAsia" w:ascii="仿宋_GB2312" w:hAnsi="宋体" w:eastAsia="仿宋_GB2312"/>
          <w:sz w:val="24"/>
        </w:rPr>
        <w:t>主要包含投标人资质、类似项目建设成功案例等方面的因素。</w:t>
      </w:r>
    </w:p>
    <w:p>
      <w:pPr>
        <w:widowControl w:val="0"/>
        <w:adjustRightInd w:val="0"/>
        <w:snapToGrid w:val="0"/>
        <w:spacing w:line="360" w:lineRule="auto"/>
        <w:ind w:firstLine="480" w:firstLineChars="200"/>
        <w:jc w:val="both"/>
        <w:rPr>
          <w:rFonts w:hint="eastAsia" w:ascii="仿宋_GB2312" w:hAnsi="宋体" w:eastAsia="仿宋_GB2312"/>
          <w:sz w:val="24"/>
        </w:rPr>
      </w:pPr>
      <w:r>
        <w:rPr>
          <w:rFonts w:hint="eastAsia" w:ascii="仿宋_GB2312" w:hAnsi="宋体" w:eastAsia="仿宋_GB2312"/>
          <w:sz w:val="24"/>
        </w:rPr>
        <w:t>评审要点为：</w:t>
      </w:r>
    </w:p>
    <w:p>
      <w:pPr>
        <w:widowControl w:val="0"/>
        <w:adjustRightInd w:val="0"/>
        <w:snapToGrid w:val="0"/>
        <w:spacing w:line="360" w:lineRule="auto"/>
        <w:ind w:firstLine="482" w:firstLineChars="200"/>
        <w:jc w:val="both"/>
        <w:rPr>
          <w:rFonts w:hint="eastAsia" w:ascii="仿宋_GB2312" w:hAnsi="宋体" w:eastAsia="仿宋_GB2312"/>
          <w:b/>
          <w:sz w:val="24"/>
        </w:rPr>
      </w:pPr>
      <w:r>
        <w:rPr>
          <w:rFonts w:hint="eastAsia" w:ascii="仿宋_GB2312" w:hAnsi="宋体" w:eastAsia="仿宋_GB2312"/>
          <w:b/>
          <w:sz w:val="24"/>
        </w:rPr>
        <w:t>（1）投标人基本情况（2分）：</w:t>
      </w:r>
    </w:p>
    <w:p>
      <w:pPr>
        <w:widowControl w:val="0"/>
        <w:adjustRightInd w:val="0"/>
        <w:snapToGrid w:val="0"/>
        <w:spacing w:line="360" w:lineRule="auto"/>
        <w:ind w:firstLine="480" w:firstLineChars="200"/>
        <w:jc w:val="both"/>
        <w:rPr>
          <w:rFonts w:hint="eastAsia" w:ascii="仿宋_GB2312" w:hAnsi="宋体" w:eastAsia="仿宋_GB2312"/>
          <w:sz w:val="24"/>
        </w:rPr>
      </w:pPr>
      <w:r>
        <w:rPr>
          <w:rFonts w:hint="eastAsia" w:ascii="仿宋_GB2312" w:hAnsi="宋体" w:eastAsia="仿宋_GB2312"/>
          <w:sz w:val="24"/>
        </w:rPr>
        <w:t>●电子与智能化工程专业承包壹级证书、ISO9001：2015信息安全管理体系认证证书、ISO14001:2015环境管理体系认证证书；每缺一项扣1分，扣完为止</w:t>
      </w:r>
    </w:p>
    <w:p>
      <w:pPr>
        <w:spacing w:line="440" w:lineRule="exact"/>
        <w:ind w:firstLine="361" w:firstLineChars="150"/>
        <w:rPr>
          <w:rFonts w:hint="eastAsia" w:ascii="仿宋_GB2312" w:hAnsi="仿宋_GB2312" w:eastAsia="仿宋_GB2312"/>
          <w:sz w:val="24"/>
          <w:szCs w:val="24"/>
        </w:rPr>
      </w:pPr>
      <w:r>
        <w:rPr>
          <w:rFonts w:hint="eastAsia" w:ascii="仿宋_GB2312" w:hAnsi="Wingdings" w:eastAsia="仿宋_GB2312"/>
          <w:b/>
          <w:sz w:val="24"/>
        </w:rPr>
        <w:t>（2）投标人类似项目建设的成功经验（4分）：</w:t>
      </w:r>
      <w:r>
        <w:rPr>
          <w:rFonts w:hint="eastAsia" w:ascii="仿宋_GB2312" w:hAnsi="Courier New" w:eastAsia="仿宋_GB2312"/>
          <w:sz w:val="24"/>
          <w:szCs w:val="24"/>
        </w:rPr>
        <w:t>截止投标时间近三年</w:t>
      </w:r>
      <w:r>
        <w:rPr>
          <w:rFonts w:hint="eastAsia" w:ascii="仿宋_GB2312" w:hAnsi="宋体" w:eastAsia="仿宋_GB2312"/>
          <w:bCs/>
          <w:sz w:val="24"/>
          <w:szCs w:val="24"/>
        </w:rPr>
        <w:t>以来投标人承担类似项目</w:t>
      </w:r>
      <w:r>
        <w:rPr>
          <w:rFonts w:hint="eastAsia" w:ascii="仿宋_GB2312" w:hAnsi="宋体" w:eastAsia="仿宋_GB2312" w:cs="宋体"/>
          <w:sz w:val="24"/>
          <w:szCs w:val="24"/>
        </w:rPr>
        <w:t>的情况，</w:t>
      </w:r>
      <w:r>
        <w:rPr>
          <w:rFonts w:hint="eastAsia" w:ascii="仿宋_GB2312" w:hAnsi="Courier New" w:eastAsia="仿宋_GB2312" w:cs="仿宋_GB2312"/>
          <w:sz w:val="24"/>
          <w:szCs w:val="24"/>
          <w:lang w:val="zh-CN"/>
        </w:rPr>
        <w:t>结合</w:t>
      </w:r>
      <w:r>
        <w:rPr>
          <w:rFonts w:hint="eastAsia" w:ascii="仿宋_GB2312" w:hAnsi="宋体" w:eastAsia="仿宋_GB2312"/>
          <w:bCs/>
          <w:sz w:val="24"/>
          <w:szCs w:val="24"/>
        </w:rPr>
        <w:t>已完工的项目案例和用户反应情况，</w:t>
      </w:r>
      <w:r>
        <w:rPr>
          <w:rFonts w:hint="eastAsia" w:ascii="仿宋_GB2312" w:hAnsi="Courier New" w:eastAsia="仿宋_GB2312"/>
          <w:snapToGrid w:val="0"/>
          <w:sz w:val="24"/>
          <w:szCs w:val="24"/>
        </w:rPr>
        <w:t>参考</w:t>
      </w:r>
      <w:r>
        <w:rPr>
          <w:rFonts w:hint="eastAsia" w:ascii="仿宋_GB2312" w:hAnsi="Courier New" w:eastAsia="仿宋_GB2312"/>
          <w:sz w:val="24"/>
          <w:szCs w:val="24"/>
          <w:lang w:val="zh-CN"/>
        </w:rPr>
        <w:t>合同复印件</w:t>
      </w:r>
      <w:r>
        <w:rPr>
          <w:rFonts w:hint="eastAsia" w:ascii="仿宋_GB2312" w:hAnsi="Courier New" w:eastAsia="仿宋_GB2312"/>
          <w:sz w:val="24"/>
          <w:szCs w:val="24"/>
        </w:rPr>
        <w:t>、用户验收报告</w:t>
      </w:r>
      <w:r>
        <w:rPr>
          <w:rFonts w:hint="eastAsia" w:ascii="仿宋_GB2312" w:hAnsi="Courier New" w:eastAsia="仿宋_GB2312"/>
          <w:sz w:val="24"/>
          <w:szCs w:val="24"/>
          <w:lang w:val="zh-CN"/>
        </w:rPr>
        <w:t>等</w:t>
      </w:r>
      <w:r>
        <w:rPr>
          <w:rFonts w:hint="eastAsia" w:ascii="仿宋_GB2312" w:hAnsi="Courier New" w:eastAsia="仿宋_GB2312"/>
          <w:sz w:val="24"/>
          <w:szCs w:val="24"/>
        </w:rPr>
        <w:t>工程实例证明</w:t>
      </w:r>
      <w:r>
        <w:rPr>
          <w:rFonts w:hint="eastAsia" w:ascii="仿宋_GB2312" w:hAnsi="仿宋_GB2312" w:eastAsia="仿宋_GB2312"/>
          <w:sz w:val="24"/>
          <w:szCs w:val="24"/>
        </w:rPr>
        <w:t>（</w:t>
      </w:r>
      <w:r>
        <w:rPr>
          <w:rFonts w:hint="eastAsia" w:ascii="仿宋_GB2312" w:hAnsi="仿宋_GB2312" w:eastAsia="仿宋_GB2312"/>
          <w:b/>
          <w:sz w:val="24"/>
          <w:szCs w:val="24"/>
        </w:rPr>
        <w:t>原件备查，</w:t>
      </w:r>
      <w:r>
        <w:rPr>
          <w:rFonts w:hint="eastAsia" w:ascii="仿宋_GB2312" w:hAnsi="Courier New" w:eastAsia="仿宋_GB2312"/>
          <w:b/>
          <w:sz w:val="24"/>
          <w:szCs w:val="24"/>
        </w:rPr>
        <w:t>采购机构在项目评审直至合同签订、履约期间，有权要求投标人出具投标文件中的</w:t>
      </w:r>
      <w:r>
        <w:rPr>
          <w:rFonts w:hint="eastAsia" w:ascii="仿宋_GB2312" w:hAnsi="Courier New" w:eastAsia="仿宋_GB2312" w:cs="仿宋_GB2312"/>
          <w:b/>
          <w:sz w:val="24"/>
          <w:szCs w:val="24"/>
          <w:lang w:val="zh-CN"/>
        </w:rPr>
        <w:t>主要业绩证明</w:t>
      </w:r>
      <w:r>
        <w:rPr>
          <w:rFonts w:hint="eastAsia" w:ascii="仿宋_GB2312" w:hAnsi="Courier New" w:eastAsia="仿宋_GB2312"/>
          <w:b/>
          <w:sz w:val="24"/>
          <w:szCs w:val="24"/>
        </w:rPr>
        <w:t>原件</w:t>
      </w:r>
      <w:r>
        <w:rPr>
          <w:rFonts w:hint="eastAsia" w:ascii="仿宋_GB2312" w:hAnsi="Courier New" w:eastAsia="仿宋_GB2312" w:cs="仿宋_GB2312"/>
          <w:b/>
          <w:sz w:val="24"/>
          <w:szCs w:val="24"/>
          <w:lang w:val="zh-CN"/>
        </w:rPr>
        <w:t>：如</w:t>
      </w:r>
      <w:r>
        <w:rPr>
          <w:rFonts w:hint="eastAsia" w:ascii="仿宋_GB2312" w:hAnsi="Courier New" w:eastAsia="仿宋_GB2312"/>
          <w:b/>
          <w:sz w:val="24"/>
          <w:szCs w:val="24"/>
        </w:rPr>
        <w:t>合同或用户验收报告</w:t>
      </w:r>
      <w:r>
        <w:rPr>
          <w:rFonts w:hint="eastAsia" w:ascii="仿宋_GB2312" w:hAnsi="Courier New" w:eastAsia="仿宋_GB2312"/>
          <w:b/>
          <w:sz w:val="24"/>
          <w:szCs w:val="24"/>
          <w:lang w:val="zh-CN"/>
        </w:rPr>
        <w:t>等</w:t>
      </w:r>
      <w:r>
        <w:rPr>
          <w:rFonts w:hint="eastAsia" w:ascii="仿宋_GB2312" w:hAnsi="Courier New" w:eastAsia="仿宋_GB2312"/>
          <w:b/>
          <w:sz w:val="24"/>
          <w:szCs w:val="24"/>
        </w:rPr>
        <w:t>，予以确认其的真实性和有效性，如出现</w:t>
      </w:r>
      <w:r>
        <w:rPr>
          <w:rFonts w:hint="eastAsia" w:ascii="仿宋_GB2312" w:hAnsi="仿宋_GB2312" w:eastAsia="仿宋_GB2312"/>
          <w:b/>
          <w:sz w:val="24"/>
          <w:szCs w:val="24"/>
        </w:rPr>
        <w:t>与事实不符等情况，将根据有关规定以“提供虚假材料谋取中标”予以处罚</w:t>
      </w:r>
      <w:r>
        <w:rPr>
          <w:rFonts w:hint="eastAsia" w:ascii="仿宋_GB2312" w:hAnsi="Courier New" w:eastAsia="仿宋_GB2312"/>
          <w:sz w:val="24"/>
          <w:szCs w:val="24"/>
        </w:rPr>
        <w:t>）</w:t>
      </w:r>
      <w:r>
        <w:rPr>
          <w:rFonts w:hint="eastAsia" w:ascii="仿宋_GB2312" w:hAnsi="仿宋_GB2312" w:eastAsia="仿宋_GB2312"/>
          <w:sz w:val="24"/>
          <w:szCs w:val="24"/>
        </w:rPr>
        <w:t>，</w:t>
      </w:r>
      <w:r>
        <w:rPr>
          <w:rFonts w:hint="eastAsia" w:ascii="仿宋_GB2312" w:hAnsi="仿宋_GB2312" w:eastAsia="仿宋_GB2312" w:cs="仿宋_GB2312"/>
          <w:sz w:val="24"/>
          <w:szCs w:val="24"/>
        </w:rPr>
        <w:t>是否有良好的工作业绩和履约记录</w:t>
      </w:r>
      <w:r>
        <w:rPr>
          <w:rFonts w:hint="eastAsia" w:ascii="仿宋_GB2312" w:hAnsi="仿宋_GB2312" w:eastAsia="仿宋_GB2312"/>
          <w:sz w:val="24"/>
          <w:szCs w:val="24"/>
          <w:lang w:val="zh-CN"/>
        </w:rPr>
        <w:t>等情况</w:t>
      </w:r>
      <w:r>
        <w:rPr>
          <w:rFonts w:hint="eastAsia" w:ascii="仿宋_GB2312" w:hAnsi="仿宋_GB2312" w:eastAsia="仿宋_GB2312"/>
          <w:sz w:val="24"/>
          <w:szCs w:val="24"/>
        </w:rPr>
        <w:t>；</w:t>
      </w:r>
      <w:r>
        <w:rPr>
          <w:rFonts w:hint="eastAsia" w:ascii="仿宋_GB2312" w:hAnsi="仿宋_GB2312" w:eastAsia="仿宋_GB2312"/>
          <w:b/>
          <w:sz w:val="24"/>
          <w:szCs w:val="24"/>
        </w:rPr>
        <w:t>如投标人提供的合同复印件等实施项目证明材料与投标主体无关或违规转包分包的，评标委员会将进行扣分直至认定投标无效</w:t>
      </w:r>
      <w:r>
        <w:rPr>
          <w:rFonts w:hint="eastAsia" w:ascii="仿宋_GB2312" w:hAnsi="仿宋_GB2312" w:eastAsia="仿宋_GB2312"/>
          <w:sz w:val="24"/>
          <w:szCs w:val="24"/>
        </w:rPr>
        <w:t>。</w:t>
      </w:r>
    </w:p>
    <w:p>
      <w:pPr>
        <w:spacing w:line="460" w:lineRule="exact"/>
        <w:ind w:firstLine="482" w:firstLineChars="200"/>
        <w:rPr>
          <w:rFonts w:hint="eastAsia" w:ascii="仿宋_GB2312" w:hAnsi="Courier New" w:eastAsia="仿宋_GB2312"/>
          <w:b/>
          <w:sz w:val="24"/>
        </w:rPr>
      </w:pPr>
    </w:p>
    <w:p>
      <w:pPr>
        <w:spacing w:line="460" w:lineRule="exact"/>
        <w:ind w:firstLine="482" w:firstLineChars="200"/>
        <w:rPr>
          <w:rFonts w:hint="eastAsia" w:ascii="仿宋_GB2312" w:hAnsi="Courier New" w:eastAsia="仿宋_GB2312"/>
          <w:b/>
          <w:sz w:val="24"/>
        </w:rPr>
      </w:pPr>
      <w:r>
        <w:rPr>
          <w:rFonts w:hint="eastAsia" w:ascii="仿宋_GB2312" w:hAnsi="Courier New" w:eastAsia="仿宋_GB2312"/>
          <w:b/>
          <w:sz w:val="24"/>
        </w:rPr>
        <w:t>第二、三标项：</w:t>
      </w:r>
    </w:p>
    <w:p>
      <w:pPr>
        <w:spacing w:line="460" w:lineRule="exact"/>
        <w:ind w:firstLine="482" w:firstLineChars="200"/>
        <w:rPr>
          <w:rFonts w:hint="eastAsia" w:ascii="仿宋_GB2312" w:hAnsi="Courier New" w:eastAsia="仿宋_GB2312"/>
          <w:sz w:val="24"/>
        </w:rPr>
      </w:pPr>
      <w:r>
        <w:rPr>
          <w:rFonts w:hint="eastAsia" w:ascii="仿宋_GB2312" w:hAnsi="Courier New" w:eastAsia="仿宋_GB2312"/>
          <w:b/>
          <w:sz w:val="24"/>
        </w:rPr>
        <w:t>▲</w:t>
      </w:r>
      <w:r>
        <w:rPr>
          <w:rFonts w:hint="eastAsia" w:ascii="仿宋_GB2312" w:hAnsi="宋体" w:eastAsia="仿宋_GB2312"/>
          <w:b/>
          <w:sz w:val="24"/>
        </w:rPr>
        <w:t>投标价格 (</w:t>
      </w:r>
      <w:r>
        <w:rPr>
          <w:rFonts w:hint="eastAsia" w:ascii="仿宋_GB2312" w:hAnsi="Courier New" w:eastAsia="仿宋_GB2312"/>
          <w:b/>
          <w:kern w:val="28"/>
          <w:sz w:val="24"/>
        </w:rPr>
        <w:t>35分)</w:t>
      </w:r>
      <w:r>
        <w:rPr>
          <w:rFonts w:hint="eastAsia" w:ascii="仿宋_GB2312" w:hAnsi="宋体" w:eastAsia="仿宋_GB2312"/>
          <w:b/>
          <w:sz w:val="24"/>
        </w:rPr>
        <w:t>：</w:t>
      </w:r>
    </w:p>
    <w:p>
      <w:pPr>
        <w:spacing w:line="460" w:lineRule="exact"/>
        <w:ind w:firstLine="480" w:firstLineChars="200"/>
        <w:rPr>
          <w:rFonts w:hint="eastAsia" w:ascii="仿宋_GB2312" w:hAnsi="仿宋" w:eastAsia="仿宋_GB2312"/>
          <w:sz w:val="24"/>
          <w:lang w:val="zh-CN"/>
        </w:rPr>
      </w:pPr>
      <w:r>
        <w:rPr>
          <w:rFonts w:hint="eastAsia" w:ascii="仿宋_GB2312" w:hAnsi="宋体" w:eastAsia="仿宋_GB2312"/>
          <w:sz w:val="24"/>
        </w:rPr>
        <w:t>投标价格的合理性：分析投标价格是否合理，投标价格范围是否完整，有否重大错漏项，</w:t>
      </w:r>
      <w:r>
        <w:rPr>
          <w:rFonts w:hint="eastAsia" w:ascii="仿宋_GB2312" w:hAnsi="仿宋" w:eastAsia="仿宋_GB2312"/>
          <w:sz w:val="24"/>
        </w:rPr>
        <w:t>评标委员会认为投标报价出现异常时，有权要求投标人在评标期间对投标报价的详细组成和投标设备的供应渠道等事项作出解释和澄清，并确认其投标报价是否有效</w:t>
      </w:r>
      <w:r>
        <w:rPr>
          <w:rFonts w:hint="eastAsia" w:ascii="仿宋_GB2312" w:hAnsi="仿宋" w:eastAsia="仿宋_GB2312"/>
          <w:sz w:val="24"/>
          <w:lang w:val="zh-CN"/>
        </w:rPr>
        <w:t>。</w:t>
      </w:r>
    </w:p>
    <w:p>
      <w:pPr>
        <w:spacing w:line="460" w:lineRule="exact"/>
        <w:ind w:firstLine="480" w:firstLineChars="200"/>
        <w:rPr>
          <w:rFonts w:hint="eastAsia" w:ascii="仿宋_GB2312" w:hAnsi="宋体" w:eastAsia="仿宋_GB2312"/>
          <w:b/>
          <w:sz w:val="24"/>
        </w:rPr>
      </w:pPr>
      <w:r>
        <w:rPr>
          <w:rFonts w:hint="eastAsia" w:ascii="仿宋_GB2312" w:hAnsi="宋体" w:eastAsia="仿宋_GB2312"/>
          <w:sz w:val="24"/>
        </w:rPr>
        <w:t>投标价格分计算方法：</w:t>
      </w:r>
      <w:r>
        <w:rPr>
          <w:rFonts w:hint="eastAsia" w:ascii="仿宋_GB2312" w:hAnsi="仿宋" w:eastAsia="仿宋_GB2312"/>
          <w:sz w:val="24"/>
          <w:lang w:val="zh-CN"/>
        </w:rPr>
        <w:t>根据各投标人的有效投标报价，以</w:t>
      </w:r>
      <w:r>
        <w:rPr>
          <w:rFonts w:hint="eastAsia" w:ascii="仿宋_GB2312" w:hAnsi="宋体" w:eastAsia="仿宋_GB2312"/>
          <w:kern w:val="0"/>
          <w:sz w:val="24"/>
        </w:rPr>
        <w:t>满足招标文件要求且投标价格最低的投标报价为评标基准价，其价格分为35分。其他投标人的价格分统一按照下列公式计算：投标报价得分=(评标基准价／投标报价)×价格权值×100</w:t>
      </w:r>
      <w:r>
        <w:rPr>
          <w:rFonts w:hint="eastAsia" w:ascii="仿宋_GB2312" w:eastAsia="仿宋_GB2312"/>
          <w:sz w:val="24"/>
        </w:rPr>
        <w:t>（精确到小数点后二位，由采购机构当场统一计算）。</w:t>
      </w:r>
    </w:p>
    <w:p>
      <w:pPr>
        <w:spacing w:line="440" w:lineRule="exact"/>
        <w:ind w:firstLine="482" w:firstLineChars="200"/>
        <w:rPr>
          <w:rFonts w:hint="eastAsia" w:ascii="仿宋_GB2312" w:hAnsi="宋体" w:eastAsia="仿宋_GB2312"/>
          <w:b/>
          <w:sz w:val="24"/>
        </w:rPr>
      </w:pPr>
      <w:r>
        <w:rPr>
          <w:rFonts w:hint="eastAsia" w:ascii="仿宋_GB2312" w:eastAsia="仿宋_GB2312"/>
          <w:b/>
          <w:sz w:val="24"/>
        </w:rPr>
        <w:t>▲</w:t>
      </w:r>
      <w:r>
        <w:rPr>
          <w:rFonts w:hint="eastAsia" w:ascii="仿宋_GB2312" w:hAnsi="宋体" w:eastAsia="仿宋_GB2312"/>
          <w:b/>
          <w:sz w:val="24"/>
        </w:rPr>
        <w:t>技术和服务方案 (</w:t>
      </w:r>
      <w:r>
        <w:rPr>
          <w:rFonts w:hint="eastAsia" w:ascii="仿宋_GB2312" w:eastAsia="仿宋_GB2312"/>
          <w:b/>
          <w:kern w:val="28"/>
          <w:sz w:val="24"/>
        </w:rPr>
        <w:t>59分)</w:t>
      </w:r>
      <w:r>
        <w:rPr>
          <w:rFonts w:hint="eastAsia" w:ascii="仿宋_GB2312" w:hAnsi="宋体" w:eastAsia="仿宋_GB2312"/>
          <w:b/>
          <w:sz w:val="24"/>
        </w:rPr>
        <w:t>：</w:t>
      </w:r>
    </w:p>
    <w:p>
      <w:pPr>
        <w:spacing w:line="440" w:lineRule="exact"/>
        <w:ind w:firstLine="480" w:firstLineChars="200"/>
        <w:rPr>
          <w:rFonts w:hint="eastAsia" w:ascii="仿宋_GB2312" w:hAnsi="仿宋" w:eastAsia="仿宋_GB2312"/>
          <w:sz w:val="24"/>
        </w:rPr>
      </w:pPr>
      <w:r>
        <w:rPr>
          <w:rFonts w:hint="eastAsia" w:ascii="仿宋_GB2312" w:hAnsi="仿宋" w:eastAsia="仿宋_GB2312"/>
          <w:sz w:val="24"/>
        </w:rPr>
        <w:t>主要包含方案的先进性、科学性和完整性，方案与需求的吻合程度，提供的售后服务方案、维护人员和机构服务优劣程度以及承诺和优惠等方面的因素。</w:t>
      </w:r>
    </w:p>
    <w:p>
      <w:pPr>
        <w:spacing w:line="440" w:lineRule="exact"/>
        <w:ind w:firstLine="480" w:firstLineChars="200"/>
        <w:rPr>
          <w:rFonts w:hint="eastAsia" w:ascii="仿宋_GB2312" w:hAnsi="宋体" w:eastAsia="仿宋_GB2312"/>
          <w:b/>
          <w:sz w:val="24"/>
        </w:rPr>
      </w:pPr>
      <w:r>
        <w:rPr>
          <w:rFonts w:hint="eastAsia" w:ascii="仿宋_GB2312" w:hAnsi="仿宋" w:eastAsia="仿宋_GB2312"/>
          <w:sz w:val="24"/>
        </w:rPr>
        <w:t>评审要点为：</w:t>
      </w:r>
    </w:p>
    <w:p>
      <w:pPr>
        <w:adjustRightInd w:val="0"/>
        <w:snapToGrid w:val="0"/>
        <w:spacing w:line="440" w:lineRule="exact"/>
        <w:ind w:left="105" w:leftChars="50" w:firstLine="361" w:firstLineChars="150"/>
        <w:rPr>
          <w:rFonts w:hint="eastAsia" w:ascii="仿宋_GB2312" w:eastAsia="仿宋_GB2312"/>
          <w:b/>
          <w:sz w:val="24"/>
        </w:rPr>
      </w:pPr>
      <w:r>
        <w:rPr>
          <w:rFonts w:hint="eastAsia" w:ascii="仿宋_GB2312" w:hAnsi="宋体" w:eastAsia="仿宋_GB2312"/>
          <w:b/>
          <w:sz w:val="24"/>
        </w:rPr>
        <w:t>（1）</w:t>
      </w:r>
      <w:r>
        <w:rPr>
          <w:rFonts w:hint="eastAsia" w:ascii="仿宋_GB2312" w:eastAsia="仿宋_GB2312"/>
          <w:b/>
          <w:sz w:val="24"/>
        </w:rPr>
        <w:t>投标方案的科学性和完整性（</w:t>
      </w:r>
      <w:r>
        <w:rPr>
          <w:rFonts w:hint="eastAsia" w:ascii="仿宋_GB2312" w:hAnsi="宋体" w:eastAsia="仿宋_GB2312"/>
          <w:b/>
          <w:sz w:val="24"/>
        </w:rPr>
        <w:t>8</w:t>
      </w:r>
      <w:r>
        <w:rPr>
          <w:rFonts w:hint="eastAsia" w:ascii="仿宋_GB2312" w:eastAsia="仿宋_GB2312"/>
          <w:b/>
          <w:sz w:val="24"/>
        </w:rPr>
        <w:t>分）：</w:t>
      </w:r>
    </w:p>
    <w:p>
      <w:pPr>
        <w:snapToGrid w:val="0"/>
        <w:spacing w:line="460" w:lineRule="exact"/>
        <w:ind w:right="-109" w:rightChars="-52" w:firstLine="360" w:firstLineChars="200"/>
        <w:rPr>
          <w:rFonts w:hint="eastAsia" w:ascii="仿宋_GB2312" w:eastAsia="仿宋_GB2312"/>
          <w:sz w:val="24"/>
        </w:rPr>
      </w:pPr>
      <w:r>
        <w:rPr>
          <w:rFonts w:hint="eastAsia" w:ascii="仿宋_GB2312" w:eastAsia="仿宋_GB2312"/>
          <w:sz w:val="18"/>
          <w:szCs w:val="18"/>
        </w:rPr>
        <w:t>●</w:t>
      </w:r>
      <w:r>
        <w:rPr>
          <w:rFonts w:hint="eastAsia" w:ascii="仿宋_GB2312" w:hAnsi="宋体" w:eastAsia="仿宋_GB2312"/>
          <w:sz w:val="18"/>
          <w:szCs w:val="18"/>
        </w:rPr>
        <w:t xml:space="preserve"> </w:t>
      </w:r>
      <w:r>
        <w:rPr>
          <w:rFonts w:hint="eastAsia" w:ascii="仿宋_GB2312" w:hAnsi="宋体" w:eastAsia="仿宋_GB2312"/>
          <w:sz w:val="24"/>
        </w:rPr>
        <w:t>投标方案</w:t>
      </w:r>
      <w:r>
        <w:rPr>
          <w:rFonts w:hint="eastAsia" w:ascii="仿宋_GB2312" w:eastAsia="仿宋_GB2312" w:cs="仿宋_GB2312"/>
          <w:kern w:val="0"/>
          <w:sz w:val="24"/>
        </w:rPr>
        <w:t>总体设计、建设方案和产品选型</w:t>
      </w:r>
      <w:r>
        <w:rPr>
          <w:rFonts w:hint="eastAsia" w:ascii="仿宋_GB2312" w:hAnsi="宋体" w:eastAsia="仿宋_GB2312"/>
          <w:sz w:val="24"/>
        </w:rPr>
        <w:t>等，详细阐述系统的体系架构、功能模块、实现思路和关键技术，</w:t>
      </w:r>
      <w:r>
        <w:rPr>
          <w:rFonts w:hint="eastAsia" w:ascii="仿宋_GB2312" w:eastAsia="仿宋_GB2312"/>
          <w:sz w:val="24"/>
        </w:rPr>
        <w:t>提出具体可行的实施方案（3分）；</w:t>
      </w:r>
    </w:p>
    <w:p>
      <w:pPr>
        <w:snapToGrid w:val="0"/>
        <w:spacing w:line="460" w:lineRule="exact"/>
        <w:ind w:right="-109" w:rightChars="-52" w:firstLine="360" w:firstLineChars="200"/>
        <w:rPr>
          <w:rFonts w:hint="eastAsia" w:ascii="仿宋_GB2312" w:hAnsi="宋体" w:eastAsia="仿宋_GB2312"/>
          <w:sz w:val="24"/>
        </w:rPr>
      </w:pPr>
      <w:r>
        <w:rPr>
          <w:rFonts w:hint="eastAsia" w:ascii="仿宋_GB2312" w:eastAsia="仿宋_GB2312"/>
          <w:sz w:val="18"/>
          <w:szCs w:val="18"/>
        </w:rPr>
        <w:t xml:space="preserve">● </w:t>
      </w:r>
      <w:r>
        <w:rPr>
          <w:rFonts w:hint="eastAsia" w:ascii="仿宋_GB2312" w:hAnsi="宋体" w:eastAsia="仿宋_GB2312"/>
          <w:sz w:val="24"/>
        </w:rPr>
        <w:t>投标方案与需求的吻合程度，包括方案的科学性、先进性、可行性和扩展性；</w:t>
      </w:r>
      <w:r>
        <w:rPr>
          <w:rFonts w:hint="eastAsia" w:ascii="仿宋_GB2312" w:eastAsia="仿宋_GB2312"/>
          <w:sz w:val="24"/>
        </w:rPr>
        <w:t>方案</w:t>
      </w:r>
      <w:r>
        <w:rPr>
          <w:rFonts w:hint="eastAsia" w:ascii="仿宋_GB2312" w:hAnsi="Wingdings" w:eastAsia="仿宋_GB2312" w:cs="Wingdings"/>
          <w:sz w:val="24"/>
        </w:rPr>
        <w:t>是否</w:t>
      </w:r>
      <w:r>
        <w:rPr>
          <w:rFonts w:hint="eastAsia" w:ascii="仿宋_GB2312" w:eastAsia="仿宋_GB2312"/>
          <w:sz w:val="24"/>
        </w:rPr>
        <w:t>科学合理、安全严密、具有一定的前瞻性，</w:t>
      </w:r>
      <w:r>
        <w:rPr>
          <w:rFonts w:hint="eastAsia" w:ascii="仿宋_GB2312" w:hAnsi="宋体" w:eastAsia="仿宋_GB2312"/>
          <w:sz w:val="24"/>
        </w:rPr>
        <w:t>是否有独到的优势</w:t>
      </w:r>
      <w:r>
        <w:rPr>
          <w:rFonts w:hint="eastAsia" w:ascii="仿宋_GB2312" w:eastAsia="仿宋_GB2312"/>
          <w:sz w:val="24"/>
        </w:rPr>
        <w:t>（3分）</w:t>
      </w:r>
      <w:r>
        <w:rPr>
          <w:rFonts w:hint="eastAsia" w:ascii="仿宋_GB2312" w:hAnsi="宋体" w:eastAsia="仿宋_GB2312"/>
          <w:sz w:val="24"/>
        </w:rPr>
        <w:t>；</w:t>
      </w:r>
    </w:p>
    <w:p>
      <w:pPr>
        <w:adjustRightInd w:val="0"/>
        <w:snapToGrid w:val="0"/>
        <w:spacing w:line="440" w:lineRule="exact"/>
        <w:ind w:firstLine="360" w:firstLineChars="200"/>
        <w:rPr>
          <w:rFonts w:hint="eastAsia" w:ascii="仿宋_GB2312" w:hAnsi="宋体" w:eastAsia="仿宋_GB2312"/>
          <w:sz w:val="24"/>
        </w:rPr>
      </w:pPr>
      <w:r>
        <w:rPr>
          <w:rFonts w:hint="eastAsia" w:ascii="仿宋_GB2312" w:eastAsia="仿宋_GB2312"/>
          <w:sz w:val="18"/>
          <w:szCs w:val="18"/>
        </w:rPr>
        <w:t xml:space="preserve">● </w:t>
      </w:r>
      <w:r>
        <w:rPr>
          <w:rFonts w:hint="eastAsia" w:ascii="仿宋_GB2312" w:eastAsia="仿宋_GB2312"/>
          <w:sz w:val="24"/>
        </w:rPr>
        <w:t>项目建设思路、原则、特点、技术要求的理解情况，投标人对现有标准规范体系的了解情况；</w:t>
      </w:r>
      <w:r>
        <w:rPr>
          <w:rFonts w:hint="eastAsia" w:ascii="仿宋_GB2312" w:hAnsi="宋体" w:eastAsia="仿宋_GB2312"/>
          <w:sz w:val="24"/>
        </w:rPr>
        <w:t>投标技术方案内容</w:t>
      </w:r>
      <w:r>
        <w:rPr>
          <w:rFonts w:hint="eastAsia" w:ascii="仿宋_GB2312" w:hAnsi="宋体" w:eastAsia="仿宋_GB2312" w:cs="Wingdings"/>
          <w:sz w:val="24"/>
        </w:rPr>
        <w:t>对点应答是否详尽、明晰，是否满足采购文件要求，</w:t>
      </w:r>
      <w:r>
        <w:rPr>
          <w:rFonts w:hint="eastAsia" w:ascii="仿宋_GB2312" w:hAnsi="宋体" w:eastAsia="仿宋_GB2312"/>
          <w:sz w:val="24"/>
        </w:rPr>
        <w:t>系统的应急方案设计</w:t>
      </w:r>
      <w:r>
        <w:rPr>
          <w:rFonts w:hint="eastAsia" w:ascii="仿宋_GB2312" w:hAnsi="宋体" w:eastAsia="仿宋_GB2312" w:cs="Wingdings"/>
          <w:sz w:val="24"/>
        </w:rPr>
        <w:t>是否</w:t>
      </w:r>
      <w:r>
        <w:rPr>
          <w:rFonts w:hint="eastAsia" w:ascii="仿宋_GB2312" w:hAnsi="宋体" w:eastAsia="仿宋_GB2312"/>
          <w:sz w:val="24"/>
        </w:rPr>
        <w:t>合理，</w:t>
      </w:r>
      <w:r>
        <w:rPr>
          <w:rFonts w:hint="eastAsia" w:ascii="仿宋_GB2312" w:hAnsi="宋体" w:eastAsia="仿宋_GB2312" w:cs="Wingdings"/>
          <w:sz w:val="24"/>
        </w:rPr>
        <w:t>是否</w:t>
      </w:r>
      <w:r>
        <w:rPr>
          <w:rFonts w:hint="eastAsia" w:ascii="仿宋_GB2312" w:hAnsi="宋体" w:eastAsia="仿宋_GB2312"/>
          <w:sz w:val="24"/>
        </w:rPr>
        <w:t>充分考虑用户实际使用需求</w:t>
      </w:r>
      <w:r>
        <w:rPr>
          <w:rFonts w:hint="eastAsia" w:ascii="仿宋_GB2312" w:eastAsia="仿宋_GB2312"/>
          <w:sz w:val="24"/>
        </w:rPr>
        <w:t>（2分）。</w:t>
      </w:r>
    </w:p>
    <w:p>
      <w:pPr>
        <w:adjustRightInd w:val="0"/>
        <w:snapToGrid w:val="0"/>
        <w:spacing w:line="440" w:lineRule="exact"/>
        <w:ind w:left="105" w:leftChars="50" w:firstLine="361" w:firstLineChars="150"/>
        <w:rPr>
          <w:rFonts w:hint="eastAsia" w:ascii="仿宋_GB2312" w:eastAsia="仿宋_GB2312"/>
          <w:sz w:val="24"/>
        </w:rPr>
      </w:pPr>
      <w:r>
        <w:rPr>
          <w:rFonts w:hint="eastAsia" w:ascii="仿宋_GB2312" w:hAnsi="宋体" w:eastAsia="仿宋_GB2312"/>
          <w:b/>
          <w:sz w:val="24"/>
        </w:rPr>
        <w:t>（2）投标产品的性能与需求的吻合程度（21分）：</w:t>
      </w:r>
    </w:p>
    <w:p>
      <w:pPr>
        <w:snapToGrid w:val="0"/>
        <w:spacing w:line="460" w:lineRule="exact"/>
        <w:ind w:firstLine="450" w:firstLineChars="250"/>
        <w:rPr>
          <w:rFonts w:hint="eastAsia" w:ascii="仿宋_GB2312" w:eastAsia="仿宋_GB2312" w:cs="Tahoma"/>
          <w:sz w:val="24"/>
        </w:rPr>
      </w:pPr>
      <w:r>
        <w:rPr>
          <w:rFonts w:hint="eastAsia" w:ascii="仿宋_GB2312" w:eastAsia="仿宋_GB2312"/>
          <w:sz w:val="18"/>
          <w:szCs w:val="18"/>
        </w:rPr>
        <w:t xml:space="preserve">● </w:t>
      </w:r>
      <w:r>
        <w:rPr>
          <w:rFonts w:hint="eastAsia" w:ascii="仿宋_GB2312" w:eastAsia="仿宋_GB2312"/>
          <w:sz w:val="24"/>
        </w:rPr>
        <w:t>投标</w:t>
      </w:r>
      <w:r>
        <w:rPr>
          <w:rFonts w:hint="eastAsia" w:ascii="仿宋_GB2312" w:eastAsia="仿宋_GB2312" w:cs="Tahoma"/>
          <w:sz w:val="24"/>
        </w:rPr>
        <w:t>产品的基本功能、技术指标与需求的吻合程度</w:t>
      </w:r>
      <w:r>
        <w:rPr>
          <w:rFonts w:hint="eastAsia" w:ascii="仿宋_GB2312" w:eastAsia="仿宋_GB2312"/>
          <w:sz w:val="24"/>
        </w:rPr>
        <w:t>和偏差情况（包括所投标产品的品牌、规格型号、详细配置、主要技术参数、随机软件等），是否能够满足投标文件要求，</w:t>
      </w:r>
      <w:r>
        <w:rPr>
          <w:rFonts w:hint="eastAsia" w:ascii="仿宋_GB2312" w:hAnsi="Wingdings" w:eastAsia="仿宋_GB2312" w:cs="Wingdings"/>
          <w:sz w:val="24"/>
        </w:rPr>
        <w:t>是否体现一定先进性、</w:t>
      </w:r>
      <w:r>
        <w:rPr>
          <w:rFonts w:hint="eastAsia" w:ascii="仿宋_GB2312" w:hAnsi="宋体" w:eastAsia="仿宋_GB2312"/>
          <w:sz w:val="24"/>
        </w:rPr>
        <w:t>可靠性、成熟性、易维护性、可扩展性等</w:t>
      </w:r>
      <w:r>
        <w:rPr>
          <w:rFonts w:hint="eastAsia" w:ascii="仿宋_GB2312" w:eastAsia="仿宋_GB2312"/>
          <w:sz w:val="24"/>
        </w:rPr>
        <w:t>。</w:t>
      </w:r>
      <w:r>
        <w:rPr>
          <w:rFonts w:hint="eastAsia" w:ascii="仿宋_GB2312" w:eastAsia="仿宋_GB2312" w:cs="Tahoma"/>
          <w:sz w:val="24"/>
        </w:rPr>
        <w:t>技术指标负偏离每一项扣减2分，扣完为止（14分）；</w:t>
      </w:r>
    </w:p>
    <w:p>
      <w:pPr>
        <w:snapToGrid w:val="0"/>
        <w:spacing w:line="460" w:lineRule="exact"/>
        <w:ind w:firstLine="450" w:firstLineChars="250"/>
        <w:rPr>
          <w:rFonts w:hint="eastAsia" w:ascii="仿宋_GB2312" w:eastAsia="仿宋_GB2312"/>
          <w:sz w:val="24"/>
        </w:rPr>
      </w:pPr>
      <w:r>
        <w:rPr>
          <w:rFonts w:hint="eastAsia" w:ascii="仿宋_GB2312" w:eastAsia="仿宋_GB2312"/>
          <w:sz w:val="18"/>
          <w:szCs w:val="18"/>
        </w:rPr>
        <w:t xml:space="preserve">● </w:t>
      </w:r>
      <w:r>
        <w:rPr>
          <w:rFonts w:hint="eastAsia" w:ascii="仿宋_GB2312" w:hAnsi="宋体" w:eastAsia="仿宋_GB2312"/>
          <w:sz w:val="24"/>
        </w:rPr>
        <w:t>投标</w:t>
      </w:r>
      <w:r>
        <w:rPr>
          <w:rFonts w:hint="eastAsia" w:ascii="仿宋_GB2312" w:hAnsi="Wingdings" w:eastAsia="仿宋_GB2312" w:cs="Wingdings"/>
          <w:sz w:val="24"/>
        </w:rPr>
        <w:t>产品</w:t>
      </w:r>
      <w:r>
        <w:rPr>
          <w:rFonts w:hint="eastAsia" w:ascii="仿宋_GB2312" w:eastAsia="仿宋_GB2312"/>
          <w:sz w:val="24"/>
          <w:lang w:val="zh-CN"/>
        </w:rPr>
        <w:t>是否能满足本系统运行的需求，其</w:t>
      </w:r>
      <w:r>
        <w:rPr>
          <w:rFonts w:hint="eastAsia" w:ascii="仿宋_GB2312" w:hAnsi="宋体" w:eastAsia="仿宋_GB2312"/>
          <w:sz w:val="24"/>
        </w:rPr>
        <w:t>技术方案对产品、</w:t>
      </w:r>
      <w:r>
        <w:rPr>
          <w:rFonts w:hint="eastAsia" w:ascii="仿宋_GB2312" w:hAnsi="宋体" w:eastAsia="仿宋_GB2312" w:cs="宋体"/>
          <w:spacing w:val="-10"/>
          <w:kern w:val="0"/>
          <w:sz w:val="24"/>
        </w:rPr>
        <w:t>系统功能及其技术要点是否有完整和全面的响应和说明</w:t>
      </w:r>
      <w:r>
        <w:rPr>
          <w:rFonts w:hint="eastAsia" w:ascii="仿宋_GB2312" w:hAnsi="宋体" w:eastAsia="仿宋_GB2312"/>
          <w:kern w:val="0"/>
          <w:sz w:val="24"/>
          <w:lang w:val="zh-CN"/>
        </w:rPr>
        <w:t>，以及产品的</w:t>
      </w:r>
      <w:r>
        <w:rPr>
          <w:rFonts w:hint="eastAsia" w:ascii="仿宋_GB2312" w:hAnsi="宋体" w:eastAsia="仿宋_GB2312"/>
          <w:sz w:val="24"/>
        </w:rPr>
        <w:t>技术水平、应用程度、系统结构和产品实际布局设计的先进性、科学性和合理性等，</w:t>
      </w:r>
      <w:r>
        <w:rPr>
          <w:rFonts w:hint="eastAsia" w:ascii="仿宋_GB2312" w:hAnsi="Arial" w:eastAsia="仿宋_GB2312" w:cs="Arial"/>
          <w:sz w:val="24"/>
        </w:rPr>
        <w:t>在同类产品中是否具有优势</w:t>
      </w:r>
      <w:r>
        <w:rPr>
          <w:rFonts w:hint="eastAsia" w:ascii="仿宋_GB2312" w:eastAsia="仿宋_GB2312"/>
          <w:sz w:val="24"/>
        </w:rPr>
        <w:t>（4分）；</w:t>
      </w:r>
    </w:p>
    <w:p>
      <w:pPr>
        <w:adjustRightInd w:val="0"/>
        <w:snapToGrid w:val="0"/>
        <w:spacing w:line="440" w:lineRule="exact"/>
        <w:ind w:left="105" w:leftChars="50" w:firstLine="270" w:firstLineChars="150"/>
        <w:rPr>
          <w:rFonts w:hint="eastAsia" w:ascii="仿宋_GB2312" w:hAnsi="宋体" w:eastAsia="仿宋_GB2312"/>
          <w:sz w:val="24"/>
        </w:rPr>
      </w:pPr>
      <w:r>
        <w:rPr>
          <w:rFonts w:hint="eastAsia" w:ascii="仿宋_GB2312" w:eastAsia="仿宋_GB2312"/>
          <w:sz w:val="18"/>
          <w:szCs w:val="18"/>
        </w:rPr>
        <w:t xml:space="preserve">● </w:t>
      </w:r>
      <w:r>
        <w:rPr>
          <w:rFonts w:hint="eastAsia" w:ascii="仿宋_GB2312" w:eastAsia="仿宋_GB2312"/>
          <w:sz w:val="24"/>
        </w:rPr>
        <w:t>投标</w:t>
      </w:r>
      <w:r>
        <w:rPr>
          <w:rFonts w:hint="eastAsia" w:ascii="仿宋_GB2312" w:hAnsi="宋体" w:eastAsia="仿宋_GB2312"/>
          <w:sz w:val="24"/>
        </w:rPr>
        <w:t>产品</w:t>
      </w:r>
      <w:r>
        <w:rPr>
          <w:rFonts w:hint="eastAsia" w:ascii="仿宋_GB2312" w:hAnsi="仿宋" w:eastAsia="仿宋_GB2312"/>
          <w:sz w:val="24"/>
        </w:rPr>
        <w:t>的兼容性、可靠性，结合</w:t>
      </w:r>
      <w:r>
        <w:rPr>
          <w:rFonts w:hint="eastAsia" w:ascii="仿宋_GB2312" w:eastAsia="仿宋_GB2312"/>
          <w:sz w:val="24"/>
        </w:rPr>
        <w:t>投标</w:t>
      </w:r>
      <w:r>
        <w:rPr>
          <w:rFonts w:hint="eastAsia" w:ascii="仿宋_GB2312" w:hAnsi="宋体" w:eastAsia="仿宋_GB2312"/>
          <w:sz w:val="24"/>
        </w:rPr>
        <w:t>产品</w:t>
      </w:r>
      <w:r>
        <w:rPr>
          <w:rFonts w:hint="eastAsia" w:ascii="仿宋_GB2312" w:hAnsi="仿宋" w:eastAsia="仿宋_GB2312"/>
          <w:sz w:val="24"/>
        </w:rPr>
        <w:t>的</w:t>
      </w:r>
      <w:r>
        <w:rPr>
          <w:rFonts w:hint="eastAsia" w:ascii="仿宋_GB2312" w:hAnsi="仿宋" w:eastAsia="仿宋_GB2312"/>
          <w:bCs/>
          <w:sz w:val="24"/>
        </w:rPr>
        <w:t>知名度、销售量、</w:t>
      </w:r>
      <w:r>
        <w:rPr>
          <w:rFonts w:hint="eastAsia" w:ascii="仿宋_GB2312" w:hAnsi="仿宋" w:eastAsia="仿宋_GB2312"/>
          <w:sz w:val="24"/>
        </w:rPr>
        <w:t>市场占有率、</w:t>
      </w:r>
      <w:r>
        <w:rPr>
          <w:rFonts w:hint="eastAsia" w:ascii="仿宋_GB2312" w:hAnsi="仿宋" w:eastAsia="仿宋_GB2312"/>
          <w:bCs/>
          <w:sz w:val="24"/>
        </w:rPr>
        <w:t>使用现况和用户反馈情况</w:t>
      </w:r>
      <w:r>
        <w:rPr>
          <w:rFonts w:hint="eastAsia" w:ascii="仿宋_GB2312" w:hAnsi="仿宋" w:eastAsia="仿宋_GB2312"/>
          <w:sz w:val="24"/>
        </w:rPr>
        <w:t>，功能</w:t>
      </w:r>
      <w:r>
        <w:rPr>
          <w:rFonts w:hint="eastAsia" w:ascii="仿宋_GB2312" w:hAnsi="仿宋" w:eastAsia="仿宋_GB2312" w:cs="宋体"/>
          <w:sz w:val="24"/>
          <w:lang w:val="zh-CN"/>
        </w:rPr>
        <w:t>是否达到采购人的实际需求，参考投标</w:t>
      </w:r>
      <w:r>
        <w:rPr>
          <w:rFonts w:hint="eastAsia" w:ascii="仿宋_GB2312" w:hAnsi="宋体" w:eastAsia="仿宋_GB2312"/>
          <w:sz w:val="24"/>
        </w:rPr>
        <w:t>产品</w:t>
      </w:r>
      <w:r>
        <w:rPr>
          <w:rFonts w:hint="eastAsia" w:ascii="仿宋_GB2312" w:hAnsi="仿宋" w:eastAsia="仿宋_GB2312" w:cs="宋体"/>
          <w:sz w:val="24"/>
          <w:lang w:val="zh-CN"/>
        </w:rPr>
        <w:t>的供货合同、验收报告及中标通知书等</w:t>
      </w:r>
      <w:r>
        <w:rPr>
          <w:rFonts w:hint="eastAsia" w:ascii="仿宋_GB2312" w:hAnsi="Arial" w:eastAsia="仿宋_GB2312" w:cs="Arial"/>
          <w:sz w:val="24"/>
        </w:rPr>
        <w:t>；</w:t>
      </w:r>
      <w:r>
        <w:rPr>
          <w:rFonts w:hint="eastAsia" w:ascii="仿宋_GB2312" w:eastAsia="仿宋_GB2312"/>
          <w:sz w:val="24"/>
        </w:rPr>
        <w:t>投标</w:t>
      </w:r>
      <w:r>
        <w:rPr>
          <w:rFonts w:hint="eastAsia" w:ascii="仿宋_GB2312" w:hAnsi="宋体" w:eastAsia="仿宋_GB2312"/>
          <w:sz w:val="24"/>
        </w:rPr>
        <w:t>产品</w:t>
      </w:r>
      <w:r>
        <w:rPr>
          <w:rFonts w:hint="eastAsia" w:ascii="仿宋_GB2312" w:eastAsia="仿宋_GB2312"/>
          <w:sz w:val="24"/>
        </w:rPr>
        <w:t>是否列入“节能产品政府采购清单”、具有</w:t>
      </w:r>
      <w:r>
        <w:rPr>
          <w:rFonts w:hint="eastAsia" w:ascii="仿宋_GB2312" w:hAnsi="宋体" w:eastAsia="仿宋_GB2312" w:cs="宋体"/>
          <w:kern w:val="0"/>
          <w:sz w:val="24"/>
        </w:rPr>
        <w:t>环境标志</w:t>
      </w:r>
      <w:r>
        <w:rPr>
          <w:rFonts w:hint="eastAsia" w:ascii="仿宋_GB2312" w:hAnsi="宋体" w:eastAsia="仿宋_GB2312"/>
          <w:sz w:val="24"/>
        </w:rPr>
        <w:t>认证</w:t>
      </w:r>
      <w:r>
        <w:rPr>
          <w:rFonts w:hint="eastAsia" w:ascii="仿宋_GB2312" w:eastAsia="仿宋_GB2312"/>
          <w:sz w:val="24"/>
        </w:rPr>
        <w:t>产品</w:t>
      </w:r>
      <w:r>
        <w:rPr>
          <w:rFonts w:hint="eastAsia" w:ascii="仿宋_GB2312" w:hAnsi="宋体" w:eastAsia="仿宋_GB2312"/>
          <w:sz w:val="24"/>
        </w:rPr>
        <w:t>等</w:t>
      </w:r>
      <w:r>
        <w:rPr>
          <w:rFonts w:hint="eastAsia" w:ascii="仿宋_GB2312" w:eastAsia="仿宋_GB2312"/>
          <w:sz w:val="24"/>
        </w:rPr>
        <w:t>情况</w:t>
      </w:r>
      <w:r>
        <w:rPr>
          <w:rFonts w:hint="eastAsia" w:ascii="仿宋_GB2312" w:hAnsi="仿宋" w:eastAsia="仿宋_GB2312" w:cs="宋体"/>
          <w:sz w:val="24"/>
          <w:lang w:val="zh-CN"/>
        </w:rPr>
        <w:t>（</w:t>
      </w:r>
      <w:r>
        <w:rPr>
          <w:rFonts w:hint="eastAsia" w:ascii="仿宋_GB2312" w:hAnsi="仿宋" w:eastAsia="仿宋_GB2312" w:cs="宋体"/>
          <w:sz w:val="24"/>
        </w:rPr>
        <w:t>3</w:t>
      </w:r>
      <w:r>
        <w:rPr>
          <w:rFonts w:hint="eastAsia" w:ascii="仿宋_GB2312" w:hAnsi="仿宋" w:eastAsia="仿宋_GB2312" w:cs="宋体"/>
          <w:sz w:val="24"/>
          <w:lang w:val="zh-CN"/>
        </w:rPr>
        <w:t>分）。</w:t>
      </w:r>
    </w:p>
    <w:p>
      <w:pPr>
        <w:adjustRightInd w:val="0"/>
        <w:snapToGrid w:val="0"/>
        <w:spacing w:line="440" w:lineRule="exact"/>
        <w:ind w:left="105" w:leftChars="50" w:firstLine="361" w:firstLineChars="150"/>
        <w:rPr>
          <w:rFonts w:hint="eastAsia" w:ascii="仿宋_GB2312" w:hAnsi="宋体" w:eastAsia="仿宋_GB2312"/>
          <w:b/>
          <w:sz w:val="24"/>
        </w:rPr>
      </w:pPr>
      <w:r>
        <w:rPr>
          <w:rFonts w:hint="eastAsia" w:ascii="仿宋_GB2312" w:hAnsi="宋体" w:eastAsia="仿宋_GB2312"/>
          <w:b/>
          <w:sz w:val="24"/>
        </w:rPr>
        <w:t>（3）关键技术解决能力和资源整合利用的能力（9分）：</w:t>
      </w:r>
    </w:p>
    <w:p>
      <w:pPr>
        <w:adjustRightInd w:val="0"/>
        <w:snapToGrid w:val="0"/>
        <w:spacing w:line="440" w:lineRule="exact"/>
        <w:ind w:left="105" w:leftChars="50" w:firstLine="270" w:firstLineChars="150"/>
        <w:rPr>
          <w:rFonts w:hint="eastAsia" w:ascii="仿宋_GB2312" w:hAnsi="宋体" w:eastAsia="仿宋_GB2312"/>
          <w:sz w:val="24"/>
        </w:rPr>
      </w:pPr>
      <w:r>
        <w:rPr>
          <w:rFonts w:hint="eastAsia" w:ascii="仿宋_GB2312" w:hAnsi="宋体" w:eastAsia="仿宋_GB2312"/>
          <w:sz w:val="18"/>
          <w:szCs w:val="18"/>
        </w:rPr>
        <w:t>●</w:t>
      </w:r>
      <w:r>
        <w:rPr>
          <w:rFonts w:hint="eastAsia" w:ascii="仿宋_GB2312" w:hAnsi="宋体" w:eastAsia="仿宋_GB2312"/>
          <w:sz w:val="24"/>
        </w:rPr>
        <w:t xml:space="preserve"> 投标方案设计中的关键技术解决能力，以及投标人根据自身经验对系统需求进行优化设计的情况</w:t>
      </w:r>
      <w:r>
        <w:rPr>
          <w:rFonts w:hint="eastAsia" w:ascii="仿宋_GB2312" w:hAnsi="Wingdings" w:eastAsia="仿宋_GB2312"/>
          <w:sz w:val="24"/>
        </w:rPr>
        <w:t>；</w:t>
      </w:r>
      <w:r>
        <w:rPr>
          <w:rFonts w:hint="eastAsia" w:ascii="仿宋_GB2312" w:hAnsi="宋体" w:eastAsia="仿宋_GB2312"/>
          <w:sz w:val="24"/>
        </w:rPr>
        <w:t>投标人</w:t>
      </w:r>
      <w:r>
        <w:rPr>
          <w:rFonts w:hint="eastAsia" w:ascii="仿宋_GB2312" w:eastAsia="仿宋_GB2312"/>
          <w:sz w:val="24"/>
        </w:rPr>
        <w:t>对本次项目的技术难点分析、风险分析和解决难题、规避风险措施的合理性和可操作性（3分）；</w:t>
      </w:r>
    </w:p>
    <w:p>
      <w:pPr>
        <w:adjustRightInd w:val="0"/>
        <w:snapToGrid w:val="0"/>
        <w:spacing w:line="440" w:lineRule="exact"/>
        <w:ind w:left="105" w:leftChars="50" w:firstLine="270" w:firstLineChars="150"/>
        <w:rPr>
          <w:rFonts w:hint="eastAsia" w:ascii="仿宋_GB2312" w:eastAsia="仿宋_GB2312"/>
          <w:sz w:val="24"/>
        </w:rPr>
      </w:pPr>
      <w:r>
        <w:rPr>
          <w:rFonts w:hint="eastAsia" w:ascii="仿宋_GB2312" w:hAnsi="宋体" w:eastAsia="仿宋_GB2312"/>
          <w:sz w:val="18"/>
          <w:szCs w:val="18"/>
        </w:rPr>
        <w:t>●　</w:t>
      </w:r>
      <w:r>
        <w:rPr>
          <w:rFonts w:hint="eastAsia" w:ascii="仿宋_GB2312" w:hAnsi="宋体" w:eastAsia="仿宋_GB2312"/>
          <w:sz w:val="24"/>
        </w:rPr>
        <w:t>投标</w:t>
      </w:r>
      <w:r>
        <w:rPr>
          <w:rFonts w:hint="eastAsia" w:ascii="仿宋_GB2312" w:eastAsia="仿宋_GB2312"/>
          <w:sz w:val="24"/>
        </w:rPr>
        <w:t>方案是否提出合理可操作的各相关系统之间的衔接及整合方案</w:t>
      </w:r>
      <w:r>
        <w:rPr>
          <w:rFonts w:hint="eastAsia" w:ascii="仿宋_GB2312" w:hAnsi="Tahoma" w:eastAsia="仿宋_GB2312"/>
          <w:sz w:val="24"/>
        </w:rPr>
        <w:t>，特别是对本</w:t>
      </w:r>
      <w:r>
        <w:rPr>
          <w:rFonts w:hint="eastAsia" w:ascii="仿宋_GB2312" w:hAnsi="宋体" w:eastAsia="仿宋_GB2312"/>
          <w:sz w:val="24"/>
        </w:rPr>
        <w:t>项目</w:t>
      </w:r>
      <w:r>
        <w:rPr>
          <w:rFonts w:hint="eastAsia" w:ascii="仿宋_GB2312" w:eastAsia="仿宋_GB2312"/>
          <w:sz w:val="24"/>
        </w:rPr>
        <w:t>的建设</w:t>
      </w:r>
      <w:r>
        <w:rPr>
          <w:rFonts w:hint="eastAsia" w:ascii="仿宋_GB2312" w:hAnsi="Tahoma" w:eastAsia="仿宋_GB2312"/>
          <w:sz w:val="24"/>
        </w:rPr>
        <w:t>与现有系统以及其它各相关信息系统之间的衔接，</w:t>
      </w:r>
      <w:r>
        <w:rPr>
          <w:rFonts w:hint="eastAsia" w:ascii="仿宋_GB2312" w:eastAsia="仿宋_GB2312"/>
          <w:sz w:val="24"/>
        </w:rPr>
        <w:t>是否有安全、稳定、成熟可行的方案（3分）；</w:t>
      </w:r>
    </w:p>
    <w:p>
      <w:pPr>
        <w:adjustRightInd w:val="0"/>
        <w:snapToGrid w:val="0"/>
        <w:spacing w:line="440" w:lineRule="exact"/>
        <w:ind w:left="105" w:leftChars="50" w:firstLine="270" w:firstLineChars="150"/>
        <w:rPr>
          <w:rFonts w:hint="eastAsia" w:ascii="仿宋_GB2312" w:eastAsia="仿宋_GB2312"/>
          <w:sz w:val="24"/>
        </w:rPr>
      </w:pPr>
      <w:r>
        <w:rPr>
          <w:rFonts w:hint="eastAsia" w:ascii="仿宋_GB2312" w:hAnsi="宋体" w:eastAsia="仿宋_GB2312"/>
          <w:sz w:val="18"/>
          <w:szCs w:val="18"/>
        </w:rPr>
        <w:t>●　</w:t>
      </w:r>
      <w:r>
        <w:rPr>
          <w:rFonts w:hint="eastAsia" w:ascii="仿宋_GB2312" w:eastAsia="仿宋_GB2312"/>
          <w:sz w:val="24"/>
        </w:rPr>
        <w:t>考虑系统的扩展和延伸能力，以及承诺与其他软件、硬件产品供应商的合作等情况</w:t>
      </w:r>
      <w:r>
        <w:rPr>
          <w:rFonts w:hint="eastAsia" w:ascii="仿宋_GB2312" w:hAnsi="Wingdings" w:eastAsia="仿宋_GB2312"/>
          <w:sz w:val="24"/>
        </w:rPr>
        <w:t>（3分）；</w:t>
      </w:r>
      <w:r>
        <w:rPr>
          <w:rFonts w:hint="eastAsia" w:ascii="仿宋_GB2312" w:eastAsia="仿宋_GB2312"/>
          <w:sz w:val="24"/>
        </w:rPr>
        <w:t xml:space="preserve"> </w:t>
      </w:r>
    </w:p>
    <w:p>
      <w:pPr>
        <w:tabs>
          <w:tab w:val="left" w:pos="0"/>
        </w:tabs>
        <w:spacing w:line="440" w:lineRule="exact"/>
        <w:ind w:firstLine="361" w:firstLineChars="150"/>
        <w:rPr>
          <w:rFonts w:hint="eastAsia" w:ascii="仿宋_GB2312" w:hAnsi="宋体" w:eastAsia="仿宋_GB2312"/>
          <w:sz w:val="24"/>
        </w:rPr>
      </w:pPr>
      <w:r>
        <w:rPr>
          <w:rFonts w:hint="eastAsia" w:ascii="仿宋_GB2312" w:hAnsi="宋体" w:eastAsia="仿宋_GB2312"/>
          <w:b/>
          <w:sz w:val="24"/>
        </w:rPr>
        <w:t>（4）组织实施方案（2分）：</w:t>
      </w:r>
      <w:r>
        <w:rPr>
          <w:rFonts w:hint="eastAsia" w:ascii="仿宋_GB2312" w:hAnsi="宋体" w:eastAsia="仿宋_GB2312"/>
          <w:sz w:val="24"/>
        </w:rPr>
        <w:t>投标人组织实施方案的科学性、合理性、规范性和可操作性，包括</w:t>
      </w:r>
      <w:r>
        <w:rPr>
          <w:rFonts w:hint="eastAsia" w:ascii="仿宋_GB2312" w:eastAsia="仿宋_GB2312"/>
          <w:sz w:val="24"/>
          <w:lang w:val="zh-CN"/>
        </w:rPr>
        <w:t>系统集成、</w:t>
      </w:r>
      <w:r>
        <w:rPr>
          <w:rFonts w:hint="eastAsia" w:ascii="仿宋_GB2312" w:hAnsi="仿宋" w:eastAsia="仿宋_GB2312"/>
          <w:sz w:val="24"/>
        </w:rPr>
        <w:t>产品</w:t>
      </w:r>
      <w:r>
        <w:rPr>
          <w:rFonts w:hint="eastAsia" w:ascii="仿宋_GB2312" w:hAnsi="宋体" w:eastAsia="仿宋_GB2312"/>
          <w:sz w:val="24"/>
        </w:rPr>
        <w:t>供货、验货、安装调试、试运行、测试、调优、系统管理培训、系统运行维护培训等内容，以及组织机构、工作时间进度表、工作程序和步骤、管理和协调方法、关键步骤的思路和要点等</w:t>
      </w:r>
      <w:r>
        <w:rPr>
          <w:rFonts w:hint="eastAsia" w:ascii="仿宋_GB2312" w:eastAsia="仿宋_GB2312"/>
          <w:sz w:val="24"/>
        </w:rPr>
        <w:t>。</w:t>
      </w:r>
      <w:r>
        <w:rPr>
          <w:rFonts w:hint="eastAsia" w:ascii="仿宋_GB2312" w:hAnsi="宋体" w:eastAsia="仿宋_GB2312"/>
          <w:sz w:val="24"/>
        </w:rPr>
        <w:t xml:space="preserve"> </w:t>
      </w:r>
    </w:p>
    <w:p>
      <w:pPr>
        <w:tabs>
          <w:tab w:val="left" w:pos="0"/>
        </w:tabs>
        <w:spacing w:line="440" w:lineRule="exact"/>
        <w:ind w:firstLine="361" w:firstLineChars="150"/>
        <w:rPr>
          <w:rFonts w:hint="eastAsia" w:ascii="仿宋_GB2312" w:eastAsia="仿宋_GB2312"/>
          <w:b/>
          <w:sz w:val="24"/>
        </w:rPr>
      </w:pPr>
      <w:r>
        <w:rPr>
          <w:rFonts w:hint="eastAsia" w:ascii="仿宋_GB2312" w:hAnsi="宋体" w:eastAsia="仿宋_GB2312"/>
          <w:b/>
          <w:sz w:val="24"/>
        </w:rPr>
        <w:t>（5）</w:t>
      </w:r>
      <w:r>
        <w:rPr>
          <w:rFonts w:hint="eastAsia" w:ascii="仿宋_GB2312" w:eastAsia="仿宋_GB2312"/>
          <w:b/>
          <w:sz w:val="24"/>
        </w:rPr>
        <w:t>售后服务方案情况（</w:t>
      </w:r>
      <w:r>
        <w:rPr>
          <w:rFonts w:hint="eastAsia" w:ascii="仿宋_GB2312" w:hAnsi="宋体" w:eastAsia="仿宋_GB2312"/>
          <w:b/>
          <w:sz w:val="24"/>
        </w:rPr>
        <w:t>9</w:t>
      </w:r>
      <w:r>
        <w:rPr>
          <w:rFonts w:hint="eastAsia" w:ascii="仿宋_GB2312" w:eastAsia="仿宋_GB2312"/>
          <w:b/>
          <w:sz w:val="24"/>
        </w:rPr>
        <w:t>分）：</w:t>
      </w:r>
    </w:p>
    <w:p>
      <w:pPr>
        <w:tabs>
          <w:tab w:val="left" w:pos="900"/>
        </w:tabs>
        <w:spacing w:line="460" w:lineRule="exact"/>
        <w:ind w:firstLine="360" w:firstLineChars="200"/>
        <w:rPr>
          <w:rFonts w:hint="eastAsia" w:ascii="仿宋_GB2312" w:eastAsia="仿宋_GB2312"/>
          <w:sz w:val="24"/>
        </w:rPr>
      </w:pPr>
      <w:r>
        <w:rPr>
          <w:rFonts w:hint="eastAsia" w:ascii="仿宋_GB2312" w:hAnsi="宋体" w:eastAsia="仿宋_GB2312"/>
          <w:sz w:val="18"/>
          <w:szCs w:val="18"/>
        </w:rPr>
        <w:t>●</w:t>
      </w:r>
      <w:r>
        <w:rPr>
          <w:rFonts w:hint="eastAsia" w:ascii="仿宋_GB2312" w:hAnsi="宋体" w:eastAsia="仿宋_GB2312"/>
          <w:sz w:val="24"/>
        </w:rPr>
        <w:t xml:space="preserve"> </w:t>
      </w:r>
      <w:r>
        <w:rPr>
          <w:rFonts w:hint="eastAsia" w:ascii="仿宋_GB2312" w:eastAsia="仿宋_GB2312"/>
          <w:sz w:val="24"/>
        </w:rPr>
        <w:t>投标人提供的售后维护机构和人员等情况，是否具有较强的本地化服务能力，</w:t>
      </w:r>
      <w:r>
        <w:rPr>
          <w:rFonts w:hint="eastAsia" w:ascii="仿宋_GB2312" w:eastAsia="仿宋_GB2312"/>
          <w:sz w:val="24"/>
          <w:lang w:val="zh-CN"/>
        </w:rPr>
        <w:t>在本地是否拥有常驻服务和技术支持机构</w:t>
      </w:r>
      <w:r>
        <w:rPr>
          <w:rFonts w:hint="eastAsia" w:ascii="仿宋_GB2312" w:eastAsia="仿宋_GB2312"/>
          <w:sz w:val="24"/>
        </w:rPr>
        <w:t>（</w:t>
      </w:r>
      <w:r>
        <w:rPr>
          <w:rFonts w:hint="eastAsia" w:ascii="仿宋_GB2312" w:hAnsi="宋体" w:eastAsia="仿宋_GB2312"/>
          <w:snapToGrid w:val="0"/>
          <w:sz w:val="24"/>
        </w:rPr>
        <w:t>非本地投标人</w:t>
      </w:r>
      <w:r>
        <w:rPr>
          <w:rFonts w:hint="eastAsia" w:ascii="仿宋_GB2312" w:hAnsi="宋体" w:eastAsia="仿宋_GB2312"/>
          <w:sz w:val="24"/>
          <w:lang w:val="zh-CN"/>
        </w:rPr>
        <w:t>在杭州是否有分公司或办事处作为常驻服务和技术支持机构</w:t>
      </w:r>
      <w:r>
        <w:rPr>
          <w:rFonts w:hint="eastAsia" w:ascii="仿宋_GB2312" w:eastAsia="仿宋_GB2312"/>
          <w:sz w:val="24"/>
        </w:rPr>
        <w:t>）</w:t>
      </w:r>
      <w:r>
        <w:rPr>
          <w:rFonts w:hint="eastAsia" w:ascii="仿宋_GB2312" w:eastAsia="仿宋_GB2312"/>
          <w:sz w:val="24"/>
          <w:lang w:val="zh-CN"/>
        </w:rPr>
        <w:t>以及</w:t>
      </w:r>
      <w:r>
        <w:rPr>
          <w:rFonts w:hint="eastAsia" w:ascii="仿宋_GB2312" w:eastAsia="仿宋_GB2312"/>
          <w:sz w:val="24"/>
        </w:rPr>
        <w:t>较强的专业技术队伍，能提供快速的售后服务响应（3分）；</w:t>
      </w:r>
    </w:p>
    <w:p>
      <w:pPr>
        <w:tabs>
          <w:tab w:val="left" w:pos="900"/>
        </w:tabs>
        <w:spacing w:line="460" w:lineRule="exact"/>
        <w:ind w:firstLine="360" w:firstLineChars="200"/>
        <w:rPr>
          <w:rFonts w:hint="eastAsia" w:ascii="仿宋_GB2312" w:eastAsia="仿宋_GB2312"/>
          <w:sz w:val="24"/>
        </w:rPr>
      </w:pPr>
      <w:r>
        <w:rPr>
          <w:rFonts w:hint="eastAsia" w:ascii="仿宋_GB2312" w:hAnsi="宋体" w:eastAsia="仿宋_GB2312"/>
          <w:sz w:val="18"/>
          <w:szCs w:val="18"/>
        </w:rPr>
        <w:t xml:space="preserve">● </w:t>
      </w:r>
      <w:r>
        <w:rPr>
          <w:rFonts w:hint="eastAsia" w:ascii="仿宋_GB2312" w:eastAsia="仿宋_GB2312"/>
          <w:sz w:val="24"/>
        </w:rPr>
        <w:t>投标人提供的售后服务方案、维护人员和机构等情况，服务承诺的可行性、完整性</w:t>
      </w:r>
      <w:r>
        <w:rPr>
          <w:rFonts w:hint="eastAsia" w:ascii="仿宋_GB2312" w:hAnsi="Tahoma" w:eastAsia="仿宋_GB2312" w:cs="Tahoma"/>
          <w:sz w:val="24"/>
        </w:rPr>
        <w:t>以及</w:t>
      </w:r>
      <w:r>
        <w:rPr>
          <w:rFonts w:hint="eastAsia" w:ascii="仿宋_GB2312" w:eastAsia="仿宋_GB2312"/>
          <w:sz w:val="24"/>
        </w:rPr>
        <w:t>服务承诺落实的保障措施，质保期内外的后续技术支持和维护能力情况等；投标设备的配件、</w:t>
      </w:r>
      <w:r>
        <w:rPr>
          <w:rFonts w:hint="eastAsia" w:ascii="仿宋_GB2312" w:hAnsi="宋体" w:eastAsia="仿宋_GB2312"/>
          <w:sz w:val="24"/>
        </w:rPr>
        <w:t>附件、备品备件的准备和</w:t>
      </w:r>
      <w:r>
        <w:rPr>
          <w:rFonts w:hint="eastAsia" w:ascii="仿宋_GB2312" w:eastAsia="仿宋_GB2312"/>
          <w:sz w:val="24"/>
        </w:rPr>
        <w:t>保障措施情况，</w:t>
      </w:r>
      <w:r>
        <w:rPr>
          <w:rFonts w:hint="eastAsia" w:ascii="仿宋_GB2312" w:hAnsi="宋体" w:eastAsia="仿宋_GB2312"/>
          <w:sz w:val="24"/>
        </w:rPr>
        <w:t>其它有关资料和材料</w:t>
      </w:r>
      <w:r>
        <w:rPr>
          <w:rFonts w:hint="eastAsia" w:ascii="仿宋_GB2312" w:hAnsi="Tahoma" w:eastAsia="仿宋_GB2312" w:cs="Tahoma"/>
          <w:sz w:val="24"/>
        </w:rPr>
        <w:t>的</w:t>
      </w:r>
      <w:r>
        <w:rPr>
          <w:rFonts w:hint="eastAsia" w:ascii="仿宋_GB2312" w:eastAsia="仿宋_GB2312"/>
          <w:sz w:val="24"/>
        </w:rPr>
        <w:t>完整性、合理性和可操作性等情况</w:t>
      </w:r>
      <w:r>
        <w:rPr>
          <w:rFonts w:hint="eastAsia" w:ascii="仿宋_GB2312" w:hAnsi="仿宋" w:eastAsia="仿宋_GB2312"/>
          <w:sz w:val="24"/>
        </w:rPr>
        <w:t>（</w:t>
      </w:r>
      <w:r>
        <w:rPr>
          <w:rFonts w:hint="eastAsia" w:ascii="仿宋_GB2312" w:eastAsia="仿宋_GB2312" w:cs="Wingdings"/>
          <w:sz w:val="24"/>
        </w:rPr>
        <w:t>3分）；</w:t>
      </w:r>
    </w:p>
    <w:p>
      <w:pPr>
        <w:tabs>
          <w:tab w:val="left" w:pos="0"/>
        </w:tabs>
        <w:spacing w:line="440" w:lineRule="exact"/>
        <w:ind w:firstLine="360" w:firstLineChars="200"/>
        <w:rPr>
          <w:rFonts w:hint="eastAsia" w:ascii="仿宋_GB2312" w:hAnsi="宋体" w:eastAsia="仿宋_GB2312"/>
          <w:sz w:val="24"/>
        </w:rPr>
      </w:pPr>
      <w:r>
        <w:rPr>
          <w:rFonts w:hint="eastAsia" w:ascii="仿宋_GB2312" w:hAnsi="宋体" w:eastAsia="仿宋_GB2312"/>
          <w:sz w:val="18"/>
          <w:szCs w:val="18"/>
        </w:rPr>
        <w:t xml:space="preserve">● </w:t>
      </w:r>
      <w:r>
        <w:rPr>
          <w:rFonts w:hint="eastAsia" w:ascii="仿宋_GB2312" w:hAnsi="宋体" w:eastAsia="仿宋_GB2312"/>
          <w:sz w:val="24"/>
        </w:rPr>
        <w:t>投标主要设备原厂质保期限及服务承诺是否满足或采购需求，参考原厂商授权的代理证书及原厂质保服务承诺书，每缺少一样扣1分，扣完为止，未提供或提供的质保期限及服务承诺不符合要求此项不得分</w:t>
      </w:r>
      <w:r>
        <w:rPr>
          <w:rFonts w:hint="eastAsia" w:ascii="仿宋_GB2312" w:hAnsi="宋体" w:eastAsia="仿宋_GB2312" w:cs="Wingdings"/>
          <w:sz w:val="24"/>
        </w:rPr>
        <w:t>（3分）。</w:t>
      </w:r>
      <w:r>
        <w:rPr>
          <w:rFonts w:hint="eastAsia" w:ascii="仿宋_GB2312" w:hAnsi="宋体" w:eastAsia="仿宋_GB2312"/>
          <w:sz w:val="24"/>
        </w:rPr>
        <w:t xml:space="preserve"> </w:t>
      </w:r>
    </w:p>
    <w:p>
      <w:pPr>
        <w:snapToGrid w:val="0"/>
        <w:spacing w:line="460" w:lineRule="exact"/>
        <w:ind w:right="-109" w:rightChars="-52" w:firstLine="361" w:firstLineChars="150"/>
        <w:rPr>
          <w:rFonts w:hint="eastAsia" w:ascii="仿宋_GB2312" w:hAnsi="宋体" w:eastAsia="仿宋_GB2312"/>
          <w:b/>
          <w:sz w:val="24"/>
        </w:rPr>
      </w:pPr>
      <w:r>
        <w:rPr>
          <w:rFonts w:hint="eastAsia" w:ascii="仿宋_GB2312" w:hAnsi="宋体" w:eastAsia="仿宋_GB2312"/>
          <w:b/>
          <w:sz w:val="24"/>
        </w:rPr>
        <w:t>（6）项目组人员素质情况（4分）：</w:t>
      </w:r>
    </w:p>
    <w:p>
      <w:pPr>
        <w:snapToGrid w:val="0"/>
        <w:spacing w:line="460" w:lineRule="exact"/>
        <w:ind w:firstLine="360" w:firstLineChars="200"/>
        <w:rPr>
          <w:rFonts w:hint="eastAsia" w:ascii="仿宋_GB2312" w:eastAsia="仿宋_GB2312"/>
          <w:sz w:val="24"/>
        </w:rPr>
      </w:pPr>
      <w:r>
        <w:rPr>
          <w:rFonts w:hint="eastAsia" w:ascii="仿宋_GB2312" w:eastAsia="仿宋_GB2312"/>
          <w:sz w:val="18"/>
          <w:szCs w:val="18"/>
        </w:rPr>
        <w:t xml:space="preserve">● </w:t>
      </w:r>
      <w:r>
        <w:rPr>
          <w:rFonts w:hint="eastAsia" w:ascii="仿宋_GB2312" w:eastAsia="仿宋_GB2312"/>
          <w:kern w:val="0"/>
          <w:sz w:val="24"/>
          <w:lang w:val="zh-CN"/>
        </w:rPr>
        <w:t>是否具有完备的管理组织、项目实施规范和管理制度</w:t>
      </w:r>
      <w:r>
        <w:rPr>
          <w:rFonts w:hint="eastAsia" w:ascii="仿宋_GB2312" w:eastAsia="仿宋_GB2312"/>
          <w:sz w:val="24"/>
        </w:rPr>
        <w:t>等</w:t>
      </w:r>
      <w:r>
        <w:rPr>
          <w:rFonts w:hint="eastAsia" w:ascii="仿宋_GB2312" w:hAnsi="宋体" w:eastAsia="仿宋_GB2312"/>
          <w:sz w:val="24"/>
        </w:rPr>
        <w:t>，</w:t>
      </w:r>
      <w:r>
        <w:rPr>
          <w:rFonts w:hint="eastAsia" w:ascii="仿宋_GB2312" w:eastAsia="仿宋_GB2312"/>
          <w:kern w:val="0"/>
          <w:sz w:val="24"/>
          <w:lang w:val="zh-CN"/>
        </w:rPr>
        <w:t>并能有效实施；</w:t>
      </w:r>
      <w:r>
        <w:rPr>
          <w:rFonts w:hint="eastAsia" w:ascii="仿宋_GB2312" w:eastAsia="仿宋_GB2312"/>
          <w:sz w:val="24"/>
        </w:rPr>
        <w:t>拟投入本项目的管理与作业人员总数、作业设备、软件和系统集成的综合水平情况</w:t>
      </w:r>
      <w:r>
        <w:rPr>
          <w:rFonts w:hint="eastAsia" w:ascii="仿宋_GB2312" w:hAnsi="宋体" w:eastAsia="仿宋_GB2312" w:cs="Wingdings"/>
          <w:sz w:val="24"/>
        </w:rPr>
        <w:t>（2分）；</w:t>
      </w:r>
    </w:p>
    <w:p>
      <w:pPr>
        <w:tabs>
          <w:tab w:val="left" w:pos="0"/>
        </w:tabs>
        <w:spacing w:line="440" w:lineRule="exact"/>
        <w:ind w:firstLine="360" w:firstLineChars="200"/>
        <w:rPr>
          <w:rFonts w:hint="eastAsia" w:ascii="仿宋_GB2312" w:hAnsi="宋体" w:eastAsia="仿宋_GB2312"/>
          <w:sz w:val="24"/>
        </w:rPr>
      </w:pPr>
      <w:r>
        <w:rPr>
          <w:rFonts w:hint="eastAsia" w:ascii="仿宋_GB2312" w:eastAsia="仿宋_GB2312"/>
          <w:sz w:val="18"/>
          <w:szCs w:val="18"/>
        </w:rPr>
        <w:t xml:space="preserve">● </w:t>
      </w:r>
      <w:r>
        <w:rPr>
          <w:rFonts w:hint="eastAsia" w:ascii="仿宋_GB2312" w:eastAsia="仿宋_GB2312"/>
          <w:sz w:val="24"/>
        </w:rPr>
        <w:t>拟担任本</w:t>
      </w:r>
      <w:r>
        <w:rPr>
          <w:rFonts w:hint="eastAsia" w:ascii="仿宋_GB2312" w:hAnsi="Wingdings" w:eastAsia="仿宋_GB2312" w:cs="Wingdings"/>
          <w:sz w:val="24"/>
        </w:rPr>
        <w:t>项目经理、技术负责人和</w:t>
      </w:r>
      <w:r>
        <w:rPr>
          <w:rFonts w:hint="eastAsia" w:ascii="仿宋_GB2312" w:eastAsia="仿宋_GB2312"/>
          <w:sz w:val="24"/>
        </w:rPr>
        <w:t>项目组</w:t>
      </w:r>
      <w:r>
        <w:rPr>
          <w:rFonts w:hint="eastAsia" w:ascii="仿宋_GB2312" w:eastAsia="仿宋_GB2312" w:cs="Tahoma"/>
          <w:sz w:val="24"/>
        </w:rPr>
        <w:t>实施人员</w:t>
      </w:r>
      <w:r>
        <w:rPr>
          <w:rFonts w:hint="eastAsia" w:ascii="仿宋_GB2312" w:eastAsia="仿宋_GB2312"/>
          <w:sz w:val="24"/>
        </w:rPr>
        <w:t>的专业素质、技术能力、经验等情况，</w:t>
      </w:r>
      <w:r>
        <w:rPr>
          <w:rFonts w:hint="eastAsia" w:ascii="仿宋_GB2312" w:eastAsia="仿宋_GB2312" w:cs="Tahoma"/>
          <w:sz w:val="24"/>
        </w:rPr>
        <w:t>数量是否充足，配置是否合理等</w:t>
      </w:r>
      <w:r>
        <w:rPr>
          <w:rFonts w:hint="eastAsia" w:ascii="仿宋_GB2312" w:hAnsi="Wingdings" w:eastAsia="仿宋_GB2312" w:cs="Wingdings"/>
          <w:sz w:val="24"/>
        </w:rPr>
        <w:t>，</w:t>
      </w:r>
      <w:r>
        <w:rPr>
          <w:rFonts w:hint="eastAsia" w:ascii="仿宋_GB2312" w:eastAsia="仿宋_GB2312"/>
          <w:sz w:val="24"/>
        </w:rPr>
        <w:t>是否具有同类项目</w:t>
      </w:r>
      <w:r>
        <w:rPr>
          <w:rFonts w:hint="eastAsia" w:ascii="仿宋_GB2312" w:hAnsi="宋体" w:eastAsia="仿宋_GB2312"/>
          <w:sz w:val="24"/>
        </w:rPr>
        <w:t>建设经验，</w:t>
      </w:r>
      <w:r>
        <w:rPr>
          <w:rFonts w:hint="eastAsia" w:ascii="仿宋_GB2312" w:hAnsi="Wingdings" w:eastAsia="仿宋_GB2312" w:cs="Wingdings"/>
          <w:sz w:val="24"/>
        </w:rPr>
        <w:t>项目经理</w:t>
      </w:r>
      <w:r>
        <w:rPr>
          <w:rFonts w:hint="eastAsia" w:ascii="仿宋_GB2312" w:hAnsi="宋体" w:eastAsia="仿宋_GB2312"/>
          <w:sz w:val="24"/>
        </w:rPr>
        <w:t>是否</w:t>
      </w:r>
      <w:r>
        <w:rPr>
          <w:rFonts w:hint="eastAsia" w:ascii="仿宋_GB2312" w:eastAsia="仿宋_GB2312"/>
          <w:sz w:val="24"/>
        </w:rPr>
        <w:t>具有调动投标人各项资源能力，</w:t>
      </w:r>
      <w:r>
        <w:rPr>
          <w:rFonts w:hint="eastAsia" w:ascii="仿宋_GB2312" w:hAnsi="宋体" w:eastAsia="仿宋_GB2312"/>
          <w:sz w:val="24"/>
        </w:rPr>
        <w:t>确保100%到位所采取的措施情况</w:t>
      </w:r>
      <w:r>
        <w:rPr>
          <w:rFonts w:hint="eastAsia" w:ascii="仿宋_GB2312" w:eastAsia="仿宋_GB2312"/>
          <w:sz w:val="24"/>
        </w:rPr>
        <w:t>；</w:t>
      </w:r>
      <w:r>
        <w:rPr>
          <w:rFonts w:hint="eastAsia" w:ascii="仿宋_GB2312" w:hAnsi="Wingdings" w:eastAsia="仿宋_GB2312" w:cs="Wingdings"/>
          <w:sz w:val="24"/>
        </w:rPr>
        <w:t>项目经理和技术负责人的</w:t>
      </w:r>
      <w:r>
        <w:rPr>
          <w:rFonts w:hint="eastAsia" w:ascii="仿宋_GB2312" w:eastAsia="仿宋_GB2312"/>
          <w:sz w:val="24"/>
        </w:rPr>
        <w:t>资质、工作履历、工程实践证明资料等</w:t>
      </w:r>
      <w:r>
        <w:rPr>
          <w:rFonts w:hint="eastAsia" w:ascii="仿宋_GB2312" w:eastAsia="仿宋_GB2312"/>
          <w:kern w:val="0"/>
          <w:sz w:val="24"/>
        </w:rPr>
        <w:t>情况（</w:t>
      </w:r>
      <w:r>
        <w:rPr>
          <w:rFonts w:hint="eastAsia" w:ascii="仿宋_GB2312" w:hAnsi="宋体" w:eastAsia="仿宋_GB2312"/>
          <w:sz w:val="24"/>
        </w:rPr>
        <w:t>参考</w:t>
      </w:r>
      <w:r>
        <w:rPr>
          <w:rFonts w:hint="eastAsia" w:ascii="仿宋_GB2312" w:eastAsia="仿宋_GB2312"/>
          <w:sz w:val="24"/>
        </w:rPr>
        <w:t>履历表和相关资料、证书等）（2分）</w:t>
      </w:r>
      <w:r>
        <w:rPr>
          <w:rFonts w:hint="eastAsia" w:ascii="仿宋_GB2312" w:hAnsi="宋体" w:eastAsia="仿宋_GB2312" w:cs="Wingdings"/>
          <w:sz w:val="24"/>
        </w:rPr>
        <w:t>。</w:t>
      </w:r>
    </w:p>
    <w:p>
      <w:pPr>
        <w:adjustRightInd w:val="0"/>
        <w:snapToGrid w:val="0"/>
        <w:spacing w:line="440" w:lineRule="exact"/>
        <w:ind w:left="105" w:leftChars="50" w:firstLine="361" w:firstLineChars="150"/>
        <w:rPr>
          <w:rFonts w:hint="eastAsia" w:ascii="仿宋_GB2312" w:eastAsia="仿宋_GB2312"/>
          <w:b/>
          <w:sz w:val="24"/>
        </w:rPr>
      </w:pPr>
      <w:r>
        <w:rPr>
          <w:rFonts w:hint="eastAsia" w:ascii="仿宋_GB2312" w:hAnsi="宋体" w:eastAsia="仿宋_GB2312"/>
          <w:b/>
          <w:sz w:val="24"/>
        </w:rPr>
        <w:t>（7）</w:t>
      </w:r>
      <w:r>
        <w:rPr>
          <w:rFonts w:hint="eastAsia" w:ascii="仿宋_GB2312" w:hAnsi="Wingdings" w:eastAsia="仿宋_GB2312"/>
          <w:b/>
          <w:sz w:val="24"/>
        </w:rPr>
        <w:t>培训、测试、试运行和验收</w:t>
      </w:r>
      <w:r>
        <w:rPr>
          <w:rFonts w:hint="eastAsia" w:ascii="仿宋_GB2312" w:eastAsia="仿宋_GB2312"/>
          <w:b/>
          <w:sz w:val="24"/>
        </w:rPr>
        <w:t>（</w:t>
      </w:r>
      <w:r>
        <w:rPr>
          <w:rFonts w:hint="eastAsia" w:ascii="仿宋_GB2312" w:hAnsi="宋体" w:eastAsia="仿宋_GB2312"/>
          <w:b/>
          <w:sz w:val="24"/>
        </w:rPr>
        <w:t>2</w:t>
      </w:r>
      <w:r>
        <w:rPr>
          <w:rFonts w:hint="eastAsia" w:ascii="仿宋_GB2312" w:eastAsia="仿宋_GB2312"/>
          <w:b/>
          <w:sz w:val="24"/>
        </w:rPr>
        <w:t>分）：</w:t>
      </w:r>
    </w:p>
    <w:p>
      <w:pPr>
        <w:adjustRightInd w:val="0"/>
        <w:snapToGrid w:val="0"/>
        <w:spacing w:line="440" w:lineRule="exact"/>
        <w:ind w:firstLine="360" w:firstLineChars="200"/>
        <w:rPr>
          <w:rFonts w:hint="eastAsia" w:ascii="仿宋_GB2312" w:hAnsi="Wingdings" w:eastAsia="仿宋_GB2312"/>
          <w:sz w:val="24"/>
        </w:rPr>
      </w:pPr>
      <w:r>
        <w:rPr>
          <w:rFonts w:hint="eastAsia" w:ascii="仿宋_GB2312" w:eastAsia="仿宋_GB2312"/>
          <w:sz w:val="18"/>
          <w:szCs w:val="18"/>
        </w:rPr>
        <w:t xml:space="preserve">● </w:t>
      </w:r>
      <w:r>
        <w:rPr>
          <w:rFonts w:hint="eastAsia" w:ascii="仿宋_GB2312" w:hAnsi="Wingdings" w:eastAsia="仿宋_GB2312"/>
          <w:sz w:val="24"/>
        </w:rPr>
        <w:t>投标人</w:t>
      </w:r>
      <w:r>
        <w:rPr>
          <w:rFonts w:hint="eastAsia" w:ascii="仿宋_GB2312" w:eastAsia="仿宋_GB2312"/>
          <w:sz w:val="24"/>
        </w:rPr>
        <w:t>提出的功能测试、</w:t>
      </w:r>
      <w:r>
        <w:rPr>
          <w:rFonts w:hint="eastAsia" w:ascii="仿宋_GB2312" w:hAnsi="Wingdings" w:eastAsia="仿宋_GB2312"/>
          <w:sz w:val="24"/>
        </w:rPr>
        <w:t>试运行</w:t>
      </w:r>
      <w:r>
        <w:rPr>
          <w:rFonts w:hint="eastAsia" w:ascii="仿宋_GB2312" w:eastAsia="仿宋_GB2312"/>
          <w:sz w:val="24"/>
        </w:rPr>
        <w:t>及验收方案的合理性、可行性情况</w:t>
      </w:r>
      <w:r>
        <w:rPr>
          <w:rFonts w:hint="eastAsia" w:ascii="仿宋_GB2312" w:hAnsi="Wingdings" w:eastAsia="仿宋_GB2312"/>
          <w:sz w:val="24"/>
        </w:rPr>
        <w:t>等（1分）；</w:t>
      </w:r>
    </w:p>
    <w:p>
      <w:pPr>
        <w:adjustRightInd w:val="0"/>
        <w:snapToGrid w:val="0"/>
        <w:spacing w:line="440" w:lineRule="exact"/>
        <w:ind w:firstLine="360" w:firstLineChars="200"/>
        <w:rPr>
          <w:rFonts w:hint="eastAsia" w:ascii="仿宋_GB2312" w:hAnsi="Wingdings" w:eastAsia="仿宋_GB2312"/>
          <w:sz w:val="24"/>
        </w:rPr>
      </w:pPr>
      <w:r>
        <w:rPr>
          <w:rFonts w:hint="eastAsia" w:ascii="仿宋_GB2312" w:eastAsia="仿宋_GB2312"/>
          <w:sz w:val="18"/>
          <w:szCs w:val="18"/>
        </w:rPr>
        <w:t xml:space="preserve">● </w:t>
      </w:r>
      <w:r>
        <w:rPr>
          <w:rFonts w:hint="eastAsia" w:ascii="仿宋_GB2312" w:hAnsi="Wingdings" w:eastAsia="仿宋_GB2312"/>
          <w:sz w:val="24"/>
        </w:rPr>
        <w:t>投标人提出培训计划、地点、组织、人员配备、软硬件资料</w:t>
      </w:r>
      <w:r>
        <w:rPr>
          <w:rFonts w:hint="eastAsia" w:ascii="仿宋_GB2312" w:eastAsia="仿宋_GB2312"/>
          <w:sz w:val="24"/>
        </w:rPr>
        <w:t>等</w:t>
      </w:r>
      <w:r>
        <w:rPr>
          <w:rFonts w:hint="eastAsia" w:ascii="仿宋_GB2312" w:hAnsi="Wingdings" w:eastAsia="仿宋_GB2312"/>
          <w:sz w:val="24"/>
        </w:rPr>
        <w:t xml:space="preserve">内容是否完整、科学合理（1分）。 </w:t>
      </w:r>
    </w:p>
    <w:p>
      <w:pPr>
        <w:adjustRightInd w:val="0"/>
        <w:snapToGrid w:val="0"/>
        <w:spacing w:line="440" w:lineRule="exact"/>
        <w:ind w:left="105" w:leftChars="50" w:firstLine="361" w:firstLineChars="150"/>
        <w:rPr>
          <w:rFonts w:hint="eastAsia" w:ascii="仿宋_GB2312" w:eastAsia="仿宋_GB2312"/>
          <w:b/>
          <w:sz w:val="24"/>
        </w:rPr>
      </w:pPr>
      <w:r>
        <w:rPr>
          <w:rFonts w:hint="eastAsia" w:ascii="仿宋_GB2312" w:hAnsi="宋体" w:eastAsia="仿宋_GB2312"/>
          <w:b/>
          <w:sz w:val="24"/>
        </w:rPr>
        <w:t>（8）</w:t>
      </w:r>
      <w:r>
        <w:rPr>
          <w:rFonts w:hint="eastAsia" w:ascii="仿宋_GB2312" w:hAnsi="Wingdings" w:eastAsia="仿宋_GB2312"/>
          <w:b/>
          <w:sz w:val="24"/>
        </w:rPr>
        <w:t>质量保证措施和</w:t>
      </w:r>
      <w:r>
        <w:rPr>
          <w:rFonts w:hint="eastAsia" w:ascii="仿宋_GB2312" w:hAnsi="宋体" w:eastAsia="仿宋_GB2312"/>
          <w:b/>
          <w:sz w:val="24"/>
        </w:rPr>
        <w:t>建设工期情况</w:t>
      </w:r>
      <w:r>
        <w:rPr>
          <w:rFonts w:hint="eastAsia" w:ascii="仿宋_GB2312" w:eastAsia="仿宋_GB2312"/>
          <w:b/>
          <w:sz w:val="24"/>
        </w:rPr>
        <w:t>（</w:t>
      </w:r>
      <w:r>
        <w:rPr>
          <w:rFonts w:hint="eastAsia" w:ascii="仿宋_GB2312" w:hAnsi="宋体" w:eastAsia="仿宋_GB2312"/>
          <w:b/>
          <w:sz w:val="24"/>
        </w:rPr>
        <w:t>2</w:t>
      </w:r>
      <w:r>
        <w:rPr>
          <w:rFonts w:hint="eastAsia" w:ascii="仿宋_GB2312" w:eastAsia="仿宋_GB2312"/>
          <w:b/>
          <w:sz w:val="24"/>
        </w:rPr>
        <w:t>分）：</w:t>
      </w:r>
    </w:p>
    <w:p>
      <w:pPr>
        <w:adjustRightInd w:val="0"/>
        <w:snapToGrid w:val="0"/>
        <w:spacing w:line="440" w:lineRule="exact"/>
        <w:ind w:firstLine="360" w:firstLineChars="200"/>
        <w:rPr>
          <w:rFonts w:hint="eastAsia" w:ascii="仿宋_GB2312" w:hAnsi="宋体" w:eastAsia="仿宋_GB2312"/>
          <w:sz w:val="24"/>
        </w:rPr>
      </w:pPr>
      <w:r>
        <w:rPr>
          <w:rFonts w:hint="eastAsia" w:ascii="仿宋_GB2312" w:eastAsia="仿宋_GB2312"/>
          <w:sz w:val="18"/>
          <w:szCs w:val="18"/>
        </w:rPr>
        <w:t xml:space="preserve">● </w:t>
      </w:r>
      <w:r>
        <w:rPr>
          <w:rFonts w:hint="eastAsia" w:ascii="仿宋_GB2312" w:hAnsi="Wingdings" w:eastAsia="仿宋_GB2312"/>
          <w:sz w:val="24"/>
        </w:rPr>
        <w:t>投标人按采购人要求有明确的建设质量目标，质量保证措施，并具有详细可行的实施内容等</w:t>
      </w:r>
      <w:r>
        <w:rPr>
          <w:rFonts w:hint="eastAsia" w:ascii="仿宋_GB2312" w:hAnsi="宋体" w:eastAsia="仿宋_GB2312"/>
          <w:sz w:val="24"/>
        </w:rPr>
        <w:t>（1分）；</w:t>
      </w:r>
    </w:p>
    <w:p>
      <w:pPr>
        <w:adjustRightInd w:val="0"/>
        <w:snapToGrid w:val="0"/>
        <w:spacing w:line="440" w:lineRule="exact"/>
        <w:ind w:firstLine="360" w:firstLineChars="200"/>
        <w:rPr>
          <w:rFonts w:hint="eastAsia" w:ascii="仿宋_GB2312" w:eastAsia="仿宋_GB2312"/>
          <w:sz w:val="24"/>
        </w:rPr>
      </w:pPr>
      <w:r>
        <w:rPr>
          <w:rFonts w:hint="eastAsia" w:ascii="仿宋_GB2312" w:eastAsia="仿宋_GB2312"/>
          <w:sz w:val="18"/>
          <w:szCs w:val="18"/>
        </w:rPr>
        <w:t xml:space="preserve">● </w:t>
      </w:r>
      <w:r>
        <w:rPr>
          <w:rFonts w:hint="eastAsia" w:ascii="仿宋_GB2312" w:hAnsi="Wingdings" w:eastAsia="仿宋_GB2312"/>
          <w:sz w:val="24"/>
        </w:rPr>
        <w:t>投标方案</w:t>
      </w:r>
      <w:r>
        <w:rPr>
          <w:rFonts w:hint="eastAsia" w:ascii="仿宋_GB2312" w:hAnsi="Tahoma" w:eastAsia="仿宋_GB2312"/>
          <w:sz w:val="24"/>
        </w:rPr>
        <w:t>是否提出符合招标文件和采购人要求，按期完成设备供货、系统集成、上线运行、</w:t>
      </w:r>
      <w:r>
        <w:rPr>
          <w:rFonts w:hint="eastAsia" w:ascii="仿宋_GB2312" w:eastAsia="仿宋_GB2312"/>
          <w:sz w:val="24"/>
        </w:rPr>
        <w:t>验收等措施（1分）；</w:t>
      </w:r>
    </w:p>
    <w:p>
      <w:pPr>
        <w:adjustRightInd w:val="0"/>
        <w:snapToGrid w:val="0"/>
        <w:spacing w:line="440" w:lineRule="exact"/>
        <w:ind w:left="105" w:leftChars="50" w:firstLine="361" w:firstLineChars="150"/>
        <w:rPr>
          <w:rFonts w:hint="eastAsia" w:ascii="仿宋_GB2312" w:hAnsi="宋体" w:eastAsia="仿宋_GB2312"/>
          <w:sz w:val="24"/>
        </w:rPr>
      </w:pPr>
      <w:r>
        <w:rPr>
          <w:rFonts w:hint="eastAsia" w:ascii="仿宋_GB2312" w:hAnsi="Wingdings" w:eastAsia="仿宋_GB2312"/>
          <w:b/>
          <w:sz w:val="24"/>
        </w:rPr>
        <w:t>（9）</w:t>
      </w:r>
      <w:r>
        <w:rPr>
          <w:rFonts w:hint="eastAsia" w:ascii="仿宋_GB2312" w:hAnsi="Tahoma" w:eastAsia="仿宋_GB2312"/>
          <w:b/>
          <w:sz w:val="24"/>
        </w:rPr>
        <w:t>优惠和承诺</w:t>
      </w:r>
      <w:r>
        <w:rPr>
          <w:rFonts w:hint="eastAsia" w:ascii="仿宋_GB2312" w:eastAsia="仿宋_GB2312"/>
          <w:b/>
          <w:sz w:val="24"/>
        </w:rPr>
        <w:t>（1分）：</w:t>
      </w:r>
      <w:r>
        <w:rPr>
          <w:rFonts w:hint="eastAsia" w:ascii="仿宋_GB2312" w:hAnsi="Wingdings" w:eastAsia="仿宋_GB2312" w:cs="Wingdings"/>
          <w:sz w:val="24"/>
        </w:rPr>
        <w:t>投标人提出的优惠条件和承诺情况，</w:t>
      </w:r>
      <w:r>
        <w:rPr>
          <w:rFonts w:hint="eastAsia" w:ascii="仿宋_GB2312" w:eastAsia="仿宋_GB2312"/>
          <w:sz w:val="24"/>
        </w:rPr>
        <w:t>包括与其他软件、硬件产品供应商的合作和</w:t>
      </w:r>
      <w:r>
        <w:rPr>
          <w:rFonts w:hint="eastAsia" w:ascii="仿宋_GB2312" w:hAnsi="Wingdings" w:eastAsia="仿宋_GB2312" w:cs="Wingdings"/>
          <w:sz w:val="24"/>
        </w:rPr>
        <w:t>可实现程度等，对</w:t>
      </w:r>
      <w:r>
        <w:rPr>
          <w:rFonts w:hint="eastAsia" w:ascii="仿宋_GB2312" w:eastAsia="仿宋_GB2312"/>
          <w:sz w:val="24"/>
        </w:rPr>
        <w:t>专家提出问题的回答情况是否全面、科学、合理</w:t>
      </w:r>
      <w:r>
        <w:rPr>
          <w:rFonts w:hint="eastAsia" w:ascii="仿宋_GB2312" w:hAnsi="宋体" w:eastAsia="仿宋_GB2312"/>
          <w:sz w:val="24"/>
        </w:rPr>
        <w:t>。</w:t>
      </w:r>
    </w:p>
    <w:p>
      <w:pPr>
        <w:adjustRightInd w:val="0"/>
        <w:snapToGrid w:val="0"/>
        <w:spacing w:line="440" w:lineRule="exact"/>
        <w:ind w:left="105" w:leftChars="50" w:firstLine="361" w:firstLineChars="150"/>
        <w:rPr>
          <w:rFonts w:hint="eastAsia" w:ascii="仿宋_GB2312" w:hAnsi="宋体" w:eastAsia="仿宋_GB2312"/>
          <w:sz w:val="24"/>
        </w:rPr>
      </w:pPr>
      <w:r>
        <w:rPr>
          <w:rFonts w:hint="eastAsia" w:ascii="仿宋_GB2312" w:hAnsi="宋体" w:eastAsia="仿宋_GB2312"/>
          <w:b/>
          <w:sz w:val="24"/>
        </w:rPr>
        <w:t>（10）</w:t>
      </w:r>
      <w:r>
        <w:rPr>
          <w:rFonts w:hint="eastAsia" w:ascii="仿宋_GB2312" w:hAnsi="宋体" w:eastAsia="仿宋_GB2312" w:cs="Wingdings"/>
          <w:b/>
          <w:sz w:val="24"/>
        </w:rPr>
        <w:t>投标文件的制作情况（</w:t>
      </w:r>
      <w:r>
        <w:rPr>
          <w:rFonts w:hint="eastAsia" w:ascii="仿宋_GB2312" w:hAnsi="宋体" w:eastAsia="仿宋_GB2312"/>
          <w:b/>
          <w:sz w:val="24"/>
        </w:rPr>
        <w:t>1</w:t>
      </w:r>
      <w:r>
        <w:rPr>
          <w:rFonts w:hint="eastAsia" w:ascii="仿宋_GB2312" w:eastAsia="仿宋_GB2312"/>
          <w:b/>
          <w:sz w:val="24"/>
        </w:rPr>
        <w:t>分）：</w:t>
      </w:r>
      <w:r>
        <w:rPr>
          <w:rFonts w:hint="eastAsia" w:ascii="仿宋_GB2312" w:eastAsia="仿宋_GB2312" w:cs="Tahoma"/>
          <w:sz w:val="24"/>
        </w:rPr>
        <w:t>相关资料的提供情况，是否真实、完整、清晰、有序、合理；</w:t>
      </w:r>
      <w:r>
        <w:rPr>
          <w:rFonts w:hint="eastAsia" w:ascii="仿宋_GB2312" w:eastAsia="仿宋_GB2312"/>
          <w:sz w:val="24"/>
        </w:rPr>
        <w:t>投标文件是否编制完整、格式规范、内容齐全、表述准确、条理清晰，内容无前后矛盾，符合招标文件要求。</w:t>
      </w:r>
    </w:p>
    <w:p>
      <w:pPr>
        <w:spacing w:line="440" w:lineRule="exact"/>
        <w:ind w:firstLine="482" w:firstLineChars="200"/>
        <w:rPr>
          <w:rFonts w:hint="eastAsia" w:ascii="仿宋_GB2312" w:hAnsi="仿宋" w:eastAsia="仿宋_GB2312"/>
          <w:sz w:val="24"/>
        </w:rPr>
      </w:pPr>
      <w:r>
        <w:rPr>
          <w:rFonts w:hint="eastAsia" w:ascii="仿宋_GB2312" w:hAnsi="仿宋" w:eastAsia="仿宋_GB2312"/>
          <w:b/>
          <w:bCs/>
          <w:sz w:val="24"/>
        </w:rPr>
        <w:t>▲</w:t>
      </w:r>
      <w:r>
        <w:rPr>
          <w:rFonts w:hint="eastAsia" w:ascii="仿宋_GB2312" w:hAnsi="宋体" w:eastAsia="仿宋_GB2312"/>
          <w:b/>
          <w:sz w:val="24"/>
        </w:rPr>
        <w:t>投标人的资质和业绩情况</w:t>
      </w:r>
      <w:r>
        <w:rPr>
          <w:rFonts w:hint="eastAsia" w:ascii="仿宋_GB2312" w:hAnsi="宋体" w:eastAsia="仿宋_GB2312"/>
          <w:b/>
          <w:bCs/>
          <w:sz w:val="24"/>
        </w:rPr>
        <w:t>（6分）：</w:t>
      </w:r>
      <w:r>
        <w:rPr>
          <w:rFonts w:hint="eastAsia" w:ascii="仿宋_GB2312" w:hAnsi="宋体" w:eastAsia="仿宋_GB2312"/>
          <w:sz w:val="24"/>
        </w:rPr>
        <w:t>主要包含投标人资质、类似</w:t>
      </w:r>
      <w:r>
        <w:rPr>
          <w:rFonts w:hint="eastAsia" w:ascii="仿宋_GB2312" w:hAnsi="宋体" w:eastAsia="仿宋_GB2312"/>
          <w:kern w:val="28"/>
          <w:sz w:val="24"/>
        </w:rPr>
        <w:t>项目建设</w:t>
      </w:r>
      <w:r>
        <w:rPr>
          <w:rFonts w:hint="eastAsia" w:ascii="仿宋_GB2312" w:hAnsi="宋体" w:eastAsia="仿宋_GB2312"/>
          <w:sz w:val="24"/>
        </w:rPr>
        <w:t>成功案例等方面的因素</w:t>
      </w:r>
      <w:r>
        <w:rPr>
          <w:rFonts w:hint="eastAsia" w:ascii="仿宋_GB2312" w:hAnsi="仿宋" w:eastAsia="仿宋_GB2312"/>
          <w:sz w:val="24"/>
        </w:rPr>
        <w:t>。</w:t>
      </w:r>
    </w:p>
    <w:p>
      <w:pPr>
        <w:snapToGrid w:val="0"/>
        <w:spacing w:line="460" w:lineRule="exact"/>
        <w:ind w:firstLine="480" w:firstLineChars="200"/>
        <w:rPr>
          <w:rFonts w:hint="eastAsia" w:ascii="仿宋_GB2312" w:hAnsi="仿宋" w:eastAsia="仿宋_GB2312"/>
          <w:sz w:val="24"/>
        </w:rPr>
      </w:pPr>
      <w:r>
        <w:rPr>
          <w:rFonts w:hint="eastAsia" w:ascii="仿宋_GB2312" w:hAnsi="仿宋" w:eastAsia="仿宋_GB2312"/>
          <w:sz w:val="24"/>
        </w:rPr>
        <w:t>评审要点为：</w:t>
      </w:r>
    </w:p>
    <w:p>
      <w:pPr>
        <w:spacing w:line="440" w:lineRule="exact"/>
        <w:ind w:firstLine="361" w:firstLineChars="150"/>
        <w:rPr>
          <w:rFonts w:hint="eastAsia" w:ascii="仿宋_GB2312" w:eastAsia="仿宋_GB2312"/>
          <w:b/>
          <w:sz w:val="24"/>
        </w:rPr>
      </w:pPr>
      <w:r>
        <w:rPr>
          <w:rFonts w:hint="eastAsia" w:ascii="仿宋_GB2312" w:hAnsi="Wingdings" w:eastAsia="仿宋_GB2312"/>
          <w:b/>
          <w:sz w:val="24"/>
        </w:rPr>
        <w:t>（1）</w:t>
      </w:r>
      <w:r>
        <w:rPr>
          <w:rFonts w:hint="eastAsia" w:ascii="仿宋_GB2312" w:eastAsia="仿宋_GB2312"/>
          <w:b/>
          <w:sz w:val="24"/>
        </w:rPr>
        <w:t>投标人基本情况（1分）：</w:t>
      </w:r>
    </w:p>
    <w:p>
      <w:pPr>
        <w:spacing w:line="440" w:lineRule="exact"/>
        <w:ind w:firstLine="360" w:firstLineChars="200"/>
        <w:rPr>
          <w:rFonts w:hint="eastAsia" w:ascii="仿宋_GB2312" w:hAnsi="仿宋" w:eastAsia="仿宋_GB2312"/>
          <w:sz w:val="24"/>
        </w:rPr>
      </w:pPr>
      <w:r>
        <w:rPr>
          <w:rFonts w:hint="eastAsia" w:ascii="仿宋_GB2312" w:hAnsi="宋体" w:eastAsia="仿宋_GB2312"/>
          <w:sz w:val="18"/>
          <w:szCs w:val="18"/>
        </w:rPr>
        <w:t>●</w:t>
      </w:r>
      <w:r>
        <w:rPr>
          <w:rFonts w:hint="eastAsia" w:ascii="仿宋_GB2312" w:hAnsi="仿宋" w:eastAsia="仿宋_GB2312"/>
          <w:sz w:val="24"/>
        </w:rPr>
        <w:t>有质量管理体系认证证书得1分，无的得0分。</w:t>
      </w:r>
    </w:p>
    <w:p>
      <w:pPr>
        <w:spacing w:line="440" w:lineRule="exact"/>
        <w:ind w:firstLine="361" w:firstLineChars="150"/>
        <w:rPr>
          <w:rFonts w:hint="eastAsia" w:ascii="仿宋_GB2312" w:hAnsi="仿宋_GB2312" w:eastAsia="仿宋_GB2312"/>
          <w:sz w:val="24"/>
          <w:szCs w:val="24"/>
        </w:rPr>
      </w:pPr>
      <w:r>
        <w:rPr>
          <w:rFonts w:hint="eastAsia" w:ascii="仿宋_GB2312" w:hAnsi="Wingdings" w:eastAsia="仿宋_GB2312"/>
          <w:b/>
          <w:sz w:val="24"/>
        </w:rPr>
        <w:t>（2）投标人类似项目建设的成功经验（5分）：</w:t>
      </w:r>
      <w:r>
        <w:rPr>
          <w:rFonts w:hint="eastAsia" w:ascii="仿宋_GB2312" w:hAnsi="Courier New" w:eastAsia="仿宋_GB2312"/>
          <w:sz w:val="24"/>
          <w:szCs w:val="24"/>
        </w:rPr>
        <w:t>截止投标时间近三年</w:t>
      </w:r>
      <w:r>
        <w:rPr>
          <w:rFonts w:hint="eastAsia" w:ascii="仿宋_GB2312" w:hAnsi="宋体" w:eastAsia="仿宋_GB2312"/>
          <w:bCs/>
          <w:sz w:val="24"/>
          <w:szCs w:val="24"/>
        </w:rPr>
        <w:t>以来投标人承担类似项目</w:t>
      </w:r>
      <w:r>
        <w:rPr>
          <w:rFonts w:hint="eastAsia" w:ascii="仿宋_GB2312" w:hAnsi="宋体" w:eastAsia="仿宋_GB2312" w:cs="宋体"/>
          <w:sz w:val="24"/>
          <w:szCs w:val="24"/>
        </w:rPr>
        <w:t>的情况，</w:t>
      </w:r>
      <w:r>
        <w:rPr>
          <w:rFonts w:hint="eastAsia" w:ascii="仿宋_GB2312" w:hAnsi="Courier New" w:eastAsia="仿宋_GB2312" w:cs="仿宋_GB2312"/>
          <w:sz w:val="24"/>
          <w:szCs w:val="24"/>
          <w:lang w:val="zh-CN"/>
        </w:rPr>
        <w:t>结合</w:t>
      </w:r>
      <w:r>
        <w:rPr>
          <w:rFonts w:hint="eastAsia" w:ascii="仿宋_GB2312" w:hAnsi="宋体" w:eastAsia="仿宋_GB2312"/>
          <w:bCs/>
          <w:sz w:val="24"/>
          <w:szCs w:val="24"/>
        </w:rPr>
        <w:t>已完工的项目案例和用户反应情况，</w:t>
      </w:r>
      <w:r>
        <w:rPr>
          <w:rFonts w:hint="eastAsia" w:ascii="仿宋_GB2312" w:hAnsi="Courier New" w:eastAsia="仿宋_GB2312"/>
          <w:snapToGrid w:val="0"/>
          <w:sz w:val="24"/>
          <w:szCs w:val="24"/>
        </w:rPr>
        <w:t>参考</w:t>
      </w:r>
      <w:r>
        <w:rPr>
          <w:rFonts w:hint="eastAsia" w:ascii="仿宋_GB2312" w:hAnsi="Courier New" w:eastAsia="仿宋_GB2312"/>
          <w:sz w:val="24"/>
          <w:szCs w:val="24"/>
          <w:lang w:val="zh-CN"/>
        </w:rPr>
        <w:t>合同复印件</w:t>
      </w:r>
      <w:r>
        <w:rPr>
          <w:rFonts w:hint="eastAsia" w:ascii="仿宋_GB2312" w:hAnsi="Courier New" w:eastAsia="仿宋_GB2312"/>
          <w:sz w:val="24"/>
          <w:szCs w:val="24"/>
        </w:rPr>
        <w:t>、用户验收报告</w:t>
      </w:r>
      <w:r>
        <w:rPr>
          <w:rFonts w:hint="eastAsia" w:ascii="仿宋_GB2312" w:hAnsi="Courier New" w:eastAsia="仿宋_GB2312"/>
          <w:sz w:val="24"/>
          <w:szCs w:val="24"/>
          <w:lang w:val="zh-CN"/>
        </w:rPr>
        <w:t>等</w:t>
      </w:r>
      <w:r>
        <w:rPr>
          <w:rFonts w:hint="eastAsia" w:ascii="仿宋_GB2312" w:hAnsi="Courier New" w:eastAsia="仿宋_GB2312"/>
          <w:sz w:val="24"/>
          <w:szCs w:val="24"/>
        </w:rPr>
        <w:t>工程实例证明</w:t>
      </w:r>
      <w:r>
        <w:rPr>
          <w:rFonts w:hint="eastAsia" w:ascii="仿宋_GB2312" w:hAnsi="仿宋_GB2312" w:eastAsia="仿宋_GB2312"/>
          <w:sz w:val="24"/>
          <w:szCs w:val="24"/>
        </w:rPr>
        <w:t>（</w:t>
      </w:r>
      <w:r>
        <w:rPr>
          <w:rFonts w:hint="eastAsia" w:ascii="仿宋_GB2312" w:hAnsi="仿宋_GB2312" w:eastAsia="仿宋_GB2312"/>
          <w:b/>
          <w:sz w:val="24"/>
          <w:szCs w:val="24"/>
        </w:rPr>
        <w:t>原件备查，</w:t>
      </w:r>
      <w:r>
        <w:rPr>
          <w:rFonts w:hint="eastAsia" w:ascii="仿宋_GB2312" w:hAnsi="Courier New" w:eastAsia="仿宋_GB2312"/>
          <w:b/>
          <w:sz w:val="24"/>
          <w:szCs w:val="24"/>
        </w:rPr>
        <w:t>采购机构在项目评审直至合同签订、履约期间，有权要求投标人出具投标文件中的</w:t>
      </w:r>
      <w:r>
        <w:rPr>
          <w:rFonts w:hint="eastAsia" w:ascii="仿宋_GB2312" w:hAnsi="Courier New" w:eastAsia="仿宋_GB2312" w:cs="仿宋_GB2312"/>
          <w:b/>
          <w:sz w:val="24"/>
          <w:szCs w:val="24"/>
          <w:lang w:val="zh-CN"/>
        </w:rPr>
        <w:t>主要业绩证明</w:t>
      </w:r>
      <w:r>
        <w:rPr>
          <w:rFonts w:hint="eastAsia" w:ascii="仿宋_GB2312" w:hAnsi="Courier New" w:eastAsia="仿宋_GB2312"/>
          <w:b/>
          <w:sz w:val="24"/>
          <w:szCs w:val="24"/>
        </w:rPr>
        <w:t>原件</w:t>
      </w:r>
      <w:r>
        <w:rPr>
          <w:rFonts w:hint="eastAsia" w:ascii="仿宋_GB2312" w:hAnsi="Courier New" w:eastAsia="仿宋_GB2312" w:cs="仿宋_GB2312"/>
          <w:b/>
          <w:sz w:val="24"/>
          <w:szCs w:val="24"/>
          <w:lang w:val="zh-CN"/>
        </w:rPr>
        <w:t>：如</w:t>
      </w:r>
      <w:r>
        <w:rPr>
          <w:rFonts w:hint="eastAsia" w:ascii="仿宋_GB2312" w:hAnsi="Courier New" w:eastAsia="仿宋_GB2312"/>
          <w:b/>
          <w:sz w:val="24"/>
          <w:szCs w:val="24"/>
        </w:rPr>
        <w:t>合同或用户验收报告</w:t>
      </w:r>
      <w:r>
        <w:rPr>
          <w:rFonts w:hint="eastAsia" w:ascii="仿宋_GB2312" w:hAnsi="Courier New" w:eastAsia="仿宋_GB2312"/>
          <w:b/>
          <w:sz w:val="24"/>
          <w:szCs w:val="24"/>
          <w:lang w:val="zh-CN"/>
        </w:rPr>
        <w:t>等</w:t>
      </w:r>
      <w:r>
        <w:rPr>
          <w:rFonts w:hint="eastAsia" w:ascii="仿宋_GB2312" w:hAnsi="Courier New" w:eastAsia="仿宋_GB2312"/>
          <w:b/>
          <w:sz w:val="24"/>
          <w:szCs w:val="24"/>
        </w:rPr>
        <w:t>，予以确认其的真实性和有效性，如出现</w:t>
      </w:r>
      <w:r>
        <w:rPr>
          <w:rFonts w:hint="eastAsia" w:ascii="仿宋_GB2312" w:hAnsi="仿宋_GB2312" w:eastAsia="仿宋_GB2312"/>
          <w:b/>
          <w:sz w:val="24"/>
          <w:szCs w:val="24"/>
        </w:rPr>
        <w:t>与事实不符等情况，将根据有关规定以“提供虚假材料谋取中标”予以处罚</w:t>
      </w:r>
      <w:r>
        <w:rPr>
          <w:rFonts w:hint="eastAsia" w:ascii="仿宋_GB2312" w:hAnsi="Courier New" w:eastAsia="仿宋_GB2312"/>
          <w:sz w:val="24"/>
          <w:szCs w:val="24"/>
        </w:rPr>
        <w:t>）</w:t>
      </w:r>
      <w:r>
        <w:rPr>
          <w:rFonts w:hint="eastAsia" w:ascii="仿宋_GB2312" w:hAnsi="仿宋_GB2312" w:eastAsia="仿宋_GB2312"/>
          <w:sz w:val="24"/>
          <w:szCs w:val="24"/>
        </w:rPr>
        <w:t>，</w:t>
      </w:r>
      <w:r>
        <w:rPr>
          <w:rFonts w:hint="eastAsia" w:ascii="仿宋_GB2312" w:hAnsi="仿宋_GB2312" w:eastAsia="仿宋_GB2312" w:cs="仿宋_GB2312"/>
          <w:sz w:val="24"/>
          <w:szCs w:val="24"/>
        </w:rPr>
        <w:t>是否有良好的工作业绩和履约记录</w:t>
      </w:r>
      <w:r>
        <w:rPr>
          <w:rFonts w:hint="eastAsia" w:ascii="仿宋_GB2312" w:hAnsi="仿宋_GB2312" w:eastAsia="仿宋_GB2312"/>
          <w:sz w:val="24"/>
          <w:szCs w:val="24"/>
          <w:lang w:val="zh-CN"/>
        </w:rPr>
        <w:t>等情况</w:t>
      </w:r>
      <w:r>
        <w:rPr>
          <w:rFonts w:hint="eastAsia" w:ascii="仿宋_GB2312" w:hAnsi="仿宋_GB2312" w:eastAsia="仿宋_GB2312"/>
          <w:sz w:val="24"/>
          <w:szCs w:val="24"/>
        </w:rPr>
        <w:t>；</w:t>
      </w:r>
      <w:r>
        <w:rPr>
          <w:rFonts w:hint="eastAsia" w:ascii="仿宋_GB2312" w:hAnsi="仿宋_GB2312" w:eastAsia="仿宋_GB2312"/>
          <w:b/>
          <w:sz w:val="24"/>
          <w:szCs w:val="24"/>
        </w:rPr>
        <w:t>如投标人提供的合同复印件等实施项目证明材料与投标主体无关或违规转包分包的，评标委员会将进行扣分直至认定投标无效</w:t>
      </w:r>
      <w:r>
        <w:rPr>
          <w:rFonts w:hint="eastAsia" w:ascii="仿宋_GB2312" w:hAnsi="仿宋_GB2312" w:eastAsia="仿宋_GB2312"/>
          <w:sz w:val="24"/>
          <w:szCs w:val="24"/>
        </w:rPr>
        <w:t>。</w:t>
      </w:r>
    </w:p>
    <w:p>
      <w:pPr>
        <w:spacing w:line="460" w:lineRule="exact"/>
        <w:ind w:firstLine="482" w:firstLineChars="200"/>
        <w:rPr>
          <w:rFonts w:hint="eastAsia" w:ascii="仿宋_GB2312" w:hAnsi="Courier New" w:eastAsia="仿宋_GB2312"/>
          <w:b/>
          <w:sz w:val="24"/>
        </w:rPr>
      </w:pPr>
    </w:p>
    <w:p>
      <w:pPr>
        <w:pStyle w:val="168"/>
        <w:spacing w:after="0" w:afterLines="0" w:line="460" w:lineRule="exact"/>
        <w:ind w:firstLine="361"/>
        <w:rPr>
          <w:rFonts w:hint="eastAsia" w:ascii="仿宋_GB2312" w:hAnsi="仿宋" w:eastAsia="仿宋_GB2312"/>
          <w:szCs w:val="24"/>
        </w:rPr>
      </w:pPr>
      <w:r>
        <w:rPr>
          <w:rFonts w:hint="eastAsia" w:ascii="仿宋_GB2312" w:hAnsi="仿宋" w:eastAsia="仿宋_GB2312"/>
          <w:b/>
          <w:sz w:val="18"/>
          <w:szCs w:val="18"/>
        </w:rPr>
        <w:t>▲</w:t>
      </w:r>
      <w:r>
        <w:rPr>
          <w:rFonts w:hint="eastAsia" w:ascii="仿宋_GB2312" w:hAnsi="仿宋" w:eastAsia="仿宋_GB2312"/>
          <w:b/>
          <w:szCs w:val="24"/>
        </w:rPr>
        <w:t>减分：投标人的信誉情况：</w:t>
      </w:r>
      <w:r>
        <w:rPr>
          <w:rFonts w:hint="eastAsia" w:ascii="仿宋_GB2312" w:hAnsi="仿宋" w:eastAsia="仿宋_GB2312"/>
          <w:szCs w:val="24"/>
        </w:rPr>
        <w:t>政府采购领域中投标人在项目招标、投标和合同履约期间是否存在不良行为记录。</w:t>
      </w:r>
    </w:p>
    <w:p>
      <w:pPr>
        <w:widowControl w:val="0"/>
        <w:adjustRightInd w:val="0"/>
        <w:snapToGrid w:val="0"/>
        <w:spacing w:line="460" w:lineRule="exact"/>
        <w:ind w:firstLine="360" w:firstLineChars="200"/>
        <w:jc w:val="both"/>
        <w:rPr>
          <w:rFonts w:hint="eastAsia" w:ascii="仿宋_GB2312" w:eastAsia="仿宋_GB2312"/>
          <w:sz w:val="24"/>
          <w:szCs w:val="24"/>
        </w:rPr>
      </w:pPr>
      <w:r>
        <w:rPr>
          <w:rFonts w:hint="eastAsia" w:ascii="仿宋_GB2312" w:hAnsi="宋体" w:eastAsia="仿宋_GB2312"/>
          <w:sz w:val="18"/>
          <w:szCs w:val="18"/>
        </w:rPr>
        <w:t xml:space="preserve">● </w:t>
      </w:r>
      <w:r>
        <w:rPr>
          <w:rFonts w:hint="eastAsia" w:ascii="仿宋_GB2312" w:eastAsia="仿宋_GB2312"/>
          <w:sz w:val="24"/>
          <w:szCs w:val="24"/>
        </w:rPr>
        <w:t>投标人在</w:t>
      </w:r>
      <w:r>
        <w:rPr>
          <w:rFonts w:hint="eastAsia" w:ascii="仿宋_GB2312" w:hAnsi="宋体" w:eastAsia="仿宋_GB2312"/>
          <w:sz w:val="24"/>
          <w:szCs w:val="24"/>
        </w:rPr>
        <w:t>参与本次招标活动前三年内，</w:t>
      </w:r>
      <w:r>
        <w:rPr>
          <w:rFonts w:hint="eastAsia" w:ascii="仿宋_GB2312" w:eastAsia="仿宋_GB2312"/>
          <w:sz w:val="24"/>
          <w:szCs w:val="24"/>
        </w:rPr>
        <w:t>在浙江省范围内政府采购领域中受到不良行为记录处罚的每次扣1分</w:t>
      </w:r>
      <w:r>
        <w:rPr>
          <w:rFonts w:hint="eastAsia" w:ascii="仿宋_GB2312" w:hAnsi="仿宋" w:eastAsia="仿宋_GB2312"/>
          <w:sz w:val="24"/>
          <w:szCs w:val="24"/>
        </w:rPr>
        <w:t>。</w:t>
      </w:r>
    </w:p>
    <w:p>
      <w:pPr>
        <w:adjustRightInd w:val="0"/>
        <w:snapToGrid w:val="0"/>
        <w:spacing w:line="460" w:lineRule="exact"/>
        <w:ind w:firstLine="482" w:firstLineChars="200"/>
        <w:rPr>
          <w:rFonts w:hint="eastAsia" w:ascii="仿宋_GB2312" w:eastAsia="仿宋_GB2312"/>
          <w:sz w:val="24"/>
          <w:szCs w:val="24"/>
        </w:rPr>
      </w:pPr>
      <w:r>
        <w:rPr>
          <w:rFonts w:hint="eastAsia" w:ascii="仿宋_GB2312" w:eastAsia="仿宋_GB2312"/>
          <w:b/>
          <w:sz w:val="24"/>
        </w:rPr>
        <w:t>2、采购机构有权对评标委员会各成员的评分情况和评审意见进行合理性和合规性审查</w:t>
      </w:r>
      <w:r>
        <w:rPr>
          <w:rFonts w:hint="eastAsia" w:ascii="仿宋_GB2312" w:eastAsia="仿宋_GB2312"/>
          <w:sz w:val="24"/>
        </w:rPr>
        <w:t>，如发现评标委员会成员的评审意见带有明显倾向性，或不按规定程序和标准评审、计分的，评标委员会成员应进行书面澄清和说明；评标委员会成员拒不接受采购机构审查的，采购机构将向同级政府采购监督管理部门报告并予以处理。</w:t>
      </w:r>
    </w:p>
    <w:p>
      <w:pPr>
        <w:autoSpaceDE w:val="0"/>
        <w:autoSpaceDN w:val="0"/>
        <w:adjustRightInd w:val="0"/>
        <w:spacing w:line="460" w:lineRule="exact"/>
        <w:ind w:firstLine="482" w:firstLineChars="200"/>
        <w:outlineLvl w:val="0"/>
        <w:rPr>
          <w:rFonts w:hint="eastAsia" w:ascii="仿宋_GB2312" w:eastAsia="仿宋_GB2312"/>
          <w:b/>
          <w:sz w:val="24"/>
        </w:rPr>
      </w:pPr>
      <w:r>
        <w:rPr>
          <w:rFonts w:hint="eastAsia" w:ascii="仿宋_GB2312" w:eastAsia="仿宋_GB2312"/>
          <w:b/>
          <w:sz w:val="24"/>
        </w:rPr>
        <w:t xml:space="preserve">3、报价是中标的一个重要因素，但最低报价不是中标的唯一依据。 </w:t>
      </w:r>
    </w:p>
    <w:p>
      <w:pPr>
        <w:autoSpaceDE w:val="0"/>
        <w:autoSpaceDN w:val="0"/>
        <w:adjustRightInd w:val="0"/>
        <w:spacing w:line="460" w:lineRule="exact"/>
        <w:ind w:firstLine="482" w:firstLineChars="200"/>
        <w:outlineLvl w:val="0"/>
        <w:rPr>
          <w:rFonts w:hint="eastAsia" w:ascii="仿宋_GB2312" w:eastAsia="仿宋_GB2312"/>
          <w:b/>
          <w:sz w:val="24"/>
        </w:rPr>
      </w:pPr>
    </w:p>
    <w:p>
      <w:pPr>
        <w:spacing w:line="360" w:lineRule="auto"/>
        <w:ind w:left="720" w:firstLine="482" w:firstLineChars="200"/>
        <w:jc w:val="center"/>
        <w:outlineLvl w:val="0"/>
        <w:rPr>
          <w:rFonts w:hint="eastAsia" w:ascii="仿宋_GB2312" w:hAnsi="仿宋" w:eastAsia="仿宋_GB2312" w:cs="仿宋_GB2312"/>
          <w:b/>
          <w:sz w:val="36"/>
          <w:szCs w:val="36"/>
        </w:rPr>
      </w:pPr>
      <w:r>
        <w:rPr>
          <w:rFonts w:hint="eastAsia" w:ascii="仿宋_GB2312" w:eastAsia="仿宋_GB2312"/>
          <w:b/>
          <w:sz w:val="24"/>
        </w:rPr>
        <w:br w:type="page"/>
      </w:r>
      <w:r>
        <w:rPr>
          <w:rFonts w:hint="eastAsia" w:ascii="仿宋_GB2312" w:hAnsi="仿宋" w:eastAsia="仿宋_GB2312" w:cs="仿宋_GB2312"/>
          <w:b/>
          <w:sz w:val="36"/>
          <w:szCs w:val="36"/>
        </w:rPr>
        <w:t>第五部分 拟签订的合同文本</w:t>
      </w:r>
    </w:p>
    <w:p>
      <w:pPr>
        <w:widowControl w:val="0"/>
        <w:adjustRightInd w:val="0"/>
        <w:jc w:val="both"/>
        <w:rPr>
          <w:rFonts w:hint="eastAsia" w:ascii="仿宋_GB2312" w:hAnsi="楷体" w:eastAsia="仿宋_GB2312"/>
          <w:sz w:val="24"/>
          <w:szCs w:val="24"/>
        </w:rPr>
      </w:pPr>
      <w:bookmarkStart w:id="422" w:name="_GoBack"/>
      <w:bookmarkEnd w:id="422"/>
    </w:p>
    <w:p>
      <w:pPr>
        <w:widowControl w:val="0"/>
        <w:adjustRightInd w:val="0"/>
        <w:jc w:val="both"/>
        <w:rPr>
          <w:rFonts w:hint="eastAsia" w:ascii="仿宋_GB2312" w:hAnsi="楷体" w:eastAsia="仿宋_GB2312"/>
          <w:sz w:val="24"/>
          <w:szCs w:val="24"/>
          <w:u w:val="single"/>
        </w:rPr>
      </w:pPr>
      <w:r>
        <w:rPr>
          <w:rFonts w:hint="eastAsia" w:ascii="仿宋_GB2312" w:hAnsi="楷体" w:eastAsia="仿宋_GB2312"/>
          <w:sz w:val="24"/>
          <w:szCs w:val="24"/>
        </w:rPr>
        <w:t>合同编号：</w:t>
      </w:r>
      <w:r>
        <w:rPr>
          <w:rFonts w:hint="eastAsia" w:ascii="仿宋_GB2312" w:hAnsi="楷体" w:eastAsia="仿宋_GB2312"/>
          <w:sz w:val="24"/>
          <w:szCs w:val="24"/>
          <w:u w:val="single"/>
        </w:rPr>
        <w:t xml:space="preserve">           </w:t>
      </w:r>
    </w:p>
    <w:p>
      <w:pPr>
        <w:widowControl w:val="0"/>
        <w:autoSpaceDE w:val="0"/>
        <w:autoSpaceDN w:val="0"/>
        <w:adjustRightInd w:val="0"/>
        <w:snapToGrid w:val="0"/>
        <w:spacing w:after="120" w:line="360" w:lineRule="auto"/>
        <w:ind w:left="420" w:leftChars="200" w:firstLine="482" w:firstLineChars="200"/>
        <w:jc w:val="center"/>
        <w:rPr>
          <w:rFonts w:hint="eastAsia" w:ascii="仿宋_GB2312" w:hAnsi="楷体" w:eastAsia="仿宋_GB2312"/>
          <w:b/>
          <w:sz w:val="24"/>
          <w:szCs w:val="24"/>
        </w:rPr>
      </w:pPr>
      <w:r>
        <w:rPr>
          <w:rFonts w:hint="eastAsia" w:ascii="仿宋_GB2312" w:hAnsi="楷体" w:eastAsia="仿宋_GB2312"/>
          <w:b/>
          <w:sz w:val="24"/>
          <w:szCs w:val="24"/>
        </w:rPr>
        <w:t>第一部分 合同书</w:t>
      </w:r>
    </w:p>
    <w:p>
      <w:pPr>
        <w:widowControl w:val="0"/>
        <w:autoSpaceDE w:val="0"/>
        <w:autoSpaceDN w:val="0"/>
        <w:adjustRightInd w:val="0"/>
        <w:snapToGrid w:val="0"/>
        <w:spacing w:after="120" w:line="360" w:lineRule="auto"/>
        <w:ind w:left="420" w:leftChars="200" w:firstLine="480" w:firstLineChars="200"/>
        <w:jc w:val="both"/>
        <w:rPr>
          <w:rFonts w:hint="eastAsia" w:ascii="仿宋_GB2312" w:hAnsi="楷体" w:eastAsia="仿宋_GB2312"/>
          <w:sz w:val="24"/>
          <w:szCs w:val="24"/>
        </w:rPr>
      </w:pPr>
    </w:p>
    <w:p>
      <w:pPr>
        <w:widowControl w:val="0"/>
        <w:autoSpaceDE w:val="0"/>
        <w:autoSpaceDN w:val="0"/>
        <w:adjustRightInd w:val="0"/>
        <w:snapToGrid w:val="0"/>
        <w:spacing w:after="120" w:line="360" w:lineRule="auto"/>
        <w:ind w:left="420" w:leftChars="200" w:firstLine="480" w:firstLineChars="200"/>
        <w:jc w:val="both"/>
        <w:rPr>
          <w:rFonts w:hint="eastAsia" w:ascii="仿宋_GB2312" w:hAnsi="楷体" w:eastAsia="仿宋_GB2312"/>
          <w:sz w:val="24"/>
          <w:szCs w:val="24"/>
        </w:rPr>
      </w:pPr>
    </w:p>
    <w:p>
      <w:pPr>
        <w:widowControl w:val="0"/>
        <w:adjustRightInd w:val="0"/>
        <w:spacing w:before="120" w:line="22" w:lineRule="atLeast"/>
        <w:jc w:val="both"/>
        <w:rPr>
          <w:rFonts w:hint="eastAsia" w:ascii="仿宋_GB2312" w:hAnsi="楷体" w:eastAsia="仿宋_GB2312"/>
          <w:sz w:val="24"/>
          <w:szCs w:val="24"/>
        </w:rPr>
      </w:pPr>
    </w:p>
    <w:p>
      <w:pPr>
        <w:widowControl w:val="0"/>
        <w:adjustRightInd w:val="0"/>
        <w:spacing w:before="120" w:line="22" w:lineRule="atLeast"/>
        <w:ind w:left="960"/>
        <w:jc w:val="both"/>
        <w:rPr>
          <w:rFonts w:hint="eastAsia" w:ascii="仿宋_GB2312" w:hAnsi="楷体" w:eastAsia="仿宋_GB2312"/>
          <w:sz w:val="24"/>
          <w:szCs w:val="24"/>
        </w:rPr>
      </w:pPr>
      <w:r>
        <w:rPr>
          <w:rFonts w:hint="eastAsia" w:ascii="仿宋_GB2312" w:hAnsi="楷体" w:eastAsia="仿宋_GB2312"/>
          <w:sz w:val="24"/>
          <w:szCs w:val="24"/>
        </w:rPr>
        <w:t>项目名称：</w:t>
      </w:r>
      <w:r>
        <w:rPr>
          <w:rFonts w:hint="eastAsia" w:ascii="仿宋_GB2312" w:hAnsi="楷体" w:eastAsia="仿宋_GB2312"/>
          <w:sz w:val="24"/>
          <w:szCs w:val="24"/>
          <w:u w:val="single"/>
        </w:rPr>
        <w:t xml:space="preserve">                                   </w:t>
      </w:r>
    </w:p>
    <w:p>
      <w:pPr>
        <w:widowControl w:val="0"/>
        <w:spacing w:before="120" w:line="22" w:lineRule="atLeast"/>
        <w:jc w:val="both"/>
        <w:rPr>
          <w:rFonts w:hint="eastAsia" w:ascii="仿宋_GB2312" w:hAnsi="楷体" w:eastAsia="仿宋_GB2312"/>
          <w:sz w:val="24"/>
          <w:szCs w:val="24"/>
        </w:rPr>
      </w:pPr>
    </w:p>
    <w:p>
      <w:pPr>
        <w:widowControl w:val="0"/>
        <w:spacing w:before="120" w:line="22" w:lineRule="atLeast"/>
        <w:jc w:val="both"/>
        <w:rPr>
          <w:rFonts w:hint="eastAsia" w:ascii="仿宋_GB2312" w:hAnsi="楷体" w:eastAsia="仿宋_GB2312"/>
          <w:sz w:val="24"/>
          <w:szCs w:val="24"/>
        </w:rPr>
      </w:pPr>
    </w:p>
    <w:p>
      <w:pPr>
        <w:widowControl w:val="0"/>
        <w:adjustRightInd w:val="0"/>
        <w:jc w:val="both"/>
        <w:rPr>
          <w:rFonts w:hint="eastAsia" w:ascii="仿宋_GB2312" w:eastAsia="仿宋_GB2312"/>
          <w:sz w:val="24"/>
          <w:szCs w:val="24"/>
        </w:rPr>
      </w:pPr>
    </w:p>
    <w:p>
      <w:pPr>
        <w:widowControl w:val="0"/>
        <w:adjustRightInd w:val="0"/>
        <w:spacing w:before="120" w:line="22" w:lineRule="atLeast"/>
        <w:ind w:left="960"/>
        <w:jc w:val="both"/>
        <w:rPr>
          <w:rFonts w:hint="eastAsia" w:ascii="仿宋_GB2312" w:hAnsi="楷体" w:eastAsia="仿宋_GB2312"/>
          <w:sz w:val="24"/>
          <w:szCs w:val="24"/>
          <w:u w:val="single"/>
        </w:rPr>
      </w:pPr>
      <w:r>
        <w:rPr>
          <w:rFonts w:hint="eastAsia" w:ascii="仿宋_GB2312" w:hAnsi="楷体" w:eastAsia="仿宋_GB2312"/>
          <w:sz w:val="24"/>
          <w:szCs w:val="24"/>
        </w:rPr>
        <w:t>甲方：</w:t>
      </w:r>
      <w:r>
        <w:rPr>
          <w:rFonts w:hint="eastAsia" w:ascii="仿宋_GB2312" w:hAnsi="楷体" w:eastAsia="仿宋_GB2312"/>
          <w:sz w:val="24"/>
          <w:szCs w:val="24"/>
          <w:u w:val="single"/>
        </w:rPr>
        <w:t xml:space="preserve">                                       </w:t>
      </w:r>
    </w:p>
    <w:p>
      <w:pPr>
        <w:widowControl w:val="0"/>
        <w:adjustRightInd w:val="0"/>
        <w:spacing w:before="120" w:line="22" w:lineRule="atLeast"/>
        <w:jc w:val="both"/>
        <w:rPr>
          <w:rFonts w:hint="eastAsia" w:ascii="仿宋_GB2312" w:hAnsi="楷体" w:eastAsia="仿宋_GB2312"/>
          <w:sz w:val="24"/>
          <w:szCs w:val="24"/>
        </w:rPr>
      </w:pPr>
    </w:p>
    <w:p>
      <w:pPr>
        <w:widowControl w:val="0"/>
        <w:adjustRightInd w:val="0"/>
        <w:spacing w:before="120" w:line="22" w:lineRule="atLeast"/>
        <w:ind w:left="960"/>
        <w:jc w:val="both"/>
        <w:rPr>
          <w:rFonts w:hint="eastAsia" w:ascii="仿宋_GB2312" w:hAnsi="楷体" w:eastAsia="仿宋_GB2312"/>
          <w:sz w:val="24"/>
          <w:szCs w:val="24"/>
          <w:u w:val="single"/>
        </w:rPr>
      </w:pPr>
      <w:r>
        <w:rPr>
          <w:rFonts w:hint="eastAsia" w:ascii="仿宋_GB2312" w:hAnsi="楷体" w:eastAsia="仿宋_GB2312"/>
          <w:sz w:val="24"/>
          <w:szCs w:val="24"/>
        </w:rPr>
        <w:t>乙方：</w:t>
      </w:r>
      <w:r>
        <w:rPr>
          <w:rFonts w:hint="eastAsia" w:ascii="仿宋_GB2312" w:hAnsi="楷体" w:eastAsia="仿宋_GB2312"/>
          <w:sz w:val="24"/>
          <w:szCs w:val="24"/>
          <w:u w:val="single"/>
        </w:rPr>
        <w:t xml:space="preserve">                                       </w:t>
      </w:r>
    </w:p>
    <w:p>
      <w:pPr>
        <w:widowControl w:val="0"/>
        <w:adjustRightInd w:val="0"/>
        <w:spacing w:before="120" w:line="22" w:lineRule="atLeast"/>
        <w:jc w:val="both"/>
        <w:rPr>
          <w:rFonts w:hint="eastAsia" w:ascii="仿宋_GB2312" w:hAnsi="楷体" w:eastAsia="仿宋_GB2312"/>
          <w:sz w:val="24"/>
          <w:szCs w:val="24"/>
        </w:rPr>
      </w:pPr>
    </w:p>
    <w:p>
      <w:pPr>
        <w:widowControl w:val="0"/>
        <w:adjustRightInd w:val="0"/>
        <w:spacing w:before="120" w:line="22" w:lineRule="atLeast"/>
        <w:ind w:firstLine="960" w:firstLineChars="400"/>
        <w:jc w:val="both"/>
        <w:rPr>
          <w:rFonts w:hint="eastAsia" w:ascii="仿宋_GB2312" w:hAnsi="楷体" w:eastAsia="仿宋_GB2312"/>
          <w:sz w:val="24"/>
          <w:szCs w:val="24"/>
          <w:u w:val="single"/>
        </w:rPr>
      </w:pPr>
      <w:r>
        <w:rPr>
          <w:rFonts w:hint="eastAsia" w:ascii="仿宋_GB2312" w:hAnsi="楷体" w:eastAsia="仿宋_GB2312"/>
          <w:sz w:val="24"/>
          <w:szCs w:val="24"/>
        </w:rPr>
        <w:t>签订地：</w:t>
      </w:r>
      <w:r>
        <w:rPr>
          <w:rFonts w:hint="eastAsia" w:ascii="仿宋_GB2312" w:hAnsi="楷体" w:eastAsia="仿宋_GB2312"/>
          <w:sz w:val="24"/>
          <w:szCs w:val="24"/>
          <w:u w:val="single"/>
        </w:rPr>
        <w:t xml:space="preserve">                                     </w:t>
      </w:r>
    </w:p>
    <w:p>
      <w:pPr>
        <w:widowControl w:val="0"/>
        <w:adjustRightInd w:val="0"/>
        <w:spacing w:before="120" w:line="22" w:lineRule="atLeast"/>
        <w:jc w:val="both"/>
        <w:rPr>
          <w:rFonts w:hint="eastAsia" w:ascii="仿宋_GB2312" w:hAnsi="楷体" w:eastAsia="仿宋_GB2312"/>
          <w:sz w:val="24"/>
          <w:szCs w:val="24"/>
        </w:rPr>
      </w:pPr>
    </w:p>
    <w:p>
      <w:pPr>
        <w:widowControl w:val="0"/>
        <w:adjustRightInd w:val="0"/>
        <w:spacing w:before="120" w:line="22" w:lineRule="atLeast"/>
        <w:ind w:firstLine="960" w:firstLineChars="400"/>
        <w:jc w:val="both"/>
        <w:rPr>
          <w:rFonts w:hint="eastAsia" w:ascii="仿宋_GB2312" w:hAnsi="楷体" w:eastAsia="仿宋_GB2312"/>
          <w:sz w:val="24"/>
          <w:szCs w:val="24"/>
          <w:u w:val="single"/>
        </w:rPr>
      </w:pPr>
      <w:r>
        <w:rPr>
          <w:rFonts w:hint="eastAsia" w:ascii="仿宋_GB2312" w:hAnsi="楷体" w:eastAsia="仿宋_GB2312"/>
          <w:sz w:val="24"/>
          <w:szCs w:val="24"/>
        </w:rPr>
        <w:t>签订日期：</w:t>
      </w:r>
      <w:r>
        <w:rPr>
          <w:rFonts w:hint="eastAsia" w:ascii="仿宋_GB2312" w:hAnsi="楷体" w:eastAsia="仿宋_GB2312"/>
          <w:sz w:val="24"/>
          <w:szCs w:val="24"/>
          <w:u w:val="single"/>
        </w:rPr>
        <w:t xml:space="preserve">               </w:t>
      </w:r>
      <w:r>
        <w:rPr>
          <w:rFonts w:hint="eastAsia" w:ascii="仿宋_GB2312" w:hAnsi="楷体" w:eastAsia="仿宋_GB2312"/>
          <w:sz w:val="24"/>
          <w:szCs w:val="24"/>
        </w:rPr>
        <w:t>年</w:t>
      </w:r>
      <w:r>
        <w:rPr>
          <w:rFonts w:hint="eastAsia" w:ascii="仿宋_GB2312" w:hAnsi="楷体" w:eastAsia="仿宋_GB2312"/>
          <w:sz w:val="24"/>
          <w:szCs w:val="24"/>
          <w:u w:val="single"/>
        </w:rPr>
        <w:t xml:space="preserve">       </w:t>
      </w:r>
      <w:r>
        <w:rPr>
          <w:rFonts w:hint="eastAsia" w:ascii="仿宋_GB2312" w:hAnsi="楷体" w:eastAsia="仿宋_GB2312"/>
          <w:sz w:val="24"/>
          <w:szCs w:val="24"/>
        </w:rPr>
        <w:t>月</w:t>
      </w:r>
      <w:r>
        <w:rPr>
          <w:rFonts w:hint="eastAsia" w:ascii="仿宋_GB2312" w:hAnsi="楷体" w:eastAsia="仿宋_GB2312"/>
          <w:sz w:val="24"/>
          <w:szCs w:val="24"/>
          <w:u w:val="single"/>
        </w:rPr>
        <w:t xml:space="preserve">       </w:t>
      </w:r>
      <w:r>
        <w:rPr>
          <w:rFonts w:hint="eastAsia" w:ascii="仿宋_GB2312" w:hAnsi="楷体" w:eastAsia="仿宋_GB2312"/>
          <w:sz w:val="24"/>
          <w:szCs w:val="24"/>
        </w:rPr>
        <w:t>日</w:t>
      </w:r>
    </w:p>
    <w:p>
      <w:pPr>
        <w:widowControl w:val="0"/>
        <w:autoSpaceDE w:val="0"/>
        <w:autoSpaceDN w:val="0"/>
        <w:adjustRightInd w:val="0"/>
        <w:spacing w:line="600" w:lineRule="exact"/>
        <w:ind w:firstLine="640"/>
        <w:jc w:val="center"/>
        <w:rPr>
          <w:rFonts w:hint="eastAsia" w:ascii="仿宋_GB2312" w:hAnsi="宋体" w:eastAsia="仿宋_GB2312"/>
          <w:sz w:val="24"/>
          <w:szCs w:val="24"/>
        </w:rPr>
        <w:sectPr>
          <w:headerReference r:id="rId9" w:type="default"/>
          <w:footerReference r:id="rId10" w:type="default"/>
          <w:pgSz w:w="11907" w:h="16840"/>
          <w:pgMar w:top="1474" w:right="1814" w:bottom="1474" w:left="1814" w:header="851" w:footer="851" w:gutter="0"/>
          <w:cols w:space="720" w:num="1"/>
          <w:docGrid w:linePitch="462" w:charSpace="0"/>
        </w:sectPr>
      </w:pPr>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u w:val="single"/>
          <w:lang w:val="zh-CN"/>
        </w:rPr>
        <w:t xml:space="preserve">        </w:t>
      </w:r>
      <w:r>
        <w:rPr>
          <w:rFonts w:hint="eastAsia" w:ascii="仿宋_GB2312" w:hAnsi="楷体" w:eastAsia="仿宋_GB2312"/>
          <w:sz w:val="24"/>
          <w:szCs w:val="24"/>
          <w:lang w:val="zh-CN"/>
        </w:rPr>
        <w:t>年</w:t>
      </w:r>
      <w:r>
        <w:rPr>
          <w:rFonts w:hint="eastAsia" w:ascii="仿宋_GB2312" w:hAnsi="楷体" w:eastAsia="仿宋_GB2312"/>
          <w:sz w:val="24"/>
          <w:szCs w:val="24"/>
          <w:u w:val="single"/>
          <w:lang w:val="zh-CN"/>
        </w:rPr>
        <w:t xml:space="preserve">    </w:t>
      </w:r>
      <w:r>
        <w:rPr>
          <w:rFonts w:hint="eastAsia" w:ascii="仿宋_GB2312" w:hAnsi="楷体" w:eastAsia="仿宋_GB2312"/>
          <w:sz w:val="24"/>
          <w:szCs w:val="24"/>
          <w:lang w:val="zh-CN"/>
        </w:rPr>
        <w:t>月</w:t>
      </w:r>
      <w:r>
        <w:rPr>
          <w:rFonts w:hint="eastAsia" w:ascii="仿宋_GB2312" w:hAnsi="楷体" w:eastAsia="仿宋_GB2312"/>
          <w:sz w:val="24"/>
          <w:szCs w:val="24"/>
          <w:u w:val="single"/>
          <w:lang w:val="zh-CN"/>
        </w:rPr>
        <w:t xml:space="preserve">    </w:t>
      </w:r>
      <w:r>
        <w:rPr>
          <w:rFonts w:hint="eastAsia" w:ascii="仿宋_GB2312" w:hAnsi="楷体" w:eastAsia="仿宋_GB2312"/>
          <w:sz w:val="24"/>
          <w:szCs w:val="24"/>
          <w:lang w:val="zh-CN"/>
        </w:rPr>
        <w:t>日</w:t>
      </w:r>
      <w:r>
        <w:rPr>
          <w:rFonts w:hint="eastAsia" w:ascii="仿宋_GB2312" w:hAnsi="楷体" w:eastAsia="仿宋_GB2312"/>
          <w:sz w:val="24"/>
          <w:szCs w:val="24"/>
        </w:rPr>
        <w:t>，</w:t>
      </w:r>
      <w:r>
        <w:rPr>
          <w:rFonts w:hint="eastAsia" w:ascii="仿宋_GB2312" w:hAnsi="楷体" w:eastAsia="仿宋_GB2312"/>
          <w:sz w:val="24"/>
          <w:szCs w:val="24"/>
          <w:u w:val="single"/>
        </w:rPr>
        <w:t xml:space="preserve">   （采购人名称）   </w:t>
      </w:r>
      <w:r>
        <w:rPr>
          <w:rFonts w:hint="eastAsia" w:ascii="仿宋_GB2312" w:hAnsi="楷体" w:eastAsia="仿宋_GB2312"/>
          <w:sz w:val="24"/>
          <w:szCs w:val="24"/>
        </w:rPr>
        <w:t>以</w:t>
      </w:r>
      <w:r>
        <w:rPr>
          <w:rFonts w:hint="eastAsia" w:ascii="仿宋_GB2312" w:hAnsi="楷体" w:eastAsia="仿宋_GB2312"/>
          <w:sz w:val="24"/>
          <w:szCs w:val="24"/>
          <w:u w:val="single"/>
        </w:rPr>
        <w:t xml:space="preserve">   （政府采购方式）  </w:t>
      </w:r>
      <w:r>
        <w:rPr>
          <w:rFonts w:hint="eastAsia" w:ascii="仿宋_GB2312" w:hAnsi="楷体" w:eastAsia="仿宋_GB2312"/>
          <w:sz w:val="24"/>
          <w:szCs w:val="24"/>
        </w:rPr>
        <w:t>对</w:t>
      </w:r>
      <w:r>
        <w:rPr>
          <w:rFonts w:hint="eastAsia" w:ascii="仿宋_GB2312" w:hAnsi="楷体" w:eastAsia="仿宋_GB2312"/>
          <w:sz w:val="24"/>
          <w:szCs w:val="24"/>
          <w:u w:val="single"/>
        </w:rPr>
        <w:t xml:space="preserve">   （同前页项目名称）   </w:t>
      </w:r>
      <w:r>
        <w:rPr>
          <w:rFonts w:hint="eastAsia" w:ascii="仿宋_GB2312" w:hAnsi="楷体" w:eastAsia="仿宋_GB2312"/>
          <w:sz w:val="24"/>
          <w:szCs w:val="24"/>
        </w:rPr>
        <w:t>项目进行了采购。经</w:t>
      </w:r>
      <w:r>
        <w:rPr>
          <w:rFonts w:hint="eastAsia" w:ascii="仿宋_GB2312" w:hAnsi="楷体" w:eastAsia="仿宋_GB2312"/>
          <w:sz w:val="24"/>
          <w:szCs w:val="24"/>
          <w:u w:val="single"/>
        </w:rPr>
        <w:t xml:space="preserve">   （相关评定主体名称）   </w:t>
      </w:r>
      <w:r>
        <w:rPr>
          <w:rFonts w:hint="eastAsia" w:ascii="仿宋_GB2312" w:hAnsi="楷体" w:eastAsia="仿宋_GB2312"/>
          <w:sz w:val="24"/>
          <w:szCs w:val="24"/>
        </w:rPr>
        <w:t>评定，</w:t>
      </w:r>
      <w:r>
        <w:rPr>
          <w:rFonts w:hint="eastAsia" w:ascii="仿宋_GB2312" w:hAnsi="楷体" w:eastAsia="仿宋_GB2312"/>
          <w:sz w:val="24"/>
          <w:szCs w:val="24"/>
          <w:u w:val="single"/>
        </w:rPr>
        <w:t xml:space="preserve">   （中标供应商名称）</w:t>
      </w:r>
      <w:r>
        <w:rPr>
          <w:rFonts w:hint="eastAsia" w:ascii="仿宋_GB2312" w:hAnsi="楷体" w:eastAsia="仿宋_GB2312"/>
          <w:sz w:val="24"/>
          <w:szCs w:val="24"/>
        </w:rPr>
        <w:t>为该项目中标供应商。现于中标通知书发出之日起三十日内，按照采购文件确定的事项签订本合同。</w:t>
      </w:r>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lang w:val="zh-CN"/>
        </w:rPr>
        <w:t>根据《中华人民共和国合同法》、《中华人民共和国政府采购法》等相关法律法规之规定，按照平等、自愿、公平和诚实信用的原则，经</w:t>
      </w:r>
      <w:r>
        <w:rPr>
          <w:rFonts w:hint="eastAsia" w:ascii="仿宋_GB2312" w:hAnsi="楷体" w:eastAsia="仿宋_GB2312"/>
          <w:sz w:val="24"/>
          <w:szCs w:val="24"/>
          <w:u w:val="single"/>
        </w:rPr>
        <w:t xml:space="preserve">   （采购人名称）   </w:t>
      </w:r>
      <w:r>
        <w:rPr>
          <w:rFonts w:hint="eastAsia" w:ascii="仿宋_GB2312" w:hAnsi="楷体" w:eastAsia="仿宋_GB2312"/>
          <w:sz w:val="24"/>
          <w:szCs w:val="24"/>
          <w:lang w:val="zh-CN"/>
        </w:rPr>
        <w:t>(以下简称：甲方)和</w:t>
      </w:r>
      <w:r>
        <w:rPr>
          <w:rFonts w:hint="eastAsia" w:ascii="仿宋_GB2312" w:hAnsi="楷体" w:eastAsia="仿宋_GB2312"/>
          <w:sz w:val="24"/>
          <w:szCs w:val="24"/>
          <w:u w:val="single"/>
        </w:rPr>
        <w:t xml:space="preserve">   （中标供应商名称）   </w:t>
      </w:r>
      <w:r>
        <w:rPr>
          <w:rFonts w:hint="eastAsia" w:ascii="仿宋_GB2312" w:hAnsi="楷体" w:eastAsia="仿宋_GB2312"/>
          <w:sz w:val="24"/>
          <w:szCs w:val="24"/>
          <w:lang w:val="zh-CN"/>
        </w:rPr>
        <w:t>(以下简称：乙方)协商一致，约定以下合同</w:t>
      </w:r>
      <w:r>
        <w:rPr>
          <w:rFonts w:hint="eastAsia" w:ascii="仿宋_GB2312" w:hAnsi="楷体" w:eastAsia="仿宋_GB2312"/>
          <w:sz w:val="24"/>
          <w:szCs w:val="24"/>
        </w:rPr>
        <w:t>条款，以兹共同遵守、全面履行。</w:t>
      </w:r>
    </w:p>
    <w:p>
      <w:pPr>
        <w:widowControl w:val="0"/>
        <w:adjustRightInd w:val="0"/>
        <w:spacing w:line="560" w:lineRule="exact"/>
        <w:ind w:firstLine="482" w:firstLineChars="200"/>
        <w:jc w:val="both"/>
        <w:outlineLvl w:val="0"/>
        <w:rPr>
          <w:rFonts w:hint="eastAsia" w:ascii="仿宋_GB2312" w:hAnsi="楷体" w:eastAsia="仿宋_GB2312"/>
          <w:b/>
          <w:sz w:val="24"/>
          <w:szCs w:val="24"/>
        </w:rPr>
      </w:pPr>
      <w:bookmarkStart w:id="423" w:name="_Toc2232"/>
      <w:bookmarkStart w:id="424" w:name="_Toc24059"/>
      <w:bookmarkStart w:id="425" w:name="_Toc3029"/>
      <w:r>
        <w:rPr>
          <w:rFonts w:hint="eastAsia" w:ascii="仿宋_GB2312" w:hAnsi="楷体" w:eastAsia="仿宋_GB2312"/>
          <w:b/>
          <w:sz w:val="24"/>
          <w:szCs w:val="24"/>
        </w:rPr>
        <w:t>1.1 合同组成部分</w:t>
      </w:r>
      <w:bookmarkEnd w:id="423"/>
      <w:bookmarkEnd w:id="424"/>
      <w:bookmarkEnd w:id="425"/>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1.1.1 本合同及其补充合同、变更协议；</w:t>
      </w:r>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1.1.2 中标通知书；</w:t>
      </w:r>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1.1.3 投标文件（含澄清或者说明文件）；</w:t>
      </w:r>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1.1.4 招标文件（含澄清或者修改文件）；</w:t>
      </w:r>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1.1.5 其他相关采购文件。</w:t>
      </w:r>
    </w:p>
    <w:p>
      <w:pPr>
        <w:widowControl w:val="0"/>
        <w:adjustRightInd w:val="0"/>
        <w:spacing w:line="560" w:lineRule="exact"/>
        <w:ind w:firstLine="482" w:firstLineChars="200"/>
        <w:jc w:val="both"/>
        <w:outlineLvl w:val="0"/>
        <w:rPr>
          <w:rFonts w:hint="eastAsia" w:ascii="仿宋_GB2312" w:hAnsi="楷体" w:eastAsia="仿宋_GB2312"/>
          <w:b/>
          <w:sz w:val="24"/>
          <w:szCs w:val="24"/>
        </w:rPr>
      </w:pPr>
      <w:bookmarkStart w:id="426" w:name="_Toc24300"/>
      <w:bookmarkStart w:id="427" w:name="_Toc27126"/>
      <w:bookmarkStart w:id="428" w:name="_Toc21295"/>
      <w:r>
        <w:rPr>
          <w:rFonts w:hint="eastAsia" w:ascii="仿宋_GB2312" w:hAnsi="楷体" w:eastAsia="仿宋_GB2312"/>
          <w:b/>
          <w:sz w:val="24"/>
          <w:szCs w:val="24"/>
        </w:rPr>
        <w:t>1.2 货物</w:t>
      </w:r>
      <w:bookmarkEnd w:id="426"/>
      <w:bookmarkEnd w:id="427"/>
      <w:bookmarkEnd w:id="428"/>
    </w:p>
    <w:p>
      <w:pPr>
        <w:widowControl w:val="0"/>
        <w:adjustRightInd w:val="0"/>
        <w:spacing w:line="560" w:lineRule="exact"/>
        <w:ind w:firstLine="480" w:firstLineChars="200"/>
        <w:jc w:val="both"/>
        <w:rPr>
          <w:rFonts w:hint="eastAsia" w:ascii="仿宋_GB2312" w:hAnsi="楷体" w:eastAsia="仿宋_GB2312"/>
          <w:sz w:val="24"/>
          <w:szCs w:val="24"/>
          <w:u w:val="single"/>
        </w:rPr>
      </w:pPr>
      <w:r>
        <w:rPr>
          <w:rFonts w:hint="eastAsia" w:ascii="仿宋_GB2312" w:hAnsi="楷体" w:eastAsia="仿宋_GB2312"/>
          <w:sz w:val="24"/>
          <w:szCs w:val="24"/>
        </w:rPr>
        <w:t>1.2.1 货物名称：</w:t>
      </w:r>
      <w:r>
        <w:rPr>
          <w:rFonts w:hint="eastAsia" w:ascii="仿宋_GB2312" w:hAnsi="楷体" w:eastAsia="仿宋_GB2312"/>
          <w:sz w:val="24"/>
          <w:szCs w:val="24"/>
          <w:u w:val="single"/>
        </w:rPr>
        <w:t xml:space="preserve">                                                </w:t>
      </w:r>
      <w:r>
        <w:rPr>
          <w:rFonts w:hint="eastAsia" w:ascii="仿宋_GB2312" w:hAnsi="楷体" w:eastAsia="仿宋_GB2312"/>
          <w:sz w:val="24"/>
          <w:szCs w:val="24"/>
        </w:rPr>
        <w:t>；</w:t>
      </w:r>
    </w:p>
    <w:p>
      <w:pPr>
        <w:widowControl w:val="0"/>
        <w:adjustRightInd w:val="0"/>
        <w:spacing w:line="560" w:lineRule="exact"/>
        <w:ind w:firstLine="480" w:firstLineChars="200"/>
        <w:jc w:val="both"/>
        <w:rPr>
          <w:rFonts w:hint="eastAsia" w:ascii="仿宋_GB2312" w:hAnsi="楷体" w:eastAsia="仿宋_GB2312"/>
          <w:sz w:val="24"/>
          <w:szCs w:val="24"/>
          <w:u w:val="single"/>
        </w:rPr>
      </w:pPr>
      <w:r>
        <w:rPr>
          <w:rFonts w:hint="eastAsia" w:ascii="仿宋_GB2312" w:hAnsi="楷体" w:eastAsia="仿宋_GB2312"/>
          <w:sz w:val="24"/>
          <w:szCs w:val="24"/>
        </w:rPr>
        <w:t>1.2.2 货物数量：</w:t>
      </w:r>
      <w:r>
        <w:rPr>
          <w:rFonts w:hint="eastAsia" w:ascii="仿宋_GB2312" w:hAnsi="楷体" w:eastAsia="仿宋_GB2312"/>
          <w:sz w:val="24"/>
          <w:szCs w:val="24"/>
          <w:u w:val="single"/>
        </w:rPr>
        <w:t xml:space="preserve">                                                </w:t>
      </w:r>
      <w:r>
        <w:rPr>
          <w:rFonts w:hint="eastAsia" w:ascii="仿宋_GB2312" w:hAnsi="楷体" w:eastAsia="仿宋_GB2312"/>
          <w:sz w:val="24"/>
          <w:szCs w:val="24"/>
        </w:rPr>
        <w:t>；</w:t>
      </w:r>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1.2.3 货物质量：</w:t>
      </w:r>
      <w:r>
        <w:rPr>
          <w:rFonts w:hint="eastAsia" w:ascii="仿宋_GB2312" w:hAnsi="楷体" w:eastAsia="仿宋_GB2312"/>
          <w:sz w:val="24"/>
          <w:szCs w:val="24"/>
          <w:u w:val="single"/>
        </w:rPr>
        <w:t xml:space="preserve">　　　　　　　　　                      　      </w:t>
      </w:r>
      <w:r>
        <w:rPr>
          <w:rFonts w:hint="eastAsia" w:ascii="仿宋_GB2312" w:hAnsi="楷体" w:eastAsia="仿宋_GB2312"/>
          <w:sz w:val="24"/>
          <w:szCs w:val="24"/>
        </w:rPr>
        <w:t>。</w:t>
      </w:r>
    </w:p>
    <w:p>
      <w:pPr>
        <w:widowControl w:val="0"/>
        <w:adjustRightInd w:val="0"/>
        <w:spacing w:line="560" w:lineRule="exact"/>
        <w:ind w:firstLine="482" w:firstLineChars="200"/>
        <w:jc w:val="both"/>
        <w:outlineLvl w:val="0"/>
        <w:rPr>
          <w:rFonts w:hint="eastAsia" w:ascii="仿宋_GB2312" w:hAnsi="楷体" w:eastAsia="仿宋_GB2312"/>
          <w:b/>
          <w:sz w:val="24"/>
          <w:szCs w:val="24"/>
        </w:rPr>
      </w:pPr>
      <w:bookmarkStart w:id="429" w:name="_Toc21551"/>
      <w:bookmarkStart w:id="430" w:name="_Toc21631"/>
      <w:bookmarkStart w:id="431" w:name="_Toc23292"/>
      <w:r>
        <w:rPr>
          <w:rFonts w:hint="eastAsia" w:ascii="仿宋_GB2312" w:hAnsi="楷体" w:eastAsia="仿宋_GB2312"/>
          <w:b/>
          <w:sz w:val="24"/>
          <w:szCs w:val="24"/>
        </w:rPr>
        <w:t>1.3 价款</w:t>
      </w:r>
      <w:bookmarkEnd w:id="429"/>
      <w:bookmarkEnd w:id="430"/>
      <w:bookmarkEnd w:id="431"/>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本合同总价为：￥</w:t>
      </w:r>
      <w:r>
        <w:rPr>
          <w:rFonts w:hint="eastAsia" w:ascii="仿宋_GB2312" w:hAnsi="楷体" w:eastAsia="仿宋_GB2312"/>
          <w:sz w:val="24"/>
          <w:szCs w:val="24"/>
          <w:u w:val="single"/>
        </w:rPr>
        <w:t xml:space="preserve">           </w:t>
      </w:r>
      <w:r>
        <w:rPr>
          <w:rFonts w:hint="eastAsia" w:ascii="仿宋_GB2312" w:hAnsi="楷体" w:eastAsia="仿宋_GB2312"/>
          <w:sz w:val="24"/>
          <w:szCs w:val="24"/>
        </w:rPr>
        <w:t>元（大写：</w:t>
      </w:r>
      <w:r>
        <w:rPr>
          <w:rFonts w:hint="eastAsia" w:ascii="仿宋_GB2312" w:hAnsi="楷体" w:eastAsia="仿宋_GB2312"/>
          <w:sz w:val="24"/>
          <w:szCs w:val="24"/>
          <w:u w:val="single"/>
        </w:rPr>
        <w:t xml:space="preserve">                 </w:t>
      </w:r>
      <w:r>
        <w:rPr>
          <w:rFonts w:hint="eastAsia" w:ascii="仿宋_GB2312" w:hAnsi="楷体" w:eastAsia="仿宋_GB2312"/>
          <w:sz w:val="24"/>
          <w:szCs w:val="24"/>
        </w:rPr>
        <w:t>元人民币）。</w:t>
      </w:r>
    </w:p>
    <w:p>
      <w:pPr>
        <w:widowControl w:val="0"/>
        <w:adjustRightInd w:val="0"/>
        <w:spacing w:line="560" w:lineRule="exact"/>
        <w:ind w:firstLine="480" w:firstLineChars="200"/>
        <w:jc w:val="both"/>
        <w:rPr>
          <w:rFonts w:hint="eastAsia" w:ascii="仿宋_GB2312" w:hAnsi="楷体" w:eastAsia="仿宋_GB2312"/>
          <w:sz w:val="24"/>
          <w:szCs w:val="24"/>
          <w:u w:val="single"/>
        </w:rPr>
      </w:pPr>
      <w:r>
        <w:rPr>
          <w:rFonts w:hint="eastAsia" w:ascii="仿宋_GB2312" w:hAnsi="楷体" w:eastAsia="仿宋_GB2312"/>
          <w:sz w:val="24"/>
          <w:szCs w:val="24"/>
        </w:rPr>
        <w:t>分项价格：</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69" w:hRule="atLeast"/>
          <w:jc w:val="center"/>
        </w:trPr>
        <w:tc>
          <w:tcPr>
            <w:tcW w:w="1201" w:type="dxa"/>
            <w:noWrap w:val="0"/>
            <w:vAlign w:val="center"/>
          </w:tcPr>
          <w:p>
            <w:pPr>
              <w:widowControl w:val="0"/>
              <w:spacing w:line="560" w:lineRule="exact"/>
              <w:jc w:val="center"/>
              <w:rPr>
                <w:rFonts w:hint="eastAsia" w:ascii="仿宋_GB2312" w:hAnsi="楷体" w:eastAsia="仿宋_GB2312"/>
                <w:kern w:val="0"/>
                <w:sz w:val="24"/>
                <w:szCs w:val="24"/>
              </w:rPr>
            </w:pPr>
            <w:r>
              <w:rPr>
                <w:rFonts w:hint="eastAsia" w:ascii="仿宋_GB2312" w:hAnsi="楷体" w:eastAsia="仿宋_GB2312"/>
                <w:kern w:val="0"/>
                <w:sz w:val="24"/>
                <w:szCs w:val="24"/>
              </w:rPr>
              <w:t>序号</w:t>
            </w:r>
          </w:p>
        </w:tc>
        <w:tc>
          <w:tcPr>
            <w:tcW w:w="3402" w:type="dxa"/>
            <w:noWrap w:val="0"/>
            <w:vAlign w:val="center"/>
          </w:tcPr>
          <w:p>
            <w:pPr>
              <w:widowControl w:val="0"/>
              <w:spacing w:line="560" w:lineRule="exact"/>
              <w:ind w:firstLine="200"/>
              <w:jc w:val="center"/>
              <w:rPr>
                <w:rFonts w:hint="eastAsia" w:ascii="仿宋_GB2312" w:hAnsi="楷体" w:eastAsia="仿宋_GB2312"/>
                <w:kern w:val="0"/>
                <w:sz w:val="24"/>
                <w:szCs w:val="24"/>
              </w:rPr>
            </w:pPr>
            <w:r>
              <w:rPr>
                <w:rFonts w:hint="eastAsia" w:ascii="仿宋_GB2312" w:hAnsi="楷体" w:eastAsia="仿宋_GB2312"/>
                <w:kern w:val="0"/>
                <w:sz w:val="24"/>
                <w:szCs w:val="24"/>
              </w:rPr>
              <w:t>分项名称</w:t>
            </w:r>
          </w:p>
        </w:tc>
        <w:tc>
          <w:tcPr>
            <w:tcW w:w="2552" w:type="dxa"/>
            <w:noWrap w:val="0"/>
            <w:vAlign w:val="center"/>
          </w:tcPr>
          <w:p>
            <w:pPr>
              <w:widowControl w:val="0"/>
              <w:spacing w:line="560" w:lineRule="exact"/>
              <w:jc w:val="center"/>
              <w:rPr>
                <w:rFonts w:hint="eastAsia" w:ascii="仿宋_GB2312" w:hAnsi="楷体" w:eastAsia="仿宋_GB2312"/>
                <w:kern w:val="0"/>
                <w:sz w:val="24"/>
                <w:szCs w:val="24"/>
              </w:rPr>
            </w:pPr>
            <w:r>
              <w:rPr>
                <w:rFonts w:hint="eastAsia" w:ascii="仿宋_GB2312" w:hAnsi="楷体" w:eastAsia="仿宋_GB2312"/>
                <w:kern w:val="0"/>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69" w:hRule="atLeast"/>
          <w:jc w:val="center"/>
        </w:trPr>
        <w:tc>
          <w:tcPr>
            <w:tcW w:w="1201" w:type="dxa"/>
            <w:noWrap w:val="0"/>
            <w:vAlign w:val="center"/>
          </w:tcPr>
          <w:p>
            <w:pPr>
              <w:widowControl w:val="0"/>
              <w:spacing w:line="560" w:lineRule="exact"/>
              <w:ind w:firstLine="200"/>
              <w:jc w:val="center"/>
              <w:rPr>
                <w:rFonts w:hint="eastAsia" w:ascii="仿宋_GB2312" w:hAnsi="楷体" w:eastAsia="仿宋_GB2312"/>
                <w:kern w:val="0"/>
                <w:sz w:val="24"/>
                <w:szCs w:val="24"/>
              </w:rPr>
            </w:pPr>
          </w:p>
        </w:tc>
        <w:tc>
          <w:tcPr>
            <w:tcW w:w="3402" w:type="dxa"/>
            <w:noWrap w:val="0"/>
            <w:vAlign w:val="center"/>
          </w:tcPr>
          <w:p>
            <w:pPr>
              <w:widowControl w:val="0"/>
              <w:spacing w:line="560" w:lineRule="exact"/>
              <w:ind w:firstLine="200"/>
              <w:jc w:val="center"/>
              <w:rPr>
                <w:rFonts w:hint="eastAsia" w:ascii="仿宋_GB2312" w:hAnsi="楷体" w:eastAsia="仿宋_GB2312"/>
                <w:kern w:val="0"/>
                <w:sz w:val="24"/>
                <w:szCs w:val="24"/>
              </w:rPr>
            </w:pPr>
          </w:p>
        </w:tc>
        <w:tc>
          <w:tcPr>
            <w:tcW w:w="2552" w:type="dxa"/>
            <w:noWrap w:val="0"/>
            <w:vAlign w:val="center"/>
          </w:tcPr>
          <w:p>
            <w:pPr>
              <w:widowControl w:val="0"/>
              <w:spacing w:line="560" w:lineRule="exact"/>
              <w:ind w:firstLine="200"/>
              <w:jc w:val="center"/>
              <w:rPr>
                <w:rFonts w:hint="eastAsia" w:ascii="仿宋_GB2312" w:hAnsi="楷体"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69" w:hRule="atLeast"/>
          <w:jc w:val="center"/>
        </w:trPr>
        <w:tc>
          <w:tcPr>
            <w:tcW w:w="1201" w:type="dxa"/>
            <w:noWrap w:val="0"/>
            <w:vAlign w:val="center"/>
          </w:tcPr>
          <w:p>
            <w:pPr>
              <w:widowControl w:val="0"/>
              <w:spacing w:line="560" w:lineRule="exact"/>
              <w:ind w:firstLine="200"/>
              <w:jc w:val="center"/>
              <w:rPr>
                <w:rFonts w:hint="eastAsia" w:ascii="仿宋_GB2312" w:hAnsi="楷体" w:eastAsia="仿宋_GB2312"/>
                <w:kern w:val="0"/>
                <w:sz w:val="24"/>
                <w:szCs w:val="24"/>
              </w:rPr>
            </w:pPr>
          </w:p>
        </w:tc>
        <w:tc>
          <w:tcPr>
            <w:tcW w:w="3402" w:type="dxa"/>
            <w:noWrap w:val="0"/>
            <w:vAlign w:val="center"/>
          </w:tcPr>
          <w:p>
            <w:pPr>
              <w:widowControl w:val="0"/>
              <w:spacing w:line="560" w:lineRule="exact"/>
              <w:ind w:firstLine="200"/>
              <w:jc w:val="center"/>
              <w:rPr>
                <w:rFonts w:hint="eastAsia" w:ascii="仿宋_GB2312" w:hAnsi="楷体" w:eastAsia="仿宋_GB2312"/>
                <w:kern w:val="0"/>
                <w:sz w:val="24"/>
                <w:szCs w:val="24"/>
              </w:rPr>
            </w:pPr>
          </w:p>
        </w:tc>
        <w:tc>
          <w:tcPr>
            <w:tcW w:w="2552" w:type="dxa"/>
            <w:noWrap w:val="0"/>
            <w:vAlign w:val="center"/>
          </w:tcPr>
          <w:p>
            <w:pPr>
              <w:widowControl w:val="0"/>
              <w:spacing w:line="560" w:lineRule="exact"/>
              <w:ind w:firstLine="200"/>
              <w:jc w:val="center"/>
              <w:rPr>
                <w:rFonts w:hint="eastAsia" w:ascii="仿宋_GB2312" w:hAnsi="楷体"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69" w:hRule="atLeast"/>
          <w:jc w:val="center"/>
        </w:trPr>
        <w:tc>
          <w:tcPr>
            <w:tcW w:w="1201" w:type="dxa"/>
            <w:noWrap w:val="0"/>
            <w:vAlign w:val="center"/>
          </w:tcPr>
          <w:p>
            <w:pPr>
              <w:widowControl w:val="0"/>
              <w:spacing w:line="560" w:lineRule="exact"/>
              <w:ind w:firstLine="200"/>
              <w:jc w:val="center"/>
              <w:rPr>
                <w:rFonts w:hint="eastAsia" w:ascii="仿宋_GB2312" w:hAnsi="楷体" w:eastAsia="仿宋_GB2312"/>
                <w:kern w:val="0"/>
                <w:sz w:val="24"/>
                <w:szCs w:val="24"/>
              </w:rPr>
            </w:pPr>
          </w:p>
        </w:tc>
        <w:tc>
          <w:tcPr>
            <w:tcW w:w="3402" w:type="dxa"/>
            <w:noWrap w:val="0"/>
            <w:vAlign w:val="center"/>
          </w:tcPr>
          <w:p>
            <w:pPr>
              <w:widowControl w:val="0"/>
              <w:spacing w:line="560" w:lineRule="exact"/>
              <w:ind w:firstLine="200"/>
              <w:jc w:val="center"/>
              <w:rPr>
                <w:rFonts w:hint="eastAsia" w:ascii="仿宋_GB2312" w:hAnsi="楷体" w:eastAsia="仿宋_GB2312"/>
                <w:kern w:val="0"/>
                <w:sz w:val="24"/>
                <w:szCs w:val="24"/>
              </w:rPr>
            </w:pPr>
          </w:p>
        </w:tc>
        <w:tc>
          <w:tcPr>
            <w:tcW w:w="2552" w:type="dxa"/>
            <w:noWrap w:val="0"/>
            <w:vAlign w:val="center"/>
          </w:tcPr>
          <w:p>
            <w:pPr>
              <w:widowControl w:val="0"/>
              <w:spacing w:line="560" w:lineRule="exact"/>
              <w:ind w:firstLine="200"/>
              <w:jc w:val="center"/>
              <w:rPr>
                <w:rFonts w:hint="eastAsia" w:ascii="仿宋_GB2312" w:hAnsi="楷体"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69" w:hRule="atLeast"/>
          <w:jc w:val="center"/>
        </w:trPr>
        <w:tc>
          <w:tcPr>
            <w:tcW w:w="1201" w:type="dxa"/>
            <w:noWrap w:val="0"/>
            <w:vAlign w:val="center"/>
          </w:tcPr>
          <w:p>
            <w:pPr>
              <w:widowControl w:val="0"/>
              <w:spacing w:line="560" w:lineRule="exact"/>
              <w:ind w:firstLine="200"/>
              <w:jc w:val="center"/>
              <w:rPr>
                <w:rFonts w:hint="eastAsia" w:ascii="仿宋_GB2312" w:hAnsi="楷体" w:eastAsia="仿宋_GB2312"/>
                <w:kern w:val="0"/>
                <w:sz w:val="24"/>
                <w:szCs w:val="24"/>
              </w:rPr>
            </w:pPr>
          </w:p>
        </w:tc>
        <w:tc>
          <w:tcPr>
            <w:tcW w:w="3402" w:type="dxa"/>
            <w:noWrap w:val="0"/>
            <w:vAlign w:val="center"/>
          </w:tcPr>
          <w:p>
            <w:pPr>
              <w:widowControl w:val="0"/>
              <w:spacing w:line="560" w:lineRule="exact"/>
              <w:ind w:firstLine="200"/>
              <w:jc w:val="center"/>
              <w:rPr>
                <w:rFonts w:hint="eastAsia" w:ascii="仿宋_GB2312" w:hAnsi="楷体" w:eastAsia="仿宋_GB2312"/>
                <w:kern w:val="0"/>
                <w:sz w:val="24"/>
                <w:szCs w:val="24"/>
              </w:rPr>
            </w:pPr>
          </w:p>
        </w:tc>
        <w:tc>
          <w:tcPr>
            <w:tcW w:w="2552" w:type="dxa"/>
            <w:noWrap w:val="0"/>
            <w:vAlign w:val="center"/>
          </w:tcPr>
          <w:p>
            <w:pPr>
              <w:widowControl w:val="0"/>
              <w:spacing w:line="560" w:lineRule="exact"/>
              <w:ind w:firstLine="200"/>
              <w:jc w:val="center"/>
              <w:rPr>
                <w:rFonts w:hint="eastAsia" w:ascii="仿宋_GB2312" w:hAnsi="楷体"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69" w:hRule="atLeast"/>
          <w:jc w:val="center"/>
        </w:trPr>
        <w:tc>
          <w:tcPr>
            <w:tcW w:w="4603" w:type="dxa"/>
            <w:gridSpan w:val="2"/>
            <w:noWrap w:val="0"/>
            <w:vAlign w:val="center"/>
          </w:tcPr>
          <w:p>
            <w:pPr>
              <w:widowControl w:val="0"/>
              <w:spacing w:line="560" w:lineRule="exact"/>
              <w:ind w:firstLine="200"/>
              <w:jc w:val="center"/>
              <w:rPr>
                <w:rFonts w:hint="eastAsia" w:ascii="仿宋_GB2312" w:hAnsi="楷体" w:eastAsia="仿宋_GB2312"/>
                <w:kern w:val="0"/>
                <w:sz w:val="24"/>
                <w:szCs w:val="24"/>
              </w:rPr>
            </w:pPr>
            <w:r>
              <w:rPr>
                <w:rFonts w:hint="eastAsia" w:ascii="仿宋_GB2312" w:hAnsi="楷体" w:eastAsia="仿宋_GB2312"/>
                <w:kern w:val="0"/>
                <w:sz w:val="24"/>
                <w:szCs w:val="24"/>
              </w:rPr>
              <w:t>总价</w:t>
            </w:r>
          </w:p>
        </w:tc>
        <w:tc>
          <w:tcPr>
            <w:tcW w:w="2552" w:type="dxa"/>
            <w:noWrap w:val="0"/>
            <w:vAlign w:val="center"/>
          </w:tcPr>
          <w:p>
            <w:pPr>
              <w:widowControl w:val="0"/>
              <w:spacing w:line="560" w:lineRule="exact"/>
              <w:ind w:firstLine="200"/>
              <w:jc w:val="center"/>
              <w:rPr>
                <w:rFonts w:hint="eastAsia" w:ascii="仿宋_GB2312" w:hAnsi="楷体" w:eastAsia="仿宋_GB2312"/>
                <w:kern w:val="0"/>
                <w:sz w:val="24"/>
                <w:szCs w:val="24"/>
              </w:rPr>
            </w:pPr>
          </w:p>
        </w:tc>
      </w:tr>
    </w:tbl>
    <w:p>
      <w:pPr>
        <w:widowControl w:val="0"/>
        <w:adjustRightInd w:val="0"/>
        <w:spacing w:line="560" w:lineRule="exact"/>
        <w:ind w:firstLine="482" w:firstLineChars="200"/>
        <w:jc w:val="both"/>
        <w:outlineLvl w:val="0"/>
        <w:rPr>
          <w:rFonts w:hint="eastAsia" w:ascii="仿宋_GB2312" w:hAnsi="楷体" w:eastAsia="仿宋_GB2312"/>
          <w:b/>
          <w:sz w:val="24"/>
          <w:szCs w:val="24"/>
        </w:rPr>
      </w:pPr>
      <w:bookmarkStart w:id="432" w:name="_Toc22618"/>
      <w:bookmarkStart w:id="433" w:name="_Toc1814"/>
      <w:bookmarkStart w:id="434" w:name="_Toc10340"/>
      <w:r>
        <w:rPr>
          <w:rFonts w:hint="eastAsia" w:ascii="仿宋_GB2312" w:hAnsi="楷体" w:eastAsia="仿宋_GB2312"/>
          <w:b/>
          <w:sz w:val="24"/>
          <w:szCs w:val="24"/>
        </w:rPr>
        <w:t>1.4 付款方式和发票开具方式</w:t>
      </w:r>
      <w:bookmarkEnd w:id="432"/>
      <w:bookmarkEnd w:id="433"/>
      <w:bookmarkEnd w:id="434"/>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1.4.1 付款方式：</w:t>
      </w:r>
      <w:r>
        <w:rPr>
          <w:rFonts w:hint="eastAsia" w:ascii="仿宋_GB2312" w:hAnsi="楷体" w:eastAsia="仿宋_GB2312"/>
          <w:sz w:val="24"/>
          <w:szCs w:val="24"/>
          <w:u w:val="single"/>
        </w:rPr>
        <w:t xml:space="preserve">详见合同专用条款                                </w:t>
      </w:r>
      <w:r>
        <w:rPr>
          <w:rFonts w:hint="eastAsia" w:ascii="仿宋_GB2312" w:hAnsi="楷体" w:eastAsia="仿宋_GB2312"/>
          <w:sz w:val="24"/>
          <w:szCs w:val="24"/>
        </w:rPr>
        <w:t>；</w:t>
      </w:r>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1.4.2 发票开具方式：</w:t>
      </w:r>
      <w:r>
        <w:rPr>
          <w:rFonts w:hint="eastAsia" w:ascii="仿宋_GB2312" w:hAnsi="楷体" w:eastAsia="仿宋_GB2312"/>
          <w:sz w:val="24"/>
          <w:szCs w:val="24"/>
          <w:u w:val="single"/>
        </w:rPr>
        <w:t xml:space="preserve">详见合同专用条款                            </w:t>
      </w:r>
      <w:r>
        <w:rPr>
          <w:rFonts w:hint="eastAsia" w:ascii="仿宋_GB2312" w:hAnsi="楷体" w:eastAsia="仿宋_GB2312"/>
          <w:sz w:val="24"/>
          <w:szCs w:val="24"/>
        </w:rPr>
        <w:t>。</w:t>
      </w:r>
    </w:p>
    <w:p>
      <w:pPr>
        <w:widowControl w:val="0"/>
        <w:adjustRightInd w:val="0"/>
        <w:spacing w:line="560" w:lineRule="exact"/>
        <w:ind w:firstLine="482" w:firstLineChars="200"/>
        <w:jc w:val="both"/>
        <w:outlineLvl w:val="0"/>
        <w:rPr>
          <w:rFonts w:hint="eastAsia" w:ascii="仿宋_GB2312" w:hAnsi="楷体" w:eastAsia="仿宋_GB2312"/>
          <w:b/>
          <w:sz w:val="24"/>
          <w:szCs w:val="24"/>
        </w:rPr>
      </w:pPr>
      <w:bookmarkStart w:id="435" w:name="_Toc32071"/>
      <w:bookmarkStart w:id="436" w:name="_Toc2846"/>
      <w:bookmarkStart w:id="437" w:name="_Toc19304"/>
      <w:r>
        <w:rPr>
          <w:rFonts w:hint="eastAsia" w:ascii="仿宋_GB2312" w:hAnsi="楷体" w:eastAsia="仿宋_GB2312"/>
          <w:b/>
          <w:sz w:val="24"/>
          <w:szCs w:val="24"/>
        </w:rPr>
        <w:t>1.5 货物交付期限、地点和方式</w:t>
      </w:r>
      <w:bookmarkEnd w:id="435"/>
      <w:bookmarkEnd w:id="436"/>
      <w:bookmarkEnd w:id="437"/>
    </w:p>
    <w:p>
      <w:pPr>
        <w:widowControl w:val="0"/>
        <w:adjustRightInd w:val="0"/>
        <w:spacing w:line="560" w:lineRule="exact"/>
        <w:ind w:firstLine="480" w:firstLineChars="200"/>
        <w:jc w:val="both"/>
        <w:rPr>
          <w:rFonts w:hint="eastAsia" w:ascii="仿宋_GB2312" w:hAnsi="楷体" w:eastAsia="仿宋_GB2312"/>
          <w:sz w:val="24"/>
          <w:szCs w:val="24"/>
          <w:u w:val="single"/>
        </w:rPr>
      </w:pPr>
      <w:r>
        <w:rPr>
          <w:rFonts w:hint="eastAsia" w:ascii="仿宋_GB2312" w:hAnsi="楷体" w:eastAsia="仿宋_GB2312"/>
          <w:sz w:val="24"/>
          <w:szCs w:val="24"/>
        </w:rPr>
        <w:t>1.5.1 交付期限：</w:t>
      </w:r>
      <w:r>
        <w:rPr>
          <w:rFonts w:hint="eastAsia" w:ascii="仿宋_GB2312" w:hAnsi="楷体" w:eastAsia="仿宋_GB2312"/>
          <w:sz w:val="24"/>
          <w:szCs w:val="24"/>
          <w:u w:val="single"/>
        </w:rPr>
        <w:t xml:space="preserve"> 合同签订后30日内</w:t>
      </w:r>
      <w:r>
        <w:rPr>
          <w:rFonts w:hint="eastAsia" w:ascii="仿宋_GB2312" w:hAnsi="仿宋_GB2312" w:eastAsia="仿宋_GB2312" w:cs="仿宋_GB2312"/>
          <w:kern w:val="0"/>
          <w:sz w:val="24"/>
          <w:szCs w:val="24"/>
          <w:u w:val="single"/>
          <w:lang w:val="zh-CN"/>
        </w:rPr>
        <w:t>完成</w:t>
      </w:r>
      <w:r>
        <w:rPr>
          <w:rFonts w:hint="eastAsia" w:ascii="仿宋_GB2312" w:hAnsi="仿宋_GB2312" w:eastAsia="仿宋_GB2312" w:cs="仿宋_GB2312"/>
          <w:sz w:val="24"/>
          <w:szCs w:val="24"/>
          <w:u w:val="single"/>
          <w:lang w:val="zh-CN"/>
        </w:rPr>
        <w:t>项目设备供货、系统集成，实施</w:t>
      </w:r>
      <w:r>
        <w:rPr>
          <w:rFonts w:hint="eastAsia" w:ascii="仿宋_GB2312" w:hAnsi="仿宋_GB2312" w:eastAsia="仿宋_GB2312" w:cs="仿宋_GB2312"/>
          <w:sz w:val="24"/>
          <w:szCs w:val="24"/>
          <w:u w:val="single"/>
        </w:rPr>
        <w:t>，</w:t>
      </w:r>
      <w:r>
        <w:rPr>
          <w:rFonts w:hint="eastAsia" w:ascii="仿宋_GB2312" w:eastAsia="仿宋_GB2312"/>
          <w:sz w:val="24"/>
          <w:szCs w:val="24"/>
          <w:u w:val="single"/>
        </w:rPr>
        <w:t>经初验合格交付使用进入试运行</w:t>
      </w:r>
      <w:r>
        <w:rPr>
          <w:rFonts w:hint="eastAsia" w:ascii="仿宋_GB2312" w:hAnsi="楷体" w:eastAsia="仿宋_GB2312"/>
          <w:sz w:val="24"/>
          <w:szCs w:val="24"/>
          <w:u w:val="single"/>
        </w:rPr>
        <w:t>；</w:t>
      </w:r>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1.5.2 交付地点：</w:t>
      </w:r>
      <w:r>
        <w:rPr>
          <w:rFonts w:hint="eastAsia" w:ascii="仿宋_GB2312" w:hAnsi="楷体" w:eastAsia="仿宋_GB2312"/>
          <w:sz w:val="24"/>
          <w:szCs w:val="24"/>
          <w:u w:val="single"/>
        </w:rPr>
        <w:t xml:space="preserve">采购人指定地点                              </w:t>
      </w:r>
      <w:r>
        <w:rPr>
          <w:rFonts w:hint="eastAsia" w:ascii="仿宋_GB2312" w:hAnsi="楷体" w:eastAsia="仿宋_GB2312"/>
          <w:sz w:val="24"/>
          <w:szCs w:val="24"/>
        </w:rPr>
        <w:t>；</w:t>
      </w:r>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1.5.3 交付方式：</w:t>
      </w:r>
      <w:r>
        <w:rPr>
          <w:rFonts w:hint="eastAsia" w:ascii="仿宋_GB2312" w:hAnsi="楷体" w:eastAsia="仿宋_GB2312"/>
          <w:sz w:val="24"/>
          <w:szCs w:val="24"/>
          <w:u w:val="single"/>
        </w:rPr>
        <w:t xml:space="preserve">现实交付    　　　                      　  </w:t>
      </w:r>
      <w:r>
        <w:rPr>
          <w:rFonts w:hint="eastAsia" w:ascii="仿宋_GB2312" w:hAnsi="楷体" w:eastAsia="仿宋_GB2312"/>
          <w:sz w:val="24"/>
          <w:szCs w:val="24"/>
        </w:rPr>
        <w:t>。</w:t>
      </w:r>
    </w:p>
    <w:p>
      <w:pPr>
        <w:widowControl w:val="0"/>
        <w:adjustRightInd w:val="0"/>
        <w:spacing w:line="560" w:lineRule="exact"/>
        <w:ind w:firstLine="482" w:firstLineChars="200"/>
        <w:jc w:val="both"/>
        <w:outlineLvl w:val="0"/>
        <w:rPr>
          <w:rFonts w:hint="eastAsia" w:ascii="仿宋_GB2312" w:hAnsi="楷体" w:eastAsia="仿宋_GB2312"/>
          <w:b/>
          <w:sz w:val="24"/>
          <w:szCs w:val="24"/>
        </w:rPr>
      </w:pPr>
      <w:bookmarkStart w:id="438" w:name="_Toc27250"/>
      <w:bookmarkStart w:id="439" w:name="_Toc21423"/>
      <w:bookmarkStart w:id="440" w:name="_Toc19554"/>
      <w:r>
        <w:rPr>
          <w:rFonts w:hint="eastAsia" w:ascii="仿宋_GB2312" w:hAnsi="楷体" w:eastAsia="仿宋_GB2312"/>
          <w:b/>
          <w:sz w:val="24"/>
          <w:szCs w:val="24"/>
        </w:rPr>
        <w:t>1.6 违约责任</w:t>
      </w:r>
      <w:bookmarkEnd w:id="438"/>
      <w:bookmarkEnd w:id="439"/>
      <w:bookmarkEnd w:id="440"/>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1.6.1 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_GB2312" w:eastAsia="仿宋_GB2312" w:cs="仿宋_GB2312"/>
          <w:sz w:val="24"/>
          <w:szCs w:val="24"/>
        </w:rPr>
        <w:t>1‰</w:t>
      </w:r>
      <w:r>
        <w:rPr>
          <w:rFonts w:hint="eastAsia" w:ascii="仿宋_GB2312" w:hAnsi="楷体" w:eastAsia="仿宋_GB2312"/>
          <w:sz w:val="24"/>
          <w:szCs w:val="24"/>
        </w:rPr>
        <w:t>计算，最高限额为本合同总价的</w:t>
      </w:r>
      <w:r>
        <w:rPr>
          <w:rFonts w:hint="eastAsia" w:ascii="仿宋_GB2312" w:hAnsi="楷体" w:eastAsia="仿宋_GB2312"/>
          <w:sz w:val="24"/>
          <w:szCs w:val="24"/>
          <w:u w:val="single"/>
        </w:rPr>
        <w:t xml:space="preserve"> </w:t>
      </w:r>
      <w:r>
        <w:rPr>
          <w:rFonts w:hint="eastAsia" w:ascii="仿宋_GB2312" w:hAnsi="仿宋_GB2312" w:eastAsia="仿宋_GB2312" w:cs="仿宋_GB2312"/>
          <w:sz w:val="24"/>
          <w:szCs w:val="24"/>
        </w:rPr>
        <w:t>1‰</w:t>
      </w:r>
      <w:r>
        <w:rPr>
          <w:rFonts w:hint="eastAsia" w:ascii="仿宋_GB2312" w:hAnsi="楷体" w:eastAsia="仿宋_GB2312"/>
          <w:sz w:val="24"/>
          <w:szCs w:val="24"/>
        </w:rPr>
        <w:t>；迟延交付货物的违约金计算数额达到前述最高限额之日起，甲方有权在要求乙方支付违约金的同时，书面通知乙方解除本合同；</w:t>
      </w:r>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1.6.2 除不可抗力外，如果甲方没有按照本合同约定的付款方式付款，那么乙方可要求甲方支付违约金，违约金按每迟延付款一日的应付而未付款的</w:t>
      </w:r>
      <w:r>
        <w:rPr>
          <w:rFonts w:hint="eastAsia" w:ascii="仿宋_GB2312" w:hAnsi="仿宋_GB2312" w:eastAsia="仿宋_GB2312" w:cs="仿宋_GB2312"/>
          <w:sz w:val="24"/>
          <w:szCs w:val="24"/>
        </w:rPr>
        <w:t>1‰</w:t>
      </w:r>
      <w:r>
        <w:rPr>
          <w:rFonts w:hint="eastAsia" w:ascii="仿宋_GB2312" w:hAnsi="楷体" w:eastAsia="仿宋_GB2312"/>
          <w:sz w:val="24"/>
          <w:szCs w:val="24"/>
        </w:rPr>
        <w:t>计算，最高限额为本合同总价的</w:t>
      </w:r>
      <w:r>
        <w:rPr>
          <w:rFonts w:hint="eastAsia" w:ascii="仿宋_GB2312" w:hAnsi="仿宋_GB2312" w:eastAsia="仿宋_GB2312" w:cs="仿宋_GB2312"/>
          <w:sz w:val="24"/>
          <w:szCs w:val="24"/>
        </w:rPr>
        <w:t>1‰</w:t>
      </w:r>
      <w:r>
        <w:rPr>
          <w:rFonts w:hint="eastAsia" w:ascii="仿宋_GB2312" w:hAnsi="楷体" w:eastAsia="仿宋_GB2312"/>
          <w:sz w:val="24"/>
          <w:szCs w:val="24"/>
        </w:rPr>
        <w:t>；迟延付款的违约金计算数额达到前述最高限额之日起，乙方有权在要求甲方支付违约金的同时，书面通知甲方解除本合同；</w:t>
      </w:r>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1.6.6 如果出现政府采购监督管理部门在处理投诉事项期间，书面通知甲方暂停采购活动的情形，或者询问或质疑事项可能影响中标结果的，导致甲方中止履行合同的情形，均不视为甲方违约。</w:t>
      </w:r>
    </w:p>
    <w:p>
      <w:pPr>
        <w:widowControl w:val="0"/>
        <w:adjustRightInd w:val="0"/>
        <w:spacing w:line="560" w:lineRule="exact"/>
        <w:ind w:firstLine="482" w:firstLineChars="200"/>
        <w:jc w:val="both"/>
        <w:outlineLvl w:val="0"/>
        <w:rPr>
          <w:rFonts w:hint="eastAsia" w:ascii="仿宋_GB2312" w:hAnsi="楷体" w:eastAsia="仿宋_GB2312"/>
          <w:b/>
          <w:sz w:val="24"/>
          <w:szCs w:val="24"/>
        </w:rPr>
      </w:pPr>
      <w:bookmarkStart w:id="441" w:name="_Toc15583"/>
      <w:bookmarkStart w:id="442" w:name="_Toc16021"/>
      <w:bookmarkStart w:id="443" w:name="_Toc28375"/>
      <w:r>
        <w:rPr>
          <w:rFonts w:hint="eastAsia" w:ascii="仿宋_GB2312" w:hAnsi="楷体" w:eastAsia="仿宋_GB2312"/>
          <w:b/>
          <w:sz w:val="24"/>
          <w:szCs w:val="24"/>
        </w:rPr>
        <w:t>1.7 合同争议的解决</w:t>
      </w:r>
      <w:bookmarkEnd w:id="441"/>
      <w:bookmarkEnd w:id="442"/>
      <w:bookmarkEnd w:id="443"/>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本合同履行过程中发生的任何争议，双方当事人均可通过和解或者调解解决；不愿和解、调解或者和解、调解不成的，可以选择下列第</w:t>
      </w:r>
      <w:r>
        <w:rPr>
          <w:rFonts w:hint="eastAsia" w:ascii="仿宋_GB2312" w:hAnsi="楷体" w:eastAsia="仿宋_GB2312"/>
          <w:sz w:val="24"/>
          <w:szCs w:val="24"/>
          <w:u w:val="single"/>
        </w:rPr>
        <w:t xml:space="preserve">    </w:t>
      </w:r>
      <w:r>
        <w:rPr>
          <w:rFonts w:hint="eastAsia" w:ascii="仿宋_GB2312" w:hAnsi="楷体" w:eastAsia="仿宋_GB2312"/>
          <w:sz w:val="24"/>
          <w:szCs w:val="24"/>
        </w:rPr>
        <w:t>种方式解决：</w:t>
      </w:r>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1.7.1 将争议提交</w:t>
      </w:r>
      <w:r>
        <w:rPr>
          <w:rFonts w:hint="eastAsia" w:ascii="仿宋_GB2312" w:hAnsi="楷体" w:eastAsia="仿宋_GB2312"/>
          <w:sz w:val="24"/>
          <w:szCs w:val="24"/>
          <w:u w:val="single"/>
        </w:rPr>
        <w:t xml:space="preserve">     杭州   </w:t>
      </w:r>
      <w:r>
        <w:rPr>
          <w:rFonts w:hint="eastAsia" w:ascii="仿宋_GB2312" w:hAnsi="楷体" w:eastAsia="仿宋_GB2312"/>
          <w:sz w:val="24"/>
          <w:szCs w:val="24"/>
        </w:rPr>
        <w:t>仲裁委员会依申请仲裁时其现行有效的仲裁规则裁决；</w:t>
      </w:r>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1.7.2 向</w:t>
      </w:r>
      <w:r>
        <w:rPr>
          <w:rFonts w:hint="eastAsia" w:ascii="仿宋_GB2312" w:hAnsi="楷体" w:eastAsia="仿宋_GB2312"/>
          <w:sz w:val="24"/>
          <w:szCs w:val="24"/>
          <w:u w:val="single"/>
        </w:rPr>
        <w:t xml:space="preserve">   （被告住所地、合同履行地、合同签订地、原告住所地、标的物所在地等与争议有实际联系的地点中选出的人民法院名称）    </w:t>
      </w:r>
      <w:r>
        <w:rPr>
          <w:rFonts w:hint="eastAsia" w:ascii="仿宋_GB2312" w:hAnsi="楷体" w:eastAsia="仿宋_GB2312"/>
          <w:sz w:val="24"/>
          <w:szCs w:val="24"/>
        </w:rPr>
        <w:t>人民法院起诉。</w:t>
      </w:r>
    </w:p>
    <w:p>
      <w:pPr>
        <w:widowControl w:val="0"/>
        <w:adjustRightInd w:val="0"/>
        <w:spacing w:line="560" w:lineRule="exact"/>
        <w:ind w:firstLine="482" w:firstLineChars="200"/>
        <w:jc w:val="both"/>
        <w:outlineLvl w:val="0"/>
        <w:rPr>
          <w:rFonts w:hint="eastAsia" w:ascii="仿宋_GB2312" w:hAnsi="楷体" w:eastAsia="仿宋_GB2312"/>
          <w:b/>
          <w:sz w:val="24"/>
          <w:szCs w:val="24"/>
        </w:rPr>
      </w:pPr>
      <w:bookmarkStart w:id="444" w:name="_Toc7245"/>
      <w:bookmarkStart w:id="445" w:name="_Toc15322"/>
      <w:bookmarkStart w:id="446" w:name="_Toc11173"/>
      <w:r>
        <w:rPr>
          <w:rFonts w:hint="eastAsia" w:ascii="仿宋_GB2312" w:hAnsi="楷体" w:eastAsia="仿宋_GB2312"/>
          <w:b/>
          <w:sz w:val="24"/>
          <w:szCs w:val="24"/>
        </w:rPr>
        <w:t>1.8 合同生效</w:t>
      </w:r>
      <w:bookmarkEnd w:id="444"/>
      <w:bookmarkEnd w:id="445"/>
      <w:bookmarkEnd w:id="446"/>
    </w:p>
    <w:p>
      <w:pPr>
        <w:widowControl w:val="0"/>
        <w:adjustRightInd w:val="0"/>
        <w:spacing w:line="560" w:lineRule="exact"/>
        <w:ind w:firstLine="480" w:firstLineChars="200"/>
        <w:jc w:val="both"/>
        <w:rPr>
          <w:rFonts w:hint="eastAsia" w:ascii="仿宋_GB2312" w:hAnsi="楷体" w:eastAsia="仿宋_GB2312"/>
          <w:b/>
          <w:sz w:val="24"/>
          <w:szCs w:val="24"/>
        </w:rPr>
      </w:pPr>
      <w:r>
        <w:rPr>
          <w:rFonts w:hint="eastAsia" w:ascii="仿宋_GB2312" w:hAnsi="楷体" w:eastAsia="仿宋_GB2312"/>
          <w:sz w:val="24"/>
          <w:szCs w:val="24"/>
        </w:rPr>
        <w:t>本合同自双方当事人盖章或者签字时生效。</w:t>
      </w:r>
    </w:p>
    <w:p>
      <w:pPr>
        <w:widowControl w:val="0"/>
        <w:autoSpaceDE w:val="0"/>
        <w:autoSpaceDN w:val="0"/>
        <w:adjustRightInd w:val="0"/>
        <w:spacing w:line="560" w:lineRule="exact"/>
        <w:jc w:val="both"/>
        <w:rPr>
          <w:rFonts w:hint="eastAsia" w:ascii="仿宋_GB2312" w:hAnsi="楷体" w:eastAsia="仿宋_GB2312"/>
          <w:sz w:val="24"/>
          <w:szCs w:val="24"/>
          <w:lang w:val="zh-CN"/>
        </w:rPr>
      </w:pPr>
    </w:p>
    <w:p>
      <w:pPr>
        <w:widowControl w:val="0"/>
        <w:autoSpaceDE w:val="0"/>
        <w:autoSpaceDN w:val="0"/>
        <w:adjustRightInd w:val="0"/>
        <w:spacing w:line="560" w:lineRule="exact"/>
        <w:jc w:val="both"/>
        <w:rPr>
          <w:rFonts w:hint="eastAsia" w:ascii="仿宋_GB2312" w:hAnsi="楷体" w:eastAsia="仿宋_GB2312"/>
          <w:sz w:val="24"/>
          <w:szCs w:val="24"/>
          <w:lang w:val="zh-CN"/>
        </w:rPr>
      </w:pPr>
      <w:r>
        <w:rPr>
          <w:rFonts w:hint="eastAsia" w:ascii="仿宋_GB2312" w:hAnsi="楷体" w:eastAsia="仿宋_GB2312"/>
          <w:b/>
          <w:sz w:val="24"/>
          <w:szCs w:val="24"/>
          <w:lang w:val="zh-CN"/>
        </w:rPr>
        <w:t>甲方</w:t>
      </w:r>
      <w:r>
        <w:rPr>
          <w:rFonts w:hint="eastAsia" w:ascii="仿宋_GB2312" w:hAnsi="楷体" w:eastAsia="仿宋_GB2312"/>
          <w:sz w:val="24"/>
          <w:szCs w:val="24"/>
          <w:lang w:val="zh-CN"/>
        </w:rPr>
        <w:t xml:space="preserve">：                             </w:t>
      </w:r>
      <w:r>
        <w:rPr>
          <w:rFonts w:hint="eastAsia" w:ascii="仿宋_GB2312" w:hAnsi="楷体" w:eastAsia="仿宋_GB2312"/>
          <w:b/>
          <w:sz w:val="24"/>
          <w:szCs w:val="24"/>
          <w:lang w:val="zh-CN"/>
        </w:rPr>
        <w:t xml:space="preserve">      乙方</w:t>
      </w:r>
      <w:r>
        <w:rPr>
          <w:rFonts w:hint="eastAsia" w:ascii="仿宋_GB2312" w:hAnsi="楷体" w:eastAsia="仿宋_GB2312"/>
          <w:sz w:val="24"/>
          <w:szCs w:val="24"/>
          <w:lang w:val="zh-CN"/>
        </w:rPr>
        <w:t>：</w:t>
      </w:r>
    </w:p>
    <w:p>
      <w:pPr>
        <w:widowControl w:val="0"/>
        <w:autoSpaceDE w:val="0"/>
        <w:autoSpaceDN w:val="0"/>
        <w:adjustRightInd w:val="0"/>
        <w:spacing w:line="560" w:lineRule="exact"/>
        <w:jc w:val="both"/>
        <w:rPr>
          <w:rFonts w:hint="eastAsia" w:ascii="仿宋_GB2312" w:hAnsi="楷体" w:eastAsia="仿宋_GB2312"/>
          <w:sz w:val="24"/>
          <w:szCs w:val="24"/>
          <w:lang w:val="zh-CN"/>
        </w:rPr>
      </w:pPr>
      <w:r>
        <w:rPr>
          <w:rFonts w:hint="eastAsia" w:ascii="仿宋_GB2312" w:hAnsi="楷体" w:eastAsia="仿宋_GB2312"/>
          <w:sz w:val="24"/>
          <w:szCs w:val="24"/>
          <w:lang w:val="zh-CN"/>
        </w:rPr>
        <w:t>统一社会信用代码：                        统一社会信用代码或身份证号码：</w:t>
      </w:r>
    </w:p>
    <w:p>
      <w:pPr>
        <w:widowControl w:val="0"/>
        <w:autoSpaceDE w:val="0"/>
        <w:autoSpaceDN w:val="0"/>
        <w:adjustRightInd w:val="0"/>
        <w:spacing w:line="560" w:lineRule="exact"/>
        <w:jc w:val="both"/>
        <w:rPr>
          <w:rFonts w:hint="eastAsia" w:ascii="仿宋_GB2312" w:hAnsi="楷体" w:eastAsia="仿宋_GB2312"/>
          <w:sz w:val="24"/>
          <w:szCs w:val="24"/>
          <w:lang w:val="zh-CN"/>
        </w:rPr>
      </w:pPr>
    </w:p>
    <w:p>
      <w:pPr>
        <w:widowControl w:val="0"/>
        <w:autoSpaceDE w:val="0"/>
        <w:autoSpaceDN w:val="0"/>
        <w:adjustRightInd w:val="0"/>
        <w:spacing w:line="560" w:lineRule="exact"/>
        <w:jc w:val="both"/>
        <w:rPr>
          <w:rFonts w:hint="eastAsia" w:ascii="仿宋_GB2312" w:hAnsi="楷体" w:eastAsia="仿宋_GB2312"/>
          <w:sz w:val="24"/>
          <w:szCs w:val="24"/>
          <w:lang w:val="zh-CN"/>
        </w:rPr>
      </w:pPr>
      <w:r>
        <w:rPr>
          <w:rFonts w:hint="eastAsia" w:ascii="仿宋_GB2312" w:hAnsi="楷体" w:eastAsia="仿宋_GB2312"/>
          <w:sz w:val="24"/>
          <w:szCs w:val="24"/>
          <w:lang w:val="zh-CN"/>
        </w:rPr>
        <w:t>住所：                                   住所：</w:t>
      </w:r>
    </w:p>
    <w:p>
      <w:pPr>
        <w:widowControl w:val="0"/>
        <w:autoSpaceDE w:val="0"/>
        <w:autoSpaceDN w:val="0"/>
        <w:adjustRightInd w:val="0"/>
        <w:spacing w:line="560" w:lineRule="exact"/>
        <w:jc w:val="both"/>
        <w:rPr>
          <w:rFonts w:hint="eastAsia" w:ascii="仿宋_GB2312" w:hAnsi="楷体" w:eastAsia="仿宋_GB2312"/>
          <w:sz w:val="24"/>
          <w:szCs w:val="24"/>
          <w:lang w:val="zh-CN"/>
        </w:rPr>
      </w:pPr>
      <w:r>
        <w:rPr>
          <w:rFonts w:hint="eastAsia" w:ascii="仿宋_GB2312" w:hAnsi="楷体" w:eastAsia="仿宋_GB2312"/>
          <w:sz w:val="24"/>
          <w:szCs w:val="24"/>
          <w:lang w:val="zh-CN"/>
        </w:rPr>
        <w:t>法定代表人或                             法定代表人</w:t>
      </w:r>
    </w:p>
    <w:p>
      <w:pPr>
        <w:widowControl w:val="0"/>
        <w:autoSpaceDE w:val="0"/>
        <w:autoSpaceDN w:val="0"/>
        <w:adjustRightInd w:val="0"/>
        <w:spacing w:line="560" w:lineRule="exact"/>
        <w:jc w:val="both"/>
        <w:rPr>
          <w:rFonts w:hint="eastAsia" w:ascii="仿宋_GB2312" w:hAnsi="楷体" w:eastAsia="仿宋_GB2312"/>
          <w:sz w:val="24"/>
          <w:szCs w:val="24"/>
          <w:lang w:val="zh-CN"/>
        </w:rPr>
      </w:pPr>
      <w:r>
        <w:rPr>
          <w:rFonts w:hint="eastAsia" w:ascii="仿宋_GB2312" w:hAnsi="楷体" w:eastAsia="仿宋_GB2312"/>
          <w:sz w:val="24"/>
          <w:szCs w:val="24"/>
          <w:lang w:val="zh-CN"/>
        </w:rPr>
        <w:t xml:space="preserve">授权代表（签字）：                        或授权代表（签字）: </w:t>
      </w:r>
    </w:p>
    <w:p>
      <w:pPr>
        <w:widowControl w:val="0"/>
        <w:autoSpaceDE w:val="0"/>
        <w:autoSpaceDN w:val="0"/>
        <w:adjustRightInd w:val="0"/>
        <w:spacing w:line="560" w:lineRule="exact"/>
        <w:jc w:val="both"/>
        <w:rPr>
          <w:rFonts w:hint="eastAsia" w:ascii="仿宋_GB2312" w:hAnsi="楷体" w:eastAsia="仿宋_GB2312"/>
          <w:sz w:val="24"/>
          <w:szCs w:val="24"/>
          <w:lang w:val="zh-CN"/>
        </w:rPr>
      </w:pPr>
      <w:r>
        <w:rPr>
          <w:rFonts w:hint="eastAsia" w:ascii="仿宋_GB2312" w:hAnsi="楷体" w:eastAsia="仿宋_GB2312"/>
          <w:sz w:val="24"/>
          <w:szCs w:val="24"/>
          <w:lang w:val="zh-CN"/>
        </w:rPr>
        <w:t>联系人：                                 联系人：</w:t>
      </w:r>
    </w:p>
    <w:p>
      <w:pPr>
        <w:widowControl w:val="0"/>
        <w:autoSpaceDE w:val="0"/>
        <w:autoSpaceDN w:val="0"/>
        <w:adjustRightInd w:val="0"/>
        <w:spacing w:line="560" w:lineRule="exact"/>
        <w:jc w:val="both"/>
        <w:rPr>
          <w:rFonts w:hint="eastAsia" w:ascii="仿宋_GB2312" w:hAnsi="楷体" w:eastAsia="仿宋_GB2312"/>
          <w:sz w:val="24"/>
          <w:szCs w:val="24"/>
          <w:lang w:val="zh-CN"/>
        </w:rPr>
      </w:pPr>
      <w:r>
        <w:rPr>
          <w:rFonts w:hint="eastAsia" w:ascii="仿宋_GB2312" w:hAnsi="楷体" w:eastAsia="仿宋_GB2312"/>
          <w:sz w:val="24"/>
          <w:szCs w:val="24"/>
          <w:lang w:val="zh-CN"/>
        </w:rPr>
        <w:t>约定送达地址：                           约定送达地址：</w:t>
      </w:r>
    </w:p>
    <w:p>
      <w:pPr>
        <w:widowControl w:val="0"/>
        <w:autoSpaceDE w:val="0"/>
        <w:autoSpaceDN w:val="0"/>
        <w:adjustRightInd w:val="0"/>
        <w:spacing w:line="560" w:lineRule="exact"/>
        <w:jc w:val="both"/>
        <w:rPr>
          <w:rFonts w:hint="eastAsia" w:ascii="仿宋_GB2312" w:hAnsi="楷体" w:eastAsia="仿宋_GB2312"/>
          <w:sz w:val="24"/>
          <w:szCs w:val="24"/>
          <w:lang w:val="zh-CN"/>
        </w:rPr>
      </w:pPr>
      <w:r>
        <w:rPr>
          <w:rFonts w:hint="eastAsia" w:ascii="仿宋_GB2312" w:hAnsi="楷体" w:eastAsia="仿宋_GB2312"/>
          <w:sz w:val="24"/>
          <w:szCs w:val="24"/>
          <w:lang w:val="zh-CN"/>
        </w:rPr>
        <w:t>邮政编码：                               邮政编码：</w:t>
      </w:r>
    </w:p>
    <w:p>
      <w:pPr>
        <w:widowControl w:val="0"/>
        <w:autoSpaceDE w:val="0"/>
        <w:autoSpaceDN w:val="0"/>
        <w:adjustRightInd w:val="0"/>
        <w:spacing w:line="560" w:lineRule="exact"/>
        <w:jc w:val="both"/>
        <w:rPr>
          <w:rFonts w:hint="eastAsia" w:ascii="仿宋_GB2312" w:hAnsi="楷体" w:eastAsia="仿宋_GB2312"/>
          <w:sz w:val="24"/>
          <w:szCs w:val="24"/>
          <w:lang w:val="zh-CN"/>
        </w:rPr>
      </w:pPr>
      <w:r>
        <w:rPr>
          <w:rFonts w:hint="eastAsia" w:ascii="仿宋_GB2312" w:hAnsi="楷体" w:eastAsia="仿宋_GB2312"/>
          <w:sz w:val="24"/>
          <w:szCs w:val="24"/>
          <w:lang w:val="zh-CN"/>
        </w:rPr>
        <w:t xml:space="preserve">电话:                                    电话: </w:t>
      </w:r>
    </w:p>
    <w:p>
      <w:pPr>
        <w:widowControl w:val="0"/>
        <w:autoSpaceDE w:val="0"/>
        <w:autoSpaceDN w:val="0"/>
        <w:adjustRightInd w:val="0"/>
        <w:spacing w:line="560" w:lineRule="exact"/>
        <w:jc w:val="both"/>
        <w:rPr>
          <w:rFonts w:hint="eastAsia" w:ascii="仿宋_GB2312" w:hAnsi="楷体" w:eastAsia="仿宋_GB2312"/>
          <w:sz w:val="24"/>
          <w:szCs w:val="24"/>
          <w:lang w:val="zh-CN"/>
        </w:rPr>
      </w:pPr>
      <w:r>
        <w:rPr>
          <w:rFonts w:hint="eastAsia" w:ascii="仿宋_GB2312" w:hAnsi="楷体" w:eastAsia="仿宋_GB2312"/>
          <w:sz w:val="24"/>
          <w:szCs w:val="24"/>
          <w:lang w:val="zh-CN"/>
        </w:rPr>
        <w:t>传真:                                    传真:</w:t>
      </w:r>
    </w:p>
    <w:p>
      <w:pPr>
        <w:widowControl w:val="0"/>
        <w:autoSpaceDE w:val="0"/>
        <w:autoSpaceDN w:val="0"/>
        <w:adjustRightInd w:val="0"/>
        <w:spacing w:line="560" w:lineRule="exact"/>
        <w:jc w:val="both"/>
        <w:rPr>
          <w:rFonts w:hint="eastAsia" w:ascii="仿宋_GB2312" w:hAnsi="楷体" w:eastAsia="仿宋_GB2312"/>
          <w:sz w:val="24"/>
          <w:szCs w:val="24"/>
        </w:rPr>
      </w:pPr>
      <w:r>
        <w:rPr>
          <w:rFonts w:hint="eastAsia" w:ascii="仿宋_GB2312" w:hAnsi="楷体" w:eastAsia="仿宋_GB2312"/>
          <w:sz w:val="24"/>
          <w:szCs w:val="24"/>
          <w:lang w:val="zh-CN"/>
        </w:rPr>
        <w:t>电子邮箱：                               电子邮箱：</w:t>
      </w:r>
    </w:p>
    <w:p>
      <w:pPr>
        <w:widowControl w:val="0"/>
        <w:autoSpaceDE w:val="0"/>
        <w:autoSpaceDN w:val="0"/>
        <w:adjustRightInd w:val="0"/>
        <w:spacing w:line="560" w:lineRule="exact"/>
        <w:jc w:val="both"/>
        <w:rPr>
          <w:rFonts w:hint="eastAsia" w:ascii="仿宋_GB2312" w:hAnsi="楷体" w:eastAsia="仿宋_GB2312"/>
          <w:sz w:val="24"/>
          <w:szCs w:val="24"/>
        </w:rPr>
      </w:pPr>
      <w:r>
        <w:rPr>
          <w:rFonts w:hint="eastAsia" w:ascii="仿宋_GB2312" w:hAnsi="楷体" w:eastAsia="仿宋_GB2312"/>
          <w:sz w:val="24"/>
          <w:szCs w:val="24"/>
        </w:rPr>
        <w:t xml:space="preserve">开户银行：                               开户银行： </w:t>
      </w:r>
    </w:p>
    <w:p>
      <w:pPr>
        <w:widowControl w:val="0"/>
        <w:autoSpaceDE w:val="0"/>
        <w:autoSpaceDN w:val="0"/>
        <w:adjustRightInd w:val="0"/>
        <w:spacing w:line="560" w:lineRule="exact"/>
        <w:jc w:val="both"/>
        <w:rPr>
          <w:rFonts w:hint="eastAsia" w:ascii="仿宋_GB2312" w:hAnsi="楷体" w:eastAsia="仿宋_GB2312"/>
          <w:sz w:val="24"/>
          <w:szCs w:val="24"/>
        </w:rPr>
      </w:pPr>
      <w:r>
        <w:rPr>
          <w:rFonts w:hint="eastAsia" w:ascii="仿宋_GB2312" w:hAnsi="楷体" w:eastAsia="仿宋_GB2312"/>
          <w:sz w:val="24"/>
          <w:szCs w:val="24"/>
        </w:rPr>
        <w:t xml:space="preserve">开户名称：                               开户名称： </w:t>
      </w:r>
    </w:p>
    <w:p>
      <w:pPr>
        <w:widowControl w:val="0"/>
        <w:autoSpaceDE w:val="0"/>
        <w:autoSpaceDN w:val="0"/>
        <w:adjustRightInd w:val="0"/>
        <w:spacing w:line="560" w:lineRule="exact"/>
        <w:jc w:val="both"/>
        <w:rPr>
          <w:rFonts w:hint="eastAsia" w:ascii="仿宋_GB2312" w:hAnsi="楷体" w:eastAsia="仿宋_GB2312"/>
          <w:sz w:val="24"/>
          <w:szCs w:val="24"/>
        </w:rPr>
      </w:pPr>
      <w:r>
        <w:rPr>
          <w:rFonts w:hint="eastAsia" w:ascii="仿宋_GB2312" w:hAnsi="楷体" w:eastAsia="仿宋_GB2312"/>
          <w:sz w:val="24"/>
          <w:szCs w:val="24"/>
        </w:rPr>
        <w:t>开户账号：</w:t>
      </w:r>
      <w:r>
        <w:rPr>
          <w:rFonts w:hint="eastAsia" w:ascii="仿宋_GB2312" w:hAnsi="楷体" w:eastAsia="仿宋_GB2312"/>
          <w:sz w:val="24"/>
          <w:szCs w:val="24"/>
          <w:lang w:val="zh-CN"/>
        </w:rPr>
        <w:t xml:space="preserve">                               </w:t>
      </w:r>
      <w:r>
        <w:rPr>
          <w:rFonts w:hint="eastAsia" w:ascii="仿宋_GB2312" w:hAnsi="楷体" w:eastAsia="仿宋_GB2312"/>
          <w:sz w:val="24"/>
          <w:szCs w:val="24"/>
        </w:rPr>
        <w:t>开户账号：</w:t>
      </w:r>
    </w:p>
    <w:p>
      <w:pPr>
        <w:adjustRightInd w:val="0"/>
        <w:spacing w:line="560" w:lineRule="exact"/>
        <w:rPr>
          <w:rFonts w:hint="eastAsia" w:ascii="仿宋_GB2312" w:hAnsi="楷体" w:eastAsia="仿宋_GB2312"/>
          <w:b/>
          <w:sz w:val="24"/>
          <w:szCs w:val="24"/>
        </w:rPr>
      </w:pPr>
      <w:bookmarkStart w:id="447" w:name="_Toc331685783"/>
    </w:p>
    <w:p>
      <w:pPr>
        <w:adjustRightInd w:val="0"/>
        <w:spacing w:line="560" w:lineRule="exact"/>
        <w:rPr>
          <w:rFonts w:hint="eastAsia" w:ascii="仿宋_GB2312" w:hAnsi="楷体" w:eastAsia="仿宋_GB2312"/>
          <w:b/>
          <w:kern w:val="0"/>
          <w:sz w:val="24"/>
          <w:szCs w:val="24"/>
        </w:rPr>
      </w:pPr>
    </w:p>
    <w:p>
      <w:pPr>
        <w:widowControl w:val="0"/>
        <w:autoSpaceDE w:val="0"/>
        <w:autoSpaceDN w:val="0"/>
        <w:adjustRightInd w:val="0"/>
        <w:snapToGrid w:val="0"/>
        <w:spacing w:after="120" w:line="560" w:lineRule="exact"/>
        <w:ind w:left="420" w:leftChars="200" w:firstLine="482" w:firstLineChars="200"/>
        <w:jc w:val="center"/>
        <w:rPr>
          <w:rFonts w:hint="eastAsia" w:ascii="仿宋_GB2312" w:hAnsi="楷体" w:eastAsia="仿宋_GB2312"/>
          <w:b/>
          <w:sz w:val="24"/>
          <w:szCs w:val="24"/>
        </w:rPr>
      </w:pPr>
      <w:r>
        <w:rPr>
          <w:rFonts w:hint="eastAsia" w:ascii="仿宋_GB2312" w:hAnsi="楷体" w:eastAsia="仿宋_GB2312"/>
          <w:b/>
          <w:sz w:val="24"/>
          <w:szCs w:val="24"/>
        </w:rPr>
        <w:t>第二部分 合同一般条款</w:t>
      </w:r>
      <w:bookmarkEnd w:id="447"/>
    </w:p>
    <w:p>
      <w:pPr>
        <w:widowControl w:val="0"/>
        <w:adjustRightInd w:val="0"/>
        <w:spacing w:line="560" w:lineRule="exact"/>
        <w:ind w:firstLine="482" w:firstLineChars="200"/>
        <w:jc w:val="both"/>
        <w:outlineLvl w:val="0"/>
        <w:rPr>
          <w:rFonts w:hint="eastAsia" w:ascii="仿宋_GB2312" w:hAnsi="楷体" w:eastAsia="仿宋_GB2312"/>
          <w:b/>
          <w:sz w:val="24"/>
          <w:szCs w:val="24"/>
        </w:rPr>
      </w:pPr>
      <w:bookmarkStart w:id="448" w:name="_Toc28763"/>
      <w:bookmarkStart w:id="449" w:name="_Toc487900349"/>
      <w:bookmarkStart w:id="450" w:name="_Toc279701240"/>
      <w:bookmarkStart w:id="451" w:name="_Ref467378404"/>
      <w:bookmarkStart w:id="452" w:name="_Ref467379195"/>
      <w:bookmarkStart w:id="453" w:name="_Ref467379225"/>
      <w:bookmarkStart w:id="454" w:name="_Ref467378463"/>
      <w:bookmarkStart w:id="455" w:name="_Ref467378499"/>
      <w:bookmarkStart w:id="456" w:name="_Toc19614"/>
      <w:bookmarkStart w:id="457" w:name="_Ref467379214"/>
      <w:bookmarkStart w:id="458" w:name="_Ref467379205"/>
      <w:bookmarkStart w:id="459" w:name="_Toc16917"/>
      <w:bookmarkStart w:id="460" w:name="_Ref467379109"/>
      <w:bookmarkStart w:id="461" w:name="_Ref467379094"/>
      <w:bookmarkStart w:id="462" w:name="_Toc259093669"/>
      <w:bookmarkStart w:id="463" w:name="_Ref467379101"/>
      <w:r>
        <w:rPr>
          <w:rFonts w:hint="eastAsia" w:ascii="仿宋_GB2312" w:hAnsi="楷体" w:eastAsia="仿宋_GB2312"/>
          <w:b/>
          <w:sz w:val="24"/>
          <w:szCs w:val="24"/>
        </w:rPr>
        <w:t>2.1 定义</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本合同中的下列词语应按以下内容进行解释：</w:t>
      </w:r>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2.1.1 “合同”系指采购人和中标供应商签订的载明双方当事人所达成的协议，并包括所有的附件、附录和构成合同的其他文件。</w:t>
      </w:r>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2.1.2 “合同价”系指根据合同约定，中标供应商在完全履行合同义务后，采购人应支付给中标供应商的价格。</w:t>
      </w:r>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2.1.3 “货物”系指中标供应商根据合同约定应向采购人交付的一切各种形态和种类的物品，包括原材料、燃料、设备、机械、仪表、备件、计算机软件、产品等，并包括工具、手册等其他相关资料。</w:t>
      </w:r>
    </w:p>
    <w:p>
      <w:pPr>
        <w:widowControl w:val="0"/>
        <w:adjustRightInd w:val="0"/>
        <w:spacing w:line="560" w:lineRule="exact"/>
        <w:ind w:firstLine="480" w:firstLineChars="200"/>
        <w:jc w:val="both"/>
        <w:rPr>
          <w:rFonts w:hint="eastAsia" w:ascii="仿宋_GB2312" w:hAnsi="楷体" w:eastAsia="仿宋_GB2312"/>
          <w:sz w:val="24"/>
          <w:szCs w:val="24"/>
        </w:rPr>
      </w:pPr>
      <w:bookmarkStart w:id="464" w:name="_Ref467378840"/>
      <w:r>
        <w:rPr>
          <w:rFonts w:hint="eastAsia" w:ascii="仿宋_GB2312" w:hAnsi="楷体" w:eastAsia="仿宋_GB2312"/>
          <w:sz w:val="24"/>
          <w:szCs w:val="24"/>
        </w:rPr>
        <w:t>2.1.4 “甲方”系指与中标供应商签署合同的采购人</w:t>
      </w:r>
      <w:bookmarkEnd w:id="464"/>
      <w:r>
        <w:rPr>
          <w:rFonts w:hint="eastAsia" w:ascii="仿宋_GB2312" w:hAnsi="楷体" w:eastAsia="仿宋_GB2312"/>
          <w:sz w:val="24"/>
          <w:szCs w:val="24"/>
        </w:rPr>
        <w:t>；采购人委托采购机构代表其与乙方签订合同的，采购人的授权委托书作为合同附件。</w:t>
      </w:r>
    </w:p>
    <w:p>
      <w:pPr>
        <w:widowControl w:val="0"/>
        <w:adjustRightInd w:val="0"/>
        <w:spacing w:line="560" w:lineRule="exact"/>
        <w:ind w:firstLine="480" w:firstLineChars="200"/>
        <w:jc w:val="both"/>
        <w:rPr>
          <w:rFonts w:hint="eastAsia" w:ascii="仿宋_GB2312" w:hAnsi="楷体" w:eastAsia="仿宋_GB2312"/>
          <w:sz w:val="24"/>
          <w:szCs w:val="24"/>
        </w:rPr>
      </w:pPr>
      <w:bookmarkStart w:id="465" w:name="_Ref467379400"/>
      <w:r>
        <w:rPr>
          <w:rFonts w:hint="eastAsia" w:ascii="仿宋_GB2312" w:hAnsi="楷体" w:eastAsia="仿宋_GB2312"/>
          <w:sz w:val="24"/>
          <w:szCs w:val="24"/>
        </w:rPr>
        <w:t>2.1.5 “乙方”系指根据合同约定交付货物的中标供应商</w:t>
      </w:r>
      <w:bookmarkEnd w:id="465"/>
      <w:r>
        <w:rPr>
          <w:rFonts w:hint="eastAsia" w:ascii="仿宋_GB2312" w:hAnsi="楷体" w:eastAsia="仿宋_GB2312"/>
          <w:sz w:val="24"/>
          <w:szCs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widowControl w:val="0"/>
        <w:adjustRightInd w:val="0"/>
        <w:spacing w:line="560" w:lineRule="exact"/>
        <w:ind w:firstLine="480" w:firstLineChars="200"/>
        <w:jc w:val="both"/>
        <w:rPr>
          <w:rFonts w:hint="eastAsia" w:ascii="仿宋_GB2312" w:hAnsi="楷体" w:eastAsia="仿宋_GB2312"/>
          <w:sz w:val="24"/>
          <w:szCs w:val="24"/>
        </w:rPr>
      </w:pPr>
      <w:bookmarkStart w:id="466" w:name="_Ref467379436"/>
      <w:r>
        <w:rPr>
          <w:rFonts w:hint="eastAsia" w:ascii="仿宋_GB2312" w:hAnsi="楷体" w:eastAsia="仿宋_GB2312"/>
          <w:sz w:val="24"/>
          <w:szCs w:val="24"/>
        </w:rPr>
        <w:t>2.1.6 “现场”系指合同约定货物将要运至或者安装的地点。</w:t>
      </w:r>
      <w:bookmarkEnd w:id="466"/>
    </w:p>
    <w:p>
      <w:pPr>
        <w:widowControl w:val="0"/>
        <w:adjustRightInd w:val="0"/>
        <w:spacing w:line="560" w:lineRule="exact"/>
        <w:ind w:firstLine="482" w:firstLineChars="200"/>
        <w:jc w:val="both"/>
        <w:outlineLvl w:val="0"/>
        <w:rPr>
          <w:rFonts w:hint="eastAsia" w:ascii="仿宋_GB2312" w:hAnsi="楷体" w:eastAsia="仿宋_GB2312"/>
          <w:b/>
          <w:sz w:val="24"/>
          <w:szCs w:val="24"/>
        </w:rPr>
      </w:pPr>
      <w:bookmarkStart w:id="467" w:name="_Toc279701241"/>
      <w:bookmarkStart w:id="468" w:name="_Toc487900350"/>
      <w:bookmarkStart w:id="469" w:name="_Toc32504"/>
      <w:bookmarkStart w:id="470" w:name="_Toc13336"/>
      <w:bookmarkStart w:id="471" w:name="_Toc27635"/>
      <w:bookmarkStart w:id="472" w:name="_Toc259093670"/>
      <w:r>
        <w:rPr>
          <w:rFonts w:hint="eastAsia" w:ascii="仿宋_GB2312" w:hAnsi="楷体" w:eastAsia="仿宋_GB2312"/>
          <w:b/>
          <w:sz w:val="24"/>
          <w:szCs w:val="24"/>
        </w:rPr>
        <w:t>2.2 技术规范</w:t>
      </w:r>
      <w:bookmarkEnd w:id="467"/>
      <w:bookmarkEnd w:id="468"/>
      <w:bookmarkEnd w:id="469"/>
      <w:bookmarkEnd w:id="470"/>
      <w:bookmarkEnd w:id="471"/>
      <w:bookmarkEnd w:id="472"/>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widowControl w:val="0"/>
        <w:adjustRightInd w:val="0"/>
        <w:spacing w:line="560" w:lineRule="exact"/>
        <w:ind w:firstLine="482" w:firstLineChars="200"/>
        <w:jc w:val="both"/>
        <w:outlineLvl w:val="0"/>
        <w:rPr>
          <w:rFonts w:hint="eastAsia" w:ascii="仿宋_GB2312" w:hAnsi="楷体" w:eastAsia="仿宋_GB2312"/>
          <w:b/>
          <w:sz w:val="24"/>
          <w:szCs w:val="24"/>
        </w:rPr>
      </w:pPr>
      <w:bookmarkStart w:id="473" w:name="_Toc31634"/>
      <w:bookmarkStart w:id="474" w:name="_Toc259093671"/>
      <w:bookmarkStart w:id="475" w:name="_Toc27853"/>
      <w:bookmarkStart w:id="476" w:name="_Toc279701242"/>
      <w:bookmarkStart w:id="477" w:name="_Toc487900351"/>
      <w:bookmarkStart w:id="478" w:name="_Toc9829"/>
      <w:r>
        <w:rPr>
          <w:rFonts w:hint="eastAsia" w:ascii="仿宋_GB2312" w:hAnsi="楷体" w:eastAsia="仿宋_GB2312"/>
          <w:b/>
          <w:sz w:val="24"/>
          <w:szCs w:val="24"/>
        </w:rPr>
        <w:t>2.3 知识产权</w:t>
      </w:r>
      <w:bookmarkEnd w:id="473"/>
      <w:bookmarkEnd w:id="474"/>
      <w:bookmarkEnd w:id="475"/>
      <w:bookmarkEnd w:id="476"/>
      <w:bookmarkEnd w:id="477"/>
      <w:bookmarkEnd w:id="478"/>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2.3.2具有知识产权的计算机软件等货物的知识产权归属，详见</w:t>
      </w:r>
      <w:r>
        <w:rPr>
          <w:rFonts w:hint="eastAsia" w:ascii="仿宋_GB2312" w:hAnsi="楷体" w:eastAsia="仿宋_GB2312"/>
          <w:b/>
          <w:i/>
          <w:sz w:val="24"/>
          <w:szCs w:val="24"/>
          <w:u w:val="single"/>
        </w:rPr>
        <w:t>合同专用条款</w:t>
      </w:r>
      <w:r>
        <w:rPr>
          <w:rFonts w:hint="eastAsia" w:ascii="仿宋_GB2312" w:hAnsi="楷体" w:eastAsia="仿宋_GB2312"/>
          <w:sz w:val="24"/>
          <w:szCs w:val="24"/>
        </w:rPr>
        <w:t>。</w:t>
      </w:r>
    </w:p>
    <w:p>
      <w:pPr>
        <w:widowControl w:val="0"/>
        <w:adjustRightInd w:val="0"/>
        <w:spacing w:line="560" w:lineRule="exact"/>
        <w:ind w:firstLine="482" w:firstLineChars="200"/>
        <w:jc w:val="both"/>
        <w:outlineLvl w:val="0"/>
        <w:rPr>
          <w:rFonts w:hint="eastAsia" w:ascii="仿宋_GB2312" w:hAnsi="楷体" w:eastAsia="仿宋_GB2312"/>
          <w:b/>
          <w:sz w:val="24"/>
          <w:szCs w:val="24"/>
        </w:rPr>
      </w:pPr>
      <w:bookmarkStart w:id="479" w:name="_Toc29149"/>
      <w:bookmarkStart w:id="480" w:name="_Toc4194"/>
      <w:bookmarkStart w:id="481" w:name="_Toc11932"/>
      <w:r>
        <w:rPr>
          <w:rFonts w:hint="eastAsia" w:ascii="仿宋_GB2312" w:hAnsi="楷体" w:eastAsia="仿宋_GB2312"/>
          <w:b/>
          <w:sz w:val="24"/>
          <w:szCs w:val="24"/>
        </w:rPr>
        <w:t>2.4 包装和装运</w:t>
      </w:r>
      <w:bookmarkEnd w:id="479"/>
      <w:bookmarkEnd w:id="480"/>
      <w:bookmarkEnd w:id="481"/>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2.4.1除</w:t>
      </w:r>
      <w:r>
        <w:rPr>
          <w:rFonts w:hint="eastAsia" w:ascii="仿宋_GB2312" w:hAnsi="楷体" w:eastAsia="仿宋_GB2312"/>
          <w:b/>
          <w:i/>
          <w:sz w:val="24"/>
          <w:szCs w:val="24"/>
          <w:u w:val="single"/>
        </w:rPr>
        <w:t>合同专用条款</w:t>
      </w:r>
      <w:r>
        <w:rPr>
          <w:rFonts w:hint="eastAsia" w:ascii="仿宋_GB2312" w:hAnsi="楷体" w:eastAsia="仿宋_GB2312"/>
          <w:sz w:val="24"/>
          <w:szCs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2.4.2 装运货物的要求和通知，详见</w:t>
      </w:r>
      <w:r>
        <w:rPr>
          <w:rFonts w:hint="eastAsia" w:ascii="仿宋_GB2312" w:hAnsi="楷体" w:eastAsia="仿宋_GB2312"/>
          <w:b/>
          <w:i/>
          <w:sz w:val="24"/>
          <w:szCs w:val="24"/>
          <w:u w:val="single"/>
        </w:rPr>
        <w:t>合同专用条款</w:t>
      </w:r>
      <w:r>
        <w:rPr>
          <w:rFonts w:hint="eastAsia" w:ascii="仿宋_GB2312" w:hAnsi="楷体" w:eastAsia="仿宋_GB2312"/>
          <w:sz w:val="24"/>
          <w:szCs w:val="24"/>
        </w:rPr>
        <w:t>。</w:t>
      </w:r>
    </w:p>
    <w:p>
      <w:pPr>
        <w:widowControl w:val="0"/>
        <w:adjustRightInd w:val="0"/>
        <w:spacing w:line="560" w:lineRule="exact"/>
        <w:ind w:firstLine="482" w:firstLineChars="200"/>
        <w:jc w:val="both"/>
        <w:outlineLvl w:val="0"/>
        <w:rPr>
          <w:rFonts w:hint="eastAsia" w:ascii="仿宋_GB2312" w:hAnsi="楷体" w:eastAsia="仿宋_GB2312"/>
          <w:b/>
          <w:sz w:val="24"/>
          <w:szCs w:val="24"/>
        </w:rPr>
      </w:pPr>
      <w:bookmarkStart w:id="482" w:name="_Toc279701245"/>
      <w:bookmarkStart w:id="483" w:name="_Ref467379536"/>
      <w:bookmarkStart w:id="484" w:name="_Ref467379542"/>
      <w:bookmarkStart w:id="485" w:name="_Ref467378541"/>
      <w:bookmarkStart w:id="486" w:name="_Toc259093674"/>
      <w:bookmarkStart w:id="487" w:name="_Ref467379527"/>
      <w:bookmarkStart w:id="488" w:name="_Toc487900354"/>
      <w:bookmarkStart w:id="489" w:name="_Ref467378591"/>
      <w:bookmarkStart w:id="490" w:name="_Toc26182"/>
      <w:bookmarkStart w:id="491" w:name="_Toc19074"/>
      <w:bookmarkStart w:id="492" w:name="_Toc30272"/>
      <w:r>
        <w:rPr>
          <w:rFonts w:hint="eastAsia" w:ascii="仿宋_GB2312" w:hAnsi="楷体" w:eastAsia="仿宋_GB2312"/>
          <w:b/>
          <w:sz w:val="24"/>
          <w:szCs w:val="24"/>
        </w:rPr>
        <w:t>2.</w:t>
      </w:r>
      <w:bookmarkEnd w:id="482"/>
      <w:bookmarkEnd w:id="483"/>
      <w:bookmarkEnd w:id="484"/>
      <w:bookmarkEnd w:id="485"/>
      <w:bookmarkEnd w:id="486"/>
      <w:bookmarkEnd w:id="487"/>
      <w:bookmarkEnd w:id="488"/>
      <w:bookmarkEnd w:id="489"/>
      <w:r>
        <w:rPr>
          <w:rFonts w:hint="eastAsia" w:ascii="仿宋_GB2312" w:hAnsi="楷体" w:eastAsia="仿宋_GB2312"/>
          <w:b/>
          <w:sz w:val="24"/>
          <w:szCs w:val="24"/>
        </w:rPr>
        <w:t>5 履约检查和问题反馈</w:t>
      </w:r>
      <w:bookmarkEnd w:id="490"/>
      <w:bookmarkEnd w:id="491"/>
      <w:bookmarkEnd w:id="492"/>
    </w:p>
    <w:p>
      <w:pPr>
        <w:widowControl w:val="0"/>
        <w:adjustRightInd w:val="0"/>
        <w:spacing w:line="560" w:lineRule="exact"/>
        <w:ind w:firstLine="480" w:firstLineChars="200"/>
        <w:jc w:val="both"/>
        <w:rPr>
          <w:rFonts w:hint="eastAsia" w:ascii="仿宋_GB2312" w:hAnsi="楷体" w:eastAsia="仿宋_GB2312"/>
          <w:sz w:val="24"/>
          <w:szCs w:val="24"/>
        </w:rPr>
      </w:pPr>
      <w:bookmarkStart w:id="493" w:name="_Ref467379657"/>
      <w:r>
        <w:rPr>
          <w:rFonts w:hint="eastAsia" w:ascii="仿宋_GB2312" w:hAnsi="楷体" w:eastAsia="仿宋_GB2312"/>
          <w:sz w:val="24"/>
          <w:szCs w:val="24"/>
        </w:rPr>
        <w:t>2.5.1</w:t>
      </w:r>
      <w:bookmarkEnd w:id="493"/>
      <w:bookmarkStart w:id="494" w:name="_Toc186431854"/>
      <w:bookmarkStart w:id="495" w:name="_Toc279701247"/>
      <w:bookmarkStart w:id="496" w:name="_Ref467379793"/>
      <w:bookmarkStart w:id="497" w:name="_Toc487900357"/>
      <w:bookmarkStart w:id="498" w:name="_Ref467379807"/>
      <w:bookmarkStart w:id="499" w:name="_Toc259093676"/>
      <w:r>
        <w:rPr>
          <w:rFonts w:hint="eastAsia" w:ascii="仿宋_GB2312" w:hAnsi="楷体" w:eastAsia="仿宋_GB2312"/>
          <w:sz w:val="24"/>
          <w:szCs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2.5.2 合同履行期间，甲方有权将履行过程中出现的问题反馈给乙方，双方当事人应以书面形式约定需要完善和改进的内容</w:t>
      </w:r>
      <w:bookmarkEnd w:id="494"/>
      <w:bookmarkStart w:id="500" w:name="_Toc186431855"/>
      <w:r>
        <w:rPr>
          <w:rFonts w:hint="eastAsia" w:ascii="仿宋_GB2312" w:hAnsi="楷体" w:eastAsia="仿宋_GB2312"/>
          <w:sz w:val="24"/>
          <w:szCs w:val="24"/>
        </w:rPr>
        <w:t>。</w:t>
      </w:r>
    </w:p>
    <w:bookmarkEnd w:id="500"/>
    <w:p>
      <w:pPr>
        <w:widowControl w:val="0"/>
        <w:adjustRightInd w:val="0"/>
        <w:spacing w:line="560" w:lineRule="exact"/>
        <w:ind w:firstLine="482" w:firstLineChars="200"/>
        <w:jc w:val="both"/>
        <w:outlineLvl w:val="0"/>
        <w:rPr>
          <w:rFonts w:hint="eastAsia" w:ascii="仿宋_GB2312" w:hAnsi="楷体" w:eastAsia="仿宋_GB2312"/>
          <w:b/>
          <w:sz w:val="24"/>
          <w:szCs w:val="24"/>
        </w:rPr>
      </w:pPr>
      <w:bookmarkStart w:id="501" w:name="_Toc28451"/>
      <w:bookmarkStart w:id="502" w:name="_Toc7836"/>
      <w:bookmarkStart w:id="503" w:name="_Toc19219"/>
      <w:r>
        <w:rPr>
          <w:rFonts w:hint="eastAsia" w:ascii="仿宋_GB2312" w:hAnsi="楷体" w:eastAsia="仿宋_GB2312"/>
          <w:b/>
          <w:sz w:val="24"/>
          <w:szCs w:val="24"/>
        </w:rPr>
        <w:t>2.6 结算方式和付款条件</w:t>
      </w:r>
      <w:bookmarkEnd w:id="495"/>
      <w:bookmarkEnd w:id="496"/>
      <w:bookmarkEnd w:id="497"/>
      <w:bookmarkEnd w:id="498"/>
      <w:bookmarkEnd w:id="499"/>
      <w:bookmarkEnd w:id="501"/>
      <w:bookmarkEnd w:id="502"/>
      <w:bookmarkEnd w:id="503"/>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详见</w:t>
      </w:r>
      <w:r>
        <w:rPr>
          <w:rFonts w:hint="eastAsia" w:ascii="仿宋_GB2312" w:hAnsi="楷体" w:eastAsia="仿宋_GB2312"/>
          <w:b/>
          <w:i/>
          <w:sz w:val="24"/>
          <w:szCs w:val="24"/>
          <w:u w:val="single"/>
        </w:rPr>
        <w:t>合同专用条款</w:t>
      </w:r>
      <w:r>
        <w:rPr>
          <w:rFonts w:hint="eastAsia" w:ascii="仿宋_GB2312" w:hAnsi="楷体" w:eastAsia="仿宋_GB2312"/>
          <w:sz w:val="24"/>
          <w:szCs w:val="24"/>
        </w:rPr>
        <w:t>。</w:t>
      </w:r>
    </w:p>
    <w:p>
      <w:pPr>
        <w:widowControl w:val="0"/>
        <w:adjustRightInd w:val="0"/>
        <w:spacing w:line="560" w:lineRule="exact"/>
        <w:ind w:firstLine="482" w:firstLineChars="200"/>
        <w:jc w:val="both"/>
        <w:outlineLvl w:val="0"/>
        <w:rPr>
          <w:rFonts w:hint="eastAsia" w:ascii="仿宋_GB2312" w:hAnsi="楷体" w:eastAsia="仿宋_GB2312"/>
          <w:b/>
          <w:sz w:val="24"/>
          <w:szCs w:val="24"/>
        </w:rPr>
      </w:pPr>
      <w:bookmarkStart w:id="504" w:name="_Ref467379923"/>
      <w:bookmarkStart w:id="505" w:name="_Toc487900358"/>
      <w:bookmarkStart w:id="506" w:name="_Toc279701248"/>
      <w:bookmarkStart w:id="507" w:name="_Ref467379863"/>
      <w:bookmarkStart w:id="508" w:name="_Toc259093677"/>
      <w:bookmarkStart w:id="509" w:name="_Ref467379852"/>
      <w:bookmarkStart w:id="510" w:name="_Toc774"/>
      <w:bookmarkStart w:id="511" w:name="_Toc16110"/>
      <w:bookmarkStart w:id="512" w:name="_Toc3225"/>
      <w:r>
        <w:rPr>
          <w:rFonts w:hint="eastAsia" w:ascii="仿宋_GB2312" w:hAnsi="楷体" w:eastAsia="仿宋_GB2312"/>
          <w:b/>
          <w:sz w:val="24"/>
          <w:szCs w:val="24"/>
        </w:rPr>
        <w:t>2.7 技术资料</w:t>
      </w:r>
      <w:bookmarkEnd w:id="504"/>
      <w:bookmarkEnd w:id="505"/>
      <w:bookmarkEnd w:id="506"/>
      <w:bookmarkEnd w:id="507"/>
      <w:bookmarkEnd w:id="508"/>
      <w:bookmarkEnd w:id="509"/>
      <w:r>
        <w:rPr>
          <w:rFonts w:hint="eastAsia" w:ascii="仿宋_GB2312" w:hAnsi="楷体" w:eastAsia="仿宋_GB2312"/>
          <w:b/>
          <w:sz w:val="24"/>
          <w:szCs w:val="24"/>
        </w:rPr>
        <w:t>和保密义务</w:t>
      </w:r>
      <w:bookmarkEnd w:id="510"/>
      <w:bookmarkEnd w:id="511"/>
      <w:bookmarkEnd w:id="512"/>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2.7.1 乙方有权依据合同约定和项目需要，向甲方了解有关情况，调阅有关资料等，甲方应予积极配合；</w:t>
      </w:r>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2.7.2 乙方有义务妥善保管和保护由甲方提供的前款信息和资料等；</w:t>
      </w:r>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widowControl w:val="0"/>
        <w:adjustRightInd w:val="0"/>
        <w:spacing w:line="560" w:lineRule="exact"/>
        <w:ind w:firstLine="482" w:firstLineChars="200"/>
        <w:jc w:val="both"/>
        <w:outlineLvl w:val="0"/>
        <w:rPr>
          <w:rFonts w:hint="eastAsia" w:ascii="仿宋_GB2312" w:hAnsi="楷体" w:eastAsia="仿宋_GB2312"/>
          <w:b/>
          <w:sz w:val="24"/>
          <w:szCs w:val="24"/>
        </w:rPr>
      </w:pPr>
      <w:bookmarkStart w:id="513" w:name="_Toc7860"/>
      <w:r>
        <w:rPr>
          <w:rFonts w:hint="eastAsia" w:ascii="仿宋_GB2312" w:hAnsi="楷体" w:eastAsia="仿宋_GB2312"/>
          <w:b/>
          <w:sz w:val="24"/>
          <w:szCs w:val="24"/>
        </w:rPr>
        <w:t>2.8 质量保证</w:t>
      </w:r>
      <w:bookmarkEnd w:id="513"/>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2.8.1 乙方应建立和完善履行合同的内部质量保证体系，并提供相关内部规章制度给甲方，以便甲方进行监督检查；</w:t>
      </w:r>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2.8.2 乙方应保证履行合同的人员数量和素质、软件和硬件设备的配置、场地、环境和设施等满足全面履行合同的要求，并应接受甲方的监督检查。</w:t>
      </w:r>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2.8.3乙方应提供的免费质保期详见</w:t>
      </w:r>
      <w:r>
        <w:rPr>
          <w:rFonts w:hint="eastAsia" w:ascii="仿宋_GB2312" w:hAnsi="楷体" w:eastAsia="仿宋_GB2312"/>
          <w:b/>
          <w:i/>
          <w:sz w:val="24"/>
          <w:szCs w:val="24"/>
          <w:u w:val="single"/>
        </w:rPr>
        <w:t>合同专用条款</w:t>
      </w:r>
    </w:p>
    <w:p>
      <w:pPr>
        <w:widowControl w:val="0"/>
        <w:adjustRightInd w:val="0"/>
        <w:spacing w:line="560" w:lineRule="exact"/>
        <w:ind w:firstLine="482" w:firstLineChars="200"/>
        <w:jc w:val="both"/>
        <w:outlineLvl w:val="0"/>
        <w:rPr>
          <w:rFonts w:hint="eastAsia" w:ascii="仿宋_GB2312" w:hAnsi="楷体" w:eastAsia="仿宋_GB2312"/>
          <w:b/>
          <w:sz w:val="24"/>
          <w:szCs w:val="24"/>
        </w:rPr>
      </w:pPr>
      <w:bookmarkStart w:id="514" w:name="_Toc17244"/>
      <w:bookmarkStart w:id="515" w:name="_Toc259093681"/>
      <w:bookmarkStart w:id="516" w:name="_Toc487900362"/>
      <w:bookmarkStart w:id="517" w:name="_Toc279701252"/>
      <w:r>
        <w:rPr>
          <w:rFonts w:hint="eastAsia" w:ascii="仿宋_GB2312" w:hAnsi="楷体" w:eastAsia="仿宋_GB2312"/>
          <w:b/>
          <w:sz w:val="24"/>
          <w:szCs w:val="24"/>
        </w:rPr>
        <w:t>2.9 货物的风险负担</w:t>
      </w:r>
      <w:bookmarkEnd w:id="514"/>
    </w:p>
    <w:p>
      <w:pPr>
        <w:widowControl w:val="0"/>
        <w:adjustRightInd w:val="0"/>
        <w:spacing w:line="560" w:lineRule="exact"/>
        <w:ind w:firstLine="480" w:firstLineChars="200"/>
        <w:jc w:val="both"/>
        <w:rPr>
          <w:rFonts w:hint="eastAsia" w:ascii="仿宋_GB2312" w:hAnsi="楷体" w:eastAsia="仿宋_GB2312"/>
          <w:b/>
          <w:sz w:val="24"/>
          <w:szCs w:val="24"/>
        </w:rPr>
      </w:pPr>
      <w:r>
        <w:rPr>
          <w:rFonts w:hint="eastAsia" w:ascii="仿宋_GB2312" w:hAnsi="楷体" w:eastAsia="仿宋_GB2312"/>
          <w:sz w:val="24"/>
          <w:szCs w:val="24"/>
        </w:rPr>
        <w:t>货物或者在途货物或者交付给第一承运人后的货物毁损、灭失的风险负担详见</w:t>
      </w:r>
      <w:r>
        <w:rPr>
          <w:rFonts w:hint="eastAsia" w:ascii="仿宋_GB2312" w:hAnsi="楷体" w:eastAsia="仿宋_GB2312"/>
          <w:b/>
          <w:i/>
          <w:sz w:val="24"/>
          <w:szCs w:val="24"/>
          <w:u w:val="single"/>
        </w:rPr>
        <w:t>合同专用条款</w:t>
      </w:r>
      <w:r>
        <w:rPr>
          <w:rFonts w:hint="eastAsia" w:ascii="仿宋_GB2312" w:hAnsi="楷体" w:eastAsia="仿宋_GB2312"/>
          <w:sz w:val="24"/>
          <w:szCs w:val="24"/>
        </w:rPr>
        <w:t>。</w:t>
      </w:r>
    </w:p>
    <w:p>
      <w:pPr>
        <w:widowControl w:val="0"/>
        <w:adjustRightInd w:val="0"/>
        <w:spacing w:line="560" w:lineRule="exact"/>
        <w:ind w:firstLine="482" w:firstLineChars="200"/>
        <w:jc w:val="both"/>
        <w:outlineLvl w:val="0"/>
        <w:rPr>
          <w:rFonts w:hint="eastAsia" w:ascii="仿宋_GB2312" w:hAnsi="楷体" w:eastAsia="仿宋_GB2312"/>
          <w:b/>
          <w:sz w:val="24"/>
          <w:szCs w:val="24"/>
        </w:rPr>
      </w:pPr>
      <w:bookmarkStart w:id="518" w:name="_Toc14055"/>
      <w:r>
        <w:rPr>
          <w:rFonts w:hint="eastAsia" w:ascii="仿宋_GB2312" w:hAnsi="楷体" w:eastAsia="仿宋_GB2312"/>
          <w:b/>
          <w:sz w:val="24"/>
          <w:szCs w:val="24"/>
        </w:rPr>
        <w:t>2.10 延迟交货</w:t>
      </w:r>
      <w:bookmarkEnd w:id="515"/>
      <w:bookmarkEnd w:id="516"/>
      <w:bookmarkEnd w:id="517"/>
      <w:bookmarkEnd w:id="518"/>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widowControl w:val="0"/>
        <w:adjustRightInd w:val="0"/>
        <w:spacing w:line="560" w:lineRule="exact"/>
        <w:ind w:firstLine="482" w:firstLineChars="200"/>
        <w:jc w:val="both"/>
        <w:outlineLvl w:val="0"/>
        <w:rPr>
          <w:rFonts w:hint="eastAsia" w:ascii="仿宋_GB2312" w:hAnsi="楷体" w:eastAsia="仿宋_GB2312"/>
          <w:b/>
          <w:sz w:val="24"/>
          <w:szCs w:val="24"/>
        </w:rPr>
      </w:pPr>
      <w:bookmarkStart w:id="519" w:name="_Toc7502"/>
      <w:bookmarkStart w:id="520" w:name="_Ref467378121"/>
      <w:bookmarkStart w:id="521" w:name="_Toc487900364"/>
      <w:bookmarkStart w:id="522" w:name="_Toc279701254"/>
      <w:bookmarkStart w:id="523" w:name="_Toc259093683"/>
      <w:r>
        <w:rPr>
          <w:rFonts w:hint="eastAsia" w:ascii="仿宋_GB2312" w:hAnsi="楷体" w:eastAsia="仿宋_GB2312"/>
          <w:b/>
          <w:sz w:val="24"/>
          <w:szCs w:val="24"/>
        </w:rPr>
        <w:t>2.11 合同变更</w:t>
      </w:r>
      <w:bookmarkEnd w:id="519"/>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2.11.1双方当事人协商一致，可以签订书面补充合同的形式变更合同，但不得违背采购文件确定的事项，且如果系追加与合同标的相同的货物的，那么所有补充合同的采购金额不得超过原合同价的10%；</w:t>
      </w:r>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2.11.2 合同继续履行将损害国家利益和社会公共利益的，双方当事人应当以书面形式变更合同。有过错的一方应当承担赔偿责任，双方当事人都有过错的，各自承担相应的责任。</w:t>
      </w:r>
      <w:bookmarkStart w:id="524" w:name="_Toc279701259"/>
      <w:bookmarkStart w:id="525" w:name="_Toc487900369"/>
      <w:bookmarkStart w:id="526" w:name="_Toc259093688"/>
    </w:p>
    <w:p>
      <w:pPr>
        <w:widowControl w:val="0"/>
        <w:adjustRightInd w:val="0"/>
        <w:spacing w:line="560" w:lineRule="exact"/>
        <w:ind w:firstLine="482" w:firstLineChars="200"/>
        <w:jc w:val="both"/>
        <w:outlineLvl w:val="0"/>
        <w:rPr>
          <w:rFonts w:hint="eastAsia" w:ascii="仿宋_GB2312" w:hAnsi="楷体" w:eastAsia="仿宋_GB2312"/>
          <w:b/>
          <w:sz w:val="24"/>
          <w:szCs w:val="24"/>
        </w:rPr>
      </w:pPr>
      <w:bookmarkStart w:id="527" w:name="_Toc22955"/>
      <w:bookmarkStart w:id="528" w:name="_Toc15237"/>
      <w:bookmarkStart w:id="529" w:name="_Toc10366"/>
      <w:r>
        <w:rPr>
          <w:rFonts w:hint="eastAsia" w:ascii="仿宋_GB2312" w:hAnsi="楷体" w:eastAsia="仿宋_GB2312"/>
          <w:b/>
          <w:sz w:val="24"/>
          <w:szCs w:val="24"/>
        </w:rPr>
        <w:t>2.12 合同转让</w:t>
      </w:r>
      <w:bookmarkEnd w:id="524"/>
      <w:bookmarkEnd w:id="525"/>
      <w:bookmarkEnd w:id="526"/>
      <w:r>
        <w:rPr>
          <w:rFonts w:hint="eastAsia" w:ascii="仿宋_GB2312" w:hAnsi="楷体" w:eastAsia="仿宋_GB2312"/>
          <w:b/>
          <w:sz w:val="24"/>
          <w:szCs w:val="24"/>
        </w:rPr>
        <w:t>和分包</w:t>
      </w:r>
      <w:bookmarkEnd w:id="527"/>
      <w:bookmarkEnd w:id="528"/>
      <w:bookmarkEnd w:id="529"/>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widowControl w:val="0"/>
        <w:adjustRightInd w:val="0"/>
        <w:spacing w:line="560" w:lineRule="exact"/>
        <w:ind w:firstLine="482" w:firstLineChars="200"/>
        <w:jc w:val="both"/>
        <w:outlineLvl w:val="0"/>
        <w:rPr>
          <w:rFonts w:hint="eastAsia" w:ascii="仿宋_GB2312" w:hAnsi="楷体" w:eastAsia="仿宋_GB2312"/>
          <w:b/>
          <w:sz w:val="24"/>
          <w:szCs w:val="24"/>
        </w:rPr>
      </w:pPr>
      <w:bookmarkStart w:id="530" w:name="_Toc16508"/>
      <w:bookmarkStart w:id="531" w:name="_Toc13566"/>
      <w:bookmarkStart w:id="532" w:name="_Toc14066"/>
      <w:r>
        <w:rPr>
          <w:rFonts w:hint="eastAsia" w:ascii="仿宋_GB2312" w:hAnsi="楷体" w:eastAsia="仿宋_GB2312"/>
          <w:b/>
          <w:sz w:val="24"/>
          <w:szCs w:val="24"/>
        </w:rPr>
        <w:t>2.13 不可抗力</w:t>
      </w:r>
      <w:bookmarkEnd w:id="530"/>
      <w:bookmarkEnd w:id="531"/>
      <w:bookmarkEnd w:id="532"/>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2.13.1如果任何一方遭遇法律规定的不可抗力，致使合同履行受阻时，履行合同的期限应予延长，延长的期限应相当于不可抗力所影响的时间；</w:t>
      </w:r>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2.13.2 因不可抗力致使不能实现合同目的的，当事人可以解除合同；</w:t>
      </w:r>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2.13.3 因不可抗力致使合同有变更必要的，双方当事人应在</w:t>
      </w:r>
      <w:r>
        <w:rPr>
          <w:rFonts w:hint="eastAsia" w:ascii="仿宋_GB2312" w:hAnsi="楷体" w:eastAsia="仿宋_GB2312"/>
          <w:b/>
          <w:i/>
          <w:sz w:val="24"/>
          <w:szCs w:val="24"/>
          <w:u w:val="single"/>
        </w:rPr>
        <w:t>合同专用条款</w:t>
      </w:r>
      <w:r>
        <w:rPr>
          <w:rFonts w:hint="eastAsia" w:ascii="仿宋_GB2312" w:hAnsi="楷体" w:eastAsia="仿宋_GB2312"/>
          <w:sz w:val="24"/>
          <w:szCs w:val="24"/>
        </w:rPr>
        <w:t>约定时间内以书面形式变更合同；</w:t>
      </w:r>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2.13.4受不可抗力影响的一方在不可抗力发生后，应在</w:t>
      </w:r>
      <w:r>
        <w:rPr>
          <w:rFonts w:hint="eastAsia" w:ascii="仿宋_GB2312" w:hAnsi="楷体" w:eastAsia="仿宋_GB2312"/>
          <w:b/>
          <w:i/>
          <w:sz w:val="24"/>
          <w:szCs w:val="24"/>
          <w:u w:val="single"/>
        </w:rPr>
        <w:t>合同专用条款</w:t>
      </w:r>
      <w:r>
        <w:rPr>
          <w:rFonts w:hint="eastAsia" w:ascii="仿宋_GB2312" w:hAnsi="楷体" w:eastAsia="仿宋_GB2312"/>
          <w:sz w:val="24"/>
          <w:szCs w:val="24"/>
        </w:rPr>
        <w:t>约定时间内以书面形式通知对方当事人，并在</w:t>
      </w:r>
      <w:r>
        <w:rPr>
          <w:rFonts w:hint="eastAsia" w:ascii="仿宋_GB2312" w:hAnsi="楷体" w:eastAsia="仿宋_GB2312"/>
          <w:b/>
          <w:i/>
          <w:sz w:val="24"/>
          <w:szCs w:val="24"/>
          <w:u w:val="single"/>
        </w:rPr>
        <w:t>合同专用条款</w:t>
      </w:r>
      <w:r>
        <w:rPr>
          <w:rFonts w:hint="eastAsia" w:ascii="仿宋_GB2312" w:hAnsi="楷体" w:eastAsia="仿宋_GB2312"/>
          <w:sz w:val="24"/>
          <w:szCs w:val="24"/>
        </w:rPr>
        <w:t>约定时间内，将有关部门出具的证明文件送达对方当事人。</w:t>
      </w:r>
    </w:p>
    <w:p>
      <w:pPr>
        <w:widowControl w:val="0"/>
        <w:adjustRightInd w:val="0"/>
        <w:spacing w:line="560" w:lineRule="exact"/>
        <w:ind w:firstLine="482" w:firstLineChars="200"/>
        <w:jc w:val="both"/>
        <w:outlineLvl w:val="0"/>
        <w:rPr>
          <w:rFonts w:hint="eastAsia" w:ascii="仿宋_GB2312" w:hAnsi="楷体" w:eastAsia="仿宋_GB2312"/>
          <w:b/>
          <w:sz w:val="24"/>
          <w:szCs w:val="24"/>
        </w:rPr>
      </w:pPr>
      <w:bookmarkStart w:id="533" w:name="_Toc279701255"/>
      <w:bookmarkStart w:id="534" w:name="_Toc259093684"/>
      <w:bookmarkStart w:id="535" w:name="_Toc6969"/>
      <w:bookmarkStart w:id="536" w:name="_Toc689"/>
      <w:bookmarkStart w:id="537" w:name="_Toc30676"/>
      <w:bookmarkStart w:id="538" w:name="_Toc487900365"/>
      <w:r>
        <w:rPr>
          <w:rFonts w:hint="eastAsia" w:ascii="仿宋_GB2312" w:hAnsi="楷体" w:eastAsia="仿宋_GB2312"/>
          <w:b/>
          <w:sz w:val="24"/>
          <w:szCs w:val="24"/>
        </w:rPr>
        <w:t>2.14 税费</w:t>
      </w:r>
      <w:bookmarkEnd w:id="533"/>
      <w:bookmarkEnd w:id="534"/>
      <w:bookmarkEnd w:id="535"/>
      <w:bookmarkEnd w:id="536"/>
      <w:bookmarkEnd w:id="537"/>
      <w:bookmarkEnd w:id="538"/>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与合同有关的一切税费，均按照中华人民共和国法律的相关规定。</w:t>
      </w:r>
    </w:p>
    <w:p>
      <w:pPr>
        <w:widowControl w:val="0"/>
        <w:adjustRightInd w:val="0"/>
        <w:spacing w:line="560" w:lineRule="exact"/>
        <w:ind w:firstLine="482" w:firstLineChars="200"/>
        <w:jc w:val="both"/>
        <w:outlineLvl w:val="0"/>
        <w:rPr>
          <w:rFonts w:hint="eastAsia" w:ascii="仿宋_GB2312" w:hAnsi="楷体" w:eastAsia="仿宋_GB2312"/>
          <w:b/>
          <w:sz w:val="24"/>
          <w:szCs w:val="24"/>
        </w:rPr>
      </w:pPr>
      <w:bookmarkStart w:id="539" w:name="_Toc487900368"/>
      <w:bookmarkStart w:id="540" w:name="_Toc16959"/>
      <w:bookmarkStart w:id="541" w:name="_Toc8298"/>
      <w:bookmarkStart w:id="542" w:name="_Toc259093687"/>
      <w:bookmarkStart w:id="543" w:name="_Toc7102"/>
      <w:bookmarkStart w:id="544" w:name="_Toc279701258"/>
      <w:r>
        <w:rPr>
          <w:rFonts w:hint="eastAsia" w:ascii="仿宋_GB2312" w:hAnsi="楷体" w:eastAsia="仿宋_GB2312"/>
          <w:b/>
          <w:sz w:val="24"/>
          <w:szCs w:val="24"/>
        </w:rPr>
        <w:t>2.15 乙方破产</w:t>
      </w:r>
      <w:bookmarkEnd w:id="539"/>
      <w:bookmarkEnd w:id="540"/>
      <w:bookmarkEnd w:id="541"/>
      <w:bookmarkEnd w:id="542"/>
      <w:bookmarkEnd w:id="543"/>
      <w:bookmarkEnd w:id="544"/>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widowControl w:val="0"/>
        <w:adjustRightInd w:val="0"/>
        <w:spacing w:line="560" w:lineRule="exact"/>
        <w:ind w:firstLine="482" w:firstLineChars="200"/>
        <w:jc w:val="both"/>
        <w:outlineLvl w:val="0"/>
        <w:rPr>
          <w:rFonts w:hint="eastAsia" w:ascii="仿宋_GB2312" w:hAnsi="楷体" w:eastAsia="仿宋_GB2312"/>
          <w:b/>
          <w:sz w:val="24"/>
          <w:szCs w:val="24"/>
        </w:rPr>
      </w:pPr>
      <w:bookmarkStart w:id="545" w:name="_Toc6134"/>
      <w:bookmarkStart w:id="546" w:name="_Toc15387"/>
      <w:bookmarkStart w:id="547" w:name="_Toc29333"/>
      <w:r>
        <w:rPr>
          <w:rFonts w:hint="eastAsia" w:ascii="仿宋_GB2312" w:hAnsi="楷体" w:eastAsia="仿宋_GB2312"/>
          <w:b/>
          <w:sz w:val="24"/>
          <w:szCs w:val="24"/>
        </w:rPr>
        <w:t>2.16 合同中止、终止</w:t>
      </w:r>
      <w:bookmarkEnd w:id="545"/>
      <w:bookmarkEnd w:id="546"/>
      <w:bookmarkEnd w:id="547"/>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2.16.1 双方当事人不得擅自中止或者终止合同；</w:t>
      </w:r>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2.16.2合同继续履行将损害国家利益和社会公共利益的，双方当事人应当中止或者终止合同。有过错的一方应当承担赔偿责任，双方当事人都有过错的，各自承担相应的责任。</w:t>
      </w:r>
    </w:p>
    <w:p>
      <w:pPr>
        <w:widowControl w:val="0"/>
        <w:adjustRightInd w:val="0"/>
        <w:spacing w:line="560" w:lineRule="exact"/>
        <w:ind w:firstLine="482" w:firstLineChars="200"/>
        <w:jc w:val="both"/>
        <w:outlineLvl w:val="0"/>
        <w:rPr>
          <w:rFonts w:hint="eastAsia" w:ascii="仿宋_GB2312" w:hAnsi="楷体" w:eastAsia="仿宋_GB2312"/>
          <w:b/>
          <w:sz w:val="24"/>
          <w:szCs w:val="24"/>
        </w:rPr>
      </w:pPr>
      <w:bookmarkStart w:id="548" w:name="_Toc6596"/>
      <w:bookmarkStart w:id="549" w:name="_Toc14563"/>
      <w:bookmarkStart w:id="550" w:name="_Toc1125"/>
      <w:r>
        <w:rPr>
          <w:rFonts w:hint="eastAsia" w:ascii="仿宋_GB2312" w:hAnsi="楷体" w:eastAsia="仿宋_GB2312"/>
          <w:b/>
          <w:sz w:val="24"/>
          <w:szCs w:val="24"/>
        </w:rPr>
        <w:t>2.17 检验和验收</w:t>
      </w:r>
      <w:bookmarkEnd w:id="548"/>
      <w:bookmarkEnd w:id="549"/>
      <w:bookmarkEnd w:id="550"/>
    </w:p>
    <w:p>
      <w:pPr>
        <w:widowControl w:val="0"/>
        <w:tabs>
          <w:tab w:val="left" w:pos="360"/>
          <w:tab w:val="left" w:pos="540"/>
          <w:tab w:val="left" w:pos="1080"/>
        </w:tabs>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2.17.1货物交付前，乙方应对货物的质量、数量等方面进行详细、全面的检验，并向甲方出具证明货物符合合同约定的文件；货物交付时，乙方在</w:t>
      </w:r>
      <w:r>
        <w:rPr>
          <w:rFonts w:hint="eastAsia" w:ascii="仿宋_GB2312" w:hAnsi="楷体" w:eastAsia="仿宋_GB2312"/>
          <w:b/>
          <w:i/>
          <w:sz w:val="24"/>
          <w:szCs w:val="24"/>
          <w:u w:val="single"/>
        </w:rPr>
        <w:t>合同专用条款</w:t>
      </w:r>
      <w:r>
        <w:rPr>
          <w:rFonts w:hint="eastAsia" w:ascii="仿宋_GB2312" w:hAnsi="楷体" w:eastAsia="仿宋_GB2312"/>
          <w:sz w:val="24"/>
          <w:szCs w:val="24"/>
        </w:rPr>
        <w:t>约定时间内组织验收，并可依法邀请相关方参加，验收应出具验收书。</w:t>
      </w:r>
    </w:p>
    <w:p>
      <w:pPr>
        <w:widowControl w:val="0"/>
        <w:tabs>
          <w:tab w:val="left" w:pos="360"/>
          <w:tab w:val="left" w:pos="540"/>
          <w:tab w:val="left" w:pos="1080"/>
        </w:tabs>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widowControl w:val="0"/>
        <w:tabs>
          <w:tab w:val="left" w:pos="360"/>
          <w:tab w:val="left" w:pos="540"/>
          <w:tab w:val="left" w:pos="1080"/>
        </w:tabs>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2.17.3 检验和验收标准、程序等具体内容以及前述验收书的效力详见</w:t>
      </w:r>
      <w:r>
        <w:rPr>
          <w:rFonts w:hint="eastAsia" w:ascii="仿宋_GB2312" w:hAnsi="楷体" w:eastAsia="仿宋_GB2312"/>
          <w:b/>
          <w:i/>
          <w:sz w:val="24"/>
          <w:szCs w:val="24"/>
          <w:u w:val="single"/>
        </w:rPr>
        <w:t>合同专用条款</w:t>
      </w:r>
      <w:r>
        <w:rPr>
          <w:rFonts w:hint="eastAsia" w:ascii="仿宋_GB2312" w:hAnsi="楷体" w:eastAsia="仿宋_GB2312"/>
          <w:i/>
          <w:sz w:val="24"/>
          <w:szCs w:val="24"/>
        </w:rPr>
        <w:t>。</w:t>
      </w:r>
    </w:p>
    <w:bookmarkEnd w:id="520"/>
    <w:bookmarkEnd w:id="521"/>
    <w:bookmarkEnd w:id="522"/>
    <w:bookmarkEnd w:id="523"/>
    <w:p>
      <w:pPr>
        <w:widowControl w:val="0"/>
        <w:adjustRightInd w:val="0"/>
        <w:spacing w:line="560" w:lineRule="exact"/>
        <w:ind w:firstLine="482" w:firstLineChars="200"/>
        <w:jc w:val="both"/>
        <w:outlineLvl w:val="0"/>
        <w:rPr>
          <w:rFonts w:hint="eastAsia" w:ascii="仿宋_GB2312" w:hAnsi="楷体" w:eastAsia="仿宋_GB2312"/>
          <w:b/>
          <w:sz w:val="24"/>
          <w:szCs w:val="24"/>
        </w:rPr>
      </w:pPr>
      <w:bookmarkStart w:id="551" w:name="_Toc279701261"/>
      <w:bookmarkStart w:id="552" w:name="_Toc487900371"/>
      <w:bookmarkStart w:id="553" w:name="_Toc259093690"/>
      <w:bookmarkStart w:id="554" w:name="_Toc11284"/>
      <w:bookmarkStart w:id="555" w:name="_Toc25182"/>
      <w:bookmarkStart w:id="556" w:name="_Toc19604"/>
      <w:r>
        <w:rPr>
          <w:rFonts w:hint="eastAsia" w:ascii="仿宋_GB2312" w:hAnsi="楷体" w:eastAsia="仿宋_GB2312"/>
          <w:b/>
          <w:sz w:val="24"/>
          <w:szCs w:val="24"/>
        </w:rPr>
        <w:t>2.18 通知</w:t>
      </w:r>
      <w:bookmarkEnd w:id="551"/>
      <w:bookmarkEnd w:id="552"/>
      <w:bookmarkEnd w:id="553"/>
      <w:r>
        <w:rPr>
          <w:rFonts w:hint="eastAsia" w:ascii="仿宋_GB2312" w:hAnsi="楷体" w:eastAsia="仿宋_GB2312"/>
          <w:b/>
          <w:sz w:val="24"/>
          <w:szCs w:val="24"/>
        </w:rPr>
        <w:t>和送达</w:t>
      </w:r>
      <w:bookmarkEnd w:id="554"/>
      <w:bookmarkEnd w:id="555"/>
      <w:bookmarkEnd w:id="556"/>
    </w:p>
    <w:p>
      <w:pPr>
        <w:widowControl w:val="0"/>
        <w:adjustRightInd w:val="0"/>
        <w:spacing w:line="560" w:lineRule="exact"/>
        <w:ind w:firstLine="480" w:firstLineChars="200"/>
        <w:jc w:val="both"/>
        <w:rPr>
          <w:rFonts w:hint="eastAsia" w:ascii="仿宋_GB2312" w:hAnsi="楷体" w:eastAsia="仿宋_GB2312"/>
          <w:sz w:val="24"/>
          <w:szCs w:val="24"/>
        </w:rPr>
      </w:pPr>
      <w:bookmarkStart w:id="557" w:name="_Toc3135"/>
      <w:bookmarkStart w:id="558" w:name="_Toc6698"/>
      <w:bookmarkStart w:id="559" w:name="_Toc259093691"/>
      <w:bookmarkStart w:id="560" w:name="_Toc279701262"/>
      <w:bookmarkStart w:id="561" w:name="_Toc487900372"/>
      <w:r>
        <w:rPr>
          <w:rFonts w:hint="eastAsia" w:ascii="仿宋_GB2312" w:hAnsi="楷体" w:eastAsia="仿宋_GB2312"/>
          <w:sz w:val="24"/>
          <w:szCs w:val="24"/>
        </w:rPr>
        <w:t>2.18.1 任何一方因履行合同而以合同第一部分尾部所列明的</w:t>
      </w:r>
      <w:r>
        <w:rPr>
          <w:rFonts w:hint="eastAsia" w:ascii="仿宋_GB2312" w:hAnsi="楷体" w:eastAsia="仿宋_GB2312"/>
          <w:sz w:val="24"/>
          <w:szCs w:val="24"/>
          <w:u w:val="single"/>
        </w:rPr>
        <w:t xml:space="preserve">          </w:t>
      </w:r>
      <w:r>
        <w:rPr>
          <w:rFonts w:hint="eastAsia" w:ascii="仿宋_GB2312" w:hAnsi="楷体" w:eastAsia="仿宋_GB2312"/>
          <w:sz w:val="24"/>
          <w:szCs w:val="24"/>
        </w:rPr>
        <w:t>发出的所有通知、文件、材料，均视为已向对方当事人送达；任何一方变更上述送达方式或者地址的，应于20</w:t>
      </w:r>
      <w:r>
        <w:rPr>
          <w:rFonts w:hint="eastAsia" w:ascii="仿宋_GB2312" w:hAnsi="楷体" w:eastAsia="仿宋_GB2312"/>
          <w:sz w:val="24"/>
          <w:szCs w:val="24"/>
          <w:u w:val="single"/>
        </w:rPr>
        <w:t xml:space="preserve"> </w:t>
      </w:r>
      <w:r>
        <w:rPr>
          <w:rFonts w:hint="eastAsia" w:ascii="仿宋_GB2312" w:hAnsi="楷体" w:eastAsia="仿宋_GB2312"/>
          <w:sz w:val="24"/>
          <w:szCs w:val="24"/>
        </w:rPr>
        <w:t>个工作日内书面通知对方当事人，在对方当事人收到有关变更通知之前，变更前的约定送达方式或者地址仍视为有效。</w:t>
      </w:r>
      <w:bookmarkEnd w:id="557"/>
      <w:bookmarkEnd w:id="558"/>
    </w:p>
    <w:p>
      <w:pPr>
        <w:widowControl w:val="0"/>
        <w:adjustRightInd w:val="0"/>
        <w:spacing w:line="560" w:lineRule="exact"/>
        <w:ind w:firstLine="480" w:firstLineChars="200"/>
        <w:jc w:val="both"/>
        <w:rPr>
          <w:rFonts w:hint="eastAsia" w:ascii="仿宋_GB2312" w:hAnsi="楷体" w:eastAsia="仿宋_GB2312"/>
          <w:sz w:val="24"/>
          <w:szCs w:val="24"/>
        </w:rPr>
      </w:pPr>
      <w:bookmarkStart w:id="562" w:name="_Toc23128"/>
      <w:bookmarkStart w:id="563" w:name="_Toc23294"/>
      <w:r>
        <w:rPr>
          <w:rFonts w:hint="eastAsia" w:ascii="仿宋_GB2312" w:hAnsi="楷体" w:eastAsia="仿宋_GB2312"/>
          <w:sz w:val="24"/>
          <w:szCs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562"/>
      <w:bookmarkEnd w:id="563"/>
    </w:p>
    <w:p>
      <w:pPr>
        <w:widowControl w:val="0"/>
        <w:adjustRightInd w:val="0"/>
        <w:spacing w:line="560" w:lineRule="exact"/>
        <w:ind w:firstLine="482" w:firstLineChars="200"/>
        <w:jc w:val="both"/>
        <w:outlineLvl w:val="0"/>
        <w:rPr>
          <w:rFonts w:hint="eastAsia" w:ascii="仿宋_GB2312" w:hAnsi="楷体" w:eastAsia="仿宋_GB2312"/>
          <w:b/>
          <w:sz w:val="24"/>
          <w:szCs w:val="24"/>
        </w:rPr>
      </w:pPr>
      <w:bookmarkStart w:id="564" w:name="_Toc30599"/>
      <w:bookmarkStart w:id="565" w:name="_Toc4355"/>
      <w:bookmarkStart w:id="566" w:name="_Toc18540"/>
      <w:r>
        <w:rPr>
          <w:rFonts w:hint="eastAsia" w:ascii="仿宋_GB2312" w:hAnsi="楷体" w:eastAsia="仿宋_GB2312"/>
          <w:b/>
          <w:sz w:val="24"/>
          <w:szCs w:val="24"/>
        </w:rPr>
        <w:t>2.19 计量单位</w:t>
      </w:r>
      <w:bookmarkEnd w:id="559"/>
      <w:bookmarkEnd w:id="560"/>
      <w:bookmarkEnd w:id="561"/>
      <w:bookmarkEnd w:id="564"/>
      <w:bookmarkEnd w:id="565"/>
      <w:bookmarkEnd w:id="566"/>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除技术规范中另有规定外,合同的计量单位均使用国家法定计量单位。</w:t>
      </w:r>
    </w:p>
    <w:p>
      <w:pPr>
        <w:widowControl w:val="0"/>
        <w:adjustRightInd w:val="0"/>
        <w:spacing w:line="560" w:lineRule="exact"/>
        <w:ind w:firstLine="482" w:firstLineChars="200"/>
        <w:jc w:val="both"/>
        <w:outlineLvl w:val="0"/>
        <w:rPr>
          <w:rFonts w:hint="eastAsia" w:ascii="仿宋_GB2312" w:hAnsi="楷体" w:eastAsia="仿宋_GB2312"/>
          <w:b/>
          <w:sz w:val="24"/>
          <w:szCs w:val="24"/>
        </w:rPr>
      </w:pPr>
      <w:bookmarkStart w:id="567" w:name="_Toc279701263"/>
      <w:bookmarkStart w:id="568" w:name="_Toc259093692"/>
      <w:bookmarkStart w:id="569" w:name="_Toc487900373"/>
      <w:bookmarkStart w:id="570" w:name="_Toc18567"/>
      <w:bookmarkStart w:id="571" w:name="_Toc10330"/>
      <w:bookmarkStart w:id="572" w:name="_Toc12773"/>
      <w:r>
        <w:rPr>
          <w:rFonts w:hint="eastAsia" w:ascii="仿宋_GB2312" w:hAnsi="楷体" w:eastAsia="仿宋_GB2312"/>
          <w:b/>
          <w:sz w:val="24"/>
          <w:szCs w:val="24"/>
        </w:rPr>
        <w:t>2.20 合同使用的文字和适用的法律</w:t>
      </w:r>
      <w:bookmarkEnd w:id="567"/>
      <w:bookmarkEnd w:id="568"/>
      <w:bookmarkEnd w:id="569"/>
      <w:bookmarkEnd w:id="570"/>
      <w:bookmarkEnd w:id="571"/>
      <w:bookmarkEnd w:id="572"/>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2.20.1 合同使用汉语书就、变更和解释；</w:t>
      </w:r>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2.20.2 合同适用中华人民共和国法律。</w:t>
      </w:r>
    </w:p>
    <w:p>
      <w:pPr>
        <w:widowControl w:val="0"/>
        <w:adjustRightInd w:val="0"/>
        <w:spacing w:line="560" w:lineRule="exact"/>
        <w:ind w:firstLine="482" w:firstLineChars="200"/>
        <w:jc w:val="both"/>
        <w:outlineLvl w:val="0"/>
        <w:rPr>
          <w:rFonts w:hint="eastAsia" w:ascii="仿宋_GB2312" w:hAnsi="楷体" w:eastAsia="仿宋_GB2312"/>
          <w:b/>
          <w:sz w:val="24"/>
          <w:szCs w:val="24"/>
        </w:rPr>
      </w:pPr>
      <w:bookmarkStart w:id="573" w:name="_Toc279701264"/>
      <w:bookmarkStart w:id="574" w:name="_Toc259093693"/>
      <w:bookmarkStart w:id="575" w:name="_Toc12004"/>
      <w:bookmarkStart w:id="576" w:name="_Toc3148"/>
      <w:bookmarkStart w:id="577" w:name="_Toc16673"/>
      <w:bookmarkStart w:id="578" w:name="_Toc487900374"/>
      <w:r>
        <w:rPr>
          <w:rFonts w:hint="eastAsia" w:ascii="仿宋_GB2312" w:hAnsi="楷体" w:eastAsia="仿宋_GB2312"/>
          <w:b/>
          <w:sz w:val="24"/>
          <w:szCs w:val="24"/>
        </w:rPr>
        <w:t>2.21 履约保证金</w:t>
      </w:r>
      <w:bookmarkEnd w:id="573"/>
      <w:bookmarkEnd w:id="574"/>
      <w:bookmarkEnd w:id="575"/>
      <w:bookmarkEnd w:id="576"/>
      <w:bookmarkEnd w:id="577"/>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2.21.1 采购文件要求乙方提交履约保证金的，乙方应按</w:t>
      </w:r>
      <w:r>
        <w:rPr>
          <w:rFonts w:hint="eastAsia" w:ascii="仿宋_GB2312" w:hAnsi="楷体" w:eastAsia="仿宋_GB2312"/>
          <w:b/>
          <w:i/>
          <w:sz w:val="24"/>
          <w:szCs w:val="24"/>
          <w:u w:val="single"/>
        </w:rPr>
        <w:t>合同专用条款</w:t>
      </w:r>
      <w:r>
        <w:rPr>
          <w:rFonts w:hint="eastAsia" w:ascii="仿宋_GB2312" w:hAnsi="楷体" w:eastAsia="仿宋_GB2312"/>
          <w:sz w:val="24"/>
          <w:szCs w:val="24"/>
        </w:rPr>
        <w:t>约定的方式，以支票、汇票、本票或者金融机构、担保机构出具的保函等非现金形式，提交不超过合同价10%的履约保证金；</w:t>
      </w:r>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2.21.2  履约保证金在</w:t>
      </w:r>
      <w:r>
        <w:rPr>
          <w:rFonts w:hint="eastAsia" w:ascii="仿宋_GB2312" w:hAnsi="楷体" w:eastAsia="仿宋_GB2312"/>
          <w:b/>
          <w:i/>
          <w:sz w:val="24"/>
          <w:szCs w:val="24"/>
          <w:u w:val="single"/>
        </w:rPr>
        <w:t>合同专用条款</w:t>
      </w:r>
      <w:r>
        <w:rPr>
          <w:rFonts w:hint="eastAsia" w:ascii="仿宋_GB2312" w:hAnsi="楷体" w:eastAsia="仿宋_GB2312"/>
          <w:sz w:val="24"/>
          <w:szCs w:val="24"/>
        </w:rPr>
        <w:t>约定期间内或者货物质量保证期内不予退还或者应完全有效，前述约定期间届满或者货物质量保证期届满之日起</w:t>
      </w:r>
      <w:r>
        <w:rPr>
          <w:rFonts w:hint="eastAsia" w:ascii="仿宋_GB2312" w:hAnsi="楷体" w:eastAsia="仿宋_GB2312"/>
          <w:sz w:val="24"/>
          <w:szCs w:val="24"/>
          <w:u w:val="single"/>
        </w:rPr>
        <w:t xml:space="preserve"> 5 </w:t>
      </w:r>
      <w:r>
        <w:rPr>
          <w:rFonts w:hint="eastAsia" w:ascii="仿宋_GB2312" w:hAnsi="楷体" w:eastAsia="仿宋_GB2312"/>
          <w:sz w:val="24"/>
          <w:szCs w:val="24"/>
        </w:rPr>
        <w:t>个工作日内，甲方应将履约保证金退还乙方；</w:t>
      </w:r>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2.21.3 如果乙方不履行合同，履约保证金不予退还；如果乙方未能按合同约定全面履行义务，那么甲方有权从履约保证金中取得补偿或赔偿，同时不影响甲方要求乙方承担合同约定的超过履约保证金的违约责任的权利。</w:t>
      </w:r>
    </w:p>
    <w:bookmarkEnd w:id="578"/>
    <w:p>
      <w:pPr>
        <w:widowControl w:val="0"/>
        <w:adjustRightInd w:val="0"/>
        <w:spacing w:line="560" w:lineRule="exact"/>
        <w:ind w:firstLine="482" w:firstLineChars="200"/>
        <w:jc w:val="both"/>
        <w:outlineLvl w:val="0"/>
        <w:rPr>
          <w:rFonts w:hint="eastAsia" w:ascii="仿宋_GB2312" w:hAnsi="楷体" w:eastAsia="仿宋_GB2312"/>
          <w:b/>
          <w:sz w:val="24"/>
          <w:szCs w:val="24"/>
        </w:rPr>
      </w:pPr>
      <w:bookmarkStart w:id="579" w:name="_Toc19890"/>
      <w:bookmarkStart w:id="580" w:name="_Toc6885"/>
      <w:bookmarkStart w:id="581" w:name="_Toc14001"/>
      <w:r>
        <w:rPr>
          <w:rFonts w:hint="eastAsia" w:ascii="仿宋_GB2312" w:hAnsi="楷体" w:eastAsia="仿宋_GB2312"/>
          <w:b/>
          <w:sz w:val="24"/>
          <w:szCs w:val="24"/>
        </w:rPr>
        <w:t>2.22 合同份数</w:t>
      </w:r>
      <w:bookmarkEnd w:id="579"/>
      <w:bookmarkEnd w:id="580"/>
      <w:bookmarkEnd w:id="581"/>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合同份数按</w:t>
      </w:r>
      <w:r>
        <w:rPr>
          <w:rFonts w:hint="eastAsia" w:ascii="仿宋_GB2312" w:hAnsi="楷体" w:eastAsia="仿宋_GB2312"/>
          <w:b/>
          <w:i/>
          <w:sz w:val="24"/>
          <w:szCs w:val="24"/>
          <w:u w:val="single"/>
        </w:rPr>
        <w:t>合同专用条款</w:t>
      </w:r>
      <w:r>
        <w:rPr>
          <w:rFonts w:hint="eastAsia" w:ascii="仿宋_GB2312" w:hAnsi="楷体" w:eastAsia="仿宋_GB2312"/>
          <w:sz w:val="24"/>
          <w:szCs w:val="24"/>
        </w:rPr>
        <w:t>规定，每份均具有同等法律效力。</w:t>
      </w:r>
    </w:p>
    <w:p>
      <w:pPr>
        <w:widowControl w:val="0"/>
        <w:autoSpaceDE w:val="0"/>
        <w:autoSpaceDN w:val="0"/>
        <w:adjustRightInd w:val="0"/>
        <w:snapToGrid w:val="0"/>
        <w:spacing w:after="120" w:line="560" w:lineRule="exact"/>
        <w:ind w:left="420" w:leftChars="200" w:firstLine="480" w:firstLineChars="200"/>
        <w:jc w:val="center"/>
        <w:rPr>
          <w:rFonts w:hint="eastAsia" w:ascii="仿宋_GB2312" w:hAnsi="楷体" w:eastAsia="仿宋_GB2312"/>
          <w:b/>
          <w:sz w:val="24"/>
          <w:szCs w:val="24"/>
        </w:rPr>
      </w:pPr>
      <w:r>
        <w:rPr>
          <w:rFonts w:hint="eastAsia" w:ascii="仿宋_GB2312" w:hAnsi="楷体" w:eastAsia="仿宋_GB2312"/>
          <w:sz w:val="24"/>
          <w:szCs w:val="24"/>
        </w:rPr>
        <w:br w:type="page"/>
      </w:r>
      <w:bookmarkStart w:id="582" w:name="_Toc331685784"/>
      <w:r>
        <w:rPr>
          <w:rFonts w:hint="eastAsia" w:ascii="仿宋_GB2312" w:hAnsi="楷体" w:eastAsia="仿宋_GB2312"/>
          <w:b/>
          <w:sz w:val="24"/>
          <w:szCs w:val="24"/>
        </w:rPr>
        <w:t>第三部分  合同专用条款</w:t>
      </w:r>
      <w:bookmarkEnd w:id="582"/>
    </w:p>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01"/>
        <w:gridCol w:w="829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wBefore w:w="0" w:type="dxa"/>
          <w:wAfter w:w="0" w:type="dxa"/>
          <w:trHeight w:val="391" w:hRule="atLeast"/>
        </w:trPr>
        <w:tc>
          <w:tcPr>
            <w:tcW w:w="801" w:type="dxa"/>
            <w:tcBorders>
              <w:left w:val="single" w:color="auto" w:sz="4" w:space="0"/>
            </w:tcBorders>
            <w:noWrap w:val="0"/>
            <w:vAlign w:val="center"/>
          </w:tcPr>
          <w:p>
            <w:pPr>
              <w:widowControl w:val="0"/>
              <w:adjustRightInd w:val="0"/>
              <w:spacing w:line="560" w:lineRule="exact"/>
              <w:jc w:val="center"/>
              <w:rPr>
                <w:rFonts w:hint="eastAsia" w:ascii="仿宋_GB2312" w:hAnsi="楷体" w:eastAsia="仿宋_GB2312"/>
                <w:b/>
                <w:sz w:val="24"/>
                <w:szCs w:val="24"/>
              </w:rPr>
            </w:pPr>
            <w:r>
              <w:rPr>
                <w:rFonts w:hint="eastAsia" w:ascii="仿宋_GB2312" w:hAnsi="楷体" w:eastAsia="仿宋_GB2312"/>
                <w:b/>
                <w:sz w:val="24"/>
                <w:szCs w:val="24"/>
              </w:rPr>
              <w:t>条款号</w:t>
            </w:r>
          </w:p>
        </w:tc>
        <w:tc>
          <w:tcPr>
            <w:tcW w:w="8299" w:type="dxa"/>
            <w:noWrap w:val="0"/>
            <w:vAlign w:val="center"/>
          </w:tcPr>
          <w:p>
            <w:pPr>
              <w:widowControl w:val="0"/>
              <w:adjustRightInd w:val="0"/>
              <w:spacing w:line="560" w:lineRule="exact"/>
              <w:jc w:val="center"/>
              <w:rPr>
                <w:rFonts w:hint="eastAsia" w:ascii="仿宋_GB2312" w:hAnsi="楷体" w:eastAsia="仿宋_GB2312"/>
                <w:b/>
                <w:sz w:val="24"/>
                <w:szCs w:val="24"/>
              </w:rPr>
            </w:pPr>
            <w:r>
              <w:rPr>
                <w:rFonts w:hint="eastAsia" w:ascii="仿宋_GB2312" w:hAnsi="楷体" w:eastAsia="仿宋_GB2312"/>
                <w:b/>
                <w:sz w:val="24"/>
                <w:szCs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wBefore w:w="0" w:type="dxa"/>
          <w:wAfter w:w="0" w:type="dxa"/>
          <w:trHeight w:val="88" w:hRule="atLeast"/>
        </w:trPr>
        <w:tc>
          <w:tcPr>
            <w:tcW w:w="801" w:type="dxa"/>
            <w:tcBorders>
              <w:left w:val="single" w:color="auto" w:sz="4" w:space="0"/>
            </w:tcBorders>
            <w:noWrap w:val="0"/>
            <w:vAlign w:val="center"/>
          </w:tcPr>
          <w:p>
            <w:pPr>
              <w:widowControl w:val="0"/>
              <w:adjustRightInd w:val="0"/>
              <w:spacing w:line="560" w:lineRule="exact"/>
              <w:jc w:val="both"/>
              <w:rPr>
                <w:rFonts w:hint="eastAsia" w:ascii="仿宋_GB2312" w:hAnsi="楷体" w:eastAsia="仿宋_GB2312"/>
                <w:sz w:val="24"/>
                <w:szCs w:val="24"/>
              </w:rPr>
            </w:pPr>
            <w:r>
              <w:rPr>
                <w:rFonts w:hint="eastAsia" w:ascii="仿宋_GB2312" w:hAnsi="楷体" w:eastAsia="仿宋_GB2312"/>
                <w:sz w:val="24"/>
                <w:szCs w:val="24"/>
              </w:rPr>
              <w:t xml:space="preserve">2.3.2 </w:t>
            </w:r>
          </w:p>
        </w:tc>
        <w:tc>
          <w:tcPr>
            <w:tcW w:w="8299" w:type="dxa"/>
            <w:noWrap w:val="0"/>
            <w:vAlign w:val="center"/>
          </w:tcPr>
          <w:p>
            <w:pPr>
              <w:widowControl w:val="0"/>
              <w:adjustRightInd w:val="0"/>
              <w:spacing w:line="560" w:lineRule="exact"/>
              <w:jc w:val="both"/>
              <w:rPr>
                <w:rFonts w:hint="eastAsia" w:ascii="仿宋_GB2312" w:hAnsi="楷体" w:eastAsia="仿宋_GB2312"/>
                <w:sz w:val="24"/>
                <w:szCs w:val="24"/>
              </w:rPr>
            </w:pPr>
            <w:r>
              <w:rPr>
                <w:rFonts w:hint="eastAsia" w:ascii="仿宋_GB2312" w:hAnsi="楷体" w:eastAsia="仿宋_GB2312"/>
                <w:sz w:val="24"/>
                <w:szCs w:val="24"/>
              </w:rPr>
              <w:t xml:space="preserve">具有知识产权的计算机软件等货物的知识产权归属 </w:t>
            </w:r>
            <w:r>
              <w:rPr>
                <w:rFonts w:hint="eastAsia" w:ascii="仿宋_GB2312" w:hAnsi="楷体" w:eastAsia="仿宋_GB2312"/>
                <w:sz w:val="24"/>
                <w:szCs w:val="24"/>
                <w:u w:val="single"/>
              </w:rPr>
              <w:t xml:space="preserve"> 采购人</w:t>
            </w:r>
            <w:r>
              <w:rPr>
                <w:rFonts w:hint="eastAsia" w:ascii="仿宋_GB2312" w:hAnsi="楷体" w:eastAsia="仿宋_GB2312"/>
                <w:sz w:val="24"/>
                <w:szCs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wBefore w:w="0" w:type="dxa"/>
          <w:wAfter w:w="0" w:type="dxa"/>
          <w:trHeight w:val="352" w:hRule="atLeast"/>
        </w:trPr>
        <w:tc>
          <w:tcPr>
            <w:tcW w:w="801" w:type="dxa"/>
            <w:tcBorders>
              <w:left w:val="single" w:color="auto" w:sz="4" w:space="0"/>
            </w:tcBorders>
            <w:noWrap w:val="0"/>
            <w:vAlign w:val="center"/>
          </w:tcPr>
          <w:p>
            <w:pPr>
              <w:widowControl w:val="0"/>
              <w:adjustRightInd w:val="0"/>
              <w:spacing w:line="560" w:lineRule="exact"/>
              <w:jc w:val="both"/>
              <w:rPr>
                <w:rFonts w:hint="eastAsia" w:ascii="仿宋_GB2312" w:hAnsi="楷体" w:eastAsia="仿宋_GB2312"/>
                <w:sz w:val="24"/>
                <w:szCs w:val="24"/>
              </w:rPr>
            </w:pPr>
            <w:r>
              <w:rPr>
                <w:rFonts w:hint="eastAsia" w:ascii="仿宋_GB2312" w:hAnsi="楷体" w:eastAsia="仿宋_GB2312"/>
                <w:sz w:val="24"/>
                <w:szCs w:val="24"/>
              </w:rPr>
              <w:t xml:space="preserve">2.4.1 </w:t>
            </w:r>
          </w:p>
        </w:tc>
        <w:tc>
          <w:tcPr>
            <w:tcW w:w="8299" w:type="dxa"/>
            <w:noWrap w:val="0"/>
            <w:vAlign w:val="center"/>
          </w:tcPr>
          <w:p>
            <w:pPr>
              <w:widowControl w:val="0"/>
              <w:adjustRightInd w:val="0"/>
              <w:spacing w:line="560" w:lineRule="exact"/>
              <w:jc w:val="both"/>
              <w:rPr>
                <w:rFonts w:hint="eastAsia" w:ascii="仿宋_GB2312" w:hAnsi="楷体" w:eastAsia="仿宋_GB2312"/>
                <w:sz w:val="24"/>
                <w:szCs w:val="24"/>
              </w:rPr>
            </w:pPr>
            <w:r>
              <w:rPr>
                <w:rFonts w:hint="eastAsia" w:ascii="仿宋_GB2312" w:hAnsi="楷体" w:eastAsia="仿宋_GB2312"/>
                <w:sz w:val="24"/>
                <w:szCs w:val="24"/>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wBefore w:w="0" w:type="dxa"/>
          <w:wAfter w:w="0" w:type="dxa"/>
          <w:trHeight w:val="352" w:hRule="atLeast"/>
        </w:trPr>
        <w:tc>
          <w:tcPr>
            <w:tcW w:w="801" w:type="dxa"/>
            <w:tcBorders>
              <w:left w:val="single" w:color="auto" w:sz="4" w:space="0"/>
            </w:tcBorders>
            <w:noWrap w:val="0"/>
            <w:vAlign w:val="center"/>
          </w:tcPr>
          <w:p>
            <w:pPr>
              <w:widowControl w:val="0"/>
              <w:adjustRightInd w:val="0"/>
              <w:spacing w:line="560" w:lineRule="exact"/>
              <w:jc w:val="both"/>
              <w:rPr>
                <w:rFonts w:hint="eastAsia" w:ascii="仿宋_GB2312" w:hAnsi="楷体" w:eastAsia="仿宋_GB2312"/>
                <w:sz w:val="24"/>
                <w:szCs w:val="24"/>
              </w:rPr>
            </w:pPr>
            <w:r>
              <w:rPr>
                <w:rFonts w:hint="eastAsia" w:ascii="仿宋_GB2312" w:hAnsi="楷体" w:eastAsia="仿宋_GB2312"/>
                <w:sz w:val="24"/>
                <w:szCs w:val="24"/>
              </w:rPr>
              <w:t>2.4.2</w:t>
            </w:r>
          </w:p>
        </w:tc>
        <w:tc>
          <w:tcPr>
            <w:tcW w:w="8299" w:type="dxa"/>
            <w:noWrap w:val="0"/>
            <w:vAlign w:val="center"/>
          </w:tcPr>
          <w:p>
            <w:pPr>
              <w:widowControl w:val="0"/>
              <w:adjustRightInd w:val="0"/>
              <w:spacing w:line="560" w:lineRule="exact"/>
              <w:jc w:val="both"/>
              <w:rPr>
                <w:rFonts w:hint="eastAsia" w:ascii="仿宋_GB2312" w:hAnsi="楷体" w:eastAsia="仿宋_GB2312"/>
                <w:sz w:val="24"/>
                <w:szCs w:val="24"/>
              </w:rPr>
            </w:pPr>
            <w:r>
              <w:rPr>
                <w:rFonts w:hint="eastAsia" w:ascii="仿宋_GB2312" w:hAnsi="楷体" w:eastAsia="仿宋_GB2312"/>
                <w:sz w:val="24"/>
                <w:szCs w:val="24"/>
              </w:rPr>
              <w:t>装运货物的要求和通知</w:t>
            </w:r>
            <w:r>
              <w:rPr>
                <w:rFonts w:hint="eastAsia" w:ascii="仿宋_GB2312" w:hAnsi="楷体" w:eastAsia="仿宋_GB2312"/>
                <w:sz w:val="24"/>
                <w:szCs w:val="24"/>
                <w:u w:val="single"/>
              </w:rPr>
              <w:t xml:space="preserve">  按照本行业通用的方式         </w:t>
            </w:r>
            <w:r>
              <w:rPr>
                <w:rFonts w:hint="eastAsia" w:ascii="仿宋_GB2312" w:hAnsi="楷体" w:eastAsia="仿宋_GB2312"/>
                <w:sz w:val="24"/>
                <w:szCs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wBefore w:w="0" w:type="dxa"/>
          <w:wAfter w:w="0" w:type="dxa"/>
          <w:trHeight w:val="352" w:hRule="atLeast"/>
        </w:trPr>
        <w:tc>
          <w:tcPr>
            <w:tcW w:w="801" w:type="dxa"/>
            <w:tcBorders>
              <w:left w:val="single" w:color="auto" w:sz="4" w:space="0"/>
            </w:tcBorders>
            <w:noWrap w:val="0"/>
            <w:vAlign w:val="center"/>
          </w:tcPr>
          <w:p>
            <w:pPr>
              <w:widowControl w:val="0"/>
              <w:adjustRightInd w:val="0"/>
              <w:spacing w:line="560" w:lineRule="exact"/>
              <w:jc w:val="both"/>
              <w:rPr>
                <w:rFonts w:hint="eastAsia" w:ascii="仿宋_GB2312" w:hAnsi="楷体" w:eastAsia="仿宋_GB2312"/>
                <w:sz w:val="24"/>
                <w:szCs w:val="24"/>
              </w:rPr>
            </w:pPr>
            <w:r>
              <w:rPr>
                <w:rFonts w:hint="eastAsia" w:ascii="仿宋_GB2312" w:hAnsi="楷体" w:eastAsia="仿宋_GB2312"/>
                <w:b/>
                <w:sz w:val="24"/>
                <w:szCs w:val="24"/>
              </w:rPr>
              <w:t xml:space="preserve">2.6 </w:t>
            </w:r>
          </w:p>
        </w:tc>
        <w:tc>
          <w:tcPr>
            <w:tcW w:w="8299" w:type="dxa"/>
            <w:noWrap w:val="0"/>
            <w:vAlign w:val="center"/>
          </w:tcPr>
          <w:p>
            <w:pPr>
              <w:widowControl w:val="0"/>
              <w:adjustRightInd w:val="0"/>
              <w:spacing w:line="360" w:lineRule="auto"/>
              <w:ind w:firstLine="482" w:firstLineChars="200"/>
              <w:rPr>
                <w:rFonts w:hint="eastAsia" w:ascii="仿宋_GB2312" w:hAnsi="仿宋_GB2312" w:eastAsia="仿宋_GB2312" w:cs="仿宋_GB2312"/>
                <w:kern w:val="0"/>
                <w:sz w:val="24"/>
                <w:szCs w:val="24"/>
              </w:rPr>
            </w:pPr>
            <w:r>
              <w:rPr>
                <w:rFonts w:hint="eastAsia" w:ascii="仿宋_GB2312" w:hAnsi="楷体" w:eastAsia="仿宋_GB2312"/>
                <w:b/>
                <w:sz w:val="24"/>
                <w:szCs w:val="24"/>
              </w:rPr>
              <w:t>结算方式和付款条件：</w:t>
            </w:r>
            <w:r>
              <w:rPr>
                <w:rFonts w:hint="eastAsia" w:ascii="仿宋_GB2312" w:hAnsi="仿宋_GB2312" w:eastAsia="仿宋_GB2312" w:cs="仿宋_GB2312"/>
                <w:kern w:val="0"/>
                <w:sz w:val="24"/>
                <w:szCs w:val="24"/>
                <w:lang w:val="zh-CN"/>
              </w:rPr>
              <w:t>本次项目合同总价为大写人民币</w:t>
            </w:r>
            <w:r>
              <w:rPr>
                <w:rFonts w:hint="eastAsia" w:ascii="仿宋_GB2312" w:hAnsi="仿宋_GB2312" w:eastAsia="仿宋_GB2312" w:cs="仿宋_GB2312"/>
                <w:kern w:val="0"/>
                <w:sz w:val="24"/>
                <w:szCs w:val="24"/>
                <w:u w:val="single"/>
                <w:lang w:val="zh-CN"/>
              </w:rPr>
              <w:t xml:space="preserve">            （</w:t>
            </w:r>
            <w:r>
              <w:rPr>
                <w:rFonts w:hint="eastAsia" w:ascii="仿宋_GB2312" w:hAnsi="仿宋_GB2312" w:eastAsia="仿宋_GB2312" w:cs="仿宋_GB2312"/>
                <w:kern w:val="0"/>
                <w:sz w:val="24"/>
                <w:szCs w:val="24"/>
                <w:lang w:val="zh-CN"/>
              </w:rPr>
              <w:t>￥    元），采用分期付款方式，具体如下</w:t>
            </w:r>
            <w:r>
              <w:rPr>
                <w:rFonts w:hint="eastAsia" w:ascii="仿宋_GB2312" w:hAnsi="仿宋_GB2312" w:eastAsia="仿宋_GB2312" w:cs="仿宋_GB2312"/>
                <w:kern w:val="0"/>
                <w:sz w:val="24"/>
                <w:szCs w:val="24"/>
              </w:rPr>
              <w:t>：</w:t>
            </w:r>
          </w:p>
          <w:p>
            <w:pPr>
              <w:spacing w:line="440" w:lineRule="exact"/>
              <w:ind w:firstLine="482"/>
              <w:rPr>
                <w:rFonts w:hint="eastAsia" w:ascii="仿宋_GB2312" w:eastAsia="仿宋_GB2312" w:cs="仿宋_GB2312"/>
                <w:kern w:val="0"/>
                <w:sz w:val="24"/>
              </w:rPr>
            </w:pPr>
            <w:r>
              <w:rPr>
                <w:rFonts w:hint="eastAsia" w:ascii="仿宋_GB2312" w:eastAsia="仿宋_GB2312"/>
                <w:sz w:val="24"/>
                <w:lang w:val="zh-CN"/>
              </w:rPr>
              <w:t>本次项目合同总价为大写人民币</w:t>
            </w:r>
            <w:r>
              <w:rPr>
                <w:rFonts w:hint="eastAsia" w:ascii="仿宋_GB2312" w:eastAsia="仿宋_GB2312" w:cs="仿宋_GB2312"/>
                <w:kern w:val="0"/>
                <w:sz w:val="24"/>
                <w:u w:val="single"/>
                <w:lang w:val="zh-CN"/>
              </w:rPr>
              <w:t xml:space="preserve">            （</w:t>
            </w:r>
            <w:r>
              <w:rPr>
                <w:rFonts w:hint="eastAsia" w:ascii="仿宋_GB2312" w:eastAsia="仿宋_GB2312" w:cs="仿宋_GB2312"/>
                <w:kern w:val="0"/>
                <w:sz w:val="24"/>
                <w:lang w:val="zh-CN"/>
              </w:rPr>
              <w:t>￥    元），采用分期付款方式</w:t>
            </w:r>
            <w:r>
              <w:rPr>
                <w:rFonts w:hint="eastAsia" w:ascii="仿宋_GB2312" w:eastAsia="仿宋_GB2312" w:cs="仿宋_GB2312"/>
                <w:kern w:val="0"/>
                <w:sz w:val="24"/>
              </w:rPr>
              <w:t>：</w:t>
            </w:r>
          </w:p>
          <w:p>
            <w:pPr>
              <w:spacing w:line="440" w:lineRule="exact"/>
              <w:ind w:firstLine="482"/>
              <w:rPr>
                <w:rFonts w:hint="eastAsia" w:ascii="仿宋_GB2312" w:eastAsia="仿宋_GB2312" w:cs="仿宋_GB2312"/>
                <w:kern w:val="0"/>
                <w:sz w:val="24"/>
                <w:lang w:val="zh-CN"/>
              </w:rPr>
            </w:pPr>
            <w:r>
              <w:rPr>
                <w:rFonts w:hint="eastAsia" w:ascii="仿宋_GB2312" w:eastAsia="仿宋_GB2312" w:cs="仿宋_GB2312"/>
                <w:sz w:val="24"/>
                <w:szCs w:val="24"/>
                <w:lang w:val="zh-CN"/>
              </w:rPr>
              <w:t>到货款：乙方按照本合同规定全部交付合同设备，5个工作日内经甲方验货合格（规定时间内甲方未验收，视为验收合格），双方签署</w:t>
            </w:r>
            <w:r>
              <w:rPr>
                <w:rFonts w:hint="eastAsia" w:ascii="仿宋_GB2312" w:eastAsia="仿宋_GB2312"/>
                <w:sz w:val="24"/>
                <w:lang w:val="zh-CN"/>
              </w:rPr>
              <w:t>《杭州市教育设备政府采购货物到货清点单》</w:t>
            </w:r>
            <w:r>
              <w:rPr>
                <w:rFonts w:hint="eastAsia" w:ascii="仿宋_GB2312" w:eastAsia="仿宋_GB2312" w:cs="仿宋_GB2312"/>
                <w:sz w:val="24"/>
                <w:szCs w:val="24"/>
                <w:lang w:val="zh-CN"/>
              </w:rPr>
              <w:t>后10个自然日内，向乙方支付合同总额40%的交货付款金额，大写人民币</w:t>
            </w:r>
            <w:r>
              <w:rPr>
                <w:rFonts w:hint="eastAsia" w:ascii="仿宋_GB2312" w:eastAsia="仿宋_GB2312" w:cs="仿宋_GB2312"/>
                <w:kern w:val="0"/>
                <w:sz w:val="24"/>
                <w:u w:val="single"/>
                <w:lang w:val="zh-CN"/>
              </w:rPr>
              <w:t xml:space="preserve"> 　           （</w:t>
            </w:r>
            <w:r>
              <w:rPr>
                <w:rFonts w:hint="eastAsia" w:ascii="仿宋_GB2312" w:eastAsia="仿宋_GB2312" w:cs="仿宋_GB2312"/>
                <w:kern w:val="0"/>
                <w:sz w:val="24"/>
                <w:lang w:val="zh-CN"/>
              </w:rPr>
              <w:t>￥    元）</w:t>
            </w:r>
          </w:p>
          <w:p>
            <w:pPr>
              <w:spacing w:line="440" w:lineRule="exact"/>
              <w:ind w:firstLine="482"/>
              <w:rPr>
                <w:rFonts w:hint="eastAsia" w:ascii="仿宋_GB2312" w:eastAsia="仿宋_GB2312" w:cs="仿宋_GB2312"/>
                <w:kern w:val="0"/>
                <w:sz w:val="24"/>
                <w:lang w:val="zh-CN"/>
              </w:rPr>
            </w:pPr>
            <w:r>
              <w:rPr>
                <w:rFonts w:hint="eastAsia" w:ascii="仿宋_GB2312" w:eastAsia="仿宋_GB2312" w:cs="仿宋_GB2312"/>
                <w:kern w:val="0"/>
                <w:sz w:val="24"/>
                <w:lang w:val="zh-CN"/>
              </w:rPr>
              <w:t>设备初验付款：系统设备到货、安装完毕，由</w:t>
            </w:r>
            <w:r>
              <w:rPr>
                <w:rFonts w:hint="eastAsia" w:ascii="仿宋_GB2312" w:eastAsia="仿宋_GB2312" w:cs="仿宋_GB2312"/>
                <w:sz w:val="24"/>
                <w:szCs w:val="24"/>
                <w:lang w:val="zh-CN"/>
              </w:rPr>
              <w:t>甲方初步验货合格，双方签署</w:t>
            </w:r>
            <w:r>
              <w:rPr>
                <w:rFonts w:hint="eastAsia" w:ascii="仿宋_GB2312" w:eastAsia="仿宋_GB2312"/>
                <w:sz w:val="24"/>
                <w:lang w:val="zh-CN"/>
              </w:rPr>
              <w:t>《杭州市教育设备政府采购货物初验单》</w:t>
            </w:r>
            <w:r>
              <w:rPr>
                <w:rFonts w:hint="eastAsia" w:ascii="仿宋_GB2312" w:eastAsia="仿宋_GB2312" w:cs="仿宋_GB2312"/>
                <w:sz w:val="24"/>
                <w:szCs w:val="24"/>
                <w:lang w:val="zh-CN"/>
              </w:rPr>
              <w:t>后10个自然日内，向乙方支付合同总额30%的交货付款金额，大写人民币</w:t>
            </w:r>
            <w:r>
              <w:rPr>
                <w:rFonts w:hint="eastAsia" w:ascii="仿宋_GB2312" w:eastAsia="仿宋_GB2312" w:cs="仿宋_GB2312"/>
                <w:kern w:val="0"/>
                <w:sz w:val="24"/>
                <w:u w:val="single"/>
                <w:lang w:val="zh-CN"/>
              </w:rPr>
              <w:t xml:space="preserve"> 　           （</w:t>
            </w:r>
            <w:r>
              <w:rPr>
                <w:rFonts w:hint="eastAsia" w:ascii="仿宋_GB2312" w:eastAsia="仿宋_GB2312" w:cs="仿宋_GB2312"/>
                <w:kern w:val="0"/>
                <w:sz w:val="24"/>
                <w:lang w:val="zh-CN"/>
              </w:rPr>
              <w:t>￥    元）</w:t>
            </w:r>
          </w:p>
          <w:p>
            <w:pPr>
              <w:spacing w:line="440" w:lineRule="exact"/>
              <w:ind w:firstLine="482"/>
              <w:rPr>
                <w:rFonts w:hint="eastAsia" w:ascii="仿宋_GB2312" w:hAnsi="楷体" w:eastAsia="仿宋_GB2312"/>
                <w:sz w:val="24"/>
                <w:szCs w:val="24"/>
              </w:rPr>
            </w:pPr>
            <w:r>
              <w:rPr>
                <w:rFonts w:hint="eastAsia" w:ascii="仿宋_GB2312" w:eastAsia="仿宋_GB2312" w:cs="仿宋_GB2312"/>
                <w:kern w:val="0"/>
                <w:sz w:val="24"/>
                <w:lang w:val="zh-CN"/>
              </w:rPr>
              <w:t>设备终验付款：系统试运行1个月正常，提交全部报告材料，通过正式验收后10个工作日内，乙方凭</w:t>
            </w:r>
            <w:r>
              <w:rPr>
                <w:rFonts w:hint="eastAsia" w:ascii="仿宋_GB2312" w:eastAsia="仿宋_GB2312"/>
                <w:sz w:val="24"/>
                <w:lang w:val="zh-CN"/>
              </w:rPr>
              <w:t>发票、《杭州市教育设备政府采购货物验收回复单》或验收报告、《杭州市教育设备政府采购供应商履约评价意见表》</w:t>
            </w:r>
            <w:r>
              <w:rPr>
                <w:rFonts w:hint="eastAsia" w:ascii="仿宋_GB2312" w:eastAsia="仿宋_GB2312" w:cs="仿宋_GB2312"/>
                <w:kern w:val="0"/>
                <w:sz w:val="24"/>
                <w:lang w:val="zh-CN"/>
              </w:rPr>
              <w:t>向甲方办理合同余款结算手续</w:t>
            </w:r>
            <w:r>
              <w:rPr>
                <w:rFonts w:hint="eastAsia" w:ascii="仿宋_GB2312" w:hAnsi="仿宋" w:eastAsia="仿宋_GB2312"/>
                <w:sz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wBefore w:w="0" w:type="dxa"/>
          <w:wAfter w:w="0" w:type="dxa"/>
          <w:trHeight w:val="352" w:hRule="atLeast"/>
        </w:trPr>
        <w:tc>
          <w:tcPr>
            <w:tcW w:w="801" w:type="dxa"/>
            <w:tcBorders>
              <w:left w:val="single" w:color="auto" w:sz="4" w:space="0"/>
            </w:tcBorders>
            <w:noWrap w:val="0"/>
            <w:vAlign w:val="center"/>
          </w:tcPr>
          <w:p>
            <w:pPr>
              <w:widowControl w:val="0"/>
              <w:adjustRightInd w:val="0"/>
              <w:spacing w:line="560" w:lineRule="exact"/>
              <w:jc w:val="both"/>
              <w:rPr>
                <w:rFonts w:hint="eastAsia" w:ascii="仿宋_GB2312" w:hAnsi="楷体" w:eastAsia="仿宋_GB2312"/>
                <w:b/>
                <w:sz w:val="24"/>
                <w:szCs w:val="24"/>
              </w:rPr>
            </w:pPr>
            <w:r>
              <w:rPr>
                <w:rFonts w:hint="eastAsia" w:ascii="仿宋_GB2312" w:hAnsi="楷体" w:eastAsia="仿宋_GB2312"/>
                <w:b/>
                <w:sz w:val="24"/>
                <w:szCs w:val="24"/>
              </w:rPr>
              <w:t>2.</w:t>
            </w:r>
            <w:r>
              <w:rPr>
                <w:rFonts w:hint="eastAsia" w:ascii="仿宋_GB2312" w:hAnsi="楷体" w:eastAsia="仿宋_GB2312"/>
                <w:sz w:val="24"/>
                <w:szCs w:val="24"/>
              </w:rPr>
              <w:t>8.3</w:t>
            </w:r>
          </w:p>
        </w:tc>
        <w:tc>
          <w:tcPr>
            <w:tcW w:w="8299" w:type="dxa"/>
            <w:noWrap w:val="0"/>
            <w:vAlign w:val="center"/>
          </w:tcPr>
          <w:p>
            <w:pPr>
              <w:widowControl w:val="0"/>
              <w:adjustRightInd w:val="0"/>
              <w:spacing w:line="360" w:lineRule="auto"/>
              <w:jc w:val="both"/>
              <w:rPr>
                <w:rFonts w:hint="eastAsia" w:ascii="仿宋_GB2312" w:hAnsi="楷体" w:eastAsia="仿宋_GB2312"/>
                <w:b/>
                <w:sz w:val="24"/>
                <w:szCs w:val="24"/>
              </w:rPr>
            </w:pPr>
            <w:r>
              <w:rPr>
                <w:rFonts w:hint="eastAsia" w:ascii="仿宋_GB2312" w:hAnsi="楷体" w:eastAsia="仿宋_GB2312"/>
                <w:b/>
                <w:sz w:val="24"/>
                <w:szCs w:val="24"/>
              </w:rPr>
              <w:t>免费质保期:三年。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wBefore w:w="0" w:type="dxa"/>
          <w:wAfter w:w="0" w:type="dxa"/>
          <w:trHeight w:val="65" w:hRule="atLeast"/>
        </w:trPr>
        <w:tc>
          <w:tcPr>
            <w:tcW w:w="801" w:type="dxa"/>
            <w:tcBorders>
              <w:left w:val="single" w:color="auto" w:sz="4" w:space="0"/>
            </w:tcBorders>
            <w:noWrap w:val="0"/>
            <w:vAlign w:val="center"/>
          </w:tcPr>
          <w:p>
            <w:pPr>
              <w:widowControl w:val="0"/>
              <w:adjustRightInd w:val="0"/>
              <w:spacing w:line="560" w:lineRule="exact"/>
              <w:jc w:val="both"/>
              <w:rPr>
                <w:rFonts w:hint="eastAsia" w:ascii="仿宋_GB2312" w:hAnsi="楷体" w:eastAsia="仿宋_GB2312"/>
                <w:sz w:val="24"/>
                <w:szCs w:val="24"/>
              </w:rPr>
            </w:pPr>
            <w:r>
              <w:rPr>
                <w:rFonts w:hint="eastAsia" w:ascii="仿宋_GB2312" w:hAnsi="楷体" w:eastAsia="仿宋_GB2312"/>
                <w:b/>
                <w:sz w:val="24"/>
                <w:szCs w:val="24"/>
              </w:rPr>
              <w:t>2.9</w:t>
            </w:r>
          </w:p>
        </w:tc>
        <w:tc>
          <w:tcPr>
            <w:tcW w:w="8299" w:type="dxa"/>
            <w:noWrap w:val="0"/>
            <w:vAlign w:val="center"/>
          </w:tcPr>
          <w:p>
            <w:pPr>
              <w:widowControl w:val="0"/>
              <w:adjustRightInd w:val="0"/>
              <w:spacing w:line="560" w:lineRule="exact"/>
              <w:jc w:val="both"/>
              <w:outlineLvl w:val="0"/>
              <w:rPr>
                <w:rFonts w:hint="eastAsia" w:ascii="仿宋_GB2312" w:hAnsi="楷体" w:eastAsia="仿宋_GB2312"/>
                <w:sz w:val="24"/>
                <w:szCs w:val="24"/>
                <w:u w:val="single"/>
              </w:rPr>
            </w:pPr>
            <w:r>
              <w:rPr>
                <w:rFonts w:hint="eastAsia" w:ascii="仿宋_GB2312" w:hAnsi="楷体" w:eastAsia="仿宋_GB2312"/>
                <w:b/>
                <w:sz w:val="24"/>
                <w:szCs w:val="24"/>
              </w:rPr>
              <w:t>货物的风险负担：</w:t>
            </w:r>
            <w:r>
              <w:rPr>
                <w:rFonts w:hint="eastAsia" w:ascii="仿宋_GB2312" w:hAnsi="楷体" w:eastAsia="仿宋_GB2312"/>
                <w:sz w:val="24"/>
                <w:szCs w:val="24"/>
              </w:rPr>
              <w:t>货物或者在途货物或者交付给第一承运人后的货物毁损、灭失的风险负担，全部由乙方承担。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wBefore w:w="0" w:type="dxa"/>
          <w:wAfter w:w="0" w:type="dxa"/>
          <w:trHeight w:val="65" w:hRule="atLeast"/>
        </w:trPr>
        <w:tc>
          <w:tcPr>
            <w:tcW w:w="801" w:type="dxa"/>
            <w:tcBorders>
              <w:left w:val="single" w:color="auto" w:sz="4" w:space="0"/>
            </w:tcBorders>
            <w:noWrap w:val="0"/>
            <w:vAlign w:val="center"/>
          </w:tcPr>
          <w:p>
            <w:pPr>
              <w:widowControl w:val="0"/>
              <w:adjustRightInd w:val="0"/>
              <w:spacing w:line="560" w:lineRule="exact"/>
              <w:jc w:val="both"/>
              <w:rPr>
                <w:rFonts w:hint="eastAsia" w:ascii="仿宋_GB2312" w:hAnsi="楷体" w:eastAsia="仿宋_GB2312"/>
                <w:sz w:val="24"/>
                <w:szCs w:val="24"/>
              </w:rPr>
            </w:pPr>
            <w:r>
              <w:rPr>
                <w:rFonts w:hint="eastAsia" w:ascii="仿宋_GB2312" w:hAnsi="楷体" w:eastAsia="仿宋_GB2312"/>
                <w:sz w:val="24"/>
                <w:szCs w:val="24"/>
              </w:rPr>
              <w:t>2.13.3</w:t>
            </w:r>
          </w:p>
        </w:tc>
        <w:tc>
          <w:tcPr>
            <w:tcW w:w="8299" w:type="dxa"/>
            <w:noWrap w:val="0"/>
            <w:vAlign w:val="center"/>
          </w:tcPr>
          <w:p>
            <w:pPr>
              <w:widowControl w:val="0"/>
              <w:adjustRightInd w:val="0"/>
              <w:spacing w:line="560" w:lineRule="exact"/>
              <w:jc w:val="both"/>
              <w:rPr>
                <w:rFonts w:hint="eastAsia" w:ascii="仿宋_GB2312" w:hAnsi="楷体" w:eastAsia="仿宋_GB2312"/>
                <w:sz w:val="24"/>
                <w:szCs w:val="24"/>
              </w:rPr>
            </w:pPr>
            <w:r>
              <w:rPr>
                <w:rFonts w:hint="eastAsia" w:ascii="仿宋_GB2312" w:hAnsi="楷体" w:eastAsia="仿宋_GB2312"/>
                <w:sz w:val="24"/>
                <w:szCs w:val="24"/>
              </w:rPr>
              <w:t xml:space="preserve">因不可抗力致使合同有变更必要的，双方当事人应在 </w:t>
            </w:r>
            <w:r>
              <w:rPr>
                <w:rFonts w:hint="eastAsia" w:ascii="仿宋_GB2312" w:hAnsi="楷体" w:eastAsia="仿宋_GB2312"/>
                <w:sz w:val="24"/>
                <w:szCs w:val="24"/>
                <w:u w:val="single"/>
              </w:rPr>
              <w:t xml:space="preserve">  15日内</w:t>
            </w:r>
            <w:r>
              <w:rPr>
                <w:rFonts w:hint="eastAsia" w:ascii="仿宋_GB2312" w:hAnsi="楷体" w:eastAsia="仿宋_GB2312"/>
                <w:sz w:val="24"/>
                <w:szCs w:val="24"/>
              </w:rPr>
              <w:t>以书面形式变更合同；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wBefore w:w="0" w:type="dxa"/>
          <w:wAfter w:w="0" w:type="dxa"/>
          <w:trHeight w:val="352" w:hRule="atLeast"/>
        </w:trPr>
        <w:tc>
          <w:tcPr>
            <w:tcW w:w="801" w:type="dxa"/>
            <w:tcBorders>
              <w:left w:val="single" w:color="auto" w:sz="4" w:space="0"/>
            </w:tcBorders>
            <w:noWrap w:val="0"/>
            <w:vAlign w:val="center"/>
          </w:tcPr>
          <w:p>
            <w:pPr>
              <w:widowControl w:val="0"/>
              <w:adjustRightInd w:val="0"/>
              <w:spacing w:line="560" w:lineRule="exact"/>
              <w:jc w:val="both"/>
              <w:rPr>
                <w:rFonts w:hint="eastAsia" w:ascii="仿宋_GB2312" w:hAnsi="楷体" w:eastAsia="仿宋_GB2312"/>
                <w:sz w:val="24"/>
                <w:szCs w:val="24"/>
              </w:rPr>
            </w:pPr>
            <w:r>
              <w:rPr>
                <w:rFonts w:hint="eastAsia" w:ascii="仿宋_GB2312" w:hAnsi="楷体" w:eastAsia="仿宋_GB2312"/>
                <w:sz w:val="24"/>
                <w:szCs w:val="24"/>
              </w:rPr>
              <w:t>2.13.4</w:t>
            </w:r>
          </w:p>
        </w:tc>
        <w:tc>
          <w:tcPr>
            <w:tcW w:w="8299" w:type="dxa"/>
            <w:noWrap w:val="0"/>
            <w:vAlign w:val="center"/>
          </w:tcPr>
          <w:p>
            <w:pPr>
              <w:widowControl w:val="0"/>
              <w:adjustRightInd w:val="0"/>
              <w:spacing w:line="560" w:lineRule="exact"/>
              <w:jc w:val="both"/>
              <w:rPr>
                <w:rFonts w:hint="eastAsia" w:ascii="仿宋_GB2312" w:hAnsi="楷体" w:eastAsia="仿宋_GB2312"/>
                <w:sz w:val="24"/>
                <w:szCs w:val="24"/>
                <w:u w:val="single"/>
              </w:rPr>
            </w:pPr>
            <w:r>
              <w:rPr>
                <w:rFonts w:hint="eastAsia" w:ascii="仿宋_GB2312" w:hAnsi="楷体" w:eastAsia="仿宋_GB2312"/>
                <w:sz w:val="24"/>
                <w:szCs w:val="24"/>
              </w:rPr>
              <w:t>受不可抗力影响的一方在不可抗力发生后，应在</w:t>
            </w:r>
            <w:r>
              <w:rPr>
                <w:rFonts w:hint="eastAsia" w:ascii="仿宋_GB2312" w:hAnsi="楷体" w:eastAsia="仿宋_GB2312"/>
                <w:b/>
                <w:i/>
                <w:sz w:val="24"/>
                <w:szCs w:val="24"/>
                <w:u w:val="single"/>
              </w:rPr>
              <w:t xml:space="preserve"> </w:t>
            </w:r>
            <w:r>
              <w:rPr>
                <w:rFonts w:hint="eastAsia" w:ascii="仿宋_GB2312" w:hAnsi="楷体" w:eastAsia="仿宋_GB2312"/>
                <w:sz w:val="24"/>
                <w:szCs w:val="24"/>
                <w:u w:val="single"/>
              </w:rPr>
              <w:t xml:space="preserve"> 15日内</w:t>
            </w:r>
            <w:r>
              <w:rPr>
                <w:rFonts w:hint="eastAsia" w:ascii="仿宋_GB2312" w:hAnsi="楷体" w:eastAsia="仿宋_GB2312"/>
                <w:sz w:val="24"/>
                <w:szCs w:val="24"/>
              </w:rPr>
              <w:t>以书面形式通知对方当事人，并在</w:t>
            </w:r>
            <w:r>
              <w:rPr>
                <w:rFonts w:hint="eastAsia" w:ascii="仿宋_GB2312" w:hAnsi="楷体" w:eastAsia="仿宋_GB2312"/>
                <w:b/>
                <w:i/>
                <w:sz w:val="24"/>
                <w:szCs w:val="24"/>
                <w:u w:val="single"/>
              </w:rPr>
              <w:t xml:space="preserve"> </w:t>
            </w:r>
            <w:r>
              <w:rPr>
                <w:rFonts w:hint="eastAsia" w:ascii="仿宋_GB2312" w:hAnsi="楷体" w:eastAsia="仿宋_GB2312"/>
                <w:sz w:val="24"/>
                <w:szCs w:val="24"/>
                <w:u w:val="single"/>
              </w:rPr>
              <w:t xml:space="preserve"> 3日内</w:t>
            </w:r>
            <w:r>
              <w:rPr>
                <w:rFonts w:hint="eastAsia" w:ascii="仿宋_GB2312" w:hAnsi="楷体" w:eastAsia="仿宋_GB2312"/>
                <w:sz w:val="24"/>
                <w:szCs w:val="24"/>
              </w:rPr>
              <w:t>，将有关部门出具的证明文件送达对方当事人。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wBefore w:w="0" w:type="dxa"/>
          <w:wAfter w:w="0" w:type="dxa"/>
          <w:trHeight w:val="65" w:hRule="atLeast"/>
        </w:trPr>
        <w:tc>
          <w:tcPr>
            <w:tcW w:w="801" w:type="dxa"/>
            <w:tcBorders>
              <w:left w:val="single" w:color="auto" w:sz="4" w:space="0"/>
            </w:tcBorders>
            <w:noWrap w:val="0"/>
            <w:vAlign w:val="center"/>
          </w:tcPr>
          <w:p>
            <w:pPr>
              <w:widowControl w:val="0"/>
              <w:adjustRightInd w:val="0"/>
              <w:spacing w:line="560" w:lineRule="exact"/>
              <w:jc w:val="both"/>
              <w:rPr>
                <w:rFonts w:hint="eastAsia" w:ascii="仿宋_GB2312" w:hAnsi="楷体" w:eastAsia="仿宋_GB2312"/>
                <w:sz w:val="24"/>
                <w:szCs w:val="24"/>
              </w:rPr>
            </w:pPr>
            <w:r>
              <w:rPr>
                <w:rFonts w:hint="eastAsia" w:ascii="仿宋_GB2312" w:hAnsi="楷体" w:eastAsia="仿宋_GB2312"/>
                <w:sz w:val="24"/>
                <w:szCs w:val="24"/>
              </w:rPr>
              <w:t>2.17.1</w:t>
            </w:r>
          </w:p>
        </w:tc>
        <w:tc>
          <w:tcPr>
            <w:tcW w:w="8299" w:type="dxa"/>
            <w:noWrap w:val="0"/>
            <w:vAlign w:val="center"/>
          </w:tcPr>
          <w:p>
            <w:pPr>
              <w:widowControl w:val="0"/>
              <w:adjustRightInd w:val="0"/>
              <w:spacing w:line="560" w:lineRule="exact"/>
              <w:jc w:val="both"/>
              <w:rPr>
                <w:rFonts w:hint="eastAsia" w:ascii="仿宋_GB2312" w:hAnsi="楷体" w:eastAsia="仿宋_GB2312"/>
                <w:sz w:val="24"/>
                <w:szCs w:val="24"/>
              </w:rPr>
            </w:pPr>
            <w:r>
              <w:rPr>
                <w:rFonts w:hint="eastAsia" w:ascii="仿宋_GB2312" w:hAnsi="楷体" w:eastAsia="仿宋_GB2312"/>
                <w:sz w:val="24"/>
                <w:szCs w:val="24"/>
              </w:rPr>
              <w:t>货物交付前，乙方应对货物的质量、数量等方面进行详细、全面的检验，并向甲方出具证明货物符合合同约定的文件；货物交付时，乙方</w:t>
            </w:r>
            <w:r>
              <w:rPr>
                <w:rFonts w:hint="eastAsia" w:ascii="仿宋_GB2312" w:hAnsi="楷体" w:eastAsia="仿宋_GB2312"/>
                <w:sz w:val="24"/>
                <w:szCs w:val="24"/>
                <w:u w:val="single"/>
              </w:rPr>
              <w:t>15日内</w:t>
            </w:r>
            <w:r>
              <w:rPr>
                <w:rFonts w:hint="eastAsia" w:ascii="仿宋_GB2312" w:hAnsi="楷体" w:eastAsia="仿宋_GB2312"/>
                <w:sz w:val="24"/>
                <w:szCs w:val="24"/>
              </w:rPr>
              <w:t>组织验收，并可依法邀请相关方参加，验收应出具验收书。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wBefore w:w="0" w:type="dxa"/>
          <w:wAfter w:w="0" w:type="dxa"/>
          <w:trHeight w:val="65" w:hRule="atLeast"/>
        </w:trPr>
        <w:tc>
          <w:tcPr>
            <w:tcW w:w="801" w:type="dxa"/>
            <w:tcBorders>
              <w:left w:val="single" w:color="auto" w:sz="4" w:space="0"/>
            </w:tcBorders>
            <w:noWrap w:val="0"/>
            <w:vAlign w:val="center"/>
          </w:tcPr>
          <w:p>
            <w:pPr>
              <w:widowControl w:val="0"/>
              <w:adjustRightInd w:val="0"/>
              <w:spacing w:line="560" w:lineRule="exact"/>
              <w:jc w:val="both"/>
              <w:rPr>
                <w:rFonts w:hint="eastAsia" w:ascii="仿宋_GB2312" w:hAnsi="楷体" w:eastAsia="仿宋_GB2312"/>
                <w:sz w:val="24"/>
                <w:szCs w:val="24"/>
              </w:rPr>
            </w:pPr>
            <w:r>
              <w:rPr>
                <w:rFonts w:hint="eastAsia" w:ascii="仿宋_GB2312" w:hAnsi="楷体" w:eastAsia="仿宋_GB2312"/>
                <w:sz w:val="24"/>
                <w:szCs w:val="24"/>
              </w:rPr>
              <w:t>2.17.3</w:t>
            </w:r>
          </w:p>
        </w:tc>
        <w:tc>
          <w:tcPr>
            <w:tcW w:w="8299" w:type="dxa"/>
            <w:noWrap w:val="0"/>
            <w:vAlign w:val="center"/>
          </w:tcPr>
          <w:p>
            <w:pPr>
              <w:widowControl w:val="0"/>
              <w:tabs>
                <w:tab w:val="left" w:pos="360"/>
                <w:tab w:val="left" w:pos="540"/>
                <w:tab w:val="left" w:pos="1080"/>
              </w:tabs>
              <w:adjustRightInd w:val="0"/>
              <w:spacing w:line="560" w:lineRule="exact"/>
              <w:jc w:val="both"/>
              <w:rPr>
                <w:rFonts w:hint="eastAsia" w:ascii="仿宋_GB2312" w:hAnsi="楷体" w:eastAsia="仿宋_GB2312"/>
                <w:sz w:val="24"/>
                <w:szCs w:val="24"/>
              </w:rPr>
            </w:pPr>
            <w:r>
              <w:rPr>
                <w:rFonts w:hint="eastAsia" w:ascii="仿宋_GB2312" w:hAnsi="楷体" w:eastAsia="仿宋_GB2312"/>
                <w:sz w:val="24"/>
                <w:szCs w:val="24"/>
              </w:rPr>
              <w:t>检验和验收标准、程序等具体内容以及前述验收书的效力详见</w:t>
            </w:r>
            <w:r>
              <w:rPr>
                <w:rFonts w:hint="eastAsia" w:ascii="仿宋_GB2312" w:hAnsi="楷体" w:eastAsia="仿宋_GB2312"/>
                <w:sz w:val="24"/>
                <w:szCs w:val="24"/>
                <w:u w:val="single"/>
              </w:rPr>
              <w:t xml:space="preserve">采购需求 </w:t>
            </w:r>
            <w:r>
              <w:rPr>
                <w:rFonts w:hint="eastAsia" w:ascii="仿宋_GB2312" w:hAnsi="楷体" w:eastAsia="仿宋_GB2312"/>
                <w:i/>
                <w:sz w:val="24"/>
                <w:szCs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wBefore w:w="0" w:type="dxa"/>
          <w:wAfter w:w="0" w:type="dxa"/>
          <w:trHeight w:val="65" w:hRule="atLeast"/>
        </w:trPr>
        <w:tc>
          <w:tcPr>
            <w:tcW w:w="801" w:type="dxa"/>
            <w:tcBorders>
              <w:left w:val="single" w:color="auto" w:sz="4" w:space="0"/>
            </w:tcBorders>
            <w:noWrap w:val="0"/>
            <w:vAlign w:val="center"/>
          </w:tcPr>
          <w:p>
            <w:pPr>
              <w:widowControl w:val="0"/>
              <w:adjustRightInd w:val="0"/>
              <w:spacing w:line="560" w:lineRule="exact"/>
              <w:jc w:val="both"/>
              <w:rPr>
                <w:rFonts w:hint="eastAsia" w:ascii="仿宋_GB2312" w:hAnsi="楷体" w:eastAsia="仿宋_GB2312"/>
                <w:sz w:val="24"/>
                <w:szCs w:val="24"/>
              </w:rPr>
            </w:pPr>
            <w:r>
              <w:rPr>
                <w:rFonts w:hint="eastAsia" w:ascii="仿宋_GB2312" w:hAnsi="楷体" w:eastAsia="仿宋_GB2312"/>
                <w:sz w:val="24"/>
                <w:szCs w:val="24"/>
              </w:rPr>
              <w:t>2.21.1</w:t>
            </w:r>
          </w:p>
        </w:tc>
        <w:tc>
          <w:tcPr>
            <w:tcW w:w="8299" w:type="dxa"/>
            <w:noWrap w:val="0"/>
            <w:vAlign w:val="center"/>
          </w:tcPr>
          <w:p>
            <w:pPr>
              <w:widowControl w:val="0"/>
              <w:adjustRightInd w:val="0"/>
              <w:spacing w:line="560" w:lineRule="exact"/>
              <w:jc w:val="both"/>
              <w:rPr>
                <w:rFonts w:hint="eastAsia" w:ascii="仿宋_GB2312" w:hAnsi="楷体" w:eastAsia="仿宋_GB2312"/>
                <w:sz w:val="24"/>
                <w:szCs w:val="24"/>
              </w:rPr>
            </w:pPr>
            <w:r>
              <w:rPr>
                <w:rFonts w:hint="eastAsia" w:ascii="仿宋_GB2312" w:hAnsi="楷体" w:eastAsia="仿宋_GB2312"/>
                <w:sz w:val="24"/>
                <w:szCs w:val="24"/>
              </w:rPr>
              <w:t>采购文件要求乙方提交履约保证金的，乙方应3个工作日内按约定的方式，以支票、汇票、本票或者金融机构、担保机构出具的保函等非现金形式，提交不超过合同价10%的履约保证金；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wBefore w:w="0" w:type="dxa"/>
          <w:wAfter w:w="0" w:type="dxa"/>
          <w:trHeight w:val="65" w:hRule="atLeast"/>
        </w:trPr>
        <w:tc>
          <w:tcPr>
            <w:tcW w:w="801" w:type="dxa"/>
            <w:tcBorders>
              <w:top w:val="single" w:color="auto" w:sz="6" w:space="0"/>
              <w:left w:val="single" w:color="auto" w:sz="4" w:space="0"/>
              <w:bottom w:val="single" w:color="auto" w:sz="6" w:space="0"/>
              <w:right w:val="single" w:color="auto" w:sz="6" w:space="0"/>
            </w:tcBorders>
            <w:noWrap w:val="0"/>
            <w:vAlign w:val="center"/>
          </w:tcPr>
          <w:p>
            <w:pPr>
              <w:widowControl w:val="0"/>
              <w:adjustRightInd w:val="0"/>
              <w:spacing w:line="560" w:lineRule="exact"/>
              <w:jc w:val="both"/>
              <w:rPr>
                <w:rFonts w:hint="eastAsia" w:ascii="仿宋_GB2312" w:hAnsi="楷体" w:eastAsia="仿宋_GB2312"/>
                <w:sz w:val="24"/>
                <w:szCs w:val="24"/>
              </w:rPr>
            </w:pPr>
            <w:r>
              <w:rPr>
                <w:rFonts w:hint="eastAsia" w:ascii="仿宋_GB2312" w:hAnsi="楷体" w:eastAsia="仿宋_GB2312"/>
                <w:sz w:val="24"/>
                <w:szCs w:val="24"/>
              </w:rPr>
              <w:t>2.21.2</w:t>
            </w:r>
          </w:p>
        </w:tc>
        <w:tc>
          <w:tcPr>
            <w:tcW w:w="8299" w:type="dxa"/>
            <w:tcBorders>
              <w:top w:val="single" w:color="auto" w:sz="6" w:space="0"/>
              <w:left w:val="single" w:color="auto" w:sz="6" w:space="0"/>
              <w:bottom w:val="single" w:color="auto" w:sz="6" w:space="0"/>
              <w:right w:val="single" w:color="auto" w:sz="6" w:space="0"/>
            </w:tcBorders>
            <w:noWrap w:val="0"/>
            <w:vAlign w:val="center"/>
          </w:tcPr>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楷体" w:eastAsia="仿宋_GB2312"/>
                <w:sz w:val="24"/>
                <w:szCs w:val="24"/>
              </w:rPr>
              <w:t>履约保证金在货物质量保证期内不予退还或者应完全有效，前述约定期间届满或者货物质量保证期届满之日起</w:t>
            </w:r>
            <w:r>
              <w:rPr>
                <w:rFonts w:hint="eastAsia" w:ascii="仿宋_GB2312" w:hAnsi="楷体" w:eastAsia="仿宋_GB2312"/>
                <w:sz w:val="24"/>
                <w:szCs w:val="24"/>
                <w:u w:val="single"/>
              </w:rPr>
              <w:t xml:space="preserve"> 5 </w:t>
            </w:r>
            <w:r>
              <w:rPr>
                <w:rFonts w:hint="eastAsia" w:ascii="仿宋_GB2312" w:hAnsi="楷体" w:eastAsia="仿宋_GB2312"/>
                <w:sz w:val="24"/>
                <w:szCs w:val="24"/>
              </w:rPr>
              <w:t>个工作日内，甲方应将履约保证金退还乙方；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wBefore w:w="0" w:type="dxa"/>
          <w:wAfter w:w="0" w:type="dxa"/>
          <w:trHeight w:val="65" w:hRule="atLeast"/>
        </w:trPr>
        <w:tc>
          <w:tcPr>
            <w:tcW w:w="801" w:type="dxa"/>
            <w:tcBorders>
              <w:top w:val="single" w:color="auto" w:sz="6" w:space="0"/>
              <w:left w:val="single" w:color="auto" w:sz="4" w:space="0"/>
              <w:bottom w:val="single" w:color="auto" w:sz="6" w:space="0"/>
              <w:right w:val="single" w:color="auto" w:sz="6" w:space="0"/>
            </w:tcBorders>
            <w:noWrap w:val="0"/>
            <w:vAlign w:val="center"/>
          </w:tcPr>
          <w:p>
            <w:pPr>
              <w:widowControl w:val="0"/>
              <w:adjustRightInd w:val="0"/>
              <w:spacing w:line="560" w:lineRule="exact"/>
              <w:jc w:val="both"/>
              <w:rPr>
                <w:rFonts w:hint="eastAsia" w:ascii="仿宋_GB2312" w:hAnsi="楷体" w:eastAsia="仿宋_GB2312"/>
                <w:sz w:val="24"/>
                <w:szCs w:val="24"/>
              </w:rPr>
            </w:pPr>
            <w:r>
              <w:rPr>
                <w:rFonts w:hint="eastAsia" w:ascii="仿宋_GB2312" w:hAnsi="楷体" w:eastAsia="仿宋_GB2312"/>
                <w:b/>
                <w:sz w:val="24"/>
                <w:szCs w:val="24"/>
              </w:rPr>
              <w:t>2.22</w:t>
            </w:r>
          </w:p>
        </w:tc>
        <w:tc>
          <w:tcPr>
            <w:tcW w:w="8299" w:type="dxa"/>
            <w:tcBorders>
              <w:top w:val="single" w:color="auto" w:sz="6" w:space="0"/>
              <w:left w:val="single" w:color="auto" w:sz="6" w:space="0"/>
              <w:bottom w:val="single" w:color="auto" w:sz="6" w:space="0"/>
              <w:right w:val="single" w:color="auto" w:sz="6" w:space="0"/>
            </w:tcBorders>
            <w:noWrap w:val="0"/>
            <w:vAlign w:val="center"/>
          </w:tcPr>
          <w:p>
            <w:pPr>
              <w:widowControl w:val="0"/>
              <w:adjustRightInd w:val="0"/>
              <w:spacing w:line="560" w:lineRule="exact"/>
              <w:ind w:firstLine="480" w:firstLineChars="200"/>
              <w:jc w:val="both"/>
              <w:rPr>
                <w:rFonts w:hint="eastAsia" w:ascii="仿宋_GB2312" w:hAnsi="楷体" w:eastAsia="仿宋_GB2312"/>
                <w:sz w:val="24"/>
                <w:szCs w:val="24"/>
              </w:rPr>
            </w:pPr>
            <w:r>
              <w:rPr>
                <w:rFonts w:hint="eastAsia" w:ascii="仿宋_GB2312" w:hAnsi="仿宋_GB2312" w:eastAsia="仿宋_GB2312" w:cs="仿宋_GB2312"/>
                <w:sz w:val="24"/>
                <w:szCs w:val="24"/>
              </w:rPr>
              <w:t>本合同一式</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份，甲方执</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份，乙方执</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份。</w:t>
            </w:r>
            <w:r>
              <w:rPr>
                <w:rFonts w:hint="eastAsia" w:ascii="仿宋_GB2312" w:hAnsi="楷体" w:eastAsia="仿宋_GB2312"/>
                <w:sz w:val="24"/>
                <w:szCs w:val="24"/>
              </w:rPr>
              <w:t>，每份均具有同等法律效力。</w:t>
            </w:r>
          </w:p>
        </w:tc>
      </w:tr>
    </w:tbl>
    <w:p>
      <w:pPr>
        <w:autoSpaceDE w:val="0"/>
        <w:autoSpaceDN w:val="0"/>
        <w:adjustRightInd w:val="0"/>
        <w:spacing w:line="460" w:lineRule="exact"/>
        <w:ind w:firstLine="480" w:firstLineChars="200"/>
        <w:jc w:val="center"/>
        <w:outlineLvl w:val="0"/>
        <w:rPr>
          <w:rFonts w:hint="eastAsia" w:ascii="仿宋_GB2312" w:hAnsi="宋体" w:eastAsia="仿宋_GB2312"/>
          <w:sz w:val="24"/>
        </w:rPr>
      </w:pPr>
    </w:p>
    <w:p>
      <w:pPr>
        <w:spacing w:line="460" w:lineRule="exact"/>
        <w:ind w:firstLine="482" w:firstLineChars="200"/>
        <w:rPr>
          <w:rFonts w:hint="eastAsia" w:ascii="仿宋_GB2312" w:eastAsia="仿宋_GB2312"/>
          <w:b/>
          <w:sz w:val="24"/>
        </w:rPr>
      </w:pPr>
    </w:p>
    <w:bookmarkEnd w:id="39"/>
    <w:bookmarkEnd w:id="40"/>
    <w:bookmarkEnd w:id="41"/>
    <w:bookmarkEnd w:id="42"/>
    <w:p>
      <w:pPr>
        <w:spacing w:line="360" w:lineRule="auto"/>
        <w:jc w:val="center"/>
        <w:rPr>
          <w:rFonts w:hint="eastAsia" w:ascii="仿宋_GB2312" w:eastAsia="仿宋_GB2312"/>
          <w:b/>
          <w:sz w:val="36"/>
        </w:rPr>
      </w:pPr>
      <w:bookmarkStart w:id="583" w:name="_Toc81373000"/>
      <w:bookmarkStart w:id="584" w:name="_Toc80157774"/>
      <w:bookmarkStart w:id="585" w:name="_Toc81372786"/>
      <w:bookmarkStart w:id="586" w:name="_Toc81372963"/>
      <w:r>
        <w:rPr>
          <w:rFonts w:hint="eastAsia" w:ascii="仿宋_GB2312" w:eastAsia="仿宋_GB2312"/>
          <w:b/>
          <w:kern w:val="0"/>
          <w:sz w:val="36"/>
        </w:rPr>
        <w:t xml:space="preserve"> </w:t>
      </w:r>
      <w:bookmarkEnd w:id="583"/>
      <w:bookmarkEnd w:id="584"/>
      <w:bookmarkEnd w:id="585"/>
      <w:bookmarkEnd w:id="586"/>
      <w:bookmarkStart w:id="587" w:name="_Toc81372964"/>
      <w:bookmarkStart w:id="588" w:name="_Toc80157775"/>
      <w:bookmarkStart w:id="589" w:name="_Toc81372787"/>
      <w:bookmarkStart w:id="590" w:name="_Toc81373001"/>
      <w:r>
        <w:rPr>
          <w:rFonts w:hint="eastAsia" w:ascii="仿宋_GB2312" w:eastAsia="仿宋_GB2312"/>
          <w:b/>
          <w:kern w:val="0"/>
          <w:sz w:val="36"/>
        </w:rPr>
        <w:br w:type="page"/>
      </w:r>
      <w:r>
        <w:rPr>
          <w:rFonts w:hint="eastAsia" w:ascii="仿宋_GB2312" w:eastAsia="仿宋_GB2312"/>
          <w:b/>
          <w:sz w:val="36"/>
        </w:rPr>
        <w:t>第六部分 应提交的有关格式范例</w:t>
      </w:r>
    </w:p>
    <w:p>
      <w:pPr>
        <w:spacing w:line="360" w:lineRule="auto"/>
        <w:jc w:val="center"/>
        <w:rPr>
          <w:rFonts w:hint="eastAsia" w:ascii="仿宋_GB2312" w:eastAsia="仿宋_GB2312"/>
          <w:b/>
          <w:sz w:val="36"/>
        </w:rPr>
      </w:pPr>
    </w:p>
    <w:p>
      <w:pPr>
        <w:spacing w:line="360" w:lineRule="auto"/>
        <w:ind w:firstLine="472" w:firstLineChars="196"/>
        <w:rPr>
          <w:rFonts w:hint="eastAsia" w:ascii="仿宋_GB2312" w:hAnsi="宋体" w:eastAsia="仿宋_GB2312"/>
          <w:b/>
          <w:sz w:val="24"/>
        </w:rPr>
      </w:pPr>
      <w:r>
        <w:rPr>
          <w:rFonts w:hint="eastAsia" w:ascii="仿宋_GB2312" w:hAnsi="宋体" w:eastAsia="仿宋_GB2312"/>
          <w:b/>
          <w:sz w:val="24"/>
        </w:rPr>
        <w:t>一、投标人提交投标文件须知：</w:t>
      </w:r>
    </w:p>
    <w:p>
      <w:pPr>
        <w:spacing w:line="360" w:lineRule="auto"/>
        <w:ind w:left="2" w:firstLine="480" w:firstLineChars="200"/>
        <w:rPr>
          <w:rFonts w:hint="eastAsia" w:ascii="仿宋_GB2312" w:hAnsi="宋体" w:eastAsia="仿宋_GB2312"/>
          <w:sz w:val="24"/>
        </w:rPr>
      </w:pPr>
      <w:r>
        <w:rPr>
          <w:rFonts w:hint="eastAsia" w:ascii="仿宋_GB2312" w:hAnsi="宋体" w:eastAsia="仿宋_GB2312"/>
          <w:sz w:val="24"/>
        </w:rPr>
        <w:t>1. 投标人应严格按照以下顺序填写和提交下述规定的全部格式文件以及其他有关资料，混乱的编排导致投标文件被误读或评标委员会查找不到有效文件是投标人的风险。</w:t>
      </w:r>
    </w:p>
    <w:p>
      <w:pPr>
        <w:spacing w:line="360" w:lineRule="auto"/>
        <w:ind w:left="1166" w:leftChars="200" w:hanging="746" w:hangingChars="311"/>
        <w:rPr>
          <w:rFonts w:hint="eastAsia" w:ascii="仿宋_GB2312" w:hAnsi="宋体" w:eastAsia="仿宋_GB2312"/>
          <w:sz w:val="24"/>
        </w:rPr>
      </w:pPr>
      <w:r>
        <w:rPr>
          <w:rFonts w:hint="eastAsia" w:ascii="仿宋_GB2312" w:hAnsi="宋体" w:eastAsia="仿宋_GB2312"/>
          <w:sz w:val="24"/>
        </w:rPr>
        <w:t>2. 所附表格中要求回答的全部问题和信息都必须正面回答。</w:t>
      </w:r>
    </w:p>
    <w:p>
      <w:pPr>
        <w:spacing w:line="360" w:lineRule="auto"/>
        <w:ind w:left="2" w:leftChars="1" w:firstLine="360" w:firstLineChars="150"/>
        <w:rPr>
          <w:rFonts w:hint="eastAsia" w:ascii="仿宋_GB2312" w:hAnsi="宋体" w:eastAsia="仿宋_GB2312"/>
          <w:sz w:val="24"/>
        </w:rPr>
      </w:pPr>
      <w:r>
        <w:rPr>
          <w:rFonts w:hint="eastAsia" w:ascii="仿宋_GB2312" w:hAnsi="宋体" w:eastAsia="仿宋_GB2312"/>
          <w:sz w:val="24"/>
        </w:rPr>
        <w:t>3. 本声明书的签字人应保证全部声明和问题的回答是真实的和准确的。</w:t>
      </w:r>
    </w:p>
    <w:p>
      <w:pPr>
        <w:spacing w:line="360" w:lineRule="auto"/>
        <w:ind w:left="1" w:firstLine="420" w:firstLineChars="175"/>
        <w:rPr>
          <w:rFonts w:hint="eastAsia" w:ascii="仿宋_GB2312" w:hAnsi="宋体" w:eastAsia="仿宋_GB2312"/>
          <w:sz w:val="24"/>
        </w:rPr>
      </w:pPr>
      <w:r>
        <w:rPr>
          <w:rFonts w:hint="eastAsia" w:ascii="仿宋_GB2312" w:hAnsi="宋体" w:eastAsia="仿宋_GB2312"/>
          <w:sz w:val="24"/>
        </w:rPr>
        <w:t>4. 评标委员会将应用投标人提交的资料根据自己的判断和考虑决定投标人履行合同的合格性及能力。</w:t>
      </w:r>
    </w:p>
    <w:p>
      <w:pPr>
        <w:spacing w:line="360" w:lineRule="auto"/>
        <w:ind w:firstLine="480" w:firstLineChars="200"/>
        <w:rPr>
          <w:rFonts w:hint="eastAsia" w:ascii="仿宋_GB2312" w:hAnsi="宋体" w:eastAsia="仿宋_GB2312"/>
          <w:sz w:val="24"/>
        </w:rPr>
      </w:pPr>
      <w:r>
        <w:rPr>
          <w:rFonts w:hint="eastAsia" w:ascii="仿宋_GB2312" w:hAnsi="宋体" w:eastAsia="仿宋_GB2312"/>
          <w:sz w:val="24"/>
        </w:rPr>
        <w:t>5. 投标人提交的材料将在一定时间内被保密保存，但不退还。</w:t>
      </w:r>
    </w:p>
    <w:p>
      <w:pPr>
        <w:spacing w:line="360" w:lineRule="auto"/>
        <w:ind w:firstLine="480" w:firstLineChars="200"/>
        <w:outlineLvl w:val="0"/>
        <w:rPr>
          <w:rFonts w:hint="eastAsia" w:ascii="仿宋_GB2312" w:eastAsia="仿宋_GB2312"/>
          <w:b/>
          <w:sz w:val="24"/>
        </w:rPr>
      </w:pPr>
      <w:r>
        <w:rPr>
          <w:rFonts w:hint="eastAsia" w:ascii="仿宋_GB2312" w:hAnsi="宋体" w:eastAsia="仿宋_GB2312"/>
          <w:sz w:val="24"/>
        </w:rPr>
        <w:t>6. 全部文件应按投标人须知中规定的语言和份数提交。</w:t>
      </w:r>
      <w:r>
        <w:rPr>
          <w:rFonts w:hint="eastAsia" w:ascii="仿宋_GB2312" w:eastAsia="仿宋_GB2312"/>
          <w:sz w:val="24"/>
        </w:rPr>
        <w:t>投标文件组成漏项或未按规定的格式编制或投标文件正、副本份数不足，内容不全或字迹模糊辨认不清的情况，</w:t>
      </w:r>
      <w:r>
        <w:rPr>
          <w:rFonts w:hint="eastAsia" w:ascii="仿宋_GB2312" w:eastAsia="仿宋_GB2312"/>
          <w:b/>
          <w:sz w:val="24"/>
        </w:rPr>
        <w:t>将有可能被评标委员会认定为投标无效。</w:t>
      </w:r>
    </w:p>
    <w:p>
      <w:pPr>
        <w:spacing w:line="360" w:lineRule="auto"/>
        <w:ind w:firstLine="482" w:firstLineChars="200"/>
        <w:outlineLvl w:val="0"/>
        <w:rPr>
          <w:rFonts w:hint="eastAsia" w:ascii="仿宋_GB2312" w:eastAsia="仿宋_GB2312"/>
          <w:sz w:val="24"/>
          <w:lang w:val="zh-CN"/>
        </w:rPr>
      </w:pPr>
      <w:r>
        <w:rPr>
          <w:rFonts w:hint="eastAsia" w:ascii="仿宋_GB2312" w:eastAsia="仿宋_GB2312"/>
          <w:b/>
          <w:sz w:val="24"/>
          <w:lang w:val="zh-CN"/>
        </w:rPr>
        <w:t>二、投标文件编制格式及规范要求：</w:t>
      </w:r>
    </w:p>
    <w:p>
      <w:pPr>
        <w:spacing w:line="360" w:lineRule="auto"/>
        <w:outlineLvl w:val="0"/>
        <w:rPr>
          <w:rFonts w:hint="eastAsia" w:ascii="仿宋_GB2312" w:hAnsi="宋体" w:eastAsia="仿宋_GB2312"/>
          <w:b/>
          <w:kern w:val="0"/>
          <w:sz w:val="36"/>
        </w:rPr>
      </w:pPr>
      <w:r>
        <w:rPr>
          <w:rFonts w:hint="eastAsia" w:ascii="仿宋_GB2312" w:eastAsia="仿宋_GB2312"/>
          <w:sz w:val="24"/>
        </w:rPr>
        <w:t>投标人按照以下格式编制投标文件，并将资格文件、报价文件、商务技术文件分别装订成册。</w:t>
      </w:r>
    </w:p>
    <w:p>
      <w:pPr>
        <w:spacing w:line="360" w:lineRule="auto"/>
        <w:jc w:val="center"/>
        <w:outlineLvl w:val="0"/>
        <w:rPr>
          <w:rFonts w:hint="eastAsia" w:ascii="仿宋_GB2312" w:hAnsi="仿宋_GB2312" w:eastAsia="仿宋_GB2312" w:cs="仿宋_GB2312"/>
          <w:b/>
          <w:kern w:val="0"/>
          <w:sz w:val="36"/>
          <w:szCs w:val="36"/>
        </w:rPr>
      </w:pPr>
      <w:r>
        <w:rPr>
          <w:rFonts w:hint="eastAsia" w:ascii="仿宋_GB2312" w:hAnsi="仿宋_GB2312" w:eastAsia="仿宋_GB2312" w:cs="仿宋_GB2312"/>
          <w:sz w:val="36"/>
          <w:szCs w:val="36"/>
          <w:lang w:val="zh-CN"/>
        </w:rPr>
        <w:t>▲</w:t>
      </w:r>
      <w:r>
        <w:rPr>
          <w:rFonts w:hint="eastAsia" w:ascii="仿宋_GB2312" w:hAnsi="仿宋_GB2312" w:eastAsia="仿宋_GB2312" w:cs="仿宋_GB2312"/>
          <w:b/>
          <w:kern w:val="0"/>
          <w:sz w:val="36"/>
          <w:szCs w:val="36"/>
        </w:rPr>
        <w:t>资格文件部分</w:t>
      </w:r>
    </w:p>
    <w:p>
      <w:pPr>
        <w:spacing w:line="360" w:lineRule="auto"/>
        <w:jc w:val="center"/>
        <w:outlineLvl w:val="0"/>
        <w:rPr>
          <w:rFonts w:hint="eastAsia"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spacing w:line="360" w:lineRule="auto"/>
        <w:jc w:val="center"/>
        <w:outlineLvl w:val="0"/>
        <w:rPr>
          <w:rFonts w:hint="eastAsia" w:ascii="仿宋_GB2312" w:hAnsi="仿宋_GB2312" w:eastAsia="仿宋_GB2312" w:cs="仿宋_GB2312"/>
          <w:b/>
          <w:kern w:val="0"/>
          <w:sz w:val="36"/>
          <w:szCs w:val="36"/>
        </w:rPr>
      </w:pP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营业执照(或事业法人登记证或其他工商 等登记证明材料)复印件、税务登记证(或其它缴纳证明材料)复印件、社保登记证（或其它缴纳证明材料）复印件</w:t>
      </w:r>
      <w:r>
        <w:rPr>
          <w:rFonts w:hint="eastAsia" w:ascii="仿宋_GB2312" w:hAnsi="仿宋_GB2312" w:eastAsia="仿宋_GB2312" w:cs="仿宋_GB2312"/>
          <w:kern w:val="0"/>
          <w:sz w:val="24"/>
        </w:rPr>
        <w:t>………………………………………………………………………………………（页码）</w:t>
      </w: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z w:val="24"/>
        </w:rPr>
        <w:t>2018年度资产负债表等财务报表资料文件(新成立的公司，提供情况说明)</w:t>
      </w:r>
      <w:r>
        <w:rPr>
          <w:rFonts w:hint="eastAsia" w:ascii="仿宋_GB2312" w:hAnsi="仿宋_GB2312" w:eastAsia="仿宋_GB2312" w:cs="仿宋_GB2312"/>
          <w:kern w:val="0"/>
          <w:sz w:val="24"/>
        </w:rPr>
        <w:t>…页码）</w:t>
      </w:r>
    </w:p>
    <w:p>
      <w:pPr>
        <w:snapToGrid w:val="0"/>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（3）具有履行合同所必需的设备和专业技术能力的承诺函………………………（页码）</w:t>
      </w:r>
    </w:p>
    <w:p>
      <w:pPr>
        <w:snapToGrid w:val="0"/>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sz w:val="24"/>
        </w:rPr>
        <w:t>（4）参加政府采购活动前三年内，在经营活动中没有重大违法记录的声明</w:t>
      </w:r>
      <w:r>
        <w:rPr>
          <w:rFonts w:hint="eastAsia" w:ascii="仿宋_GB2312" w:hAnsi="仿宋_GB2312" w:eastAsia="仿宋_GB2312" w:cs="仿宋_GB2312"/>
          <w:kern w:val="0"/>
          <w:sz w:val="24"/>
        </w:rPr>
        <w:t xml:space="preserve"> …（页码）</w:t>
      </w:r>
    </w:p>
    <w:p>
      <w:pPr>
        <w:widowControl w:val="0"/>
        <w:adjustRightInd w:val="0"/>
        <w:snapToGrid w:val="0"/>
        <w:spacing w:line="360" w:lineRule="auto"/>
        <w:jc w:val="both"/>
        <w:rPr>
          <w:rFonts w:hint="eastAsia" w:ascii="仿宋_GB2312" w:hAnsi="仿宋" w:eastAsia="仿宋_GB2312" w:cs="仿宋_GB2312"/>
          <w:kern w:val="0"/>
          <w:sz w:val="24"/>
          <w:szCs w:val="24"/>
        </w:rPr>
      </w:pPr>
      <w:r>
        <w:rPr>
          <w:rFonts w:hint="eastAsia" w:ascii="仿宋_GB2312" w:hAnsi="仿宋" w:eastAsia="仿宋_GB2312" w:cs="仿宋_GB2312"/>
          <w:sz w:val="24"/>
          <w:szCs w:val="24"/>
        </w:rPr>
        <w:t>（5）具有良好商业信誉</w:t>
      </w:r>
      <w:r>
        <w:rPr>
          <w:rFonts w:hint="eastAsia" w:ascii="仿宋_GB2312" w:hAnsi="仿宋" w:eastAsia="仿宋_GB2312" w:cs="仿宋_GB2312"/>
          <w:sz w:val="24"/>
        </w:rPr>
        <w:t>特别声明</w:t>
      </w:r>
      <w:r>
        <w:rPr>
          <w:rFonts w:hint="eastAsia" w:ascii="仿宋_GB2312" w:hAnsi="仿宋" w:eastAsia="仿宋_GB2312" w:cs="仿宋_GB2312"/>
          <w:kern w:val="0"/>
          <w:sz w:val="24"/>
          <w:szCs w:val="24"/>
        </w:rPr>
        <w:t>………………………………………………（页码）</w:t>
      </w: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kern w:val="0"/>
          <w:sz w:val="24"/>
        </w:rPr>
        <w:t>(6</w:t>
      </w:r>
      <w:r>
        <w:rPr>
          <w:rFonts w:hint="eastAsia" w:ascii="仿宋_GB2312" w:hAnsi="仿宋_GB2312" w:eastAsia="仿宋_GB2312" w:cs="仿宋_GB2312"/>
          <w:sz w:val="24"/>
        </w:rPr>
        <w:t>)符合特定资格条件（如果项目要求）的有关证明材料（复印件）</w:t>
      </w:r>
      <w:r>
        <w:rPr>
          <w:rFonts w:hint="eastAsia" w:ascii="仿宋_GB2312" w:hAnsi="仿宋_GB2312" w:eastAsia="仿宋_GB2312" w:cs="仿宋_GB2312"/>
          <w:kern w:val="0"/>
          <w:sz w:val="24"/>
        </w:rPr>
        <w:t>……………（页码）</w:t>
      </w:r>
      <w:r>
        <w:rPr>
          <w:rFonts w:hint="eastAsia" w:ascii="仿宋_GB2312" w:hAnsi="仿宋_GB2312" w:eastAsia="仿宋_GB2312" w:cs="仿宋_GB2312"/>
          <w:sz w:val="24"/>
        </w:rPr>
        <w:t>；</w:t>
      </w:r>
    </w:p>
    <w:p>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sz w:val="24"/>
        </w:rPr>
        <w:t>附：法定代表人授权书（如法定代表人直接参加投标并对相应文件签字的，只需提供其身份证复印件正反面；</w:t>
      </w:r>
      <w:r>
        <w:rPr>
          <w:rFonts w:hint="eastAsia" w:ascii="仿宋_GB2312" w:hAnsi="仿宋" w:eastAsia="仿宋_GB2312"/>
          <w:sz w:val="24"/>
        </w:rPr>
        <w:t>如以联合体形式参加政府采购活动的，按招标文件有关格式范例提供联合体投标授权书）</w:t>
      </w:r>
      <w:r>
        <w:rPr>
          <w:rFonts w:hint="eastAsia" w:ascii="仿宋_GB2312" w:hAnsi="仿宋" w:eastAsia="仿宋_GB2312" w:cs="仿宋_GB2312"/>
          <w:kern w:val="0"/>
          <w:sz w:val="24"/>
        </w:rPr>
        <w:t>…………………………………………………………（页码）</w:t>
      </w:r>
    </w:p>
    <w:p>
      <w:pPr>
        <w:snapToGrid w:val="0"/>
        <w:spacing w:line="360" w:lineRule="auto"/>
        <w:rPr>
          <w:rFonts w:hint="eastAsia" w:ascii="仿宋_GB2312" w:hAnsi="仿宋_GB2312" w:eastAsia="仿宋_GB2312" w:cs="仿宋_GB2312"/>
          <w:sz w:val="24"/>
        </w:rPr>
      </w:pPr>
    </w:p>
    <w:p>
      <w:pPr>
        <w:spacing w:line="360" w:lineRule="auto"/>
        <w:jc w:val="center"/>
        <w:rPr>
          <w:rFonts w:hint="eastAsia" w:ascii="仿宋_GB2312" w:hAnsi="仿宋_GB2312" w:eastAsia="仿宋_GB2312" w:cs="仿宋_GB2312"/>
          <w:b/>
          <w:sz w:val="30"/>
          <w:szCs w:val="30"/>
        </w:rPr>
      </w:pPr>
      <w:r>
        <w:rPr>
          <w:rFonts w:hint="eastAsia" w:ascii="仿宋_GB2312" w:hAnsi="仿宋_GB2312" w:eastAsia="仿宋_GB2312" w:cs="仿宋_GB2312"/>
          <w:b/>
          <w:kern w:val="0"/>
          <w:sz w:val="32"/>
          <w:szCs w:val="32"/>
          <w:lang w:val="zh-CN"/>
        </w:rPr>
        <w:t>一、</w:t>
      </w:r>
      <w:r>
        <w:rPr>
          <w:rFonts w:hint="eastAsia" w:ascii="仿宋_GB2312" w:hAnsi="仿宋_GB2312" w:eastAsia="仿宋_GB2312" w:cs="仿宋_GB2312"/>
          <w:b/>
          <w:sz w:val="30"/>
          <w:szCs w:val="30"/>
        </w:rPr>
        <w:t>营业执照或事业法人登记证证明材料（复印件）、税务缴纳证明文件（复印件）、社保缴纳证明文件（复印件）</w:t>
      </w:r>
    </w:p>
    <w:p>
      <w:pPr>
        <w:spacing w:line="360" w:lineRule="auto"/>
        <w:jc w:val="center"/>
        <w:rPr>
          <w:rFonts w:hint="eastAsia" w:ascii="仿宋_GB2312" w:hAnsi="仿宋_GB2312" w:eastAsia="仿宋_GB2312" w:cs="仿宋_GB2312"/>
          <w:b/>
          <w:sz w:val="30"/>
          <w:szCs w:val="30"/>
        </w:rPr>
      </w:pPr>
    </w:p>
    <w:p>
      <w:pPr>
        <w:spacing w:line="360" w:lineRule="auto"/>
        <w:jc w:val="center"/>
        <w:rPr>
          <w:rFonts w:hint="eastAsia" w:ascii="仿宋_GB2312" w:hAnsi="仿宋_GB2312" w:eastAsia="仿宋_GB2312" w:cs="仿宋_GB2312"/>
          <w:b/>
          <w:sz w:val="30"/>
          <w:szCs w:val="30"/>
        </w:rPr>
      </w:pPr>
    </w:p>
    <w:p>
      <w:pPr>
        <w:spacing w:line="360" w:lineRule="auto"/>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二、、财务报表资料文件（复印件）</w:t>
      </w:r>
    </w:p>
    <w:p>
      <w:pPr>
        <w:spacing w:line="360" w:lineRule="auto"/>
        <w:rPr>
          <w:rFonts w:hint="eastAsia" w:ascii="仿宋_GB2312" w:hAnsi="仿宋_GB2312" w:eastAsia="仿宋_GB2312" w:cs="仿宋_GB2312"/>
          <w:b/>
          <w:sz w:val="30"/>
          <w:szCs w:val="30"/>
        </w:rPr>
      </w:pPr>
    </w:p>
    <w:p>
      <w:pPr>
        <w:snapToGrid w:val="0"/>
        <w:spacing w:line="360" w:lineRule="auto"/>
        <w:ind w:right="480"/>
        <w:jc w:val="center"/>
        <w:rPr>
          <w:rFonts w:hint="eastAsia" w:ascii="仿宋_GB2312" w:hAnsi="仿宋_GB2312" w:eastAsia="仿宋_GB2312" w:cs="仿宋_GB2312"/>
          <w:b/>
          <w:kern w:val="0"/>
          <w:sz w:val="32"/>
          <w:szCs w:val="32"/>
          <w:lang w:val="zh-CN"/>
        </w:rPr>
      </w:pPr>
    </w:p>
    <w:p>
      <w:pPr>
        <w:snapToGrid w:val="0"/>
        <w:spacing w:line="360" w:lineRule="auto"/>
        <w:ind w:right="480"/>
        <w:jc w:val="center"/>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三、具有履行合同所必需的设备和专业技术能力的承诺函</w:t>
      </w:r>
    </w:p>
    <w:p>
      <w:pPr>
        <w:spacing w:line="360" w:lineRule="auto"/>
        <w:jc w:val="center"/>
        <w:rPr>
          <w:rFonts w:hint="eastAsia" w:ascii="仿宋_GB2312" w:hAnsi="仿宋_GB2312" w:eastAsia="仿宋_GB2312" w:cs="仿宋_GB2312"/>
          <w:b/>
          <w:kern w:val="0"/>
          <w:sz w:val="32"/>
          <w:szCs w:val="32"/>
        </w:rPr>
      </w:pPr>
    </w:p>
    <w:p>
      <w:pPr>
        <w:spacing w:line="360" w:lineRule="auto"/>
        <w:jc w:val="center"/>
        <w:rPr>
          <w:rFonts w:hint="eastAsia" w:ascii="仿宋_GB2312" w:hAnsi="仿宋_GB2312" w:eastAsia="仿宋_GB2312" w:cs="仿宋_GB2312"/>
          <w:b/>
          <w:kern w:val="0"/>
          <w:sz w:val="32"/>
          <w:szCs w:val="32"/>
        </w:rPr>
      </w:pPr>
    </w:p>
    <w:p>
      <w:pPr>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rPr>
        <w:t>四、参加政府采购活动前三年内，在经营活动中没有重大违法记录的声明</w:t>
      </w:r>
    </w:p>
    <w:p>
      <w:pPr>
        <w:snapToGrid w:val="0"/>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sz w:val="24"/>
        </w:rPr>
        <w:t>XXX（单位名称）、杭州市教育技术中心</w:t>
      </w:r>
      <w:r>
        <w:rPr>
          <w:rFonts w:hint="eastAsia" w:ascii="仿宋_GB2312" w:hAnsi="仿宋_GB2312" w:eastAsia="仿宋_GB2312" w:cs="仿宋_GB2312"/>
          <w:kern w:val="0"/>
          <w:sz w:val="24"/>
          <w:lang w:val="zh-CN"/>
        </w:rPr>
        <w:t>：</w:t>
      </w:r>
    </w:p>
    <w:p>
      <w:pPr>
        <w:snapToGrid w:val="0"/>
        <w:spacing w:line="360" w:lineRule="auto"/>
        <w:ind w:firstLine="48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我公司</w:t>
      </w:r>
      <w:r>
        <w:rPr>
          <w:rFonts w:hint="eastAsia" w:ascii="仿宋_GB2312" w:hAnsi="仿宋_GB2312" w:eastAsia="仿宋_GB2312" w:cs="仿宋_GB2312"/>
          <w:sz w:val="24"/>
        </w:rPr>
        <w:t>声明截止投标时间近三年以来，在</w:t>
      </w:r>
      <w:r>
        <w:rPr>
          <w:rFonts w:hint="eastAsia" w:ascii="仿宋_GB2312" w:hAnsi="仿宋_GB2312" w:eastAsia="仿宋_GB2312" w:cs="仿宋_GB2312"/>
          <w:kern w:val="0"/>
          <w:sz w:val="24"/>
        </w:rPr>
        <w:t>政府采购领域中</w:t>
      </w:r>
      <w:r>
        <w:rPr>
          <w:rFonts w:hint="eastAsia" w:ascii="仿宋_GB2312" w:hAnsi="仿宋_GB2312" w:eastAsia="仿宋_GB2312" w:cs="仿宋_GB2312"/>
          <w:sz w:val="24"/>
        </w:rPr>
        <w:t>，在项目招标、投标和合同履约期间无任何不良行为记录和违法、违规行为</w:t>
      </w:r>
      <w:r>
        <w:rPr>
          <w:rFonts w:hint="eastAsia" w:ascii="仿宋_GB2312" w:hAnsi="仿宋_GB2312" w:eastAsia="仿宋_GB2312" w:cs="仿宋_GB2312"/>
          <w:kern w:val="0"/>
          <w:sz w:val="24"/>
          <w:lang w:val="zh-CN"/>
        </w:rPr>
        <w:t>。</w:t>
      </w:r>
    </w:p>
    <w:p>
      <w:pPr>
        <w:snapToGrid w:val="0"/>
        <w:spacing w:line="360" w:lineRule="auto"/>
        <w:ind w:firstLine="48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我公司自愿参加</w:t>
      </w:r>
      <w:r>
        <w:rPr>
          <w:rFonts w:hint="eastAsia" w:ascii="仿宋_GB2312" w:hAnsi="仿宋_GB2312" w:eastAsia="仿宋_GB2312" w:cs="仿宋_GB2312"/>
          <w:sz w:val="24"/>
        </w:rPr>
        <w:t>安防监控系统改造、监控设备项目</w:t>
      </w:r>
      <w:r>
        <w:rPr>
          <w:rFonts w:hint="eastAsia" w:ascii="仿宋_GB2312" w:hAnsi="仿宋_GB2312" w:eastAsia="仿宋_GB2312" w:cs="仿宋_GB2312"/>
          <w:kern w:val="0"/>
          <w:sz w:val="24"/>
          <w:lang w:val="zh-CN"/>
        </w:rPr>
        <w:t>【</w:t>
      </w:r>
      <w:r>
        <w:rPr>
          <w:rFonts w:hint="eastAsia" w:ascii="仿宋_GB2312" w:hAnsi="宋体" w:eastAsia="仿宋_GB2312"/>
          <w:sz w:val="24"/>
        </w:rPr>
        <w:t>招标编号：</w:t>
      </w:r>
      <w:r>
        <w:rPr>
          <w:rFonts w:hint="eastAsia" w:ascii="仿宋_GB2312" w:eastAsia="仿宋_GB2312"/>
          <w:kern w:val="0"/>
          <w:sz w:val="24"/>
          <w:lang w:val="zh-CN"/>
        </w:rPr>
        <w:t>HJZCD-2019-035</w:t>
      </w:r>
      <w:r>
        <w:rPr>
          <w:rFonts w:hint="eastAsia" w:ascii="仿宋_GB2312" w:hAnsi="仿宋_GB2312" w:eastAsia="仿宋_GB2312" w:cs="仿宋_GB2312"/>
          <w:sz w:val="24"/>
        </w:rPr>
        <w:t>】</w:t>
      </w:r>
      <w:r>
        <w:rPr>
          <w:rFonts w:hint="eastAsia" w:ascii="仿宋_GB2312" w:hAnsi="仿宋_GB2312" w:eastAsia="仿宋_GB2312" w:cs="仿宋_GB2312"/>
          <w:kern w:val="0"/>
          <w:sz w:val="24"/>
          <w:lang w:val="zh-CN"/>
        </w:rPr>
        <w:t>的投标，并保证投标文件中所列举的投标报价文件及相关资料和公司基本情况资料是真实的、合法的。</w:t>
      </w:r>
    </w:p>
    <w:p>
      <w:pPr>
        <w:snapToGrid w:val="0"/>
        <w:spacing w:line="360" w:lineRule="auto"/>
        <w:ind w:firstLine="48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我公司已详细阅读全部“招标文件”，包括修改文件（如果有）以及全部招标资料和相关附件，并已了解我公司在招投标过程中的权利和义务。</w:t>
      </w:r>
    </w:p>
    <w:p>
      <w:pPr>
        <w:snapToGrid w:val="0"/>
        <w:spacing w:line="360" w:lineRule="auto"/>
        <w:ind w:firstLine="480"/>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zh-CN"/>
        </w:rPr>
        <w:t>我公司理解并接受招标文件的各项规定和要求，同意此次招标文件中的各项内容，</w:t>
      </w:r>
      <w:r>
        <w:rPr>
          <w:rFonts w:hint="eastAsia" w:ascii="仿宋_GB2312" w:hAnsi="仿宋_GB2312" w:eastAsia="仿宋_GB2312" w:cs="仿宋_GB2312"/>
          <w:kern w:val="0"/>
          <w:sz w:val="24"/>
        </w:rPr>
        <w:t>并</w:t>
      </w:r>
      <w:r>
        <w:rPr>
          <w:rFonts w:hint="eastAsia" w:ascii="仿宋_GB2312" w:hAnsi="仿宋_GB2312" w:eastAsia="仿宋_GB2312" w:cs="仿宋_GB2312"/>
          <w:kern w:val="0"/>
          <w:sz w:val="24"/>
          <w:lang w:val="zh-CN"/>
        </w:rPr>
        <w:t>同意提供按照贵方可能要求的与投标有关的一切数据或资料等。</w:t>
      </w:r>
    </w:p>
    <w:p>
      <w:pPr>
        <w:snapToGrid w:val="0"/>
        <w:spacing w:line="360" w:lineRule="auto"/>
        <w:ind w:firstLine="48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本公司如中标，保证按照投标文件的承诺与贵方签订合同，保证履行合同条款并缴纳履约保证金。</w:t>
      </w:r>
    </w:p>
    <w:p>
      <w:pPr>
        <w:snapToGrid w:val="0"/>
        <w:spacing w:line="360" w:lineRule="auto"/>
        <w:ind w:firstLine="480"/>
        <w:rPr>
          <w:rFonts w:hint="eastAsia" w:ascii="仿宋_GB2312" w:hAnsi="仿宋_GB2312" w:eastAsia="仿宋_GB2312" w:cs="仿宋_GB2312"/>
          <w:kern w:val="0"/>
          <w:sz w:val="24"/>
        </w:rPr>
      </w:pPr>
    </w:p>
    <w:p>
      <w:pPr>
        <w:snapToGrid w:val="0"/>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投标人名称(公章)：</w:t>
      </w:r>
    </w:p>
    <w:p>
      <w:pPr>
        <w:snapToGrid w:val="0"/>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w:t>
      </w:r>
    </w:p>
    <w:p>
      <w:pPr>
        <w:snapToGrid w:val="0"/>
        <w:spacing w:line="360" w:lineRule="auto"/>
        <w:ind w:firstLine="5160" w:firstLineChars="215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日</w:t>
      </w:r>
    </w:p>
    <w:p>
      <w:pPr>
        <w:snapToGrid w:val="0"/>
        <w:spacing w:line="360" w:lineRule="auto"/>
        <w:ind w:firstLine="1606" w:firstLineChars="500"/>
        <w:rPr>
          <w:rFonts w:hint="eastAsia" w:ascii="仿宋_GB2312" w:hAnsi="仿宋" w:eastAsia="仿宋_GB2312" w:cs="仿宋_GB2312"/>
          <w:b/>
          <w:kern w:val="0"/>
          <w:sz w:val="32"/>
          <w:szCs w:val="32"/>
        </w:rPr>
      </w:pPr>
      <w:r>
        <w:rPr>
          <w:rFonts w:hint="eastAsia" w:ascii="仿宋_GB2312" w:hAnsi="仿宋" w:eastAsia="仿宋_GB2312" w:cs="仿宋_GB2312"/>
          <w:b/>
          <w:kern w:val="0"/>
          <w:sz w:val="32"/>
          <w:szCs w:val="32"/>
        </w:rPr>
        <w:t>五、具有良好商业信誉特别声明</w:t>
      </w:r>
    </w:p>
    <w:p>
      <w:pPr>
        <w:snapToGrid w:val="0"/>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sz w:val="24"/>
        </w:rPr>
        <w:t>XXX（单位名称）、杭州市教育技术中心</w:t>
      </w:r>
      <w:r>
        <w:rPr>
          <w:rFonts w:hint="eastAsia" w:ascii="仿宋_GB2312" w:hAnsi="仿宋_GB2312" w:eastAsia="仿宋_GB2312" w:cs="仿宋_GB2312"/>
          <w:kern w:val="0"/>
          <w:sz w:val="24"/>
          <w:lang w:val="zh-CN"/>
        </w:rPr>
        <w:t>：</w:t>
      </w:r>
    </w:p>
    <w:p>
      <w:pPr>
        <w:snapToGrid w:val="0"/>
        <w:spacing w:line="360" w:lineRule="auto"/>
        <w:ind w:firstLine="480"/>
        <w:rPr>
          <w:rFonts w:hint="eastAsia" w:ascii="仿宋_GB2312" w:hAnsi="仿宋" w:eastAsia="仿宋_GB2312" w:cs="仿宋_GB2312"/>
          <w:kern w:val="0"/>
          <w:sz w:val="24"/>
          <w:lang w:val="zh-CN"/>
        </w:rPr>
      </w:pPr>
      <w:r>
        <w:rPr>
          <w:rFonts w:hint="eastAsia" w:ascii="仿宋_GB2312" w:hAnsi="仿宋" w:eastAsia="仿宋_GB2312" w:cs="仿宋_GB2312"/>
          <w:sz w:val="24"/>
        </w:rPr>
        <w:t>截至投标截止时间，我方具有良好的商业信誉，不存在下列情形（包括但不限于）。否则，我方将承担在资格审查时不被通过的后果。</w:t>
      </w:r>
    </w:p>
    <w:p>
      <w:pPr>
        <w:pStyle w:val="254"/>
        <w:spacing w:before="0"/>
        <w:ind w:firstLine="495" w:firstLineChars="0"/>
        <w:rPr>
          <w:rFonts w:hint="eastAsia" w:ascii="仿宋_GB2312" w:eastAsia="仿宋_GB2312"/>
        </w:rPr>
      </w:pPr>
      <w:r>
        <w:rPr>
          <w:rFonts w:hint="eastAsia" w:ascii="仿宋_GB2312" w:eastAsia="仿宋_GB2312"/>
        </w:rPr>
        <w:t>1</w:t>
      </w:r>
      <w:r>
        <w:rPr>
          <w:rFonts w:hint="eastAsia" w:ascii="仿宋_GB2312" w:hAnsi="仿宋" w:eastAsia="仿宋_GB2312" w:cs="仿宋_GB2312"/>
          <w:b/>
          <w:szCs w:val="24"/>
        </w:rPr>
        <w:t>、</w:t>
      </w:r>
      <w:r>
        <w:rPr>
          <w:rFonts w:hint="eastAsia" w:ascii="仿宋_GB2312" w:eastAsia="仿宋_GB2312"/>
        </w:rPr>
        <w:t>按照招标文件规定的信用信息查询渠道及截止时间，经查询列入失信被执行人名单、重大税收违法案件当事人名单、政府采购严重违法失信行为记录名单；</w:t>
      </w:r>
    </w:p>
    <w:p>
      <w:pPr>
        <w:spacing w:line="360" w:lineRule="auto"/>
        <w:ind w:firstLine="480" w:firstLineChars="200"/>
        <w:rPr>
          <w:rFonts w:hint="eastAsia" w:ascii="仿宋_GB2312" w:eastAsia="仿宋_GB2312"/>
          <w:sz w:val="24"/>
        </w:rPr>
      </w:pPr>
      <w:r>
        <w:rPr>
          <w:rFonts w:hint="eastAsia" w:ascii="仿宋_GB2312" w:eastAsia="仿宋_GB2312"/>
          <w:sz w:val="24"/>
        </w:rPr>
        <w:t xml:space="preserve">2、截至投标截止时间，因违反《浙江省政府采购供应商注册及诚信管理暂行办法》而被列入‘黑名单’，在处罚有效期内。 </w:t>
      </w:r>
    </w:p>
    <w:p>
      <w:pPr>
        <w:spacing w:line="360" w:lineRule="auto"/>
        <w:jc w:val="center"/>
        <w:rPr>
          <w:rFonts w:hint="eastAsia" w:ascii="仿宋_GB2312" w:hAnsi="仿宋_GB2312" w:eastAsia="仿宋_GB2312" w:cs="仿宋_GB2312"/>
          <w:b/>
          <w:sz w:val="30"/>
          <w:szCs w:val="30"/>
        </w:rPr>
      </w:pPr>
    </w:p>
    <w:p>
      <w:pPr>
        <w:spacing w:line="360" w:lineRule="auto"/>
        <w:jc w:val="center"/>
        <w:rPr>
          <w:rFonts w:hint="eastAsia" w:ascii="仿宋_GB2312" w:hAnsi="仿宋_GB2312" w:eastAsia="仿宋_GB2312" w:cs="仿宋_GB2312"/>
          <w:b/>
          <w:sz w:val="30"/>
          <w:szCs w:val="30"/>
        </w:rPr>
      </w:pPr>
    </w:p>
    <w:p>
      <w:pPr>
        <w:spacing w:line="360" w:lineRule="auto"/>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六、特定资格条件要求的资质文件（复印件）</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（由投标人根据招标公告合格的投标人应具备的特定资格要求编制）、</w:t>
      </w:r>
    </w:p>
    <w:p>
      <w:pPr>
        <w:spacing w:line="360" w:lineRule="auto"/>
        <w:jc w:val="center"/>
        <w:rPr>
          <w:rFonts w:hint="eastAsia" w:ascii="仿宋_GB2312" w:hAnsi="仿宋" w:eastAsia="仿宋_GB2312" w:cs="仿宋_GB2312"/>
          <w:b/>
          <w:sz w:val="32"/>
          <w:szCs w:val="32"/>
        </w:rPr>
      </w:pPr>
      <w:r>
        <w:rPr>
          <w:rFonts w:hint="eastAsia" w:ascii="仿宋_GB2312" w:hAnsi="仿宋" w:eastAsia="仿宋_GB2312" w:cs="仿宋_GB2312"/>
          <w:b/>
          <w:sz w:val="32"/>
          <w:szCs w:val="32"/>
        </w:rPr>
        <w:t>附：法定代表人授权书（如法定代表人直接参加投标并对相应文件签字的，只需提供其身份证复印件正反面；如以联合体形式参加政府采购活动的，按招标文件有关格式范例提供联合体投标授权书）</w:t>
      </w:r>
    </w:p>
    <w:p>
      <w:pPr>
        <w:spacing w:line="360" w:lineRule="auto"/>
        <w:ind w:firstLine="643" w:firstLineChars="200"/>
        <w:rPr>
          <w:rFonts w:hint="eastAsia" w:ascii="仿宋_GB2312" w:hAnsi="仿宋_GB2312" w:eastAsia="仿宋_GB2312" w:cs="仿宋_GB2312"/>
          <w:b/>
          <w:bCs/>
          <w:sz w:val="32"/>
          <w:szCs w:val="32"/>
        </w:rPr>
      </w:pPr>
    </w:p>
    <w:p>
      <w:pPr>
        <w:spacing w:line="360" w:lineRule="auto"/>
        <w:jc w:val="center"/>
        <w:outlineLvl w:val="0"/>
        <w:rPr>
          <w:rFonts w:hint="eastAsia" w:ascii="仿宋_GB2312" w:hAnsi="宋体" w:eastAsia="仿宋_GB2312"/>
          <w:b/>
          <w:kern w:val="0"/>
          <w:sz w:val="36"/>
        </w:rPr>
      </w:pPr>
      <w:r>
        <w:rPr>
          <w:rFonts w:hint="eastAsia" w:ascii="仿宋_GB2312" w:eastAsia="仿宋_GB2312"/>
          <w:sz w:val="36"/>
          <w:lang w:val="zh-CN"/>
        </w:rPr>
        <w:br w:type="page"/>
      </w:r>
      <w:r>
        <w:rPr>
          <w:rFonts w:hint="eastAsia" w:ascii="仿宋_GB2312" w:eastAsia="仿宋_GB2312"/>
          <w:sz w:val="36"/>
          <w:lang w:val="zh-CN"/>
        </w:rPr>
        <w:t>▲</w:t>
      </w:r>
      <w:r>
        <w:rPr>
          <w:rFonts w:hint="eastAsia" w:ascii="仿宋_GB2312" w:hAnsi="宋体" w:eastAsia="仿宋_GB2312"/>
          <w:b/>
          <w:kern w:val="0"/>
          <w:sz w:val="36"/>
        </w:rPr>
        <w:t>报价文件部分</w:t>
      </w:r>
    </w:p>
    <w:p>
      <w:pPr>
        <w:spacing w:line="360" w:lineRule="auto"/>
        <w:jc w:val="center"/>
        <w:outlineLvl w:val="0"/>
        <w:rPr>
          <w:rFonts w:hint="eastAsia" w:ascii="仿宋_GB2312" w:hAnsi="宋体" w:eastAsia="仿宋_GB2312"/>
          <w:b/>
          <w:kern w:val="0"/>
          <w:sz w:val="32"/>
        </w:rPr>
      </w:pPr>
    </w:p>
    <w:p>
      <w:pPr>
        <w:spacing w:line="360" w:lineRule="auto"/>
        <w:jc w:val="center"/>
        <w:outlineLvl w:val="0"/>
        <w:rPr>
          <w:rFonts w:hint="eastAsia" w:ascii="仿宋_GB2312" w:hAnsi="宋体" w:eastAsia="仿宋_GB2312"/>
          <w:b/>
          <w:kern w:val="0"/>
          <w:sz w:val="32"/>
        </w:rPr>
      </w:pPr>
      <w:r>
        <w:rPr>
          <w:rFonts w:hint="eastAsia" w:ascii="仿宋_GB2312" w:hAnsi="宋体" w:eastAsia="仿宋_GB2312"/>
          <w:b/>
          <w:kern w:val="0"/>
          <w:sz w:val="32"/>
        </w:rPr>
        <w:t>目录</w:t>
      </w:r>
    </w:p>
    <w:p>
      <w:pPr>
        <w:spacing w:line="360" w:lineRule="auto"/>
        <w:outlineLvl w:val="0"/>
        <w:rPr>
          <w:rFonts w:hint="eastAsia" w:ascii="仿宋_GB2312" w:hAnsi="宋体" w:eastAsia="仿宋_GB2312"/>
          <w:kern w:val="0"/>
          <w:sz w:val="24"/>
        </w:rPr>
      </w:pPr>
      <w:r>
        <w:rPr>
          <w:rFonts w:hint="eastAsia" w:ascii="仿宋_GB2312" w:hAnsi="宋体" w:eastAsia="仿宋_GB2312"/>
          <w:kern w:val="0"/>
          <w:sz w:val="24"/>
        </w:rPr>
        <w:t>（1）投标响应函……………………………………………………（页码）</w:t>
      </w:r>
    </w:p>
    <w:p>
      <w:pPr>
        <w:spacing w:line="360" w:lineRule="auto"/>
        <w:outlineLvl w:val="0"/>
        <w:rPr>
          <w:rFonts w:hint="eastAsia" w:ascii="仿宋_GB2312" w:hAnsi="宋体" w:eastAsia="仿宋_GB2312"/>
          <w:kern w:val="0"/>
          <w:sz w:val="24"/>
        </w:rPr>
      </w:pPr>
      <w:r>
        <w:rPr>
          <w:rFonts w:hint="eastAsia" w:ascii="仿宋_GB2312" w:hAnsi="宋体" w:eastAsia="仿宋_GB2312"/>
          <w:kern w:val="0"/>
          <w:sz w:val="24"/>
        </w:rPr>
        <w:t>（2）投标（开标）一览表…………………………………………（页码）</w:t>
      </w:r>
    </w:p>
    <w:p>
      <w:pPr>
        <w:spacing w:line="360" w:lineRule="auto"/>
        <w:outlineLvl w:val="0"/>
        <w:rPr>
          <w:rFonts w:hint="eastAsia" w:ascii="仿宋_GB2312" w:hAnsi="宋体" w:eastAsia="仿宋_GB2312"/>
          <w:kern w:val="0"/>
          <w:sz w:val="24"/>
        </w:rPr>
      </w:pPr>
      <w:r>
        <w:rPr>
          <w:rFonts w:hint="eastAsia" w:ascii="仿宋_GB2312" w:hAnsi="宋体" w:eastAsia="仿宋_GB2312"/>
          <w:kern w:val="0"/>
          <w:sz w:val="24"/>
        </w:rPr>
        <w:t>（3）投标设备参数清单……………………………………………（页码）</w:t>
      </w:r>
    </w:p>
    <w:p>
      <w:pPr>
        <w:spacing w:line="360" w:lineRule="auto"/>
        <w:outlineLvl w:val="0"/>
        <w:rPr>
          <w:rFonts w:hint="eastAsia" w:ascii="仿宋_GB2312" w:hAnsi="宋体" w:eastAsia="仿宋_GB2312"/>
          <w:kern w:val="0"/>
          <w:sz w:val="24"/>
        </w:rPr>
      </w:pPr>
      <w:r>
        <w:rPr>
          <w:rFonts w:hint="eastAsia" w:ascii="仿宋_GB2312" w:hAnsi="仿宋_GB2312" w:eastAsia="仿宋_GB2312" w:cs="仿宋_GB2312"/>
          <w:sz w:val="24"/>
          <w:szCs w:val="24"/>
        </w:rPr>
        <w:t>（4）</w:t>
      </w:r>
      <w:r>
        <w:rPr>
          <w:rFonts w:hint="eastAsia" w:ascii="仿宋_GB2312" w:hAnsi="仿宋_GB2312" w:eastAsia="仿宋_GB2312" w:cs="仿宋_GB2312"/>
          <w:sz w:val="24"/>
        </w:rPr>
        <w:t>《中小企业声明函》、《中小企业资格确认意见书》、《残疾人福利性单位声明函》（如果有）</w:t>
      </w:r>
      <w:r>
        <w:rPr>
          <w:rFonts w:hint="eastAsia" w:ascii="仿宋_GB2312" w:hAnsi="宋体" w:eastAsia="仿宋_GB2312"/>
          <w:kern w:val="0"/>
          <w:sz w:val="24"/>
        </w:rPr>
        <w:t>………………………………………………（页码）</w:t>
      </w:r>
    </w:p>
    <w:p>
      <w:pPr>
        <w:spacing w:line="360" w:lineRule="auto"/>
        <w:jc w:val="center"/>
        <w:outlineLvl w:val="0"/>
        <w:rPr>
          <w:rFonts w:hint="eastAsia" w:ascii="仿宋_GB2312" w:eastAsia="仿宋_GB2312"/>
          <w:b/>
          <w:sz w:val="32"/>
        </w:rPr>
      </w:pPr>
      <w:r>
        <w:rPr>
          <w:rFonts w:hint="eastAsia" w:ascii="仿宋_GB2312" w:hAnsi="宋体" w:eastAsia="仿宋_GB2312"/>
          <w:b/>
          <w:kern w:val="0"/>
          <w:sz w:val="32"/>
        </w:rPr>
        <w:br w:type="page"/>
      </w:r>
      <w:r>
        <w:rPr>
          <w:rFonts w:hint="eastAsia" w:ascii="仿宋_GB2312" w:hAnsi="宋体" w:eastAsia="仿宋_GB2312"/>
          <w:b/>
          <w:kern w:val="0"/>
          <w:sz w:val="32"/>
        </w:rPr>
        <w:t>一、投标响应</w:t>
      </w:r>
      <w:r>
        <w:rPr>
          <w:rFonts w:hint="eastAsia" w:ascii="仿宋_GB2312" w:hAnsi="宋体" w:eastAsia="仿宋_GB2312"/>
          <w:b/>
          <w:sz w:val="32"/>
        </w:rPr>
        <w:t>函</w:t>
      </w: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XXX（单位名称）、杭州市教育技术中心：</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sz w:val="24"/>
        </w:rPr>
        <w:t>(投标人全称)授权</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sz w:val="24"/>
        </w:rPr>
        <w:t>(全权代表姓名)</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sz w:val="24"/>
        </w:rPr>
        <w:t>(职务、职称)为全权代表，参加贵方组织的安防监控系统改造、监控设备项目【招标编号：</w:t>
      </w:r>
      <w:r>
        <w:rPr>
          <w:rFonts w:hint="eastAsia" w:ascii="仿宋_GB2312" w:eastAsia="仿宋_GB2312"/>
          <w:kern w:val="0"/>
          <w:sz w:val="24"/>
          <w:lang w:val="zh-CN"/>
        </w:rPr>
        <w:t>HJZCD-2019-035</w:t>
      </w:r>
      <w:r>
        <w:rPr>
          <w:rFonts w:hint="eastAsia" w:ascii="仿宋_GB2312" w:hAnsi="仿宋_GB2312" w:eastAsia="仿宋_GB2312" w:cs="仿宋_GB2312"/>
          <w:sz w:val="24"/>
        </w:rPr>
        <w:t>】招标的有关活动，并对此项目进行投标。为此：</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1、我方同意在投标人</w:t>
      </w:r>
      <w:r>
        <w:rPr>
          <w:rFonts w:hint="eastAsia" w:ascii="仿宋_GB2312" w:hAnsi="仿宋_GB2312" w:eastAsia="仿宋_GB2312" w:cs="仿宋_GB2312"/>
          <w:kern w:val="44"/>
          <w:sz w:val="24"/>
        </w:rPr>
        <w:t>编制和提交采购响应文件须知</w:t>
      </w:r>
      <w:r>
        <w:rPr>
          <w:rFonts w:hint="eastAsia" w:ascii="仿宋_GB2312" w:hAnsi="仿宋_GB2312" w:eastAsia="仿宋_GB2312" w:cs="仿宋_GB2312"/>
          <w:sz w:val="24"/>
        </w:rPr>
        <w:t>规定的开标日期起遵守本投标文件中的承诺且在投标有效期满之前均具有约束力。</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2、我方承诺已经具备《中华人民共和国政府采购法》中规定的参加政府采购活动的供应商应当具备的条件：</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(1)具有独立承担民事责任的能力；</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(2)遵守国家法律、行政法规，具有良好的信誉和商业道德；</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(3)具有履行合同的能力和良好的履行合同记录；</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(4)良好的资金、财务状况；</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(5)产品及生产所需装备符合中国政府规定的相应技术标准和环保标准；</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(6)没有违反政府采购法规、政策的记录；</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(7)没有发生重大经济纠纷和走私犯罪记录。</w:t>
      </w:r>
    </w:p>
    <w:p>
      <w:pPr>
        <w:pStyle w:val="34"/>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3、提供</w:t>
      </w:r>
      <w:r>
        <w:rPr>
          <w:rFonts w:hint="eastAsia" w:ascii="仿宋_GB2312" w:hAnsi="仿宋_GB2312" w:eastAsia="仿宋_GB2312" w:cs="仿宋_GB2312"/>
          <w:kern w:val="44"/>
          <w:sz w:val="24"/>
        </w:rPr>
        <w:t>编制和提交采购响应文件须知</w:t>
      </w:r>
      <w:r>
        <w:rPr>
          <w:rFonts w:hint="eastAsia" w:ascii="仿宋_GB2312" w:hAnsi="仿宋_GB2312" w:eastAsia="仿宋_GB2312" w:cs="仿宋_GB2312"/>
          <w:sz w:val="24"/>
        </w:rPr>
        <w:t>规定的全部投标文件，包括</w:t>
      </w:r>
      <w:r>
        <w:rPr>
          <w:rFonts w:hint="eastAsia" w:ascii="仿宋_GB2312" w:hAnsi="仿宋_GB2312" w:eastAsia="仿宋_GB2312" w:cs="仿宋_GB2312"/>
          <w:b/>
          <w:sz w:val="24"/>
          <w:szCs w:val="24"/>
        </w:rPr>
        <w:t>资格文件正本1份；报价文件正本1份，副本</w:t>
      </w:r>
      <w:r>
        <w:rPr>
          <w:rFonts w:hint="eastAsia" w:ascii="仿宋_GB2312" w:hAnsi="仿宋_GB2312" w:eastAsia="仿宋_GB2312" w:cs="仿宋_GB2312"/>
          <w:kern w:val="0"/>
          <w:sz w:val="24"/>
          <w:u w:val="single"/>
          <w:lang w:val="zh-CN"/>
        </w:rPr>
        <w:t>5</w:t>
      </w:r>
      <w:r>
        <w:rPr>
          <w:rFonts w:hint="eastAsia" w:ascii="仿宋_GB2312" w:hAnsi="仿宋_GB2312" w:eastAsia="仿宋_GB2312" w:cs="仿宋_GB2312"/>
          <w:b/>
          <w:sz w:val="24"/>
          <w:szCs w:val="24"/>
        </w:rPr>
        <w:t>份；商务技术文件正本1份，副本</w:t>
      </w:r>
      <w:r>
        <w:rPr>
          <w:rFonts w:hint="eastAsia" w:ascii="仿宋_GB2312" w:hAnsi="仿宋_GB2312" w:eastAsia="仿宋_GB2312" w:cs="仿宋_GB2312"/>
          <w:kern w:val="0"/>
          <w:sz w:val="24"/>
          <w:u w:val="single"/>
          <w:lang w:val="zh-CN"/>
        </w:rPr>
        <w:t xml:space="preserve"> 5</w:t>
      </w:r>
      <w:r>
        <w:rPr>
          <w:rFonts w:hint="eastAsia" w:ascii="仿宋_GB2312" w:hAnsi="仿宋_GB2312" w:eastAsia="仿宋_GB2312" w:cs="仿宋_GB2312"/>
          <w:b/>
          <w:sz w:val="24"/>
          <w:szCs w:val="24"/>
        </w:rPr>
        <w:t>份</w:t>
      </w:r>
      <w:r>
        <w:rPr>
          <w:rFonts w:hint="eastAsia" w:ascii="仿宋_GB2312" w:hAnsi="仿宋_GB2312" w:eastAsia="仿宋_GB2312" w:cs="仿宋_GB2312"/>
          <w:kern w:val="44"/>
          <w:sz w:val="24"/>
        </w:rPr>
        <w:t>（见投标须知前附表所述）。</w:t>
      </w:r>
      <w:r>
        <w:rPr>
          <w:rFonts w:hint="eastAsia" w:ascii="仿宋_GB2312" w:hAnsi="仿宋_GB2312" w:eastAsia="仿宋_GB2312" w:cs="仿宋_GB2312"/>
          <w:sz w:val="24"/>
        </w:rPr>
        <w:t>具体内容为：</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(1)投标(开标)一览表及投标报价明细清单；</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(2)投标商务</w:t>
      </w:r>
      <w:r>
        <w:rPr>
          <w:rFonts w:hint="eastAsia" w:ascii="仿宋_GB2312" w:hAnsi="仿宋_GB2312" w:eastAsia="仿宋_GB2312" w:cs="仿宋_GB2312"/>
          <w:kern w:val="0"/>
          <w:sz w:val="24"/>
          <w:lang w:val="zh-CN"/>
        </w:rPr>
        <w:t>技术文件和</w:t>
      </w:r>
      <w:r>
        <w:rPr>
          <w:rFonts w:hint="eastAsia" w:ascii="仿宋_GB2312" w:hAnsi="仿宋_GB2312" w:eastAsia="仿宋_GB2312" w:cs="仿宋_GB2312"/>
          <w:sz w:val="24"/>
          <w:lang w:val="zh-CN"/>
        </w:rPr>
        <w:t>资格文件</w:t>
      </w:r>
      <w:r>
        <w:rPr>
          <w:rFonts w:hint="eastAsia" w:ascii="仿宋_GB2312" w:hAnsi="仿宋_GB2312" w:eastAsia="仿宋_GB2312" w:cs="仿宋_GB2312"/>
          <w:sz w:val="24"/>
        </w:rPr>
        <w:t>；</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w:t>
      </w:r>
      <w:r>
        <w:rPr>
          <w:rFonts w:hint="eastAsia" w:ascii="仿宋_GB2312" w:hAnsi="仿宋_GB2312" w:eastAsia="仿宋_GB2312" w:cs="仿宋_GB2312"/>
          <w:kern w:val="44"/>
          <w:sz w:val="24"/>
        </w:rPr>
        <w:t>编制和提交采购响应文件须知</w:t>
      </w:r>
      <w:r>
        <w:rPr>
          <w:rFonts w:hint="eastAsia" w:ascii="仿宋_GB2312" w:hAnsi="仿宋_GB2312" w:eastAsia="仿宋_GB2312" w:cs="仿宋_GB2312"/>
          <w:sz w:val="24"/>
        </w:rPr>
        <w:t>要求投标人提交的全部文件；</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(4)按招标文件要求提供和交付的货物和服务的投标报价详见投标(开标)一览表；</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(5)保证忠实地执行双方所签订的合同，并承担合同规定的责任和义务；</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(6)保证遵守招标文件中的其他有关规定。</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4、我方承诺投标有效期从提交投标文件的截止之日起</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天，不少于招标文件中载明的投标有效期（从提交投标文件的截止之日起90天）。</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5、我方完全理解贵方不一定要接受最低价的投标。</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6、我方愿意向贵方提供任何与该项投标有关的数据、情况和技术资料。若贵方需要，我方愿意提供我方作出的一切承诺的证明材料。</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7、我方已详细审核全部招标文件，包括招标文件修改书(如果有)、参考资料及有关附件，确认无误。</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8、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e)在招标采购过程中与采购人进行协商谈判的；</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pPr>
        <w:spacing w:line="360" w:lineRule="auto"/>
        <w:ind w:firstLine="3600" w:firstLineChars="1500"/>
        <w:rPr>
          <w:rFonts w:hint="eastAsia" w:ascii="仿宋_GB2312" w:hAnsi="仿宋_GB2312" w:eastAsia="仿宋_GB2312" w:cs="仿宋_GB2312"/>
          <w:sz w:val="24"/>
        </w:rPr>
      </w:pPr>
      <w:r>
        <w:rPr>
          <w:rFonts w:hint="eastAsia" w:ascii="仿宋_GB2312" w:hAnsi="仿宋_GB2312" w:eastAsia="仿宋_GB2312" w:cs="仿宋_GB2312"/>
          <w:sz w:val="24"/>
        </w:rPr>
        <w:t>投标人名称（公章）：</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 xml:space="preserve">                          法定代表人或其授权代表（签字或盖章）：</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snapToGrid w:val="0"/>
        <w:spacing w:line="360" w:lineRule="auto"/>
        <w:ind w:left="420" w:leftChars="200" w:firstLine="4200" w:firstLineChars="1750"/>
        <w:rPr>
          <w:rFonts w:hint="eastAsia" w:ascii="仿宋_GB2312" w:hAnsi="仿宋_GB2312" w:eastAsia="仿宋_GB2312" w:cs="仿宋_GB2312"/>
          <w:kern w:val="0"/>
          <w:sz w:val="24"/>
          <w:u w:val="single"/>
          <w:lang w:val="zh-CN"/>
        </w:rPr>
      </w:pPr>
    </w:p>
    <w:p>
      <w:pPr>
        <w:snapToGrid w:val="0"/>
        <w:spacing w:line="360" w:lineRule="auto"/>
        <w:ind w:left="420" w:leftChars="200"/>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zh-CN"/>
        </w:rPr>
        <w:t>联系人：</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 xml:space="preserve">联系电话： </w:t>
      </w:r>
      <w:r>
        <w:rPr>
          <w:rFonts w:hint="eastAsia" w:ascii="仿宋_GB2312" w:hAnsi="仿宋_GB2312" w:eastAsia="仿宋_GB2312" w:cs="仿宋_GB2312"/>
          <w:kern w:val="0"/>
          <w:sz w:val="24"/>
          <w:u w:val="single"/>
          <w:lang w:val="zh-CN"/>
        </w:rPr>
        <w:t xml:space="preserve">                </w:t>
      </w:r>
    </w:p>
    <w:p>
      <w:pPr>
        <w:snapToGrid w:val="0"/>
        <w:spacing w:line="360" w:lineRule="auto"/>
        <w:ind w:left="420" w:leftChars="200"/>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zh-CN"/>
        </w:rPr>
        <w:t>联系地址：</w:t>
      </w:r>
      <w:r>
        <w:rPr>
          <w:rFonts w:hint="eastAsia" w:ascii="仿宋_GB2312" w:hAnsi="仿宋_GB2312" w:eastAsia="仿宋_GB2312" w:cs="仿宋_GB2312"/>
          <w:kern w:val="0"/>
          <w:sz w:val="24"/>
          <w:u w:val="single"/>
          <w:lang w:val="zh-CN"/>
        </w:rPr>
        <w:t xml:space="preserve">                                                    </w:t>
      </w:r>
    </w:p>
    <w:p>
      <w:pPr>
        <w:snapToGrid w:val="0"/>
        <w:spacing w:line="360" w:lineRule="auto"/>
        <w:ind w:left="420" w:leftChars="200"/>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zh-CN"/>
        </w:rPr>
        <w:t>邮政编码：</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传真号码：</w:t>
      </w:r>
      <w:r>
        <w:rPr>
          <w:rFonts w:hint="eastAsia" w:ascii="仿宋_GB2312" w:hAnsi="仿宋_GB2312" w:eastAsia="仿宋_GB2312" w:cs="仿宋_GB2312"/>
          <w:kern w:val="0"/>
          <w:sz w:val="24"/>
          <w:u w:val="single"/>
          <w:lang w:val="zh-CN"/>
        </w:rPr>
        <w:t xml:space="preserve">                     </w:t>
      </w:r>
    </w:p>
    <w:p>
      <w:pPr>
        <w:snapToGrid w:val="0"/>
        <w:spacing w:line="360" w:lineRule="auto"/>
        <w:rPr>
          <w:rFonts w:hint="eastAsia" w:ascii="仿宋_GB2312" w:hAnsi="仿宋_GB2312" w:eastAsia="仿宋_GB2312" w:cs="仿宋_GB2312"/>
          <w:kern w:val="0"/>
          <w:sz w:val="24"/>
          <w:lang w:val="zh-CN"/>
        </w:rPr>
      </w:pPr>
      <w:r>
        <w:rPr>
          <w:rFonts w:hint="eastAsia" w:ascii="仿宋_GB2312" w:hAnsi="仿宋_GB2312" w:eastAsia="仿宋_GB2312" w:cs="仿宋_GB2312"/>
          <w:b/>
          <w:kern w:val="0"/>
          <w:sz w:val="24"/>
          <w:lang w:val="zh-CN"/>
        </w:rPr>
        <w:t>注：未按照本投标响应函要求填报的将被视为非实质性响应投标，从而可能导致该投标被拒绝。</w:t>
      </w:r>
    </w:p>
    <w:p>
      <w:pPr>
        <w:pStyle w:val="838"/>
        <w:keepNext w:val="0"/>
        <w:pageBreakBefore w:val="0"/>
        <w:tabs>
          <w:tab w:val="clear" w:pos="720"/>
        </w:tabs>
        <w:spacing w:line="460" w:lineRule="exact"/>
        <w:outlineLvl w:val="9"/>
        <w:rPr>
          <w:rFonts w:hint="eastAsia" w:ascii="仿宋_GB2312" w:eastAsia="仿宋_GB2312"/>
          <w:kern w:val="2"/>
          <w:sz w:val="32"/>
        </w:rPr>
      </w:pPr>
      <w:r>
        <w:rPr>
          <w:rFonts w:hint="eastAsia" w:ascii="仿宋_GB2312" w:eastAsia="仿宋_GB2312"/>
          <w:kern w:val="2"/>
          <w:sz w:val="32"/>
        </w:rPr>
        <w:br w:type="page"/>
      </w:r>
      <w:r>
        <w:rPr>
          <w:rFonts w:hint="eastAsia" w:ascii="仿宋_GB2312" w:eastAsia="仿宋_GB2312"/>
          <w:kern w:val="2"/>
          <w:sz w:val="32"/>
        </w:rPr>
        <w:t>二、投标（开标）一览表</w:t>
      </w:r>
    </w:p>
    <w:p>
      <w:pPr>
        <w:pStyle w:val="838"/>
        <w:keepNext w:val="0"/>
        <w:pageBreakBefore w:val="0"/>
        <w:tabs>
          <w:tab w:val="clear" w:pos="720"/>
        </w:tabs>
        <w:spacing w:line="460" w:lineRule="exact"/>
        <w:outlineLvl w:val="9"/>
        <w:rPr>
          <w:rFonts w:hint="eastAsia" w:ascii="仿宋_GB2312" w:eastAsia="仿宋_GB2312"/>
          <w:kern w:val="2"/>
          <w:sz w:val="32"/>
        </w:rPr>
      </w:pPr>
    </w:p>
    <w:p>
      <w:pPr>
        <w:autoSpaceDE w:val="0"/>
        <w:autoSpaceDN w:val="0"/>
        <w:adjustRightInd w:val="0"/>
        <w:spacing w:line="360" w:lineRule="auto"/>
        <w:rPr>
          <w:rFonts w:hint="eastAsia" w:ascii="仿宋_GB2312" w:eastAsia="仿宋_GB2312"/>
          <w:kern w:val="0"/>
          <w:sz w:val="24"/>
        </w:rPr>
      </w:pPr>
      <w:r>
        <w:rPr>
          <w:rFonts w:hint="eastAsia" w:ascii="仿宋_GB2312" w:hAnsi="仿宋_GB2312" w:eastAsia="仿宋_GB2312" w:cs="仿宋_GB2312"/>
          <w:sz w:val="24"/>
        </w:rPr>
        <w:t>XXX（单位名称）、</w:t>
      </w:r>
      <w:r>
        <w:rPr>
          <w:rFonts w:hint="eastAsia" w:ascii="仿宋_GB2312" w:eastAsia="仿宋_GB2312"/>
          <w:kern w:val="0"/>
          <w:sz w:val="24"/>
          <w:lang w:val="zh-CN"/>
        </w:rPr>
        <w:t>杭州市教育技术中心：</w:t>
      </w:r>
    </w:p>
    <w:p>
      <w:pPr>
        <w:pStyle w:val="838"/>
        <w:keepNext w:val="0"/>
        <w:pageBreakBefore w:val="0"/>
        <w:tabs>
          <w:tab w:val="clear" w:pos="720"/>
        </w:tabs>
        <w:ind w:firstLine="480" w:firstLineChars="200"/>
        <w:jc w:val="both"/>
        <w:outlineLvl w:val="9"/>
        <w:rPr>
          <w:rFonts w:hint="eastAsia" w:ascii="仿宋_GB2312" w:eastAsia="仿宋_GB2312"/>
          <w:b w:val="0"/>
          <w:kern w:val="0"/>
          <w:sz w:val="24"/>
          <w:lang w:val="zh-CN"/>
        </w:rPr>
      </w:pPr>
      <w:r>
        <w:rPr>
          <w:rFonts w:hint="eastAsia" w:ascii="仿宋_GB2312" w:eastAsia="仿宋_GB2312"/>
          <w:b w:val="0"/>
          <w:kern w:val="0"/>
          <w:sz w:val="24"/>
          <w:lang w:val="zh-CN"/>
        </w:rPr>
        <w:t>按你方招标文件要求，我们 ，本投标文件签字方，谨此向你方发出要约如下：如你方接受本投标，我方承诺按照如下投标（开标）一览表的价格完成编号为HJZCD-2019-035的招标文件[项目名称：</w:t>
      </w:r>
      <w:r>
        <w:rPr>
          <w:rFonts w:hint="eastAsia" w:ascii="仿宋_GB2312" w:hAnsi="仿宋_GB2312" w:eastAsia="仿宋_GB2312" w:cs="仿宋_GB2312"/>
          <w:b w:val="0"/>
          <w:sz w:val="24"/>
        </w:rPr>
        <w:t>安防监控系统改造、监控设备项目</w:t>
      </w:r>
      <w:r>
        <w:rPr>
          <w:rFonts w:hint="eastAsia" w:ascii="仿宋_GB2312" w:eastAsia="仿宋_GB2312"/>
          <w:b w:val="0"/>
          <w:kern w:val="0"/>
          <w:sz w:val="24"/>
          <w:lang w:val="zh-CN"/>
        </w:rPr>
        <w:t>]之标项的实施。</w:t>
      </w:r>
    </w:p>
    <w:p>
      <w:pPr>
        <w:jc w:val="center"/>
        <w:rPr>
          <w:rFonts w:hint="eastAsia" w:ascii="仿宋_GB2312" w:hAnsi="仿宋_GB2312" w:eastAsia="仿宋_GB2312" w:cs="仿宋_GB2312"/>
          <w:b/>
          <w:kern w:val="0"/>
          <w:sz w:val="24"/>
          <w:lang w:val="zh-CN"/>
        </w:rPr>
      </w:pPr>
      <w:r>
        <w:rPr>
          <w:rFonts w:hint="eastAsia" w:ascii="仿宋_GB2312" w:hAnsi="仿宋_GB2312" w:eastAsia="仿宋_GB2312" w:cs="仿宋_GB2312"/>
          <w:b/>
          <w:kern w:val="0"/>
          <w:sz w:val="24"/>
          <w:lang w:val="zh-CN"/>
        </w:rPr>
        <w:t>投标(开标)一览表(单位均为人民币元)</w:t>
      </w:r>
    </w:p>
    <w:p>
      <w:pPr>
        <w:jc w:val="center"/>
        <w:rPr>
          <w:rFonts w:hint="eastAsia" w:ascii="仿宋_GB2312" w:hAnsi="仿宋_GB2312" w:eastAsia="仿宋_GB2312" w:cs="仿宋_GB2312"/>
          <w:b/>
          <w:kern w:val="0"/>
          <w:sz w:val="24"/>
          <w:lang w:val="zh-CN"/>
        </w:rPr>
      </w:pPr>
      <w:r>
        <w:rPr>
          <w:rFonts w:hint="eastAsia" w:ascii="仿宋_GB2312" w:hAnsi="仿宋_GB2312" w:eastAsia="仿宋_GB2312" w:cs="仿宋_GB2312"/>
          <w:b/>
          <w:kern w:val="0"/>
          <w:sz w:val="24"/>
          <w:lang w:val="zh-CN"/>
        </w:rPr>
        <w:t>XXX项目  第XX标项XXX：</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709"/>
        <w:gridCol w:w="1417"/>
        <w:gridCol w:w="1843"/>
        <w:gridCol w:w="567"/>
        <w:gridCol w:w="567"/>
        <w:gridCol w:w="425"/>
        <w:gridCol w:w="1418"/>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019" w:hRule="atLeast"/>
        </w:trPr>
        <w:tc>
          <w:tcPr>
            <w:tcW w:w="392" w:type="dxa"/>
            <w:noWrap w:val="0"/>
            <w:vAlign w:val="center"/>
          </w:tcPr>
          <w:p>
            <w:pPr>
              <w:spacing w:line="360" w:lineRule="auto"/>
              <w:jc w:val="center"/>
              <w:rPr>
                <w:rFonts w:hint="eastAsia" w:ascii="仿宋_GB2312" w:hAnsi="仿宋_GB2312" w:eastAsia="仿宋_GB2312" w:cs="仿宋_GB2312"/>
                <w:b/>
                <w:sz w:val="24"/>
              </w:rPr>
            </w:pPr>
            <w:r>
              <w:rPr>
                <w:rFonts w:hint="eastAsia" w:ascii="仿宋_GB2312" w:eastAsia="仿宋_GB2312"/>
                <w:b/>
                <w:sz w:val="24"/>
              </w:rPr>
              <w:t>序号</w:t>
            </w:r>
          </w:p>
        </w:tc>
        <w:tc>
          <w:tcPr>
            <w:tcW w:w="709" w:type="dxa"/>
            <w:noWrap w:val="0"/>
            <w:vAlign w:val="center"/>
          </w:tcPr>
          <w:p>
            <w:pPr>
              <w:spacing w:line="360" w:lineRule="auto"/>
              <w:jc w:val="center"/>
              <w:rPr>
                <w:rFonts w:hint="eastAsia" w:ascii="仿宋_GB2312" w:hAnsi="仿宋_GB2312" w:eastAsia="仿宋_GB2312" w:cs="仿宋_GB2312"/>
                <w:b/>
                <w:sz w:val="24"/>
              </w:rPr>
            </w:pPr>
            <w:r>
              <w:rPr>
                <w:rFonts w:hint="eastAsia" w:ascii="仿宋_GB2312" w:eastAsia="仿宋_GB2312"/>
                <w:b/>
                <w:sz w:val="24"/>
              </w:rPr>
              <w:t>名称</w:t>
            </w:r>
          </w:p>
        </w:tc>
        <w:tc>
          <w:tcPr>
            <w:tcW w:w="1417" w:type="dxa"/>
            <w:noWrap w:val="0"/>
            <w:vAlign w:val="top"/>
          </w:tcPr>
          <w:p>
            <w:pPr>
              <w:spacing w:line="360" w:lineRule="auto"/>
              <w:jc w:val="center"/>
              <w:rPr>
                <w:rFonts w:hint="eastAsia" w:ascii="仿宋_GB2312" w:eastAsia="仿宋_GB2312"/>
                <w:b/>
                <w:sz w:val="24"/>
              </w:rPr>
            </w:pPr>
            <w:r>
              <w:rPr>
                <w:rFonts w:hint="eastAsia" w:ascii="仿宋_GB2312" w:eastAsia="仿宋_GB2312"/>
                <w:b/>
                <w:sz w:val="24"/>
              </w:rPr>
              <w:t>品牌</w:t>
            </w:r>
          </w:p>
          <w:p>
            <w:pPr>
              <w:spacing w:line="360" w:lineRule="auto"/>
              <w:jc w:val="center"/>
              <w:rPr>
                <w:rFonts w:hint="eastAsia" w:ascii="仿宋_GB2312" w:hAnsi="仿宋_GB2312" w:eastAsia="仿宋_GB2312" w:cs="仿宋_GB2312"/>
                <w:b/>
                <w:sz w:val="24"/>
              </w:rPr>
            </w:pPr>
            <w:r>
              <w:rPr>
                <w:rFonts w:hint="eastAsia" w:ascii="仿宋_GB2312" w:eastAsia="仿宋_GB2312"/>
                <w:b/>
                <w:sz w:val="24"/>
              </w:rPr>
              <w:t>（如果有）</w:t>
            </w:r>
          </w:p>
        </w:tc>
        <w:tc>
          <w:tcPr>
            <w:tcW w:w="1843" w:type="dxa"/>
            <w:noWrap w:val="0"/>
            <w:vAlign w:val="center"/>
          </w:tcPr>
          <w:p>
            <w:pPr>
              <w:spacing w:line="360" w:lineRule="auto"/>
              <w:jc w:val="center"/>
              <w:rPr>
                <w:rFonts w:hint="eastAsia" w:ascii="仿宋_GB2312" w:eastAsia="仿宋_GB2312"/>
                <w:b/>
                <w:sz w:val="24"/>
              </w:rPr>
            </w:pPr>
            <w:r>
              <w:rPr>
                <w:rFonts w:hint="eastAsia" w:ascii="仿宋_GB2312" w:eastAsia="仿宋_GB2312"/>
                <w:b/>
                <w:sz w:val="24"/>
              </w:rPr>
              <w:t>规格型号</w:t>
            </w:r>
          </w:p>
          <w:p>
            <w:pPr>
              <w:spacing w:line="360" w:lineRule="auto"/>
              <w:jc w:val="center"/>
              <w:rPr>
                <w:rFonts w:hint="eastAsia" w:ascii="仿宋_GB2312" w:hAnsi="仿宋_GB2312" w:eastAsia="仿宋_GB2312" w:cs="仿宋_GB2312"/>
                <w:b/>
                <w:sz w:val="24"/>
              </w:rPr>
            </w:pPr>
            <w:r>
              <w:rPr>
                <w:rFonts w:hint="eastAsia" w:ascii="仿宋_GB2312" w:eastAsia="仿宋_GB2312"/>
                <w:b/>
                <w:sz w:val="24"/>
              </w:rPr>
              <w:t>（或具体服务）</w:t>
            </w:r>
          </w:p>
        </w:tc>
        <w:tc>
          <w:tcPr>
            <w:tcW w:w="567" w:type="dxa"/>
            <w:noWrap w:val="0"/>
            <w:vAlign w:val="center"/>
          </w:tcPr>
          <w:p>
            <w:pPr>
              <w:spacing w:line="360" w:lineRule="auto"/>
              <w:jc w:val="center"/>
              <w:rPr>
                <w:rFonts w:hint="eastAsia" w:ascii="仿宋_GB2312" w:hAnsi="仿宋_GB2312" w:eastAsia="仿宋_GB2312" w:cs="仿宋_GB2312"/>
                <w:b/>
                <w:sz w:val="24"/>
              </w:rPr>
            </w:pPr>
            <w:r>
              <w:rPr>
                <w:rFonts w:hint="eastAsia" w:ascii="仿宋_GB2312" w:eastAsia="仿宋_GB2312"/>
                <w:b/>
                <w:sz w:val="24"/>
              </w:rPr>
              <w:t>数量</w:t>
            </w:r>
          </w:p>
        </w:tc>
        <w:tc>
          <w:tcPr>
            <w:tcW w:w="567" w:type="dxa"/>
            <w:noWrap w:val="0"/>
            <w:vAlign w:val="center"/>
          </w:tcPr>
          <w:p>
            <w:pPr>
              <w:spacing w:line="360" w:lineRule="auto"/>
              <w:jc w:val="center"/>
              <w:rPr>
                <w:rFonts w:hint="eastAsia" w:ascii="仿宋_GB2312" w:hAnsi="仿宋_GB2312" w:eastAsia="仿宋_GB2312" w:cs="仿宋_GB2312"/>
                <w:b/>
                <w:sz w:val="24"/>
              </w:rPr>
            </w:pPr>
            <w:r>
              <w:rPr>
                <w:rFonts w:hint="eastAsia" w:ascii="仿宋_GB2312" w:eastAsia="仿宋_GB2312"/>
                <w:b/>
                <w:sz w:val="24"/>
              </w:rPr>
              <w:t>单价</w:t>
            </w:r>
          </w:p>
        </w:tc>
        <w:tc>
          <w:tcPr>
            <w:tcW w:w="425" w:type="dxa"/>
            <w:noWrap w:val="0"/>
            <w:vAlign w:val="center"/>
          </w:tcPr>
          <w:p>
            <w:pPr>
              <w:spacing w:line="360" w:lineRule="auto"/>
              <w:jc w:val="center"/>
              <w:rPr>
                <w:rFonts w:hint="eastAsia" w:ascii="仿宋_GB2312" w:hAnsi="仿宋_GB2312" w:eastAsia="仿宋_GB2312" w:cs="仿宋_GB2312"/>
                <w:b/>
                <w:sz w:val="24"/>
              </w:rPr>
            </w:pPr>
            <w:r>
              <w:rPr>
                <w:rFonts w:hint="eastAsia" w:ascii="仿宋_GB2312" w:eastAsia="仿宋_GB2312"/>
                <w:b/>
                <w:sz w:val="24"/>
              </w:rPr>
              <w:t>总价</w:t>
            </w:r>
          </w:p>
        </w:tc>
        <w:tc>
          <w:tcPr>
            <w:tcW w:w="1418" w:type="dxa"/>
            <w:noWrap w:val="0"/>
            <w:vAlign w:val="center"/>
          </w:tcPr>
          <w:p>
            <w:pPr>
              <w:spacing w:line="360" w:lineRule="auto"/>
              <w:jc w:val="center"/>
              <w:rPr>
                <w:rFonts w:hint="eastAsia" w:ascii="仿宋_GB2312" w:hAnsi="仿宋_GB2312" w:eastAsia="仿宋_GB2312" w:cs="仿宋_GB2312"/>
                <w:b/>
                <w:sz w:val="24"/>
              </w:rPr>
            </w:pPr>
            <w:r>
              <w:rPr>
                <w:rFonts w:hint="eastAsia" w:ascii="仿宋_GB2312" w:eastAsia="仿宋_GB2312"/>
                <w:b/>
                <w:sz w:val="24"/>
              </w:rPr>
              <w:t>服务要求（年限）</w:t>
            </w:r>
          </w:p>
        </w:tc>
        <w:tc>
          <w:tcPr>
            <w:tcW w:w="1984" w:type="dxa"/>
            <w:noWrap w:val="0"/>
            <w:vAlign w:val="top"/>
          </w:tcPr>
          <w:p>
            <w:pPr>
              <w:spacing w:line="360" w:lineRule="auto"/>
              <w:jc w:val="center"/>
              <w:rPr>
                <w:rFonts w:hint="eastAsia" w:ascii="仿宋_GB2312" w:eastAsia="仿宋_GB2312"/>
                <w:b/>
                <w:sz w:val="24"/>
              </w:rPr>
            </w:pPr>
            <w:r>
              <w:rPr>
                <w:rFonts w:hint="eastAsia" w:ascii="仿宋_GB2312" w:eastAsia="仿宋_GB2312"/>
                <w:b/>
                <w:sz w:val="24"/>
              </w:rPr>
              <w:t>货物的制造商或服务的提供商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41" w:hRule="atLeast"/>
        </w:trPr>
        <w:tc>
          <w:tcPr>
            <w:tcW w:w="392" w:type="dxa"/>
            <w:noWrap w:val="0"/>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709" w:type="dxa"/>
            <w:noWrap w:val="0"/>
            <w:vAlign w:val="center"/>
          </w:tcPr>
          <w:p>
            <w:pPr>
              <w:snapToGrid w:val="0"/>
              <w:spacing w:line="360" w:lineRule="auto"/>
              <w:jc w:val="center"/>
              <w:rPr>
                <w:rFonts w:hint="eastAsia" w:ascii="仿宋_GB2312" w:hAnsi="仿宋_GB2312" w:eastAsia="仿宋_GB2312" w:cs="仿宋_GB2312"/>
                <w:sz w:val="24"/>
              </w:rPr>
            </w:pPr>
          </w:p>
        </w:tc>
        <w:tc>
          <w:tcPr>
            <w:tcW w:w="1417" w:type="dxa"/>
            <w:noWrap w:val="0"/>
            <w:vAlign w:val="center"/>
          </w:tcPr>
          <w:p>
            <w:pPr>
              <w:snapToGrid w:val="0"/>
              <w:spacing w:line="360" w:lineRule="auto"/>
              <w:jc w:val="center"/>
              <w:rPr>
                <w:rFonts w:hint="eastAsia" w:ascii="仿宋_GB2312" w:hAnsi="仿宋_GB2312" w:eastAsia="仿宋_GB2312" w:cs="仿宋_GB2312"/>
                <w:sz w:val="24"/>
              </w:rPr>
            </w:pPr>
          </w:p>
        </w:tc>
        <w:tc>
          <w:tcPr>
            <w:tcW w:w="1843" w:type="dxa"/>
            <w:noWrap w:val="0"/>
            <w:vAlign w:val="center"/>
          </w:tcPr>
          <w:p>
            <w:pPr>
              <w:snapToGrid w:val="0"/>
              <w:spacing w:line="360" w:lineRule="auto"/>
              <w:jc w:val="center"/>
              <w:rPr>
                <w:rFonts w:hint="eastAsia" w:ascii="仿宋_GB2312" w:hAnsi="仿宋_GB2312" w:eastAsia="仿宋_GB2312" w:cs="仿宋_GB2312"/>
                <w:sz w:val="24"/>
              </w:rPr>
            </w:pPr>
          </w:p>
        </w:tc>
        <w:tc>
          <w:tcPr>
            <w:tcW w:w="567" w:type="dxa"/>
            <w:noWrap w:val="0"/>
            <w:vAlign w:val="center"/>
          </w:tcPr>
          <w:p>
            <w:pPr>
              <w:snapToGrid w:val="0"/>
              <w:spacing w:line="360" w:lineRule="auto"/>
              <w:jc w:val="center"/>
              <w:rPr>
                <w:rFonts w:hint="eastAsia" w:ascii="仿宋_GB2312" w:hAnsi="仿宋_GB2312" w:eastAsia="仿宋_GB2312" w:cs="仿宋_GB2312"/>
                <w:sz w:val="24"/>
              </w:rPr>
            </w:pPr>
          </w:p>
        </w:tc>
        <w:tc>
          <w:tcPr>
            <w:tcW w:w="567" w:type="dxa"/>
            <w:noWrap w:val="0"/>
            <w:vAlign w:val="center"/>
          </w:tcPr>
          <w:p>
            <w:pPr>
              <w:spacing w:line="360" w:lineRule="auto"/>
              <w:jc w:val="center"/>
              <w:rPr>
                <w:rFonts w:hint="eastAsia" w:ascii="仿宋_GB2312" w:hAnsi="仿宋_GB2312" w:eastAsia="仿宋_GB2312" w:cs="仿宋_GB2312"/>
                <w:sz w:val="24"/>
              </w:rPr>
            </w:pPr>
          </w:p>
        </w:tc>
        <w:tc>
          <w:tcPr>
            <w:tcW w:w="425" w:type="dxa"/>
            <w:noWrap w:val="0"/>
            <w:vAlign w:val="center"/>
          </w:tcPr>
          <w:p>
            <w:pPr>
              <w:spacing w:line="360" w:lineRule="auto"/>
              <w:jc w:val="center"/>
              <w:rPr>
                <w:rFonts w:hint="eastAsia" w:ascii="仿宋_GB2312" w:hAnsi="仿宋_GB2312" w:eastAsia="仿宋_GB2312" w:cs="仿宋_GB2312"/>
                <w:sz w:val="24"/>
              </w:rPr>
            </w:pPr>
          </w:p>
        </w:tc>
        <w:tc>
          <w:tcPr>
            <w:tcW w:w="1418" w:type="dxa"/>
            <w:noWrap w:val="0"/>
            <w:vAlign w:val="center"/>
          </w:tcPr>
          <w:p>
            <w:pPr>
              <w:spacing w:line="360" w:lineRule="auto"/>
              <w:jc w:val="center"/>
              <w:rPr>
                <w:rFonts w:hint="eastAsia" w:ascii="仿宋_GB2312" w:hAnsi="仿宋_GB2312" w:eastAsia="仿宋_GB2312" w:cs="仿宋_GB2312"/>
                <w:sz w:val="24"/>
              </w:rPr>
            </w:pPr>
          </w:p>
        </w:tc>
        <w:tc>
          <w:tcPr>
            <w:tcW w:w="1984" w:type="dxa"/>
            <w:noWrap w:val="0"/>
            <w:vAlign w:val="top"/>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trPr>
        <w:tc>
          <w:tcPr>
            <w:tcW w:w="392" w:type="dxa"/>
            <w:noWrap w:val="0"/>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709" w:type="dxa"/>
            <w:noWrap w:val="0"/>
            <w:vAlign w:val="center"/>
          </w:tcPr>
          <w:p>
            <w:pPr>
              <w:snapToGrid w:val="0"/>
              <w:spacing w:line="360" w:lineRule="auto"/>
              <w:jc w:val="center"/>
              <w:rPr>
                <w:rFonts w:hint="eastAsia" w:ascii="仿宋_GB2312" w:hAnsi="仿宋_GB2312" w:eastAsia="仿宋_GB2312" w:cs="仿宋_GB2312"/>
                <w:sz w:val="24"/>
              </w:rPr>
            </w:pPr>
          </w:p>
        </w:tc>
        <w:tc>
          <w:tcPr>
            <w:tcW w:w="1417" w:type="dxa"/>
            <w:noWrap w:val="0"/>
            <w:vAlign w:val="center"/>
          </w:tcPr>
          <w:p>
            <w:pPr>
              <w:snapToGrid w:val="0"/>
              <w:spacing w:line="360" w:lineRule="auto"/>
              <w:jc w:val="center"/>
              <w:rPr>
                <w:rFonts w:hint="eastAsia" w:ascii="仿宋_GB2312" w:hAnsi="仿宋_GB2312" w:eastAsia="仿宋_GB2312" w:cs="仿宋_GB2312"/>
                <w:sz w:val="24"/>
              </w:rPr>
            </w:pPr>
          </w:p>
        </w:tc>
        <w:tc>
          <w:tcPr>
            <w:tcW w:w="1843" w:type="dxa"/>
            <w:noWrap w:val="0"/>
            <w:vAlign w:val="center"/>
          </w:tcPr>
          <w:p>
            <w:pPr>
              <w:snapToGrid w:val="0"/>
              <w:spacing w:line="360" w:lineRule="auto"/>
              <w:jc w:val="center"/>
              <w:rPr>
                <w:rFonts w:hint="eastAsia" w:ascii="仿宋_GB2312" w:hAnsi="仿宋_GB2312" w:eastAsia="仿宋_GB2312" w:cs="仿宋_GB2312"/>
                <w:sz w:val="24"/>
              </w:rPr>
            </w:pPr>
          </w:p>
        </w:tc>
        <w:tc>
          <w:tcPr>
            <w:tcW w:w="567" w:type="dxa"/>
            <w:noWrap w:val="0"/>
            <w:vAlign w:val="center"/>
          </w:tcPr>
          <w:p>
            <w:pPr>
              <w:snapToGrid w:val="0"/>
              <w:spacing w:line="360" w:lineRule="auto"/>
              <w:jc w:val="center"/>
              <w:rPr>
                <w:rFonts w:hint="eastAsia" w:ascii="仿宋_GB2312" w:hAnsi="仿宋_GB2312" w:eastAsia="仿宋_GB2312" w:cs="仿宋_GB2312"/>
                <w:sz w:val="24"/>
              </w:rPr>
            </w:pPr>
          </w:p>
        </w:tc>
        <w:tc>
          <w:tcPr>
            <w:tcW w:w="567" w:type="dxa"/>
            <w:noWrap w:val="0"/>
            <w:vAlign w:val="center"/>
          </w:tcPr>
          <w:p>
            <w:pPr>
              <w:spacing w:line="360" w:lineRule="auto"/>
              <w:jc w:val="center"/>
              <w:rPr>
                <w:rFonts w:hint="eastAsia" w:ascii="仿宋_GB2312" w:hAnsi="仿宋_GB2312" w:eastAsia="仿宋_GB2312" w:cs="仿宋_GB2312"/>
                <w:sz w:val="24"/>
              </w:rPr>
            </w:pPr>
          </w:p>
        </w:tc>
        <w:tc>
          <w:tcPr>
            <w:tcW w:w="425" w:type="dxa"/>
            <w:noWrap w:val="0"/>
            <w:vAlign w:val="center"/>
          </w:tcPr>
          <w:p>
            <w:pPr>
              <w:spacing w:line="360" w:lineRule="auto"/>
              <w:jc w:val="center"/>
              <w:rPr>
                <w:rFonts w:hint="eastAsia" w:ascii="仿宋_GB2312" w:hAnsi="仿宋_GB2312" w:eastAsia="仿宋_GB2312" w:cs="仿宋_GB2312"/>
                <w:sz w:val="24"/>
              </w:rPr>
            </w:pPr>
          </w:p>
        </w:tc>
        <w:tc>
          <w:tcPr>
            <w:tcW w:w="1418" w:type="dxa"/>
            <w:noWrap w:val="0"/>
            <w:vAlign w:val="center"/>
          </w:tcPr>
          <w:p>
            <w:pPr>
              <w:spacing w:line="360" w:lineRule="auto"/>
              <w:jc w:val="center"/>
              <w:rPr>
                <w:rFonts w:hint="eastAsia" w:ascii="仿宋_GB2312" w:hAnsi="仿宋_GB2312" w:eastAsia="仿宋_GB2312" w:cs="仿宋_GB2312"/>
                <w:sz w:val="24"/>
              </w:rPr>
            </w:pPr>
          </w:p>
        </w:tc>
        <w:tc>
          <w:tcPr>
            <w:tcW w:w="1984" w:type="dxa"/>
            <w:noWrap w:val="0"/>
            <w:vAlign w:val="top"/>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trPr>
        <w:tc>
          <w:tcPr>
            <w:tcW w:w="392" w:type="dxa"/>
            <w:noWrap w:val="0"/>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709" w:type="dxa"/>
            <w:noWrap w:val="0"/>
            <w:vAlign w:val="center"/>
          </w:tcPr>
          <w:p>
            <w:pPr>
              <w:snapToGrid w:val="0"/>
              <w:spacing w:line="360" w:lineRule="auto"/>
              <w:jc w:val="center"/>
              <w:rPr>
                <w:rFonts w:hint="eastAsia" w:ascii="仿宋_GB2312" w:hAnsi="仿宋_GB2312" w:eastAsia="仿宋_GB2312" w:cs="仿宋_GB2312"/>
                <w:sz w:val="24"/>
              </w:rPr>
            </w:pPr>
          </w:p>
        </w:tc>
        <w:tc>
          <w:tcPr>
            <w:tcW w:w="1417" w:type="dxa"/>
            <w:noWrap w:val="0"/>
            <w:vAlign w:val="center"/>
          </w:tcPr>
          <w:p>
            <w:pPr>
              <w:snapToGrid w:val="0"/>
              <w:spacing w:line="360" w:lineRule="auto"/>
              <w:jc w:val="center"/>
              <w:rPr>
                <w:rFonts w:hint="eastAsia" w:ascii="仿宋_GB2312" w:hAnsi="仿宋_GB2312" w:eastAsia="仿宋_GB2312" w:cs="仿宋_GB2312"/>
                <w:sz w:val="24"/>
              </w:rPr>
            </w:pPr>
          </w:p>
        </w:tc>
        <w:tc>
          <w:tcPr>
            <w:tcW w:w="1843" w:type="dxa"/>
            <w:noWrap w:val="0"/>
            <w:vAlign w:val="center"/>
          </w:tcPr>
          <w:p>
            <w:pPr>
              <w:snapToGrid w:val="0"/>
              <w:spacing w:line="360" w:lineRule="auto"/>
              <w:jc w:val="center"/>
              <w:rPr>
                <w:rFonts w:hint="eastAsia" w:ascii="仿宋_GB2312" w:hAnsi="仿宋_GB2312" w:eastAsia="仿宋_GB2312" w:cs="仿宋_GB2312"/>
                <w:sz w:val="24"/>
              </w:rPr>
            </w:pPr>
          </w:p>
        </w:tc>
        <w:tc>
          <w:tcPr>
            <w:tcW w:w="567" w:type="dxa"/>
            <w:noWrap w:val="0"/>
            <w:vAlign w:val="center"/>
          </w:tcPr>
          <w:p>
            <w:pPr>
              <w:snapToGrid w:val="0"/>
              <w:spacing w:line="360" w:lineRule="auto"/>
              <w:jc w:val="center"/>
              <w:rPr>
                <w:rFonts w:hint="eastAsia" w:ascii="仿宋_GB2312" w:hAnsi="仿宋_GB2312" w:eastAsia="仿宋_GB2312" w:cs="仿宋_GB2312"/>
                <w:sz w:val="24"/>
              </w:rPr>
            </w:pPr>
          </w:p>
        </w:tc>
        <w:tc>
          <w:tcPr>
            <w:tcW w:w="567" w:type="dxa"/>
            <w:noWrap w:val="0"/>
            <w:vAlign w:val="center"/>
          </w:tcPr>
          <w:p>
            <w:pPr>
              <w:spacing w:line="360" w:lineRule="auto"/>
              <w:jc w:val="center"/>
              <w:rPr>
                <w:rFonts w:hint="eastAsia" w:ascii="仿宋_GB2312" w:hAnsi="仿宋_GB2312" w:eastAsia="仿宋_GB2312" w:cs="仿宋_GB2312"/>
                <w:sz w:val="24"/>
              </w:rPr>
            </w:pPr>
          </w:p>
        </w:tc>
        <w:tc>
          <w:tcPr>
            <w:tcW w:w="425" w:type="dxa"/>
            <w:noWrap w:val="0"/>
            <w:vAlign w:val="center"/>
          </w:tcPr>
          <w:p>
            <w:pPr>
              <w:spacing w:line="360" w:lineRule="auto"/>
              <w:jc w:val="center"/>
              <w:rPr>
                <w:rFonts w:hint="eastAsia" w:ascii="仿宋_GB2312" w:hAnsi="仿宋_GB2312" w:eastAsia="仿宋_GB2312" w:cs="仿宋_GB2312"/>
                <w:sz w:val="24"/>
              </w:rPr>
            </w:pPr>
          </w:p>
        </w:tc>
        <w:tc>
          <w:tcPr>
            <w:tcW w:w="1418" w:type="dxa"/>
            <w:noWrap w:val="0"/>
            <w:vAlign w:val="center"/>
          </w:tcPr>
          <w:p>
            <w:pPr>
              <w:spacing w:line="360" w:lineRule="auto"/>
              <w:jc w:val="center"/>
              <w:rPr>
                <w:rFonts w:hint="eastAsia" w:ascii="仿宋_GB2312" w:hAnsi="仿宋_GB2312" w:eastAsia="仿宋_GB2312" w:cs="仿宋_GB2312"/>
                <w:sz w:val="24"/>
              </w:rPr>
            </w:pPr>
          </w:p>
        </w:tc>
        <w:tc>
          <w:tcPr>
            <w:tcW w:w="1984" w:type="dxa"/>
            <w:noWrap w:val="0"/>
            <w:vAlign w:val="top"/>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453" w:hRule="atLeast"/>
        </w:trPr>
        <w:tc>
          <w:tcPr>
            <w:tcW w:w="392" w:type="dxa"/>
            <w:noWrap w:val="0"/>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709" w:type="dxa"/>
            <w:noWrap w:val="0"/>
            <w:vAlign w:val="center"/>
          </w:tcPr>
          <w:p>
            <w:pPr>
              <w:snapToGrid w:val="0"/>
              <w:spacing w:line="360" w:lineRule="auto"/>
              <w:jc w:val="center"/>
              <w:rPr>
                <w:rFonts w:hint="eastAsia" w:ascii="仿宋_GB2312" w:hAnsi="仿宋_GB2312" w:eastAsia="仿宋_GB2312" w:cs="仿宋_GB2312"/>
                <w:sz w:val="24"/>
              </w:rPr>
            </w:pPr>
          </w:p>
        </w:tc>
        <w:tc>
          <w:tcPr>
            <w:tcW w:w="1417" w:type="dxa"/>
            <w:noWrap w:val="0"/>
            <w:vAlign w:val="center"/>
          </w:tcPr>
          <w:p>
            <w:pPr>
              <w:snapToGrid w:val="0"/>
              <w:spacing w:line="360" w:lineRule="auto"/>
              <w:jc w:val="center"/>
              <w:rPr>
                <w:rFonts w:hint="eastAsia" w:ascii="仿宋_GB2312" w:hAnsi="仿宋_GB2312" w:eastAsia="仿宋_GB2312" w:cs="仿宋_GB2312"/>
                <w:sz w:val="24"/>
              </w:rPr>
            </w:pPr>
          </w:p>
        </w:tc>
        <w:tc>
          <w:tcPr>
            <w:tcW w:w="1843" w:type="dxa"/>
            <w:noWrap w:val="0"/>
            <w:vAlign w:val="center"/>
          </w:tcPr>
          <w:p>
            <w:pPr>
              <w:snapToGrid w:val="0"/>
              <w:spacing w:line="360" w:lineRule="auto"/>
              <w:jc w:val="center"/>
              <w:rPr>
                <w:rFonts w:hint="eastAsia" w:ascii="仿宋_GB2312" w:hAnsi="仿宋_GB2312" w:eastAsia="仿宋_GB2312" w:cs="仿宋_GB2312"/>
                <w:sz w:val="24"/>
              </w:rPr>
            </w:pPr>
          </w:p>
        </w:tc>
        <w:tc>
          <w:tcPr>
            <w:tcW w:w="567" w:type="dxa"/>
            <w:noWrap w:val="0"/>
            <w:vAlign w:val="center"/>
          </w:tcPr>
          <w:p>
            <w:pPr>
              <w:snapToGrid w:val="0"/>
              <w:spacing w:line="360" w:lineRule="auto"/>
              <w:jc w:val="center"/>
              <w:rPr>
                <w:rFonts w:hint="eastAsia" w:ascii="仿宋_GB2312" w:hAnsi="仿宋_GB2312" w:eastAsia="仿宋_GB2312" w:cs="仿宋_GB2312"/>
                <w:sz w:val="24"/>
              </w:rPr>
            </w:pPr>
          </w:p>
        </w:tc>
        <w:tc>
          <w:tcPr>
            <w:tcW w:w="567" w:type="dxa"/>
            <w:noWrap w:val="0"/>
            <w:vAlign w:val="center"/>
          </w:tcPr>
          <w:p>
            <w:pPr>
              <w:spacing w:line="360" w:lineRule="auto"/>
              <w:jc w:val="center"/>
              <w:rPr>
                <w:rFonts w:hint="eastAsia" w:ascii="仿宋_GB2312" w:hAnsi="仿宋_GB2312" w:eastAsia="仿宋_GB2312" w:cs="仿宋_GB2312"/>
                <w:sz w:val="24"/>
              </w:rPr>
            </w:pPr>
          </w:p>
        </w:tc>
        <w:tc>
          <w:tcPr>
            <w:tcW w:w="425" w:type="dxa"/>
            <w:noWrap w:val="0"/>
            <w:vAlign w:val="center"/>
          </w:tcPr>
          <w:p>
            <w:pPr>
              <w:spacing w:line="360" w:lineRule="auto"/>
              <w:jc w:val="center"/>
              <w:rPr>
                <w:rFonts w:hint="eastAsia" w:ascii="仿宋_GB2312" w:hAnsi="仿宋_GB2312" w:eastAsia="仿宋_GB2312" w:cs="仿宋_GB2312"/>
                <w:sz w:val="24"/>
              </w:rPr>
            </w:pPr>
          </w:p>
        </w:tc>
        <w:tc>
          <w:tcPr>
            <w:tcW w:w="1418" w:type="dxa"/>
            <w:noWrap w:val="0"/>
            <w:vAlign w:val="center"/>
          </w:tcPr>
          <w:p>
            <w:pPr>
              <w:spacing w:line="360" w:lineRule="auto"/>
              <w:jc w:val="center"/>
              <w:rPr>
                <w:rFonts w:hint="eastAsia" w:ascii="仿宋_GB2312" w:hAnsi="仿宋_GB2312" w:eastAsia="仿宋_GB2312" w:cs="仿宋_GB2312"/>
                <w:sz w:val="24"/>
              </w:rPr>
            </w:pPr>
          </w:p>
        </w:tc>
        <w:tc>
          <w:tcPr>
            <w:tcW w:w="1984" w:type="dxa"/>
            <w:noWrap w:val="0"/>
            <w:vAlign w:val="top"/>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trPr>
        <w:tc>
          <w:tcPr>
            <w:tcW w:w="392" w:type="dxa"/>
            <w:noWrap w:val="0"/>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709" w:type="dxa"/>
            <w:noWrap w:val="0"/>
            <w:vAlign w:val="center"/>
          </w:tcPr>
          <w:p>
            <w:pPr>
              <w:snapToGrid w:val="0"/>
              <w:spacing w:line="360" w:lineRule="auto"/>
              <w:jc w:val="center"/>
              <w:rPr>
                <w:rFonts w:hint="eastAsia" w:ascii="仿宋_GB2312" w:hAnsi="仿宋_GB2312" w:eastAsia="仿宋_GB2312" w:cs="仿宋_GB2312"/>
                <w:sz w:val="24"/>
              </w:rPr>
            </w:pPr>
          </w:p>
        </w:tc>
        <w:tc>
          <w:tcPr>
            <w:tcW w:w="1417" w:type="dxa"/>
            <w:noWrap w:val="0"/>
            <w:vAlign w:val="center"/>
          </w:tcPr>
          <w:p>
            <w:pPr>
              <w:snapToGrid w:val="0"/>
              <w:spacing w:line="360" w:lineRule="auto"/>
              <w:jc w:val="center"/>
              <w:rPr>
                <w:rFonts w:hint="eastAsia" w:ascii="仿宋_GB2312" w:hAnsi="仿宋_GB2312" w:eastAsia="仿宋_GB2312" w:cs="仿宋_GB2312"/>
                <w:sz w:val="24"/>
              </w:rPr>
            </w:pPr>
          </w:p>
        </w:tc>
        <w:tc>
          <w:tcPr>
            <w:tcW w:w="1843" w:type="dxa"/>
            <w:noWrap w:val="0"/>
            <w:vAlign w:val="center"/>
          </w:tcPr>
          <w:p>
            <w:pPr>
              <w:snapToGrid w:val="0"/>
              <w:spacing w:line="360" w:lineRule="auto"/>
              <w:jc w:val="center"/>
              <w:rPr>
                <w:rFonts w:hint="eastAsia" w:ascii="仿宋_GB2312" w:hAnsi="仿宋_GB2312" w:eastAsia="仿宋_GB2312" w:cs="仿宋_GB2312"/>
                <w:sz w:val="24"/>
              </w:rPr>
            </w:pPr>
          </w:p>
        </w:tc>
        <w:tc>
          <w:tcPr>
            <w:tcW w:w="567" w:type="dxa"/>
            <w:noWrap w:val="0"/>
            <w:vAlign w:val="center"/>
          </w:tcPr>
          <w:p>
            <w:pPr>
              <w:snapToGrid w:val="0"/>
              <w:spacing w:line="360" w:lineRule="auto"/>
              <w:jc w:val="center"/>
              <w:rPr>
                <w:rFonts w:hint="eastAsia" w:ascii="仿宋_GB2312" w:hAnsi="仿宋_GB2312" w:eastAsia="仿宋_GB2312" w:cs="仿宋_GB2312"/>
                <w:sz w:val="24"/>
              </w:rPr>
            </w:pPr>
          </w:p>
        </w:tc>
        <w:tc>
          <w:tcPr>
            <w:tcW w:w="567" w:type="dxa"/>
            <w:noWrap w:val="0"/>
            <w:vAlign w:val="center"/>
          </w:tcPr>
          <w:p>
            <w:pPr>
              <w:spacing w:line="360" w:lineRule="auto"/>
              <w:jc w:val="center"/>
              <w:rPr>
                <w:rFonts w:hint="eastAsia" w:ascii="仿宋_GB2312" w:hAnsi="仿宋_GB2312" w:eastAsia="仿宋_GB2312" w:cs="仿宋_GB2312"/>
                <w:sz w:val="24"/>
              </w:rPr>
            </w:pPr>
          </w:p>
        </w:tc>
        <w:tc>
          <w:tcPr>
            <w:tcW w:w="425" w:type="dxa"/>
            <w:noWrap w:val="0"/>
            <w:vAlign w:val="center"/>
          </w:tcPr>
          <w:p>
            <w:pPr>
              <w:spacing w:line="360" w:lineRule="auto"/>
              <w:jc w:val="center"/>
              <w:rPr>
                <w:rFonts w:hint="eastAsia" w:ascii="仿宋_GB2312" w:hAnsi="仿宋_GB2312" w:eastAsia="仿宋_GB2312" w:cs="仿宋_GB2312"/>
                <w:sz w:val="24"/>
              </w:rPr>
            </w:pPr>
          </w:p>
        </w:tc>
        <w:tc>
          <w:tcPr>
            <w:tcW w:w="1418" w:type="dxa"/>
            <w:noWrap w:val="0"/>
            <w:vAlign w:val="center"/>
          </w:tcPr>
          <w:p>
            <w:pPr>
              <w:spacing w:line="360" w:lineRule="auto"/>
              <w:jc w:val="center"/>
              <w:rPr>
                <w:rFonts w:hint="eastAsia" w:ascii="仿宋_GB2312" w:hAnsi="仿宋_GB2312" w:eastAsia="仿宋_GB2312" w:cs="仿宋_GB2312"/>
                <w:sz w:val="24"/>
              </w:rPr>
            </w:pPr>
          </w:p>
        </w:tc>
        <w:tc>
          <w:tcPr>
            <w:tcW w:w="1984" w:type="dxa"/>
            <w:noWrap w:val="0"/>
            <w:vAlign w:val="top"/>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trPr>
        <w:tc>
          <w:tcPr>
            <w:tcW w:w="392" w:type="dxa"/>
            <w:noWrap w:val="0"/>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6</w:t>
            </w:r>
          </w:p>
        </w:tc>
        <w:tc>
          <w:tcPr>
            <w:tcW w:w="709" w:type="dxa"/>
            <w:noWrap w:val="0"/>
            <w:vAlign w:val="center"/>
          </w:tcPr>
          <w:p>
            <w:pPr>
              <w:spacing w:line="360" w:lineRule="auto"/>
              <w:rPr>
                <w:rFonts w:hint="eastAsia" w:ascii="仿宋_GB2312" w:hAnsi="仿宋_GB2312" w:eastAsia="仿宋_GB2312" w:cs="仿宋_GB2312"/>
                <w:kern w:val="0"/>
                <w:sz w:val="24"/>
                <w:lang w:bidi="hi-IN"/>
              </w:rPr>
            </w:pPr>
          </w:p>
        </w:tc>
        <w:tc>
          <w:tcPr>
            <w:tcW w:w="1417" w:type="dxa"/>
            <w:noWrap w:val="0"/>
            <w:vAlign w:val="center"/>
          </w:tcPr>
          <w:p>
            <w:pPr>
              <w:spacing w:line="360" w:lineRule="auto"/>
              <w:rPr>
                <w:rFonts w:hint="eastAsia" w:ascii="仿宋_GB2312" w:hAnsi="仿宋_GB2312" w:eastAsia="仿宋_GB2312" w:cs="仿宋_GB2312"/>
                <w:kern w:val="0"/>
                <w:sz w:val="24"/>
                <w:lang w:bidi="hi-IN"/>
              </w:rPr>
            </w:pPr>
          </w:p>
        </w:tc>
        <w:tc>
          <w:tcPr>
            <w:tcW w:w="1843" w:type="dxa"/>
            <w:noWrap w:val="0"/>
            <w:vAlign w:val="center"/>
          </w:tcPr>
          <w:p>
            <w:pPr>
              <w:spacing w:line="360" w:lineRule="auto"/>
              <w:jc w:val="center"/>
              <w:rPr>
                <w:rFonts w:hint="eastAsia" w:ascii="仿宋_GB2312" w:hAnsi="仿宋_GB2312" w:eastAsia="仿宋_GB2312" w:cs="仿宋_GB2312"/>
                <w:sz w:val="24"/>
              </w:rPr>
            </w:pPr>
          </w:p>
        </w:tc>
        <w:tc>
          <w:tcPr>
            <w:tcW w:w="567" w:type="dxa"/>
            <w:noWrap w:val="0"/>
            <w:vAlign w:val="center"/>
          </w:tcPr>
          <w:p>
            <w:pPr>
              <w:spacing w:line="360" w:lineRule="auto"/>
              <w:jc w:val="center"/>
              <w:rPr>
                <w:rFonts w:hint="eastAsia" w:ascii="仿宋_GB2312" w:hAnsi="仿宋_GB2312" w:eastAsia="仿宋_GB2312" w:cs="仿宋_GB2312"/>
                <w:sz w:val="24"/>
              </w:rPr>
            </w:pPr>
          </w:p>
        </w:tc>
        <w:tc>
          <w:tcPr>
            <w:tcW w:w="567" w:type="dxa"/>
            <w:noWrap w:val="0"/>
            <w:vAlign w:val="center"/>
          </w:tcPr>
          <w:p>
            <w:pPr>
              <w:spacing w:line="360" w:lineRule="auto"/>
              <w:jc w:val="center"/>
              <w:rPr>
                <w:rFonts w:hint="eastAsia" w:ascii="仿宋_GB2312" w:hAnsi="仿宋_GB2312" w:eastAsia="仿宋_GB2312" w:cs="仿宋_GB2312"/>
                <w:sz w:val="24"/>
              </w:rPr>
            </w:pPr>
          </w:p>
        </w:tc>
        <w:tc>
          <w:tcPr>
            <w:tcW w:w="425" w:type="dxa"/>
            <w:noWrap w:val="0"/>
            <w:vAlign w:val="center"/>
          </w:tcPr>
          <w:p>
            <w:pPr>
              <w:spacing w:line="360" w:lineRule="auto"/>
              <w:jc w:val="center"/>
              <w:rPr>
                <w:rFonts w:hint="eastAsia" w:ascii="仿宋_GB2312" w:hAnsi="仿宋_GB2312" w:eastAsia="仿宋_GB2312" w:cs="仿宋_GB2312"/>
                <w:sz w:val="24"/>
              </w:rPr>
            </w:pPr>
          </w:p>
        </w:tc>
        <w:tc>
          <w:tcPr>
            <w:tcW w:w="1418" w:type="dxa"/>
            <w:noWrap w:val="0"/>
            <w:vAlign w:val="center"/>
          </w:tcPr>
          <w:p>
            <w:pPr>
              <w:spacing w:line="360" w:lineRule="auto"/>
              <w:jc w:val="center"/>
              <w:rPr>
                <w:rFonts w:hint="eastAsia" w:ascii="仿宋_GB2312" w:hAnsi="仿宋_GB2312" w:eastAsia="仿宋_GB2312" w:cs="仿宋_GB2312"/>
                <w:sz w:val="24"/>
              </w:rPr>
            </w:pPr>
          </w:p>
        </w:tc>
        <w:tc>
          <w:tcPr>
            <w:tcW w:w="1984" w:type="dxa"/>
            <w:noWrap w:val="0"/>
            <w:vAlign w:val="top"/>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trPr>
        <w:tc>
          <w:tcPr>
            <w:tcW w:w="392" w:type="dxa"/>
            <w:noWrap w:val="0"/>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7</w:t>
            </w:r>
          </w:p>
        </w:tc>
        <w:tc>
          <w:tcPr>
            <w:tcW w:w="709" w:type="dxa"/>
            <w:noWrap w:val="0"/>
            <w:vAlign w:val="center"/>
          </w:tcPr>
          <w:p>
            <w:pPr>
              <w:spacing w:line="360" w:lineRule="auto"/>
              <w:rPr>
                <w:rFonts w:hint="eastAsia" w:ascii="仿宋_GB2312" w:hAnsi="仿宋_GB2312" w:eastAsia="仿宋_GB2312" w:cs="仿宋_GB2312"/>
                <w:kern w:val="0"/>
                <w:sz w:val="24"/>
                <w:lang w:bidi="hi-IN"/>
              </w:rPr>
            </w:pPr>
          </w:p>
        </w:tc>
        <w:tc>
          <w:tcPr>
            <w:tcW w:w="1417" w:type="dxa"/>
            <w:noWrap w:val="0"/>
            <w:vAlign w:val="center"/>
          </w:tcPr>
          <w:p>
            <w:pPr>
              <w:spacing w:line="360" w:lineRule="auto"/>
              <w:rPr>
                <w:rFonts w:hint="eastAsia" w:ascii="仿宋_GB2312" w:hAnsi="仿宋_GB2312" w:eastAsia="仿宋_GB2312" w:cs="仿宋_GB2312"/>
                <w:kern w:val="0"/>
                <w:sz w:val="24"/>
                <w:lang w:bidi="hi-IN"/>
              </w:rPr>
            </w:pPr>
          </w:p>
        </w:tc>
        <w:tc>
          <w:tcPr>
            <w:tcW w:w="1843" w:type="dxa"/>
            <w:noWrap w:val="0"/>
            <w:vAlign w:val="center"/>
          </w:tcPr>
          <w:p>
            <w:pPr>
              <w:spacing w:line="360" w:lineRule="auto"/>
              <w:jc w:val="center"/>
              <w:rPr>
                <w:rFonts w:hint="eastAsia" w:ascii="仿宋_GB2312" w:hAnsi="仿宋_GB2312" w:eastAsia="仿宋_GB2312" w:cs="仿宋_GB2312"/>
                <w:sz w:val="24"/>
              </w:rPr>
            </w:pPr>
          </w:p>
        </w:tc>
        <w:tc>
          <w:tcPr>
            <w:tcW w:w="567" w:type="dxa"/>
            <w:noWrap w:val="0"/>
            <w:vAlign w:val="center"/>
          </w:tcPr>
          <w:p>
            <w:pPr>
              <w:spacing w:line="360" w:lineRule="auto"/>
              <w:jc w:val="center"/>
              <w:rPr>
                <w:rFonts w:hint="eastAsia" w:ascii="仿宋_GB2312" w:hAnsi="仿宋_GB2312" w:eastAsia="仿宋_GB2312" w:cs="仿宋_GB2312"/>
                <w:sz w:val="24"/>
              </w:rPr>
            </w:pPr>
          </w:p>
        </w:tc>
        <w:tc>
          <w:tcPr>
            <w:tcW w:w="567" w:type="dxa"/>
            <w:noWrap w:val="0"/>
            <w:vAlign w:val="center"/>
          </w:tcPr>
          <w:p>
            <w:pPr>
              <w:spacing w:line="360" w:lineRule="auto"/>
              <w:jc w:val="center"/>
              <w:rPr>
                <w:rFonts w:hint="eastAsia" w:ascii="仿宋_GB2312" w:hAnsi="仿宋_GB2312" w:eastAsia="仿宋_GB2312" w:cs="仿宋_GB2312"/>
                <w:sz w:val="24"/>
              </w:rPr>
            </w:pPr>
          </w:p>
        </w:tc>
        <w:tc>
          <w:tcPr>
            <w:tcW w:w="425" w:type="dxa"/>
            <w:noWrap w:val="0"/>
            <w:vAlign w:val="center"/>
          </w:tcPr>
          <w:p>
            <w:pPr>
              <w:spacing w:line="360" w:lineRule="auto"/>
              <w:jc w:val="center"/>
              <w:rPr>
                <w:rFonts w:hint="eastAsia" w:ascii="仿宋_GB2312" w:hAnsi="仿宋_GB2312" w:eastAsia="仿宋_GB2312" w:cs="仿宋_GB2312"/>
                <w:sz w:val="24"/>
              </w:rPr>
            </w:pPr>
          </w:p>
        </w:tc>
        <w:tc>
          <w:tcPr>
            <w:tcW w:w="1418" w:type="dxa"/>
            <w:noWrap w:val="0"/>
            <w:vAlign w:val="center"/>
          </w:tcPr>
          <w:p>
            <w:pPr>
              <w:spacing w:line="360" w:lineRule="auto"/>
              <w:jc w:val="center"/>
              <w:rPr>
                <w:rFonts w:hint="eastAsia" w:ascii="仿宋_GB2312" w:hAnsi="仿宋_GB2312" w:eastAsia="仿宋_GB2312" w:cs="仿宋_GB2312"/>
                <w:sz w:val="24"/>
              </w:rPr>
            </w:pPr>
          </w:p>
        </w:tc>
        <w:tc>
          <w:tcPr>
            <w:tcW w:w="1984" w:type="dxa"/>
            <w:noWrap w:val="0"/>
            <w:vAlign w:val="top"/>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trPr>
        <w:tc>
          <w:tcPr>
            <w:tcW w:w="392" w:type="dxa"/>
            <w:noWrap w:val="0"/>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8</w:t>
            </w:r>
          </w:p>
        </w:tc>
        <w:tc>
          <w:tcPr>
            <w:tcW w:w="709" w:type="dxa"/>
            <w:noWrap w:val="0"/>
            <w:vAlign w:val="center"/>
          </w:tcPr>
          <w:p>
            <w:pPr>
              <w:spacing w:line="360" w:lineRule="auto"/>
              <w:rPr>
                <w:rFonts w:hint="eastAsia" w:ascii="仿宋_GB2312" w:hAnsi="仿宋_GB2312" w:eastAsia="仿宋_GB2312" w:cs="仿宋_GB2312"/>
                <w:kern w:val="0"/>
                <w:sz w:val="24"/>
                <w:lang w:bidi="hi-IN"/>
              </w:rPr>
            </w:pPr>
          </w:p>
        </w:tc>
        <w:tc>
          <w:tcPr>
            <w:tcW w:w="1417" w:type="dxa"/>
            <w:noWrap w:val="0"/>
            <w:vAlign w:val="center"/>
          </w:tcPr>
          <w:p>
            <w:pPr>
              <w:spacing w:line="360" w:lineRule="auto"/>
              <w:rPr>
                <w:rFonts w:hint="eastAsia" w:ascii="仿宋_GB2312" w:hAnsi="仿宋_GB2312" w:eastAsia="仿宋_GB2312" w:cs="仿宋_GB2312"/>
                <w:kern w:val="0"/>
                <w:sz w:val="24"/>
                <w:lang w:bidi="hi-IN"/>
              </w:rPr>
            </w:pPr>
          </w:p>
        </w:tc>
        <w:tc>
          <w:tcPr>
            <w:tcW w:w="1843" w:type="dxa"/>
            <w:noWrap w:val="0"/>
            <w:vAlign w:val="center"/>
          </w:tcPr>
          <w:p>
            <w:pPr>
              <w:spacing w:line="360" w:lineRule="auto"/>
              <w:jc w:val="center"/>
              <w:rPr>
                <w:rFonts w:hint="eastAsia" w:ascii="仿宋_GB2312" w:hAnsi="仿宋_GB2312" w:eastAsia="仿宋_GB2312" w:cs="仿宋_GB2312"/>
                <w:sz w:val="24"/>
              </w:rPr>
            </w:pPr>
          </w:p>
        </w:tc>
        <w:tc>
          <w:tcPr>
            <w:tcW w:w="567" w:type="dxa"/>
            <w:noWrap w:val="0"/>
            <w:vAlign w:val="center"/>
          </w:tcPr>
          <w:p>
            <w:pPr>
              <w:spacing w:line="360" w:lineRule="auto"/>
              <w:jc w:val="center"/>
              <w:rPr>
                <w:rFonts w:hint="eastAsia" w:ascii="仿宋_GB2312" w:hAnsi="仿宋_GB2312" w:eastAsia="仿宋_GB2312" w:cs="仿宋_GB2312"/>
                <w:sz w:val="24"/>
              </w:rPr>
            </w:pPr>
          </w:p>
        </w:tc>
        <w:tc>
          <w:tcPr>
            <w:tcW w:w="567" w:type="dxa"/>
            <w:noWrap w:val="0"/>
            <w:vAlign w:val="center"/>
          </w:tcPr>
          <w:p>
            <w:pPr>
              <w:spacing w:line="360" w:lineRule="auto"/>
              <w:jc w:val="center"/>
              <w:rPr>
                <w:rFonts w:hint="eastAsia" w:ascii="仿宋_GB2312" w:hAnsi="仿宋_GB2312" w:eastAsia="仿宋_GB2312" w:cs="仿宋_GB2312"/>
                <w:sz w:val="24"/>
              </w:rPr>
            </w:pPr>
          </w:p>
        </w:tc>
        <w:tc>
          <w:tcPr>
            <w:tcW w:w="425" w:type="dxa"/>
            <w:noWrap w:val="0"/>
            <w:vAlign w:val="center"/>
          </w:tcPr>
          <w:p>
            <w:pPr>
              <w:spacing w:line="360" w:lineRule="auto"/>
              <w:jc w:val="center"/>
              <w:rPr>
                <w:rFonts w:hint="eastAsia" w:ascii="仿宋_GB2312" w:hAnsi="仿宋_GB2312" w:eastAsia="仿宋_GB2312" w:cs="仿宋_GB2312"/>
                <w:sz w:val="24"/>
              </w:rPr>
            </w:pPr>
          </w:p>
        </w:tc>
        <w:tc>
          <w:tcPr>
            <w:tcW w:w="1418" w:type="dxa"/>
            <w:noWrap w:val="0"/>
            <w:vAlign w:val="center"/>
          </w:tcPr>
          <w:p>
            <w:pPr>
              <w:spacing w:line="360" w:lineRule="auto"/>
              <w:jc w:val="center"/>
              <w:rPr>
                <w:rFonts w:hint="eastAsia" w:ascii="仿宋_GB2312" w:hAnsi="仿宋_GB2312" w:eastAsia="仿宋_GB2312" w:cs="仿宋_GB2312"/>
                <w:sz w:val="24"/>
              </w:rPr>
            </w:pPr>
          </w:p>
        </w:tc>
        <w:tc>
          <w:tcPr>
            <w:tcW w:w="1984" w:type="dxa"/>
            <w:noWrap w:val="0"/>
            <w:vAlign w:val="top"/>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59" w:hRule="atLeast"/>
        </w:trPr>
        <w:tc>
          <w:tcPr>
            <w:tcW w:w="4361" w:type="dxa"/>
            <w:gridSpan w:val="4"/>
            <w:noWrap w:val="0"/>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投标报价（小写）</w:t>
            </w:r>
          </w:p>
        </w:tc>
        <w:tc>
          <w:tcPr>
            <w:tcW w:w="4961" w:type="dxa"/>
            <w:gridSpan w:val="5"/>
            <w:noWrap w:val="0"/>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97" w:hRule="atLeast"/>
        </w:trPr>
        <w:tc>
          <w:tcPr>
            <w:tcW w:w="4361" w:type="dxa"/>
            <w:gridSpan w:val="4"/>
            <w:noWrap w:val="0"/>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投标报价（大写）</w:t>
            </w:r>
          </w:p>
        </w:tc>
        <w:tc>
          <w:tcPr>
            <w:tcW w:w="4961" w:type="dxa"/>
            <w:gridSpan w:val="5"/>
            <w:noWrap w:val="0"/>
            <w:vAlign w:val="center"/>
          </w:tcPr>
          <w:p>
            <w:pPr>
              <w:spacing w:line="360" w:lineRule="auto"/>
              <w:jc w:val="center"/>
              <w:rPr>
                <w:rFonts w:hint="eastAsia" w:ascii="仿宋_GB2312" w:hAnsi="仿宋_GB2312" w:eastAsia="仿宋_GB2312" w:cs="仿宋_GB2312"/>
                <w:sz w:val="24"/>
              </w:rPr>
            </w:pPr>
          </w:p>
        </w:tc>
      </w:tr>
    </w:tbl>
    <w:p>
      <w:pPr>
        <w:snapToGrid w:val="0"/>
        <w:spacing w:line="360" w:lineRule="auto"/>
        <w:ind w:left="480"/>
        <w:rPr>
          <w:rFonts w:hint="eastAsia" w:ascii="仿宋_GB2312" w:hAnsi="仿宋_GB2312" w:eastAsia="仿宋_GB2312" w:cs="仿宋_GB2312"/>
          <w:b/>
          <w:kern w:val="0"/>
          <w:sz w:val="24"/>
          <w:lang w:val="zh-CN"/>
        </w:rPr>
      </w:pPr>
      <w:r>
        <w:rPr>
          <w:rFonts w:hint="eastAsia" w:ascii="仿宋_GB2312" w:hAnsi="仿宋_GB2312" w:eastAsia="仿宋_GB2312" w:cs="仿宋_GB2312"/>
          <w:b/>
          <w:kern w:val="0"/>
          <w:sz w:val="24"/>
          <w:lang w:val="zh-CN"/>
        </w:rPr>
        <w:t>注：</w:t>
      </w:r>
    </w:p>
    <w:p>
      <w:pPr>
        <w:spacing w:line="360" w:lineRule="auto"/>
        <w:ind w:left="-2" w:leftChars="-1" w:firstLine="480" w:firstLineChars="20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1、投标人需按本表格式填写，不得自行更改。</w:t>
      </w:r>
    </w:p>
    <w:p>
      <w:pPr>
        <w:snapToGrid w:val="0"/>
        <w:spacing w:line="360" w:lineRule="auto"/>
        <w:ind w:left="48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2、有关本项目实施所涉及的一切费用（详见前附表）均计入报价。</w:t>
      </w:r>
    </w:p>
    <w:p>
      <w:pPr>
        <w:snapToGrid w:val="0"/>
        <w:spacing w:line="360" w:lineRule="auto"/>
        <w:ind w:firstLine="480" w:firstLineChars="200"/>
        <w:rPr>
          <w:rFonts w:hint="eastAsia" w:ascii="仿宋_GB2312" w:hAnsi="宋体" w:eastAsia="仿宋_GB2312"/>
          <w:kern w:val="0"/>
          <w:sz w:val="24"/>
          <w:lang w:val="zh-CN"/>
        </w:rPr>
      </w:pPr>
      <w:r>
        <w:rPr>
          <w:rFonts w:hint="eastAsia" w:ascii="仿宋_GB2312" w:hAnsi="仿宋_GB2312" w:eastAsia="仿宋_GB2312" w:cs="仿宋_GB2312"/>
          <w:kern w:val="0"/>
          <w:sz w:val="24"/>
          <w:lang w:val="zh-CN"/>
        </w:rPr>
        <w:t>3、</w:t>
      </w:r>
      <w:r>
        <w:rPr>
          <w:rFonts w:hint="eastAsia" w:ascii="仿宋_GB2312" w:hAnsi="宋体" w:eastAsia="仿宋_GB2312"/>
          <w:kern w:val="0"/>
          <w:sz w:val="24"/>
          <w:lang w:val="zh-CN"/>
        </w:rPr>
        <w:t>以上表格要求细分项目及报价，</w:t>
      </w:r>
      <w:r>
        <w:rPr>
          <w:rFonts w:hint="eastAsia" w:ascii="仿宋_GB2312" w:hAnsi="仿宋" w:eastAsia="仿宋_GB2312" w:cs="Arial"/>
          <w:b/>
          <w:kern w:val="0"/>
          <w:sz w:val="24"/>
        </w:rPr>
        <w:t>在“规格型号（或具体服务）”一栏中，货物类项目填写规格型号，服务类项目填写具体服务。</w:t>
      </w:r>
    </w:p>
    <w:p>
      <w:pPr>
        <w:snapToGrid w:val="0"/>
        <w:spacing w:line="360" w:lineRule="auto"/>
        <w:ind w:firstLine="482" w:firstLineChars="200"/>
        <w:rPr>
          <w:rFonts w:hint="eastAsia" w:ascii="仿宋_GB2312" w:hAnsi="宋体" w:eastAsia="仿宋_GB2312"/>
          <w:b/>
          <w:kern w:val="0"/>
          <w:sz w:val="24"/>
          <w:lang w:val="zh-CN"/>
        </w:rPr>
      </w:pPr>
      <w:r>
        <w:rPr>
          <w:rFonts w:hint="eastAsia" w:ascii="仿宋_GB2312" w:hAnsi="宋体" w:eastAsia="仿宋_GB2312"/>
          <w:b/>
          <w:kern w:val="0"/>
          <w:sz w:val="24"/>
          <w:lang w:val="zh-CN"/>
        </w:rPr>
        <w:t>4、特别提示：采购机构将对</w:t>
      </w:r>
      <w:r>
        <w:rPr>
          <w:rFonts w:hint="eastAsia" w:ascii="仿宋_GB2312" w:hAnsi="仿宋" w:eastAsia="仿宋_GB2312" w:cs="宋体"/>
          <w:b/>
          <w:kern w:val="0"/>
          <w:sz w:val="24"/>
        </w:rPr>
        <w:t>项目名称和项目编号，中标供应商名称、地址和中标金额，主要中标标的的名称、规格型号、数量、单价、服务要求等</w:t>
      </w:r>
      <w:r>
        <w:rPr>
          <w:rFonts w:hint="eastAsia" w:ascii="仿宋_GB2312" w:hAnsi="宋体" w:eastAsia="仿宋_GB2312"/>
          <w:b/>
          <w:kern w:val="0"/>
          <w:sz w:val="24"/>
          <w:lang w:val="zh-CN"/>
        </w:rPr>
        <w:t>予以公示。</w:t>
      </w:r>
    </w:p>
    <w:p>
      <w:pPr>
        <w:spacing w:line="360" w:lineRule="auto"/>
        <w:ind w:firstLine="3600" w:firstLineChars="1500"/>
        <w:rPr>
          <w:rFonts w:hint="eastAsia" w:ascii="仿宋_GB2312" w:hAnsi="仿宋_GB2312" w:eastAsia="仿宋_GB2312" w:cs="仿宋_GB2312"/>
          <w:sz w:val="24"/>
        </w:rPr>
      </w:pPr>
      <w:r>
        <w:rPr>
          <w:rFonts w:hint="eastAsia" w:ascii="仿宋_GB2312" w:hAnsi="仿宋_GB2312" w:eastAsia="仿宋_GB2312" w:cs="仿宋_GB2312"/>
          <w:sz w:val="24"/>
        </w:rPr>
        <w:t>投标人名称（公章）：</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 xml:space="preserve">                          法定代表人或其授权代表（签字）：</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pStyle w:val="838"/>
        <w:keepNext w:val="0"/>
        <w:pageBreakBefore w:val="0"/>
        <w:tabs>
          <w:tab w:val="clear" w:pos="720"/>
        </w:tabs>
        <w:spacing w:line="460" w:lineRule="exact"/>
        <w:outlineLvl w:val="9"/>
        <w:rPr>
          <w:rFonts w:hint="eastAsia" w:ascii="仿宋_GB2312" w:eastAsia="仿宋_GB2312"/>
          <w:kern w:val="0"/>
          <w:sz w:val="30"/>
          <w:lang w:val="zh-CN"/>
        </w:rPr>
      </w:pPr>
    </w:p>
    <w:p>
      <w:pPr>
        <w:pStyle w:val="838"/>
        <w:keepNext w:val="0"/>
        <w:pageBreakBefore w:val="0"/>
        <w:tabs>
          <w:tab w:val="clear" w:pos="720"/>
        </w:tabs>
        <w:spacing w:line="460" w:lineRule="exact"/>
        <w:outlineLvl w:val="9"/>
        <w:rPr>
          <w:rFonts w:hint="eastAsia" w:ascii="仿宋_GB2312" w:eastAsia="仿宋_GB2312"/>
          <w:kern w:val="2"/>
          <w:sz w:val="32"/>
        </w:rPr>
      </w:pPr>
      <w:r>
        <w:rPr>
          <w:rFonts w:hint="eastAsia" w:ascii="仿宋_GB2312" w:eastAsia="仿宋_GB2312"/>
          <w:kern w:val="2"/>
          <w:sz w:val="32"/>
        </w:rPr>
        <w:t>三、投标设备参数清单</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363"/>
        <w:gridCol w:w="1331"/>
        <w:gridCol w:w="3258"/>
        <w:gridCol w:w="833"/>
        <w:gridCol w:w="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905" w:type="dxa"/>
            <w:noWrap w:val="0"/>
            <w:vAlign w:val="center"/>
          </w:tcPr>
          <w:p>
            <w:pPr>
              <w:spacing w:line="360" w:lineRule="auto"/>
              <w:jc w:val="center"/>
              <w:rPr>
                <w:rFonts w:hint="eastAsia" w:ascii="仿宋_GB2312" w:eastAsia="仿宋_GB2312"/>
                <w:b/>
                <w:sz w:val="24"/>
              </w:rPr>
            </w:pPr>
            <w:r>
              <w:rPr>
                <w:rFonts w:hint="eastAsia" w:ascii="仿宋_GB2312" w:eastAsia="仿宋_GB2312"/>
                <w:b/>
                <w:sz w:val="24"/>
              </w:rPr>
              <w:t>序号</w:t>
            </w:r>
          </w:p>
        </w:tc>
        <w:tc>
          <w:tcPr>
            <w:tcW w:w="1363" w:type="dxa"/>
            <w:noWrap w:val="0"/>
            <w:vAlign w:val="center"/>
          </w:tcPr>
          <w:p>
            <w:pPr>
              <w:spacing w:line="360" w:lineRule="auto"/>
              <w:jc w:val="center"/>
              <w:rPr>
                <w:rFonts w:hint="eastAsia" w:ascii="仿宋_GB2312" w:eastAsia="仿宋_GB2312"/>
                <w:b/>
                <w:sz w:val="24"/>
              </w:rPr>
            </w:pPr>
            <w:r>
              <w:rPr>
                <w:rFonts w:hint="eastAsia" w:ascii="仿宋_GB2312" w:eastAsia="仿宋_GB2312"/>
                <w:b/>
                <w:sz w:val="24"/>
              </w:rPr>
              <w:t>名称</w:t>
            </w:r>
          </w:p>
        </w:tc>
        <w:tc>
          <w:tcPr>
            <w:tcW w:w="1331" w:type="dxa"/>
            <w:noWrap w:val="0"/>
            <w:vAlign w:val="center"/>
          </w:tcPr>
          <w:p>
            <w:pPr>
              <w:spacing w:line="360" w:lineRule="auto"/>
              <w:jc w:val="center"/>
              <w:rPr>
                <w:rFonts w:hint="eastAsia" w:ascii="仿宋_GB2312" w:eastAsia="仿宋_GB2312"/>
                <w:b/>
                <w:sz w:val="24"/>
              </w:rPr>
            </w:pPr>
            <w:r>
              <w:rPr>
                <w:rFonts w:hint="eastAsia" w:ascii="仿宋_GB2312" w:eastAsia="仿宋_GB2312"/>
                <w:b/>
                <w:sz w:val="24"/>
              </w:rPr>
              <w:t>品牌型号</w:t>
            </w:r>
          </w:p>
        </w:tc>
        <w:tc>
          <w:tcPr>
            <w:tcW w:w="3258" w:type="dxa"/>
            <w:noWrap w:val="0"/>
            <w:vAlign w:val="top"/>
          </w:tcPr>
          <w:p>
            <w:pPr>
              <w:spacing w:line="360" w:lineRule="auto"/>
              <w:jc w:val="center"/>
              <w:rPr>
                <w:rFonts w:hint="eastAsia" w:ascii="仿宋_GB2312" w:eastAsia="仿宋_GB2312"/>
                <w:b/>
                <w:sz w:val="24"/>
              </w:rPr>
            </w:pPr>
            <w:r>
              <w:rPr>
                <w:rFonts w:hint="eastAsia" w:ascii="仿宋_GB2312" w:eastAsia="仿宋_GB2312"/>
                <w:b/>
                <w:sz w:val="24"/>
              </w:rPr>
              <w:t>规格参数</w:t>
            </w:r>
          </w:p>
        </w:tc>
        <w:tc>
          <w:tcPr>
            <w:tcW w:w="833" w:type="dxa"/>
            <w:noWrap w:val="0"/>
            <w:vAlign w:val="center"/>
          </w:tcPr>
          <w:p>
            <w:pPr>
              <w:spacing w:line="360" w:lineRule="auto"/>
              <w:jc w:val="center"/>
              <w:rPr>
                <w:rFonts w:hint="eastAsia" w:ascii="仿宋_GB2312" w:eastAsia="仿宋_GB2312"/>
                <w:b/>
                <w:sz w:val="24"/>
              </w:rPr>
            </w:pPr>
            <w:r>
              <w:rPr>
                <w:rFonts w:hint="eastAsia" w:ascii="仿宋_GB2312" w:eastAsia="仿宋_GB2312"/>
                <w:b/>
                <w:sz w:val="24"/>
              </w:rPr>
              <w:t>数量</w:t>
            </w:r>
          </w:p>
        </w:tc>
        <w:tc>
          <w:tcPr>
            <w:tcW w:w="878" w:type="dxa"/>
            <w:noWrap w:val="0"/>
            <w:vAlign w:val="center"/>
          </w:tcPr>
          <w:p>
            <w:pPr>
              <w:spacing w:line="360" w:lineRule="auto"/>
              <w:jc w:val="center"/>
              <w:rPr>
                <w:rFonts w:hint="eastAsia" w:ascii="仿宋_GB2312" w:eastAsia="仿宋_GB2312"/>
                <w:b/>
                <w:sz w:val="24"/>
              </w:rPr>
            </w:pPr>
            <w:r>
              <w:rPr>
                <w:rFonts w:hint="eastAsia" w:ascii="仿宋_GB2312" w:eastAsia="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jc w:val="center"/>
        </w:trPr>
        <w:tc>
          <w:tcPr>
            <w:tcW w:w="905" w:type="dxa"/>
            <w:noWrap w:val="0"/>
            <w:vAlign w:val="center"/>
          </w:tcPr>
          <w:p>
            <w:pPr>
              <w:spacing w:line="360" w:lineRule="auto"/>
              <w:jc w:val="center"/>
              <w:rPr>
                <w:rFonts w:hint="eastAsia" w:ascii="仿宋_GB2312" w:eastAsia="仿宋_GB2312"/>
                <w:b/>
                <w:sz w:val="24"/>
              </w:rPr>
            </w:pPr>
          </w:p>
        </w:tc>
        <w:tc>
          <w:tcPr>
            <w:tcW w:w="1363" w:type="dxa"/>
            <w:noWrap w:val="0"/>
            <w:vAlign w:val="center"/>
          </w:tcPr>
          <w:p>
            <w:pPr>
              <w:spacing w:line="360" w:lineRule="auto"/>
              <w:jc w:val="center"/>
              <w:rPr>
                <w:rFonts w:hint="eastAsia" w:ascii="仿宋_GB2312" w:eastAsia="仿宋_GB2312"/>
                <w:b/>
                <w:sz w:val="24"/>
              </w:rPr>
            </w:pPr>
          </w:p>
        </w:tc>
        <w:tc>
          <w:tcPr>
            <w:tcW w:w="1331" w:type="dxa"/>
            <w:noWrap w:val="0"/>
            <w:vAlign w:val="center"/>
          </w:tcPr>
          <w:p>
            <w:pPr>
              <w:spacing w:line="360" w:lineRule="auto"/>
              <w:jc w:val="center"/>
              <w:rPr>
                <w:rFonts w:hint="eastAsia" w:ascii="仿宋_GB2312" w:eastAsia="仿宋_GB2312"/>
                <w:b/>
                <w:sz w:val="24"/>
              </w:rPr>
            </w:pPr>
          </w:p>
        </w:tc>
        <w:tc>
          <w:tcPr>
            <w:tcW w:w="3258" w:type="dxa"/>
            <w:noWrap w:val="0"/>
            <w:vAlign w:val="top"/>
          </w:tcPr>
          <w:p>
            <w:pPr>
              <w:spacing w:line="360" w:lineRule="auto"/>
              <w:jc w:val="center"/>
              <w:rPr>
                <w:rFonts w:hint="eastAsia" w:ascii="仿宋_GB2312" w:eastAsia="仿宋_GB2312"/>
                <w:b/>
                <w:sz w:val="24"/>
              </w:rPr>
            </w:pPr>
          </w:p>
        </w:tc>
        <w:tc>
          <w:tcPr>
            <w:tcW w:w="833" w:type="dxa"/>
            <w:noWrap w:val="0"/>
            <w:vAlign w:val="center"/>
          </w:tcPr>
          <w:p>
            <w:pPr>
              <w:spacing w:line="360" w:lineRule="auto"/>
              <w:jc w:val="center"/>
              <w:rPr>
                <w:rFonts w:hint="eastAsia" w:ascii="仿宋_GB2312" w:eastAsia="仿宋_GB2312"/>
                <w:b/>
                <w:sz w:val="24"/>
              </w:rPr>
            </w:pPr>
          </w:p>
        </w:tc>
        <w:tc>
          <w:tcPr>
            <w:tcW w:w="878" w:type="dxa"/>
            <w:noWrap w:val="0"/>
            <w:vAlign w:val="center"/>
          </w:tcPr>
          <w:p>
            <w:pPr>
              <w:spacing w:line="360" w:lineRule="auto"/>
              <w:jc w:val="center"/>
              <w:rPr>
                <w:rFonts w:hint="eastAsia" w:ascii="仿宋_GB2312" w:eastAsia="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jc w:val="center"/>
        </w:trPr>
        <w:tc>
          <w:tcPr>
            <w:tcW w:w="905" w:type="dxa"/>
            <w:noWrap w:val="0"/>
            <w:vAlign w:val="center"/>
          </w:tcPr>
          <w:p>
            <w:pPr>
              <w:spacing w:line="360" w:lineRule="auto"/>
              <w:jc w:val="center"/>
              <w:rPr>
                <w:rFonts w:hint="eastAsia" w:ascii="仿宋_GB2312" w:eastAsia="仿宋_GB2312"/>
                <w:b/>
                <w:sz w:val="24"/>
              </w:rPr>
            </w:pPr>
          </w:p>
        </w:tc>
        <w:tc>
          <w:tcPr>
            <w:tcW w:w="1363" w:type="dxa"/>
            <w:noWrap w:val="0"/>
            <w:vAlign w:val="center"/>
          </w:tcPr>
          <w:p>
            <w:pPr>
              <w:spacing w:line="360" w:lineRule="auto"/>
              <w:jc w:val="center"/>
              <w:rPr>
                <w:rFonts w:hint="eastAsia" w:ascii="仿宋_GB2312" w:eastAsia="仿宋_GB2312"/>
                <w:b/>
                <w:sz w:val="24"/>
              </w:rPr>
            </w:pPr>
          </w:p>
        </w:tc>
        <w:tc>
          <w:tcPr>
            <w:tcW w:w="1331" w:type="dxa"/>
            <w:noWrap w:val="0"/>
            <w:vAlign w:val="center"/>
          </w:tcPr>
          <w:p>
            <w:pPr>
              <w:spacing w:line="360" w:lineRule="auto"/>
              <w:jc w:val="center"/>
              <w:rPr>
                <w:rFonts w:hint="eastAsia" w:ascii="仿宋_GB2312" w:eastAsia="仿宋_GB2312"/>
                <w:b/>
                <w:sz w:val="24"/>
              </w:rPr>
            </w:pPr>
          </w:p>
        </w:tc>
        <w:tc>
          <w:tcPr>
            <w:tcW w:w="3258" w:type="dxa"/>
            <w:noWrap w:val="0"/>
            <w:vAlign w:val="top"/>
          </w:tcPr>
          <w:p>
            <w:pPr>
              <w:spacing w:line="360" w:lineRule="auto"/>
              <w:jc w:val="center"/>
              <w:rPr>
                <w:rFonts w:hint="eastAsia" w:ascii="仿宋_GB2312" w:eastAsia="仿宋_GB2312"/>
                <w:b/>
                <w:sz w:val="24"/>
              </w:rPr>
            </w:pPr>
          </w:p>
        </w:tc>
        <w:tc>
          <w:tcPr>
            <w:tcW w:w="833" w:type="dxa"/>
            <w:noWrap w:val="0"/>
            <w:vAlign w:val="center"/>
          </w:tcPr>
          <w:p>
            <w:pPr>
              <w:spacing w:line="360" w:lineRule="auto"/>
              <w:jc w:val="center"/>
              <w:rPr>
                <w:rFonts w:hint="eastAsia" w:ascii="仿宋_GB2312" w:eastAsia="仿宋_GB2312"/>
                <w:b/>
                <w:sz w:val="24"/>
              </w:rPr>
            </w:pPr>
          </w:p>
        </w:tc>
        <w:tc>
          <w:tcPr>
            <w:tcW w:w="878" w:type="dxa"/>
            <w:noWrap w:val="0"/>
            <w:vAlign w:val="center"/>
          </w:tcPr>
          <w:p>
            <w:pPr>
              <w:spacing w:line="360" w:lineRule="auto"/>
              <w:jc w:val="center"/>
              <w:rPr>
                <w:rFonts w:hint="eastAsia" w:ascii="仿宋_GB2312" w:eastAsia="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jc w:val="center"/>
        </w:trPr>
        <w:tc>
          <w:tcPr>
            <w:tcW w:w="905" w:type="dxa"/>
            <w:noWrap w:val="0"/>
            <w:vAlign w:val="center"/>
          </w:tcPr>
          <w:p>
            <w:pPr>
              <w:spacing w:line="360" w:lineRule="auto"/>
              <w:jc w:val="center"/>
              <w:rPr>
                <w:rFonts w:hint="eastAsia" w:ascii="仿宋_GB2312" w:eastAsia="仿宋_GB2312"/>
                <w:b/>
                <w:sz w:val="24"/>
              </w:rPr>
            </w:pPr>
          </w:p>
        </w:tc>
        <w:tc>
          <w:tcPr>
            <w:tcW w:w="1363" w:type="dxa"/>
            <w:noWrap w:val="0"/>
            <w:vAlign w:val="center"/>
          </w:tcPr>
          <w:p>
            <w:pPr>
              <w:spacing w:line="360" w:lineRule="auto"/>
              <w:jc w:val="center"/>
              <w:rPr>
                <w:rFonts w:hint="eastAsia" w:ascii="仿宋_GB2312" w:eastAsia="仿宋_GB2312"/>
                <w:b/>
                <w:sz w:val="24"/>
              </w:rPr>
            </w:pPr>
          </w:p>
        </w:tc>
        <w:tc>
          <w:tcPr>
            <w:tcW w:w="1331" w:type="dxa"/>
            <w:noWrap w:val="0"/>
            <w:vAlign w:val="center"/>
          </w:tcPr>
          <w:p>
            <w:pPr>
              <w:spacing w:line="360" w:lineRule="auto"/>
              <w:jc w:val="center"/>
              <w:rPr>
                <w:rFonts w:hint="eastAsia" w:ascii="仿宋_GB2312" w:eastAsia="仿宋_GB2312"/>
                <w:b/>
                <w:sz w:val="24"/>
              </w:rPr>
            </w:pPr>
          </w:p>
        </w:tc>
        <w:tc>
          <w:tcPr>
            <w:tcW w:w="3258" w:type="dxa"/>
            <w:noWrap w:val="0"/>
            <w:vAlign w:val="top"/>
          </w:tcPr>
          <w:p>
            <w:pPr>
              <w:spacing w:line="360" w:lineRule="auto"/>
              <w:jc w:val="center"/>
              <w:rPr>
                <w:rFonts w:hint="eastAsia" w:ascii="仿宋_GB2312" w:eastAsia="仿宋_GB2312"/>
                <w:b/>
                <w:sz w:val="24"/>
              </w:rPr>
            </w:pPr>
          </w:p>
        </w:tc>
        <w:tc>
          <w:tcPr>
            <w:tcW w:w="833" w:type="dxa"/>
            <w:noWrap w:val="0"/>
            <w:vAlign w:val="center"/>
          </w:tcPr>
          <w:p>
            <w:pPr>
              <w:spacing w:line="360" w:lineRule="auto"/>
              <w:jc w:val="center"/>
              <w:rPr>
                <w:rFonts w:hint="eastAsia" w:ascii="仿宋_GB2312" w:eastAsia="仿宋_GB2312"/>
                <w:b/>
                <w:sz w:val="24"/>
              </w:rPr>
            </w:pPr>
          </w:p>
        </w:tc>
        <w:tc>
          <w:tcPr>
            <w:tcW w:w="878" w:type="dxa"/>
            <w:noWrap w:val="0"/>
            <w:vAlign w:val="center"/>
          </w:tcPr>
          <w:p>
            <w:pPr>
              <w:spacing w:line="360" w:lineRule="auto"/>
              <w:jc w:val="center"/>
              <w:rPr>
                <w:rFonts w:hint="eastAsia" w:ascii="仿宋_GB2312" w:eastAsia="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jc w:val="center"/>
        </w:trPr>
        <w:tc>
          <w:tcPr>
            <w:tcW w:w="905" w:type="dxa"/>
            <w:noWrap w:val="0"/>
            <w:vAlign w:val="center"/>
          </w:tcPr>
          <w:p>
            <w:pPr>
              <w:spacing w:line="360" w:lineRule="auto"/>
              <w:jc w:val="center"/>
              <w:rPr>
                <w:rFonts w:hint="eastAsia" w:ascii="仿宋_GB2312" w:eastAsia="仿宋_GB2312"/>
                <w:b/>
                <w:sz w:val="24"/>
              </w:rPr>
            </w:pPr>
          </w:p>
        </w:tc>
        <w:tc>
          <w:tcPr>
            <w:tcW w:w="1363" w:type="dxa"/>
            <w:noWrap w:val="0"/>
            <w:vAlign w:val="center"/>
          </w:tcPr>
          <w:p>
            <w:pPr>
              <w:spacing w:line="360" w:lineRule="auto"/>
              <w:jc w:val="center"/>
              <w:rPr>
                <w:rFonts w:hint="eastAsia" w:ascii="仿宋_GB2312" w:eastAsia="仿宋_GB2312"/>
                <w:b/>
                <w:sz w:val="24"/>
              </w:rPr>
            </w:pPr>
          </w:p>
        </w:tc>
        <w:tc>
          <w:tcPr>
            <w:tcW w:w="1331" w:type="dxa"/>
            <w:noWrap w:val="0"/>
            <w:vAlign w:val="center"/>
          </w:tcPr>
          <w:p>
            <w:pPr>
              <w:spacing w:line="360" w:lineRule="auto"/>
              <w:jc w:val="center"/>
              <w:rPr>
                <w:rFonts w:hint="eastAsia" w:ascii="仿宋_GB2312" w:eastAsia="仿宋_GB2312"/>
                <w:b/>
                <w:sz w:val="24"/>
              </w:rPr>
            </w:pPr>
          </w:p>
        </w:tc>
        <w:tc>
          <w:tcPr>
            <w:tcW w:w="3258" w:type="dxa"/>
            <w:noWrap w:val="0"/>
            <w:vAlign w:val="top"/>
          </w:tcPr>
          <w:p>
            <w:pPr>
              <w:spacing w:line="360" w:lineRule="auto"/>
              <w:jc w:val="center"/>
              <w:rPr>
                <w:rFonts w:hint="eastAsia" w:ascii="仿宋_GB2312" w:eastAsia="仿宋_GB2312"/>
                <w:b/>
                <w:sz w:val="24"/>
              </w:rPr>
            </w:pPr>
          </w:p>
        </w:tc>
        <w:tc>
          <w:tcPr>
            <w:tcW w:w="833" w:type="dxa"/>
            <w:noWrap w:val="0"/>
            <w:vAlign w:val="center"/>
          </w:tcPr>
          <w:p>
            <w:pPr>
              <w:spacing w:line="360" w:lineRule="auto"/>
              <w:jc w:val="center"/>
              <w:rPr>
                <w:rFonts w:hint="eastAsia" w:ascii="仿宋_GB2312" w:eastAsia="仿宋_GB2312"/>
                <w:b/>
                <w:sz w:val="24"/>
              </w:rPr>
            </w:pPr>
          </w:p>
        </w:tc>
        <w:tc>
          <w:tcPr>
            <w:tcW w:w="878" w:type="dxa"/>
            <w:noWrap w:val="0"/>
            <w:vAlign w:val="center"/>
          </w:tcPr>
          <w:p>
            <w:pPr>
              <w:spacing w:line="360" w:lineRule="auto"/>
              <w:jc w:val="center"/>
              <w:rPr>
                <w:rFonts w:hint="eastAsia" w:ascii="仿宋_GB2312" w:eastAsia="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jc w:val="center"/>
        </w:trPr>
        <w:tc>
          <w:tcPr>
            <w:tcW w:w="905" w:type="dxa"/>
            <w:noWrap w:val="0"/>
            <w:vAlign w:val="center"/>
          </w:tcPr>
          <w:p>
            <w:pPr>
              <w:spacing w:line="360" w:lineRule="auto"/>
              <w:jc w:val="center"/>
              <w:rPr>
                <w:rFonts w:hint="eastAsia" w:ascii="仿宋_GB2312" w:eastAsia="仿宋_GB2312"/>
                <w:b/>
                <w:sz w:val="24"/>
              </w:rPr>
            </w:pPr>
          </w:p>
        </w:tc>
        <w:tc>
          <w:tcPr>
            <w:tcW w:w="1363" w:type="dxa"/>
            <w:noWrap w:val="0"/>
            <w:vAlign w:val="center"/>
          </w:tcPr>
          <w:p>
            <w:pPr>
              <w:spacing w:line="360" w:lineRule="auto"/>
              <w:jc w:val="center"/>
              <w:rPr>
                <w:rFonts w:hint="eastAsia" w:ascii="仿宋_GB2312" w:eastAsia="仿宋_GB2312"/>
                <w:b/>
                <w:sz w:val="24"/>
              </w:rPr>
            </w:pPr>
          </w:p>
        </w:tc>
        <w:tc>
          <w:tcPr>
            <w:tcW w:w="1331" w:type="dxa"/>
            <w:noWrap w:val="0"/>
            <w:vAlign w:val="center"/>
          </w:tcPr>
          <w:p>
            <w:pPr>
              <w:spacing w:line="360" w:lineRule="auto"/>
              <w:jc w:val="center"/>
              <w:rPr>
                <w:rFonts w:hint="eastAsia" w:ascii="仿宋_GB2312" w:eastAsia="仿宋_GB2312"/>
                <w:b/>
                <w:sz w:val="24"/>
              </w:rPr>
            </w:pPr>
          </w:p>
        </w:tc>
        <w:tc>
          <w:tcPr>
            <w:tcW w:w="3258" w:type="dxa"/>
            <w:noWrap w:val="0"/>
            <w:vAlign w:val="top"/>
          </w:tcPr>
          <w:p>
            <w:pPr>
              <w:spacing w:line="360" w:lineRule="auto"/>
              <w:jc w:val="center"/>
              <w:rPr>
                <w:rFonts w:hint="eastAsia" w:ascii="仿宋_GB2312" w:eastAsia="仿宋_GB2312"/>
                <w:b/>
                <w:sz w:val="24"/>
              </w:rPr>
            </w:pPr>
          </w:p>
        </w:tc>
        <w:tc>
          <w:tcPr>
            <w:tcW w:w="833" w:type="dxa"/>
            <w:noWrap w:val="0"/>
            <w:vAlign w:val="center"/>
          </w:tcPr>
          <w:p>
            <w:pPr>
              <w:spacing w:line="360" w:lineRule="auto"/>
              <w:jc w:val="center"/>
              <w:rPr>
                <w:rFonts w:hint="eastAsia" w:ascii="仿宋_GB2312" w:eastAsia="仿宋_GB2312"/>
                <w:b/>
                <w:sz w:val="24"/>
              </w:rPr>
            </w:pPr>
          </w:p>
        </w:tc>
        <w:tc>
          <w:tcPr>
            <w:tcW w:w="878" w:type="dxa"/>
            <w:noWrap w:val="0"/>
            <w:vAlign w:val="center"/>
          </w:tcPr>
          <w:p>
            <w:pPr>
              <w:spacing w:line="360" w:lineRule="auto"/>
              <w:jc w:val="center"/>
              <w:rPr>
                <w:rFonts w:hint="eastAsia" w:ascii="仿宋_GB2312" w:eastAsia="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jc w:val="center"/>
        </w:trPr>
        <w:tc>
          <w:tcPr>
            <w:tcW w:w="905" w:type="dxa"/>
            <w:noWrap w:val="0"/>
            <w:vAlign w:val="center"/>
          </w:tcPr>
          <w:p>
            <w:pPr>
              <w:spacing w:line="360" w:lineRule="auto"/>
              <w:jc w:val="center"/>
              <w:rPr>
                <w:rFonts w:hint="eastAsia" w:ascii="仿宋_GB2312" w:eastAsia="仿宋_GB2312"/>
                <w:b/>
                <w:sz w:val="24"/>
              </w:rPr>
            </w:pPr>
          </w:p>
        </w:tc>
        <w:tc>
          <w:tcPr>
            <w:tcW w:w="1363" w:type="dxa"/>
            <w:noWrap w:val="0"/>
            <w:vAlign w:val="center"/>
          </w:tcPr>
          <w:p>
            <w:pPr>
              <w:spacing w:line="360" w:lineRule="auto"/>
              <w:jc w:val="center"/>
              <w:rPr>
                <w:rFonts w:hint="eastAsia" w:ascii="仿宋_GB2312" w:eastAsia="仿宋_GB2312"/>
                <w:b/>
                <w:sz w:val="24"/>
              </w:rPr>
            </w:pPr>
          </w:p>
        </w:tc>
        <w:tc>
          <w:tcPr>
            <w:tcW w:w="1331" w:type="dxa"/>
            <w:noWrap w:val="0"/>
            <w:vAlign w:val="center"/>
          </w:tcPr>
          <w:p>
            <w:pPr>
              <w:spacing w:line="360" w:lineRule="auto"/>
              <w:jc w:val="center"/>
              <w:rPr>
                <w:rFonts w:hint="eastAsia" w:ascii="仿宋_GB2312" w:eastAsia="仿宋_GB2312"/>
                <w:b/>
                <w:sz w:val="24"/>
              </w:rPr>
            </w:pPr>
          </w:p>
        </w:tc>
        <w:tc>
          <w:tcPr>
            <w:tcW w:w="3258" w:type="dxa"/>
            <w:noWrap w:val="0"/>
            <w:vAlign w:val="top"/>
          </w:tcPr>
          <w:p>
            <w:pPr>
              <w:spacing w:line="360" w:lineRule="auto"/>
              <w:jc w:val="center"/>
              <w:rPr>
                <w:rFonts w:hint="eastAsia" w:ascii="仿宋_GB2312" w:eastAsia="仿宋_GB2312"/>
                <w:b/>
                <w:sz w:val="24"/>
              </w:rPr>
            </w:pPr>
          </w:p>
        </w:tc>
        <w:tc>
          <w:tcPr>
            <w:tcW w:w="833" w:type="dxa"/>
            <w:noWrap w:val="0"/>
            <w:vAlign w:val="center"/>
          </w:tcPr>
          <w:p>
            <w:pPr>
              <w:spacing w:line="360" w:lineRule="auto"/>
              <w:jc w:val="center"/>
              <w:rPr>
                <w:rFonts w:hint="eastAsia" w:ascii="仿宋_GB2312" w:eastAsia="仿宋_GB2312"/>
                <w:b/>
                <w:sz w:val="24"/>
              </w:rPr>
            </w:pPr>
          </w:p>
        </w:tc>
        <w:tc>
          <w:tcPr>
            <w:tcW w:w="878" w:type="dxa"/>
            <w:noWrap w:val="0"/>
            <w:vAlign w:val="center"/>
          </w:tcPr>
          <w:p>
            <w:pPr>
              <w:spacing w:line="360" w:lineRule="auto"/>
              <w:jc w:val="center"/>
              <w:rPr>
                <w:rFonts w:hint="eastAsia" w:ascii="仿宋_GB2312" w:eastAsia="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jc w:val="center"/>
        </w:trPr>
        <w:tc>
          <w:tcPr>
            <w:tcW w:w="905" w:type="dxa"/>
            <w:noWrap w:val="0"/>
            <w:vAlign w:val="center"/>
          </w:tcPr>
          <w:p>
            <w:pPr>
              <w:spacing w:line="360" w:lineRule="auto"/>
              <w:jc w:val="center"/>
              <w:rPr>
                <w:rFonts w:hint="eastAsia" w:ascii="仿宋_GB2312" w:eastAsia="仿宋_GB2312"/>
                <w:b/>
                <w:sz w:val="24"/>
              </w:rPr>
            </w:pPr>
          </w:p>
        </w:tc>
        <w:tc>
          <w:tcPr>
            <w:tcW w:w="1363" w:type="dxa"/>
            <w:noWrap w:val="0"/>
            <w:vAlign w:val="center"/>
          </w:tcPr>
          <w:p>
            <w:pPr>
              <w:spacing w:line="360" w:lineRule="auto"/>
              <w:jc w:val="center"/>
              <w:rPr>
                <w:rFonts w:hint="eastAsia" w:ascii="仿宋_GB2312" w:eastAsia="仿宋_GB2312"/>
                <w:b/>
                <w:sz w:val="24"/>
              </w:rPr>
            </w:pPr>
          </w:p>
        </w:tc>
        <w:tc>
          <w:tcPr>
            <w:tcW w:w="1331" w:type="dxa"/>
            <w:noWrap w:val="0"/>
            <w:vAlign w:val="center"/>
          </w:tcPr>
          <w:p>
            <w:pPr>
              <w:spacing w:line="360" w:lineRule="auto"/>
              <w:jc w:val="center"/>
              <w:rPr>
                <w:rFonts w:hint="eastAsia" w:ascii="仿宋_GB2312" w:eastAsia="仿宋_GB2312"/>
                <w:b/>
                <w:sz w:val="24"/>
              </w:rPr>
            </w:pPr>
          </w:p>
        </w:tc>
        <w:tc>
          <w:tcPr>
            <w:tcW w:w="3258" w:type="dxa"/>
            <w:noWrap w:val="0"/>
            <w:vAlign w:val="top"/>
          </w:tcPr>
          <w:p>
            <w:pPr>
              <w:spacing w:line="360" w:lineRule="auto"/>
              <w:jc w:val="center"/>
              <w:rPr>
                <w:rFonts w:hint="eastAsia" w:ascii="仿宋_GB2312" w:eastAsia="仿宋_GB2312"/>
                <w:b/>
                <w:sz w:val="24"/>
              </w:rPr>
            </w:pPr>
          </w:p>
        </w:tc>
        <w:tc>
          <w:tcPr>
            <w:tcW w:w="833" w:type="dxa"/>
            <w:noWrap w:val="0"/>
            <w:vAlign w:val="center"/>
          </w:tcPr>
          <w:p>
            <w:pPr>
              <w:spacing w:line="360" w:lineRule="auto"/>
              <w:jc w:val="center"/>
              <w:rPr>
                <w:rFonts w:hint="eastAsia" w:ascii="仿宋_GB2312" w:eastAsia="仿宋_GB2312"/>
                <w:b/>
                <w:sz w:val="24"/>
              </w:rPr>
            </w:pPr>
          </w:p>
        </w:tc>
        <w:tc>
          <w:tcPr>
            <w:tcW w:w="878" w:type="dxa"/>
            <w:noWrap w:val="0"/>
            <w:vAlign w:val="center"/>
          </w:tcPr>
          <w:p>
            <w:pPr>
              <w:spacing w:line="360" w:lineRule="auto"/>
              <w:jc w:val="center"/>
              <w:rPr>
                <w:rFonts w:hint="eastAsia" w:ascii="仿宋_GB2312" w:eastAsia="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jc w:val="center"/>
        </w:trPr>
        <w:tc>
          <w:tcPr>
            <w:tcW w:w="905" w:type="dxa"/>
            <w:noWrap w:val="0"/>
            <w:vAlign w:val="center"/>
          </w:tcPr>
          <w:p>
            <w:pPr>
              <w:spacing w:line="360" w:lineRule="auto"/>
              <w:jc w:val="center"/>
              <w:rPr>
                <w:rFonts w:hint="eastAsia" w:ascii="仿宋_GB2312" w:eastAsia="仿宋_GB2312"/>
                <w:b/>
                <w:sz w:val="24"/>
              </w:rPr>
            </w:pPr>
          </w:p>
        </w:tc>
        <w:tc>
          <w:tcPr>
            <w:tcW w:w="1363" w:type="dxa"/>
            <w:noWrap w:val="0"/>
            <w:vAlign w:val="center"/>
          </w:tcPr>
          <w:p>
            <w:pPr>
              <w:spacing w:line="360" w:lineRule="auto"/>
              <w:jc w:val="center"/>
              <w:rPr>
                <w:rFonts w:hint="eastAsia" w:ascii="仿宋_GB2312" w:eastAsia="仿宋_GB2312"/>
                <w:b/>
                <w:sz w:val="24"/>
              </w:rPr>
            </w:pPr>
          </w:p>
        </w:tc>
        <w:tc>
          <w:tcPr>
            <w:tcW w:w="1331" w:type="dxa"/>
            <w:noWrap w:val="0"/>
            <w:vAlign w:val="center"/>
          </w:tcPr>
          <w:p>
            <w:pPr>
              <w:spacing w:line="360" w:lineRule="auto"/>
              <w:jc w:val="center"/>
              <w:rPr>
                <w:rFonts w:hint="eastAsia" w:ascii="仿宋_GB2312" w:eastAsia="仿宋_GB2312"/>
                <w:b/>
                <w:sz w:val="24"/>
              </w:rPr>
            </w:pPr>
          </w:p>
        </w:tc>
        <w:tc>
          <w:tcPr>
            <w:tcW w:w="3258" w:type="dxa"/>
            <w:noWrap w:val="0"/>
            <w:vAlign w:val="top"/>
          </w:tcPr>
          <w:p>
            <w:pPr>
              <w:spacing w:line="360" w:lineRule="auto"/>
              <w:jc w:val="center"/>
              <w:rPr>
                <w:rFonts w:hint="eastAsia" w:ascii="仿宋_GB2312" w:eastAsia="仿宋_GB2312"/>
                <w:b/>
                <w:sz w:val="24"/>
              </w:rPr>
            </w:pPr>
          </w:p>
        </w:tc>
        <w:tc>
          <w:tcPr>
            <w:tcW w:w="833" w:type="dxa"/>
            <w:noWrap w:val="0"/>
            <w:vAlign w:val="center"/>
          </w:tcPr>
          <w:p>
            <w:pPr>
              <w:spacing w:line="360" w:lineRule="auto"/>
              <w:jc w:val="center"/>
              <w:rPr>
                <w:rFonts w:hint="eastAsia" w:ascii="仿宋_GB2312" w:eastAsia="仿宋_GB2312"/>
                <w:b/>
                <w:sz w:val="24"/>
              </w:rPr>
            </w:pPr>
          </w:p>
        </w:tc>
        <w:tc>
          <w:tcPr>
            <w:tcW w:w="878" w:type="dxa"/>
            <w:noWrap w:val="0"/>
            <w:vAlign w:val="center"/>
          </w:tcPr>
          <w:p>
            <w:pPr>
              <w:spacing w:line="360" w:lineRule="auto"/>
              <w:jc w:val="center"/>
              <w:rPr>
                <w:rFonts w:hint="eastAsia" w:ascii="仿宋_GB2312" w:eastAsia="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jc w:val="center"/>
        </w:trPr>
        <w:tc>
          <w:tcPr>
            <w:tcW w:w="905" w:type="dxa"/>
            <w:noWrap w:val="0"/>
            <w:vAlign w:val="center"/>
          </w:tcPr>
          <w:p>
            <w:pPr>
              <w:spacing w:line="360" w:lineRule="auto"/>
              <w:jc w:val="center"/>
              <w:rPr>
                <w:rFonts w:hint="eastAsia" w:ascii="仿宋_GB2312" w:eastAsia="仿宋_GB2312"/>
                <w:b/>
                <w:sz w:val="24"/>
              </w:rPr>
            </w:pPr>
          </w:p>
        </w:tc>
        <w:tc>
          <w:tcPr>
            <w:tcW w:w="1363" w:type="dxa"/>
            <w:noWrap w:val="0"/>
            <w:vAlign w:val="center"/>
          </w:tcPr>
          <w:p>
            <w:pPr>
              <w:spacing w:line="360" w:lineRule="auto"/>
              <w:jc w:val="center"/>
              <w:rPr>
                <w:rFonts w:hint="eastAsia" w:ascii="仿宋_GB2312" w:eastAsia="仿宋_GB2312"/>
                <w:b/>
                <w:sz w:val="24"/>
              </w:rPr>
            </w:pPr>
          </w:p>
        </w:tc>
        <w:tc>
          <w:tcPr>
            <w:tcW w:w="1331" w:type="dxa"/>
            <w:noWrap w:val="0"/>
            <w:vAlign w:val="center"/>
          </w:tcPr>
          <w:p>
            <w:pPr>
              <w:spacing w:line="360" w:lineRule="auto"/>
              <w:jc w:val="center"/>
              <w:rPr>
                <w:rFonts w:hint="eastAsia" w:ascii="仿宋_GB2312" w:eastAsia="仿宋_GB2312"/>
                <w:b/>
                <w:sz w:val="24"/>
              </w:rPr>
            </w:pPr>
          </w:p>
        </w:tc>
        <w:tc>
          <w:tcPr>
            <w:tcW w:w="3258" w:type="dxa"/>
            <w:noWrap w:val="0"/>
            <w:vAlign w:val="top"/>
          </w:tcPr>
          <w:p>
            <w:pPr>
              <w:spacing w:line="360" w:lineRule="auto"/>
              <w:jc w:val="center"/>
              <w:rPr>
                <w:rFonts w:hint="eastAsia" w:ascii="仿宋_GB2312" w:eastAsia="仿宋_GB2312"/>
                <w:b/>
                <w:sz w:val="24"/>
              </w:rPr>
            </w:pPr>
          </w:p>
        </w:tc>
        <w:tc>
          <w:tcPr>
            <w:tcW w:w="833" w:type="dxa"/>
            <w:noWrap w:val="0"/>
            <w:vAlign w:val="center"/>
          </w:tcPr>
          <w:p>
            <w:pPr>
              <w:spacing w:line="360" w:lineRule="auto"/>
              <w:jc w:val="center"/>
              <w:rPr>
                <w:rFonts w:hint="eastAsia" w:ascii="仿宋_GB2312" w:eastAsia="仿宋_GB2312"/>
                <w:b/>
                <w:sz w:val="24"/>
              </w:rPr>
            </w:pPr>
          </w:p>
        </w:tc>
        <w:tc>
          <w:tcPr>
            <w:tcW w:w="878" w:type="dxa"/>
            <w:noWrap w:val="0"/>
            <w:vAlign w:val="center"/>
          </w:tcPr>
          <w:p>
            <w:pPr>
              <w:spacing w:line="360" w:lineRule="auto"/>
              <w:jc w:val="center"/>
              <w:rPr>
                <w:rFonts w:hint="eastAsia" w:ascii="仿宋_GB2312" w:eastAsia="仿宋_GB2312"/>
                <w:b/>
                <w:sz w:val="24"/>
              </w:rPr>
            </w:pPr>
          </w:p>
        </w:tc>
      </w:tr>
    </w:tbl>
    <w:p>
      <w:pPr>
        <w:spacing w:line="360" w:lineRule="auto"/>
        <w:ind w:firstLine="118" w:firstLineChars="49"/>
        <w:rPr>
          <w:rFonts w:hint="eastAsia" w:ascii="仿宋_GB2312" w:eastAsia="仿宋_GB2312"/>
          <w:b/>
          <w:kern w:val="0"/>
          <w:sz w:val="24"/>
          <w:lang w:val="zh-CN"/>
        </w:rPr>
      </w:pPr>
      <w:r>
        <w:rPr>
          <w:rFonts w:hint="eastAsia" w:ascii="仿宋_GB2312" w:eastAsia="仿宋_GB2312"/>
          <w:b/>
          <w:kern w:val="0"/>
          <w:sz w:val="24"/>
          <w:lang w:val="zh-CN"/>
        </w:rPr>
        <w:t>注：</w:t>
      </w:r>
      <w:r>
        <w:rPr>
          <w:rFonts w:hint="eastAsia" w:ascii="仿宋_GB2312" w:eastAsia="仿宋_GB2312"/>
          <w:sz w:val="24"/>
        </w:rPr>
        <w:t>1. 投标人需按采购清单顺序分类填写，</w:t>
      </w:r>
      <w:r>
        <w:rPr>
          <w:rFonts w:hint="eastAsia" w:ascii="仿宋_GB2312" w:hAnsi="宋体" w:eastAsia="仿宋_GB2312"/>
          <w:sz w:val="24"/>
        </w:rPr>
        <w:t>行数不够请自行增加</w:t>
      </w:r>
      <w:r>
        <w:rPr>
          <w:rFonts w:hint="eastAsia" w:ascii="仿宋_GB2312" w:hAnsi="ÎÄ¶¦CSÎº±®" w:eastAsia="仿宋_GB2312"/>
          <w:sz w:val="24"/>
        </w:rPr>
        <w:t>。</w:t>
      </w:r>
    </w:p>
    <w:p>
      <w:pPr>
        <w:spacing w:line="360" w:lineRule="auto"/>
        <w:rPr>
          <w:rFonts w:hint="eastAsia" w:ascii="仿宋_GB2312" w:eastAsia="仿宋_GB2312"/>
          <w:b/>
          <w:sz w:val="32"/>
        </w:rPr>
      </w:pPr>
    </w:p>
    <w:p>
      <w:pPr>
        <w:spacing w:line="360" w:lineRule="auto"/>
        <w:rPr>
          <w:rFonts w:hint="eastAsia" w:ascii="仿宋_GB2312" w:eastAsia="仿宋_GB2312"/>
          <w:b/>
          <w:sz w:val="32"/>
        </w:rPr>
      </w:pPr>
    </w:p>
    <w:p>
      <w:pPr>
        <w:autoSpaceDE w:val="0"/>
        <w:autoSpaceDN w:val="0"/>
        <w:adjustRightInd w:val="0"/>
        <w:spacing w:line="360" w:lineRule="auto"/>
        <w:ind w:right="480" w:firstLine="5152" w:firstLineChars="2147"/>
        <w:rPr>
          <w:rFonts w:hint="eastAsia" w:ascii="仿宋_GB2312" w:eastAsia="仿宋_GB2312"/>
          <w:kern w:val="0"/>
          <w:sz w:val="24"/>
        </w:rPr>
      </w:pPr>
      <w:r>
        <w:rPr>
          <w:rFonts w:hint="eastAsia" w:ascii="仿宋_GB2312" w:eastAsia="仿宋_GB2312"/>
          <w:kern w:val="0"/>
          <w:sz w:val="24"/>
          <w:lang w:val="zh-CN"/>
        </w:rPr>
        <w:t>投标人名称（公章）：</w:t>
      </w:r>
    </w:p>
    <w:p>
      <w:pPr>
        <w:autoSpaceDE w:val="0"/>
        <w:autoSpaceDN w:val="0"/>
        <w:adjustRightInd w:val="0"/>
        <w:spacing w:line="360" w:lineRule="auto"/>
        <w:rPr>
          <w:rFonts w:hint="eastAsia" w:ascii="仿宋_GB2312" w:eastAsia="仿宋_GB2312"/>
          <w:kern w:val="0"/>
          <w:sz w:val="24"/>
        </w:rPr>
      </w:pPr>
      <w:r>
        <w:rPr>
          <w:rFonts w:hint="eastAsia" w:ascii="仿宋_GB2312" w:eastAsia="仿宋_GB2312"/>
          <w:kern w:val="0"/>
          <w:sz w:val="24"/>
          <w:lang w:val="zh-CN"/>
        </w:rPr>
        <w:t xml:space="preserve">                                           </w:t>
      </w:r>
      <w:r>
        <w:rPr>
          <w:rFonts w:hint="eastAsia" w:ascii="仿宋_GB2312" w:eastAsia="仿宋_GB2312"/>
          <w:sz w:val="24"/>
        </w:rPr>
        <w:t>法定代表人或授权委托人</w:t>
      </w:r>
      <w:r>
        <w:rPr>
          <w:rFonts w:hint="eastAsia" w:ascii="仿宋_GB2312" w:eastAsia="仿宋_GB2312"/>
          <w:kern w:val="0"/>
          <w:sz w:val="24"/>
          <w:lang w:val="zh-CN"/>
        </w:rPr>
        <w:t>（签字）：</w:t>
      </w:r>
    </w:p>
    <w:p>
      <w:pPr>
        <w:spacing w:line="360" w:lineRule="auto"/>
        <w:rPr>
          <w:rFonts w:hint="eastAsia" w:ascii="仿宋_GB2312" w:eastAsia="仿宋_GB2312"/>
          <w:b/>
          <w:sz w:val="32"/>
        </w:rPr>
      </w:pPr>
      <w:r>
        <w:rPr>
          <w:rFonts w:hint="eastAsia" w:ascii="仿宋_GB2312" w:eastAsia="仿宋_GB2312"/>
          <w:kern w:val="0"/>
          <w:sz w:val="24"/>
          <w:lang w:val="zh-CN"/>
        </w:rPr>
        <w:t xml:space="preserve">                                           日期：2019年  月   日</w:t>
      </w:r>
    </w:p>
    <w:p>
      <w:pPr>
        <w:pStyle w:val="838"/>
        <w:keepNext w:val="0"/>
        <w:pageBreakBefore w:val="0"/>
        <w:tabs>
          <w:tab w:val="clear" w:pos="720"/>
        </w:tabs>
        <w:spacing w:line="460" w:lineRule="exact"/>
        <w:outlineLvl w:val="9"/>
        <w:rPr>
          <w:rFonts w:hint="eastAsia" w:ascii="仿宋_GB2312" w:eastAsia="仿宋_GB2312"/>
          <w:kern w:val="2"/>
          <w:sz w:val="32"/>
        </w:rPr>
      </w:pPr>
    </w:p>
    <w:p>
      <w:pPr>
        <w:pStyle w:val="838"/>
        <w:keepNext w:val="0"/>
        <w:pageBreakBefore w:val="0"/>
        <w:tabs>
          <w:tab w:val="clear" w:pos="720"/>
        </w:tabs>
        <w:spacing w:line="460" w:lineRule="exact"/>
        <w:outlineLvl w:val="9"/>
        <w:rPr>
          <w:rFonts w:hint="eastAsia" w:ascii="仿宋_GB2312" w:eastAsia="仿宋_GB2312"/>
          <w:kern w:val="2"/>
          <w:sz w:val="32"/>
        </w:rPr>
      </w:pPr>
    </w:p>
    <w:p>
      <w:pPr>
        <w:pStyle w:val="838"/>
        <w:keepNext w:val="0"/>
        <w:pageBreakBefore w:val="0"/>
        <w:tabs>
          <w:tab w:val="clear" w:pos="720"/>
        </w:tabs>
        <w:spacing w:line="460" w:lineRule="exact"/>
        <w:outlineLvl w:val="9"/>
        <w:rPr>
          <w:rFonts w:hint="eastAsia" w:ascii="仿宋_GB2312" w:eastAsia="仿宋_GB2312"/>
          <w:kern w:val="2"/>
          <w:sz w:val="32"/>
        </w:rPr>
      </w:pPr>
      <w:r>
        <w:rPr>
          <w:rFonts w:hint="eastAsia" w:ascii="仿宋_GB2312" w:eastAsia="仿宋_GB2312"/>
          <w:kern w:val="2"/>
          <w:sz w:val="32"/>
        </w:rPr>
        <w:br w:type="page"/>
      </w:r>
      <w:r>
        <w:rPr>
          <w:rFonts w:hint="eastAsia" w:ascii="仿宋_GB2312" w:eastAsia="仿宋_GB2312"/>
          <w:kern w:val="2"/>
          <w:sz w:val="32"/>
        </w:rPr>
        <w:t>四、《中小企业声明函》、《中小企业资格确认意见书》、《残疾人福利性单位声明函》</w:t>
      </w:r>
    </w:p>
    <w:p>
      <w:pPr>
        <w:pStyle w:val="838"/>
        <w:keepNext w:val="0"/>
        <w:pageBreakBefore w:val="0"/>
        <w:tabs>
          <w:tab w:val="clear" w:pos="720"/>
        </w:tabs>
        <w:spacing w:line="460" w:lineRule="exact"/>
        <w:outlineLvl w:val="9"/>
        <w:rPr>
          <w:rFonts w:hint="eastAsia" w:ascii="仿宋_GB2312" w:hAnsi="微软雅黑" w:eastAsia="仿宋_GB2312"/>
        </w:rPr>
      </w:pPr>
      <w:r>
        <w:rPr>
          <w:rFonts w:hint="eastAsia" w:ascii="仿宋_GB2312" w:eastAsia="仿宋_GB2312"/>
          <w:kern w:val="2"/>
          <w:sz w:val="32"/>
        </w:rPr>
        <w:t>（如果有）</w:t>
      </w:r>
    </w:p>
    <w:p>
      <w:pPr>
        <w:rPr>
          <w:rFonts w:hint="eastAsia" w:ascii="仿宋_GB2312" w:hAnsi="仿宋_GB2312" w:eastAsia="仿宋_GB2312" w:cs="仿宋_GB2312"/>
          <w:sz w:val="24"/>
        </w:rPr>
      </w:pPr>
    </w:p>
    <w:p>
      <w:pPr>
        <w:rPr>
          <w:rFonts w:hint="eastAsia" w:ascii="仿宋_GB2312" w:hAnsi="仿宋_GB2312" w:eastAsia="仿宋_GB2312" w:cs="仿宋_GB2312"/>
          <w:sz w:val="24"/>
        </w:rPr>
      </w:pPr>
    </w:p>
    <w:p>
      <w:pPr>
        <w:rPr>
          <w:rFonts w:hint="eastAsia" w:ascii="仿宋_GB2312" w:hAnsi="仿宋_GB2312" w:eastAsia="仿宋_GB2312" w:cs="仿宋_GB2312"/>
          <w:sz w:val="24"/>
        </w:rPr>
      </w:pPr>
    </w:p>
    <w:p>
      <w:pPr>
        <w:rPr>
          <w:rFonts w:hint="eastAsia" w:ascii="仿宋_GB2312" w:hAnsi="仿宋_GB2312" w:eastAsia="仿宋_GB2312" w:cs="仿宋_GB2312"/>
          <w:sz w:val="24"/>
        </w:rPr>
      </w:pPr>
    </w:p>
    <w:p>
      <w:pPr>
        <w:pStyle w:val="3"/>
        <w:keepLines/>
        <w:numPr>
          <w:ilvl w:val="0"/>
          <w:numId w:val="23"/>
        </w:numPr>
        <w:tabs>
          <w:tab w:val="left" w:pos="432"/>
        </w:tabs>
        <w:adjustRightInd/>
        <w:spacing w:line="240" w:lineRule="atLeast"/>
        <w:textAlignment w:val="auto"/>
        <w:rPr>
          <w:rFonts w:hint="eastAsia"/>
        </w:rPr>
      </w:pPr>
      <w:r>
        <w:rPr>
          <w:rFonts w:hint="eastAsia"/>
        </w:rPr>
        <w:t>中小企业声明函</w:t>
      </w:r>
    </w:p>
    <w:p>
      <w:pPr>
        <w:rPr>
          <w:rFonts w:hint="eastAsia" w:ascii="仿宋_GB2312" w:eastAsia="仿宋_GB2312"/>
        </w:rPr>
      </w:pPr>
    </w:p>
    <w:p>
      <w:pPr>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本公司郑重声明，根据《政府采购促进中小企业发展暂行办法》（财库[2011]181号）的规定，本公司为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（请填写：中型、小型、微型）企业。即，本公司同时满足以下条件：</w:t>
      </w:r>
    </w:p>
    <w:p>
      <w:pPr>
        <w:rPr>
          <w:rFonts w:hint="eastAsia" w:ascii="仿宋_GB2312" w:hAnsi="仿宋_GB2312" w:eastAsia="仿宋_GB2312" w:cs="仿宋_GB2312"/>
          <w:sz w:val="24"/>
        </w:rPr>
      </w:pPr>
    </w:p>
    <w:p>
      <w:pPr>
        <w:pStyle w:val="723"/>
        <w:numPr>
          <w:ilvl w:val="0"/>
          <w:numId w:val="24"/>
        </w:numPr>
        <w:ind w:firstLineChars="0"/>
        <w:jc w:val="both"/>
        <w:rPr>
          <w:rFonts w:hint="eastAsia" w:ascii="仿宋_GB2312" w:hAnsi="仿宋_GB2312" w:eastAsia="仿宋_GB2312" w:cs="仿宋_GB2312"/>
          <w:szCs w:val="24"/>
        </w:rPr>
      </w:pPr>
      <w:r>
        <w:rPr>
          <w:rFonts w:hint="eastAsia" w:ascii="仿宋_GB2312" w:hAnsi="仿宋_GB2312" w:eastAsia="仿宋_GB2312" w:cs="仿宋_GB2312"/>
          <w:szCs w:val="24"/>
        </w:rPr>
        <w:t>根据《工业和信息化部、国家统计局、国家发展和改革委员会、财政部关于印发中小企业划型标准规定的通知》（工信部联企业[2011]300号）规定的划分标准，本公司为</w:t>
      </w:r>
      <w:r>
        <w:rPr>
          <w:rFonts w:hint="eastAsia" w:ascii="仿宋_GB2312" w:hAnsi="仿宋_GB2312" w:eastAsia="仿宋_GB2312" w:cs="仿宋_GB2312"/>
          <w:szCs w:val="24"/>
          <w:u w:val="single"/>
        </w:rPr>
        <w:t xml:space="preserve">   </w:t>
      </w:r>
      <w:r>
        <w:rPr>
          <w:rFonts w:hint="eastAsia" w:ascii="仿宋_GB2312" w:hAnsi="仿宋_GB2312" w:eastAsia="仿宋_GB2312" w:cs="仿宋_GB2312"/>
          <w:szCs w:val="24"/>
        </w:rPr>
        <w:t>（请填写：中型、小型、微型）企业。</w:t>
      </w:r>
    </w:p>
    <w:p>
      <w:pPr>
        <w:pStyle w:val="723"/>
        <w:numPr>
          <w:ilvl w:val="0"/>
          <w:numId w:val="24"/>
        </w:numPr>
        <w:ind w:firstLineChars="0"/>
        <w:jc w:val="both"/>
        <w:rPr>
          <w:rFonts w:hint="eastAsia" w:ascii="仿宋_GB2312" w:hAnsi="仿宋_GB2312" w:eastAsia="仿宋_GB2312" w:cs="仿宋_GB2312"/>
          <w:szCs w:val="24"/>
        </w:rPr>
      </w:pPr>
      <w:r>
        <w:rPr>
          <w:rFonts w:hint="eastAsia" w:ascii="仿宋_GB2312" w:hAnsi="仿宋_GB2312" w:eastAsia="仿宋_GB2312" w:cs="仿宋_GB2312"/>
          <w:szCs w:val="24"/>
        </w:rPr>
        <w:t>本公司参加</w:t>
      </w:r>
      <w:r>
        <w:rPr>
          <w:rFonts w:hint="eastAsia" w:ascii="仿宋_GB2312" w:hAnsi="仿宋_GB2312" w:eastAsia="仿宋_GB2312" w:cs="仿宋_GB2312"/>
          <w:szCs w:val="24"/>
          <w:u w:val="single"/>
        </w:rPr>
        <w:t xml:space="preserve">         </w:t>
      </w:r>
      <w:r>
        <w:rPr>
          <w:rFonts w:hint="eastAsia" w:ascii="仿宋_GB2312" w:hAnsi="仿宋_GB2312" w:eastAsia="仿宋_GB2312" w:cs="仿宋_GB2312"/>
          <w:szCs w:val="24"/>
        </w:rPr>
        <w:t>单位的</w:t>
      </w:r>
      <w:r>
        <w:rPr>
          <w:rFonts w:hint="eastAsia" w:ascii="仿宋_GB2312" w:hAnsi="仿宋_GB2312" w:eastAsia="仿宋_GB2312" w:cs="仿宋_GB2312"/>
          <w:szCs w:val="24"/>
          <w:u w:val="single"/>
        </w:rPr>
        <w:t xml:space="preserve">       </w:t>
      </w:r>
      <w:r>
        <w:rPr>
          <w:rFonts w:hint="eastAsia" w:ascii="仿宋_GB2312" w:hAnsi="仿宋_GB2312" w:eastAsia="仿宋_GB2312" w:cs="仿宋_GB2312"/>
          <w:szCs w:val="24"/>
        </w:rPr>
        <w:t xml:space="preserve">项目采购活动提供本企业制造的货物，由本企业承担工程、提供服务，或者提供其他 </w:t>
      </w:r>
      <w:r>
        <w:rPr>
          <w:rFonts w:hint="eastAsia" w:ascii="仿宋_GB2312" w:hAnsi="仿宋_GB2312" w:eastAsia="仿宋_GB2312" w:cs="仿宋_GB2312"/>
          <w:szCs w:val="24"/>
          <w:u w:val="single"/>
        </w:rPr>
        <w:t xml:space="preserve">        </w:t>
      </w:r>
      <w:r>
        <w:rPr>
          <w:rFonts w:hint="eastAsia" w:ascii="仿宋_GB2312" w:hAnsi="仿宋_GB2312" w:eastAsia="仿宋_GB2312" w:cs="仿宋_GB2312"/>
          <w:szCs w:val="24"/>
        </w:rPr>
        <w:t>（请填写：中型、小型、微型）企业制造的货物。本条所称货物不包括使用大型企业注册商标的货物。</w:t>
      </w:r>
    </w:p>
    <w:p>
      <w:pPr>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本公司对上述声明的真实性负责。如有虚假，将依法承担相应责任。</w:t>
      </w:r>
    </w:p>
    <w:p>
      <w:pPr>
        <w:jc w:val="right"/>
        <w:rPr>
          <w:rFonts w:hint="eastAsia" w:ascii="仿宋_GB2312" w:hAnsi="仿宋_GB2312" w:eastAsia="仿宋_GB2312" w:cs="仿宋_GB2312"/>
          <w:sz w:val="24"/>
        </w:rPr>
      </w:pPr>
    </w:p>
    <w:p>
      <w:pPr>
        <w:ind w:right="420" w:firstLine="5880" w:firstLineChars="2450"/>
        <w:rPr>
          <w:rFonts w:hint="eastAsia"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jc w:val="right"/>
        <w:rPr>
          <w:rFonts w:hint="eastAsia"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u w:val="single"/>
        </w:rPr>
        <w:t xml:space="preserve">  </w:t>
      </w:r>
      <w:r>
        <w:rPr>
          <w:rFonts w:hint="eastAsia" w:ascii="仿宋_GB2312" w:eastAsia="仿宋_GB2312"/>
        </w:rPr>
        <w:t xml:space="preserve">日       </w:t>
      </w:r>
    </w:p>
    <w:p>
      <w:pPr>
        <w:rPr>
          <w:rFonts w:hint="eastAsia" w:ascii="仿宋_GB2312" w:eastAsia="仿宋_GB2312"/>
        </w:rPr>
      </w:pPr>
      <w:r>
        <w:rPr>
          <w:rFonts w:hint="eastAsia" w:ascii="仿宋_GB2312" w:eastAsia="仿宋_GB2312"/>
        </w:rPr>
        <w:t xml:space="preserve"> </w:t>
      </w:r>
    </w:p>
    <w:p>
      <w:pPr>
        <w:rPr>
          <w:rFonts w:hint="eastAsia" w:ascii="仿宋_GB2312" w:hAnsi="仿宋_GB2312" w:eastAsia="仿宋_GB2312" w:cs="仿宋_GB2312"/>
          <w:sz w:val="24"/>
        </w:rPr>
      </w:pPr>
      <w:r>
        <w:rPr>
          <w:rFonts w:hint="eastAsia" w:ascii="仿宋_GB2312" w:hAnsi="仿宋_GB2312" w:eastAsia="仿宋_GB2312" w:cs="仿宋_GB2312"/>
          <w:sz w:val="24"/>
        </w:rPr>
        <w:t>注：</w:t>
      </w:r>
      <w:r>
        <w:rPr>
          <w:rFonts w:hint="eastAsia" w:ascii="仿宋_GB2312" w:hAnsi="仿宋" w:eastAsia="仿宋_GB2312"/>
          <w:b/>
          <w:sz w:val="24"/>
        </w:rPr>
        <w:t>▲投标人提供的中小企业声明函与实际情况不符的，视为投标人提供虚假材料投标的，投标无效。</w:t>
      </w:r>
      <w:r>
        <w:rPr>
          <w:rFonts w:hint="eastAsia" w:ascii="仿宋_GB2312" w:hAnsi="仿宋_GB2312" w:eastAsia="仿宋_GB2312" w:cs="仿宋_GB2312"/>
          <w:sz w:val="24"/>
        </w:rPr>
        <w:t>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ind w:firstLine="420" w:firstLineChars="200"/>
        <w:rPr>
          <w:rFonts w:hint="eastAsia" w:ascii="仿宋_GB2312" w:eastAsia="仿宋_GB2312"/>
        </w:rPr>
      </w:pPr>
    </w:p>
    <w:p>
      <w:pPr>
        <w:ind w:firstLine="420" w:firstLineChars="200"/>
        <w:rPr>
          <w:rFonts w:hint="eastAsia" w:ascii="仿宋_GB2312" w:eastAsia="仿宋_GB2312"/>
        </w:rPr>
      </w:pPr>
      <w:r>
        <w:rPr>
          <w:rFonts w:hint="eastAsia" w:ascii="仿宋_GB2312" w:eastAsia="仿宋_GB2312"/>
        </w:rPr>
        <w:br w:type="page"/>
      </w:r>
    </w:p>
    <w:p>
      <w:pPr>
        <w:pStyle w:val="3"/>
        <w:keepLines/>
        <w:numPr>
          <w:ilvl w:val="0"/>
          <w:numId w:val="23"/>
        </w:numPr>
        <w:tabs>
          <w:tab w:val="left" w:pos="432"/>
        </w:tabs>
        <w:adjustRightInd/>
        <w:spacing w:line="240" w:lineRule="atLeast"/>
        <w:textAlignment w:val="auto"/>
        <w:rPr>
          <w:rFonts w:hint="eastAsia"/>
        </w:rPr>
      </w:pPr>
      <w:r>
        <w:rPr>
          <w:rFonts w:hint="eastAsia"/>
        </w:rPr>
        <w:t>中小企业资格确认意见书（或者投标截止时间前7日内“国家企业信用信息公示系统—小微企业名录”页面查询结果）</w:t>
      </w:r>
    </w:p>
    <w:p>
      <w:pPr>
        <w:rPr>
          <w:rFonts w:hint="eastAsia" w:ascii="仿宋_GB2312" w:hAnsi="仿宋_GB2312" w:eastAsia="仿宋_GB2312" w:cs="仿宋_GB2312"/>
          <w:sz w:val="24"/>
        </w:rPr>
      </w:pPr>
    </w:p>
    <w:p>
      <w:pPr>
        <w:ind w:firstLine="600" w:firstLineChars="250"/>
        <w:rPr>
          <w:rFonts w:hint="eastAsia" w:ascii="仿宋_GB2312" w:hAnsi="仿宋_GB2312" w:eastAsia="仿宋_GB2312" w:cs="仿宋_GB2312"/>
          <w:sz w:val="24"/>
        </w:rPr>
      </w:pPr>
      <w:r>
        <w:rPr>
          <w:rFonts w:hint="eastAsia" w:ascii="仿宋_GB2312" w:hAnsi="仿宋_GB2312" w:eastAsia="仿宋_GB2312" w:cs="仿宋_GB2312"/>
          <w:sz w:val="24"/>
        </w:rPr>
        <w:t>根据《工业和信息化部、国家统计局、国家发展和改革委员会、财政部关于印发中小企业划型标准的通知》（工信部联企业（2011）300号）规定的划分标准，兹确认</w:t>
      </w:r>
    </w:p>
    <w:p>
      <w:pPr>
        <w:rPr>
          <w:rFonts w:hint="eastAsia" w:ascii="仿宋_GB2312" w:hAnsi="仿宋_GB2312" w:eastAsia="仿宋_GB2312" w:cs="仿宋_GB2312"/>
          <w:sz w:val="24"/>
        </w:rPr>
      </w:pP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公司为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行业的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（请填写：中型、小型、微型）企业。</w:t>
      </w:r>
    </w:p>
    <w:p>
      <w:pPr>
        <w:rPr>
          <w:rFonts w:hint="eastAsia" w:ascii="仿宋_GB2312" w:hAnsi="仿宋_GB2312" w:eastAsia="仿宋_GB2312" w:cs="仿宋_GB2312"/>
          <w:sz w:val="24"/>
        </w:rPr>
      </w:pPr>
    </w:p>
    <w:p>
      <w:pPr>
        <w:rPr>
          <w:rFonts w:hint="eastAsia" w:ascii="仿宋_GB2312" w:hAnsi="仿宋_GB2312" w:eastAsia="仿宋_GB2312" w:cs="仿宋_GB2312"/>
          <w:sz w:val="24"/>
        </w:rPr>
      </w:pPr>
    </w:p>
    <w:p>
      <w:pPr>
        <w:rPr>
          <w:rFonts w:hint="eastAsia" w:ascii="仿宋_GB2312" w:hAnsi="仿宋_GB2312" w:eastAsia="仿宋_GB2312" w:cs="仿宋_GB2312"/>
          <w:sz w:val="24"/>
        </w:rPr>
      </w:pPr>
    </w:p>
    <w:p>
      <w:pPr>
        <w:rPr>
          <w:rFonts w:hint="eastAsia" w:ascii="仿宋_GB2312" w:hAnsi="仿宋_GB2312" w:eastAsia="仿宋_GB2312" w:cs="仿宋_GB2312"/>
          <w:sz w:val="24"/>
        </w:rPr>
      </w:pPr>
    </w:p>
    <w:p>
      <w:pPr>
        <w:rPr>
          <w:rFonts w:hint="eastAsia" w:ascii="仿宋_GB2312" w:hAnsi="仿宋_GB2312" w:eastAsia="仿宋_GB2312" w:cs="仿宋_GB2312"/>
          <w:sz w:val="24"/>
        </w:rPr>
      </w:pPr>
    </w:p>
    <w:p>
      <w:pPr>
        <w:rPr>
          <w:rFonts w:hint="eastAsia" w:ascii="仿宋_GB2312" w:hAnsi="仿宋_GB2312" w:eastAsia="仿宋_GB2312" w:cs="仿宋_GB2312"/>
          <w:sz w:val="24"/>
        </w:rPr>
      </w:pPr>
      <w:r>
        <w:rPr>
          <w:rFonts w:hint="eastAsia" w:ascii="仿宋_GB2312" w:hAnsi="仿宋_GB2312" w:eastAsia="仿宋_GB2312" w:cs="仿宋_GB2312"/>
          <w:sz w:val="24"/>
        </w:rPr>
        <w:t xml:space="preserve">                                            省（市、县、区）中小企业局</w:t>
      </w:r>
    </w:p>
    <w:p>
      <w:pPr>
        <w:rPr>
          <w:rFonts w:hint="eastAsia" w:ascii="仿宋_GB2312" w:eastAsia="仿宋_GB2312"/>
        </w:rPr>
      </w:pPr>
    </w:p>
    <w:p>
      <w:pPr>
        <w:ind w:firstLine="420" w:firstLineChars="200"/>
        <w:rPr>
          <w:rFonts w:hint="eastAsia" w:ascii="仿宋_GB2312" w:eastAsia="仿宋_GB2312"/>
        </w:rPr>
      </w:pPr>
    </w:p>
    <w:p>
      <w:pPr>
        <w:ind w:firstLine="420" w:firstLineChars="200"/>
        <w:rPr>
          <w:rFonts w:hint="eastAsia" w:ascii="仿宋_GB2312" w:eastAsia="仿宋_GB2312"/>
        </w:rPr>
      </w:pPr>
    </w:p>
    <w:p>
      <w:pPr>
        <w:ind w:firstLine="420" w:firstLineChars="200"/>
        <w:rPr>
          <w:rFonts w:hint="eastAsia" w:ascii="仿宋_GB2312" w:eastAsia="仿宋_GB2312"/>
        </w:rPr>
      </w:pPr>
    </w:p>
    <w:p>
      <w:pPr>
        <w:ind w:firstLine="420" w:firstLineChars="200"/>
        <w:rPr>
          <w:rFonts w:hint="eastAsia" w:ascii="仿宋_GB2312" w:eastAsia="仿宋_GB2312"/>
        </w:rPr>
      </w:pPr>
    </w:p>
    <w:p>
      <w:pPr>
        <w:ind w:firstLine="420" w:firstLineChars="200"/>
        <w:rPr>
          <w:rFonts w:hint="eastAsia" w:ascii="仿宋_GB2312" w:eastAsia="仿宋_GB2312"/>
        </w:rPr>
      </w:pPr>
      <w:r>
        <w:rPr>
          <w:rFonts w:hint="eastAsia" w:ascii="仿宋_GB2312" w:eastAsia="仿宋_GB2312"/>
        </w:rPr>
        <w:br w:type="page"/>
      </w:r>
    </w:p>
    <w:p>
      <w:pPr>
        <w:spacing w:line="588" w:lineRule="exact"/>
        <w:jc w:val="center"/>
        <w:rPr>
          <w:rFonts w:hint="eastAsia" w:ascii="仿宋_GB2312" w:eastAsia="仿宋_GB2312"/>
          <w:b/>
          <w:spacing w:val="6"/>
          <w:sz w:val="32"/>
          <w:szCs w:val="32"/>
        </w:rPr>
      </w:pPr>
      <w:bookmarkStart w:id="591" w:name="OLE_LINK14"/>
      <w:bookmarkStart w:id="592" w:name="OLE_LINK13"/>
      <w:r>
        <w:rPr>
          <w:rFonts w:hint="eastAsia" w:ascii="仿宋_GB2312" w:eastAsia="仿宋_GB2312"/>
          <w:b/>
          <w:spacing w:val="6"/>
          <w:sz w:val="32"/>
          <w:szCs w:val="32"/>
        </w:rPr>
        <w:t>残疾人福利性单位声明函</w:t>
      </w:r>
    </w:p>
    <w:bookmarkEnd w:id="591"/>
    <w:bookmarkEnd w:id="592"/>
    <w:p>
      <w:pPr>
        <w:spacing w:line="588" w:lineRule="exact"/>
        <w:rPr>
          <w:rFonts w:hint="eastAsia" w:ascii="仿宋_GB2312" w:eastAsia="仿宋_GB2312"/>
          <w:b/>
          <w:spacing w:val="6"/>
          <w:sz w:val="30"/>
          <w:szCs w:val="30"/>
        </w:rPr>
      </w:pPr>
    </w:p>
    <w:p>
      <w:pPr>
        <w:spacing w:line="588"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hint="eastAsia" w:ascii="仿宋_GB2312" w:hAnsi="仿宋_GB2312" w:eastAsia="仿宋_GB2312" w:cs="仿宋_GB2312"/>
          <w:sz w:val="24"/>
        </w:rPr>
      </w:pPr>
    </w:p>
    <w:p>
      <w:pPr>
        <w:spacing w:line="588" w:lineRule="exact"/>
        <w:ind w:firstLine="480" w:firstLineChars="200"/>
        <w:rPr>
          <w:rFonts w:hint="eastAsia" w:ascii="仿宋_GB2312" w:hAnsi="仿宋_GB2312" w:eastAsia="仿宋_GB2312" w:cs="仿宋_GB2312"/>
          <w:sz w:val="24"/>
        </w:rPr>
      </w:pPr>
    </w:p>
    <w:p>
      <w:pPr>
        <w:tabs>
          <w:tab w:val="left" w:pos="4860"/>
        </w:tabs>
        <w:spacing w:line="588" w:lineRule="exact"/>
        <w:ind w:right="1560" w:firstLine="480" w:firstLineChars="200"/>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               单位名称（盖章）：</w:t>
      </w:r>
    </w:p>
    <w:p>
      <w:pPr>
        <w:tabs>
          <w:tab w:val="left" w:pos="4860"/>
        </w:tabs>
        <w:spacing w:line="588" w:lineRule="exact"/>
        <w:ind w:right="1560" w:firstLine="480" w:firstLineChars="200"/>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       日  期：</w:t>
      </w:r>
    </w:p>
    <w:p>
      <w:pPr>
        <w:pStyle w:val="838"/>
        <w:keepNext w:val="0"/>
        <w:pageBreakBefore w:val="0"/>
        <w:tabs>
          <w:tab w:val="clear" w:pos="720"/>
        </w:tabs>
        <w:spacing w:line="460" w:lineRule="exact"/>
        <w:outlineLvl w:val="9"/>
        <w:rPr>
          <w:rFonts w:hint="eastAsia" w:ascii="仿宋_GB2312" w:hAnsi="宋体" w:eastAsia="仿宋_GB2312"/>
          <w:b w:val="0"/>
          <w:kern w:val="0"/>
        </w:rPr>
      </w:pPr>
      <w:r>
        <w:rPr>
          <w:rFonts w:hint="eastAsia" w:ascii="仿宋_GB2312" w:eastAsia="仿宋_GB2312"/>
          <w:b w:val="0"/>
          <w:sz w:val="32"/>
        </w:rPr>
        <w:br w:type="page"/>
      </w:r>
      <w:r>
        <w:rPr>
          <w:rFonts w:hint="eastAsia" w:ascii="仿宋_GB2312" w:eastAsia="仿宋_GB2312"/>
          <w:lang w:val="zh-CN"/>
        </w:rPr>
        <w:t>▲商务</w:t>
      </w:r>
      <w:r>
        <w:rPr>
          <w:rFonts w:hint="eastAsia" w:ascii="仿宋_GB2312" w:hAnsi="宋体" w:eastAsia="仿宋_GB2312"/>
          <w:b w:val="0"/>
          <w:kern w:val="0"/>
        </w:rPr>
        <w:t>技术文件部分</w:t>
      </w:r>
    </w:p>
    <w:p>
      <w:pPr>
        <w:spacing w:line="360" w:lineRule="auto"/>
        <w:jc w:val="center"/>
        <w:outlineLvl w:val="0"/>
        <w:rPr>
          <w:rFonts w:hint="eastAsia" w:ascii="仿宋_GB2312" w:hAnsi="宋体" w:eastAsia="仿宋_GB2312"/>
          <w:b/>
          <w:kern w:val="0"/>
          <w:sz w:val="32"/>
        </w:rPr>
      </w:pPr>
      <w:r>
        <w:rPr>
          <w:rFonts w:hint="eastAsia" w:ascii="仿宋_GB2312" w:hAnsi="宋体" w:eastAsia="仿宋_GB2312"/>
          <w:b/>
          <w:kern w:val="0"/>
          <w:sz w:val="32"/>
        </w:rPr>
        <w:t>目录</w:t>
      </w:r>
    </w:p>
    <w:p>
      <w:pPr>
        <w:spacing w:line="360" w:lineRule="auto"/>
        <w:jc w:val="center"/>
        <w:outlineLvl w:val="0"/>
        <w:rPr>
          <w:rFonts w:hint="eastAsia" w:ascii="仿宋_GB2312" w:hAnsi="宋体" w:eastAsia="仿宋_GB2312"/>
          <w:b/>
          <w:kern w:val="0"/>
          <w:sz w:val="32"/>
        </w:rPr>
      </w:pP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z w:val="24"/>
        </w:rPr>
        <w:t>营业执照(或事业法人登记证或其他工商 等登记证明材料)复印件、税务登记证(或其它缴纳证明材料)复印件、社保登记证（或其它缴纳证明材料）复印件</w:t>
      </w:r>
      <w:r>
        <w:rPr>
          <w:rFonts w:hint="eastAsia" w:ascii="仿宋_GB2312" w:hAnsi="仿宋_GB2312" w:eastAsia="仿宋_GB2312" w:cs="仿宋_GB2312"/>
          <w:kern w:val="0"/>
          <w:sz w:val="24"/>
        </w:rPr>
        <w:t>………………………………………………………………………………………（页码）</w:t>
      </w:r>
    </w:p>
    <w:p>
      <w:pPr>
        <w:spacing w:line="360" w:lineRule="auto"/>
        <w:outlineLvl w:val="0"/>
        <w:rPr>
          <w:rFonts w:hint="eastAsia" w:ascii="仿宋_GB2312" w:hAnsi="宋体" w:eastAsia="仿宋_GB2312"/>
          <w:kern w:val="0"/>
          <w:szCs w:val="21"/>
        </w:rPr>
      </w:pPr>
      <w:r>
        <w:rPr>
          <w:rFonts w:hint="eastAsia" w:ascii="仿宋_GB2312" w:hAnsi="宋体" w:eastAsia="仿宋_GB2312"/>
          <w:kern w:val="0"/>
          <w:szCs w:val="21"/>
        </w:rPr>
        <w:t>（2）</w:t>
      </w:r>
      <w:r>
        <w:rPr>
          <w:rFonts w:hint="eastAsia" w:ascii="仿宋_GB2312" w:eastAsia="仿宋_GB2312"/>
          <w:szCs w:val="21"/>
        </w:rPr>
        <w:t>法人授权委托书</w:t>
      </w:r>
      <w:r>
        <w:rPr>
          <w:rFonts w:hint="eastAsia" w:ascii="仿宋_GB2312" w:hAnsi="宋体" w:eastAsia="仿宋_GB2312"/>
          <w:kern w:val="0"/>
          <w:szCs w:val="21"/>
        </w:rPr>
        <w:t>……………………………………………………（页码）</w:t>
      </w:r>
    </w:p>
    <w:p>
      <w:pPr>
        <w:spacing w:line="360" w:lineRule="auto"/>
        <w:outlineLvl w:val="0"/>
        <w:rPr>
          <w:rFonts w:hint="eastAsia" w:ascii="仿宋_GB2312" w:hAnsi="宋体" w:eastAsia="仿宋_GB2312"/>
          <w:kern w:val="0"/>
          <w:szCs w:val="21"/>
        </w:rPr>
      </w:pPr>
      <w:r>
        <w:rPr>
          <w:rFonts w:hint="eastAsia" w:ascii="仿宋_GB2312" w:hAnsi="宋体" w:eastAsia="仿宋_GB2312"/>
          <w:kern w:val="0"/>
          <w:szCs w:val="21"/>
        </w:rPr>
        <w:t>（3）</w:t>
      </w:r>
      <w:r>
        <w:rPr>
          <w:rFonts w:hint="eastAsia" w:ascii="仿宋_GB2312" w:eastAsia="仿宋_GB2312"/>
          <w:szCs w:val="21"/>
        </w:rPr>
        <w:t>法定代表人的身份证（复印件）、授权委托人的身份证和劳动合同和社保交纳记录（社保中心盖章）（复印件）</w:t>
      </w:r>
      <w:r>
        <w:rPr>
          <w:rFonts w:hint="eastAsia" w:ascii="仿宋_GB2312" w:hAnsi="宋体" w:eastAsia="仿宋_GB2312"/>
          <w:kern w:val="0"/>
          <w:szCs w:val="21"/>
        </w:rPr>
        <w:t>………………………………………………………（页码）</w:t>
      </w:r>
    </w:p>
    <w:p>
      <w:pPr>
        <w:spacing w:line="360" w:lineRule="auto"/>
        <w:rPr>
          <w:rFonts w:hint="eastAsia" w:ascii="仿宋_GB2312" w:hAnsi="宋体" w:eastAsia="仿宋_GB2312"/>
          <w:kern w:val="0"/>
          <w:szCs w:val="21"/>
        </w:rPr>
      </w:pPr>
      <w:r>
        <w:rPr>
          <w:rFonts w:hint="eastAsia" w:ascii="仿宋_GB2312" w:hAnsi="宋体" w:eastAsia="仿宋_GB2312"/>
          <w:kern w:val="0"/>
          <w:szCs w:val="21"/>
        </w:rPr>
        <w:t>（4）</w:t>
      </w:r>
      <w:r>
        <w:rPr>
          <w:rFonts w:hint="eastAsia" w:ascii="仿宋_GB2312" w:eastAsia="仿宋_GB2312"/>
          <w:szCs w:val="21"/>
        </w:rPr>
        <w:t>声明书（须包含参加政府采购活动前3年内在经营活动中没有重大违法记录的书面声明）</w:t>
      </w:r>
      <w:r>
        <w:rPr>
          <w:rFonts w:hint="eastAsia" w:ascii="仿宋_GB2312" w:hAnsi="宋体" w:eastAsia="仿宋_GB2312"/>
          <w:kern w:val="0"/>
          <w:szCs w:val="21"/>
        </w:rPr>
        <w:t>…………………………………………………………………………（页码）</w:t>
      </w:r>
    </w:p>
    <w:p>
      <w:pPr>
        <w:spacing w:line="360" w:lineRule="auto"/>
        <w:rPr>
          <w:rFonts w:hint="eastAsia" w:ascii="仿宋_GB2312" w:hAnsi="宋体" w:eastAsia="仿宋_GB2312"/>
          <w:kern w:val="0"/>
          <w:szCs w:val="21"/>
        </w:rPr>
      </w:pPr>
      <w:r>
        <w:rPr>
          <w:rFonts w:hint="eastAsia" w:ascii="仿宋_GB2312" w:hAnsi="宋体" w:eastAsia="仿宋_GB2312"/>
          <w:kern w:val="0"/>
          <w:szCs w:val="21"/>
        </w:rPr>
        <w:t>（5）非本地投标人售后服务机构证明材料（如果有）</w:t>
      </w:r>
      <w:r>
        <w:rPr>
          <w:rFonts w:hint="eastAsia" w:ascii="仿宋_GB2312" w:eastAsia="仿宋_GB2312"/>
          <w:kern w:val="0"/>
          <w:szCs w:val="21"/>
          <w:lang w:val="zh-CN"/>
        </w:rPr>
        <w:t>…………………………</w:t>
      </w:r>
      <w:r>
        <w:rPr>
          <w:rFonts w:hint="eastAsia" w:ascii="仿宋_GB2312" w:hAnsi="宋体" w:eastAsia="仿宋_GB2312"/>
          <w:kern w:val="0"/>
          <w:szCs w:val="21"/>
        </w:rPr>
        <w:t>（页码）</w:t>
      </w:r>
    </w:p>
    <w:p>
      <w:pPr>
        <w:spacing w:line="360" w:lineRule="auto"/>
        <w:rPr>
          <w:rFonts w:hint="eastAsia" w:ascii="仿宋_GB2312" w:hAnsi="宋体" w:eastAsia="仿宋_GB2312"/>
          <w:kern w:val="0"/>
          <w:szCs w:val="21"/>
        </w:rPr>
      </w:pPr>
      <w:r>
        <w:rPr>
          <w:rFonts w:hint="eastAsia" w:ascii="仿宋_GB2312" w:hAnsi="宋体" w:eastAsia="仿宋_GB2312"/>
          <w:kern w:val="0"/>
          <w:szCs w:val="21"/>
        </w:rPr>
        <w:t>（6）</w:t>
      </w:r>
      <w:r>
        <w:rPr>
          <w:rFonts w:hint="eastAsia" w:ascii="仿宋_GB2312" w:eastAsia="仿宋_GB2312"/>
          <w:szCs w:val="21"/>
        </w:rPr>
        <w:t>所有与符合性审查有关的资信文件（复印件）</w:t>
      </w:r>
      <w:r>
        <w:rPr>
          <w:rFonts w:hint="eastAsia" w:ascii="仿宋_GB2312" w:hAnsi="宋体" w:eastAsia="仿宋_GB2312"/>
          <w:kern w:val="0"/>
          <w:szCs w:val="21"/>
        </w:rPr>
        <w:t>…………………（页码）</w:t>
      </w:r>
    </w:p>
    <w:p>
      <w:pPr>
        <w:spacing w:line="360" w:lineRule="auto"/>
        <w:rPr>
          <w:rFonts w:hint="eastAsia" w:ascii="仿宋_GB2312" w:hAnsi="宋体" w:eastAsia="仿宋_GB2312"/>
          <w:kern w:val="0"/>
          <w:szCs w:val="21"/>
        </w:rPr>
      </w:pPr>
      <w:r>
        <w:rPr>
          <w:rFonts w:hint="eastAsia" w:ascii="仿宋_GB2312" w:hAnsi="宋体" w:eastAsia="仿宋_GB2312"/>
          <w:kern w:val="0"/>
          <w:szCs w:val="21"/>
        </w:rPr>
        <w:t>（7）</w:t>
      </w:r>
      <w:r>
        <w:rPr>
          <w:rFonts w:hint="eastAsia" w:ascii="仿宋_GB2312" w:eastAsia="仿宋_GB2312"/>
          <w:kern w:val="0"/>
          <w:szCs w:val="21"/>
          <w:lang w:val="zh-CN"/>
        </w:rPr>
        <w:t>主要业绩证明………………………………………………………</w:t>
      </w:r>
      <w:r>
        <w:rPr>
          <w:rFonts w:hint="eastAsia" w:ascii="仿宋_GB2312" w:hAnsi="宋体" w:eastAsia="仿宋_GB2312"/>
          <w:kern w:val="0"/>
          <w:szCs w:val="21"/>
        </w:rPr>
        <w:t>（页码）</w:t>
      </w:r>
    </w:p>
    <w:p>
      <w:pPr>
        <w:spacing w:line="360" w:lineRule="auto"/>
        <w:rPr>
          <w:rFonts w:hint="eastAsia" w:ascii="仿宋_GB2312" w:hAnsi="宋体" w:eastAsia="仿宋_GB2312"/>
          <w:kern w:val="0"/>
          <w:szCs w:val="21"/>
        </w:rPr>
      </w:pPr>
      <w:r>
        <w:rPr>
          <w:rFonts w:hint="eastAsia" w:ascii="仿宋_GB2312" w:hAnsi="宋体" w:eastAsia="仿宋_GB2312"/>
          <w:kern w:val="0"/>
          <w:szCs w:val="21"/>
        </w:rPr>
        <w:t>（8）商务偏离说明表……………………………………………………（页码）</w:t>
      </w:r>
    </w:p>
    <w:p>
      <w:pPr>
        <w:spacing w:line="360" w:lineRule="auto"/>
        <w:rPr>
          <w:rFonts w:hint="eastAsia" w:ascii="仿宋_GB2312" w:hAnsi="宋体" w:eastAsia="仿宋_GB2312"/>
          <w:kern w:val="0"/>
          <w:szCs w:val="21"/>
        </w:rPr>
      </w:pPr>
      <w:r>
        <w:rPr>
          <w:rFonts w:hint="eastAsia" w:ascii="仿宋_GB2312" w:hAnsi="宋体" w:eastAsia="仿宋_GB2312"/>
          <w:kern w:val="0"/>
          <w:szCs w:val="21"/>
        </w:rPr>
        <w:t>（9）廉政承诺书</w:t>
      </w:r>
      <w:r>
        <w:rPr>
          <w:rFonts w:hint="eastAsia" w:ascii="仿宋_GB2312" w:eastAsia="仿宋_GB2312"/>
          <w:kern w:val="0"/>
          <w:szCs w:val="21"/>
          <w:lang w:val="zh-CN"/>
        </w:rPr>
        <w:t>…………………………………………………………</w:t>
      </w:r>
      <w:r>
        <w:rPr>
          <w:rFonts w:hint="eastAsia" w:ascii="仿宋_GB2312" w:hAnsi="宋体" w:eastAsia="仿宋_GB2312"/>
          <w:kern w:val="0"/>
          <w:szCs w:val="21"/>
        </w:rPr>
        <w:t>（页码）</w:t>
      </w:r>
    </w:p>
    <w:p>
      <w:pPr>
        <w:spacing w:line="360" w:lineRule="auto"/>
        <w:rPr>
          <w:rFonts w:hint="eastAsia" w:ascii="仿宋_GB2312" w:hAnsi="宋体" w:eastAsia="仿宋_GB2312"/>
          <w:kern w:val="0"/>
          <w:szCs w:val="21"/>
        </w:rPr>
      </w:pPr>
      <w:r>
        <w:rPr>
          <w:rFonts w:hint="eastAsia" w:ascii="仿宋_GB2312" w:hAnsi="宋体" w:eastAsia="仿宋_GB2312"/>
          <w:kern w:val="0"/>
          <w:szCs w:val="21"/>
        </w:rPr>
        <w:t>（10）</w:t>
      </w:r>
      <w:r>
        <w:rPr>
          <w:rFonts w:hint="eastAsia" w:ascii="仿宋_GB2312" w:eastAsia="仿宋_GB2312"/>
          <w:kern w:val="0"/>
          <w:szCs w:val="21"/>
          <w:lang w:val="zh-CN"/>
        </w:rPr>
        <w:t>关于对招标文件中有关条款的拒绝声明…………………………</w:t>
      </w:r>
      <w:r>
        <w:rPr>
          <w:rFonts w:hint="eastAsia" w:ascii="仿宋_GB2312" w:hAnsi="宋体" w:eastAsia="仿宋_GB2312"/>
          <w:kern w:val="0"/>
          <w:szCs w:val="21"/>
        </w:rPr>
        <w:t>（页码）</w:t>
      </w:r>
    </w:p>
    <w:p>
      <w:pPr>
        <w:spacing w:line="360" w:lineRule="auto"/>
        <w:rPr>
          <w:rFonts w:hint="eastAsia" w:ascii="仿宋_GB2312" w:hAnsi="宋体" w:eastAsia="仿宋_GB2312"/>
          <w:b/>
          <w:szCs w:val="21"/>
        </w:rPr>
      </w:pPr>
      <w:r>
        <w:rPr>
          <w:rFonts w:hint="eastAsia" w:ascii="仿宋_GB2312" w:hAnsi="宋体" w:eastAsia="仿宋_GB2312"/>
          <w:kern w:val="0"/>
          <w:szCs w:val="21"/>
        </w:rPr>
        <w:t>（11）</w:t>
      </w:r>
      <w:r>
        <w:rPr>
          <w:rFonts w:hint="eastAsia" w:ascii="仿宋_GB2312" w:eastAsia="仿宋_GB2312"/>
          <w:kern w:val="0"/>
          <w:szCs w:val="21"/>
          <w:lang w:val="zh-CN"/>
        </w:rPr>
        <w:t>投标人认为需要的其他商务技术文件或说明…………………………</w:t>
      </w:r>
      <w:r>
        <w:rPr>
          <w:rFonts w:hint="eastAsia" w:ascii="仿宋_GB2312" w:hAnsi="宋体" w:eastAsia="仿宋_GB2312"/>
          <w:kern w:val="0"/>
          <w:szCs w:val="21"/>
        </w:rPr>
        <w:t>（页码）</w:t>
      </w:r>
    </w:p>
    <w:p>
      <w:pPr>
        <w:spacing w:line="360" w:lineRule="auto"/>
        <w:outlineLvl w:val="0"/>
        <w:rPr>
          <w:rFonts w:hint="eastAsia" w:ascii="仿宋_GB2312" w:hAnsi="宋体" w:eastAsia="仿宋_GB2312"/>
          <w:kern w:val="0"/>
          <w:sz w:val="24"/>
        </w:rPr>
      </w:pPr>
      <w:r>
        <w:rPr>
          <w:rFonts w:hint="eastAsia" w:ascii="仿宋_GB2312" w:hAnsi="宋体" w:eastAsia="仿宋_GB2312"/>
          <w:kern w:val="0"/>
          <w:sz w:val="24"/>
        </w:rPr>
        <w:t>（12）投标设备参数清单………………………………………………（页码）</w:t>
      </w:r>
    </w:p>
    <w:p>
      <w:pPr>
        <w:spacing w:line="360" w:lineRule="auto"/>
        <w:outlineLvl w:val="0"/>
        <w:rPr>
          <w:rFonts w:hint="eastAsia" w:ascii="仿宋_GB2312" w:hAnsi="宋体" w:eastAsia="仿宋_GB2312"/>
          <w:kern w:val="0"/>
          <w:sz w:val="24"/>
        </w:rPr>
      </w:pPr>
      <w:r>
        <w:rPr>
          <w:rFonts w:hint="eastAsia" w:ascii="仿宋_GB2312" w:hAnsi="宋体" w:eastAsia="仿宋_GB2312"/>
          <w:kern w:val="0"/>
          <w:sz w:val="24"/>
        </w:rPr>
        <w:t>（13）技术解决方案……………………………………………………（页码）</w:t>
      </w:r>
    </w:p>
    <w:p>
      <w:pPr>
        <w:spacing w:line="360" w:lineRule="auto"/>
        <w:outlineLvl w:val="0"/>
        <w:rPr>
          <w:rFonts w:hint="eastAsia" w:ascii="仿宋_GB2312" w:hAnsi="宋体" w:eastAsia="仿宋_GB2312"/>
          <w:kern w:val="0"/>
          <w:sz w:val="24"/>
        </w:rPr>
      </w:pPr>
      <w:r>
        <w:rPr>
          <w:rFonts w:hint="eastAsia" w:ascii="仿宋_GB2312" w:hAnsi="宋体" w:eastAsia="仿宋_GB2312"/>
          <w:kern w:val="0"/>
          <w:sz w:val="24"/>
        </w:rPr>
        <w:t>（14）组织实施方案……………………………………………………（页码）</w:t>
      </w:r>
    </w:p>
    <w:p>
      <w:pPr>
        <w:spacing w:line="360" w:lineRule="auto"/>
        <w:rPr>
          <w:rFonts w:hint="eastAsia" w:ascii="仿宋_GB2312" w:hAnsi="宋体" w:eastAsia="仿宋_GB2312"/>
          <w:kern w:val="0"/>
          <w:sz w:val="24"/>
        </w:rPr>
      </w:pPr>
      <w:r>
        <w:rPr>
          <w:rFonts w:hint="eastAsia" w:ascii="仿宋_GB2312" w:hAnsi="宋体" w:eastAsia="仿宋_GB2312"/>
          <w:kern w:val="0"/>
          <w:sz w:val="24"/>
        </w:rPr>
        <w:t>（15）售后服务方案……………………………………………………（页码）</w:t>
      </w:r>
    </w:p>
    <w:p>
      <w:pPr>
        <w:spacing w:line="360" w:lineRule="auto"/>
        <w:rPr>
          <w:rFonts w:hint="eastAsia" w:ascii="仿宋_GB2312" w:hAnsi="宋体" w:eastAsia="仿宋_GB2312"/>
          <w:kern w:val="0"/>
          <w:sz w:val="24"/>
        </w:rPr>
      </w:pPr>
      <w:r>
        <w:rPr>
          <w:rFonts w:hint="eastAsia" w:ascii="仿宋_GB2312" w:hAnsi="宋体" w:eastAsia="仿宋_GB2312"/>
          <w:kern w:val="0"/>
          <w:sz w:val="24"/>
        </w:rPr>
        <w:t>（16）项目小组名单……………………………………………………（页码）</w:t>
      </w:r>
    </w:p>
    <w:p>
      <w:pPr>
        <w:spacing w:line="360" w:lineRule="auto"/>
        <w:rPr>
          <w:rFonts w:hint="eastAsia" w:ascii="仿宋_GB2312" w:hAnsi="宋体" w:eastAsia="仿宋_GB2312"/>
          <w:kern w:val="0"/>
          <w:sz w:val="24"/>
        </w:rPr>
      </w:pPr>
      <w:r>
        <w:rPr>
          <w:rFonts w:hint="eastAsia" w:ascii="仿宋_GB2312" w:hAnsi="宋体" w:eastAsia="仿宋_GB2312"/>
          <w:kern w:val="0"/>
          <w:sz w:val="24"/>
        </w:rPr>
        <w:t>（17）</w:t>
      </w:r>
      <w:r>
        <w:rPr>
          <w:rFonts w:hint="eastAsia" w:ascii="仿宋_GB2312" w:eastAsia="仿宋_GB2312"/>
          <w:kern w:val="0"/>
          <w:sz w:val="24"/>
          <w:lang w:val="zh-CN"/>
        </w:rPr>
        <w:t>优惠条件及特殊承诺……………………………………………</w:t>
      </w:r>
      <w:r>
        <w:rPr>
          <w:rFonts w:hint="eastAsia" w:ascii="仿宋_GB2312" w:hAnsi="宋体" w:eastAsia="仿宋_GB2312"/>
          <w:kern w:val="0"/>
          <w:sz w:val="24"/>
        </w:rPr>
        <w:t>（页码）</w:t>
      </w:r>
    </w:p>
    <w:p>
      <w:pPr>
        <w:spacing w:line="360" w:lineRule="auto"/>
        <w:rPr>
          <w:rFonts w:hint="eastAsia" w:ascii="仿宋_GB2312" w:hAnsi="宋体" w:eastAsia="仿宋_GB2312"/>
          <w:kern w:val="0"/>
          <w:sz w:val="24"/>
        </w:rPr>
      </w:pPr>
      <w:r>
        <w:rPr>
          <w:rFonts w:hint="eastAsia" w:ascii="仿宋_GB2312" w:hAnsi="宋体" w:eastAsia="仿宋_GB2312" w:cs="宋体"/>
          <w:kern w:val="0"/>
          <w:sz w:val="24"/>
        </w:rPr>
        <w:t>（18）</w:t>
      </w:r>
      <w:r>
        <w:rPr>
          <w:rFonts w:hint="eastAsia" w:ascii="仿宋_GB2312" w:eastAsia="仿宋_GB2312" w:cs="仿宋_GB2312"/>
          <w:kern w:val="0"/>
          <w:sz w:val="24"/>
          <w:lang w:val="zh-CN"/>
        </w:rPr>
        <w:t>备品备件及供选择的配套零部件清单…………………………</w:t>
      </w:r>
      <w:r>
        <w:rPr>
          <w:rFonts w:hint="eastAsia" w:ascii="仿宋_GB2312" w:hAnsi="宋体" w:eastAsia="仿宋_GB2312" w:cs="宋体"/>
          <w:kern w:val="0"/>
          <w:sz w:val="24"/>
        </w:rPr>
        <w:t>（页码）</w:t>
      </w:r>
    </w:p>
    <w:p>
      <w:pPr>
        <w:spacing w:line="360" w:lineRule="auto"/>
        <w:rPr>
          <w:rFonts w:hint="eastAsia" w:ascii="仿宋_GB2312" w:hAnsi="宋体" w:eastAsia="仿宋_GB2312"/>
          <w:kern w:val="0"/>
          <w:sz w:val="24"/>
        </w:rPr>
      </w:pPr>
      <w:r>
        <w:rPr>
          <w:rFonts w:hint="eastAsia" w:ascii="仿宋_GB2312" w:hAnsi="宋体" w:eastAsia="仿宋_GB2312"/>
          <w:kern w:val="0"/>
          <w:sz w:val="24"/>
        </w:rPr>
        <w:t>（19）</w:t>
      </w:r>
      <w:r>
        <w:rPr>
          <w:rFonts w:hint="eastAsia" w:ascii="仿宋_GB2312" w:eastAsia="仿宋_GB2312"/>
          <w:kern w:val="0"/>
          <w:sz w:val="24"/>
          <w:lang w:val="zh-CN"/>
        </w:rPr>
        <w:t>培训计划…………………………………………………………</w:t>
      </w:r>
      <w:r>
        <w:rPr>
          <w:rFonts w:hint="eastAsia" w:ascii="仿宋_GB2312" w:hAnsi="宋体" w:eastAsia="仿宋_GB2312"/>
          <w:kern w:val="0"/>
          <w:sz w:val="24"/>
        </w:rPr>
        <w:t>（页码）</w:t>
      </w:r>
    </w:p>
    <w:p>
      <w:pPr>
        <w:spacing w:line="360" w:lineRule="auto"/>
        <w:rPr>
          <w:rFonts w:hint="eastAsia" w:ascii="仿宋_GB2312" w:hAnsi="宋体" w:eastAsia="仿宋_GB2312"/>
          <w:kern w:val="0"/>
          <w:sz w:val="24"/>
        </w:rPr>
      </w:pPr>
      <w:r>
        <w:rPr>
          <w:rFonts w:hint="eastAsia" w:ascii="仿宋_GB2312" w:hAnsi="宋体" w:eastAsia="仿宋_GB2312"/>
          <w:kern w:val="0"/>
          <w:sz w:val="24"/>
        </w:rPr>
        <w:t>（20）</w:t>
      </w:r>
      <w:r>
        <w:rPr>
          <w:rFonts w:hint="eastAsia" w:ascii="仿宋_GB2312" w:eastAsia="仿宋_GB2312"/>
          <w:kern w:val="0"/>
          <w:sz w:val="24"/>
          <w:lang w:val="zh-CN"/>
        </w:rPr>
        <w:t>验收方案…………………………………………………………</w:t>
      </w:r>
      <w:r>
        <w:rPr>
          <w:rFonts w:hint="eastAsia" w:ascii="仿宋_GB2312" w:hAnsi="宋体" w:eastAsia="仿宋_GB2312"/>
          <w:kern w:val="0"/>
          <w:sz w:val="24"/>
        </w:rPr>
        <w:t>（页码）</w:t>
      </w:r>
    </w:p>
    <w:p>
      <w:pPr>
        <w:spacing w:line="360" w:lineRule="auto"/>
        <w:rPr>
          <w:rFonts w:hint="eastAsia" w:ascii="仿宋_GB2312" w:hAnsi="宋体" w:eastAsia="仿宋_GB2312"/>
          <w:kern w:val="0"/>
          <w:sz w:val="24"/>
        </w:rPr>
      </w:pPr>
      <w:r>
        <w:rPr>
          <w:rFonts w:hint="eastAsia" w:ascii="仿宋_GB2312" w:hAnsi="宋体" w:eastAsia="仿宋_GB2312"/>
          <w:kern w:val="0"/>
          <w:sz w:val="24"/>
        </w:rPr>
        <w:t>（21）技术偏离说明表…………………………………………………（页码）</w:t>
      </w:r>
    </w:p>
    <w:p>
      <w:pPr>
        <w:spacing w:line="360" w:lineRule="auto"/>
        <w:rPr>
          <w:rFonts w:hint="eastAsia" w:ascii="仿宋_GB2312" w:hAnsi="宋体" w:eastAsia="仿宋_GB2312"/>
          <w:kern w:val="0"/>
          <w:sz w:val="24"/>
        </w:rPr>
      </w:pPr>
      <w:r>
        <w:rPr>
          <w:rFonts w:hint="eastAsia" w:ascii="仿宋_GB2312" w:hAnsi="宋体" w:eastAsia="仿宋_GB2312"/>
          <w:kern w:val="0"/>
          <w:sz w:val="24"/>
        </w:rPr>
        <w:t>（22）</w:t>
      </w:r>
      <w:r>
        <w:rPr>
          <w:rFonts w:hint="eastAsia" w:ascii="仿宋_GB2312" w:eastAsia="仿宋_GB2312"/>
          <w:kern w:val="0"/>
          <w:sz w:val="24"/>
          <w:lang w:val="zh-CN"/>
        </w:rPr>
        <w:t>关于对招标文件中有关条款的拒绝声明………………………</w:t>
      </w:r>
      <w:r>
        <w:rPr>
          <w:rFonts w:hint="eastAsia" w:ascii="仿宋_GB2312" w:hAnsi="宋体" w:eastAsia="仿宋_GB2312"/>
          <w:kern w:val="0"/>
          <w:sz w:val="24"/>
        </w:rPr>
        <w:t>（页码）</w:t>
      </w:r>
    </w:p>
    <w:p>
      <w:pPr>
        <w:spacing w:line="360" w:lineRule="auto"/>
        <w:rPr>
          <w:rFonts w:hint="eastAsia" w:ascii="仿宋_GB2312" w:hAnsi="宋体" w:eastAsia="仿宋_GB2312"/>
          <w:b/>
          <w:sz w:val="24"/>
        </w:rPr>
      </w:pPr>
      <w:r>
        <w:rPr>
          <w:rFonts w:hint="eastAsia" w:ascii="仿宋_GB2312" w:hAnsi="宋体" w:eastAsia="仿宋_GB2312"/>
          <w:kern w:val="0"/>
          <w:sz w:val="24"/>
        </w:rPr>
        <w:t>（23）</w:t>
      </w:r>
      <w:r>
        <w:rPr>
          <w:rFonts w:hint="eastAsia" w:ascii="仿宋_GB2312" w:eastAsia="仿宋_GB2312"/>
          <w:kern w:val="0"/>
          <w:sz w:val="24"/>
          <w:lang w:val="zh-CN"/>
        </w:rPr>
        <w:t>认为需要的其他技术文件或说明………………………………</w:t>
      </w:r>
      <w:r>
        <w:rPr>
          <w:rFonts w:hint="eastAsia" w:ascii="仿宋_GB2312" w:hAnsi="宋体" w:eastAsia="仿宋_GB2312"/>
          <w:kern w:val="0"/>
          <w:sz w:val="24"/>
        </w:rPr>
        <w:t>（页码）</w:t>
      </w:r>
    </w:p>
    <w:p>
      <w:pPr>
        <w:spacing w:line="360" w:lineRule="auto"/>
        <w:rPr>
          <w:rFonts w:hint="eastAsia" w:ascii="仿宋_GB2312" w:hAnsi="宋体" w:eastAsia="仿宋_GB2312"/>
          <w:b/>
          <w:sz w:val="24"/>
        </w:rPr>
      </w:pPr>
      <w:r>
        <w:rPr>
          <w:rFonts w:hint="eastAsia" w:ascii="仿宋_GB2312" w:hAnsi="宋体" w:eastAsia="仿宋_GB2312"/>
          <w:b/>
          <w:sz w:val="24"/>
        </w:rPr>
        <w:t>注：以上目录是编制投标技术文件的基本格式要求，各投标人可根据自身情况进一步细化。</w:t>
      </w:r>
    </w:p>
    <w:p>
      <w:pPr>
        <w:spacing w:line="360" w:lineRule="auto"/>
        <w:jc w:val="center"/>
        <w:rPr>
          <w:rFonts w:hint="eastAsia" w:ascii="仿宋_GB2312" w:hAnsi="仿宋_GB2312" w:eastAsia="仿宋_GB2312" w:cs="仿宋_GB2312"/>
          <w:b/>
          <w:sz w:val="30"/>
          <w:szCs w:val="30"/>
        </w:rPr>
      </w:pPr>
      <w:r>
        <w:rPr>
          <w:rFonts w:hint="eastAsia" w:ascii="仿宋_GB2312" w:hAnsi="宋体" w:eastAsia="仿宋_GB2312"/>
          <w:b/>
          <w:sz w:val="30"/>
        </w:rPr>
        <w:br w:type="page"/>
      </w:r>
      <w:r>
        <w:rPr>
          <w:rFonts w:hint="eastAsia" w:ascii="仿宋_GB2312" w:hAnsi="仿宋_GB2312" w:eastAsia="仿宋_GB2312" w:cs="仿宋_GB2312"/>
          <w:b/>
          <w:kern w:val="0"/>
          <w:sz w:val="32"/>
          <w:szCs w:val="32"/>
          <w:lang w:val="zh-CN"/>
        </w:rPr>
        <w:t>一、</w:t>
      </w:r>
      <w:r>
        <w:rPr>
          <w:rFonts w:hint="eastAsia" w:ascii="仿宋_GB2312" w:hAnsi="仿宋_GB2312" w:eastAsia="仿宋_GB2312" w:cs="仿宋_GB2312"/>
          <w:b/>
          <w:sz w:val="30"/>
          <w:szCs w:val="30"/>
        </w:rPr>
        <w:t>营业执照或事业法人登记证证明材料（复印件）、税务缴纳证明文件（复印件）、社保缴纳证明文件（复印件）</w:t>
      </w:r>
    </w:p>
    <w:p>
      <w:pPr>
        <w:spacing w:line="360" w:lineRule="auto"/>
        <w:jc w:val="center"/>
        <w:rPr>
          <w:rFonts w:hint="eastAsia" w:ascii="仿宋_GB2312" w:hAnsi="宋体" w:eastAsia="仿宋_GB2312"/>
          <w:b/>
          <w:sz w:val="30"/>
        </w:rPr>
      </w:pPr>
    </w:p>
    <w:p>
      <w:pPr>
        <w:spacing w:line="360" w:lineRule="auto"/>
        <w:jc w:val="center"/>
        <w:rPr>
          <w:rFonts w:hint="eastAsia" w:ascii="仿宋_GB2312" w:eastAsia="仿宋_GB2312"/>
          <w:b/>
          <w:sz w:val="32"/>
        </w:rPr>
      </w:pPr>
      <w:r>
        <w:rPr>
          <w:rFonts w:hint="eastAsia" w:ascii="仿宋_GB2312" w:eastAsia="仿宋_GB2312"/>
          <w:b/>
          <w:sz w:val="32"/>
        </w:rPr>
        <w:t>二、法人授权委托书</w:t>
      </w:r>
    </w:p>
    <w:p>
      <w:pPr>
        <w:spacing w:line="360" w:lineRule="auto"/>
        <w:rPr>
          <w:rFonts w:hint="eastAsia" w:ascii="仿宋_GB2312" w:eastAsia="仿宋_GB2312"/>
          <w:sz w:val="24"/>
        </w:rPr>
      </w:pPr>
    </w:p>
    <w:p>
      <w:pPr>
        <w:spacing w:line="360" w:lineRule="auto"/>
        <w:rPr>
          <w:rFonts w:hint="eastAsia" w:ascii="仿宋_GB2312" w:eastAsia="仿宋_GB2312"/>
          <w:sz w:val="24"/>
        </w:rPr>
      </w:pPr>
      <w:r>
        <w:rPr>
          <w:rFonts w:hint="eastAsia" w:ascii="仿宋_GB2312" w:hAnsi="仿宋_GB2312" w:eastAsia="仿宋_GB2312" w:cs="仿宋_GB2312"/>
          <w:sz w:val="24"/>
        </w:rPr>
        <w:t>XXX（单位名称）、</w:t>
      </w:r>
      <w:r>
        <w:rPr>
          <w:rFonts w:hint="eastAsia" w:ascii="仿宋_GB2312" w:eastAsia="仿宋_GB2312"/>
          <w:sz w:val="24"/>
        </w:rPr>
        <w:t>杭州市教育技术中心：</w:t>
      </w:r>
    </w:p>
    <w:p>
      <w:pPr>
        <w:spacing w:line="360" w:lineRule="auto"/>
        <w:ind w:firstLine="480" w:firstLineChars="200"/>
        <w:rPr>
          <w:rFonts w:hint="eastAsia" w:ascii="仿宋_GB2312" w:eastAsia="仿宋_GB2312"/>
          <w:sz w:val="24"/>
        </w:rPr>
      </w:pPr>
      <w:r>
        <w:rPr>
          <w:rFonts w:hint="eastAsia" w:ascii="仿宋_GB2312" w:eastAsia="仿宋_GB2312"/>
          <w:sz w:val="24"/>
        </w:rPr>
        <w:t xml:space="preserve">兹委派我公司        先生/女士（其在本公司的职务是：      ，联系电话：         手机：           传真：           身份证号：          ）代表我公司全权处理              </w:t>
      </w:r>
      <w:r>
        <w:rPr>
          <w:rFonts w:hint="eastAsia" w:ascii="仿宋_GB2312" w:hAnsi="仿宋_GB2312" w:eastAsia="仿宋_GB2312" w:cs="仿宋_GB2312"/>
          <w:sz w:val="24"/>
        </w:rPr>
        <w:t>安防监控系统改造、监控设备项目</w:t>
      </w:r>
      <w:r>
        <w:rPr>
          <w:rFonts w:hint="eastAsia" w:ascii="仿宋_GB2312" w:eastAsia="仿宋_GB2312"/>
          <w:sz w:val="24"/>
        </w:rPr>
        <w:t>[招标编号：HJZCD-2019-035]的一切事项，若中标则全权代表本公司签订合同，并负责处理合同履行等事宜。</w:t>
      </w:r>
    </w:p>
    <w:p>
      <w:pPr>
        <w:spacing w:line="360" w:lineRule="auto"/>
        <w:ind w:firstLine="480" w:firstLineChars="200"/>
        <w:rPr>
          <w:rFonts w:hint="eastAsia" w:ascii="仿宋_GB2312" w:eastAsia="仿宋_GB2312"/>
          <w:sz w:val="24"/>
        </w:rPr>
      </w:pPr>
      <w:r>
        <w:rPr>
          <w:rFonts w:hint="eastAsia" w:ascii="仿宋_GB2312" w:eastAsia="仿宋_GB2312"/>
          <w:sz w:val="24"/>
        </w:rPr>
        <w:t>本委托书有效期：自2019年 月  日起至2019年  月  日止。</w:t>
      </w:r>
    </w:p>
    <w:p>
      <w:pPr>
        <w:spacing w:line="360" w:lineRule="auto"/>
        <w:ind w:firstLine="480" w:firstLineChars="200"/>
        <w:rPr>
          <w:rFonts w:hint="eastAsia" w:ascii="仿宋_GB2312" w:eastAsia="仿宋_GB2312"/>
          <w:sz w:val="24"/>
        </w:rPr>
      </w:pPr>
      <w:r>
        <w:rPr>
          <w:rFonts w:hint="eastAsia" w:ascii="仿宋_GB2312" w:eastAsia="仿宋_GB2312"/>
          <w:sz w:val="24"/>
        </w:rPr>
        <w:t>特此告知。</w:t>
      </w:r>
    </w:p>
    <w:p>
      <w:pPr>
        <w:spacing w:line="360" w:lineRule="auto"/>
        <w:ind w:firstLine="480" w:firstLineChars="200"/>
        <w:rPr>
          <w:rFonts w:hint="eastAsia" w:ascii="仿宋_GB2312" w:eastAsia="仿宋_GB2312"/>
          <w:sz w:val="24"/>
        </w:rPr>
      </w:pPr>
    </w:p>
    <w:p>
      <w:pPr>
        <w:spacing w:line="360" w:lineRule="auto"/>
        <w:ind w:firstLine="480" w:firstLineChars="200"/>
        <w:rPr>
          <w:rFonts w:hint="eastAsia" w:ascii="仿宋_GB2312" w:eastAsia="仿宋_GB2312"/>
          <w:sz w:val="24"/>
        </w:rPr>
      </w:pPr>
      <w:r>
        <w:rPr>
          <w:rFonts w:hint="eastAsia" w:ascii="仿宋_GB2312" w:eastAsia="仿宋_GB2312"/>
          <w:sz w:val="24"/>
        </w:rPr>
        <w:t xml:space="preserve">                           投标人名称（公章）：                       </w:t>
      </w:r>
    </w:p>
    <w:p>
      <w:pPr>
        <w:spacing w:line="360" w:lineRule="auto"/>
        <w:ind w:firstLine="480" w:firstLineChars="200"/>
        <w:rPr>
          <w:rFonts w:hint="eastAsia" w:ascii="仿宋_GB2312" w:eastAsia="仿宋_GB2312"/>
          <w:sz w:val="24"/>
        </w:rPr>
      </w:pPr>
      <w:r>
        <w:rPr>
          <w:rFonts w:hint="eastAsia" w:ascii="仿宋_GB2312" w:eastAsia="仿宋_GB2312"/>
          <w:sz w:val="24"/>
        </w:rPr>
        <w:t xml:space="preserve">                           法定代表人（签章）：                   </w:t>
      </w:r>
    </w:p>
    <w:p>
      <w:pPr>
        <w:spacing w:line="360" w:lineRule="auto"/>
        <w:ind w:firstLine="480" w:firstLineChars="200"/>
        <w:rPr>
          <w:rFonts w:hint="eastAsia" w:ascii="仿宋_GB2312" w:eastAsia="仿宋_GB2312"/>
          <w:sz w:val="24"/>
        </w:rPr>
      </w:pPr>
      <w:r>
        <w:rPr>
          <w:rFonts w:hint="eastAsia" w:ascii="仿宋_GB2312" w:eastAsia="仿宋_GB2312"/>
          <w:sz w:val="24"/>
        </w:rPr>
        <w:t xml:space="preserve">                           签发日期：2019年  月   日</w:t>
      </w:r>
    </w:p>
    <w:p>
      <w:pPr>
        <w:widowControl w:val="0"/>
        <w:adjustRightInd w:val="0"/>
        <w:snapToGrid w:val="0"/>
        <w:spacing w:line="360" w:lineRule="auto"/>
        <w:jc w:val="center"/>
        <w:rPr>
          <w:rFonts w:hint="eastAsia" w:ascii="仿宋_GB2312" w:hAnsi="仿宋" w:eastAsia="仿宋_GB2312" w:cs="仿宋_GB2312"/>
          <w:b/>
          <w:kern w:val="0"/>
          <w:sz w:val="32"/>
          <w:szCs w:val="32"/>
          <w:lang w:val="zh-CN"/>
        </w:rPr>
      </w:pPr>
    </w:p>
    <w:p>
      <w:pPr>
        <w:widowControl w:val="0"/>
        <w:adjustRightInd w:val="0"/>
        <w:snapToGrid w:val="0"/>
        <w:spacing w:line="360" w:lineRule="auto"/>
        <w:jc w:val="center"/>
        <w:rPr>
          <w:rFonts w:hint="eastAsia"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联合体投标授权书（适用联合体投标）</w:t>
      </w:r>
    </w:p>
    <w:p>
      <w:pPr>
        <w:widowControl w:val="0"/>
        <w:adjustRightInd w:val="0"/>
        <w:snapToGrid w:val="0"/>
        <w:spacing w:line="360" w:lineRule="auto"/>
        <w:ind w:firstLine="576"/>
        <w:jc w:val="both"/>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lang w:val="zh-CN"/>
        </w:rPr>
        <w:t>兹委派</w:t>
      </w:r>
      <w:r>
        <w:rPr>
          <w:rFonts w:hint="eastAsia" w:ascii="仿宋_GB2312" w:hAnsi="仿宋" w:eastAsia="仿宋_GB2312" w:cs="仿宋_GB2312"/>
          <w:kern w:val="0"/>
          <w:sz w:val="24"/>
          <w:szCs w:val="24"/>
          <w:u w:val="single"/>
          <w:lang w:val="zh-CN"/>
        </w:rPr>
        <w:t xml:space="preserve">    </w:t>
      </w:r>
      <w:r>
        <w:rPr>
          <w:rFonts w:hint="eastAsia" w:ascii="仿宋_GB2312" w:hAnsi="仿宋" w:eastAsia="仿宋_GB2312" w:cs="仿宋_GB2312"/>
          <w:kern w:val="0"/>
          <w:sz w:val="24"/>
          <w:szCs w:val="24"/>
          <w:lang w:val="zh-CN"/>
        </w:rPr>
        <w:t>公司</w:t>
      </w:r>
      <w:r>
        <w:rPr>
          <w:rFonts w:hint="eastAsia" w:ascii="仿宋_GB2312" w:hAnsi="仿宋" w:eastAsia="仿宋_GB2312" w:cs="仿宋_GB2312"/>
          <w:kern w:val="0"/>
          <w:sz w:val="24"/>
          <w:szCs w:val="24"/>
          <w:u w:val="single"/>
          <w:lang w:val="zh-CN"/>
        </w:rPr>
        <w:t xml:space="preserve">       </w:t>
      </w:r>
      <w:r>
        <w:rPr>
          <w:rFonts w:hint="eastAsia" w:ascii="仿宋_GB2312" w:hAnsi="仿宋" w:eastAsia="仿宋_GB2312" w:cs="仿宋_GB2312"/>
          <w:kern w:val="0"/>
          <w:sz w:val="24"/>
          <w:szCs w:val="24"/>
          <w:lang w:val="zh-CN"/>
        </w:rPr>
        <w:t>先生/女士(其在该公司的职务是：</w:t>
      </w:r>
      <w:r>
        <w:rPr>
          <w:rFonts w:hint="eastAsia" w:ascii="仿宋_GB2312" w:hAnsi="仿宋" w:eastAsia="仿宋_GB2312" w:cs="仿宋_GB2312"/>
          <w:kern w:val="0"/>
          <w:sz w:val="24"/>
          <w:szCs w:val="24"/>
          <w:u w:val="single"/>
          <w:lang w:val="zh-CN"/>
        </w:rPr>
        <w:t xml:space="preserve">                </w:t>
      </w:r>
      <w:r>
        <w:rPr>
          <w:rFonts w:hint="eastAsia" w:ascii="仿宋_GB2312" w:hAnsi="仿宋" w:eastAsia="仿宋_GB2312" w:cs="仿宋_GB2312"/>
          <w:kern w:val="0"/>
          <w:sz w:val="24"/>
          <w:szCs w:val="24"/>
          <w:lang w:val="zh-CN"/>
        </w:rPr>
        <w:t xml:space="preserve"> ，联系电话：</w:t>
      </w:r>
      <w:r>
        <w:rPr>
          <w:rFonts w:hint="eastAsia" w:ascii="仿宋_GB2312" w:hAnsi="仿宋" w:eastAsia="仿宋_GB2312" w:cs="仿宋_GB2312"/>
          <w:kern w:val="0"/>
          <w:sz w:val="24"/>
          <w:szCs w:val="24"/>
          <w:u w:val="single"/>
          <w:lang w:val="zh-CN"/>
        </w:rPr>
        <w:t xml:space="preserve">       </w:t>
      </w:r>
      <w:r>
        <w:rPr>
          <w:rFonts w:hint="eastAsia" w:ascii="仿宋_GB2312" w:hAnsi="仿宋" w:eastAsia="仿宋_GB2312" w:cs="仿宋_GB2312"/>
          <w:kern w:val="0"/>
          <w:sz w:val="24"/>
          <w:szCs w:val="24"/>
          <w:lang w:val="zh-CN"/>
        </w:rPr>
        <w:t>手机：</w:t>
      </w:r>
      <w:r>
        <w:rPr>
          <w:rFonts w:hint="eastAsia" w:ascii="仿宋_GB2312" w:hAnsi="仿宋" w:eastAsia="仿宋_GB2312" w:cs="仿宋_GB2312"/>
          <w:kern w:val="0"/>
          <w:sz w:val="24"/>
          <w:szCs w:val="24"/>
          <w:u w:val="single"/>
          <w:lang w:val="zh-CN"/>
        </w:rPr>
        <w:t xml:space="preserve">        </w:t>
      </w:r>
      <w:r>
        <w:rPr>
          <w:rFonts w:hint="eastAsia" w:ascii="仿宋_GB2312" w:hAnsi="仿宋" w:eastAsia="仿宋_GB2312" w:cs="仿宋_GB2312"/>
          <w:kern w:val="0"/>
          <w:sz w:val="24"/>
          <w:szCs w:val="24"/>
          <w:lang w:val="zh-CN"/>
        </w:rPr>
        <w:t>传真：</w:t>
      </w:r>
      <w:r>
        <w:rPr>
          <w:rFonts w:hint="eastAsia" w:ascii="仿宋_GB2312" w:hAnsi="仿宋" w:eastAsia="仿宋_GB2312" w:cs="仿宋_GB2312"/>
          <w:kern w:val="0"/>
          <w:sz w:val="24"/>
          <w:szCs w:val="24"/>
          <w:u w:val="single"/>
          <w:lang w:val="zh-CN"/>
        </w:rPr>
        <w:t xml:space="preserve">           </w:t>
      </w:r>
      <w:r>
        <w:rPr>
          <w:rFonts w:hint="eastAsia" w:ascii="仿宋_GB2312" w:hAnsi="仿宋" w:eastAsia="仿宋_GB2312" w:cs="仿宋_GB2312"/>
          <w:kern w:val="0"/>
          <w:sz w:val="24"/>
          <w:szCs w:val="24"/>
          <w:lang w:val="zh-CN"/>
        </w:rPr>
        <w:t>)；</w:t>
      </w:r>
      <w:r>
        <w:rPr>
          <w:rFonts w:hint="eastAsia" w:ascii="仿宋_GB2312" w:hAnsi="仿宋" w:eastAsia="仿宋_GB2312" w:cs="仿宋_GB2312"/>
          <w:kern w:val="0"/>
          <w:sz w:val="24"/>
          <w:szCs w:val="24"/>
          <w:u w:val="single"/>
          <w:lang w:val="zh-CN"/>
        </w:rPr>
        <w:t xml:space="preserve">      </w:t>
      </w:r>
      <w:r>
        <w:rPr>
          <w:rFonts w:hint="eastAsia" w:ascii="仿宋_GB2312" w:hAnsi="仿宋" w:eastAsia="仿宋_GB2312" w:cs="仿宋_GB2312"/>
          <w:kern w:val="0"/>
          <w:sz w:val="24"/>
          <w:szCs w:val="24"/>
          <w:lang w:val="zh-CN"/>
        </w:rPr>
        <w:t>公司</w:t>
      </w:r>
      <w:r>
        <w:rPr>
          <w:rFonts w:hint="eastAsia" w:ascii="仿宋_GB2312" w:hAnsi="仿宋" w:eastAsia="仿宋_GB2312" w:cs="仿宋_GB2312"/>
          <w:kern w:val="0"/>
          <w:sz w:val="24"/>
          <w:szCs w:val="24"/>
          <w:u w:val="single"/>
          <w:lang w:val="zh-CN"/>
        </w:rPr>
        <w:t xml:space="preserve">       </w:t>
      </w:r>
      <w:r>
        <w:rPr>
          <w:rFonts w:hint="eastAsia" w:ascii="仿宋_GB2312" w:hAnsi="仿宋" w:eastAsia="仿宋_GB2312" w:cs="仿宋_GB2312"/>
          <w:kern w:val="0"/>
          <w:sz w:val="24"/>
          <w:szCs w:val="24"/>
          <w:lang w:val="zh-CN"/>
        </w:rPr>
        <w:t>先生/女士(其在该公司的职务是：</w:t>
      </w:r>
      <w:r>
        <w:rPr>
          <w:rFonts w:hint="eastAsia" w:ascii="仿宋_GB2312" w:hAnsi="仿宋" w:eastAsia="仿宋_GB2312" w:cs="仿宋_GB2312"/>
          <w:kern w:val="0"/>
          <w:sz w:val="24"/>
          <w:szCs w:val="24"/>
          <w:u w:val="single"/>
          <w:lang w:val="zh-CN"/>
        </w:rPr>
        <w:t xml:space="preserve">                 </w:t>
      </w:r>
      <w:r>
        <w:rPr>
          <w:rFonts w:hint="eastAsia" w:ascii="仿宋_GB2312" w:hAnsi="仿宋" w:eastAsia="仿宋_GB2312" w:cs="仿宋_GB2312"/>
          <w:kern w:val="0"/>
          <w:sz w:val="24"/>
          <w:szCs w:val="24"/>
          <w:lang w:val="zh-CN"/>
        </w:rPr>
        <w:t xml:space="preserve"> ，联系电话：</w:t>
      </w:r>
      <w:r>
        <w:rPr>
          <w:rFonts w:hint="eastAsia" w:ascii="仿宋_GB2312" w:hAnsi="仿宋" w:eastAsia="仿宋_GB2312" w:cs="仿宋_GB2312"/>
          <w:kern w:val="0"/>
          <w:sz w:val="24"/>
          <w:szCs w:val="24"/>
          <w:u w:val="single"/>
          <w:lang w:val="zh-CN"/>
        </w:rPr>
        <w:t xml:space="preserve">       </w:t>
      </w:r>
      <w:r>
        <w:rPr>
          <w:rFonts w:hint="eastAsia" w:ascii="仿宋_GB2312" w:hAnsi="仿宋" w:eastAsia="仿宋_GB2312" w:cs="仿宋_GB2312"/>
          <w:kern w:val="0"/>
          <w:sz w:val="24"/>
          <w:szCs w:val="24"/>
          <w:lang w:val="zh-CN"/>
        </w:rPr>
        <w:t>手机：</w:t>
      </w:r>
      <w:r>
        <w:rPr>
          <w:rFonts w:hint="eastAsia" w:ascii="仿宋_GB2312" w:hAnsi="仿宋" w:eastAsia="仿宋_GB2312" w:cs="仿宋_GB2312"/>
          <w:kern w:val="0"/>
          <w:sz w:val="24"/>
          <w:szCs w:val="24"/>
          <w:u w:val="single"/>
          <w:lang w:val="zh-CN"/>
        </w:rPr>
        <w:t xml:space="preserve">        </w:t>
      </w:r>
      <w:r>
        <w:rPr>
          <w:rFonts w:hint="eastAsia" w:ascii="仿宋_GB2312" w:hAnsi="仿宋" w:eastAsia="仿宋_GB2312" w:cs="仿宋_GB2312"/>
          <w:kern w:val="0"/>
          <w:sz w:val="24"/>
          <w:szCs w:val="24"/>
          <w:lang w:val="zh-CN"/>
        </w:rPr>
        <w:t>传真：</w:t>
      </w:r>
      <w:r>
        <w:rPr>
          <w:rFonts w:hint="eastAsia" w:ascii="仿宋_GB2312" w:hAnsi="仿宋" w:eastAsia="仿宋_GB2312" w:cs="仿宋_GB2312"/>
          <w:kern w:val="0"/>
          <w:sz w:val="24"/>
          <w:szCs w:val="24"/>
          <w:u w:val="single"/>
          <w:lang w:val="zh-CN"/>
        </w:rPr>
        <w:t xml:space="preserve">           </w:t>
      </w:r>
      <w:r>
        <w:rPr>
          <w:rFonts w:hint="eastAsia" w:ascii="仿宋_GB2312" w:hAnsi="仿宋" w:eastAsia="仿宋_GB2312" w:cs="仿宋_GB2312"/>
          <w:kern w:val="0"/>
          <w:sz w:val="24"/>
          <w:szCs w:val="24"/>
          <w:lang w:val="zh-CN"/>
        </w:rPr>
        <w:t>)；……，代表本联合体全权处理</w:t>
      </w:r>
      <w:r>
        <w:rPr>
          <w:rFonts w:hint="eastAsia" w:ascii="仿宋_GB2312" w:hAnsi="仿宋" w:eastAsia="仿宋_GB2312" w:cs="仿宋_GB2312"/>
          <w:sz w:val="24"/>
          <w:szCs w:val="24"/>
        </w:rPr>
        <w:t>XXXX采购项目</w:t>
      </w:r>
      <w:r>
        <w:rPr>
          <w:rFonts w:hint="eastAsia" w:ascii="仿宋_GB2312" w:hAnsi="仿宋" w:eastAsia="仿宋_GB2312" w:cs="仿宋_GB2312"/>
          <w:kern w:val="0"/>
          <w:sz w:val="24"/>
          <w:szCs w:val="24"/>
          <w:lang w:val="zh-CN"/>
        </w:rPr>
        <w:t>【编号：XXX】政府采购投标的一切事项，若中标则全权代表本联合体签订相关合同，并负责处理合同履行等事宜。</w:t>
      </w:r>
    </w:p>
    <w:p>
      <w:pPr>
        <w:widowControl w:val="0"/>
        <w:adjustRightInd w:val="0"/>
        <w:snapToGrid w:val="0"/>
        <w:spacing w:line="360" w:lineRule="auto"/>
        <w:jc w:val="both"/>
        <w:rPr>
          <w:rFonts w:hint="eastAsia" w:ascii="仿宋_GB2312" w:hAnsi="仿宋" w:eastAsia="仿宋_GB2312" w:cs="仿宋_GB2312"/>
          <w:kern w:val="0"/>
          <w:sz w:val="24"/>
          <w:szCs w:val="24"/>
          <w:lang w:val="zh-CN"/>
        </w:rPr>
      </w:pPr>
      <w:r>
        <w:rPr>
          <w:rFonts w:hint="eastAsia" w:ascii="仿宋_GB2312" w:hAnsi="仿宋" w:eastAsia="仿宋_GB2312" w:cs="仿宋_GB2312"/>
          <w:kern w:val="0"/>
          <w:sz w:val="24"/>
          <w:szCs w:val="24"/>
          <w:lang w:val="zh-CN"/>
        </w:rPr>
        <w:t xml:space="preserve">    本授权书有效期：自   年 月  日起至  年  月  日止。</w:t>
      </w:r>
    </w:p>
    <w:p>
      <w:pPr>
        <w:widowControl w:val="0"/>
        <w:adjustRightInd w:val="0"/>
        <w:snapToGrid w:val="0"/>
        <w:spacing w:line="360" w:lineRule="auto"/>
        <w:jc w:val="both"/>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lang w:val="zh-CN"/>
        </w:rPr>
        <w:t xml:space="preserve">    特此告知。</w:t>
      </w:r>
    </w:p>
    <w:p>
      <w:pPr>
        <w:widowControl w:val="0"/>
        <w:adjustRightInd w:val="0"/>
        <w:snapToGrid w:val="0"/>
        <w:spacing w:line="360" w:lineRule="auto"/>
        <w:jc w:val="both"/>
        <w:rPr>
          <w:rFonts w:hint="eastAsia" w:ascii="仿宋_GB2312" w:hAnsi="仿宋" w:eastAsia="仿宋_GB2312" w:cs="仿宋_GB2312"/>
          <w:kern w:val="0"/>
          <w:sz w:val="24"/>
          <w:szCs w:val="24"/>
          <w:lang w:val="zh-CN"/>
        </w:rPr>
      </w:pPr>
      <w:r>
        <w:rPr>
          <w:rFonts w:hint="eastAsia" w:ascii="仿宋_GB2312" w:hAnsi="仿宋" w:eastAsia="仿宋_GB2312" w:cs="仿宋_GB2312"/>
          <w:kern w:val="0"/>
          <w:sz w:val="24"/>
          <w:szCs w:val="24"/>
          <w:lang w:val="zh-CN"/>
        </w:rPr>
        <w:t xml:space="preserve">                                                </w:t>
      </w:r>
    </w:p>
    <w:p>
      <w:pPr>
        <w:widowControl w:val="0"/>
        <w:adjustRightInd w:val="0"/>
        <w:snapToGrid w:val="0"/>
        <w:spacing w:line="360" w:lineRule="auto"/>
        <w:ind w:firstLine="576"/>
        <w:jc w:val="both"/>
        <w:rPr>
          <w:rFonts w:hint="eastAsia" w:ascii="仿宋_GB2312" w:hAnsi="仿宋" w:eastAsia="仿宋_GB2312" w:cs="仿宋_GB2312"/>
          <w:kern w:val="0"/>
          <w:sz w:val="24"/>
          <w:szCs w:val="24"/>
          <w:lang w:val="zh-CN"/>
        </w:rPr>
      </w:pPr>
      <w:r>
        <w:rPr>
          <w:rFonts w:hint="eastAsia" w:ascii="仿宋_GB2312" w:hAnsi="仿宋" w:eastAsia="仿宋_GB2312" w:cs="仿宋_GB2312"/>
          <w:kern w:val="0"/>
          <w:sz w:val="24"/>
          <w:szCs w:val="24"/>
          <w:lang w:val="zh-CN"/>
        </w:rPr>
        <w:t>单位：            （公章）         单位：          （公章）</w:t>
      </w:r>
    </w:p>
    <w:p>
      <w:pPr>
        <w:widowControl w:val="0"/>
        <w:adjustRightInd w:val="0"/>
        <w:snapToGrid w:val="0"/>
        <w:spacing w:line="360" w:lineRule="auto"/>
        <w:ind w:firstLine="576"/>
        <w:jc w:val="both"/>
        <w:rPr>
          <w:rFonts w:hint="eastAsia" w:ascii="仿宋_GB2312" w:hAnsi="仿宋" w:eastAsia="仿宋_GB2312" w:cs="仿宋_GB2312"/>
          <w:kern w:val="0"/>
          <w:sz w:val="24"/>
          <w:szCs w:val="24"/>
          <w:lang w:val="zh-CN"/>
        </w:rPr>
      </w:pPr>
      <w:r>
        <w:rPr>
          <w:rFonts w:hint="eastAsia" w:ascii="仿宋_GB2312" w:hAnsi="仿宋" w:eastAsia="仿宋_GB2312" w:cs="仿宋_GB2312"/>
          <w:kern w:val="0"/>
          <w:sz w:val="24"/>
          <w:szCs w:val="24"/>
          <w:lang w:val="zh-CN"/>
        </w:rPr>
        <w:t>法定代表人：（签字或盖章）         法定代表人：（签字或盖章）</w:t>
      </w:r>
    </w:p>
    <w:p>
      <w:pPr>
        <w:widowControl w:val="0"/>
        <w:adjustRightInd w:val="0"/>
        <w:snapToGrid w:val="0"/>
        <w:spacing w:line="360" w:lineRule="auto"/>
        <w:ind w:firstLine="576"/>
        <w:jc w:val="both"/>
        <w:rPr>
          <w:rFonts w:hint="eastAsia" w:ascii="仿宋_GB2312" w:hAnsi="仿宋" w:eastAsia="仿宋_GB2312" w:cs="仿宋_GB2312"/>
          <w:kern w:val="0"/>
          <w:sz w:val="24"/>
          <w:szCs w:val="24"/>
          <w:lang w:val="zh-CN"/>
        </w:rPr>
      </w:pPr>
      <w:r>
        <w:rPr>
          <w:rFonts w:hint="eastAsia" w:ascii="仿宋_GB2312" w:hAnsi="仿宋" w:eastAsia="仿宋_GB2312" w:cs="仿宋_GB2312"/>
          <w:kern w:val="0"/>
          <w:sz w:val="24"/>
          <w:szCs w:val="24"/>
          <w:lang w:val="zh-CN"/>
        </w:rPr>
        <w:t>日期：    年   月   日             日期：    年   月   日</w:t>
      </w:r>
    </w:p>
    <w:p>
      <w:pPr>
        <w:spacing w:line="360" w:lineRule="auto"/>
        <w:jc w:val="center"/>
        <w:rPr>
          <w:rFonts w:hint="eastAsia" w:ascii="仿宋_GB2312" w:eastAsia="仿宋_GB2312"/>
          <w:b/>
          <w:sz w:val="32"/>
        </w:rPr>
      </w:pPr>
    </w:p>
    <w:p>
      <w:pPr>
        <w:adjustRightInd w:val="0"/>
        <w:snapToGrid w:val="0"/>
        <w:spacing w:line="360" w:lineRule="auto"/>
        <w:ind w:right="480"/>
        <w:jc w:val="center"/>
        <w:rPr>
          <w:rFonts w:hint="eastAsia" w:ascii="仿宋_GB2312" w:hAnsi="宋体" w:eastAsia="仿宋_GB2312"/>
          <w:kern w:val="0"/>
          <w:sz w:val="32"/>
          <w:lang w:val="zh-CN"/>
        </w:rPr>
      </w:pPr>
      <w:r>
        <w:rPr>
          <w:rFonts w:hint="eastAsia" w:ascii="仿宋_GB2312" w:hAnsi="宋体" w:eastAsia="仿宋_GB2312"/>
          <w:b/>
          <w:sz w:val="32"/>
        </w:rPr>
        <w:t>三、法定代表人的身份证（复印件）、授权委托人的身份证和劳动合同和社保交纳记录（社保中心盖章）（复印件）</w:t>
      </w:r>
    </w:p>
    <w:p>
      <w:pPr>
        <w:widowControl w:val="0"/>
        <w:spacing w:line="440" w:lineRule="exact"/>
        <w:jc w:val="both"/>
        <w:rPr>
          <w:rFonts w:hint="eastAsia" w:ascii="仿宋_GB2312" w:hAnsi="Courier New" w:eastAsia="仿宋_GB2312"/>
          <w:bCs/>
          <w:sz w:val="24"/>
          <w:szCs w:val="21"/>
          <w:lang/>
        </w:rPr>
      </w:pPr>
      <w:r>
        <w:rPr>
          <w:rFonts w:hint="eastAsia" w:ascii="仿宋_GB2312" w:hAnsi="Courier New" w:eastAsia="仿宋_GB2312"/>
          <w:bCs/>
          <w:sz w:val="24"/>
          <w:szCs w:val="21"/>
          <w:lang/>
        </w:rPr>
        <w:t>法定代表人身份证件扫描件：</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812" w:hRule="atLeast"/>
          <w:jc w:val="center"/>
        </w:trPr>
        <w:tc>
          <w:tcPr>
            <w:tcW w:w="9207" w:type="dxa"/>
            <w:noWrap w:val="0"/>
            <w:vAlign w:val="top"/>
          </w:tcPr>
          <w:p>
            <w:pPr>
              <w:widowControl w:val="0"/>
              <w:spacing w:line="440" w:lineRule="exact"/>
              <w:jc w:val="both"/>
              <w:rPr>
                <w:rFonts w:hint="eastAsia" w:ascii="仿宋_GB2312" w:hAnsi="Courier New" w:eastAsia="仿宋_GB2312"/>
                <w:bCs/>
                <w:sz w:val="24"/>
                <w:szCs w:val="21"/>
                <w:lang/>
              </w:rPr>
            </w:pPr>
            <w:r>
              <w:rPr>
                <w:rFonts w:hint="eastAsia" w:ascii="仿宋_GB2312" w:hAnsi="Courier New" w:eastAsia="仿宋_GB2312"/>
                <w:bCs/>
                <w:sz w:val="24"/>
                <w:szCs w:val="21"/>
                <w:lang/>
              </w:rPr>
              <w:t>正面：                                 反面：</w:t>
            </w:r>
          </w:p>
          <w:p>
            <w:pPr>
              <w:widowControl w:val="0"/>
              <w:spacing w:line="440" w:lineRule="exact"/>
              <w:jc w:val="both"/>
              <w:rPr>
                <w:rFonts w:hint="eastAsia" w:ascii="仿宋_GB2312" w:hAnsi="Courier New" w:eastAsia="仿宋_GB2312"/>
                <w:bCs/>
                <w:sz w:val="24"/>
                <w:szCs w:val="21"/>
                <w:lang/>
              </w:rPr>
            </w:pPr>
          </w:p>
        </w:tc>
      </w:tr>
    </w:tbl>
    <w:p>
      <w:pPr>
        <w:widowControl w:val="0"/>
        <w:spacing w:line="440" w:lineRule="exact"/>
        <w:jc w:val="both"/>
        <w:rPr>
          <w:rFonts w:hint="eastAsia" w:ascii="仿宋_GB2312" w:hAnsi="Courier New" w:eastAsia="仿宋_GB2312"/>
          <w:bCs/>
          <w:sz w:val="24"/>
          <w:szCs w:val="21"/>
          <w:lang/>
        </w:rPr>
      </w:pPr>
      <w:r>
        <w:rPr>
          <w:rFonts w:hint="eastAsia" w:ascii="仿宋_GB2312" w:hAnsi="Courier New" w:eastAsia="仿宋_GB2312"/>
          <w:bCs/>
          <w:sz w:val="24"/>
          <w:szCs w:val="21"/>
          <w:lang/>
        </w:rPr>
        <w:t>授权代表身份证件扫描件：</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812" w:hRule="atLeast"/>
          <w:jc w:val="center"/>
        </w:trPr>
        <w:tc>
          <w:tcPr>
            <w:tcW w:w="9207" w:type="dxa"/>
            <w:noWrap w:val="0"/>
            <w:vAlign w:val="top"/>
          </w:tcPr>
          <w:p>
            <w:pPr>
              <w:widowControl w:val="0"/>
              <w:spacing w:line="440" w:lineRule="exact"/>
              <w:jc w:val="both"/>
              <w:rPr>
                <w:rFonts w:hint="eastAsia" w:ascii="仿宋_GB2312" w:hAnsi="Courier New" w:eastAsia="仿宋_GB2312"/>
                <w:bCs/>
                <w:sz w:val="24"/>
                <w:szCs w:val="21"/>
                <w:lang/>
              </w:rPr>
            </w:pPr>
            <w:r>
              <w:rPr>
                <w:rFonts w:hint="eastAsia" w:ascii="仿宋_GB2312" w:hAnsi="Courier New" w:eastAsia="仿宋_GB2312"/>
                <w:bCs/>
                <w:sz w:val="24"/>
                <w:szCs w:val="21"/>
                <w:lang/>
              </w:rPr>
              <w:t>正面：                                 反面：</w:t>
            </w:r>
          </w:p>
          <w:p>
            <w:pPr>
              <w:widowControl w:val="0"/>
              <w:spacing w:line="440" w:lineRule="exact"/>
              <w:jc w:val="both"/>
              <w:rPr>
                <w:rFonts w:hint="eastAsia" w:ascii="仿宋_GB2312" w:hAnsi="Courier New" w:eastAsia="仿宋_GB2312"/>
                <w:bCs/>
                <w:sz w:val="24"/>
                <w:szCs w:val="21"/>
                <w:lang/>
              </w:rPr>
            </w:pPr>
          </w:p>
        </w:tc>
      </w:tr>
    </w:tbl>
    <w:p>
      <w:pPr>
        <w:widowControl w:val="0"/>
        <w:adjustRightInd w:val="0"/>
        <w:snapToGrid w:val="0"/>
        <w:spacing w:line="360" w:lineRule="auto"/>
        <w:ind w:firstLine="576"/>
        <w:jc w:val="right"/>
        <w:rPr>
          <w:rFonts w:hint="eastAsia" w:ascii="仿宋_GB2312" w:hAnsi="仿宋" w:eastAsia="仿宋_GB2312" w:cs="仿宋_GB2312"/>
          <w:kern w:val="0"/>
          <w:sz w:val="24"/>
          <w:szCs w:val="24"/>
          <w:lang w:val="zh-CN"/>
        </w:rPr>
      </w:pPr>
    </w:p>
    <w:p>
      <w:pPr>
        <w:widowControl w:val="0"/>
        <w:adjustRightInd w:val="0"/>
        <w:snapToGrid w:val="0"/>
        <w:spacing w:line="360" w:lineRule="auto"/>
        <w:ind w:firstLine="576"/>
        <w:jc w:val="center"/>
        <w:rPr>
          <w:rFonts w:hint="eastAsia" w:ascii="仿宋_GB2312" w:hAnsi="仿宋" w:eastAsia="仿宋_GB2312" w:cs="仿宋_GB2312"/>
          <w:kern w:val="0"/>
          <w:sz w:val="24"/>
          <w:szCs w:val="24"/>
          <w:lang w:val="zh-CN"/>
        </w:rPr>
      </w:pPr>
      <w:r>
        <w:rPr>
          <w:rFonts w:hint="eastAsia" w:ascii="仿宋_GB2312" w:hAnsi="仿宋" w:eastAsia="仿宋_GB2312" w:cs="仿宋_GB2312"/>
          <w:kern w:val="0"/>
          <w:sz w:val="24"/>
          <w:szCs w:val="24"/>
          <w:lang w:val="zh-CN"/>
        </w:rPr>
        <w:t xml:space="preserve">                 投标人名称(公章)：</w:t>
      </w:r>
    </w:p>
    <w:p>
      <w:pPr>
        <w:widowControl w:val="0"/>
        <w:adjustRightInd w:val="0"/>
        <w:snapToGrid w:val="0"/>
        <w:spacing w:line="360" w:lineRule="auto"/>
        <w:ind w:firstLine="576"/>
        <w:jc w:val="center"/>
        <w:rPr>
          <w:rFonts w:hint="eastAsia" w:ascii="仿宋_GB2312" w:hAnsi="仿宋" w:eastAsia="仿宋_GB2312" w:cs="仿宋_GB2312"/>
          <w:kern w:val="0"/>
          <w:sz w:val="24"/>
          <w:szCs w:val="24"/>
          <w:lang w:val="zh-CN"/>
        </w:rPr>
      </w:pPr>
      <w:r>
        <w:rPr>
          <w:rFonts w:hint="eastAsia" w:ascii="仿宋_GB2312" w:hAnsi="仿宋" w:eastAsia="仿宋_GB2312" w:cs="仿宋_GB2312"/>
          <w:kern w:val="0"/>
          <w:sz w:val="24"/>
          <w:szCs w:val="24"/>
          <w:lang w:val="zh-CN"/>
        </w:rPr>
        <w:t xml:space="preserve">                              法定代表人或其授权代表(签字)：</w:t>
      </w:r>
    </w:p>
    <w:p>
      <w:pPr>
        <w:widowControl w:val="0"/>
        <w:adjustRightInd w:val="0"/>
        <w:snapToGrid w:val="0"/>
        <w:spacing w:line="360" w:lineRule="auto"/>
        <w:ind w:firstLine="576"/>
        <w:jc w:val="center"/>
        <w:rPr>
          <w:rFonts w:hint="eastAsia" w:ascii="仿宋_GB2312" w:hAnsi="仿宋" w:eastAsia="仿宋_GB2312" w:cs="仿宋_GB2312"/>
          <w:kern w:val="0"/>
          <w:sz w:val="24"/>
          <w:szCs w:val="24"/>
          <w:lang w:val="zh-CN"/>
        </w:rPr>
      </w:pPr>
      <w:r>
        <w:rPr>
          <w:rFonts w:hint="eastAsia" w:ascii="仿宋_GB2312" w:hAnsi="仿宋" w:eastAsia="仿宋_GB2312" w:cs="仿宋_GB2312"/>
          <w:kern w:val="0"/>
          <w:sz w:val="24"/>
          <w:szCs w:val="24"/>
          <w:lang w:val="zh-CN"/>
        </w:rPr>
        <w:t xml:space="preserve">              日期：  年  月</w:t>
      </w:r>
    </w:p>
    <w:p>
      <w:pPr>
        <w:spacing w:line="360" w:lineRule="auto"/>
        <w:jc w:val="center"/>
        <w:rPr>
          <w:rFonts w:hint="eastAsia" w:ascii="仿宋_GB2312" w:eastAsia="仿宋_GB2312"/>
          <w:b/>
          <w:sz w:val="32"/>
        </w:rPr>
      </w:pPr>
    </w:p>
    <w:p>
      <w:pPr>
        <w:spacing w:line="360" w:lineRule="auto"/>
        <w:jc w:val="center"/>
        <w:rPr>
          <w:rFonts w:hint="eastAsia" w:ascii="仿宋_GB2312" w:eastAsia="仿宋_GB2312"/>
          <w:b/>
          <w:sz w:val="32"/>
        </w:rPr>
      </w:pPr>
    </w:p>
    <w:p>
      <w:pPr>
        <w:spacing w:line="360" w:lineRule="auto"/>
        <w:jc w:val="center"/>
        <w:rPr>
          <w:rFonts w:hint="eastAsia" w:ascii="仿宋_GB2312" w:eastAsia="仿宋_GB2312"/>
          <w:b/>
          <w:sz w:val="32"/>
        </w:rPr>
      </w:pPr>
      <w:r>
        <w:rPr>
          <w:rFonts w:hint="eastAsia" w:ascii="仿宋_GB2312" w:eastAsia="仿宋_GB2312"/>
          <w:b/>
          <w:sz w:val="32"/>
        </w:rPr>
        <w:t>四、声明书</w:t>
      </w:r>
    </w:p>
    <w:p>
      <w:pPr>
        <w:spacing w:line="360" w:lineRule="auto"/>
        <w:rPr>
          <w:rFonts w:hint="eastAsia" w:ascii="仿宋_GB2312" w:eastAsia="仿宋_GB2312"/>
          <w:sz w:val="24"/>
        </w:rPr>
      </w:pPr>
      <w:r>
        <w:rPr>
          <w:rFonts w:hint="eastAsia" w:ascii="仿宋_GB2312" w:hAnsi="仿宋_GB2312" w:eastAsia="仿宋_GB2312" w:cs="仿宋_GB2312"/>
          <w:sz w:val="24"/>
        </w:rPr>
        <w:t>XXX（单位名称）、</w:t>
      </w:r>
      <w:r>
        <w:rPr>
          <w:rFonts w:hint="eastAsia" w:ascii="仿宋_GB2312" w:eastAsia="仿宋_GB2312"/>
          <w:sz w:val="24"/>
        </w:rPr>
        <w:t>杭州市教育技术中心：</w:t>
      </w:r>
    </w:p>
    <w:p>
      <w:pPr>
        <w:spacing w:line="360" w:lineRule="auto"/>
        <w:ind w:firstLine="480" w:firstLineChars="200"/>
        <w:rPr>
          <w:rFonts w:hint="eastAsia" w:ascii="仿宋_GB2312" w:eastAsia="仿宋_GB2312"/>
          <w:sz w:val="24"/>
        </w:rPr>
      </w:pPr>
      <w:r>
        <w:rPr>
          <w:rFonts w:hint="eastAsia" w:ascii="仿宋_GB2312" w:hAnsi="仿宋" w:eastAsia="仿宋_GB2312"/>
          <w:kern w:val="0"/>
          <w:sz w:val="24"/>
          <w:lang w:val="zh-CN"/>
        </w:rPr>
        <w:t>我公司</w:t>
      </w:r>
      <w:r>
        <w:rPr>
          <w:rFonts w:hint="eastAsia" w:ascii="仿宋_GB2312" w:hAnsi="宋体" w:eastAsia="仿宋_GB2312"/>
          <w:sz w:val="24"/>
        </w:rPr>
        <w:t>声明</w:t>
      </w:r>
      <w:r>
        <w:rPr>
          <w:rFonts w:hint="eastAsia" w:ascii="仿宋_GB2312" w:eastAsia="仿宋_GB2312"/>
          <w:sz w:val="24"/>
        </w:rPr>
        <w:t>截止投标时间近三年以来</w:t>
      </w:r>
      <w:r>
        <w:rPr>
          <w:rFonts w:hint="eastAsia" w:ascii="仿宋_GB2312" w:hAnsi="宋体" w:eastAsia="仿宋_GB2312"/>
          <w:sz w:val="24"/>
        </w:rPr>
        <w:t>，在</w:t>
      </w:r>
      <w:r>
        <w:rPr>
          <w:rFonts w:hint="eastAsia" w:ascii="仿宋_GB2312" w:hAnsi="宋体" w:eastAsia="仿宋_GB2312"/>
          <w:kern w:val="0"/>
          <w:sz w:val="24"/>
        </w:rPr>
        <w:t>政府采购领域中</w:t>
      </w:r>
      <w:r>
        <w:rPr>
          <w:rFonts w:hint="eastAsia" w:ascii="仿宋_GB2312" w:hAnsi="宋体" w:eastAsia="仿宋_GB2312"/>
          <w:sz w:val="24"/>
        </w:rPr>
        <w:t>，在项目招标、投标和合同履约期间无任何不良行为记录和违法、违规行为</w:t>
      </w:r>
      <w:r>
        <w:rPr>
          <w:rFonts w:hint="eastAsia" w:ascii="仿宋_GB2312" w:hAnsi="宋体" w:eastAsia="仿宋_GB2312" w:cs="仿宋_GB2312"/>
          <w:kern w:val="0"/>
          <w:sz w:val="24"/>
          <w:lang w:val="zh-CN"/>
        </w:rPr>
        <w:t>。</w:t>
      </w:r>
    </w:p>
    <w:p>
      <w:pPr>
        <w:spacing w:line="360" w:lineRule="auto"/>
        <w:ind w:firstLine="480" w:firstLineChars="200"/>
        <w:rPr>
          <w:rFonts w:hint="eastAsia" w:ascii="仿宋_GB2312" w:eastAsia="仿宋_GB2312"/>
          <w:sz w:val="24"/>
        </w:rPr>
      </w:pPr>
      <w:r>
        <w:rPr>
          <w:rFonts w:hint="eastAsia" w:ascii="仿宋_GB2312" w:eastAsia="仿宋_GB2312"/>
          <w:sz w:val="24"/>
        </w:rPr>
        <w:t>我公司自愿参加</w:t>
      </w:r>
      <w:r>
        <w:rPr>
          <w:rFonts w:hint="eastAsia" w:ascii="仿宋_GB2312" w:hAnsi="仿宋_GB2312" w:eastAsia="仿宋_GB2312" w:cs="仿宋_GB2312"/>
          <w:sz w:val="24"/>
        </w:rPr>
        <w:t>安防监控系统改造、监控设备项目</w:t>
      </w:r>
      <w:r>
        <w:rPr>
          <w:rFonts w:hint="eastAsia" w:ascii="仿宋_GB2312" w:eastAsia="仿宋_GB2312"/>
          <w:sz w:val="24"/>
        </w:rPr>
        <w:t>[招标编号：HJZCD-2019-035]的投标，并保证投标文件中所列举的投标报价文件及相关资料和公司基本情况资料是真实的、合法的。</w:t>
      </w:r>
    </w:p>
    <w:p>
      <w:pPr>
        <w:spacing w:line="360" w:lineRule="auto"/>
        <w:ind w:firstLine="480" w:firstLineChars="200"/>
        <w:rPr>
          <w:rFonts w:hint="eastAsia" w:ascii="仿宋_GB2312" w:hAnsi="仿宋" w:eastAsia="仿宋_GB2312"/>
          <w:kern w:val="0"/>
          <w:sz w:val="24"/>
          <w:lang w:val="zh-CN"/>
        </w:rPr>
      </w:pPr>
      <w:r>
        <w:rPr>
          <w:rFonts w:hint="eastAsia" w:ascii="仿宋_GB2312" w:hAnsi="仿宋" w:eastAsia="仿宋_GB2312"/>
          <w:kern w:val="0"/>
          <w:sz w:val="24"/>
          <w:lang w:val="zh-CN"/>
        </w:rPr>
        <w:t>我公司已详细阅读全部“招标文件”，包括修改文件（如果有）以及全部招标资料和相关附件，并已了解我公司在招投标过程中的权利和义务。</w:t>
      </w:r>
    </w:p>
    <w:p>
      <w:pPr>
        <w:spacing w:line="360" w:lineRule="auto"/>
        <w:ind w:firstLine="480" w:firstLineChars="200"/>
        <w:rPr>
          <w:rFonts w:hint="eastAsia" w:ascii="仿宋_GB2312" w:eastAsia="仿宋_GB2312"/>
          <w:sz w:val="24"/>
        </w:rPr>
      </w:pPr>
      <w:r>
        <w:rPr>
          <w:rFonts w:hint="eastAsia" w:ascii="仿宋_GB2312" w:hAnsi="仿宋" w:eastAsia="仿宋_GB2312"/>
          <w:kern w:val="0"/>
          <w:sz w:val="24"/>
          <w:lang w:val="zh-CN"/>
        </w:rPr>
        <w:t>我公司理解并接受招标文件的各项规定和要求，同意此次招标文件中的各项内容，</w:t>
      </w:r>
      <w:r>
        <w:rPr>
          <w:rFonts w:hint="eastAsia" w:ascii="仿宋_GB2312" w:hAnsi="仿宋" w:eastAsia="仿宋_GB2312"/>
          <w:kern w:val="0"/>
          <w:sz w:val="24"/>
        </w:rPr>
        <w:t>并</w:t>
      </w:r>
      <w:r>
        <w:rPr>
          <w:rFonts w:hint="eastAsia" w:ascii="仿宋_GB2312" w:hAnsi="仿宋" w:eastAsia="仿宋_GB2312"/>
          <w:kern w:val="0"/>
          <w:sz w:val="24"/>
          <w:lang w:val="zh-CN"/>
        </w:rPr>
        <w:t>同意提供按照贵方可能要求的与投标有关的一切数据或资料等。</w:t>
      </w:r>
    </w:p>
    <w:p>
      <w:pPr>
        <w:spacing w:line="360" w:lineRule="auto"/>
        <w:ind w:firstLine="480" w:firstLineChars="200"/>
        <w:rPr>
          <w:rFonts w:hint="eastAsia" w:ascii="仿宋_GB2312" w:eastAsia="仿宋_GB2312"/>
          <w:sz w:val="24"/>
        </w:rPr>
      </w:pPr>
      <w:r>
        <w:rPr>
          <w:rFonts w:hint="eastAsia" w:ascii="仿宋_GB2312" w:hAnsi="仿宋" w:eastAsia="仿宋_GB2312"/>
          <w:kern w:val="0"/>
          <w:sz w:val="24"/>
          <w:lang w:val="zh-CN"/>
        </w:rPr>
        <w:t>本公司如中标，保证按照投标文件的承诺与贵方签订合同，保证履行合同条款并缴纳履约保证金。</w:t>
      </w:r>
    </w:p>
    <w:p>
      <w:pPr>
        <w:spacing w:line="360" w:lineRule="auto"/>
        <w:ind w:firstLine="480" w:firstLineChars="200"/>
        <w:rPr>
          <w:rFonts w:hint="eastAsia" w:ascii="仿宋_GB2312" w:eastAsia="仿宋_GB2312"/>
          <w:sz w:val="24"/>
        </w:rPr>
      </w:pPr>
      <w:r>
        <w:rPr>
          <w:rFonts w:hint="eastAsia" w:ascii="仿宋_GB2312" w:eastAsia="仿宋_GB2312"/>
          <w:sz w:val="24"/>
        </w:rPr>
        <w:t xml:space="preserve">                                投标人名称（公章）：</w:t>
      </w:r>
    </w:p>
    <w:p>
      <w:pPr>
        <w:spacing w:line="360" w:lineRule="auto"/>
        <w:ind w:firstLine="480" w:firstLineChars="200"/>
        <w:rPr>
          <w:rFonts w:hint="eastAsia" w:ascii="仿宋_GB2312" w:eastAsia="仿宋_GB2312"/>
          <w:sz w:val="24"/>
        </w:rPr>
      </w:pPr>
      <w:r>
        <w:rPr>
          <w:rFonts w:hint="eastAsia" w:ascii="仿宋_GB2312" w:eastAsia="仿宋_GB2312"/>
          <w:sz w:val="24"/>
        </w:rPr>
        <w:t xml:space="preserve">                                法定代表人或授权委托人（签字）：</w:t>
      </w:r>
    </w:p>
    <w:p>
      <w:pPr>
        <w:spacing w:line="360" w:lineRule="auto"/>
        <w:rPr>
          <w:rFonts w:hint="eastAsia" w:ascii="仿宋_GB2312" w:eastAsia="仿宋_GB2312"/>
          <w:sz w:val="24"/>
        </w:rPr>
      </w:pPr>
      <w:r>
        <w:rPr>
          <w:rFonts w:hint="eastAsia" w:ascii="仿宋_GB2312" w:eastAsia="仿宋_GB2312"/>
          <w:sz w:val="24"/>
        </w:rPr>
        <w:t xml:space="preserve">                                    声明日期：2019年   月   日</w:t>
      </w:r>
    </w:p>
    <w:p>
      <w:pPr>
        <w:spacing w:line="360" w:lineRule="auto"/>
        <w:rPr>
          <w:rFonts w:hint="eastAsia" w:ascii="仿宋_GB2312" w:eastAsia="仿宋_GB2312"/>
          <w:sz w:val="24"/>
        </w:rPr>
      </w:pPr>
    </w:p>
    <w:p>
      <w:pPr>
        <w:spacing w:line="360" w:lineRule="auto"/>
        <w:rPr>
          <w:rFonts w:hint="eastAsia" w:ascii="仿宋_GB2312" w:eastAsia="仿宋_GB2312"/>
          <w:sz w:val="24"/>
        </w:rPr>
      </w:pPr>
    </w:p>
    <w:p>
      <w:pPr>
        <w:spacing w:line="480" w:lineRule="exact"/>
        <w:jc w:val="center"/>
        <w:rPr>
          <w:rFonts w:hint="eastAsia" w:ascii="仿宋_GB2312" w:eastAsia="仿宋_GB2312"/>
          <w:b/>
          <w:sz w:val="30"/>
        </w:rPr>
      </w:pPr>
    </w:p>
    <w:p>
      <w:pPr>
        <w:spacing w:line="360" w:lineRule="auto"/>
        <w:jc w:val="center"/>
        <w:rPr>
          <w:rFonts w:hint="eastAsia" w:ascii="仿宋_GB2312" w:eastAsia="仿宋_GB2312"/>
          <w:b/>
          <w:sz w:val="30"/>
          <w:szCs w:val="30"/>
        </w:rPr>
      </w:pPr>
      <w:r>
        <w:rPr>
          <w:rFonts w:hint="eastAsia" w:ascii="仿宋_GB2312" w:eastAsia="仿宋_GB2312"/>
          <w:b/>
          <w:sz w:val="30"/>
          <w:szCs w:val="30"/>
        </w:rPr>
        <w:t>五、非本地投标人售后服务机构证明材料</w:t>
      </w:r>
    </w:p>
    <w:p>
      <w:pPr>
        <w:spacing w:line="360" w:lineRule="auto"/>
        <w:jc w:val="center"/>
        <w:rPr>
          <w:rFonts w:hint="eastAsia" w:ascii="仿宋_GB2312" w:eastAsia="仿宋_GB2312"/>
          <w:sz w:val="24"/>
        </w:rPr>
      </w:pPr>
      <w:r>
        <w:rPr>
          <w:rFonts w:hint="eastAsia" w:ascii="仿宋_GB2312" w:eastAsia="仿宋_GB2312"/>
          <w:sz w:val="24"/>
        </w:rPr>
        <w:t>（由非本地投标人根据采购需求及招标文件要求编制）</w:t>
      </w:r>
    </w:p>
    <w:p>
      <w:pPr>
        <w:spacing w:line="480" w:lineRule="exact"/>
        <w:jc w:val="center"/>
        <w:rPr>
          <w:rFonts w:hint="eastAsia" w:ascii="仿宋_GB2312" w:eastAsia="仿宋_GB2312"/>
          <w:b/>
          <w:sz w:val="30"/>
        </w:rPr>
      </w:pPr>
    </w:p>
    <w:p>
      <w:pPr>
        <w:spacing w:line="480" w:lineRule="exact"/>
        <w:jc w:val="center"/>
        <w:rPr>
          <w:rFonts w:hint="eastAsia" w:ascii="仿宋_GB2312" w:eastAsia="仿宋_GB2312"/>
          <w:b/>
          <w:sz w:val="30"/>
        </w:rPr>
      </w:pPr>
      <w:r>
        <w:rPr>
          <w:rFonts w:hint="eastAsia" w:ascii="仿宋_GB2312" w:eastAsia="仿宋_GB2312"/>
          <w:b/>
          <w:sz w:val="30"/>
        </w:rPr>
        <w:t>六、所有与符合性审查有关的资信文件（复印件）</w:t>
      </w:r>
    </w:p>
    <w:p>
      <w:pPr>
        <w:spacing w:line="480" w:lineRule="exact"/>
        <w:jc w:val="center"/>
        <w:rPr>
          <w:rFonts w:hint="eastAsia" w:ascii="仿宋_GB2312" w:eastAsia="仿宋_GB2312"/>
          <w:sz w:val="28"/>
        </w:rPr>
      </w:pPr>
      <w:r>
        <w:rPr>
          <w:rFonts w:hint="eastAsia" w:ascii="仿宋_GB2312" w:eastAsia="仿宋_GB2312"/>
          <w:sz w:val="28"/>
        </w:rPr>
        <w:t>（由投标人根据采购需求及招标文件要求编制）</w:t>
      </w:r>
    </w:p>
    <w:p>
      <w:pPr>
        <w:spacing w:line="480" w:lineRule="exact"/>
        <w:jc w:val="center"/>
        <w:rPr>
          <w:rFonts w:hint="eastAsia" w:ascii="仿宋_GB2312" w:eastAsia="仿宋_GB2312"/>
          <w:sz w:val="28"/>
        </w:rPr>
      </w:pPr>
    </w:p>
    <w:p>
      <w:pPr>
        <w:spacing w:line="480" w:lineRule="exact"/>
        <w:jc w:val="center"/>
        <w:rPr>
          <w:rFonts w:hint="eastAsia" w:ascii="仿宋_GB2312" w:eastAsia="仿宋_GB2312"/>
          <w:sz w:val="28"/>
        </w:rPr>
      </w:pPr>
    </w:p>
    <w:p>
      <w:pPr>
        <w:tabs>
          <w:tab w:val="left" w:pos="2790"/>
          <w:tab w:val="left" w:pos="4230"/>
        </w:tabs>
        <w:autoSpaceDE w:val="0"/>
        <w:autoSpaceDN w:val="0"/>
        <w:adjustRightInd w:val="0"/>
        <w:spacing w:line="440" w:lineRule="exact"/>
        <w:ind w:right="1400"/>
        <w:jc w:val="center"/>
        <w:outlineLvl w:val="1"/>
        <w:rPr>
          <w:rFonts w:hint="eastAsia" w:ascii="仿宋_GB2312" w:eastAsia="仿宋_GB2312"/>
          <w:b/>
          <w:kern w:val="0"/>
          <w:sz w:val="30"/>
          <w:lang w:val="zh-CN"/>
        </w:rPr>
      </w:pPr>
    </w:p>
    <w:p>
      <w:pPr>
        <w:tabs>
          <w:tab w:val="left" w:pos="2790"/>
          <w:tab w:val="left" w:pos="4230"/>
        </w:tabs>
        <w:autoSpaceDE w:val="0"/>
        <w:autoSpaceDN w:val="0"/>
        <w:adjustRightInd w:val="0"/>
        <w:spacing w:line="440" w:lineRule="exact"/>
        <w:ind w:right="1400"/>
        <w:outlineLvl w:val="1"/>
        <w:rPr>
          <w:rFonts w:hint="eastAsia" w:ascii="仿宋_GB2312" w:eastAsia="仿宋_GB2312"/>
          <w:b/>
          <w:kern w:val="0"/>
          <w:sz w:val="30"/>
          <w:lang w:val="zh-CN"/>
        </w:rPr>
      </w:pPr>
    </w:p>
    <w:p>
      <w:pPr>
        <w:spacing w:line="480" w:lineRule="exact"/>
        <w:jc w:val="center"/>
        <w:rPr>
          <w:rFonts w:hint="eastAsia" w:ascii="仿宋_GB2312" w:hAnsi="宋体" w:eastAsia="仿宋_GB2312"/>
          <w:b/>
          <w:sz w:val="30"/>
        </w:rPr>
      </w:pPr>
      <w:r>
        <w:rPr>
          <w:rFonts w:hint="eastAsia" w:ascii="仿宋_GB2312" w:eastAsia="仿宋_GB2312"/>
          <w:b/>
          <w:sz w:val="30"/>
        </w:rPr>
        <w:br w:type="page"/>
      </w:r>
      <w:r>
        <w:rPr>
          <w:rFonts w:hint="eastAsia" w:ascii="仿宋_GB2312" w:eastAsia="仿宋_GB2312"/>
          <w:b/>
          <w:sz w:val="30"/>
        </w:rPr>
        <w:t>七、主要业绩证明</w:t>
      </w:r>
    </w:p>
    <w:p>
      <w:pPr>
        <w:autoSpaceDE w:val="0"/>
        <w:autoSpaceDN w:val="0"/>
        <w:adjustRightInd w:val="0"/>
        <w:spacing w:line="440" w:lineRule="exact"/>
        <w:ind w:firstLine="120"/>
        <w:rPr>
          <w:rFonts w:hint="eastAsia" w:ascii="仿宋_GB2312" w:eastAsia="仿宋_GB2312"/>
          <w:b/>
          <w:sz w:val="24"/>
        </w:rPr>
      </w:pPr>
      <w:r>
        <w:rPr>
          <w:rFonts w:hint="eastAsia" w:ascii="仿宋_GB2312" w:eastAsia="仿宋_GB2312"/>
          <w:b/>
          <w:sz w:val="24"/>
        </w:rPr>
        <w:t>附表 :相关项目建设业绩一览表</w:t>
      </w:r>
    </w:p>
    <w:tbl>
      <w:tblPr>
        <w:tblStyle w:val="64"/>
        <w:tblW w:w="0" w:type="auto"/>
        <w:tblInd w:w="108" w:type="dxa"/>
        <w:tblLayout w:type="fixed"/>
        <w:tblCellMar>
          <w:top w:w="0" w:type="dxa"/>
          <w:left w:w="108" w:type="dxa"/>
          <w:bottom w:w="0" w:type="dxa"/>
          <w:right w:w="108" w:type="dxa"/>
        </w:tblCellMar>
      </w:tblPr>
      <w:tblGrid>
        <w:gridCol w:w="1276"/>
        <w:gridCol w:w="851"/>
        <w:gridCol w:w="1275"/>
        <w:gridCol w:w="1134"/>
        <w:gridCol w:w="1134"/>
        <w:gridCol w:w="851"/>
        <w:gridCol w:w="1984"/>
        <w:gridCol w:w="1181"/>
      </w:tblGrid>
      <w:tr>
        <w:tblPrEx>
          <w:tblCellMar>
            <w:top w:w="0" w:type="dxa"/>
            <w:left w:w="108" w:type="dxa"/>
            <w:bottom w:w="0" w:type="dxa"/>
            <w:right w:w="108" w:type="dxa"/>
          </w:tblCellMar>
        </w:tblPrEx>
        <w:trPr>
          <w:wBefore w:w="0" w:type="dxa"/>
          <w:wAfter w:w="0" w:type="dxa"/>
          <w:trHeight w:val="1177" w:hRule="atLeast"/>
        </w:trPr>
        <w:tc>
          <w:tcPr>
            <w:tcW w:w="127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40" w:lineRule="exact"/>
              <w:jc w:val="center"/>
              <w:rPr>
                <w:rFonts w:hint="eastAsia" w:ascii="仿宋_GB2312" w:eastAsia="仿宋_GB2312"/>
                <w:sz w:val="24"/>
              </w:rPr>
            </w:pPr>
            <w:r>
              <w:rPr>
                <w:rFonts w:hint="eastAsia" w:ascii="仿宋_GB2312" w:eastAsia="仿宋_GB2312"/>
                <w:sz w:val="24"/>
              </w:rPr>
              <w:t>项目名称</w:t>
            </w:r>
          </w:p>
        </w:tc>
        <w:tc>
          <w:tcPr>
            <w:tcW w:w="85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40" w:lineRule="exact"/>
              <w:jc w:val="center"/>
              <w:rPr>
                <w:rFonts w:hint="eastAsia" w:ascii="仿宋_GB2312" w:eastAsia="仿宋_GB2312"/>
                <w:sz w:val="24"/>
              </w:rPr>
            </w:pPr>
            <w:r>
              <w:rPr>
                <w:rFonts w:hint="eastAsia" w:ascii="仿宋_GB2312" w:eastAsia="仿宋_GB2312"/>
                <w:sz w:val="24"/>
              </w:rPr>
              <w:t>项目</w:t>
            </w:r>
          </w:p>
          <w:p>
            <w:pPr>
              <w:autoSpaceDE w:val="0"/>
              <w:autoSpaceDN w:val="0"/>
              <w:adjustRightInd w:val="0"/>
              <w:spacing w:line="440" w:lineRule="exact"/>
              <w:jc w:val="center"/>
              <w:rPr>
                <w:rFonts w:hint="eastAsia" w:ascii="仿宋_GB2312" w:eastAsia="仿宋_GB2312"/>
                <w:sz w:val="24"/>
              </w:rPr>
            </w:pPr>
            <w:r>
              <w:rPr>
                <w:rFonts w:hint="eastAsia" w:ascii="仿宋_GB2312" w:eastAsia="仿宋_GB2312"/>
                <w:sz w:val="24"/>
              </w:rPr>
              <w:t>类型</w:t>
            </w:r>
          </w:p>
        </w:tc>
        <w:tc>
          <w:tcPr>
            <w:tcW w:w="127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40" w:lineRule="exact"/>
              <w:jc w:val="center"/>
              <w:rPr>
                <w:rFonts w:hint="eastAsia" w:ascii="仿宋_GB2312" w:eastAsia="仿宋_GB2312"/>
                <w:sz w:val="24"/>
              </w:rPr>
            </w:pPr>
            <w:r>
              <w:rPr>
                <w:rFonts w:hint="eastAsia" w:ascii="仿宋_GB2312" w:eastAsia="仿宋_GB2312"/>
                <w:sz w:val="24"/>
              </w:rPr>
              <w:t>简要描述</w:t>
            </w:r>
          </w:p>
        </w:tc>
        <w:tc>
          <w:tcPr>
            <w:tcW w:w="113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40" w:lineRule="exact"/>
              <w:jc w:val="center"/>
              <w:rPr>
                <w:rFonts w:hint="eastAsia" w:ascii="仿宋_GB2312" w:eastAsia="仿宋_GB2312"/>
                <w:sz w:val="24"/>
              </w:rPr>
            </w:pPr>
            <w:r>
              <w:rPr>
                <w:rFonts w:hint="eastAsia" w:ascii="仿宋_GB2312" w:eastAsia="仿宋_GB2312"/>
                <w:sz w:val="24"/>
              </w:rPr>
              <w:t>项目</w:t>
            </w:r>
          </w:p>
          <w:p>
            <w:pPr>
              <w:autoSpaceDE w:val="0"/>
              <w:autoSpaceDN w:val="0"/>
              <w:adjustRightInd w:val="0"/>
              <w:spacing w:line="440" w:lineRule="exact"/>
              <w:jc w:val="center"/>
              <w:rPr>
                <w:rFonts w:hint="eastAsia" w:ascii="仿宋_GB2312" w:eastAsia="仿宋_GB2312"/>
                <w:sz w:val="24"/>
              </w:rPr>
            </w:pPr>
            <w:r>
              <w:rPr>
                <w:rFonts w:hint="eastAsia" w:ascii="仿宋_GB2312" w:eastAsia="仿宋_GB2312"/>
                <w:sz w:val="24"/>
              </w:rPr>
              <w:t>投资</w:t>
            </w:r>
          </w:p>
          <w:p>
            <w:pPr>
              <w:autoSpaceDE w:val="0"/>
              <w:autoSpaceDN w:val="0"/>
              <w:adjustRightInd w:val="0"/>
              <w:spacing w:line="440" w:lineRule="exact"/>
              <w:jc w:val="center"/>
              <w:rPr>
                <w:rFonts w:hint="eastAsia" w:ascii="仿宋_GB2312" w:eastAsia="仿宋_GB2312"/>
                <w:sz w:val="24"/>
              </w:rPr>
            </w:pPr>
            <w:r>
              <w:rPr>
                <w:rFonts w:hint="eastAsia" w:ascii="仿宋_GB2312" w:eastAsia="仿宋_GB2312"/>
                <w:sz w:val="24"/>
              </w:rPr>
              <w:t>（万元）</w:t>
            </w:r>
          </w:p>
        </w:tc>
        <w:tc>
          <w:tcPr>
            <w:tcW w:w="113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40" w:lineRule="exact"/>
              <w:jc w:val="center"/>
              <w:rPr>
                <w:rFonts w:hint="eastAsia" w:ascii="仿宋_GB2312" w:eastAsia="仿宋_GB2312"/>
                <w:sz w:val="24"/>
              </w:rPr>
            </w:pPr>
            <w:r>
              <w:rPr>
                <w:rFonts w:hint="eastAsia" w:ascii="仿宋_GB2312" w:eastAsia="仿宋_GB2312"/>
                <w:sz w:val="24"/>
              </w:rPr>
              <w:t>合同签订日期</w:t>
            </w:r>
          </w:p>
        </w:tc>
        <w:tc>
          <w:tcPr>
            <w:tcW w:w="8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jc w:val="center"/>
              <w:rPr>
                <w:rFonts w:hint="eastAsia" w:ascii="仿宋_GB2312" w:eastAsia="仿宋_GB2312"/>
                <w:sz w:val="24"/>
              </w:rPr>
            </w:pPr>
            <w:r>
              <w:rPr>
                <w:rFonts w:hint="eastAsia" w:ascii="仿宋_GB2312" w:eastAsia="仿宋_GB2312"/>
                <w:sz w:val="24"/>
              </w:rPr>
              <w:t>竣工日期</w:t>
            </w:r>
          </w:p>
        </w:tc>
        <w:tc>
          <w:tcPr>
            <w:tcW w:w="198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40" w:lineRule="exact"/>
              <w:jc w:val="center"/>
              <w:rPr>
                <w:rFonts w:hint="eastAsia" w:ascii="仿宋_GB2312" w:eastAsia="仿宋_GB2312"/>
                <w:sz w:val="24"/>
              </w:rPr>
            </w:pPr>
            <w:r>
              <w:rPr>
                <w:rFonts w:hint="eastAsia" w:ascii="仿宋_GB2312" w:eastAsia="仿宋_GB2312"/>
                <w:sz w:val="24"/>
              </w:rPr>
              <w:t>项目地址与建设单位联系电话</w:t>
            </w:r>
          </w:p>
        </w:tc>
        <w:tc>
          <w:tcPr>
            <w:tcW w:w="118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40" w:lineRule="exact"/>
              <w:jc w:val="center"/>
              <w:rPr>
                <w:rFonts w:hint="eastAsia" w:ascii="仿宋_GB2312" w:eastAsia="仿宋_GB2312"/>
                <w:sz w:val="24"/>
              </w:rPr>
            </w:pPr>
            <w:r>
              <w:rPr>
                <w:rFonts w:hint="eastAsia" w:ascii="仿宋_GB2312" w:eastAsia="仿宋_GB2312"/>
                <w:sz w:val="24"/>
              </w:rPr>
              <w:t>相关证明材料所在页码</w:t>
            </w:r>
          </w:p>
        </w:tc>
      </w:tr>
      <w:tr>
        <w:tblPrEx>
          <w:tblCellMar>
            <w:top w:w="0" w:type="dxa"/>
            <w:left w:w="108" w:type="dxa"/>
            <w:bottom w:w="0" w:type="dxa"/>
            <w:right w:w="108" w:type="dxa"/>
          </w:tblCellMar>
        </w:tblPrEx>
        <w:trPr>
          <w:wBefore w:w="0" w:type="dxa"/>
          <w:wAfter w:w="0" w:type="dxa"/>
          <w:trHeight w:val="415" w:hRule="atLeast"/>
        </w:trPr>
        <w:tc>
          <w:tcPr>
            <w:tcW w:w="127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8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127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113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113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8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118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r>
      <w:tr>
        <w:tblPrEx>
          <w:tblCellMar>
            <w:top w:w="0" w:type="dxa"/>
            <w:left w:w="108" w:type="dxa"/>
            <w:bottom w:w="0" w:type="dxa"/>
            <w:right w:w="108" w:type="dxa"/>
          </w:tblCellMar>
        </w:tblPrEx>
        <w:trPr>
          <w:wBefore w:w="0" w:type="dxa"/>
          <w:wAfter w:w="0" w:type="dxa"/>
          <w:trHeight w:val="436" w:hRule="atLeast"/>
        </w:trPr>
        <w:tc>
          <w:tcPr>
            <w:tcW w:w="127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8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127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113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113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8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118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r>
      <w:tr>
        <w:tblPrEx>
          <w:tblCellMar>
            <w:top w:w="0" w:type="dxa"/>
            <w:left w:w="108" w:type="dxa"/>
            <w:bottom w:w="0" w:type="dxa"/>
            <w:right w:w="108" w:type="dxa"/>
          </w:tblCellMar>
        </w:tblPrEx>
        <w:trPr>
          <w:wBefore w:w="0" w:type="dxa"/>
          <w:wAfter w:w="0" w:type="dxa"/>
          <w:trHeight w:val="442" w:hRule="atLeast"/>
        </w:trPr>
        <w:tc>
          <w:tcPr>
            <w:tcW w:w="127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8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127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113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113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8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118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r>
      <w:tr>
        <w:tblPrEx>
          <w:tblCellMar>
            <w:top w:w="0" w:type="dxa"/>
            <w:left w:w="108" w:type="dxa"/>
            <w:bottom w:w="0" w:type="dxa"/>
            <w:right w:w="108" w:type="dxa"/>
          </w:tblCellMar>
        </w:tblPrEx>
        <w:trPr>
          <w:wBefore w:w="0" w:type="dxa"/>
          <w:wAfter w:w="0" w:type="dxa"/>
          <w:trHeight w:val="306" w:hRule="atLeast"/>
        </w:trPr>
        <w:tc>
          <w:tcPr>
            <w:tcW w:w="127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8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127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113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113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8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118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r>
      <w:tr>
        <w:tblPrEx>
          <w:tblCellMar>
            <w:top w:w="0" w:type="dxa"/>
            <w:left w:w="108" w:type="dxa"/>
            <w:bottom w:w="0" w:type="dxa"/>
            <w:right w:w="108" w:type="dxa"/>
          </w:tblCellMar>
        </w:tblPrEx>
        <w:trPr>
          <w:wBefore w:w="0" w:type="dxa"/>
          <w:wAfter w:w="0" w:type="dxa"/>
          <w:trHeight w:val="468" w:hRule="atLeast"/>
        </w:trPr>
        <w:tc>
          <w:tcPr>
            <w:tcW w:w="127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8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127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113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113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8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118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r>
    </w:tbl>
    <w:p>
      <w:pPr>
        <w:autoSpaceDE w:val="0"/>
        <w:autoSpaceDN w:val="0"/>
        <w:adjustRightInd w:val="0"/>
        <w:spacing w:line="440" w:lineRule="exact"/>
        <w:rPr>
          <w:rFonts w:hint="eastAsia" w:ascii="仿宋_GB2312" w:eastAsia="仿宋_GB2312"/>
          <w:sz w:val="24"/>
        </w:rPr>
      </w:pPr>
      <w:r>
        <w:rPr>
          <w:rFonts w:hint="eastAsia" w:ascii="仿宋_GB2312" w:eastAsia="仿宋_GB2312"/>
          <w:b/>
          <w:sz w:val="24"/>
        </w:rPr>
        <w:t>注：投标人可按上述的格式自行编制，须随表提交相应的合同复印件或用户单位验收证明并注明所在投标商务技术文件页码。</w:t>
      </w:r>
    </w:p>
    <w:p>
      <w:pPr>
        <w:autoSpaceDE w:val="0"/>
        <w:autoSpaceDN w:val="0"/>
        <w:adjustRightInd w:val="0"/>
        <w:spacing w:line="440" w:lineRule="exact"/>
        <w:rPr>
          <w:rFonts w:hint="eastAsia" w:ascii="仿宋_GB2312" w:eastAsia="仿宋_GB2312"/>
          <w:sz w:val="24"/>
        </w:rPr>
      </w:pPr>
    </w:p>
    <w:p>
      <w:pPr>
        <w:autoSpaceDE w:val="0"/>
        <w:autoSpaceDN w:val="0"/>
        <w:adjustRightInd w:val="0"/>
        <w:spacing w:line="420" w:lineRule="exact"/>
        <w:ind w:firstLine="5280" w:firstLineChars="2200"/>
        <w:rPr>
          <w:rFonts w:hint="eastAsia" w:ascii="仿宋_GB2312" w:eastAsia="仿宋_GB2312"/>
          <w:kern w:val="0"/>
          <w:sz w:val="24"/>
        </w:rPr>
      </w:pPr>
    </w:p>
    <w:p>
      <w:pPr>
        <w:autoSpaceDE w:val="0"/>
        <w:autoSpaceDN w:val="0"/>
        <w:adjustRightInd w:val="0"/>
        <w:spacing w:line="420" w:lineRule="exact"/>
        <w:ind w:firstLine="4560" w:firstLineChars="1900"/>
        <w:rPr>
          <w:rFonts w:hint="eastAsia" w:ascii="仿宋_GB2312" w:eastAsia="仿宋_GB2312"/>
          <w:kern w:val="0"/>
          <w:sz w:val="24"/>
        </w:rPr>
      </w:pPr>
      <w:r>
        <w:rPr>
          <w:rFonts w:hint="eastAsia" w:ascii="仿宋_GB2312" w:eastAsia="仿宋_GB2312"/>
          <w:kern w:val="0"/>
          <w:sz w:val="24"/>
        </w:rPr>
        <w:t xml:space="preserve">投标人名称（公章）：                       </w:t>
      </w:r>
    </w:p>
    <w:p>
      <w:pPr>
        <w:autoSpaceDE w:val="0"/>
        <w:autoSpaceDN w:val="0"/>
        <w:adjustRightInd w:val="0"/>
        <w:spacing w:line="420" w:lineRule="exact"/>
        <w:rPr>
          <w:rFonts w:hint="eastAsia" w:ascii="仿宋_GB2312" w:eastAsia="仿宋_GB2312"/>
          <w:kern w:val="0"/>
          <w:sz w:val="24"/>
        </w:rPr>
      </w:pPr>
      <w:r>
        <w:rPr>
          <w:rFonts w:hint="eastAsia" w:ascii="仿宋_GB2312" w:eastAsia="仿宋_GB2312"/>
          <w:kern w:val="0"/>
          <w:sz w:val="24"/>
        </w:rPr>
        <w:t xml:space="preserve">                                      法定代表人或授权委托人（签字）：                   </w:t>
      </w:r>
    </w:p>
    <w:p>
      <w:pPr>
        <w:spacing w:line="480" w:lineRule="exact"/>
        <w:rPr>
          <w:rFonts w:hint="eastAsia" w:ascii="仿宋_GB2312" w:hAnsi="宋体" w:eastAsia="仿宋_GB2312"/>
          <w:b/>
          <w:sz w:val="24"/>
        </w:rPr>
      </w:pPr>
      <w:r>
        <w:rPr>
          <w:rFonts w:hint="eastAsia" w:ascii="仿宋_GB2312" w:eastAsia="仿宋_GB2312"/>
          <w:kern w:val="0"/>
          <w:sz w:val="24"/>
        </w:rPr>
        <w:t xml:space="preserve">                                      日期：2019年  月   日</w:t>
      </w:r>
    </w:p>
    <w:p>
      <w:pPr>
        <w:spacing w:line="480" w:lineRule="exact"/>
        <w:rPr>
          <w:rFonts w:hint="eastAsia" w:ascii="仿宋_GB2312" w:hAnsi="宋体" w:eastAsia="仿宋_GB2312"/>
          <w:b/>
          <w:sz w:val="24"/>
        </w:rPr>
      </w:pPr>
    </w:p>
    <w:p>
      <w:pPr>
        <w:spacing w:line="480" w:lineRule="exact"/>
        <w:jc w:val="center"/>
        <w:rPr>
          <w:rFonts w:hint="eastAsia" w:ascii="仿宋_GB2312" w:eastAsia="仿宋_GB2312"/>
          <w:b/>
          <w:sz w:val="36"/>
        </w:rPr>
      </w:pPr>
      <w:r>
        <w:rPr>
          <w:rFonts w:hint="eastAsia" w:ascii="仿宋_GB2312" w:eastAsia="仿宋_GB2312"/>
          <w:b/>
          <w:sz w:val="30"/>
        </w:rPr>
        <w:br w:type="page"/>
      </w:r>
      <w:r>
        <w:rPr>
          <w:rFonts w:hint="eastAsia" w:ascii="仿宋_GB2312" w:eastAsia="仿宋_GB2312"/>
          <w:b/>
          <w:sz w:val="30"/>
        </w:rPr>
        <w:t>八、商务偏离说明表</w:t>
      </w:r>
    </w:p>
    <w:p>
      <w:pPr>
        <w:spacing w:line="480" w:lineRule="exact"/>
        <w:rPr>
          <w:rFonts w:hint="eastAsia" w:ascii="仿宋_GB2312" w:hAnsi="宋体" w:eastAsia="仿宋_GB2312"/>
          <w:sz w:val="24"/>
        </w:rPr>
      </w:pPr>
      <w:r>
        <w:rPr>
          <w:rFonts w:hint="eastAsia" w:ascii="仿宋_GB2312" w:hAnsi="宋体" w:eastAsia="仿宋_GB2312"/>
          <w:sz w:val="24"/>
        </w:rPr>
        <w:t xml:space="preserve">招标编号：                                                       </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2316"/>
        <w:gridCol w:w="2316"/>
        <w:gridCol w:w="2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2076"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宋体" w:eastAsia="仿宋_GB2312"/>
                <w:sz w:val="24"/>
              </w:rPr>
            </w:pPr>
            <w:r>
              <w:rPr>
                <w:rFonts w:hint="eastAsia" w:ascii="仿宋_GB2312" w:hAnsi="宋体" w:eastAsia="仿宋_GB2312"/>
                <w:sz w:val="24"/>
              </w:rPr>
              <w:t>招标文件条目号</w:t>
            </w:r>
          </w:p>
        </w:tc>
        <w:tc>
          <w:tcPr>
            <w:tcW w:w="2316"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宋体" w:eastAsia="仿宋_GB2312"/>
                <w:sz w:val="24"/>
              </w:rPr>
            </w:pPr>
            <w:r>
              <w:rPr>
                <w:rFonts w:hint="eastAsia" w:ascii="仿宋_GB2312" w:hAnsi="宋体" w:eastAsia="仿宋_GB2312"/>
                <w:sz w:val="24"/>
              </w:rPr>
              <w:t>招标文件商务条款</w:t>
            </w:r>
          </w:p>
        </w:tc>
        <w:tc>
          <w:tcPr>
            <w:tcW w:w="2316"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宋体" w:eastAsia="仿宋_GB2312"/>
                <w:sz w:val="24"/>
              </w:rPr>
            </w:pPr>
            <w:r>
              <w:rPr>
                <w:rFonts w:hint="eastAsia" w:ascii="仿宋_GB2312" w:hAnsi="宋体" w:eastAsia="仿宋_GB2312"/>
                <w:sz w:val="24"/>
              </w:rPr>
              <w:t>投标文件商务条款</w:t>
            </w:r>
          </w:p>
        </w:tc>
        <w:tc>
          <w:tcPr>
            <w:tcW w:w="2220"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宋体" w:eastAsia="仿宋_GB2312"/>
                <w:sz w:val="24"/>
              </w:rPr>
            </w:pPr>
            <w:r>
              <w:rPr>
                <w:rFonts w:hint="eastAsia" w:ascii="仿宋_GB2312" w:hAnsi="宋体" w:eastAsia="仿宋_GB2312"/>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2076"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2316"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2316"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2220"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2076"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2316"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2316"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2220"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207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_GB2312" w:eastAsia="仿宋_GB2312"/>
                <w:sz w:val="24"/>
              </w:rPr>
            </w:pPr>
          </w:p>
        </w:tc>
        <w:tc>
          <w:tcPr>
            <w:tcW w:w="231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_GB2312" w:eastAsia="仿宋_GB2312"/>
                <w:sz w:val="24"/>
              </w:rPr>
            </w:pPr>
          </w:p>
        </w:tc>
        <w:tc>
          <w:tcPr>
            <w:tcW w:w="231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_GB2312" w:eastAsia="仿宋_GB2312"/>
                <w:sz w:val="24"/>
              </w:rPr>
            </w:pPr>
          </w:p>
        </w:tc>
        <w:tc>
          <w:tcPr>
            <w:tcW w:w="222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207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_GB2312" w:eastAsia="仿宋_GB2312"/>
                <w:sz w:val="24"/>
              </w:rPr>
            </w:pPr>
          </w:p>
        </w:tc>
        <w:tc>
          <w:tcPr>
            <w:tcW w:w="231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_GB2312" w:eastAsia="仿宋_GB2312"/>
                <w:sz w:val="24"/>
              </w:rPr>
            </w:pPr>
          </w:p>
        </w:tc>
        <w:tc>
          <w:tcPr>
            <w:tcW w:w="231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_GB2312" w:eastAsia="仿宋_GB2312"/>
                <w:sz w:val="24"/>
              </w:rPr>
            </w:pPr>
          </w:p>
        </w:tc>
        <w:tc>
          <w:tcPr>
            <w:tcW w:w="222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207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_GB2312" w:eastAsia="仿宋_GB2312"/>
                <w:sz w:val="24"/>
              </w:rPr>
            </w:pPr>
          </w:p>
        </w:tc>
        <w:tc>
          <w:tcPr>
            <w:tcW w:w="231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_GB2312" w:eastAsia="仿宋_GB2312"/>
                <w:sz w:val="24"/>
              </w:rPr>
            </w:pPr>
          </w:p>
        </w:tc>
        <w:tc>
          <w:tcPr>
            <w:tcW w:w="231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_GB2312" w:eastAsia="仿宋_GB2312"/>
                <w:sz w:val="24"/>
              </w:rPr>
            </w:pPr>
          </w:p>
        </w:tc>
        <w:tc>
          <w:tcPr>
            <w:tcW w:w="222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207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_GB2312" w:eastAsia="仿宋_GB2312"/>
                <w:sz w:val="24"/>
              </w:rPr>
            </w:pPr>
          </w:p>
        </w:tc>
        <w:tc>
          <w:tcPr>
            <w:tcW w:w="231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_GB2312" w:eastAsia="仿宋_GB2312"/>
                <w:sz w:val="24"/>
              </w:rPr>
            </w:pPr>
          </w:p>
        </w:tc>
        <w:tc>
          <w:tcPr>
            <w:tcW w:w="231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_GB2312" w:eastAsia="仿宋_GB2312"/>
                <w:sz w:val="24"/>
              </w:rPr>
            </w:pPr>
          </w:p>
        </w:tc>
        <w:tc>
          <w:tcPr>
            <w:tcW w:w="222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207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_GB2312" w:eastAsia="仿宋_GB2312"/>
                <w:sz w:val="24"/>
              </w:rPr>
            </w:pPr>
          </w:p>
        </w:tc>
        <w:tc>
          <w:tcPr>
            <w:tcW w:w="231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_GB2312" w:eastAsia="仿宋_GB2312"/>
                <w:sz w:val="24"/>
              </w:rPr>
            </w:pPr>
          </w:p>
        </w:tc>
        <w:tc>
          <w:tcPr>
            <w:tcW w:w="231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_GB2312" w:eastAsia="仿宋_GB2312"/>
                <w:sz w:val="24"/>
              </w:rPr>
            </w:pPr>
          </w:p>
        </w:tc>
        <w:tc>
          <w:tcPr>
            <w:tcW w:w="222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207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_GB2312" w:eastAsia="仿宋_GB2312"/>
                <w:sz w:val="24"/>
              </w:rPr>
            </w:pPr>
          </w:p>
        </w:tc>
        <w:tc>
          <w:tcPr>
            <w:tcW w:w="231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_GB2312" w:eastAsia="仿宋_GB2312"/>
                <w:sz w:val="24"/>
              </w:rPr>
            </w:pPr>
          </w:p>
        </w:tc>
        <w:tc>
          <w:tcPr>
            <w:tcW w:w="231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_GB2312" w:eastAsia="仿宋_GB2312"/>
                <w:sz w:val="24"/>
              </w:rPr>
            </w:pPr>
          </w:p>
        </w:tc>
        <w:tc>
          <w:tcPr>
            <w:tcW w:w="222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_GB2312" w:eastAsia="仿宋_GB2312"/>
                <w:sz w:val="24"/>
              </w:rPr>
            </w:pPr>
          </w:p>
        </w:tc>
      </w:tr>
    </w:tbl>
    <w:p>
      <w:pPr>
        <w:spacing w:line="360" w:lineRule="auto"/>
        <w:rPr>
          <w:rFonts w:hint="eastAsia" w:ascii="仿宋_GB2312" w:eastAsia="仿宋_GB2312"/>
          <w:sz w:val="24"/>
        </w:rPr>
      </w:pPr>
    </w:p>
    <w:p>
      <w:pPr>
        <w:autoSpaceDE w:val="0"/>
        <w:autoSpaceDN w:val="0"/>
        <w:adjustRightInd w:val="0"/>
        <w:spacing w:line="440" w:lineRule="exact"/>
        <w:ind w:firstLine="5040" w:firstLineChars="2100"/>
        <w:rPr>
          <w:rFonts w:hint="eastAsia" w:ascii="仿宋_GB2312" w:eastAsia="仿宋_GB2312"/>
          <w:kern w:val="0"/>
          <w:sz w:val="24"/>
        </w:rPr>
      </w:pPr>
      <w:r>
        <w:rPr>
          <w:rFonts w:hint="eastAsia" w:ascii="仿宋_GB2312" w:eastAsia="仿宋_GB2312"/>
          <w:kern w:val="0"/>
          <w:sz w:val="24"/>
          <w:lang w:val="zh-CN"/>
        </w:rPr>
        <w:t xml:space="preserve">投标人名称（公章）：      </w:t>
      </w:r>
    </w:p>
    <w:p>
      <w:pPr>
        <w:autoSpaceDE w:val="0"/>
        <w:autoSpaceDN w:val="0"/>
        <w:adjustRightInd w:val="0"/>
        <w:spacing w:line="440" w:lineRule="exact"/>
        <w:rPr>
          <w:rFonts w:hint="eastAsia" w:ascii="仿宋_GB2312" w:eastAsia="仿宋_GB2312"/>
          <w:kern w:val="0"/>
          <w:sz w:val="24"/>
          <w:lang w:val="zh-CN"/>
        </w:rPr>
      </w:pPr>
      <w:r>
        <w:rPr>
          <w:rFonts w:hint="eastAsia" w:ascii="仿宋_GB2312" w:eastAsia="仿宋_GB2312"/>
          <w:kern w:val="0"/>
          <w:sz w:val="24"/>
          <w:lang w:val="zh-CN"/>
        </w:rPr>
        <w:t xml:space="preserve">                                         法定代表人或授权委托人（签字）： </w:t>
      </w:r>
    </w:p>
    <w:p>
      <w:pPr>
        <w:spacing w:line="360" w:lineRule="auto"/>
        <w:jc w:val="center"/>
        <w:rPr>
          <w:rFonts w:hint="eastAsia" w:ascii="仿宋_GB2312" w:eastAsia="仿宋_GB2312"/>
          <w:b/>
          <w:sz w:val="32"/>
        </w:rPr>
      </w:pPr>
      <w:r>
        <w:rPr>
          <w:rFonts w:hint="eastAsia" w:ascii="仿宋_GB2312" w:eastAsia="仿宋_GB2312"/>
          <w:kern w:val="0"/>
          <w:sz w:val="24"/>
          <w:lang w:val="zh-CN"/>
        </w:rPr>
        <w:t xml:space="preserve">                              日期：2019年  月   日</w:t>
      </w:r>
    </w:p>
    <w:p>
      <w:pPr>
        <w:adjustRightInd w:val="0"/>
        <w:snapToGrid w:val="0"/>
        <w:spacing w:line="460" w:lineRule="exact"/>
        <w:ind w:right="29"/>
        <w:jc w:val="center"/>
        <w:rPr>
          <w:rFonts w:hint="eastAsia" w:ascii="仿宋_GB2312" w:hAnsi="宋体" w:eastAsia="仿宋_GB2312"/>
          <w:b/>
          <w:sz w:val="30"/>
        </w:rPr>
      </w:pPr>
    </w:p>
    <w:p>
      <w:pPr>
        <w:adjustRightInd w:val="0"/>
        <w:snapToGrid w:val="0"/>
        <w:spacing w:line="460" w:lineRule="exact"/>
        <w:ind w:right="29"/>
        <w:jc w:val="center"/>
        <w:rPr>
          <w:rFonts w:hint="eastAsia" w:ascii="仿宋_GB2312" w:hAnsi="宋体" w:eastAsia="仿宋_GB2312"/>
          <w:b/>
          <w:sz w:val="30"/>
        </w:rPr>
      </w:pPr>
    </w:p>
    <w:p>
      <w:pPr>
        <w:adjustRightInd w:val="0"/>
        <w:snapToGrid w:val="0"/>
        <w:spacing w:line="460" w:lineRule="exact"/>
        <w:ind w:right="29"/>
        <w:jc w:val="center"/>
        <w:rPr>
          <w:rFonts w:hint="eastAsia" w:ascii="仿宋_GB2312" w:hAnsi="宋体" w:eastAsia="仿宋_GB2312"/>
          <w:b/>
          <w:sz w:val="30"/>
        </w:rPr>
      </w:pPr>
      <w:r>
        <w:rPr>
          <w:rFonts w:hint="eastAsia" w:ascii="仿宋_GB2312" w:hAnsi="宋体" w:eastAsia="仿宋_GB2312"/>
          <w:b/>
          <w:sz w:val="30"/>
        </w:rPr>
        <w:br w:type="page"/>
      </w:r>
      <w:r>
        <w:rPr>
          <w:rFonts w:hint="eastAsia" w:ascii="仿宋_GB2312" w:hAnsi="宋体" w:eastAsia="仿宋_GB2312"/>
          <w:b/>
          <w:sz w:val="30"/>
        </w:rPr>
        <w:t>九、</w:t>
      </w:r>
      <w:r>
        <w:rPr>
          <w:rFonts w:hint="eastAsia" w:ascii="仿宋_GB2312" w:eastAsia="仿宋_GB2312"/>
          <w:b/>
          <w:kern w:val="0"/>
          <w:sz w:val="30"/>
          <w:lang w:val="zh-CN"/>
        </w:rPr>
        <w:t>廉</w:t>
      </w:r>
      <w:r>
        <w:rPr>
          <w:rFonts w:hint="eastAsia" w:ascii="仿宋_GB2312" w:eastAsia="仿宋_GB2312"/>
          <w:b/>
          <w:kern w:val="0"/>
          <w:sz w:val="30"/>
        </w:rPr>
        <w:t xml:space="preserve"> </w:t>
      </w:r>
      <w:r>
        <w:rPr>
          <w:rFonts w:hint="eastAsia" w:ascii="仿宋_GB2312" w:eastAsia="仿宋_GB2312"/>
          <w:b/>
          <w:kern w:val="0"/>
          <w:sz w:val="30"/>
          <w:lang w:val="zh-CN"/>
        </w:rPr>
        <w:t>政</w:t>
      </w:r>
      <w:r>
        <w:rPr>
          <w:rFonts w:hint="eastAsia" w:ascii="仿宋_GB2312" w:eastAsia="仿宋_GB2312"/>
          <w:b/>
          <w:kern w:val="0"/>
          <w:sz w:val="30"/>
        </w:rPr>
        <w:t xml:space="preserve"> </w:t>
      </w:r>
      <w:r>
        <w:rPr>
          <w:rFonts w:hint="eastAsia" w:ascii="仿宋_GB2312" w:eastAsia="仿宋_GB2312"/>
          <w:b/>
          <w:kern w:val="0"/>
          <w:sz w:val="30"/>
          <w:lang w:val="zh-CN"/>
        </w:rPr>
        <w:t>承</w:t>
      </w:r>
      <w:r>
        <w:rPr>
          <w:rFonts w:hint="eastAsia" w:ascii="仿宋_GB2312" w:eastAsia="仿宋_GB2312"/>
          <w:b/>
          <w:kern w:val="0"/>
          <w:sz w:val="30"/>
        </w:rPr>
        <w:t xml:space="preserve"> </w:t>
      </w:r>
      <w:r>
        <w:rPr>
          <w:rFonts w:hint="eastAsia" w:ascii="仿宋_GB2312" w:eastAsia="仿宋_GB2312"/>
          <w:b/>
          <w:kern w:val="0"/>
          <w:sz w:val="30"/>
          <w:lang w:val="zh-CN"/>
        </w:rPr>
        <w:t>诺</w:t>
      </w:r>
      <w:r>
        <w:rPr>
          <w:rFonts w:hint="eastAsia" w:ascii="仿宋_GB2312" w:eastAsia="仿宋_GB2312"/>
          <w:b/>
          <w:kern w:val="0"/>
          <w:sz w:val="30"/>
        </w:rPr>
        <w:t xml:space="preserve"> </w:t>
      </w:r>
      <w:r>
        <w:rPr>
          <w:rFonts w:hint="eastAsia" w:ascii="仿宋_GB2312" w:eastAsia="仿宋_GB2312"/>
          <w:b/>
          <w:kern w:val="0"/>
          <w:sz w:val="30"/>
          <w:lang w:val="zh-CN"/>
        </w:rPr>
        <w:t>书</w:t>
      </w:r>
    </w:p>
    <w:p>
      <w:pPr>
        <w:spacing w:line="360" w:lineRule="auto"/>
        <w:rPr>
          <w:rFonts w:hint="eastAsia" w:ascii="仿宋_GB2312" w:eastAsia="仿宋_GB2312"/>
          <w:sz w:val="24"/>
        </w:rPr>
      </w:pPr>
      <w:r>
        <w:rPr>
          <w:rFonts w:hint="eastAsia" w:ascii="仿宋_GB2312" w:hAnsi="仿宋_GB2312" w:eastAsia="仿宋_GB2312" w:cs="仿宋_GB2312"/>
          <w:sz w:val="24"/>
        </w:rPr>
        <w:t>XXX（单位名称）、</w:t>
      </w:r>
      <w:r>
        <w:rPr>
          <w:rFonts w:hint="eastAsia" w:ascii="仿宋_GB2312" w:eastAsia="仿宋_GB2312"/>
          <w:sz w:val="24"/>
        </w:rPr>
        <w:t>杭州市教育技术中心：</w:t>
      </w:r>
    </w:p>
    <w:p>
      <w:pPr>
        <w:spacing w:line="360" w:lineRule="auto"/>
        <w:ind w:firstLine="480" w:firstLineChars="200"/>
        <w:rPr>
          <w:rFonts w:hint="eastAsia" w:ascii="仿宋_GB2312" w:eastAsia="仿宋_GB2312"/>
          <w:sz w:val="24"/>
        </w:rPr>
      </w:pPr>
      <w:r>
        <w:rPr>
          <w:rFonts w:hint="eastAsia" w:ascii="仿宋_GB2312" w:eastAsia="仿宋_GB2312"/>
          <w:sz w:val="24"/>
        </w:rPr>
        <w:t>我单位响应你单位项目招标要求投标。在这次投标过程中和中标后，我们将严格遵守国家法律法规要求，并郑重承诺：</w:t>
      </w:r>
    </w:p>
    <w:p>
      <w:pPr>
        <w:spacing w:line="360" w:lineRule="auto"/>
        <w:ind w:firstLine="480" w:firstLineChars="200"/>
        <w:rPr>
          <w:rFonts w:hint="eastAsia" w:ascii="仿宋_GB2312" w:eastAsia="仿宋_GB2312"/>
          <w:sz w:val="24"/>
        </w:rPr>
      </w:pPr>
      <w:r>
        <w:rPr>
          <w:rFonts w:hint="eastAsia" w:ascii="仿宋_GB2312" w:eastAsia="仿宋_GB2312"/>
          <w:sz w:val="24"/>
        </w:rPr>
        <w:t>一、不向项目有关人员及部门赠送礼金礼物、有价证券、回扣以及中介费、介绍费、咨询费等好处费；</w:t>
      </w:r>
    </w:p>
    <w:p>
      <w:pPr>
        <w:spacing w:line="360" w:lineRule="auto"/>
        <w:ind w:firstLine="480" w:firstLineChars="200"/>
        <w:rPr>
          <w:rFonts w:hint="eastAsia" w:ascii="仿宋_GB2312" w:eastAsia="仿宋_GB2312"/>
          <w:sz w:val="24"/>
        </w:rPr>
      </w:pPr>
      <w:r>
        <w:rPr>
          <w:rFonts w:hint="eastAsia" w:ascii="仿宋_GB2312" w:eastAsia="仿宋_GB2312"/>
          <w:sz w:val="24"/>
        </w:rPr>
        <w:t>二、不为项目有关人员及部门报销应由你单位或个人支付的费用；</w:t>
      </w:r>
    </w:p>
    <w:p>
      <w:pPr>
        <w:spacing w:line="360" w:lineRule="auto"/>
        <w:ind w:firstLine="480" w:firstLineChars="200"/>
        <w:rPr>
          <w:rFonts w:hint="eastAsia" w:ascii="仿宋_GB2312" w:eastAsia="仿宋_GB2312"/>
          <w:sz w:val="24"/>
        </w:rPr>
      </w:pPr>
      <w:r>
        <w:rPr>
          <w:rFonts w:hint="eastAsia" w:ascii="仿宋_GB2312" w:eastAsia="仿宋_GB2312"/>
          <w:sz w:val="24"/>
        </w:rPr>
        <w:t>三、不向项目有关人员及部门提供有可能影响公正的宴请和健身娱乐等活动；</w:t>
      </w:r>
    </w:p>
    <w:p>
      <w:pPr>
        <w:spacing w:line="360" w:lineRule="auto"/>
        <w:ind w:firstLine="480" w:firstLineChars="200"/>
        <w:rPr>
          <w:rFonts w:hint="eastAsia" w:ascii="仿宋_GB2312" w:eastAsia="仿宋_GB2312"/>
          <w:sz w:val="24"/>
        </w:rPr>
      </w:pPr>
      <w:r>
        <w:rPr>
          <w:rFonts w:hint="eastAsia" w:ascii="仿宋_GB2312" w:eastAsia="仿宋_GB2312"/>
          <w:sz w:val="24"/>
        </w:rPr>
        <w:t>四、不为项目有关人员及部门出国（境）、旅游等提供方便；</w:t>
      </w:r>
    </w:p>
    <w:p>
      <w:pPr>
        <w:spacing w:line="360" w:lineRule="auto"/>
        <w:ind w:firstLine="480" w:firstLineChars="200"/>
        <w:rPr>
          <w:rFonts w:hint="eastAsia" w:ascii="仿宋_GB2312" w:eastAsia="仿宋_GB2312"/>
          <w:sz w:val="24"/>
        </w:rPr>
      </w:pPr>
      <w:r>
        <w:rPr>
          <w:rFonts w:hint="eastAsia" w:ascii="仿宋_GB2312" w:eastAsia="仿宋_GB2312"/>
          <w:sz w:val="24"/>
        </w:rPr>
        <w:t>五、不为项目有关人员个人装修住房、婚丧嫁娶、配偶子女工作安排等提供好处；</w:t>
      </w:r>
    </w:p>
    <w:p>
      <w:pPr>
        <w:spacing w:line="360" w:lineRule="auto"/>
        <w:ind w:firstLine="480" w:firstLineChars="200"/>
        <w:rPr>
          <w:rFonts w:hint="eastAsia" w:ascii="仿宋_GB2312" w:eastAsia="仿宋_GB2312"/>
          <w:sz w:val="24"/>
        </w:rPr>
      </w:pPr>
      <w:r>
        <w:rPr>
          <w:rFonts w:hint="eastAsia" w:ascii="仿宋_GB2312" w:eastAsia="仿宋_GB2312"/>
          <w:sz w:val="24"/>
        </w:rPr>
        <w:t>六、严格遵守政府采购法、招标投标法、合同法等法律，诚实守信，合法经营、坚决抵制各种违法违纪行为。</w:t>
      </w:r>
    </w:p>
    <w:p>
      <w:pPr>
        <w:spacing w:line="360" w:lineRule="auto"/>
        <w:ind w:firstLine="480" w:firstLineChars="200"/>
        <w:rPr>
          <w:rFonts w:hint="eastAsia" w:ascii="仿宋_GB2312" w:eastAsia="仿宋_GB2312"/>
          <w:sz w:val="24"/>
        </w:rPr>
      </w:pPr>
      <w:r>
        <w:rPr>
          <w:rFonts w:hint="eastAsia" w:ascii="仿宋_GB2312" w:eastAsia="仿宋_GB2312"/>
          <w:sz w:val="24"/>
        </w:rPr>
        <w:t>如违反上述承诺，你单位有权立即取消我单位投标、中标或在建项目的建设资格，有权拒绝我单位在一定时期内进入你单位进行项目建设或其他经营活动，并通报市财政局，由此引起的响应损失均由我单位承担。</w:t>
      </w:r>
    </w:p>
    <w:p>
      <w:pPr>
        <w:spacing w:line="520" w:lineRule="exact"/>
        <w:rPr>
          <w:rFonts w:hint="eastAsia" w:ascii="仿宋_GB2312" w:eastAsia="仿宋_GB2312"/>
          <w:sz w:val="28"/>
        </w:rPr>
      </w:pPr>
    </w:p>
    <w:p>
      <w:pPr>
        <w:spacing w:line="520" w:lineRule="exact"/>
        <w:rPr>
          <w:rFonts w:hint="eastAsia" w:ascii="仿宋_GB2312" w:eastAsia="仿宋_GB2312"/>
          <w:sz w:val="28"/>
        </w:rPr>
      </w:pPr>
    </w:p>
    <w:p>
      <w:pPr>
        <w:spacing w:line="520" w:lineRule="exact"/>
        <w:rPr>
          <w:rFonts w:hint="eastAsia" w:ascii="仿宋_GB2312" w:eastAsia="仿宋_GB2312"/>
          <w:sz w:val="28"/>
        </w:rPr>
      </w:pPr>
    </w:p>
    <w:p>
      <w:pPr>
        <w:spacing w:line="520" w:lineRule="exact"/>
        <w:ind w:firstLine="4200" w:firstLineChars="1750"/>
        <w:rPr>
          <w:rFonts w:hint="eastAsia" w:ascii="仿宋_GB2312" w:eastAsia="仿宋_GB2312"/>
          <w:sz w:val="24"/>
        </w:rPr>
      </w:pPr>
      <w:r>
        <w:rPr>
          <w:rFonts w:hint="eastAsia" w:ascii="仿宋_GB2312" w:eastAsia="仿宋_GB2312"/>
          <w:sz w:val="24"/>
        </w:rPr>
        <w:t xml:space="preserve">投标人名称（公章）：                                                          </w:t>
      </w:r>
    </w:p>
    <w:p>
      <w:pPr>
        <w:spacing w:line="520" w:lineRule="exact"/>
        <w:rPr>
          <w:rFonts w:hint="eastAsia" w:ascii="仿宋_GB2312" w:eastAsia="仿宋_GB2312"/>
          <w:sz w:val="24"/>
        </w:rPr>
      </w:pPr>
      <w:r>
        <w:rPr>
          <w:rFonts w:hint="eastAsia" w:ascii="仿宋_GB2312" w:eastAsia="仿宋_GB2312"/>
          <w:sz w:val="24"/>
        </w:rPr>
        <w:t xml:space="preserve">                                   法定代表人（签章）：                                                     </w:t>
      </w:r>
    </w:p>
    <w:p>
      <w:pPr>
        <w:spacing w:line="520" w:lineRule="exact"/>
        <w:rPr>
          <w:rFonts w:hint="eastAsia" w:ascii="仿宋_GB2312" w:eastAsia="仿宋_GB2312"/>
          <w:sz w:val="24"/>
        </w:rPr>
      </w:pPr>
      <w:r>
        <w:rPr>
          <w:rFonts w:hint="eastAsia" w:ascii="仿宋_GB2312" w:eastAsia="仿宋_GB2312"/>
          <w:sz w:val="24"/>
        </w:rPr>
        <w:t xml:space="preserve">                                                                                  </w:t>
      </w:r>
    </w:p>
    <w:p>
      <w:pPr>
        <w:spacing w:line="520" w:lineRule="exact"/>
        <w:rPr>
          <w:rFonts w:hint="eastAsia" w:ascii="仿宋_GB2312" w:eastAsia="仿宋_GB2312"/>
          <w:sz w:val="24"/>
        </w:rPr>
      </w:pPr>
    </w:p>
    <w:p>
      <w:pPr>
        <w:ind w:firstLine="480" w:firstLineChars="200"/>
        <w:rPr>
          <w:rFonts w:hint="eastAsia" w:ascii="仿宋_GB2312" w:eastAsia="仿宋_GB2312"/>
          <w:sz w:val="24"/>
        </w:rPr>
      </w:pPr>
      <w:r>
        <w:rPr>
          <w:rFonts w:hint="eastAsia" w:ascii="仿宋_GB2312" w:eastAsia="仿宋_GB2312"/>
          <w:sz w:val="24"/>
        </w:rPr>
        <w:t xml:space="preserve">                                承诺日期：2019年   月   日</w:t>
      </w:r>
    </w:p>
    <w:p>
      <w:pPr>
        <w:spacing w:line="360" w:lineRule="auto"/>
        <w:rPr>
          <w:rFonts w:hint="eastAsia" w:ascii="仿宋_GB2312" w:eastAsia="仿宋_GB2312"/>
          <w:sz w:val="28"/>
        </w:rPr>
      </w:pPr>
    </w:p>
    <w:p>
      <w:pPr>
        <w:spacing w:line="480" w:lineRule="exact"/>
        <w:jc w:val="center"/>
        <w:rPr>
          <w:rFonts w:hint="eastAsia" w:ascii="仿宋_GB2312" w:hAnsi="宋体" w:eastAsia="仿宋_GB2312"/>
          <w:b/>
          <w:sz w:val="30"/>
        </w:rPr>
      </w:pPr>
    </w:p>
    <w:p>
      <w:pPr>
        <w:spacing w:line="480" w:lineRule="exact"/>
        <w:jc w:val="center"/>
        <w:rPr>
          <w:rFonts w:hint="eastAsia" w:ascii="仿宋_GB2312" w:eastAsia="仿宋_GB2312"/>
          <w:b/>
          <w:kern w:val="0"/>
          <w:sz w:val="30"/>
          <w:lang w:val="zh-CN"/>
        </w:rPr>
      </w:pPr>
      <w:r>
        <w:rPr>
          <w:rFonts w:hint="eastAsia" w:ascii="仿宋_GB2312" w:hAnsi="宋体" w:eastAsia="仿宋_GB2312"/>
          <w:b/>
          <w:sz w:val="30"/>
        </w:rPr>
        <w:t>十、</w:t>
      </w:r>
      <w:r>
        <w:rPr>
          <w:rFonts w:hint="eastAsia" w:ascii="仿宋_GB2312" w:eastAsia="仿宋_GB2312"/>
          <w:b/>
          <w:kern w:val="0"/>
          <w:sz w:val="30"/>
          <w:lang w:val="zh-CN"/>
        </w:rPr>
        <w:t>对招标文件中有关条款的拒绝声明</w:t>
      </w:r>
    </w:p>
    <w:p>
      <w:pPr>
        <w:spacing w:line="480" w:lineRule="exact"/>
        <w:jc w:val="center"/>
        <w:rPr>
          <w:rFonts w:hint="eastAsia" w:ascii="仿宋_GB2312" w:eastAsia="仿宋_GB2312"/>
          <w:sz w:val="28"/>
        </w:rPr>
      </w:pPr>
      <w:r>
        <w:rPr>
          <w:rFonts w:hint="eastAsia" w:ascii="仿宋_GB2312" w:eastAsia="仿宋_GB2312"/>
          <w:sz w:val="28"/>
        </w:rPr>
        <w:t>（由投标人根据采购需求自行编制）</w:t>
      </w:r>
    </w:p>
    <w:p>
      <w:pPr>
        <w:spacing w:line="480" w:lineRule="exact"/>
        <w:rPr>
          <w:rFonts w:hint="eastAsia" w:ascii="仿宋_GB2312" w:eastAsia="仿宋_GB2312"/>
          <w:sz w:val="28"/>
        </w:rPr>
      </w:pPr>
    </w:p>
    <w:p>
      <w:pPr>
        <w:autoSpaceDE w:val="0"/>
        <w:autoSpaceDN w:val="0"/>
        <w:adjustRightInd w:val="0"/>
        <w:spacing w:line="440" w:lineRule="exact"/>
        <w:ind w:firstLine="5160" w:firstLineChars="2150"/>
        <w:rPr>
          <w:rFonts w:hint="eastAsia" w:ascii="仿宋_GB2312" w:eastAsia="仿宋_GB2312"/>
          <w:kern w:val="0"/>
          <w:sz w:val="24"/>
        </w:rPr>
      </w:pPr>
      <w:r>
        <w:rPr>
          <w:rFonts w:hint="eastAsia" w:ascii="仿宋_GB2312" w:eastAsia="仿宋_GB2312"/>
          <w:kern w:val="0"/>
          <w:sz w:val="24"/>
          <w:lang w:val="zh-CN"/>
        </w:rPr>
        <w:t xml:space="preserve">投标人名称（公章）：      </w:t>
      </w:r>
    </w:p>
    <w:p>
      <w:pPr>
        <w:autoSpaceDE w:val="0"/>
        <w:autoSpaceDN w:val="0"/>
        <w:adjustRightInd w:val="0"/>
        <w:spacing w:line="440" w:lineRule="exact"/>
        <w:rPr>
          <w:rFonts w:hint="eastAsia" w:ascii="仿宋_GB2312" w:eastAsia="仿宋_GB2312"/>
          <w:kern w:val="0"/>
          <w:sz w:val="24"/>
          <w:lang w:val="zh-CN"/>
        </w:rPr>
      </w:pPr>
      <w:r>
        <w:rPr>
          <w:rFonts w:hint="eastAsia" w:ascii="仿宋_GB2312" w:eastAsia="仿宋_GB2312"/>
          <w:kern w:val="0"/>
          <w:sz w:val="24"/>
          <w:lang w:val="zh-CN"/>
        </w:rPr>
        <w:t xml:space="preserve">                                        法定代表人或授权委托人（签字）： </w:t>
      </w:r>
    </w:p>
    <w:p>
      <w:pPr>
        <w:spacing w:line="480" w:lineRule="exact"/>
        <w:jc w:val="center"/>
        <w:rPr>
          <w:rFonts w:hint="eastAsia" w:ascii="仿宋_GB2312" w:eastAsia="仿宋_GB2312"/>
          <w:kern w:val="0"/>
          <w:sz w:val="24"/>
          <w:lang w:val="zh-CN"/>
        </w:rPr>
      </w:pPr>
      <w:r>
        <w:rPr>
          <w:rFonts w:hint="eastAsia" w:ascii="仿宋_GB2312" w:eastAsia="仿宋_GB2312"/>
          <w:kern w:val="0"/>
          <w:sz w:val="24"/>
          <w:lang w:val="zh-CN"/>
        </w:rPr>
        <w:t xml:space="preserve">                                  日期：2019年  月   日</w:t>
      </w:r>
    </w:p>
    <w:p>
      <w:pPr>
        <w:spacing w:line="480" w:lineRule="exact"/>
        <w:rPr>
          <w:rFonts w:hint="eastAsia" w:ascii="仿宋_GB2312" w:eastAsia="仿宋_GB2312"/>
          <w:kern w:val="0"/>
          <w:sz w:val="24"/>
          <w:lang w:val="zh-CN"/>
        </w:rPr>
      </w:pPr>
    </w:p>
    <w:p>
      <w:pPr>
        <w:spacing w:line="480" w:lineRule="exact"/>
        <w:jc w:val="center"/>
        <w:rPr>
          <w:rFonts w:hint="eastAsia" w:ascii="仿宋_GB2312" w:hAnsi="宋体" w:eastAsia="仿宋_GB2312"/>
          <w:b/>
          <w:sz w:val="30"/>
        </w:rPr>
      </w:pPr>
    </w:p>
    <w:p>
      <w:pPr>
        <w:spacing w:line="480" w:lineRule="exact"/>
        <w:jc w:val="center"/>
        <w:rPr>
          <w:rFonts w:hint="eastAsia" w:ascii="仿宋_GB2312" w:eastAsia="仿宋_GB2312"/>
          <w:b/>
          <w:kern w:val="0"/>
          <w:sz w:val="30"/>
          <w:lang w:val="zh-CN"/>
        </w:rPr>
      </w:pPr>
      <w:r>
        <w:rPr>
          <w:rFonts w:hint="eastAsia" w:ascii="仿宋_GB2312" w:hAnsi="宋体" w:eastAsia="仿宋_GB2312"/>
          <w:b/>
          <w:sz w:val="30"/>
        </w:rPr>
        <w:t>十一、认为需要的</w:t>
      </w:r>
      <w:r>
        <w:rPr>
          <w:rFonts w:hint="eastAsia" w:ascii="仿宋_GB2312" w:eastAsia="仿宋_GB2312"/>
          <w:b/>
          <w:kern w:val="0"/>
          <w:sz w:val="30"/>
          <w:lang w:val="zh-CN"/>
        </w:rPr>
        <w:t>其他商务技术文件或说明</w:t>
      </w:r>
    </w:p>
    <w:p>
      <w:pPr>
        <w:spacing w:line="480" w:lineRule="exact"/>
        <w:jc w:val="center"/>
        <w:rPr>
          <w:rFonts w:hint="eastAsia" w:ascii="仿宋_GB2312" w:eastAsia="仿宋_GB2312"/>
          <w:sz w:val="28"/>
        </w:rPr>
      </w:pPr>
      <w:r>
        <w:rPr>
          <w:rFonts w:hint="eastAsia" w:ascii="仿宋_GB2312" w:eastAsia="仿宋_GB2312"/>
          <w:sz w:val="28"/>
        </w:rPr>
        <w:t>（由投标人根据采购需求自行编制）</w:t>
      </w:r>
    </w:p>
    <w:p>
      <w:pPr>
        <w:spacing w:line="480" w:lineRule="exact"/>
        <w:jc w:val="center"/>
        <w:rPr>
          <w:rFonts w:hint="eastAsia" w:ascii="仿宋_GB2312" w:eastAsia="仿宋_GB2312"/>
          <w:sz w:val="28"/>
        </w:rPr>
      </w:pPr>
    </w:p>
    <w:p>
      <w:pPr>
        <w:spacing w:line="480" w:lineRule="exact"/>
        <w:rPr>
          <w:rFonts w:hint="eastAsia" w:ascii="仿宋_GB2312" w:eastAsia="仿宋_GB2312"/>
          <w:sz w:val="28"/>
        </w:rPr>
      </w:pPr>
    </w:p>
    <w:p>
      <w:pPr>
        <w:autoSpaceDE w:val="0"/>
        <w:autoSpaceDN w:val="0"/>
        <w:adjustRightInd w:val="0"/>
        <w:spacing w:line="360" w:lineRule="auto"/>
        <w:ind w:firstLine="4800" w:firstLineChars="2000"/>
        <w:rPr>
          <w:rFonts w:hint="eastAsia" w:ascii="仿宋_GB2312" w:eastAsia="仿宋_GB2312"/>
          <w:kern w:val="0"/>
          <w:sz w:val="24"/>
        </w:rPr>
      </w:pPr>
      <w:r>
        <w:rPr>
          <w:rFonts w:hint="eastAsia" w:ascii="仿宋_GB2312" w:eastAsia="仿宋_GB2312"/>
          <w:kern w:val="0"/>
          <w:sz w:val="24"/>
          <w:lang w:val="zh-CN"/>
        </w:rPr>
        <w:t xml:space="preserve">投标人名称（公章）：      </w:t>
      </w:r>
    </w:p>
    <w:p>
      <w:pPr>
        <w:autoSpaceDE w:val="0"/>
        <w:autoSpaceDN w:val="0"/>
        <w:adjustRightInd w:val="0"/>
        <w:spacing w:line="360" w:lineRule="auto"/>
        <w:rPr>
          <w:rFonts w:hint="eastAsia" w:ascii="仿宋_GB2312" w:eastAsia="仿宋_GB2312"/>
          <w:kern w:val="0"/>
          <w:sz w:val="24"/>
          <w:lang w:val="zh-CN"/>
        </w:rPr>
      </w:pPr>
      <w:r>
        <w:rPr>
          <w:rFonts w:hint="eastAsia" w:ascii="仿宋_GB2312" w:eastAsia="仿宋_GB2312"/>
          <w:kern w:val="0"/>
          <w:sz w:val="24"/>
          <w:lang w:val="zh-CN"/>
        </w:rPr>
        <w:t xml:space="preserve">                                        法定代表人或授权委托人（签字）： </w:t>
      </w:r>
    </w:p>
    <w:p>
      <w:pPr>
        <w:spacing w:line="360" w:lineRule="auto"/>
        <w:ind w:firstLine="1070" w:firstLineChars="446"/>
        <w:rPr>
          <w:rFonts w:hint="eastAsia" w:ascii="仿宋_GB2312" w:eastAsia="仿宋_GB2312"/>
          <w:kern w:val="0"/>
          <w:sz w:val="24"/>
          <w:lang w:val="zh-CN"/>
        </w:rPr>
      </w:pPr>
      <w:r>
        <w:rPr>
          <w:rFonts w:hint="eastAsia" w:ascii="仿宋_GB2312" w:eastAsia="仿宋_GB2312"/>
          <w:kern w:val="0"/>
          <w:sz w:val="24"/>
          <w:lang w:val="zh-CN"/>
        </w:rPr>
        <w:t xml:space="preserve">                               日期：2019年  月   日</w:t>
      </w:r>
    </w:p>
    <w:p>
      <w:pPr>
        <w:spacing w:line="480" w:lineRule="exact"/>
        <w:jc w:val="center"/>
        <w:rPr>
          <w:rFonts w:hint="eastAsia" w:ascii="仿宋_GB2312" w:hAnsi="宋体" w:eastAsia="仿宋_GB2312"/>
          <w:b/>
          <w:sz w:val="30"/>
        </w:rPr>
      </w:pPr>
    </w:p>
    <w:p>
      <w:pPr>
        <w:pStyle w:val="838"/>
        <w:keepNext w:val="0"/>
        <w:pageBreakBefore w:val="0"/>
        <w:tabs>
          <w:tab w:val="clear" w:pos="720"/>
        </w:tabs>
        <w:spacing w:line="460" w:lineRule="exact"/>
        <w:outlineLvl w:val="9"/>
        <w:rPr>
          <w:rFonts w:hint="eastAsia" w:ascii="仿宋_GB2312" w:eastAsia="仿宋_GB2312"/>
          <w:kern w:val="2"/>
          <w:sz w:val="32"/>
        </w:rPr>
      </w:pPr>
      <w:r>
        <w:rPr>
          <w:rFonts w:hint="eastAsia" w:ascii="仿宋_GB2312" w:eastAsia="仿宋_GB2312"/>
          <w:kern w:val="0"/>
          <w:sz w:val="30"/>
          <w:lang w:val="zh-CN"/>
        </w:rPr>
        <w:t>十二、投标设备参数清单</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363"/>
        <w:gridCol w:w="1331"/>
        <w:gridCol w:w="3258"/>
        <w:gridCol w:w="833"/>
        <w:gridCol w:w="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905" w:type="dxa"/>
            <w:noWrap w:val="0"/>
            <w:vAlign w:val="center"/>
          </w:tcPr>
          <w:p>
            <w:pPr>
              <w:spacing w:line="360" w:lineRule="auto"/>
              <w:jc w:val="center"/>
              <w:rPr>
                <w:rFonts w:hint="eastAsia" w:ascii="仿宋_GB2312" w:eastAsia="仿宋_GB2312"/>
                <w:b/>
                <w:sz w:val="24"/>
              </w:rPr>
            </w:pPr>
            <w:r>
              <w:rPr>
                <w:rFonts w:hint="eastAsia" w:ascii="仿宋_GB2312" w:eastAsia="仿宋_GB2312"/>
                <w:b/>
                <w:sz w:val="24"/>
              </w:rPr>
              <w:t>序号</w:t>
            </w:r>
          </w:p>
        </w:tc>
        <w:tc>
          <w:tcPr>
            <w:tcW w:w="1363" w:type="dxa"/>
            <w:noWrap w:val="0"/>
            <w:vAlign w:val="center"/>
          </w:tcPr>
          <w:p>
            <w:pPr>
              <w:spacing w:line="360" w:lineRule="auto"/>
              <w:jc w:val="center"/>
              <w:rPr>
                <w:rFonts w:hint="eastAsia" w:ascii="仿宋_GB2312" w:eastAsia="仿宋_GB2312"/>
                <w:b/>
                <w:sz w:val="24"/>
              </w:rPr>
            </w:pPr>
            <w:r>
              <w:rPr>
                <w:rFonts w:hint="eastAsia" w:ascii="仿宋_GB2312" w:eastAsia="仿宋_GB2312"/>
                <w:b/>
                <w:sz w:val="24"/>
              </w:rPr>
              <w:t>名称</w:t>
            </w:r>
          </w:p>
        </w:tc>
        <w:tc>
          <w:tcPr>
            <w:tcW w:w="1331" w:type="dxa"/>
            <w:noWrap w:val="0"/>
            <w:vAlign w:val="center"/>
          </w:tcPr>
          <w:p>
            <w:pPr>
              <w:spacing w:line="360" w:lineRule="auto"/>
              <w:jc w:val="center"/>
              <w:rPr>
                <w:rFonts w:hint="eastAsia" w:ascii="仿宋_GB2312" w:eastAsia="仿宋_GB2312"/>
                <w:b/>
                <w:sz w:val="24"/>
              </w:rPr>
            </w:pPr>
            <w:r>
              <w:rPr>
                <w:rFonts w:hint="eastAsia" w:ascii="仿宋_GB2312" w:eastAsia="仿宋_GB2312"/>
                <w:b/>
                <w:sz w:val="24"/>
              </w:rPr>
              <w:t>品牌型号</w:t>
            </w:r>
          </w:p>
        </w:tc>
        <w:tc>
          <w:tcPr>
            <w:tcW w:w="3258" w:type="dxa"/>
            <w:noWrap w:val="0"/>
            <w:vAlign w:val="top"/>
          </w:tcPr>
          <w:p>
            <w:pPr>
              <w:spacing w:line="360" w:lineRule="auto"/>
              <w:jc w:val="center"/>
              <w:rPr>
                <w:rFonts w:hint="eastAsia" w:ascii="仿宋_GB2312" w:eastAsia="仿宋_GB2312"/>
                <w:b/>
                <w:sz w:val="24"/>
              </w:rPr>
            </w:pPr>
            <w:r>
              <w:rPr>
                <w:rFonts w:hint="eastAsia" w:ascii="仿宋_GB2312" w:eastAsia="仿宋_GB2312"/>
                <w:b/>
                <w:sz w:val="24"/>
              </w:rPr>
              <w:t>规格参数</w:t>
            </w:r>
          </w:p>
        </w:tc>
        <w:tc>
          <w:tcPr>
            <w:tcW w:w="833" w:type="dxa"/>
            <w:noWrap w:val="0"/>
            <w:vAlign w:val="center"/>
          </w:tcPr>
          <w:p>
            <w:pPr>
              <w:spacing w:line="360" w:lineRule="auto"/>
              <w:jc w:val="center"/>
              <w:rPr>
                <w:rFonts w:hint="eastAsia" w:ascii="仿宋_GB2312" w:eastAsia="仿宋_GB2312"/>
                <w:b/>
                <w:sz w:val="24"/>
              </w:rPr>
            </w:pPr>
            <w:r>
              <w:rPr>
                <w:rFonts w:hint="eastAsia" w:ascii="仿宋_GB2312" w:eastAsia="仿宋_GB2312"/>
                <w:b/>
                <w:sz w:val="24"/>
              </w:rPr>
              <w:t>数量</w:t>
            </w:r>
          </w:p>
        </w:tc>
        <w:tc>
          <w:tcPr>
            <w:tcW w:w="878" w:type="dxa"/>
            <w:noWrap w:val="0"/>
            <w:vAlign w:val="center"/>
          </w:tcPr>
          <w:p>
            <w:pPr>
              <w:spacing w:line="360" w:lineRule="auto"/>
              <w:jc w:val="center"/>
              <w:rPr>
                <w:rFonts w:hint="eastAsia" w:ascii="仿宋_GB2312" w:eastAsia="仿宋_GB2312"/>
                <w:b/>
                <w:sz w:val="24"/>
              </w:rPr>
            </w:pPr>
            <w:r>
              <w:rPr>
                <w:rFonts w:hint="eastAsia" w:ascii="仿宋_GB2312" w:eastAsia="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jc w:val="center"/>
        </w:trPr>
        <w:tc>
          <w:tcPr>
            <w:tcW w:w="905" w:type="dxa"/>
            <w:noWrap w:val="0"/>
            <w:vAlign w:val="center"/>
          </w:tcPr>
          <w:p>
            <w:pPr>
              <w:spacing w:line="360" w:lineRule="auto"/>
              <w:jc w:val="center"/>
              <w:rPr>
                <w:rFonts w:hint="eastAsia" w:ascii="仿宋_GB2312" w:eastAsia="仿宋_GB2312"/>
                <w:b/>
                <w:sz w:val="24"/>
              </w:rPr>
            </w:pPr>
          </w:p>
        </w:tc>
        <w:tc>
          <w:tcPr>
            <w:tcW w:w="1363" w:type="dxa"/>
            <w:noWrap w:val="0"/>
            <w:vAlign w:val="center"/>
          </w:tcPr>
          <w:p>
            <w:pPr>
              <w:spacing w:line="360" w:lineRule="auto"/>
              <w:jc w:val="center"/>
              <w:rPr>
                <w:rFonts w:hint="eastAsia" w:ascii="仿宋_GB2312" w:eastAsia="仿宋_GB2312"/>
                <w:b/>
                <w:sz w:val="24"/>
              </w:rPr>
            </w:pPr>
          </w:p>
        </w:tc>
        <w:tc>
          <w:tcPr>
            <w:tcW w:w="1331" w:type="dxa"/>
            <w:noWrap w:val="0"/>
            <w:vAlign w:val="center"/>
          </w:tcPr>
          <w:p>
            <w:pPr>
              <w:spacing w:line="360" w:lineRule="auto"/>
              <w:jc w:val="center"/>
              <w:rPr>
                <w:rFonts w:hint="eastAsia" w:ascii="仿宋_GB2312" w:eastAsia="仿宋_GB2312"/>
                <w:b/>
                <w:sz w:val="24"/>
              </w:rPr>
            </w:pPr>
          </w:p>
        </w:tc>
        <w:tc>
          <w:tcPr>
            <w:tcW w:w="3258" w:type="dxa"/>
            <w:noWrap w:val="0"/>
            <w:vAlign w:val="top"/>
          </w:tcPr>
          <w:p>
            <w:pPr>
              <w:spacing w:line="360" w:lineRule="auto"/>
              <w:jc w:val="center"/>
              <w:rPr>
                <w:rFonts w:hint="eastAsia" w:ascii="仿宋_GB2312" w:eastAsia="仿宋_GB2312"/>
                <w:b/>
                <w:sz w:val="24"/>
              </w:rPr>
            </w:pPr>
          </w:p>
        </w:tc>
        <w:tc>
          <w:tcPr>
            <w:tcW w:w="833" w:type="dxa"/>
            <w:noWrap w:val="0"/>
            <w:vAlign w:val="center"/>
          </w:tcPr>
          <w:p>
            <w:pPr>
              <w:spacing w:line="360" w:lineRule="auto"/>
              <w:jc w:val="center"/>
              <w:rPr>
                <w:rFonts w:hint="eastAsia" w:ascii="仿宋_GB2312" w:eastAsia="仿宋_GB2312"/>
                <w:b/>
                <w:sz w:val="24"/>
              </w:rPr>
            </w:pPr>
          </w:p>
        </w:tc>
        <w:tc>
          <w:tcPr>
            <w:tcW w:w="878" w:type="dxa"/>
            <w:noWrap w:val="0"/>
            <w:vAlign w:val="center"/>
          </w:tcPr>
          <w:p>
            <w:pPr>
              <w:spacing w:line="360" w:lineRule="auto"/>
              <w:jc w:val="center"/>
              <w:rPr>
                <w:rFonts w:hint="eastAsia" w:ascii="仿宋_GB2312" w:eastAsia="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jc w:val="center"/>
        </w:trPr>
        <w:tc>
          <w:tcPr>
            <w:tcW w:w="905" w:type="dxa"/>
            <w:noWrap w:val="0"/>
            <w:vAlign w:val="center"/>
          </w:tcPr>
          <w:p>
            <w:pPr>
              <w:spacing w:line="360" w:lineRule="auto"/>
              <w:jc w:val="center"/>
              <w:rPr>
                <w:rFonts w:hint="eastAsia" w:ascii="仿宋_GB2312" w:eastAsia="仿宋_GB2312"/>
                <w:b/>
                <w:sz w:val="24"/>
              </w:rPr>
            </w:pPr>
          </w:p>
        </w:tc>
        <w:tc>
          <w:tcPr>
            <w:tcW w:w="1363" w:type="dxa"/>
            <w:noWrap w:val="0"/>
            <w:vAlign w:val="center"/>
          </w:tcPr>
          <w:p>
            <w:pPr>
              <w:spacing w:line="360" w:lineRule="auto"/>
              <w:jc w:val="center"/>
              <w:rPr>
                <w:rFonts w:hint="eastAsia" w:ascii="仿宋_GB2312" w:eastAsia="仿宋_GB2312"/>
                <w:b/>
                <w:sz w:val="24"/>
              </w:rPr>
            </w:pPr>
          </w:p>
        </w:tc>
        <w:tc>
          <w:tcPr>
            <w:tcW w:w="1331" w:type="dxa"/>
            <w:noWrap w:val="0"/>
            <w:vAlign w:val="center"/>
          </w:tcPr>
          <w:p>
            <w:pPr>
              <w:spacing w:line="360" w:lineRule="auto"/>
              <w:jc w:val="center"/>
              <w:rPr>
                <w:rFonts w:hint="eastAsia" w:ascii="仿宋_GB2312" w:eastAsia="仿宋_GB2312"/>
                <w:b/>
                <w:sz w:val="24"/>
              </w:rPr>
            </w:pPr>
          </w:p>
        </w:tc>
        <w:tc>
          <w:tcPr>
            <w:tcW w:w="3258" w:type="dxa"/>
            <w:noWrap w:val="0"/>
            <w:vAlign w:val="top"/>
          </w:tcPr>
          <w:p>
            <w:pPr>
              <w:spacing w:line="360" w:lineRule="auto"/>
              <w:jc w:val="center"/>
              <w:rPr>
                <w:rFonts w:hint="eastAsia" w:ascii="仿宋_GB2312" w:eastAsia="仿宋_GB2312"/>
                <w:b/>
                <w:sz w:val="24"/>
              </w:rPr>
            </w:pPr>
          </w:p>
        </w:tc>
        <w:tc>
          <w:tcPr>
            <w:tcW w:w="833" w:type="dxa"/>
            <w:noWrap w:val="0"/>
            <w:vAlign w:val="center"/>
          </w:tcPr>
          <w:p>
            <w:pPr>
              <w:spacing w:line="360" w:lineRule="auto"/>
              <w:jc w:val="center"/>
              <w:rPr>
                <w:rFonts w:hint="eastAsia" w:ascii="仿宋_GB2312" w:eastAsia="仿宋_GB2312"/>
                <w:b/>
                <w:sz w:val="24"/>
              </w:rPr>
            </w:pPr>
          </w:p>
        </w:tc>
        <w:tc>
          <w:tcPr>
            <w:tcW w:w="878" w:type="dxa"/>
            <w:noWrap w:val="0"/>
            <w:vAlign w:val="center"/>
          </w:tcPr>
          <w:p>
            <w:pPr>
              <w:spacing w:line="360" w:lineRule="auto"/>
              <w:jc w:val="center"/>
              <w:rPr>
                <w:rFonts w:hint="eastAsia" w:ascii="仿宋_GB2312" w:eastAsia="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jc w:val="center"/>
        </w:trPr>
        <w:tc>
          <w:tcPr>
            <w:tcW w:w="905" w:type="dxa"/>
            <w:noWrap w:val="0"/>
            <w:vAlign w:val="center"/>
          </w:tcPr>
          <w:p>
            <w:pPr>
              <w:spacing w:line="360" w:lineRule="auto"/>
              <w:jc w:val="center"/>
              <w:rPr>
                <w:rFonts w:hint="eastAsia" w:ascii="仿宋_GB2312" w:eastAsia="仿宋_GB2312"/>
                <w:b/>
                <w:sz w:val="24"/>
              </w:rPr>
            </w:pPr>
          </w:p>
        </w:tc>
        <w:tc>
          <w:tcPr>
            <w:tcW w:w="1363" w:type="dxa"/>
            <w:noWrap w:val="0"/>
            <w:vAlign w:val="center"/>
          </w:tcPr>
          <w:p>
            <w:pPr>
              <w:spacing w:line="360" w:lineRule="auto"/>
              <w:jc w:val="center"/>
              <w:rPr>
                <w:rFonts w:hint="eastAsia" w:ascii="仿宋_GB2312" w:eastAsia="仿宋_GB2312"/>
                <w:b/>
                <w:sz w:val="24"/>
              </w:rPr>
            </w:pPr>
          </w:p>
        </w:tc>
        <w:tc>
          <w:tcPr>
            <w:tcW w:w="1331" w:type="dxa"/>
            <w:noWrap w:val="0"/>
            <w:vAlign w:val="center"/>
          </w:tcPr>
          <w:p>
            <w:pPr>
              <w:spacing w:line="360" w:lineRule="auto"/>
              <w:jc w:val="center"/>
              <w:rPr>
                <w:rFonts w:hint="eastAsia" w:ascii="仿宋_GB2312" w:eastAsia="仿宋_GB2312"/>
                <w:b/>
                <w:sz w:val="24"/>
              </w:rPr>
            </w:pPr>
          </w:p>
        </w:tc>
        <w:tc>
          <w:tcPr>
            <w:tcW w:w="3258" w:type="dxa"/>
            <w:noWrap w:val="0"/>
            <w:vAlign w:val="top"/>
          </w:tcPr>
          <w:p>
            <w:pPr>
              <w:spacing w:line="360" w:lineRule="auto"/>
              <w:jc w:val="center"/>
              <w:rPr>
                <w:rFonts w:hint="eastAsia" w:ascii="仿宋_GB2312" w:eastAsia="仿宋_GB2312"/>
                <w:b/>
                <w:sz w:val="24"/>
              </w:rPr>
            </w:pPr>
          </w:p>
        </w:tc>
        <w:tc>
          <w:tcPr>
            <w:tcW w:w="833" w:type="dxa"/>
            <w:noWrap w:val="0"/>
            <w:vAlign w:val="center"/>
          </w:tcPr>
          <w:p>
            <w:pPr>
              <w:spacing w:line="360" w:lineRule="auto"/>
              <w:jc w:val="center"/>
              <w:rPr>
                <w:rFonts w:hint="eastAsia" w:ascii="仿宋_GB2312" w:eastAsia="仿宋_GB2312"/>
                <w:b/>
                <w:sz w:val="24"/>
              </w:rPr>
            </w:pPr>
          </w:p>
        </w:tc>
        <w:tc>
          <w:tcPr>
            <w:tcW w:w="878" w:type="dxa"/>
            <w:noWrap w:val="0"/>
            <w:vAlign w:val="center"/>
          </w:tcPr>
          <w:p>
            <w:pPr>
              <w:spacing w:line="360" w:lineRule="auto"/>
              <w:jc w:val="center"/>
              <w:rPr>
                <w:rFonts w:hint="eastAsia" w:ascii="仿宋_GB2312" w:eastAsia="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jc w:val="center"/>
        </w:trPr>
        <w:tc>
          <w:tcPr>
            <w:tcW w:w="905" w:type="dxa"/>
            <w:noWrap w:val="0"/>
            <w:vAlign w:val="center"/>
          </w:tcPr>
          <w:p>
            <w:pPr>
              <w:spacing w:line="360" w:lineRule="auto"/>
              <w:jc w:val="center"/>
              <w:rPr>
                <w:rFonts w:hint="eastAsia" w:ascii="仿宋_GB2312" w:eastAsia="仿宋_GB2312"/>
                <w:b/>
                <w:sz w:val="24"/>
              </w:rPr>
            </w:pPr>
          </w:p>
        </w:tc>
        <w:tc>
          <w:tcPr>
            <w:tcW w:w="1363" w:type="dxa"/>
            <w:noWrap w:val="0"/>
            <w:vAlign w:val="center"/>
          </w:tcPr>
          <w:p>
            <w:pPr>
              <w:spacing w:line="360" w:lineRule="auto"/>
              <w:jc w:val="center"/>
              <w:rPr>
                <w:rFonts w:hint="eastAsia" w:ascii="仿宋_GB2312" w:eastAsia="仿宋_GB2312"/>
                <w:b/>
                <w:sz w:val="24"/>
              </w:rPr>
            </w:pPr>
          </w:p>
        </w:tc>
        <w:tc>
          <w:tcPr>
            <w:tcW w:w="1331" w:type="dxa"/>
            <w:noWrap w:val="0"/>
            <w:vAlign w:val="center"/>
          </w:tcPr>
          <w:p>
            <w:pPr>
              <w:spacing w:line="360" w:lineRule="auto"/>
              <w:jc w:val="center"/>
              <w:rPr>
                <w:rFonts w:hint="eastAsia" w:ascii="仿宋_GB2312" w:eastAsia="仿宋_GB2312"/>
                <w:b/>
                <w:sz w:val="24"/>
              </w:rPr>
            </w:pPr>
          </w:p>
        </w:tc>
        <w:tc>
          <w:tcPr>
            <w:tcW w:w="3258" w:type="dxa"/>
            <w:noWrap w:val="0"/>
            <w:vAlign w:val="top"/>
          </w:tcPr>
          <w:p>
            <w:pPr>
              <w:spacing w:line="360" w:lineRule="auto"/>
              <w:jc w:val="center"/>
              <w:rPr>
                <w:rFonts w:hint="eastAsia" w:ascii="仿宋_GB2312" w:eastAsia="仿宋_GB2312"/>
                <w:b/>
                <w:sz w:val="24"/>
              </w:rPr>
            </w:pPr>
          </w:p>
        </w:tc>
        <w:tc>
          <w:tcPr>
            <w:tcW w:w="833" w:type="dxa"/>
            <w:noWrap w:val="0"/>
            <w:vAlign w:val="center"/>
          </w:tcPr>
          <w:p>
            <w:pPr>
              <w:spacing w:line="360" w:lineRule="auto"/>
              <w:jc w:val="center"/>
              <w:rPr>
                <w:rFonts w:hint="eastAsia" w:ascii="仿宋_GB2312" w:eastAsia="仿宋_GB2312"/>
                <w:b/>
                <w:sz w:val="24"/>
              </w:rPr>
            </w:pPr>
          </w:p>
        </w:tc>
        <w:tc>
          <w:tcPr>
            <w:tcW w:w="878" w:type="dxa"/>
            <w:noWrap w:val="0"/>
            <w:vAlign w:val="center"/>
          </w:tcPr>
          <w:p>
            <w:pPr>
              <w:spacing w:line="360" w:lineRule="auto"/>
              <w:jc w:val="center"/>
              <w:rPr>
                <w:rFonts w:hint="eastAsia" w:ascii="仿宋_GB2312" w:eastAsia="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jc w:val="center"/>
        </w:trPr>
        <w:tc>
          <w:tcPr>
            <w:tcW w:w="905" w:type="dxa"/>
            <w:noWrap w:val="0"/>
            <w:vAlign w:val="center"/>
          </w:tcPr>
          <w:p>
            <w:pPr>
              <w:spacing w:line="360" w:lineRule="auto"/>
              <w:jc w:val="center"/>
              <w:rPr>
                <w:rFonts w:hint="eastAsia" w:ascii="仿宋_GB2312" w:eastAsia="仿宋_GB2312"/>
                <w:b/>
                <w:sz w:val="24"/>
              </w:rPr>
            </w:pPr>
          </w:p>
        </w:tc>
        <w:tc>
          <w:tcPr>
            <w:tcW w:w="1363" w:type="dxa"/>
            <w:noWrap w:val="0"/>
            <w:vAlign w:val="center"/>
          </w:tcPr>
          <w:p>
            <w:pPr>
              <w:spacing w:line="360" w:lineRule="auto"/>
              <w:jc w:val="center"/>
              <w:rPr>
                <w:rFonts w:hint="eastAsia" w:ascii="仿宋_GB2312" w:eastAsia="仿宋_GB2312"/>
                <w:b/>
                <w:sz w:val="24"/>
              </w:rPr>
            </w:pPr>
          </w:p>
        </w:tc>
        <w:tc>
          <w:tcPr>
            <w:tcW w:w="1331" w:type="dxa"/>
            <w:noWrap w:val="0"/>
            <w:vAlign w:val="center"/>
          </w:tcPr>
          <w:p>
            <w:pPr>
              <w:spacing w:line="360" w:lineRule="auto"/>
              <w:jc w:val="center"/>
              <w:rPr>
                <w:rFonts w:hint="eastAsia" w:ascii="仿宋_GB2312" w:eastAsia="仿宋_GB2312"/>
                <w:b/>
                <w:sz w:val="24"/>
              </w:rPr>
            </w:pPr>
          </w:p>
        </w:tc>
        <w:tc>
          <w:tcPr>
            <w:tcW w:w="3258" w:type="dxa"/>
            <w:noWrap w:val="0"/>
            <w:vAlign w:val="top"/>
          </w:tcPr>
          <w:p>
            <w:pPr>
              <w:spacing w:line="360" w:lineRule="auto"/>
              <w:jc w:val="center"/>
              <w:rPr>
                <w:rFonts w:hint="eastAsia" w:ascii="仿宋_GB2312" w:eastAsia="仿宋_GB2312"/>
                <w:b/>
                <w:sz w:val="24"/>
              </w:rPr>
            </w:pPr>
          </w:p>
        </w:tc>
        <w:tc>
          <w:tcPr>
            <w:tcW w:w="833" w:type="dxa"/>
            <w:noWrap w:val="0"/>
            <w:vAlign w:val="center"/>
          </w:tcPr>
          <w:p>
            <w:pPr>
              <w:spacing w:line="360" w:lineRule="auto"/>
              <w:jc w:val="center"/>
              <w:rPr>
                <w:rFonts w:hint="eastAsia" w:ascii="仿宋_GB2312" w:eastAsia="仿宋_GB2312"/>
                <w:b/>
                <w:sz w:val="24"/>
              </w:rPr>
            </w:pPr>
          </w:p>
        </w:tc>
        <w:tc>
          <w:tcPr>
            <w:tcW w:w="878" w:type="dxa"/>
            <w:noWrap w:val="0"/>
            <w:vAlign w:val="center"/>
          </w:tcPr>
          <w:p>
            <w:pPr>
              <w:spacing w:line="360" w:lineRule="auto"/>
              <w:jc w:val="center"/>
              <w:rPr>
                <w:rFonts w:hint="eastAsia" w:ascii="仿宋_GB2312" w:eastAsia="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jc w:val="center"/>
        </w:trPr>
        <w:tc>
          <w:tcPr>
            <w:tcW w:w="905" w:type="dxa"/>
            <w:noWrap w:val="0"/>
            <w:vAlign w:val="center"/>
          </w:tcPr>
          <w:p>
            <w:pPr>
              <w:spacing w:line="360" w:lineRule="auto"/>
              <w:jc w:val="center"/>
              <w:rPr>
                <w:rFonts w:hint="eastAsia" w:ascii="仿宋_GB2312" w:eastAsia="仿宋_GB2312"/>
                <w:b/>
                <w:sz w:val="24"/>
              </w:rPr>
            </w:pPr>
          </w:p>
        </w:tc>
        <w:tc>
          <w:tcPr>
            <w:tcW w:w="1363" w:type="dxa"/>
            <w:noWrap w:val="0"/>
            <w:vAlign w:val="center"/>
          </w:tcPr>
          <w:p>
            <w:pPr>
              <w:spacing w:line="360" w:lineRule="auto"/>
              <w:jc w:val="center"/>
              <w:rPr>
                <w:rFonts w:hint="eastAsia" w:ascii="仿宋_GB2312" w:eastAsia="仿宋_GB2312"/>
                <w:b/>
                <w:sz w:val="24"/>
              </w:rPr>
            </w:pPr>
          </w:p>
        </w:tc>
        <w:tc>
          <w:tcPr>
            <w:tcW w:w="1331" w:type="dxa"/>
            <w:noWrap w:val="0"/>
            <w:vAlign w:val="center"/>
          </w:tcPr>
          <w:p>
            <w:pPr>
              <w:spacing w:line="360" w:lineRule="auto"/>
              <w:jc w:val="center"/>
              <w:rPr>
                <w:rFonts w:hint="eastAsia" w:ascii="仿宋_GB2312" w:eastAsia="仿宋_GB2312"/>
                <w:b/>
                <w:sz w:val="24"/>
              </w:rPr>
            </w:pPr>
          </w:p>
        </w:tc>
        <w:tc>
          <w:tcPr>
            <w:tcW w:w="3258" w:type="dxa"/>
            <w:noWrap w:val="0"/>
            <w:vAlign w:val="top"/>
          </w:tcPr>
          <w:p>
            <w:pPr>
              <w:spacing w:line="360" w:lineRule="auto"/>
              <w:jc w:val="center"/>
              <w:rPr>
                <w:rFonts w:hint="eastAsia" w:ascii="仿宋_GB2312" w:eastAsia="仿宋_GB2312"/>
                <w:b/>
                <w:sz w:val="24"/>
              </w:rPr>
            </w:pPr>
          </w:p>
        </w:tc>
        <w:tc>
          <w:tcPr>
            <w:tcW w:w="833" w:type="dxa"/>
            <w:noWrap w:val="0"/>
            <w:vAlign w:val="center"/>
          </w:tcPr>
          <w:p>
            <w:pPr>
              <w:spacing w:line="360" w:lineRule="auto"/>
              <w:jc w:val="center"/>
              <w:rPr>
                <w:rFonts w:hint="eastAsia" w:ascii="仿宋_GB2312" w:eastAsia="仿宋_GB2312"/>
                <w:b/>
                <w:sz w:val="24"/>
              </w:rPr>
            </w:pPr>
          </w:p>
        </w:tc>
        <w:tc>
          <w:tcPr>
            <w:tcW w:w="878" w:type="dxa"/>
            <w:noWrap w:val="0"/>
            <w:vAlign w:val="center"/>
          </w:tcPr>
          <w:p>
            <w:pPr>
              <w:spacing w:line="360" w:lineRule="auto"/>
              <w:jc w:val="center"/>
              <w:rPr>
                <w:rFonts w:hint="eastAsia" w:ascii="仿宋_GB2312" w:eastAsia="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jc w:val="center"/>
        </w:trPr>
        <w:tc>
          <w:tcPr>
            <w:tcW w:w="905" w:type="dxa"/>
            <w:noWrap w:val="0"/>
            <w:vAlign w:val="center"/>
          </w:tcPr>
          <w:p>
            <w:pPr>
              <w:spacing w:line="360" w:lineRule="auto"/>
              <w:jc w:val="center"/>
              <w:rPr>
                <w:rFonts w:hint="eastAsia" w:ascii="仿宋_GB2312" w:eastAsia="仿宋_GB2312"/>
                <w:b/>
                <w:sz w:val="24"/>
              </w:rPr>
            </w:pPr>
          </w:p>
        </w:tc>
        <w:tc>
          <w:tcPr>
            <w:tcW w:w="1363" w:type="dxa"/>
            <w:noWrap w:val="0"/>
            <w:vAlign w:val="center"/>
          </w:tcPr>
          <w:p>
            <w:pPr>
              <w:spacing w:line="360" w:lineRule="auto"/>
              <w:jc w:val="center"/>
              <w:rPr>
                <w:rFonts w:hint="eastAsia" w:ascii="仿宋_GB2312" w:eastAsia="仿宋_GB2312"/>
                <w:b/>
                <w:sz w:val="24"/>
              </w:rPr>
            </w:pPr>
          </w:p>
        </w:tc>
        <w:tc>
          <w:tcPr>
            <w:tcW w:w="1331" w:type="dxa"/>
            <w:noWrap w:val="0"/>
            <w:vAlign w:val="center"/>
          </w:tcPr>
          <w:p>
            <w:pPr>
              <w:spacing w:line="360" w:lineRule="auto"/>
              <w:jc w:val="center"/>
              <w:rPr>
                <w:rFonts w:hint="eastAsia" w:ascii="仿宋_GB2312" w:eastAsia="仿宋_GB2312"/>
                <w:b/>
                <w:sz w:val="24"/>
              </w:rPr>
            </w:pPr>
          </w:p>
        </w:tc>
        <w:tc>
          <w:tcPr>
            <w:tcW w:w="3258" w:type="dxa"/>
            <w:noWrap w:val="0"/>
            <w:vAlign w:val="top"/>
          </w:tcPr>
          <w:p>
            <w:pPr>
              <w:spacing w:line="360" w:lineRule="auto"/>
              <w:jc w:val="center"/>
              <w:rPr>
                <w:rFonts w:hint="eastAsia" w:ascii="仿宋_GB2312" w:eastAsia="仿宋_GB2312"/>
                <w:b/>
                <w:sz w:val="24"/>
              </w:rPr>
            </w:pPr>
          </w:p>
        </w:tc>
        <w:tc>
          <w:tcPr>
            <w:tcW w:w="833" w:type="dxa"/>
            <w:noWrap w:val="0"/>
            <w:vAlign w:val="center"/>
          </w:tcPr>
          <w:p>
            <w:pPr>
              <w:spacing w:line="360" w:lineRule="auto"/>
              <w:jc w:val="center"/>
              <w:rPr>
                <w:rFonts w:hint="eastAsia" w:ascii="仿宋_GB2312" w:eastAsia="仿宋_GB2312"/>
                <w:b/>
                <w:sz w:val="24"/>
              </w:rPr>
            </w:pPr>
          </w:p>
        </w:tc>
        <w:tc>
          <w:tcPr>
            <w:tcW w:w="878" w:type="dxa"/>
            <w:noWrap w:val="0"/>
            <w:vAlign w:val="center"/>
          </w:tcPr>
          <w:p>
            <w:pPr>
              <w:spacing w:line="360" w:lineRule="auto"/>
              <w:jc w:val="center"/>
              <w:rPr>
                <w:rFonts w:hint="eastAsia" w:ascii="仿宋_GB2312" w:eastAsia="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jc w:val="center"/>
        </w:trPr>
        <w:tc>
          <w:tcPr>
            <w:tcW w:w="905" w:type="dxa"/>
            <w:noWrap w:val="0"/>
            <w:vAlign w:val="center"/>
          </w:tcPr>
          <w:p>
            <w:pPr>
              <w:spacing w:line="360" w:lineRule="auto"/>
              <w:jc w:val="center"/>
              <w:rPr>
                <w:rFonts w:hint="eastAsia" w:ascii="仿宋_GB2312" w:eastAsia="仿宋_GB2312"/>
                <w:b/>
                <w:sz w:val="24"/>
              </w:rPr>
            </w:pPr>
          </w:p>
        </w:tc>
        <w:tc>
          <w:tcPr>
            <w:tcW w:w="1363" w:type="dxa"/>
            <w:noWrap w:val="0"/>
            <w:vAlign w:val="center"/>
          </w:tcPr>
          <w:p>
            <w:pPr>
              <w:spacing w:line="360" w:lineRule="auto"/>
              <w:jc w:val="center"/>
              <w:rPr>
                <w:rFonts w:hint="eastAsia" w:ascii="仿宋_GB2312" w:eastAsia="仿宋_GB2312"/>
                <w:b/>
                <w:sz w:val="24"/>
              </w:rPr>
            </w:pPr>
          </w:p>
        </w:tc>
        <w:tc>
          <w:tcPr>
            <w:tcW w:w="1331" w:type="dxa"/>
            <w:noWrap w:val="0"/>
            <w:vAlign w:val="center"/>
          </w:tcPr>
          <w:p>
            <w:pPr>
              <w:spacing w:line="360" w:lineRule="auto"/>
              <w:jc w:val="center"/>
              <w:rPr>
                <w:rFonts w:hint="eastAsia" w:ascii="仿宋_GB2312" w:eastAsia="仿宋_GB2312"/>
                <w:b/>
                <w:sz w:val="24"/>
              </w:rPr>
            </w:pPr>
          </w:p>
        </w:tc>
        <w:tc>
          <w:tcPr>
            <w:tcW w:w="3258" w:type="dxa"/>
            <w:noWrap w:val="0"/>
            <w:vAlign w:val="top"/>
          </w:tcPr>
          <w:p>
            <w:pPr>
              <w:spacing w:line="360" w:lineRule="auto"/>
              <w:jc w:val="center"/>
              <w:rPr>
                <w:rFonts w:hint="eastAsia" w:ascii="仿宋_GB2312" w:eastAsia="仿宋_GB2312"/>
                <w:b/>
                <w:sz w:val="24"/>
              </w:rPr>
            </w:pPr>
          </w:p>
        </w:tc>
        <w:tc>
          <w:tcPr>
            <w:tcW w:w="833" w:type="dxa"/>
            <w:noWrap w:val="0"/>
            <w:vAlign w:val="center"/>
          </w:tcPr>
          <w:p>
            <w:pPr>
              <w:spacing w:line="360" w:lineRule="auto"/>
              <w:jc w:val="center"/>
              <w:rPr>
                <w:rFonts w:hint="eastAsia" w:ascii="仿宋_GB2312" w:eastAsia="仿宋_GB2312"/>
                <w:b/>
                <w:sz w:val="24"/>
              </w:rPr>
            </w:pPr>
          </w:p>
        </w:tc>
        <w:tc>
          <w:tcPr>
            <w:tcW w:w="878" w:type="dxa"/>
            <w:noWrap w:val="0"/>
            <w:vAlign w:val="center"/>
          </w:tcPr>
          <w:p>
            <w:pPr>
              <w:spacing w:line="360" w:lineRule="auto"/>
              <w:jc w:val="center"/>
              <w:rPr>
                <w:rFonts w:hint="eastAsia" w:ascii="仿宋_GB2312" w:eastAsia="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jc w:val="center"/>
        </w:trPr>
        <w:tc>
          <w:tcPr>
            <w:tcW w:w="905" w:type="dxa"/>
            <w:noWrap w:val="0"/>
            <w:vAlign w:val="center"/>
          </w:tcPr>
          <w:p>
            <w:pPr>
              <w:spacing w:line="360" w:lineRule="auto"/>
              <w:jc w:val="center"/>
              <w:rPr>
                <w:rFonts w:hint="eastAsia" w:ascii="仿宋_GB2312" w:eastAsia="仿宋_GB2312"/>
                <w:b/>
                <w:sz w:val="24"/>
              </w:rPr>
            </w:pPr>
          </w:p>
        </w:tc>
        <w:tc>
          <w:tcPr>
            <w:tcW w:w="1363" w:type="dxa"/>
            <w:noWrap w:val="0"/>
            <w:vAlign w:val="center"/>
          </w:tcPr>
          <w:p>
            <w:pPr>
              <w:spacing w:line="360" w:lineRule="auto"/>
              <w:jc w:val="center"/>
              <w:rPr>
                <w:rFonts w:hint="eastAsia" w:ascii="仿宋_GB2312" w:eastAsia="仿宋_GB2312"/>
                <w:b/>
                <w:sz w:val="24"/>
              </w:rPr>
            </w:pPr>
          </w:p>
        </w:tc>
        <w:tc>
          <w:tcPr>
            <w:tcW w:w="1331" w:type="dxa"/>
            <w:noWrap w:val="0"/>
            <w:vAlign w:val="center"/>
          </w:tcPr>
          <w:p>
            <w:pPr>
              <w:spacing w:line="360" w:lineRule="auto"/>
              <w:jc w:val="center"/>
              <w:rPr>
                <w:rFonts w:hint="eastAsia" w:ascii="仿宋_GB2312" w:eastAsia="仿宋_GB2312"/>
                <w:b/>
                <w:sz w:val="24"/>
              </w:rPr>
            </w:pPr>
          </w:p>
        </w:tc>
        <w:tc>
          <w:tcPr>
            <w:tcW w:w="3258" w:type="dxa"/>
            <w:noWrap w:val="0"/>
            <w:vAlign w:val="top"/>
          </w:tcPr>
          <w:p>
            <w:pPr>
              <w:spacing w:line="360" w:lineRule="auto"/>
              <w:jc w:val="center"/>
              <w:rPr>
                <w:rFonts w:hint="eastAsia" w:ascii="仿宋_GB2312" w:eastAsia="仿宋_GB2312"/>
                <w:b/>
                <w:sz w:val="24"/>
              </w:rPr>
            </w:pPr>
          </w:p>
        </w:tc>
        <w:tc>
          <w:tcPr>
            <w:tcW w:w="833" w:type="dxa"/>
            <w:noWrap w:val="0"/>
            <w:vAlign w:val="center"/>
          </w:tcPr>
          <w:p>
            <w:pPr>
              <w:spacing w:line="360" w:lineRule="auto"/>
              <w:jc w:val="center"/>
              <w:rPr>
                <w:rFonts w:hint="eastAsia" w:ascii="仿宋_GB2312" w:eastAsia="仿宋_GB2312"/>
                <w:b/>
                <w:sz w:val="24"/>
              </w:rPr>
            </w:pPr>
          </w:p>
        </w:tc>
        <w:tc>
          <w:tcPr>
            <w:tcW w:w="878" w:type="dxa"/>
            <w:noWrap w:val="0"/>
            <w:vAlign w:val="center"/>
          </w:tcPr>
          <w:p>
            <w:pPr>
              <w:spacing w:line="360" w:lineRule="auto"/>
              <w:jc w:val="center"/>
              <w:rPr>
                <w:rFonts w:hint="eastAsia" w:ascii="仿宋_GB2312" w:eastAsia="仿宋_GB2312"/>
                <w:b/>
                <w:sz w:val="24"/>
              </w:rPr>
            </w:pPr>
          </w:p>
        </w:tc>
      </w:tr>
    </w:tbl>
    <w:p>
      <w:pPr>
        <w:spacing w:line="360" w:lineRule="auto"/>
        <w:ind w:firstLine="118" w:firstLineChars="49"/>
        <w:rPr>
          <w:rFonts w:hint="eastAsia" w:ascii="仿宋_GB2312" w:eastAsia="仿宋_GB2312"/>
          <w:b/>
          <w:kern w:val="0"/>
          <w:sz w:val="24"/>
          <w:lang w:val="zh-CN"/>
        </w:rPr>
      </w:pPr>
      <w:r>
        <w:rPr>
          <w:rFonts w:hint="eastAsia" w:ascii="仿宋_GB2312" w:eastAsia="仿宋_GB2312"/>
          <w:b/>
          <w:kern w:val="0"/>
          <w:sz w:val="24"/>
          <w:lang w:val="zh-CN"/>
        </w:rPr>
        <w:t>注：</w:t>
      </w:r>
      <w:r>
        <w:rPr>
          <w:rFonts w:hint="eastAsia" w:ascii="仿宋_GB2312" w:eastAsia="仿宋_GB2312"/>
          <w:sz w:val="24"/>
        </w:rPr>
        <w:t>1. 投标人需按采购清单顺序分类填写，</w:t>
      </w:r>
      <w:r>
        <w:rPr>
          <w:rFonts w:hint="eastAsia" w:ascii="仿宋_GB2312" w:hAnsi="宋体" w:eastAsia="仿宋_GB2312"/>
          <w:sz w:val="24"/>
        </w:rPr>
        <w:t>行数不够请自行增加</w:t>
      </w:r>
      <w:r>
        <w:rPr>
          <w:rFonts w:hint="eastAsia" w:ascii="仿宋_GB2312" w:hAnsi="ÎÄ¶¦CSÎº±®" w:eastAsia="仿宋_GB2312"/>
          <w:sz w:val="24"/>
        </w:rPr>
        <w:t>。</w:t>
      </w:r>
    </w:p>
    <w:p>
      <w:pPr>
        <w:spacing w:line="360" w:lineRule="auto"/>
        <w:rPr>
          <w:rFonts w:hint="eastAsia" w:ascii="仿宋_GB2312" w:eastAsia="仿宋_GB2312"/>
          <w:b/>
          <w:sz w:val="32"/>
        </w:rPr>
      </w:pPr>
    </w:p>
    <w:p>
      <w:pPr>
        <w:spacing w:line="360" w:lineRule="auto"/>
        <w:rPr>
          <w:rFonts w:hint="eastAsia" w:ascii="仿宋_GB2312" w:eastAsia="仿宋_GB2312"/>
          <w:b/>
          <w:sz w:val="32"/>
        </w:rPr>
      </w:pPr>
    </w:p>
    <w:p>
      <w:pPr>
        <w:autoSpaceDE w:val="0"/>
        <w:autoSpaceDN w:val="0"/>
        <w:adjustRightInd w:val="0"/>
        <w:spacing w:line="360" w:lineRule="auto"/>
        <w:ind w:right="480" w:firstLine="5152" w:firstLineChars="2147"/>
        <w:rPr>
          <w:rFonts w:hint="eastAsia" w:ascii="仿宋_GB2312" w:eastAsia="仿宋_GB2312"/>
          <w:kern w:val="0"/>
          <w:sz w:val="24"/>
        </w:rPr>
      </w:pPr>
      <w:r>
        <w:rPr>
          <w:rFonts w:hint="eastAsia" w:ascii="仿宋_GB2312" w:eastAsia="仿宋_GB2312"/>
          <w:kern w:val="0"/>
          <w:sz w:val="24"/>
          <w:lang w:val="zh-CN"/>
        </w:rPr>
        <w:t>投标人名称（公章）：</w:t>
      </w:r>
    </w:p>
    <w:p>
      <w:pPr>
        <w:autoSpaceDE w:val="0"/>
        <w:autoSpaceDN w:val="0"/>
        <w:adjustRightInd w:val="0"/>
        <w:spacing w:line="360" w:lineRule="auto"/>
        <w:rPr>
          <w:rFonts w:hint="eastAsia" w:ascii="仿宋_GB2312" w:eastAsia="仿宋_GB2312"/>
          <w:kern w:val="0"/>
          <w:sz w:val="24"/>
        </w:rPr>
      </w:pPr>
      <w:r>
        <w:rPr>
          <w:rFonts w:hint="eastAsia" w:ascii="仿宋_GB2312" w:eastAsia="仿宋_GB2312"/>
          <w:kern w:val="0"/>
          <w:sz w:val="24"/>
          <w:lang w:val="zh-CN"/>
        </w:rPr>
        <w:t xml:space="preserve">                                           </w:t>
      </w:r>
      <w:r>
        <w:rPr>
          <w:rFonts w:hint="eastAsia" w:ascii="仿宋_GB2312" w:eastAsia="仿宋_GB2312"/>
          <w:sz w:val="24"/>
        </w:rPr>
        <w:t>法定代表人或授权委托人</w:t>
      </w:r>
      <w:r>
        <w:rPr>
          <w:rFonts w:hint="eastAsia" w:ascii="仿宋_GB2312" w:eastAsia="仿宋_GB2312"/>
          <w:kern w:val="0"/>
          <w:sz w:val="24"/>
          <w:lang w:val="zh-CN"/>
        </w:rPr>
        <w:t>（签字）：</w:t>
      </w:r>
    </w:p>
    <w:p>
      <w:pPr>
        <w:spacing w:line="360" w:lineRule="auto"/>
        <w:rPr>
          <w:rFonts w:hint="eastAsia" w:ascii="仿宋_GB2312" w:eastAsia="仿宋_GB2312"/>
          <w:b/>
          <w:sz w:val="32"/>
        </w:rPr>
      </w:pPr>
      <w:r>
        <w:rPr>
          <w:rFonts w:hint="eastAsia" w:ascii="仿宋_GB2312" w:eastAsia="仿宋_GB2312"/>
          <w:kern w:val="0"/>
          <w:sz w:val="24"/>
          <w:lang w:val="zh-CN"/>
        </w:rPr>
        <w:t xml:space="preserve">                                           日期：2019年  月   日</w:t>
      </w:r>
    </w:p>
    <w:p>
      <w:pPr>
        <w:spacing w:line="480" w:lineRule="exact"/>
        <w:jc w:val="center"/>
        <w:rPr>
          <w:rFonts w:hint="eastAsia" w:ascii="仿宋_GB2312" w:hAnsi="宋体" w:eastAsia="仿宋_GB2312"/>
          <w:b/>
          <w:sz w:val="30"/>
        </w:rPr>
      </w:pPr>
    </w:p>
    <w:p>
      <w:pPr>
        <w:spacing w:line="480" w:lineRule="exact"/>
        <w:jc w:val="center"/>
        <w:rPr>
          <w:rFonts w:hint="eastAsia" w:ascii="仿宋_GB2312" w:hAnsi="宋体" w:eastAsia="仿宋_GB2312"/>
          <w:b/>
          <w:sz w:val="30"/>
        </w:rPr>
      </w:pPr>
    </w:p>
    <w:p>
      <w:pPr>
        <w:spacing w:line="480" w:lineRule="exact"/>
        <w:jc w:val="center"/>
        <w:rPr>
          <w:rFonts w:hint="eastAsia" w:ascii="仿宋_GB2312" w:hAnsi="宋体" w:eastAsia="仿宋_GB2312"/>
          <w:b/>
          <w:sz w:val="30"/>
        </w:rPr>
      </w:pPr>
    </w:p>
    <w:p>
      <w:pPr>
        <w:spacing w:line="480" w:lineRule="exact"/>
        <w:jc w:val="center"/>
        <w:rPr>
          <w:rFonts w:hint="eastAsia" w:ascii="仿宋_GB2312" w:hAnsi="宋体" w:eastAsia="仿宋_GB2312"/>
          <w:b/>
          <w:sz w:val="30"/>
        </w:rPr>
      </w:pPr>
      <w:r>
        <w:rPr>
          <w:rFonts w:hint="eastAsia" w:ascii="仿宋_GB2312" w:hAnsi="宋体" w:eastAsia="仿宋_GB2312"/>
          <w:b/>
          <w:sz w:val="30"/>
        </w:rPr>
        <w:t>十三、技术解决方案</w:t>
      </w:r>
    </w:p>
    <w:p>
      <w:pPr>
        <w:spacing w:line="480" w:lineRule="exact"/>
        <w:jc w:val="center"/>
        <w:rPr>
          <w:rFonts w:hint="eastAsia" w:ascii="仿宋_GB2312" w:eastAsia="仿宋_GB2312"/>
          <w:sz w:val="28"/>
        </w:rPr>
      </w:pPr>
      <w:r>
        <w:rPr>
          <w:rFonts w:hint="eastAsia" w:ascii="仿宋_GB2312" w:eastAsia="仿宋_GB2312"/>
          <w:sz w:val="28"/>
        </w:rPr>
        <w:t>（由投标人根据采购需求及招标文件要求编制）</w:t>
      </w:r>
    </w:p>
    <w:p>
      <w:pPr>
        <w:spacing w:line="480" w:lineRule="exact"/>
        <w:jc w:val="center"/>
        <w:rPr>
          <w:rFonts w:hint="eastAsia" w:ascii="仿宋_GB2312" w:eastAsia="仿宋_GB2312"/>
          <w:sz w:val="28"/>
        </w:rPr>
      </w:pPr>
    </w:p>
    <w:p>
      <w:pPr>
        <w:autoSpaceDE w:val="0"/>
        <w:autoSpaceDN w:val="0"/>
        <w:adjustRightInd w:val="0"/>
        <w:spacing w:line="420" w:lineRule="exact"/>
        <w:ind w:firstLine="4440" w:firstLineChars="1850"/>
        <w:rPr>
          <w:rFonts w:hint="eastAsia" w:ascii="仿宋_GB2312" w:eastAsia="仿宋_GB2312"/>
          <w:kern w:val="0"/>
          <w:sz w:val="24"/>
        </w:rPr>
      </w:pPr>
    </w:p>
    <w:p>
      <w:pPr>
        <w:autoSpaceDE w:val="0"/>
        <w:autoSpaceDN w:val="0"/>
        <w:adjustRightInd w:val="0"/>
        <w:spacing w:line="420" w:lineRule="exact"/>
        <w:ind w:firstLine="4440" w:firstLineChars="1850"/>
        <w:rPr>
          <w:rFonts w:hint="eastAsia" w:ascii="仿宋_GB2312" w:eastAsia="仿宋_GB2312"/>
          <w:kern w:val="0"/>
          <w:sz w:val="24"/>
        </w:rPr>
      </w:pPr>
    </w:p>
    <w:p>
      <w:pPr>
        <w:autoSpaceDE w:val="0"/>
        <w:autoSpaceDN w:val="0"/>
        <w:adjustRightInd w:val="0"/>
        <w:spacing w:line="420" w:lineRule="exact"/>
        <w:ind w:firstLine="4560" w:firstLineChars="1900"/>
        <w:rPr>
          <w:rFonts w:hint="eastAsia" w:ascii="仿宋_GB2312" w:eastAsia="仿宋_GB2312"/>
          <w:kern w:val="0"/>
          <w:sz w:val="24"/>
        </w:rPr>
      </w:pPr>
      <w:r>
        <w:rPr>
          <w:rFonts w:hint="eastAsia" w:ascii="仿宋_GB2312" w:eastAsia="仿宋_GB2312"/>
          <w:kern w:val="0"/>
          <w:sz w:val="24"/>
        </w:rPr>
        <w:t>投标人名称（公章）：</w:t>
      </w:r>
    </w:p>
    <w:p>
      <w:pPr>
        <w:autoSpaceDE w:val="0"/>
        <w:autoSpaceDN w:val="0"/>
        <w:adjustRightInd w:val="0"/>
        <w:spacing w:line="420" w:lineRule="exact"/>
        <w:rPr>
          <w:rFonts w:hint="eastAsia" w:ascii="仿宋_GB2312" w:eastAsia="仿宋_GB2312"/>
          <w:kern w:val="0"/>
          <w:sz w:val="24"/>
        </w:rPr>
      </w:pPr>
      <w:r>
        <w:rPr>
          <w:rFonts w:hint="eastAsia" w:ascii="仿宋_GB2312" w:eastAsia="仿宋_GB2312"/>
          <w:kern w:val="0"/>
          <w:sz w:val="24"/>
        </w:rPr>
        <w:t xml:space="preserve">                                     法定代表人或授权委托人（签字）：</w:t>
      </w:r>
    </w:p>
    <w:p>
      <w:pPr>
        <w:spacing w:line="480" w:lineRule="exact"/>
        <w:jc w:val="center"/>
        <w:rPr>
          <w:rFonts w:hint="eastAsia" w:ascii="仿宋_GB2312" w:hAnsi="宋体" w:eastAsia="仿宋_GB2312"/>
          <w:b/>
          <w:sz w:val="32"/>
        </w:rPr>
      </w:pPr>
      <w:r>
        <w:rPr>
          <w:rFonts w:hint="eastAsia" w:ascii="仿宋_GB2312" w:eastAsia="仿宋_GB2312"/>
          <w:kern w:val="0"/>
          <w:sz w:val="24"/>
        </w:rPr>
        <w:t xml:space="preserve">                     日期：2019年  月   日</w:t>
      </w:r>
    </w:p>
    <w:p>
      <w:pPr>
        <w:tabs>
          <w:tab w:val="left" w:pos="2790"/>
          <w:tab w:val="left" w:pos="4230"/>
        </w:tabs>
        <w:autoSpaceDE w:val="0"/>
        <w:autoSpaceDN w:val="0"/>
        <w:adjustRightInd w:val="0"/>
        <w:spacing w:line="440" w:lineRule="exact"/>
        <w:ind w:right="1400"/>
        <w:outlineLvl w:val="1"/>
        <w:rPr>
          <w:rFonts w:hint="eastAsia" w:ascii="仿宋_GB2312" w:eastAsia="仿宋_GB2312"/>
          <w:b/>
          <w:kern w:val="0"/>
          <w:sz w:val="30"/>
          <w:lang w:val="zh-CN"/>
        </w:rPr>
      </w:pPr>
    </w:p>
    <w:p>
      <w:pPr>
        <w:tabs>
          <w:tab w:val="left" w:pos="2790"/>
          <w:tab w:val="left" w:pos="4230"/>
        </w:tabs>
        <w:autoSpaceDE w:val="0"/>
        <w:autoSpaceDN w:val="0"/>
        <w:adjustRightInd w:val="0"/>
        <w:spacing w:line="440" w:lineRule="exact"/>
        <w:ind w:right="1400"/>
        <w:outlineLvl w:val="1"/>
        <w:rPr>
          <w:rFonts w:hint="eastAsia" w:ascii="仿宋_GB2312" w:eastAsia="仿宋_GB2312"/>
          <w:b/>
          <w:kern w:val="0"/>
          <w:sz w:val="30"/>
          <w:lang w:val="zh-CN"/>
        </w:rPr>
      </w:pPr>
    </w:p>
    <w:p>
      <w:pPr>
        <w:tabs>
          <w:tab w:val="left" w:pos="2790"/>
          <w:tab w:val="left" w:pos="4230"/>
        </w:tabs>
        <w:autoSpaceDE w:val="0"/>
        <w:autoSpaceDN w:val="0"/>
        <w:adjustRightInd w:val="0"/>
        <w:spacing w:line="440" w:lineRule="exact"/>
        <w:ind w:right="1400"/>
        <w:jc w:val="center"/>
        <w:outlineLvl w:val="1"/>
        <w:rPr>
          <w:rFonts w:hint="eastAsia" w:ascii="仿宋_GB2312" w:eastAsia="仿宋_GB2312"/>
          <w:b/>
          <w:kern w:val="0"/>
          <w:sz w:val="30"/>
          <w:lang w:val="zh-CN"/>
        </w:rPr>
      </w:pPr>
      <w:r>
        <w:rPr>
          <w:rFonts w:hint="eastAsia" w:ascii="仿宋_GB2312" w:eastAsia="仿宋_GB2312"/>
          <w:b/>
          <w:kern w:val="0"/>
          <w:sz w:val="30"/>
          <w:lang w:val="zh-CN"/>
        </w:rPr>
        <w:t>十四、组织实施方案</w:t>
      </w:r>
    </w:p>
    <w:p>
      <w:pPr>
        <w:autoSpaceDE w:val="0"/>
        <w:autoSpaceDN w:val="0"/>
        <w:adjustRightInd w:val="0"/>
        <w:spacing w:line="440" w:lineRule="exact"/>
        <w:jc w:val="center"/>
        <w:rPr>
          <w:rFonts w:hint="eastAsia" w:ascii="仿宋_GB2312" w:eastAsia="仿宋_GB2312"/>
          <w:sz w:val="28"/>
        </w:rPr>
      </w:pPr>
      <w:r>
        <w:rPr>
          <w:rFonts w:hint="eastAsia" w:ascii="仿宋_GB2312" w:eastAsia="仿宋_GB2312"/>
          <w:sz w:val="28"/>
        </w:rPr>
        <w:t>（由投标人根据采购需求及招标文件要求编制）</w:t>
      </w:r>
    </w:p>
    <w:p>
      <w:pPr>
        <w:tabs>
          <w:tab w:val="left" w:pos="2790"/>
          <w:tab w:val="left" w:pos="4230"/>
        </w:tabs>
        <w:autoSpaceDE w:val="0"/>
        <w:autoSpaceDN w:val="0"/>
        <w:adjustRightInd w:val="0"/>
        <w:spacing w:line="440" w:lineRule="exact"/>
        <w:ind w:right="1400"/>
        <w:outlineLvl w:val="1"/>
        <w:rPr>
          <w:rFonts w:hint="eastAsia" w:ascii="仿宋_GB2312" w:eastAsia="仿宋_GB2312"/>
          <w:b/>
          <w:kern w:val="0"/>
          <w:sz w:val="24"/>
          <w:lang w:val="zh-CN"/>
        </w:rPr>
      </w:pPr>
    </w:p>
    <w:p>
      <w:pPr>
        <w:tabs>
          <w:tab w:val="left" w:pos="2790"/>
          <w:tab w:val="left" w:pos="4230"/>
        </w:tabs>
        <w:autoSpaceDE w:val="0"/>
        <w:autoSpaceDN w:val="0"/>
        <w:adjustRightInd w:val="0"/>
        <w:spacing w:line="440" w:lineRule="exact"/>
        <w:ind w:right="1400"/>
        <w:outlineLvl w:val="1"/>
        <w:rPr>
          <w:rFonts w:hint="eastAsia" w:ascii="仿宋_GB2312" w:eastAsia="仿宋_GB2312"/>
          <w:b/>
          <w:kern w:val="0"/>
          <w:sz w:val="24"/>
          <w:lang w:val="zh-CN"/>
        </w:rPr>
      </w:pPr>
      <w:r>
        <w:rPr>
          <w:rFonts w:hint="eastAsia" w:ascii="仿宋_GB2312" w:eastAsia="仿宋_GB2312"/>
          <w:b/>
          <w:kern w:val="0"/>
          <w:sz w:val="24"/>
          <w:lang w:val="zh-CN"/>
        </w:rPr>
        <w:t>附表:项目实施进度计划表</w:t>
      </w:r>
      <w:r>
        <w:rPr>
          <w:rFonts w:hint="eastAsia" w:ascii="仿宋_GB2312" w:eastAsia="仿宋_GB2312"/>
          <w:b/>
          <w:sz w:val="24"/>
        </w:rPr>
        <w:t xml:space="preserve">(以生效日算起) </w:t>
      </w:r>
    </w:p>
    <w:tbl>
      <w:tblPr>
        <w:tblStyle w:val="64"/>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1860" w:hRule="atLeast"/>
        </w:trPr>
        <w:tc>
          <w:tcPr>
            <w:tcW w:w="1188" w:type="dxa"/>
            <w:noWrap w:val="0"/>
            <w:vAlign w:val="center"/>
          </w:tcPr>
          <w:p>
            <w:pPr>
              <w:spacing w:line="360" w:lineRule="auto"/>
              <w:rPr>
                <w:rFonts w:hint="eastAsia" w:ascii="仿宋_GB2312" w:eastAsia="仿宋_GB2312"/>
                <w:sz w:val="24"/>
              </w:rPr>
            </w:pPr>
          </w:p>
          <w:p>
            <w:pPr>
              <w:rPr>
                <w:rFonts w:hint="eastAsia" w:ascii="仿宋_GB2312" w:eastAsia="仿宋_GB2312"/>
                <w:sz w:val="24"/>
              </w:rPr>
            </w:pPr>
          </w:p>
          <w:p>
            <w:pPr>
              <w:rPr>
                <w:rFonts w:hint="eastAsia" w:ascii="仿宋_GB2312" w:eastAsia="仿宋_GB2312"/>
                <w:sz w:val="24"/>
              </w:rPr>
            </w:pPr>
          </w:p>
          <w:p>
            <w:pPr>
              <w:rPr>
                <w:rFonts w:hint="eastAsia" w:ascii="仿宋_GB2312" w:eastAsia="仿宋_GB2312"/>
                <w:sz w:val="24"/>
              </w:rPr>
            </w:pPr>
            <w:r>
              <w:rPr>
                <w:rFonts w:hint="eastAsia" w:ascii="仿宋_GB2312" w:eastAsia="仿宋_GB2312"/>
                <w:sz w:val="24"/>
              </w:rPr>
              <w:t>内容</w:t>
            </w:r>
          </w:p>
        </w:tc>
        <w:tc>
          <w:tcPr>
            <w:tcW w:w="552" w:type="dxa"/>
            <w:noWrap w:val="0"/>
            <w:vAlign w:val="center"/>
          </w:tcPr>
          <w:p>
            <w:pPr>
              <w:spacing w:line="360" w:lineRule="auto"/>
              <w:rPr>
                <w:rFonts w:hint="eastAsia" w:ascii="仿宋_GB2312" w:eastAsia="仿宋_GB2312"/>
                <w:sz w:val="24"/>
              </w:rPr>
            </w:pPr>
            <w:r>
              <w:rPr>
                <w:rFonts w:hint="eastAsia" w:ascii="仿宋_GB2312" w:eastAsia="仿宋_GB2312"/>
                <w:sz w:val="24"/>
              </w:rPr>
              <w:t>1</w:t>
            </w:r>
          </w:p>
        </w:tc>
        <w:tc>
          <w:tcPr>
            <w:tcW w:w="552" w:type="dxa"/>
            <w:noWrap w:val="0"/>
            <w:vAlign w:val="center"/>
          </w:tcPr>
          <w:p>
            <w:pPr>
              <w:spacing w:line="360" w:lineRule="auto"/>
              <w:rPr>
                <w:rFonts w:hint="eastAsia" w:ascii="仿宋_GB2312" w:eastAsia="仿宋_GB2312"/>
                <w:sz w:val="24"/>
              </w:rPr>
            </w:pPr>
            <w:r>
              <w:rPr>
                <w:rFonts w:hint="eastAsia" w:ascii="仿宋_GB2312" w:eastAsia="仿宋_GB2312"/>
                <w:sz w:val="24"/>
              </w:rPr>
              <w:t>2</w:t>
            </w:r>
          </w:p>
        </w:tc>
        <w:tc>
          <w:tcPr>
            <w:tcW w:w="552" w:type="dxa"/>
            <w:noWrap w:val="0"/>
            <w:vAlign w:val="center"/>
          </w:tcPr>
          <w:p>
            <w:pPr>
              <w:spacing w:line="360" w:lineRule="auto"/>
              <w:rPr>
                <w:rFonts w:hint="eastAsia" w:ascii="仿宋_GB2312" w:eastAsia="仿宋_GB2312"/>
                <w:sz w:val="24"/>
              </w:rPr>
            </w:pPr>
            <w:r>
              <w:rPr>
                <w:rFonts w:hint="eastAsia" w:ascii="仿宋_GB2312" w:eastAsia="仿宋_GB2312"/>
                <w:sz w:val="24"/>
              </w:rPr>
              <w:t>3</w:t>
            </w:r>
          </w:p>
        </w:tc>
        <w:tc>
          <w:tcPr>
            <w:tcW w:w="552" w:type="dxa"/>
            <w:noWrap w:val="0"/>
            <w:vAlign w:val="center"/>
          </w:tcPr>
          <w:p>
            <w:pPr>
              <w:spacing w:line="360" w:lineRule="auto"/>
              <w:rPr>
                <w:rFonts w:hint="eastAsia" w:ascii="仿宋_GB2312" w:eastAsia="仿宋_GB2312"/>
                <w:sz w:val="24"/>
              </w:rPr>
            </w:pPr>
            <w:r>
              <w:rPr>
                <w:rFonts w:hint="eastAsia" w:ascii="仿宋_GB2312" w:eastAsia="仿宋_GB2312"/>
                <w:sz w:val="24"/>
              </w:rPr>
              <w:t>4</w:t>
            </w:r>
          </w:p>
        </w:tc>
        <w:tc>
          <w:tcPr>
            <w:tcW w:w="552" w:type="dxa"/>
            <w:noWrap w:val="0"/>
            <w:vAlign w:val="center"/>
          </w:tcPr>
          <w:p>
            <w:pPr>
              <w:spacing w:line="360" w:lineRule="auto"/>
              <w:rPr>
                <w:rFonts w:hint="eastAsia" w:ascii="仿宋_GB2312" w:eastAsia="仿宋_GB2312"/>
                <w:sz w:val="24"/>
              </w:rPr>
            </w:pPr>
            <w:r>
              <w:rPr>
                <w:rFonts w:hint="eastAsia" w:ascii="仿宋_GB2312" w:eastAsia="仿宋_GB2312"/>
                <w:sz w:val="24"/>
              </w:rPr>
              <w:t>5</w:t>
            </w:r>
          </w:p>
        </w:tc>
        <w:tc>
          <w:tcPr>
            <w:tcW w:w="552" w:type="dxa"/>
            <w:noWrap w:val="0"/>
            <w:vAlign w:val="center"/>
          </w:tcPr>
          <w:p>
            <w:pPr>
              <w:spacing w:line="360" w:lineRule="auto"/>
              <w:rPr>
                <w:rFonts w:hint="eastAsia" w:ascii="仿宋_GB2312" w:eastAsia="仿宋_GB2312"/>
                <w:sz w:val="24"/>
              </w:rPr>
            </w:pPr>
            <w:r>
              <w:rPr>
                <w:rFonts w:hint="eastAsia" w:ascii="仿宋_GB2312" w:eastAsia="仿宋_GB2312"/>
                <w:sz w:val="24"/>
              </w:rPr>
              <w:t>6</w:t>
            </w:r>
          </w:p>
        </w:tc>
        <w:tc>
          <w:tcPr>
            <w:tcW w:w="553" w:type="dxa"/>
            <w:noWrap w:val="0"/>
            <w:vAlign w:val="center"/>
          </w:tcPr>
          <w:p>
            <w:pPr>
              <w:spacing w:line="360" w:lineRule="auto"/>
              <w:rPr>
                <w:rFonts w:hint="eastAsia" w:ascii="仿宋_GB2312" w:eastAsia="仿宋_GB2312"/>
                <w:sz w:val="24"/>
              </w:rPr>
            </w:pPr>
            <w:r>
              <w:rPr>
                <w:rFonts w:hint="eastAsia" w:ascii="仿宋_GB2312" w:eastAsia="仿宋_GB2312"/>
                <w:sz w:val="24"/>
              </w:rPr>
              <w:t>7</w:t>
            </w:r>
          </w:p>
        </w:tc>
        <w:tc>
          <w:tcPr>
            <w:tcW w:w="553" w:type="dxa"/>
            <w:noWrap w:val="0"/>
            <w:vAlign w:val="center"/>
          </w:tcPr>
          <w:p>
            <w:pPr>
              <w:spacing w:line="360" w:lineRule="auto"/>
              <w:rPr>
                <w:rFonts w:hint="eastAsia" w:ascii="仿宋_GB2312" w:eastAsia="仿宋_GB2312"/>
                <w:sz w:val="24"/>
              </w:rPr>
            </w:pPr>
            <w:r>
              <w:rPr>
                <w:rFonts w:hint="eastAsia" w:ascii="仿宋_GB2312" w:eastAsia="仿宋_GB2312"/>
                <w:sz w:val="24"/>
              </w:rPr>
              <w:t>8</w:t>
            </w:r>
          </w:p>
        </w:tc>
        <w:tc>
          <w:tcPr>
            <w:tcW w:w="553" w:type="dxa"/>
            <w:noWrap w:val="0"/>
            <w:vAlign w:val="center"/>
          </w:tcPr>
          <w:p>
            <w:pPr>
              <w:spacing w:line="360" w:lineRule="auto"/>
              <w:rPr>
                <w:rFonts w:hint="eastAsia" w:ascii="仿宋_GB2312" w:eastAsia="仿宋_GB2312"/>
                <w:sz w:val="24"/>
              </w:rPr>
            </w:pPr>
            <w:r>
              <w:rPr>
                <w:rFonts w:hint="eastAsia" w:ascii="仿宋_GB2312" w:eastAsia="仿宋_GB2312"/>
                <w:sz w:val="24"/>
              </w:rPr>
              <w:t>9</w:t>
            </w:r>
          </w:p>
        </w:tc>
        <w:tc>
          <w:tcPr>
            <w:tcW w:w="553" w:type="dxa"/>
            <w:noWrap w:val="0"/>
            <w:vAlign w:val="center"/>
          </w:tcPr>
          <w:p>
            <w:pPr>
              <w:spacing w:line="360" w:lineRule="auto"/>
              <w:rPr>
                <w:rFonts w:hint="eastAsia" w:ascii="仿宋_GB2312" w:eastAsia="仿宋_GB2312"/>
                <w:sz w:val="24"/>
              </w:rPr>
            </w:pPr>
            <w:r>
              <w:rPr>
                <w:rFonts w:hint="eastAsia" w:ascii="仿宋_GB2312" w:eastAsia="仿宋_GB2312"/>
                <w:sz w:val="24"/>
              </w:rPr>
              <w:t>10</w:t>
            </w:r>
          </w:p>
        </w:tc>
        <w:tc>
          <w:tcPr>
            <w:tcW w:w="553" w:type="dxa"/>
            <w:noWrap w:val="0"/>
            <w:vAlign w:val="center"/>
          </w:tcPr>
          <w:p>
            <w:pPr>
              <w:spacing w:line="360" w:lineRule="auto"/>
              <w:rPr>
                <w:rFonts w:hint="eastAsia" w:ascii="仿宋_GB2312" w:eastAsia="仿宋_GB2312"/>
                <w:sz w:val="24"/>
              </w:rPr>
            </w:pPr>
            <w:r>
              <w:rPr>
                <w:rFonts w:hint="eastAsia" w:ascii="仿宋_GB2312" w:eastAsia="仿宋_GB2312"/>
                <w:sz w:val="24"/>
              </w:rPr>
              <w:t>11</w:t>
            </w:r>
          </w:p>
        </w:tc>
        <w:tc>
          <w:tcPr>
            <w:tcW w:w="553" w:type="dxa"/>
            <w:noWrap w:val="0"/>
            <w:vAlign w:val="center"/>
          </w:tcPr>
          <w:p>
            <w:pPr>
              <w:spacing w:line="360" w:lineRule="auto"/>
              <w:rPr>
                <w:rFonts w:hint="eastAsia" w:ascii="仿宋_GB2312" w:eastAsia="仿宋_GB2312"/>
                <w:sz w:val="24"/>
              </w:rPr>
            </w:pPr>
            <w:r>
              <w:rPr>
                <w:rFonts w:hint="eastAsia" w:ascii="仿宋_GB2312" w:eastAsia="仿宋_GB2312"/>
                <w:sz w:val="24"/>
              </w:rPr>
              <w:t>12</w:t>
            </w:r>
          </w:p>
        </w:tc>
        <w:tc>
          <w:tcPr>
            <w:tcW w:w="553" w:type="dxa"/>
            <w:noWrap w:val="0"/>
            <w:vAlign w:val="center"/>
          </w:tcPr>
          <w:p>
            <w:pPr>
              <w:spacing w:line="360" w:lineRule="auto"/>
              <w:rPr>
                <w:rFonts w:hint="eastAsia" w:ascii="仿宋_GB2312" w:eastAsia="仿宋_GB2312"/>
                <w:sz w:val="24"/>
              </w:rPr>
            </w:pPr>
            <w:r>
              <w:rPr>
                <w:rFonts w:hint="eastAsia" w:ascii="仿宋_GB2312" w:eastAsia="仿宋_GB2312"/>
                <w:sz w:val="24"/>
              </w:rPr>
              <w:t>13</w:t>
            </w:r>
          </w:p>
        </w:tc>
        <w:tc>
          <w:tcPr>
            <w:tcW w:w="553" w:type="dxa"/>
            <w:noWrap w:val="0"/>
            <w:vAlign w:val="center"/>
          </w:tcPr>
          <w:p>
            <w:pPr>
              <w:spacing w:line="360" w:lineRule="auto"/>
              <w:rPr>
                <w:rFonts w:hint="eastAsia" w:ascii="仿宋_GB2312" w:eastAsia="仿宋_GB2312"/>
                <w:sz w:val="24"/>
              </w:rPr>
            </w:pPr>
            <w:r>
              <w:rPr>
                <w:rFonts w:hint="eastAsia" w:ascii="仿宋_GB2312" w:eastAsia="仿宋_GB2312"/>
                <w:sz w:val="24"/>
              </w:rPr>
              <w:t>14</w:t>
            </w:r>
          </w:p>
        </w:tc>
        <w:tc>
          <w:tcPr>
            <w:tcW w:w="553" w:type="dxa"/>
            <w:noWrap w:val="0"/>
            <w:vAlign w:val="center"/>
          </w:tcPr>
          <w:p>
            <w:pPr>
              <w:spacing w:line="360" w:lineRule="auto"/>
              <w:rPr>
                <w:rFonts w:hint="eastAsia" w:ascii="仿宋_GB2312" w:eastAsia="仿宋_GB2312"/>
                <w:sz w:val="24"/>
              </w:rPr>
            </w:pPr>
            <w:r>
              <w:rPr>
                <w:rFonts w:hint="eastAsia" w:ascii="仿宋_GB2312" w:eastAsia="仿宋_GB2312"/>
                <w:sz w:val="24"/>
              </w:rPr>
              <w:t>15</w:t>
            </w:r>
          </w:p>
        </w:tc>
        <w:tc>
          <w:tcPr>
            <w:tcW w:w="553" w:type="dxa"/>
            <w:noWrap w:val="0"/>
            <w:vAlign w:val="center"/>
          </w:tcPr>
          <w:p>
            <w:pPr>
              <w:spacing w:line="360" w:lineRule="auto"/>
              <w:rPr>
                <w:rFonts w:hint="eastAsia" w:ascii="仿宋_GB2312" w:eastAsia="仿宋_GB2312"/>
                <w:sz w:val="24"/>
              </w:rPr>
            </w:pPr>
            <w:r>
              <w:rPr>
                <w:rFonts w:hint="eastAsia" w:ascii="仿宋_GB2312"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1188" w:type="dxa"/>
            <w:noWrap w:val="0"/>
            <w:vAlign w:val="center"/>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1188" w:type="dxa"/>
            <w:noWrap w:val="0"/>
            <w:vAlign w:val="center"/>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1188" w:type="dxa"/>
            <w:noWrap w:val="0"/>
            <w:vAlign w:val="center"/>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1188" w:type="dxa"/>
            <w:noWrap w:val="0"/>
            <w:vAlign w:val="center"/>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1188" w:type="dxa"/>
            <w:noWrap w:val="0"/>
            <w:vAlign w:val="center"/>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1188" w:type="dxa"/>
            <w:noWrap w:val="0"/>
            <w:vAlign w:val="center"/>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1188" w:type="dxa"/>
            <w:noWrap w:val="0"/>
            <w:vAlign w:val="center"/>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1188" w:type="dxa"/>
            <w:noWrap w:val="0"/>
            <w:vAlign w:val="center"/>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2"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c>
          <w:tcPr>
            <w:tcW w:w="553" w:type="dxa"/>
            <w:noWrap w:val="0"/>
            <w:vAlign w:val="top"/>
          </w:tcPr>
          <w:p>
            <w:pPr>
              <w:spacing w:line="360" w:lineRule="auto"/>
              <w:rPr>
                <w:rFonts w:hint="eastAsia" w:ascii="仿宋_GB2312" w:eastAsia="仿宋_GB2312"/>
                <w:sz w:val="24"/>
              </w:rPr>
            </w:pPr>
          </w:p>
        </w:tc>
      </w:tr>
    </w:tbl>
    <w:p>
      <w:pPr>
        <w:autoSpaceDE w:val="0"/>
        <w:autoSpaceDN w:val="0"/>
        <w:adjustRightInd w:val="0"/>
        <w:spacing w:line="440" w:lineRule="exact"/>
        <w:rPr>
          <w:rFonts w:hint="eastAsia" w:ascii="仿宋_GB2312" w:eastAsia="仿宋_GB2312"/>
          <w:b/>
          <w:sz w:val="24"/>
        </w:rPr>
      </w:pPr>
      <w:r>
        <w:rPr>
          <w:rFonts w:hint="eastAsia" w:ascii="仿宋_GB2312" w:eastAsia="仿宋_GB2312"/>
          <w:b/>
          <w:sz w:val="24"/>
        </w:rPr>
        <w:t>注：投标人可按上述时间表的格式自行编制切合实际的具体时间表。</w:t>
      </w:r>
    </w:p>
    <w:p>
      <w:pPr>
        <w:autoSpaceDE w:val="0"/>
        <w:autoSpaceDN w:val="0"/>
        <w:adjustRightInd w:val="0"/>
        <w:spacing w:line="420" w:lineRule="exact"/>
        <w:rPr>
          <w:rFonts w:hint="eastAsia" w:ascii="仿宋_GB2312" w:eastAsia="仿宋_GB2312"/>
          <w:kern w:val="0"/>
          <w:sz w:val="24"/>
        </w:rPr>
      </w:pPr>
    </w:p>
    <w:p>
      <w:pPr>
        <w:autoSpaceDE w:val="0"/>
        <w:autoSpaceDN w:val="0"/>
        <w:adjustRightInd w:val="0"/>
        <w:spacing w:line="420" w:lineRule="exact"/>
        <w:ind w:firstLine="4440" w:firstLineChars="1850"/>
        <w:rPr>
          <w:rFonts w:hint="eastAsia" w:ascii="仿宋_GB2312" w:eastAsia="仿宋_GB2312"/>
          <w:kern w:val="0"/>
          <w:sz w:val="24"/>
        </w:rPr>
      </w:pPr>
      <w:r>
        <w:rPr>
          <w:rFonts w:hint="eastAsia" w:ascii="仿宋_GB2312" w:eastAsia="仿宋_GB2312"/>
          <w:kern w:val="0"/>
          <w:sz w:val="24"/>
        </w:rPr>
        <w:t>投标人名称（公章）：</w:t>
      </w:r>
    </w:p>
    <w:p>
      <w:pPr>
        <w:autoSpaceDE w:val="0"/>
        <w:autoSpaceDN w:val="0"/>
        <w:adjustRightInd w:val="0"/>
        <w:spacing w:line="420" w:lineRule="exact"/>
        <w:rPr>
          <w:rFonts w:hint="eastAsia" w:ascii="仿宋_GB2312" w:eastAsia="仿宋_GB2312"/>
          <w:kern w:val="0"/>
          <w:sz w:val="24"/>
        </w:rPr>
      </w:pPr>
      <w:r>
        <w:rPr>
          <w:rFonts w:hint="eastAsia" w:ascii="仿宋_GB2312" w:eastAsia="仿宋_GB2312"/>
          <w:kern w:val="0"/>
          <w:sz w:val="24"/>
        </w:rPr>
        <w:t xml:space="preserve">                                     法定代表人或授权委托人（签字）：</w:t>
      </w:r>
    </w:p>
    <w:p>
      <w:pPr>
        <w:spacing w:line="480" w:lineRule="exact"/>
        <w:rPr>
          <w:rFonts w:hint="eastAsia" w:ascii="仿宋_GB2312" w:hAnsi="宋体" w:eastAsia="仿宋_GB2312"/>
          <w:b/>
          <w:sz w:val="24"/>
        </w:rPr>
      </w:pPr>
      <w:r>
        <w:rPr>
          <w:rFonts w:hint="eastAsia" w:ascii="仿宋_GB2312" w:eastAsia="仿宋_GB2312"/>
          <w:kern w:val="0"/>
          <w:sz w:val="24"/>
        </w:rPr>
        <w:t xml:space="preserve">                                     日期：2019年  月   日</w:t>
      </w:r>
    </w:p>
    <w:p>
      <w:pPr>
        <w:spacing w:line="480" w:lineRule="exact"/>
        <w:jc w:val="center"/>
        <w:rPr>
          <w:rFonts w:hint="eastAsia" w:ascii="仿宋_GB2312" w:hAnsi="宋体" w:eastAsia="仿宋_GB2312"/>
          <w:b/>
          <w:sz w:val="30"/>
        </w:rPr>
      </w:pPr>
    </w:p>
    <w:p>
      <w:pPr>
        <w:spacing w:line="480" w:lineRule="exact"/>
        <w:jc w:val="center"/>
        <w:rPr>
          <w:rFonts w:hint="eastAsia" w:ascii="仿宋_GB2312" w:hAnsi="宋体" w:eastAsia="仿宋_GB2312"/>
          <w:b/>
          <w:sz w:val="30"/>
        </w:rPr>
      </w:pPr>
    </w:p>
    <w:p>
      <w:pPr>
        <w:spacing w:line="480" w:lineRule="exact"/>
        <w:jc w:val="center"/>
        <w:rPr>
          <w:rFonts w:hint="eastAsia" w:ascii="仿宋_GB2312" w:hAnsi="宋体" w:eastAsia="仿宋_GB2312"/>
          <w:b/>
          <w:sz w:val="30"/>
        </w:rPr>
      </w:pPr>
      <w:r>
        <w:rPr>
          <w:rFonts w:hint="eastAsia" w:ascii="仿宋_GB2312" w:hAnsi="宋体" w:eastAsia="仿宋_GB2312"/>
          <w:b/>
          <w:sz w:val="30"/>
        </w:rPr>
        <w:t>十五、售后服务方案</w:t>
      </w:r>
    </w:p>
    <w:p>
      <w:pPr>
        <w:autoSpaceDE w:val="0"/>
        <w:autoSpaceDN w:val="0"/>
        <w:adjustRightInd w:val="0"/>
        <w:spacing w:line="440" w:lineRule="exact"/>
        <w:jc w:val="center"/>
        <w:rPr>
          <w:rFonts w:hint="eastAsia" w:ascii="仿宋_GB2312" w:eastAsia="仿宋_GB2312"/>
          <w:sz w:val="28"/>
        </w:rPr>
      </w:pPr>
      <w:r>
        <w:rPr>
          <w:rFonts w:hint="eastAsia" w:ascii="仿宋_GB2312" w:eastAsia="仿宋_GB2312"/>
          <w:sz w:val="28"/>
        </w:rPr>
        <w:t>（由投标人根据采购需求及招标文件要求编制）</w:t>
      </w:r>
    </w:p>
    <w:p>
      <w:pPr>
        <w:autoSpaceDE w:val="0"/>
        <w:autoSpaceDN w:val="0"/>
        <w:spacing w:line="360" w:lineRule="auto"/>
        <w:rPr>
          <w:rFonts w:hint="eastAsia" w:ascii="仿宋_GB2312" w:eastAsia="仿宋_GB2312"/>
          <w:b/>
          <w:sz w:val="24"/>
        </w:rPr>
      </w:pPr>
      <w:r>
        <w:rPr>
          <w:rFonts w:hint="eastAsia" w:ascii="仿宋_GB2312" w:eastAsia="仿宋_GB2312"/>
          <w:b/>
          <w:sz w:val="24"/>
        </w:rPr>
        <w:t>附表A:售后服务机构情况表</w:t>
      </w:r>
      <w:r>
        <w:rPr>
          <w:rFonts w:hint="eastAsia" w:ascii="仿宋_GB2312" w:eastAsia="仿宋_GB2312"/>
          <w:sz w:val="24"/>
        </w:rPr>
        <w:t>（按此格式自制）</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828" w:type="dxa"/>
            <w:noWrap w:val="0"/>
            <w:vAlign w:val="top"/>
          </w:tcPr>
          <w:p>
            <w:pPr>
              <w:autoSpaceDE w:val="0"/>
              <w:autoSpaceDN w:val="0"/>
              <w:spacing w:line="360" w:lineRule="auto"/>
              <w:jc w:val="center"/>
              <w:rPr>
                <w:rFonts w:hint="eastAsia" w:ascii="仿宋_GB2312" w:eastAsia="仿宋_GB2312"/>
                <w:b/>
                <w:sz w:val="24"/>
              </w:rPr>
            </w:pPr>
            <w:r>
              <w:rPr>
                <w:rFonts w:hint="eastAsia" w:ascii="仿宋_GB2312" w:eastAsia="仿宋_GB2312"/>
                <w:b/>
                <w:sz w:val="24"/>
              </w:rPr>
              <w:t>序号</w:t>
            </w:r>
          </w:p>
        </w:tc>
        <w:tc>
          <w:tcPr>
            <w:tcW w:w="2340" w:type="dxa"/>
            <w:noWrap w:val="0"/>
            <w:vAlign w:val="top"/>
          </w:tcPr>
          <w:p>
            <w:pPr>
              <w:autoSpaceDE w:val="0"/>
              <w:autoSpaceDN w:val="0"/>
              <w:spacing w:line="360" w:lineRule="auto"/>
              <w:jc w:val="center"/>
              <w:rPr>
                <w:rFonts w:hint="eastAsia" w:ascii="仿宋_GB2312" w:eastAsia="仿宋_GB2312"/>
                <w:b/>
                <w:sz w:val="24"/>
              </w:rPr>
            </w:pPr>
            <w:r>
              <w:rPr>
                <w:rFonts w:hint="eastAsia" w:ascii="仿宋_GB2312" w:eastAsia="仿宋_GB2312"/>
                <w:b/>
                <w:sz w:val="24"/>
              </w:rPr>
              <w:t>机构名称</w:t>
            </w:r>
          </w:p>
        </w:tc>
        <w:tc>
          <w:tcPr>
            <w:tcW w:w="1095" w:type="dxa"/>
            <w:noWrap w:val="0"/>
            <w:vAlign w:val="top"/>
          </w:tcPr>
          <w:p>
            <w:pPr>
              <w:autoSpaceDE w:val="0"/>
              <w:autoSpaceDN w:val="0"/>
              <w:spacing w:line="360" w:lineRule="auto"/>
              <w:jc w:val="center"/>
              <w:rPr>
                <w:rFonts w:hint="eastAsia" w:ascii="仿宋_GB2312" w:eastAsia="仿宋_GB2312"/>
                <w:b/>
                <w:sz w:val="24"/>
              </w:rPr>
            </w:pPr>
            <w:r>
              <w:rPr>
                <w:rFonts w:hint="eastAsia" w:ascii="仿宋_GB2312" w:eastAsia="仿宋_GB2312"/>
                <w:b/>
                <w:sz w:val="24"/>
              </w:rPr>
              <w:t>机构性质</w:t>
            </w:r>
          </w:p>
        </w:tc>
        <w:tc>
          <w:tcPr>
            <w:tcW w:w="1245" w:type="dxa"/>
            <w:noWrap w:val="0"/>
            <w:vAlign w:val="top"/>
          </w:tcPr>
          <w:p>
            <w:pPr>
              <w:autoSpaceDE w:val="0"/>
              <w:autoSpaceDN w:val="0"/>
              <w:spacing w:line="360" w:lineRule="auto"/>
              <w:jc w:val="center"/>
              <w:rPr>
                <w:rFonts w:hint="eastAsia" w:ascii="仿宋_GB2312" w:eastAsia="仿宋_GB2312"/>
                <w:b/>
                <w:sz w:val="24"/>
              </w:rPr>
            </w:pPr>
            <w:r>
              <w:rPr>
                <w:rFonts w:hint="eastAsia" w:ascii="仿宋_GB2312" w:eastAsia="仿宋_GB2312"/>
                <w:b/>
                <w:sz w:val="24"/>
              </w:rPr>
              <w:t>注册地址</w:t>
            </w:r>
          </w:p>
        </w:tc>
        <w:tc>
          <w:tcPr>
            <w:tcW w:w="1980" w:type="dxa"/>
            <w:noWrap w:val="0"/>
            <w:vAlign w:val="top"/>
          </w:tcPr>
          <w:p>
            <w:pPr>
              <w:autoSpaceDE w:val="0"/>
              <w:autoSpaceDN w:val="0"/>
              <w:spacing w:line="360" w:lineRule="auto"/>
              <w:jc w:val="center"/>
              <w:rPr>
                <w:rFonts w:hint="eastAsia" w:ascii="仿宋_GB2312" w:eastAsia="仿宋_GB2312"/>
                <w:b/>
                <w:sz w:val="24"/>
              </w:rPr>
            </w:pPr>
            <w:r>
              <w:rPr>
                <w:rFonts w:hint="eastAsia" w:ascii="仿宋_GB2312" w:eastAsia="仿宋_GB2312"/>
                <w:b/>
                <w:sz w:val="24"/>
              </w:rPr>
              <w:t>服务技术人员数量</w:t>
            </w:r>
          </w:p>
        </w:tc>
        <w:tc>
          <w:tcPr>
            <w:tcW w:w="1260" w:type="dxa"/>
            <w:noWrap w:val="0"/>
            <w:vAlign w:val="top"/>
          </w:tcPr>
          <w:p>
            <w:pPr>
              <w:autoSpaceDE w:val="0"/>
              <w:autoSpaceDN w:val="0"/>
              <w:spacing w:line="360" w:lineRule="auto"/>
              <w:jc w:val="center"/>
              <w:rPr>
                <w:rFonts w:hint="eastAsia" w:ascii="仿宋_GB2312" w:eastAsia="仿宋_GB2312"/>
                <w:b/>
                <w:sz w:val="24"/>
              </w:rPr>
            </w:pPr>
            <w:r>
              <w:rPr>
                <w:rFonts w:hint="eastAsia" w:ascii="仿宋_GB2312" w:eastAsia="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828" w:type="dxa"/>
            <w:noWrap w:val="0"/>
            <w:vAlign w:val="top"/>
          </w:tcPr>
          <w:p>
            <w:pPr>
              <w:autoSpaceDE w:val="0"/>
              <w:autoSpaceDN w:val="0"/>
              <w:spacing w:line="360" w:lineRule="auto"/>
              <w:jc w:val="center"/>
              <w:rPr>
                <w:rFonts w:hint="eastAsia" w:ascii="仿宋_GB2312" w:eastAsia="仿宋_GB2312"/>
                <w:sz w:val="24"/>
              </w:rPr>
            </w:pPr>
          </w:p>
        </w:tc>
        <w:tc>
          <w:tcPr>
            <w:tcW w:w="2340" w:type="dxa"/>
            <w:noWrap w:val="0"/>
            <w:vAlign w:val="top"/>
          </w:tcPr>
          <w:p>
            <w:pPr>
              <w:autoSpaceDE w:val="0"/>
              <w:autoSpaceDN w:val="0"/>
              <w:spacing w:line="360" w:lineRule="auto"/>
              <w:jc w:val="center"/>
              <w:rPr>
                <w:rFonts w:hint="eastAsia" w:ascii="仿宋_GB2312" w:eastAsia="仿宋_GB2312"/>
                <w:sz w:val="24"/>
              </w:rPr>
            </w:pPr>
          </w:p>
        </w:tc>
        <w:tc>
          <w:tcPr>
            <w:tcW w:w="1095" w:type="dxa"/>
            <w:noWrap w:val="0"/>
            <w:vAlign w:val="top"/>
          </w:tcPr>
          <w:p>
            <w:pPr>
              <w:autoSpaceDE w:val="0"/>
              <w:autoSpaceDN w:val="0"/>
              <w:spacing w:line="360" w:lineRule="auto"/>
              <w:jc w:val="center"/>
              <w:rPr>
                <w:rFonts w:hint="eastAsia" w:ascii="仿宋_GB2312" w:eastAsia="仿宋_GB2312"/>
                <w:sz w:val="24"/>
              </w:rPr>
            </w:pPr>
          </w:p>
        </w:tc>
        <w:tc>
          <w:tcPr>
            <w:tcW w:w="1245" w:type="dxa"/>
            <w:noWrap w:val="0"/>
            <w:vAlign w:val="top"/>
          </w:tcPr>
          <w:p>
            <w:pPr>
              <w:autoSpaceDE w:val="0"/>
              <w:autoSpaceDN w:val="0"/>
              <w:spacing w:line="360" w:lineRule="auto"/>
              <w:jc w:val="center"/>
              <w:rPr>
                <w:rFonts w:hint="eastAsia" w:ascii="仿宋_GB2312" w:eastAsia="仿宋_GB2312"/>
                <w:sz w:val="24"/>
              </w:rPr>
            </w:pPr>
          </w:p>
        </w:tc>
        <w:tc>
          <w:tcPr>
            <w:tcW w:w="1980" w:type="dxa"/>
            <w:noWrap w:val="0"/>
            <w:vAlign w:val="top"/>
          </w:tcPr>
          <w:p>
            <w:pPr>
              <w:autoSpaceDE w:val="0"/>
              <w:autoSpaceDN w:val="0"/>
              <w:spacing w:line="360" w:lineRule="auto"/>
              <w:jc w:val="center"/>
              <w:rPr>
                <w:rFonts w:hint="eastAsia" w:ascii="仿宋_GB2312" w:eastAsia="仿宋_GB2312"/>
                <w:sz w:val="24"/>
              </w:rPr>
            </w:pPr>
          </w:p>
        </w:tc>
        <w:tc>
          <w:tcPr>
            <w:tcW w:w="1260" w:type="dxa"/>
            <w:noWrap w:val="0"/>
            <w:vAlign w:val="top"/>
          </w:tcPr>
          <w:p>
            <w:pPr>
              <w:autoSpaceDE w:val="0"/>
              <w:autoSpaceDN w:val="0"/>
              <w:spacing w:line="360" w:lineRule="auto"/>
              <w:jc w:val="center"/>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828" w:type="dxa"/>
            <w:noWrap w:val="0"/>
            <w:vAlign w:val="top"/>
          </w:tcPr>
          <w:p>
            <w:pPr>
              <w:autoSpaceDE w:val="0"/>
              <w:autoSpaceDN w:val="0"/>
              <w:spacing w:line="360" w:lineRule="auto"/>
              <w:jc w:val="center"/>
              <w:rPr>
                <w:rFonts w:hint="eastAsia" w:ascii="仿宋_GB2312" w:eastAsia="仿宋_GB2312"/>
                <w:sz w:val="24"/>
              </w:rPr>
            </w:pPr>
          </w:p>
        </w:tc>
        <w:tc>
          <w:tcPr>
            <w:tcW w:w="2340" w:type="dxa"/>
            <w:noWrap w:val="0"/>
            <w:vAlign w:val="top"/>
          </w:tcPr>
          <w:p>
            <w:pPr>
              <w:autoSpaceDE w:val="0"/>
              <w:autoSpaceDN w:val="0"/>
              <w:spacing w:line="360" w:lineRule="auto"/>
              <w:jc w:val="center"/>
              <w:rPr>
                <w:rFonts w:hint="eastAsia" w:ascii="仿宋_GB2312" w:eastAsia="仿宋_GB2312"/>
                <w:sz w:val="24"/>
              </w:rPr>
            </w:pPr>
          </w:p>
        </w:tc>
        <w:tc>
          <w:tcPr>
            <w:tcW w:w="1095" w:type="dxa"/>
            <w:noWrap w:val="0"/>
            <w:vAlign w:val="top"/>
          </w:tcPr>
          <w:p>
            <w:pPr>
              <w:autoSpaceDE w:val="0"/>
              <w:autoSpaceDN w:val="0"/>
              <w:spacing w:line="360" w:lineRule="auto"/>
              <w:jc w:val="center"/>
              <w:rPr>
                <w:rFonts w:hint="eastAsia" w:ascii="仿宋_GB2312" w:eastAsia="仿宋_GB2312"/>
                <w:sz w:val="24"/>
              </w:rPr>
            </w:pPr>
          </w:p>
        </w:tc>
        <w:tc>
          <w:tcPr>
            <w:tcW w:w="1245" w:type="dxa"/>
            <w:noWrap w:val="0"/>
            <w:vAlign w:val="top"/>
          </w:tcPr>
          <w:p>
            <w:pPr>
              <w:autoSpaceDE w:val="0"/>
              <w:autoSpaceDN w:val="0"/>
              <w:spacing w:line="360" w:lineRule="auto"/>
              <w:jc w:val="center"/>
              <w:rPr>
                <w:rFonts w:hint="eastAsia" w:ascii="仿宋_GB2312" w:eastAsia="仿宋_GB2312"/>
                <w:sz w:val="24"/>
              </w:rPr>
            </w:pPr>
          </w:p>
        </w:tc>
        <w:tc>
          <w:tcPr>
            <w:tcW w:w="1980" w:type="dxa"/>
            <w:noWrap w:val="0"/>
            <w:vAlign w:val="top"/>
          </w:tcPr>
          <w:p>
            <w:pPr>
              <w:autoSpaceDE w:val="0"/>
              <w:autoSpaceDN w:val="0"/>
              <w:spacing w:line="360" w:lineRule="auto"/>
              <w:jc w:val="center"/>
              <w:rPr>
                <w:rFonts w:hint="eastAsia" w:ascii="仿宋_GB2312" w:eastAsia="仿宋_GB2312"/>
                <w:sz w:val="24"/>
              </w:rPr>
            </w:pPr>
          </w:p>
        </w:tc>
        <w:tc>
          <w:tcPr>
            <w:tcW w:w="1260" w:type="dxa"/>
            <w:noWrap w:val="0"/>
            <w:vAlign w:val="top"/>
          </w:tcPr>
          <w:p>
            <w:pPr>
              <w:autoSpaceDE w:val="0"/>
              <w:autoSpaceDN w:val="0"/>
              <w:spacing w:line="360" w:lineRule="auto"/>
              <w:jc w:val="center"/>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828" w:type="dxa"/>
            <w:noWrap w:val="0"/>
            <w:vAlign w:val="top"/>
          </w:tcPr>
          <w:p>
            <w:pPr>
              <w:autoSpaceDE w:val="0"/>
              <w:autoSpaceDN w:val="0"/>
              <w:spacing w:line="360" w:lineRule="auto"/>
              <w:jc w:val="center"/>
              <w:rPr>
                <w:rFonts w:hint="eastAsia" w:ascii="仿宋_GB2312" w:eastAsia="仿宋_GB2312"/>
                <w:sz w:val="24"/>
              </w:rPr>
            </w:pPr>
          </w:p>
        </w:tc>
        <w:tc>
          <w:tcPr>
            <w:tcW w:w="2340" w:type="dxa"/>
            <w:noWrap w:val="0"/>
            <w:vAlign w:val="top"/>
          </w:tcPr>
          <w:p>
            <w:pPr>
              <w:autoSpaceDE w:val="0"/>
              <w:autoSpaceDN w:val="0"/>
              <w:spacing w:line="360" w:lineRule="auto"/>
              <w:jc w:val="center"/>
              <w:rPr>
                <w:rFonts w:hint="eastAsia" w:ascii="仿宋_GB2312" w:eastAsia="仿宋_GB2312"/>
                <w:sz w:val="24"/>
              </w:rPr>
            </w:pPr>
          </w:p>
        </w:tc>
        <w:tc>
          <w:tcPr>
            <w:tcW w:w="1095" w:type="dxa"/>
            <w:noWrap w:val="0"/>
            <w:vAlign w:val="top"/>
          </w:tcPr>
          <w:p>
            <w:pPr>
              <w:autoSpaceDE w:val="0"/>
              <w:autoSpaceDN w:val="0"/>
              <w:spacing w:line="360" w:lineRule="auto"/>
              <w:jc w:val="center"/>
              <w:rPr>
                <w:rFonts w:hint="eastAsia" w:ascii="仿宋_GB2312" w:eastAsia="仿宋_GB2312"/>
                <w:sz w:val="24"/>
              </w:rPr>
            </w:pPr>
          </w:p>
        </w:tc>
        <w:tc>
          <w:tcPr>
            <w:tcW w:w="1245" w:type="dxa"/>
            <w:noWrap w:val="0"/>
            <w:vAlign w:val="top"/>
          </w:tcPr>
          <w:p>
            <w:pPr>
              <w:autoSpaceDE w:val="0"/>
              <w:autoSpaceDN w:val="0"/>
              <w:spacing w:line="360" w:lineRule="auto"/>
              <w:jc w:val="center"/>
              <w:rPr>
                <w:rFonts w:hint="eastAsia" w:ascii="仿宋_GB2312" w:eastAsia="仿宋_GB2312"/>
                <w:sz w:val="24"/>
              </w:rPr>
            </w:pPr>
          </w:p>
        </w:tc>
        <w:tc>
          <w:tcPr>
            <w:tcW w:w="1980" w:type="dxa"/>
            <w:noWrap w:val="0"/>
            <w:vAlign w:val="top"/>
          </w:tcPr>
          <w:p>
            <w:pPr>
              <w:autoSpaceDE w:val="0"/>
              <w:autoSpaceDN w:val="0"/>
              <w:spacing w:line="360" w:lineRule="auto"/>
              <w:jc w:val="center"/>
              <w:rPr>
                <w:rFonts w:hint="eastAsia" w:ascii="仿宋_GB2312" w:eastAsia="仿宋_GB2312"/>
                <w:sz w:val="24"/>
              </w:rPr>
            </w:pPr>
          </w:p>
        </w:tc>
        <w:tc>
          <w:tcPr>
            <w:tcW w:w="1260" w:type="dxa"/>
            <w:noWrap w:val="0"/>
            <w:vAlign w:val="top"/>
          </w:tcPr>
          <w:p>
            <w:pPr>
              <w:autoSpaceDE w:val="0"/>
              <w:autoSpaceDN w:val="0"/>
              <w:spacing w:line="360" w:lineRule="auto"/>
              <w:jc w:val="center"/>
              <w:rPr>
                <w:rFonts w:hint="eastAsia" w:ascii="仿宋_GB2312" w:eastAsia="仿宋_GB2312"/>
                <w:sz w:val="24"/>
              </w:rPr>
            </w:pPr>
          </w:p>
        </w:tc>
      </w:tr>
    </w:tbl>
    <w:p>
      <w:pPr>
        <w:autoSpaceDE w:val="0"/>
        <w:autoSpaceDN w:val="0"/>
        <w:spacing w:line="360" w:lineRule="auto"/>
        <w:rPr>
          <w:rFonts w:hint="eastAsia" w:ascii="仿宋_GB2312" w:eastAsia="仿宋_GB2312"/>
          <w:b/>
          <w:sz w:val="24"/>
        </w:rPr>
      </w:pPr>
      <w:r>
        <w:rPr>
          <w:rFonts w:hint="eastAsia" w:ascii="仿宋_GB2312" w:eastAsia="仿宋_GB2312"/>
          <w:b/>
          <w:sz w:val="24"/>
        </w:rPr>
        <w:t>注：关于项目涉及的所有售后服务机构均在本表注明，包括投标人本单位和符合条件的第三方服务机构；</w:t>
      </w:r>
    </w:p>
    <w:p>
      <w:pPr>
        <w:autoSpaceDE w:val="0"/>
        <w:autoSpaceDN w:val="0"/>
        <w:spacing w:line="360" w:lineRule="auto"/>
        <w:rPr>
          <w:rFonts w:hint="eastAsia" w:ascii="仿宋_GB2312" w:eastAsia="仿宋_GB2312"/>
          <w:kern w:val="0"/>
          <w:sz w:val="24"/>
        </w:rPr>
      </w:pPr>
    </w:p>
    <w:p>
      <w:pPr>
        <w:autoSpaceDE w:val="0"/>
        <w:autoSpaceDN w:val="0"/>
        <w:spacing w:line="360" w:lineRule="auto"/>
        <w:rPr>
          <w:rFonts w:hint="eastAsia" w:ascii="仿宋_GB2312" w:eastAsia="仿宋_GB2312"/>
          <w:kern w:val="0"/>
          <w:sz w:val="24"/>
        </w:rPr>
      </w:pPr>
      <w:r>
        <w:rPr>
          <w:rFonts w:hint="eastAsia" w:ascii="仿宋_GB2312" w:eastAsia="仿宋_GB2312"/>
          <w:b/>
          <w:kern w:val="0"/>
          <w:sz w:val="24"/>
        </w:rPr>
        <w:t>附表B：售后服务人员情况表</w:t>
      </w:r>
      <w:r>
        <w:rPr>
          <w:rFonts w:hint="eastAsia" w:ascii="仿宋_GB2312" w:eastAsia="仿宋_GB2312"/>
          <w:sz w:val="24"/>
        </w:rPr>
        <w:t>（按此格式自制）</w:t>
      </w:r>
    </w:p>
    <w:tbl>
      <w:tblPr>
        <w:tblStyle w:val="64"/>
        <w:tblW w:w="0" w:type="auto"/>
        <w:jc w:val="center"/>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tblPrEx>
          <w:tblCellMar>
            <w:top w:w="0" w:type="dxa"/>
            <w:left w:w="108" w:type="dxa"/>
            <w:bottom w:w="0" w:type="dxa"/>
            <w:right w:w="108" w:type="dxa"/>
          </w:tblCellMar>
        </w:tblPrEx>
        <w:trPr>
          <w:wBefore w:w="0" w:type="dxa"/>
          <w:jc w:val="center"/>
        </w:trPr>
        <w:tc>
          <w:tcPr>
            <w:tcW w:w="646"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hint="eastAsia" w:ascii="仿宋_GB2312" w:eastAsia="仿宋_GB2312"/>
                <w:sz w:val="24"/>
              </w:rPr>
            </w:pPr>
            <w:r>
              <w:rPr>
                <w:rFonts w:hint="eastAsia" w:ascii="仿宋_GB2312" w:eastAsia="仿宋_GB2312"/>
                <w:sz w:val="24"/>
              </w:rPr>
              <w:t>序号</w:t>
            </w:r>
          </w:p>
          <w:p>
            <w:pPr>
              <w:autoSpaceDE w:val="0"/>
              <w:autoSpaceDN w:val="0"/>
              <w:spacing w:line="360" w:lineRule="auto"/>
              <w:jc w:val="center"/>
              <w:rPr>
                <w:rFonts w:hint="eastAsia" w:ascii="仿宋_GB2312" w:eastAsia="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hint="eastAsia" w:ascii="仿宋_GB2312" w:eastAsia="仿宋_GB2312"/>
                <w:sz w:val="24"/>
              </w:rPr>
            </w:pPr>
            <w:r>
              <w:rPr>
                <w:rFonts w:hint="eastAsia" w:ascii="仿宋_GB2312" w:eastAsia="仿宋_GB2312"/>
                <w:sz w:val="24"/>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_GB2312" w:eastAsia="仿宋_GB2312"/>
                <w:sz w:val="24"/>
              </w:rPr>
            </w:pPr>
            <w:r>
              <w:rPr>
                <w:rFonts w:hint="eastAsia" w:ascii="仿宋_GB2312" w:eastAsia="仿宋_GB2312"/>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_GB2312" w:eastAsia="仿宋_GB2312"/>
                <w:sz w:val="24"/>
              </w:rPr>
            </w:pPr>
            <w:r>
              <w:rPr>
                <w:rFonts w:hint="eastAsia" w:ascii="仿宋_GB2312" w:eastAsia="仿宋_GB2312"/>
                <w:sz w:val="24"/>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_GB2312" w:eastAsia="仿宋_GB2312"/>
                <w:sz w:val="24"/>
              </w:rPr>
            </w:pPr>
            <w:r>
              <w:rPr>
                <w:rFonts w:hint="eastAsia" w:ascii="仿宋_GB2312" w:eastAsia="仿宋_GB2312"/>
                <w:sz w:val="24"/>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_GB2312" w:eastAsia="仿宋_GB2312"/>
                <w:sz w:val="24"/>
              </w:rPr>
            </w:pPr>
            <w:r>
              <w:rPr>
                <w:rFonts w:hint="eastAsia" w:ascii="仿宋_GB2312" w:eastAsia="仿宋_GB2312"/>
                <w:sz w:val="24"/>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_GB2312" w:eastAsia="仿宋_GB2312"/>
                <w:sz w:val="24"/>
              </w:rPr>
            </w:pPr>
            <w:r>
              <w:rPr>
                <w:rFonts w:hint="eastAsia" w:ascii="仿宋_GB2312" w:eastAsia="仿宋_GB2312"/>
                <w:sz w:val="24"/>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_GB2312" w:eastAsia="仿宋_GB2312"/>
                <w:sz w:val="24"/>
              </w:rPr>
            </w:pPr>
            <w:r>
              <w:rPr>
                <w:rFonts w:hint="eastAsia" w:ascii="仿宋_GB2312" w:eastAsia="仿宋_GB2312"/>
                <w:sz w:val="24"/>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_GB2312" w:eastAsia="仿宋_GB2312"/>
                <w:sz w:val="24"/>
              </w:rPr>
            </w:pPr>
            <w:r>
              <w:rPr>
                <w:rFonts w:hint="eastAsia" w:ascii="仿宋_GB2312" w:eastAsia="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_GB2312" w:eastAsia="仿宋_GB2312"/>
                <w:sz w:val="24"/>
              </w:rPr>
            </w:pPr>
            <w:r>
              <w:rPr>
                <w:rFonts w:hint="eastAsia" w:ascii="仿宋_GB2312" w:eastAsia="仿宋_GB2312"/>
                <w:sz w:val="24"/>
              </w:rPr>
              <w:t>响应时间</w:t>
            </w:r>
          </w:p>
        </w:tc>
        <w:tc>
          <w:tcPr>
            <w:tcW w:w="111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_GB2312" w:eastAsia="仿宋_GB2312"/>
                <w:sz w:val="24"/>
              </w:rPr>
            </w:pPr>
            <w:r>
              <w:rPr>
                <w:rFonts w:hint="eastAsia" w:ascii="仿宋_GB2312" w:eastAsia="仿宋_GB2312"/>
                <w:sz w:val="24"/>
              </w:rPr>
              <w:t>到达现场时间</w:t>
            </w:r>
          </w:p>
        </w:tc>
      </w:tr>
      <w:tr>
        <w:tblPrEx>
          <w:tblCellMar>
            <w:top w:w="0" w:type="dxa"/>
            <w:left w:w="108" w:type="dxa"/>
            <w:bottom w:w="0" w:type="dxa"/>
            <w:right w:w="108" w:type="dxa"/>
          </w:tblCellMar>
        </w:tblPrEx>
        <w:trPr>
          <w:wBefore w:w="0" w:type="dxa"/>
          <w:trHeight w:val="607"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360" w:lineRule="auto"/>
              <w:jc w:val="center"/>
              <w:rPr>
                <w:rFonts w:hint="eastAsia" w:ascii="仿宋_GB2312" w:eastAsia="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360" w:lineRule="auto"/>
              <w:jc w:val="center"/>
              <w:rPr>
                <w:rFonts w:hint="eastAsia" w:ascii="仿宋_GB2312" w:eastAsia="仿宋_GB2312"/>
                <w:sz w:val="24"/>
              </w:rPr>
            </w:pPr>
            <w:r>
              <w:rPr>
                <w:rFonts w:hint="eastAsia" w:ascii="仿宋_GB2312" w:eastAsia="仿宋_GB2312"/>
                <w:sz w:val="24"/>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_GB2312" w:eastAsia="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_GB2312" w:eastAsia="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_GB2312" w:eastAsia="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_GB2312" w:eastAsia="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_GB2312" w:eastAsia="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_GB2312" w:eastAsia="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_GB2312" w:eastAsia="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_GB2312" w:eastAsia="仿宋_GB2312"/>
                <w:sz w:val="24"/>
              </w:rPr>
            </w:pPr>
          </w:p>
        </w:tc>
        <w:tc>
          <w:tcPr>
            <w:tcW w:w="111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_GB2312" w:eastAsia="仿宋_GB2312"/>
                <w:sz w:val="24"/>
              </w:rPr>
            </w:pPr>
          </w:p>
        </w:tc>
      </w:tr>
      <w:tr>
        <w:tblPrEx>
          <w:tblCellMar>
            <w:top w:w="0" w:type="dxa"/>
            <w:left w:w="108" w:type="dxa"/>
            <w:bottom w:w="0" w:type="dxa"/>
            <w:right w:w="108" w:type="dxa"/>
          </w:tblCellMar>
        </w:tblPrEx>
        <w:trPr>
          <w:wBefore w:w="0" w:type="dxa"/>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360" w:lineRule="auto"/>
              <w:jc w:val="center"/>
              <w:rPr>
                <w:rFonts w:hint="eastAsia" w:ascii="仿宋_GB2312" w:eastAsia="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360" w:lineRule="auto"/>
              <w:jc w:val="center"/>
              <w:rPr>
                <w:rFonts w:hint="eastAsia" w:ascii="仿宋_GB2312" w:eastAsia="仿宋_GB2312"/>
                <w:sz w:val="24"/>
              </w:rPr>
            </w:pPr>
            <w:r>
              <w:rPr>
                <w:rFonts w:hint="eastAsia" w:ascii="仿宋_GB2312" w:eastAsia="仿宋_GB2312"/>
                <w:sz w:val="24"/>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_GB2312" w:eastAsia="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_GB2312" w:eastAsia="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_GB2312" w:eastAsia="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_GB2312" w:eastAsia="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_GB2312" w:eastAsia="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_GB2312" w:eastAsia="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_GB2312" w:eastAsia="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_GB2312" w:eastAsia="仿宋_GB2312"/>
                <w:sz w:val="24"/>
              </w:rPr>
            </w:pPr>
          </w:p>
        </w:tc>
        <w:tc>
          <w:tcPr>
            <w:tcW w:w="111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_GB2312" w:eastAsia="仿宋_GB2312"/>
                <w:sz w:val="24"/>
              </w:rPr>
            </w:pPr>
          </w:p>
        </w:tc>
      </w:tr>
      <w:tr>
        <w:tblPrEx>
          <w:tblCellMar>
            <w:top w:w="0" w:type="dxa"/>
            <w:left w:w="108" w:type="dxa"/>
            <w:bottom w:w="0" w:type="dxa"/>
            <w:right w:w="108" w:type="dxa"/>
          </w:tblCellMar>
        </w:tblPrEx>
        <w:trPr>
          <w:wBefore w:w="0" w:type="dxa"/>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360" w:lineRule="auto"/>
              <w:jc w:val="center"/>
              <w:rPr>
                <w:rFonts w:hint="eastAsia" w:ascii="仿宋_GB2312" w:eastAsia="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360" w:lineRule="auto"/>
              <w:jc w:val="center"/>
              <w:rPr>
                <w:rFonts w:hint="eastAsia" w:ascii="仿宋_GB2312" w:eastAsia="仿宋_GB2312"/>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_GB2312" w:eastAsia="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_GB2312" w:eastAsia="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_GB2312" w:eastAsia="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_GB2312" w:eastAsia="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_GB2312" w:eastAsia="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_GB2312" w:eastAsia="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_GB2312" w:eastAsia="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_GB2312" w:eastAsia="仿宋_GB2312"/>
                <w:sz w:val="24"/>
              </w:rPr>
            </w:pPr>
          </w:p>
        </w:tc>
        <w:tc>
          <w:tcPr>
            <w:tcW w:w="111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_GB2312" w:eastAsia="仿宋_GB2312"/>
                <w:sz w:val="24"/>
              </w:rPr>
            </w:pPr>
          </w:p>
        </w:tc>
      </w:tr>
      <w:tr>
        <w:tblPrEx>
          <w:tblCellMar>
            <w:top w:w="0" w:type="dxa"/>
            <w:left w:w="108" w:type="dxa"/>
            <w:bottom w:w="0" w:type="dxa"/>
            <w:right w:w="108" w:type="dxa"/>
          </w:tblCellMar>
        </w:tblPrEx>
        <w:trPr>
          <w:wBefore w:w="0" w:type="dxa"/>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360" w:lineRule="auto"/>
              <w:jc w:val="center"/>
              <w:rPr>
                <w:rFonts w:hint="eastAsia" w:ascii="仿宋_GB2312" w:eastAsia="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360" w:lineRule="auto"/>
              <w:jc w:val="center"/>
              <w:rPr>
                <w:rFonts w:hint="eastAsia" w:ascii="仿宋_GB2312" w:eastAsia="仿宋_GB2312"/>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_GB2312" w:eastAsia="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_GB2312" w:eastAsia="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_GB2312" w:eastAsia="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_GB2312" w:eastAsia="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_GB2312" w:eastAsia="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_GB2312" w:eastAsia="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_GB2312" w:eastAsia="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_GB2312" w:eastAsia="仿宋_GB2312"/>
                <w:sz w:val="24"/>
              </w:rPr>
            </w:pPr>
          </w:p>
        </w:tc>
        <w:tc>
          <w:tcPr>
            <w:tcW w:w="111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_GB2312" w:eastAsia="仿宋_GB2312"/>
                <w:sz w:val="24"/>
              </w:rPr>
            </w:pPr>
          </w:p>
        </w:tc>
      </w:tr>
    </w:tbl>
    <w:p>
      <w:pPr>
        <w:autoSpaceDE w:val="0"/>
        <w:autoSpaceDN w:val="0"/>
        <w:spacing w:line="360" w:lineRule="auto"/>
        <w:rPr>
          <w:rFonts w:hint="eastAsia" w:ascii="仿宋_GB2312" w:eastAsia="仿宋_GB2312"/>
          <w:kern w:val="0"/>
          <w:sz w:val="24"/>
        </w:rPr>
      </w:pPr>
    </w:p>
    <w:p>
      <w:pPr>
        <w:autoSpaceDE w:val="0"/>
        <w:autoSpaceDN w:val="0"/>
        <w:spacing w:line="360" w:lineRule="auto"/>
        <w:ind w:firstLine="4440" w:firstLineChars="1850"/>
        <w:rPr>
          <w:rFonts w:hint="eastAsia" w:ascii="仿宋_GB2312" w:eastAsia="仿宋_GB2312"/>
          <w:kern w:val="0"/>
          <w:sz w:val="24"/>
        </w:rPr>
      </w:pPr>
      <w:r>
        <w:rPr>
          <w:rFonts w:hint="eastAsia" w:ascii="仿宋_GB2312" w:eastAsia="仿宋_GB2312"/>
          <w:kern w:val="0"/>
          <w:sz w:val="24"/>
        </w:rPr>
        <w:t>投标人名称（公章）：</w:t>
      </w:r>
    </w:p>
    <w:p>
      <w:pPr>
        <w:autoSpaceDE w:val="0"/>
        <w:autoSpaceDN w:val="0"/>
        <w:spacing w:line="360" w:lineRule="auto"/>
        <w:rPr>
          <w:rFonts w:hint="eastAsia" w:ascii="仿宋_GB2312" w:eastAsia="仿宋_GB2312"/>
          <w:kern w:val="0"/>
          <w:sz w:val="24"/>
        </w:rPr>
      </w:pPr>
      <w:r>
        <w:rPr>
          <w:rFonts w:hint="eastAsia" w:ascii="仿宋_GB2312" w:eastAsia="仿宋_GB2312"/>
          <w:kern w:val="0"/>
          <w:sz w:val="24"/>
        </w:rPr>
        <w:t xml:space="preserve">                                     法定代表人或授权委托人（签字）：</w:t>
      </w:r>
    </w:p>
    <w:p>
      <w:pPr>
        <w:spacing w:line="360" w:lineRule="auto"/>
        <w:rPr>
          <w:rFonts w:hint="eastAsia" w:ascii="仿宋_GB2312" w:hAnsi="宋体" w:eastAsia="仿宋_GB2312"/>
          <w:b/>
          <w:bCs/>
          <w:sz w:val="24"/>
        </w:rPr>
      </w:pPr>
      <w:r>
        <w:rPr>
          <w:rFonts w:hint="eastAsia" w:ascii="仿宋_GB2312" w:eastAsia="仿宋_GB2312"/>
          <w:kern w:val="0"/>
          <w:sz w:val="24"/>
        </w:rPr>
        <w:t xml:space="preserve">                                     日期：2019年  月   日</w:t>
      </w:r>
    </w:p>
    <w:p>
      <w:pPr>
        <w:spacing w:line="480" w:lineRule="exact"/>
        <w:rPr>
          <w:rFonts w:hint="eastAsia" w:ascii="仿宋_GB2312" w:hAnsi="宋体" w:eastAsia="仿宋_GB2312"/>
          <w:b/>
          <w:sz w:val="24"/>
        </w:rPr>
      </w:pPr>
    </w:p>
    <w:p>
      <w:pPr>
        <w:spacing w:line="480" w:lineRule="exact"/>
        <w:rPr>
          <w:rFonts w:hint="eastAsia" w:ascii="仿宋_GB2312" w:hAnsi="宋体" w:eastAsia="仿宋_GB2312"/>
          <w:b/>
          <w:sz w:val="24"/>
        </w:rPr>
      </w:pPr>
    </w:p>
    <w:p>
      <w:pPr>
        <w:spacing w:line="480" w:lineRule="exact"/>
        <w:rPr>
          <w:rFonts w:hint="eastAsia" w:ascii="仿宋_GB2312" w:hAnsi="宋体" w:eastAsia="仿宋_GB2312"/>
          <w:b/>
          <w:sz w:val="24"/>
        </w:rPr>
      </w:pPr>
    </w:p>
    <w:p>
      <w:pPr>
        <w:spacing w:line="480" w:lineRule="exact"/>
        <w:jc w:val="center"/>
        <w:rPr>
          <w:rFonts w:hint="eastAsia" w:ascii="仿宋_GB2312" w:hAnsi="宋体" w:eastAsia="仿宋_GB2312"/>
          <w:b/>
          <w:sz w:val="30"/>
        </w:rPr>
      </w:pPr>
      <w:r>
        <w:rPr>
          <w:rFonts w:hint="eastAsia" w:ascii="仿宋_GB2312" w:hAnsi="宋体" w:eastAsia="仿宋_GB2312"/>
          <w:b/>
          <w:sz w:val="30"/>
        </w:rPr>
        <w:t>十六、项目小组人员名单</w:t>
      </w:r>
    </w:p>
    <w:p>
      <w:pPr>
        <w:spacing w:line="480" w:lineRule="exact"/>
        <w:jc w:val="center"/>
        <w:rPr>
          <w:rFonts w:hint="eastAsia" w:ascii="仿宋_GB2312" w:hAnsi="宋体" w:eastAsia="仿宋_GB2312"/>
          <w:b/>
          <w:sz w:val="30"/>
        </w:rPr>
      </w:pPr>
      <w:r>
        <w:rPr>
          <w:rFonts w:hint="eastAsia" w:ascii="仿宋_GB2312" w:eastAsia="仿宋_GB2312"/>
          <w:sz w:val="28"/>
        </w:rPr>
        <w:t>（由投标人根据采购需求及招标文件要求编制）</w:t>
      </w:r>
    </w:p>
    <w:p>
      <w:pPr>
        <w:keepNext/>
        <w:autoSpaceDE w:val="0"/>
        <w:autoSpaceDN w:val="0"/>
        <w:adjustRightInd w:val="0"/>
        <w:spacing w:line="400" w:lineRule="exact"/>
        <w:ind w:firstLine="477"/>
        <w:rPr>
          <w:rFonts w:hint="eastAsia" w:ascii="仿宋_GB2312" w:eastAsia="仿宋_GB2312"/>
          <w:b/>
          <w:sz w:val="24"/>
        </w:rPr>
      </w:pPr>
      <w:r>
        <w:rPr>
          <w:rFonts w:hint="eastAsia" w:ascii="仿宋_GB2312" w:eastAsia="仿宋_GB2312"/>
          <w:b/>
          <w:sz w:val="24"/>
        </w:rPr>
        <w:t>附表A:本项目的项目经理情况表</w:t>
      </w:r>
    </w:p>
    <w:tbl>
      <w:tblPr>
        <w:tblStyle w:val="64"/>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wBefore w:w="0" w:type="dxa"/>
          <w:trHeight w:val="604"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_GB2312" w:eastAsia="仿宋_GB2312"/>
                <w:sz w:val="24"/>
              </w:rPr>
            </w:pPr>
            <w:r>
              <w:rPr>
                <w:rFonts w:hint="eastAsia" w:ascii="仿宋_GB2312" w:eastAsia="仿宋_GB2312"/>
                <w:sz w:val="24"/>
              </w:rPr>
              <w:t>姓名</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adjustRightInd w:val="0"/>
              <w:spacing w:line="400" w:lineRule="exact"/>
              <w:jc w:val="center"/>
              <w:rPr>
                <w:rFonts w:hint="eastAsia" w:ascii="仿宋_GB2312" w:eastAsia="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_GB2312" w:eastAsia="仿宋_GB2312"/>
                <w:sz w:val="24"/>
              </w:rPr>
            </w:pPr>
            <w:r>
              <w:rPr>
                <w:rFonts w:hint="eastAsia" w:ascii="仿宋_GB2312" w:eastAsia="仿宋_GB2312"/>
                <w:sz w:val="24"/>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rPr>
                <w:rFonts w:hint="eastAsia" w:ascii="仿宋_GB2312" w:eastAsia="仿宋_GB2312"/>
                <w:sz w:val="24"/>
              </w:rPr>
            </w:pPr>
            <w:r>
              <w:rPr>
                <w:rFonts w:hint="eastAsia" w:ascii="仿宋_GB2312" w:eastAsia="仿宋_GB2312"/>
                <w:sz w:val="24"/>
              </w:rPr>
              <w:t>近3年业绩及承担的主要工作情况，曾担任项目经理的项目应列明细</w:t>
            </w:r>
          </w:p>
        </w:tc>
      </w:tr>
      <w:tr>
        <w:tblPrEx>
          <w:tblCellMar>
            <w:top w:w="0" w:type="dxa"/>
            <w:left w:w="108" w:type="dxa"/>
            <w:bottom w:w="0" w:type="dxa"/>
            <w:right w:w="108" w:type="dxa"/>
          </w:tblCellMar>
        </w:tblPrEx>
        <w:trPr>
          <w:wBefore w:w="0" w:type="dxa"/>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_GB2312" w:eastAsia="仿宋_GB2312"/>
                <w:sz w:val="24"/>
              </w:rPr>
            </w:pPr>
            <w:r>
              <w:rPr>
                <w:rFonts w:hint="eastAsia" w:ascii="仿宋_GB2312" w:eastAsia="仿宋_GB2312"/>
                <w:sz w:val="24"/>
              </w:rPr>
              <w:t>性别</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adjustRightInd w:val="0"/>
              <w:spacing w:line="400" w:lineRule="exact"/>
              <w:jc w:val="center"/>
              <w:rPr>
                <w:rFonts w:hint="eastAsia" w:ascii="仿宋_GB2312" w:eastAsia="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_GB2312" w:eastAsia="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_GB2312" w:eastAsia="仿宋_GB2312"/>
                <w:sz w:val="24"/>
              </w:rPr>
            </w:pPr>
          </w:p>
        </w:tc>
      </w:tr>
      <w:tr>
        <w:tblPrEx>
          <w:tblCellMar>
            <w:top w:w="0" w:type="dxa"/>
            <w:left w:w="108" w:type="dxa"/>
            <w:bottom w:w="0" w:type="dxa"/>
            <w:right w:w="108" w:type="dxa"/>
          </w:tblCellMar>
        </w:tblPrEx>
        <w:trPr>
          <w:wBefore w:w="0" w:type="dxa"/>
          <w:cantSplit/>
          <w:trHeight w:val="33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_GB2312" w:eastAsia="仿宋_GB2312"/>
                <w:sz w:val="24"/>
              </w:rPr>
            </w:pPr>
            <w:r>
              <w:rPr>
                <w:rFonts w:hint="eastAsia" w:ascii="仿宋_GB2312" w:eastAsia="仿宋_GB2312"/>
                <w:sz w:val="24"/>
              </w:rPr>
              <w:t>年龄</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adjustRightInd w:val="0"/>
              <w:spacing w:line="400" w:lineRule="exact"/>
              <w:jc w:val="center"/>
              <w:rPr>
                <w:rFonts w:hint="eastAsia" w:ascii="仿宋_GB2312" w:eastAsia="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_GB2312" w:eastAsia="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_GB2312" w:eastAsia="仿宋_GB2312"/>
                <w:sz w:val="24"/>
              </w:rPr>
            </w:pPr>
          </w:p>
        </w:tc>
      </w:tr>
      <w:tr>
        <w:tblPrEx>
          <w:tblCellMar>
            <w:top w:w="0" w:type="dxa"/>
            <w:left w:w="108" w:type="dxa"/>
            <w:bottom w:w="0" w:type="dxa"/>
            <w:right w:w="108" w:type="dxa"/>
          </w:tblCellMar>
        </w:tblPrEx>
        <w:trPr>
          <w:wBefore w:w="0" w:type="dxa"/>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_GB2312" w:eastAsia="仿宋_GB2312"/>
                <w:sz w:val="24"/>
              </w:rPr>
            </w:pPr>
            <w:r>
              <w:rPr>
                <w:rFonts w:hint="eastAsia" w:ascii="仿宋_GB2312" w:eastAsia="仿宋_GB2312"/>
                <w:sz w:val="24"/>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adjustRightInd w:val="0"/>
              <w:spacing w:line="400" w:lineRule="exact"/>
              <w:jc w:val="center"/>
              <w:rPr>
                <w:rFonts w:hint="eastAsia" w:ascii="仿宋_GB2312" w:eastAsia="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_GB2312" w:eastAsia="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_GB2312" w:eastAsia="仿宋_GB2312"/>
                <w:sz w:val="24"/>
              </w:rPr>
            </w:pPr>
          </w:p>
        </w:tc>
      </w:tr>
      <w:tr>
        <w:tblPrEx>
          <w:tblCellMar>
            <w:top w:w="0" w:type="dxa"/>
            <w:left w:w="108" w:type="dxa"/>
            <w:bottom w:w="0" w:type="dxa"/>
            <w:right w:w="108" w:type="dxa"/>
          </w:tblCellMar>
        </w:tblPrEx>
        <w:trPr>
          <w:wBefore w:w="0" w:type="dxa"/>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_GB2312" w:eastAsia="仿宋_GB2312"/>
                <w:sz w:val="24"/>
              </w:rPr>
            </w:pPr>
            <w:r>
              <w:rPr>
                <w:rFonts w:hint="eastAsia" w:ascii="仿宋_GB2312" w:eastAsia="仿宋_GB2312"/>
                <w:sz w:val="24"/>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adjustRightInd w:val="0"/>
              <w:spacing w:line="400" w:lineRule="exact"/>
              <w:jc w:val="center"/>
              <w:rPr>
                <w:rFonts w:hint="eastAsia" w:ascii="仿宋_GB2312" w:eastAsia="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_GB2312" w:eastAsia="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_GB2312" w:eastAsia="仿宋_GB2312"/>
                <w:sz w:val="24"/>
              </w:rPr>
            </w:pPr>
          </w:p>
        </w:tc>
      </w:tr>
      <w:tr>
        <w:tblPrEx>
          <w:tblCellMar>
            <w:top w:w="0" w:type="dxa"/>
            <w:left w:w="108" w:type="dxa"/>
            <w:bottom w:w="0" w:type="dxa"/>
            <w:right w:w="108" w:type="dxa"/>
          </w:tblCellMar>
        </w:tblPrEx>
        <w:trPr>
          <w:wBefore w:w="0" w:type="dxa"/>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_GB2312" w:eastAsia="仿宋_GB2312"/>
                <w:sz w:val="24"/>
              </w:rPr>
            </w:pPr>
            <w:r>
              <w:rPr>
                <w:rFonts w:hint="eastAsia" w:ascii="仿宋_GB2312" w:eastAsia="仿宋_GB2312"/>
                <w:sz w:val="24"/>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adjustRightInd w:val="0"/>
              <w:spacing w:line="400" w:lineRule="exact"/>
              <w:jc w:val="center"/>
              <w:rPr>
                <w:rFonts w:hint="eastAsia" w:ascii="仿宋_GB2312" w:eastAsia="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_GB2312" w:eastAsia="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_GB2312" w:eastAsia="仿宋_GB2312"/>
                <w:sz w:val="24"/>
              </w:rPr>
            </w:pPr>
          </w:p>
        </w:tc>
      </w:tr>
      <w:tr>
        <w:tblPrEx>
          <w:tblCellMar>
            <w:top w:w="0" w:type="dxa"/>
            <w:left w:w="108" w:type="dxa"/>
            <w:bottom w:w="0" w:type="dxa"/>
            <w:right w:w="108" w:type="dxa"/>
          </w:tblCellMar>
        </w:tblPrEx>
        <w:trPr>
          <w:wBefore w:w="0" w:type="dxa"/>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_GB2312" w:eastAsia="仿宋_GB2312"/>
                <w:sz w:val="24"/>
              </w:rPr>
            </w:pPr>
            <w:r>
              <w:rPr>
                <w:rFonts w:hint="eastAsia" w:ascii="仿宋_GB2312" w:eastAsia="仿宋_GB2312"/>
                <w:sz w:val="24"/>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adjustRightInd w:val="0"/>
              <w:spacing w:line="400" w:lineRule="exact"/>
              <w:jc w:val="center"/>
              <w:rPr>
                <w:rFonts w:hint="eastAsia" w:ascii="仿宋_GB2312" w:eastAsia="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_GB2312" w:eastAsia="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_GB2312" w:eastAsia="仿宋_GB2312"/>
                <w:sz w:val="24"/>
              </w:rPr>
            </w:pPr>
          </w:p>
        </w:tc>
      </w:tr>
      <w:tr>
        <w:tblPrEx>
          <w:tblCellMar>
            <w:top w:w="0" w:type="dxa"/>
            <w:left w:w="108" w:type="dxa"/>
            <w:bottom w:w="0" w:type="dxa"/>
            <w:right w:w="108" w:type="dxa"/>
          </w:tblCellMar>
        </w:tblPrEx>
        <w:trPr>
          <w:wBefore w:w="0" w:type="dxa"/>
          <w:cantSplit/>
          <w:trHeight w:val="58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_GB2312" w:eastAsia="仿宋_GB2312"/>
                <w:sz w:val="24"/>
              </w:rPr>
            </w:pPr>
            <w:r>
              <w:rPr>
                <w:rFonts w:hint="eastAsia" w:ascii="仿宋_GB2312" w:eastAsia="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adjustRightInd w:val="0"/>
              <w:spacing w:line="400" w:lineRule="exact"/>
              <w:jc w:val="center"/>
              <w:rPr>
                <w:rFonts w:hint="eastAsia" w:ascii="仿宋_GB2312" w:eastAsia="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_GB2312" w:eastAsia="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_GB2312" w:eastAsia="仿宋_GB2312"/>
                <w:sz w:val="24"/>
              </w:rPr>
            </w:pPr>
          </w:p>
        </w:tc>
      </w:tr>
      <w:tr>
        <w:tblPrEx>
          <w:tblCellMar>
            <w:top w:w="0" w:type="dxa"/>
            <w:left w:w="108" w:type="dxa"/>
            <w:bottom w:w="0" w:type="dxa"/>
            <w:right w:w="108" w:type="dxa"/>
          </w:tblCellMar>
        </w:tblPrEx>
        <w:trPr>
          <w:wBefore w:w="0" w:type="dxa"/>
          <w:cantSplit/>
          <w:trHeight w:val="57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_GB2312" w:eastAsia="仿宋_GB2312"/>
                <w:sz w:val="24"/>
              </w:rPr>
            </w:pPr>
            <w:r>
              <w:rPr>
                <w:rFonts w:hint="eastAsia" w:ascii="仿宋_GB2312" w:eastAsia="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adjustRightInd w:val="0"/>
              <w:spacing w:line="400" w:lineRule="exact"/>
              <w:jc w:val="center"/>
              <w:rPr>
                <w:rFonts w:hint="eastAsia" w:ascii="仿宋_GB2312" w:eastAsia="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_GB2312" w:eastAsia="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_GB2312" w:eastAsia="仿宋_GB2312"/>
                <w:sz w:val="24"/>
              </w:rPr>
            </w:pPr>
          </w:p>
        </w:tc>
      </w:tr>
      <w:tr>
        <w:tblPrEx>
          <w:tblCellMar>
            <w:top w:w="0" w:type="dxa"/>
            <w:left w:w="108" w:type="dxa"/>
            <w:bottom w:w="0" w:type="dxa"/>
            <w:right w:w="108" w:type="dxa"/>
          </w:tblCellMar>
        </w:tblPrEx>
        <w:trPr>
          <w:wBefore w:w="0" w:type="dxa"/>
          <w:cantSplit/>
          <w:trHeight w:val="473"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_GB2312" w:eastAsia="仿宋_GB2312"/>
                <w:sz w:val="24"/>
              </w:rPr>
            </w:pPr>
            <w:r>
              <w:rPr>
                <w:rFonts w:hint="eastAsia" w:ascii="仿宋_GB2312" w:eastAsia="仿宋_GB2312"/>
                <w:sz w:val="24"/>
              </w:rPr>
              <w:t>联系电话</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adjustRightInd w:val="0"/>
              <w:spacing w:line="400" w:lineRule="exact"/>
              <w:jc w:val="center"/>
              <w:rPr>
                <w:rFonts w:hint="eastAsia" w:ascii="仿宋_GB2312" w:eastAsia="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_GB2312" w:eastAsia="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_GB2312" w:eastAsia="仿宋_GB2312"/>
                <w:sz w:val="24"/>
              </w:rPr>
            </w:pPr>
          </w:p>
        </w:tc>
      </w:tr>
    </w:tbl>
    <w:p>
      <w:pPr>
        <w:autoSpaceDE w:val="0"/>
        <w:autoSpaceDN w:val="0"/>
        <w:adjustRightInd w:val="0"/>
        <w:spacing w:line="400" w:lineRule="exact"/>
        <w:rPr>
          <w:rFonts w:hint="eastAsia" w:ascii="仿宋_GB2312" w:eastAsia="仿宋_GB2312"/>
          <w:b/>
          <w:sz w:val="24"/>
        </w:rPr>
      </w:pPr>
      <w:r>
        <w:rPr>
          <w:rFonts w:hint="eastAsia" w:ascii="仿宋_GB2312" w:eastAsia="仿宋_GB2312"/>
          <w:b/>
          <w:sz w:val="24"/>
        </w:rPr>
        <w:t>注：须随表提交相应的证书复印件并注明所在投标技术文件页码。</w:t>
      </w:r>
    </w:p>
    <w:p>
      <w:pPr>
        <w:autoSpaceDE w:val="0"/>
        <w:autoSpaceDN w:val="0"/>
        <w:adjustRightInd w:val="0"/>
        <w:spacing w:line="400" w:lineRule="exact"/>
        <w:rPr>
          <w:rFonts w:hint="eastAsia" w:ascii="仿宋_GB2312" w:eastAsia="仿宋_GB2312"/>
          <w:b/>
          <w:sz w:val="24"/>
        </w:rPr>
      </w:pPr>
    </w:p>
    <w:p>
      <w:pPr>
        <w:autoSpaceDE w:val="0"/>
        <w:autoSpaceDN w:val="0"/>
        <w:adjustRightInd w:val="0"/>
        <w:spacing w:line="400" w:lineRule="exact"/>
        <w:rPr>
          <w:rFonts w:hint="eastAsia" w:ascii="仿宋_GB2312" w:eastAsia="仿宋_GB2312"/>
          <w:b/>
          <w:sz w:val="24"/>
        </w:rPr>
      </w:pPr>
      <w:r>
        <w:rPr>
          <w:rFonts w:hint="eastAsia" w:ascii="仿宋_GB2312" w:eastAsia="仿宋_GB2312"/>
          <w:b/>
          <w:sz w:val="24"/>
        </w:rPr>
        <w:t>附表B:本项目的项目小组人员情况表</w:t>
      </w:r>
      <w:r>
        <w:rPr>
          <w:rFonts w:hint="eastAsia" w:ascii="仿宋_GB2312" w:eastAsia="仿宋_GB2312"/>
          <w:sz w:val="24"/>
        </w:rPr>
        <w:t>（按此格式自制）</w:t>
      </w:r>
    </w:p>
    <w:tbl>
      <w:tblPr>
        <w:tblStyle w:val="64"/>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rPr>
          <w:wBefore w:w="0" w:type="dxa"/>
        </w:trPr>
        <w:tc>
          <w:tcPr>
            <w:tcW w:w="4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40" w:lineRule="exact"/>
              <w:jc w:val="center"/>
              <w:rPr>
                <w:rFonts w:hint="eastAsia" w:ascii="仿宋_GB2312" w:eastAsia="仿宋_GB2312"/>
                <w:sz w:val="24"/>
              </w:rPr>
            </w:pPr>
            <w:r>
              <w:rPr>
                <w:rFonts w:hint="eastAsia" w:ascii="仿宋_GB2312" w:eastAsia="仿宋_GB2312"/>
                <w:sz w:val="24"/>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40" w:lineRule="exact"/>
              <w:jc w:val="center"/>
              <w:rPr>
                <w:rFonts w:hint="eastAsia" w:ascii="仿宋_GB2312" w:eastAsia="仿宋_GB2312"/>
                <w:sz w:val="24"/>
              </w:rPr>
            </w:pPr>
            <w:r>
              <w:rPr>
                <w:rFonts w:hint="eastAsia" w:ascii="仿宋_GB2312" w:eastAsia="仿宋_GB2312"/>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40" w:lineRule="exact"/>
              <w:jc w:val="center"/>
              <w:rPr>
                <w:rFonts w:hint="eastAsia" w:ascii="仿宋_GB2312" w:eastAsia="仿宋_GB2312"/>
                <w:sz w:val="24"/>
              </w:rPr>
            </w:pPr>
            <w:r>
              <w:rPr>
                <w:rFonts w:hint="eastAsia" w:ascii="仿宋_GB2312" w:eastAsia="仿宋_GB2312"/>
                <w:sz w:val="24"/>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40" w:lineRule="exact"/>
              <w:jc w:val="center"/>
              <w:rPr>
                <w:rFonts w:hint="eastAsia" w:ascii="仿宋_GB2312" w:eastAsia="仿宋_GB2312"/>
                <w:sz w:val="24"/>
              </w:rPr>
            </w:pPr>
            <w:r>
              <w:rPr>
                <w:rFonts w:hint="eastAsia" w:ascii="仿宋_GB2312" w:eastAsia="仿宋_GB2312"/>
                <w:sz w:val="24"/>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40" w:lineRule="exact"/>
              <w:jc w:val="center"/>
              <w:rPr>
                <w:rFonts w:hint="eastAsia" w:ascii="仿宋_GB2312" w:eastAsia="仿宋_GB2312"/>
                <w:sz w:val="24"/>
              </w:rPr>
            </w:pPr>
            <w:r>
              <w:rPr>
                <w:rFonts w:hint="eastAsia" w:ascii="仿宋_GB2312" w:eastAsia="仿宋_GB2312"/>
                <w:sz w:val="24"/>
              </w:rPr>
              <w:t>学历</w:t>
            </w:r>
          </w:p>
          <w:p>
            <w:pPr>
              <w:autoSpaceDE w:val="0"/>
              <w:autoSpaceDN w:val="0"/>
              <w:adjustRightInd w:val="0"/>
              <w:spacing w:line="440" w:lineRule="exact"/>
              <w:jc w:val="center"/>
              <w:rPr>
                <w:rFonts w:hint="eastAsia" w:ascii="仿宋_GB2312" w:eastAsia="仿宋_GB2312"/>
                <w:sz w:val="24"/>
              </w:rPr>
            </w:pPr>
            <w:r>
              <w:rPr>
                <w:rFonts w:hint="eastAsia" w:ascii="仿宋_GB2312" w:eastAsia="仿宋_GB2312"/>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40" w:lineRule="exact"/>
              <w:jc w:val="center"/>
              <w:rPr>
                <w:rFonts w:hint="eastAsia" w:ascii="仿宋_GB2312" w:eastAsia="仿宋_GB2312"/>
                <w:sz w:val="24"/>
              </w:rPr>
            </w:pPr>
            <w:r>
              <w:rPr>
                <w:rFonts w:hint="eastAsia" w:ascii="仿宋_GB2312" w:eastAsia="仿宋_GB2312"/>
                <w:sz w:val="24"/>
              </w:rPr>
              <w:t>专业</w:t>
            </w:r>
          </w:p>
          <w:p>
            <w:pPr>
              <w:autoSpaceDE w:val="0"/>
              <w:autoSpaceDN w:val="0"/>
              <w:adjustRightInd w:val="0"/>
              <w:spacing w:line="440" w:lineRule="exact"/>
              <w:jc w:val="center"/>
              <w:rPr>
                <w:rFonts w:hint="eastAsia" w:ascii="仿宋_GB2312" w:eastAsia="仿宋_GB2312"/>
                <w:sz w:val="24"/>
              </w:rPr>
            </w:pPr>
            <w:r>
              <w:rPr>
                <w:rFonts w:hint="eastAsia" w:ascii="仿宋_GB2312" w:eastAsia="仿宋_GB2312"/>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40" w:lineRule="exact"/>
              <w:jc w:val="center"/>
              <w:rPr>
                <w:rFonts w:hint="eastAsia" w:ascii="仿宋_GB2312" w:eastAsia="仿宋_GB2312"/>
                <w:sz w:val="24"/>
              </w:rPr>
            </w:pPr>
            <w:r>
              <w:rPr>
                <w:rFonts w:hint="eastAsia" w:ascii="仿宋_GB2312" w:eastAsia="仿宋_GB2312"/>
                <w:sz w:val="24"/>
              </w:rPr>
              <w:t>职称</w:t>
            </w:r>
          </w:p>
          <w:p>
            <w:pPr>
              <w:autoSpaceDE w:val="0"/>
              <w:autoSpaceDN w:val="0"/>
              <w:adjustRightInd w:val="0"/>
              <w:spacing w:line="440" w:lineRule="exact"/>
              <w:jc w:val="center"/>
              <w:rPr>
                <w:rFonts w:hint="eastAsia" w:ascii="仿宋_GB2312" w:eastAsia="仿宋_GB2312"/>
                <w:sz w:val="24"/>
              </w:rPr>
            </w:pPr>
            <w:r>
              <w:rPr>
                <w:rFonts w:hint="eastAsia" w:ascii="仿宋_GB2312" w:eastAsia="仿宋_GB2312"/>
                <w:sz w:val="24"/>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40" w:lineRule="exact"/>
              <w:jc w:val="center"/>
              <w:rPr>
                <w:rFonts w:hint="eastAsia" w:ascii="仿宋_GB2312" w:eastAsia="仿宋_GB2312"/>
                <w:sz w:val="24"/>
              </w:rPr>
            </w:pPr>
            <w:r>
              <w:rPr>
                <w:rFonts w:hint="eastAsia" w:ascii="仿宋_GB2312" w:eastAsia="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40" w:lineRule="exact"/>
              <w:jc w:val="center"/>
              <w:rPr>
                <w:rFonts w:hint="eastAsia" w:ascii="仿宋_GB2312" w:eastAsia="仿宋_GB2312"/>
                <w:sz w:val="24"/>
              </w:rPr>
            </w:pPr>
            <w:r>
              <w:rPr>
                <w:rFonts w:hint="eastAsia" w:ascii="仿宋_GB2312" w:eastAsia="仿宋_GB2312"/>
                <w:sz w:val="24"/>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40" w:lineRule="exact"/>
              <w:jc w:val="center"/>
              <w:rPr>
                <w:rFonts w:hint="eastAsia" w:ascii="仿宋_GB2312" w:eastAsia="仿宋_GB2312"/>
                <w:sz w:val="24"/>
              </w:rPr>
            </w:pPr>
            <w:r>
              <w:rPr>
                <w:rFonts w:hint="eastAsia" w:ascii="仿宋_GB2312" w:eastAsia="仿宋_GB2312"/>
                <w:sz w:val="24"/>
              </w:rPr>
              <w:t>参与本项目的到位情况</w:t>
            </w:r>
          </w:p>
        </w:tc>
      </w:tr>
      <w:tr>
        <w:tblPrEx>
          <w:tblCellMar>
            <w:top w:w="0" w:type="dxa"/>
            <w:left w:w="108" w:type="dxa"/>
            <w:bottom w:w="0" w:type="dxa"/>
            <w:right w:w="108" w:type="dxa"/>
          </w:tblCellMar>
        </w:tblPrEx>
        <w:trPr>
          <w:wBefore w:w="0" w:type="dxa"/>
          <w:trHeight w:val="607" w:hRule="atLeast"/>
        </w:trPr>
        <w:tc>
          <w:tcPr>
            <w:tcW w:w="42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jc w:val="center"/>
              <w:rPr>
                <w:rFonts w:hint="eastAsia" w:ascii="仿宋_GB2312" w:eastAsia="仿宋_GB2312"/>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r>
      <w:tr>
        <w:tblPrEx>
          <w:tblCellMar>
            <w:top w:w="0" w:type="dxa"/>
            <w:left w:w="108" w:type="dxa"/>
            <w:bottom w:w="0" w:type="dxa"/>
            <w:right w:w="108" w:type="dxa"/>
          </w:tblCellMar>
        </w:tblPrEx>
        <w:trPr>
          <w:wBefore w:w="0" w:type="dxa"/>
          <w:trHeight w:val="595" w:hRule="atLeast"/>
        </w:trPr>
        <w:tc>
          <w:tcPr>
            <w:tcW w:w="42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jc w:val="center"/>
              <w:rPr>
                <w:rFonts w:hint="eastAsia" w:ascii="仿宋_GB2312" w:eastAsia="仿宋_GB2312"/>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r>
      <w:tr>
        <w:tblPrEx>
          <w:tblCellMar>
            <w:top w:w="0" w:type="dxa"/>
            <w:left w:w="108" w:type="dxa"/>
            <w:bottom w:w="0" w:type="dxa"/>
            <w:right w:w="108" w:type="dxa"/>
          </w:tblCellMar>
        </w:tblPrEx>
        <w:trPr>
          <w:wBefore w:w="0" w:type="dxa"/>
          <w:trHeight w:val="595" w:hRule="atLeast"/>
        </w:trPr>
        <w:tc>
          <w:tcPr>
            <w:tcW w:w="42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jc w:val="center"/>
              <w:rPr>
                <w:rFonts w:hint="eastAsia" w:ascii="仿宋_GB2312" w:eastAsia="仿宋_GB2312"/>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exact"/>
              <w:rPr>
                <w:rFonts w:hint="eastAsia" w:ascii="仿宋_GB2312" w:eastAsia="仿宋_GB2312"/>
                <w:sz w:val="24"/>
              </w:rPr>
            </w:pPr>
          </w:p>
        </w:tc>
      </w:tr>
    </w:tbl>
    <w:p>
      <w:pPr>
        <w:spacing w:line="480" w:lineRule="exact"/>
        <w:rPr>
          <w:rFonts w:hint="eastAsia" w:ascii="仿宋_GB2312" w:hAnsi="宋体" w:eastAsia="仿宋_GB2312"/>
          <w:b/>
          <w:sz w:val="30"/>
        </w:rPr>
      </w:pPr>
      <w:r>
        <w:rPr>
          <w:rFonts w:hint="eastAsia" w:ascii="仿宋_GB2312" w:eastAsia="仿宋_GB2312"/>
          <w:b/>
          <w:sz w:val="24"/>
        </w:rPr>
        <w:t>注：投标人可按上述的格式自行编制，须随表提交相应的证书复印件并注明所在投标技术文件页码。</w:t>
      </w:r>
    </w:p>
    <w:p>
      <w:pPr>
        <w:spacing w:line="480" w:lineRule="exact"/>
        <w:rPr>
          <w:rFonts w:hint="eastAsia" w:ascii="仿宋_GB2312" w:hAnsi="宋体" w:eastAsia="仿宋_GB2312"/>
          <w:b/>
          <w:sz w:val="30"/>
        </w:rPr>
      </w:pPr>
      <w:r>
        <w:rPr>
          <w:rFonts w:hint="eastAsia" w:ascii="仿宋_GB2312" w:eastAsia="仿宋_GB2312"/>
          <w:b/>
          <w:sz w:val="24"/>
        </w:rPr>
        <w:t>附表C:本项目的项目经理和小组人员近3个月交纳社保记录情况表</w:t>
      </w:r>
      <w:r>
        <w:rPr>
          <w:rFonts w:hint="eastAsia" w:ascii="仿宋_GB2312" w:eastAsia="仿宋_GB2312"/>
          <w:sz w:val="24"/>
        </w:rPr>
        <w:t>（以社保局缴纳凭证作附件）</w:t>
      </w:r>
    </w:p>
    <w:p>
      <w:pPr>
        <w:autoSpaceDE w:val="0"/>
        <w:autoSpaceDN w:val="0"/>
        <w:adjustRightInd w:val="0"/>
        <w:spacing w:line="420" w:lineRule="exact"/>
        <w:ind w:firstLine="4440" w:firstLineChars="1850"/>
        <w:rPr>
          <w:rFonts w:hint="eastAsia" w:ascii="仿宋_GB2312" w:eastAsia="仿宋_GB2312"/>
          <w:kern w:val="0"/>
          <w:sz w:val="24"/>
        </w:rPr>
      </w:pPr>
      <w:r>
        <w:rPr>
          <w:rFonts w:hint="eastAsia" w:ascii="仿宋_GB2312" w:eastAsia="仿宋_GB2312"/>
          <w:kern w:val="0"/>
          <w:sz w:val="24"/>
        </w:rPr>
        <w:t>投标人名称（公章）：</w:t>
      </w:r>
    </w:p>
    <w:p>
      <w:pPr>
        <w:autoSpaceDE w:val="0"/>
        <w:autoSpaceDN w:val="0"/>
        <w:adjustRightInd w:val="0"/>
        <w:spacing w:line="420" w:lineRule="exact"/>
        <w:rPr>
          <w:rFonts w:hint="eastAsia" w:ascii="仿宋_GB2312" w:eastAsia="仿宋_GB2312"/>
          <w:kern w:val="0"/>
          <w:sz w:val="24"/>
        </w:rPr>
      </w:pPr>
      <w:r>
        <w:rPr>
          <w:rFonts w:hint="eastAsia" w:ascii="仿宋_GB2312" w:eastAsia="仿宋_GB2312"/>
          <w:kern w:val="0"/>
          <w:sz w:val="24"/>
        </w:rPr>
        <w:t xml:space="preserve">                                     法定代表人或授权委托人（签字）：</w:t>
      </w:r>
    </w:p>
    <w:p>
      <w:pPr>
        <w:spacing w:line="480" w:lineRule="exact"/>
        <w:rPr>
          <w:rFonts w:hint="eastAsia" w:ascii="仿宋_GB2312" w:hAnsi="宋体" w:eastAsia="仿宋_GB2312"/>
          <w:b/>
          <w:sz w:val="30"/>
        </w:rPr>
      </w:pPr>
      <w:r>
        <w:rPr>
          <w:rFonts w:hint="eastAsia" w:ascii="仿宋_GB2312" w:eastAsia="仿宋_GB2312"/>
          <w:kern w:val="0"/>
          <w:sz w:val="24"/>
        </w:rPr>
        <w:t xml:space="preserve">                                     日期：2019年  月   日</w:t>
      </w:r>
    </w:p>
    <w:p>
      <w:pPr>
        <w:spacing w:line="480" w:lineRule="exact"/>
        <w:jc w:val="center"/>
        <w:rPr>
          <w:rFonts w:hint="eastAsia" w:ascii="仿宋_GB2312" w:hAnsi="宋体" w:eastAsia="仿宋_GB2312"/>
          <w:b/>
          <w:sz w:val="30"/>
        </w:rPr>
      </w:pPr>
    </w:p>
    <w:p>
      <w:pPr>
        <w:spacing w:line="480" w:lineRule="exact"/>
        <w:jc w:val="center"/>
        <w:rPr>
          <w:rFonts w:hint="eastAsia" w:ascii="仿宋_GB2312" w:hAnsi="宋体" w:eastAsia="仿宋_GB2312"/>
          <w:b/>
          <w:sz w:val="30"/>
        </w:rPr>
      </w:pPr>
    </w:p>
    <w:p>
      <w:pPr>
        <w:spacing w:line="480" w:lineRule="exact"/>
        <w:jc w:val="center"/>
        <w:rPr>
          <w:rFonts w:hint="eastAsia" w:ascii="仿宋_GB2312" w:eastAsia="仿宋_GB2312"/>
          <w:b/>
          <w:kern w:val="0"/>
          <w:sz w:val="30"/>
          <w:lang w:val="zh-CN"/>
        </w:rPr>
      </w:pPr>
      <w:r>
        <w:rPr>
          <w:rFonts w:hint="eastAsia" w:ascii="仿宋_GB2312" w:hAnsi="宋体" w:eastAsia="仿宋_GB2312"/>
          <w:b/>
          <w:sz w:val="30"/>
        </w:rPr>
        <w:t>十七、</w:t>
      </w:r>
      <w:r>
        <w:rPr>
          <w:rFonts w:hint="eastAsia" w:ascii="仿宋_GB2312" w:eastAsia="仿宋_GB2312"/>
          <w:b/>
          <w:kern w:val="0"/>
          <w:sz w:val="30"/>
          <w:lang w:val="zh-CN"/>
        </w:rPr>
        <w:t>优惠条件及特殊承诺</w:t>
      </w:r>
    </w:p>
    <w:p>
      <w:pPr>
        <w:spacing w:line="480" w:lineRule="exact"/>
        <w:jc w:val="center"/>
        <w:rPr>
          <w:rFonts w:hint="eastAsia" w:ascii="仿宋_GB2312" w:eastAsia="仿宋_GB2312"/>
          <w:sz w:val="28"/>
        </w:rPr>
      </w:pPr>
      <w:r>
        <w:rPr>
          <w:rFonts w:hint="eastAsia" w:ascii="仿宋_GB2312" w:eastAsia="仿宋_GB2312"/>
          <w:sz w:val="28"/>
        </w:rPr>
        <w:t>（由投标人根据采购需求自行编制）</w:t>
      </w:r>
    </w:p>
    <w:p>
      <w:pPr>
        <w:spacing w:line="480" w:lineRule="exact"/>
        <w:jc w:val="center"/>
        <w:rPr>
          <w:rFonts w:hint="eastAsia" w:ascii="仿宋_GB2312" w:eastAsia="仿宋_GB2312"/>
          <w:sz w:val="28"/>
        </w:rPr>
      </w:pPr>
    </w:p>
    <w:p>
      <w:pPr>
        <w:spacing w:line="480" w:lineRule="exact"/>
        <w:jc w:val="center"/>
        <w:rPr>
          <w:rFonts w:hint="eastAsia" w:ascii="仿宋_GB2312" w:eastAsia="仿宋_GB2312"/>
          <w:sz w:val="28"/>
        </w:rPr>
      </w:pPr>
    </w:p>
    <w:p>
      <w:pPr>
        <w:spacing w:line="480" w:lineRule="exact"/>
        <w:jc w:val="center"/>
        <w:rPr>
          <w:rFonts w:hint="eastAsia" w:ascii="仿宋_GB2312" w:eastAsia="仿宋_GB2312"/>
          <w:sz w:val="28"/>
        </w:rPr>
      </w:pPr>
    </w:p>
    <w:p>
      <w:pPr>
        <w:autoSpaceDE w:val="0"/>
        <w:autoSpaceDN w:val="0"/>
        <w:adjustRightInd w:val="0"/>
        <w:spacing w:line="420" w:lineRule="exact"/>
        <w:ind w:firstLine="4440" w:firstLineChars="1850"/>
        <w:rPr>
          <w:rFonts w:hint="eastAsia" w:ascii="仿宋_GB2312" w:eastAsia="仿宋_GB2312"/>
          <w:kern w:val="0"/>
          <w:sz w:val="24"/>
        </w:rPr>
      </w:pPr>
      <w:r>
        <w:rPr>
          <w:rFonts w:hint="eastAsia" w:ascii="仿宋_GB2312" w:eastAsia="仿宋_GB2312"/>
          <w:kern w:val="0"/>
          <w:sz w:val="24"/>
        </w:rPr>
        <w:t>投标人名称（公章）：</w:t>
      </w:r>
    </w:p>
    <w:p>
      <w:pPr>
        <w:autoSpaceDE w:val="0"/>
        <w:autoSpaceDN w:val="0"/>
        <w:adjustRightInd w:val="0"/>
        <w:spacing w:line="420" w:lineRule="exact"/>
        <w:rPr>
          <w:rFonts w:hint="eastAsia" w:ascii="仿宋_GB2312" w:eastAsia="仿宋_GB2312"/>
          <w:kern w:val="0"/>
          <w:sz w:val="24"/>
        </w:rPr>
      </w:pPr>
      <w:r>
        <w:rPr>
          <w:rFonts w:hint="eastAsia" w:ascii="仿宋_GB2312" w:eastAsia="仿宋_GB2312"/>
          <w:kern w:val="0"/>
          <w:sz w:val="24"/>
        </w:rPr>
        <w:t xml:space="preserve">                                     法定代表人或授权委托人（签字）：</w:t>
      </w:r>
    </w:p>
    <w:p>
      <w:pPr>
        <w:spacing w:line="480" w:lineRule="exact"/>
        <w:jc w:val="center"/>
        <w:rPr>
          <w:rFonts w:hint="eastAsia" w:ascii="仿宋_GB2312" w:eastAsia="仿宋_GB2312"/>
          <w:sz w:val="28"/>
        </w:rPr>
      </w:pPr>
      <w:r>
        <w:rPr>
          <w:rFonts w:hint="eastAsia" w:ascii="仿宋_GB2312" w:eastAsia="仿宋_GB2312"/>
          <w:kern w:val="0"/>
          <w:sz w:val="24"/>
        </w:rPr>
        <w:t xml:space="preserve">                    日期：2019年  月   日</w:t>
      </w:r>
    </w:p>
    <w:p>
      <w:pPr>
        <w:spacing w:line="480" w:lineRule="exact"/>
        <w:jc w:val="center"/>
        <w:rPr>
          <w:rFonts w:hint="eastAsia" w:ascii="仿宋_GB2312" w:hAnsi="宋体" w:eastAsia="仿宋_GB2312"/>
          <w:b/>
          <w:sz w:val="30"/>
        </w:rPr>
      </w:pPr>
    </w:p>
    <w:p>
      <w:pPr>
        <w:spacing w:line="360" w:lineRule="auto"/>
        <w:jc w:val="center"/>
        <w:rPr>
          <w:rFonts w:hint="eastAsia" w:ascii="仿宋_GB2312" w:hAnsi="宋体" w:eastAsia="仿宋_GB2312"/>
          <w:b/>
          <w:kern w:val="0"/>
          <w:sz w:val="32"/>
        </w:rPr>
      </w:pPr>
    </w:p>
    <w:p>
      <w:pPr>
        <w:spacing w:line="360" w:lineRule="auto"/>
        <w:jc w:val="center"/>
        <w:rPr>
          <w:rFonts w:hint="eastAsia" w:ascii="仿宋_GB2312" w:hAnsi="宋体" w:eastAsia="仿宋_GB2312"/>
          <w:b/>
          <w:kern w:val="0"/>
          <w:sz w:val="32"/>
        </w:rPr>
      </w:pPr>
      <w:r>
        <w:rPr>
          <w:rFonts w:hint="eastAsia" w:ascii="仿宋_GB2312" w:hAnsi="宋体" w:eastAsia="仿宋_GB2312"/>
          <w:b/>
          <w:kern w:val="0"/>
          <w:sz w:val="32"/>
        </w:rPr>
        <w:t>十八、备品备件及供选择的配套零部件清单</w:t>
      </w:r>
    </w:p>
    <w:tbl>
      <w:tblPr>
        <w:tblStyle w:val="64"/>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3"/>
        <w:gridCol w:w="1470"/>
        <w:gridCol w:w="1785"/>
        <w:gridCol w:w="2940"/>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96" w:hRule="atLeast"/>
        </w:trPr>
        <w:tc>
          <w:tcPr>
            <w:tcW w:w="1683" w:type="dxa"/>
            <w:tcBorders>
              <w:top w:val="single" w:color="auto" w:sz="6" w:space="0"/>
              <w:left w:val="single" w:color="auto" w:sz="6" w:space="0"/>
              <w:bottom w:val="single" w:color="auto" w:sz="6" w:space="0"/>
              <w:right w:val="single" w:color="auto" w:sz="4" w:space="0"/>
            </w:tcBorders>
            <w:noWrap w:val="0"/>
            <w:vAlign w:val="center"/>
          </w:tcPr>
          <w:p>
            <w:pPr>
              <w:spacing w:line="360" w:lineRule="auto"/>
              <w:jc w:val="center"/>
              <w:rPr>
                <w:rFonts w:hint="eastAsia" w:ascii="仿宋_GB2312" w:hAnsi="宋体" w:eastAsia="仿宋_GB2312"/>
                <w:sz w:val="24"/>
              </w:rPr>
            </w:pPr>
            <w:r>
              <w:rPr>
                <w:rFonts w:hint="eastAsia" w:ascii="仿宋_GB2312" w:hAnsi="宋体" w:eastAsia="仿宋_GB2312"/>
                <w:sz w:val="24"/>
              </w:rPr>
              <w:t>名称</w:t>
            </w:r>
          </w:p>
        </w:tc>
        <w:tc>
          <w:tcPr>
            <w:tcW w:w="1470" w:type="dxa"/>
            <w:tcBorders>
              <w:top w:val="single" w:color="auto" w:sz="6" w:space="0"/>
              <w:left w:val="single" w:color="auto" w:sz="4" w:space="0"/>
              <w:bottom w:val="single" w:color="auto" w:sz="6" w:space="0"/>
              <w:right w:val="single" w:color="auto" w:sz="6" w:space="0"/>
            </w:tcBorders>
            <w:noWrap w:val="0"/>
            <w:vAlign w:val="center"/>
          </w:tcPr>
          <w:p>
            <w:pPr>
              <w:spacing w:line="360" w:lineRule="auto"/>
              <w:jc w:val="center"/>
              <w:rPr>
                <w:rFonts w:hint="eastAsia" w:ascii="仿宋_GB2312" w:hAnsi="宋体" w:eastAsia="仿宋_GB2312"/>
                <w:sz w:val="24"/>
              </w:rPr>
            </w:pPr>
            <w:r>
              <w:rPr>
                <w:rFonts w:hint="eastAsia" w:ascii="仿宋_GB2312" w:hAnsi="宋体" w:eastAsia="仿宋_GB2312"/>
                <w:sz w:val="24"/>
              </w:rPr>
              <w:t>品牌</w:t>
            </w:r>
          </w:p>
        </w:tc>
        <w:tc>
          <w:tcPr>
            <w:tcW w:w="1785" w:type="dxa"/>
            <w:tcBorders>
              <w:top w:val="single" w:color="auto" w:sz="6" w:space="0"/>
              <w:left w:val="single" w:color="auto" w:sz="6" w:space="0"/>
              <w:bottom w:val="single" w:color="auto" w:sz="6" w:space="0"/>
              <w:right w:val="single" w:color="auto" w:sz="4" w:space="0"/>
            </w:tcBorders>
            <w:noWrap w:val="0"/>
            <w:vAlign w:val="center"/>
          </w:tcPr>
          <w:p>
            <w:pPr>
              <w:spacing w:line="360" w:lineRule="auto"/>
              <w:jc w:val="center"/>
              <w:rPr>
                <w:rFonts w:hint="eastAsia" w:ascii="仿宋_GB2312" w:hAnsi="宋体" w:eastAsia="仿宋_GB2312"/>
                <w:sz w:val="24"/>
              </w:rPr>
            </w:pPr>
            <w:r>
              <w:rPr>
                <w:rFonts w:hint="eastAsia" w:ascii="仿宋_GB2312" w:hAnsi="宋体" w:eastAsia="仿宋_GB2312"/>
                <w:sz w:val="24"/>
              </w:rPr>
              <w:t>制造厂/原产地</w:t>
            </w:r>
          </w:p>
        </w:tc>
        <w:tc>
          <w:tcPr>
            <w:tcW w:w="2940" w:type="dxa"/>
            <w:tcBorders>
              <w:top w:val="single" w:color="auto" w:sz="6" w:space="0"/>
              <w:left w:val="single" w:color="auto" w:sz="4" w:space="0"/>
              <w:bottom w:val="single" w:color="auto" w:sz="6" w:space="0"/>
              <w:right w:val="single" w:color="auto" w:sz="6" w:space="0"/>
            </w:tcBorders>
            <w:noWrap w:val="0"/>
            <w:vAlign w:val="center"/>
          </w:tcPr>
          <w:p>
            <w:pPr>
              <w:spacing w:line="360" w:lineRule="auto"/>
              <w:jc w:val="center"/>
              <w:rPr>
                <w:rFonts w:hint="eastAsia" w:ascii="仿宋_GB2312" w:hAnsi="宋体" w:eastAsia="仿宋_GB2312"/>
                <w:sz w:val="24"/>
              </w:rPr>
            </w:pPr>
            <w:r>
              <w:rPr>
                <w:rFonts w:hint="eastAsia" w:ascii="仿宋_GB2312" w:hAnsi="宋体" w:eastAsia="仿宋_GB2312"/>
                <w:sz w:val="24"/>
              </w:rPr>
              <w:t>规格型号</w:t>
            </w:r>
          </w:p>
        </w:tc>
        <w:tc>
          <w:tcPr>
            <w:tcW w:w="1365" w:type="dxa"/>
            <w:tcBorders>
              <w:top w:val="single" w:color="auto" w:sz="6" w:space="0"/>
              <w:left w:val="single" w:color="auto" w:sz="6" w:space="0"/>
              <w:bottom w:val="single" w:color="auto" w:sz="4" w:space="0"/>
              <w:right w:val="single" w:color="auto" w:sz="6" w:space="0"/>
            </w:tcBorders>
            <w:noWrap w:val="0"/>
            <w:vAlign w:val="center"/>
          </w:tcPr>
          <w:p>
            <w:pPr>
              <w:spacing w:line="360" w:lineRule="auto"/>
              <w:jc w:val="center"/>
              <w:rPr>
                <w:rFonts w:hint="eastAsia" w:ascii="仿宋_GB2312" w:hAnsi="宋体" w:eastAsia="仿宋_GB2312"/>
                <w:sz w:val="24"/>
              </w:rPr>
            </w:pPr>
            <w:r>
              <w:rPr>
                <w:rFonts w:hint="eastAsia" w:ascii="仿宋_GB2312" w:hAnsi="宋体" w:eastAsia="仿宋_GB2312"/>
                <w:sz w:val="24"/>
              </w:rPr>
              <w:t>数 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Pr>
        <w:tc>
          <w:tcPr>
            <w:tcW w:w="1683" w:type="dxa"/>
            <w:tcBorders>
              <w:top w:val="single" w:color="auto" w:sz="6" w:space="0"/>
              <w:left w:val="single" w:color="auto" w:sz="6" w:space="0"/>
              <w:bottom w:val="single" w:color="auto" w:sz="6" w:space="0"/>
              <w:right w:val="single" w:color="auto" w:sz="4" w:space="0"/>
            </w:tcBorders>
            <w:noWrap w:val="0"/>
            <w:vAlign w:val="center"/>
          </w:tcPr>
          <w:p>
            <w:pPr>
              <w:spacing w:line="360" w:lineRule="auto"/>
              <w:jc w:val="center"/>
              <w:rPr>
                <w:rFonts w:hint="eastAsia" w:ascii="仿宋_GB2312" w:hAnsi="宋体" w:eastAsia="仿宋_GB2312"/>
              </w:rPr>
            </w:pPr>
          </w:p>
        </w:tc>
        <w:tc>
          <w:tcPr>
            <w:tcW w:w="1470" w:type="dxa"/>
            <w:tcBorders>
              <w:top w:val="single" w:color="auto" w:sz="6" w:space="0"/>
              <w:left w:val="single" w:color="auto" w:sz="4" w:space="0"/>
              <w:bottom w:val="single" w:color="auto" w:sz="6" w:space="0"/>
              <w:right w:val="single" w:color="auto" w:sz="6" w:space="0"/>
            </w:tcBorders>
            <w:noWrap w:val="0"/>
            <w:vAlign w:val="center"/>
          </w:tcPr>
          <w:p>
            <w:pPr>
              <w:spacing w:line="360" w:lineRule="auto"/>
              <w:jc w:val="center"/>
              <w:rPr>
                <w:rFonts w:hint="eastAsia" w:ascii="仿宋_GB2312" w:hAnsi="宋体" w:eastAsia="仿宋_GB2312"/>
              </w:rPr>
            </w:pPr>
          </w:p>
        </w:tc>
        <w:tc>
          <w:tcPr>
            <w:tcW w:w="1785" w:type="dxa"/>
            <w:tcBorders>
              <w:top w:val="single" w:color="auto" w:sz="6" w:space="0"/>
              <w:left w:val="single" w:color="auto" w:sz="6" w:space="0"/>
              <w:bottom w:val="single" w:color="auto" w:sz="6" w:space="0"/>
              <w:right w:val="single" w:color="auto" w:sz="4" w:space="0"/>
            </w:tcBorders>
            <w:noWrap w:val="0"/>
            <w:vAlign w:val="center"/>
          </w:tcPr>
          <w:p>
            <w:pPr>
              <w:spacing w:line="360" w:lineRule="auto"/>
              <w:jc w:val="center"/>
              <w:rPr>
                <w:rFonts w:hint="eastAsia" w:ascii="仿宋_GB2312" w:hAnsi="宋体" w:eastAsia="仿宋_GB2312"/>
              </w:rPr>
            </w:pPr>
          </w:p>
        </w:tc>
        <w:tc>
          <w:tcPr>
            <w:tcW w:w="2940" w:type="dxa"/>
            <w:tcBorders>
              <w:top w:val="single" w:color="auto" w:sz="6" w:space="0"/>
              <w:left w:val="single" w:color="auto" w:sz="4" w:space="0"/>
              <w:bottom w:val="single" w:color="auto" w:sz="6" w:space="0"/>
              <w:right w:val="single" w:color="auto" w:sz="6" w:space="0"/>
            </w:tcBorders>
            <w:noWrap w:val="0"/>
            <w:vAlign w:val="center"/>
          </w:tcPr>
          <w:p>
            <w:pPr>
              <w:spacing w:line="360" w:lineRule="auto"/>
              <w:jc w:val="center"/>
              <w:rPr>
                <w:rFonts w:hint="eastAsia" w:ascii="仿宋_GB2312" w:hAnsi="宋体" w:eastAsia="仿宋_GB2312"/>
              </w:rPr>
            </w:pPr>
          </w:p>
        </w:tc>
        <w:tc>
          <w:tcPr>
            <w:tcW w:w="1365" w:type="dxa"/>
            <w:tcBorders>
              <w:top w:val="single" w:color="auto" w:sz="6" w:space="0"/>
              <w:left w:val="single" w:color="auto" w:sz="6" w:space="0"/>
              <w:bottom w:val="single" w:color="auto" w:sz="6" w:space="0"/>
              <w:right w:val="single" w:color="auto" w:sz="6" w:space="0"/>
            </w:tcBorders>
            <w:noWrap w:val="0"/>
            <w:vAlign w:val="center"/>
          </w:tcPr>
          <w:p>
            <w:pPr>
              <w:spacing w:line="360" w:lineRule="auto"/>
              <w:jc w:val="center"/>
              <w:rPr>
                <w:rFonts w:hint="eastAsia"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Pr>
        <w:tc>
          <w:tcPr>
            <w:tcW w:w="1683" w:type="dxa"/>
            <w:tcBorders>
              <w:top w:val="single" w:color="auto" w:sz="6" w:space="0"/>
              <w:left w:val="single" w:color="auto" w:sz="6" w:space="0"/>
              <w:bottom w:val="single" w:color="auto" w:sz="6" w:space="0"/>
              <w:right w:val="single" w:color="auto" w:sz="4" w:space="0"/>
            </w:tcBorders>
            <w:noWrap w:val="0"/>
            <w:vAlign w:val="center"/>
          </w:tcPr>
          <w:p>
            <w:pPr>
              <w:spacing w:line="360" w:lineRule="auto"/>
              <w:jc w:val="center"/>
              <w:rPr>
                <w:rFonts w:hint="eastAsia" w:ascii="仿宋_GB2312" w:hAnsi="宋体" w:eastAsia="仿宋_GB2312"/>
              </w:rPr>
            </w:pPr>
          </w:p>
        </w:tc>
        <w:tc>
          <w:tcPr>
            <w:tcW w:w="1470" w:type="dxa"/>
            <w:tcBorders>
              <w:top w:val="single" w:color="auto" w:sz="6" w:space="0"/>
              <w:left w:val="single" w:color="auto" w:sz="4" w:space="0"/>
              <w:bottom w:val="single" w:color="auto" w:sz="6" w:space="0"/>
              <w:right w:val="single" w:color="auto" w:sz="6" w:space="0"/>
            </w:tcBorders>
            <w:noWrap w:val="0"/>
            <w:vAlign w:val="center"/>
          </w:tcPr>
          <w:p>
            <w:pPr>
              <w:spacing w:line="360" w:lineRule="auto"/>
              <w:jc w:val="center"/>
              <w:rPr>
                <w:rFonts w:hint="eastAsia" w:ascii="仿宋_GB2312" w:hAnsi="宋体" w:eastAsia="仿宋_GB2312"/>
              </w:rPr>
            </w:pPr>
          </w:p>
        </w:tc>
        <w:tc>
          <w:tcPr>
            <w:tcW w:w="1785" w:type="dxa"/>
            <w:tcBorders>
              <w:top w:val="single" w:color="auto" w:sz="6" w:space="0"/>
              <w:left w:val="single" w:color="auto" w:sz="6" w:space="0"/>
              <w:bottom w:val="single" w:color="auto" w:sz="6" w:space="0"/>
              <w:right w:val="single" w:color="auto" w:sz="4" w:space="0"/>
            </w:tcBorders>
            <w:noWrap w:val="0"/>
            <w:vAlign w:val="center"/>
          </w:tcPr>
          <w:p>
            <w:pPr>
              <w:spacing w:line="360" w:lineRule="auto"/>
              <w:jc w:val="center"/>
              <w:rPr>
                <w:rFonts w:hint="eastAsia" w:ascii="仿宋_GB2312" w:hAnsi="宋体" w:eastAsia="仿宋_GB2312"/>
              </w:rPr>
            </w:pPr>
          </w:p>
        </w:tc>
        <w:tc>
          <w:tcPr>
            <w:tcW w:w="2940" w:type="dxa"/>
            <w:tcBorders>
              <w:top w:val="single" w:color="auto" w:sz="6" w:space="0"/>
              <w:left w:val="single" w:color="auto" w:sz="4" w:space="0"/>
              <w:bottom w:val="single" w:color="auto" w:sz="6" w:space="0"/>
              <w:right w:val="single" w:color="auto" w:sz="6" w:space="0"/>
            </w:tcBorders>
            <w:noWrap w:val="0"/>
            <w:vAlign w:val="center"/>
          </w:tcPr>
          <w:p>
            <w:pPr>
              <w:spacing w:line="360" w:lineRule="auto"/>
              <w:jc w:val="center"/>
              <w:rPr>
                <w:rFonts w:hint="eastAsia" w:ascii="仿宋_GB2312" w:hAnsi="宋体" w:eastAsia="仿宋_GB2312"/>
              </w:rPr>
            </w:pPr>
          </w:p>
        </w:tc>
        <w:tc>
          <w:tcPr>
            <w:tcW w:w="1365" w:type="dxa"/>
            <w:tcBorders>
              <w:top w:val="single" w:color="auto" w:sz="6" w:space="0"/>
              <w:left w:val="single" w:color="auto" w:sz="6" w:space="0"/>
              <w:bottom w:val="single" w:color="auto" w:sz="6" w:space="0"/>
              <w:right w:val="single" w:color="auto" w:sz="6" w:space="0"/>
            </w:tcBorders>
            <w:noWrap w:val="0"/>
            <w:vAlign w:val="center"/>
          </w:tcPr>
          <w:p>
            <w:pPr>
              <w:spacing w:line="360" w:lineRule="auto"/>
              <w:jc w:val="center"/>
              <w:rPr>
                <w:rFonts w:hint="eastAsia"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Pr>
        <w:tc>
          <w:tcPr>
            <w:tcW w:w="1683" w:type="dxa"/>
            <w:tcBorders>
              <w:top w:val="single" w:color="auto" w:sz="6" w:space="0"/>
              <w:left w:val="single" w:color="auto" w:sz="6" w:space="0"/>
              <w:bottom w:val="single" w:color="auto" w:sz="6" w:space="0"/>
              <w:right w:val="single" w:color="auto" w:sz="4" w:space="0"/>
            </w:tcBorders>
            <w:noWrap w:val="0"/>
            <w:vAlign w:val="center"/>
          </w:tcPr>
          <w:p>
            <w:pPr>
              <w:spacing w:line="360" w:lineRule="auto"/>
              <w:jc w:val="center"/>
              <w:rPr>
                <w:rFonts w:hint="eastAsia" w:ascii="仿宋_GB2312" w:hAnsi="宋体" w:eastAsia="仿宋_GB2312"/>
              </w:rPr>
            </w:pPr>
          </w:p>
        </w:tc>
        <w:tc>
          <w:tcPr>
            <w:tcW w:w="1470" w:type="dxa"/>
            <w:tcBorders>
              <w:top w:val="single" w:color="auto" w:sz="6" w:space="0"/>
              <w:left w:val="single" w:color="auto" w:sz="4" w:space="0"/>
              <w:bottom w:val="single" w:color="auto" w:sz="6" w:space="0"/>
              <w:right w:val="single" w:color="auto" w:sz="6" w:space="0"/>
            </w:tcBorders>
            <w:noWrap w:val="0"/>
            <w:vAlign w:val="center"/>
          </w:tcPr>
          <w:p>
            <w:pPr>
              <w:spacing w:line="360" w:lineRule="auto"/>
              <w:jc w:val="center"/>
              <w:rPr>
                <w:rFonts w:hint="eastAsia" w:ascii="仿宋_GB2312" w:hAnsi="宋体" w:eastAsia="仿宋_GB2312"/>
              </w:rPr>
            </w:pPr>
          </w:p>
        </w:tc>
        <w:tc>
          <w:tcPr>
            <w:tcW w:w="1785" w:type="dxa"/>
            <w:tcBorders>
              <w:top w:val="single" w:color="auto" w:sz="6" w:space="0"/>
              <w:left w:val="single" w:color="auto" w:sz="6" w:space="0"/>
              <w:bottom w:val="single" w:color="auto" w:sz="6" w:space="0"/>
              <w:right w:val="single" w:color="auto" w:sz="4" w:space="0"/>
            </w:tcBorders>
            <w:noWrap w:val="0"/>
            <w:vAlign w:val="center"/>
          </w:tcPr>
          <w:p>
            <w:pPr>
              <w:spacing w:line="360" w:lineRule="auto"/>
              <w:jc w:val="center"/>
              <w:rPr>
                <w:rFonts w:hint="eastAsia" w:ascii="仿宋_GB2312" w:hAnsi="宋体" w:eastAsia="仿宋_GB2312"/>
              </w:rPr>
            </w:pPr>
          </w:p>
        </w:tc>
        <w:tc>
          <w:tcPr>
            <w:tcW w:w="2940" w:type="dxa"/>
            <w:tcBorders>
              <w:top w:val="single" w:color="auto" w:sz="6" w:space="0"/>
              <w:left w:val="single" w:color="auto" w:sz="4" w:space="0"/>
              <w:bottom w:val="single" w:color="auto" w:sz="6" w:space="0"/>
              <w:right w:val="single" w:color="auto" w:sz="6" w:space="0"/>
            </w:tcBorders>
            <w:noWrap w:val="0"/>
            <w:vAlign w:val="center"/>
          </w:tcPr>
          <w:p>
            <w:pPr>
              <w:spacing w:line="360" w:lineRule="auto"/>
              <w:jc w:val="center"/>
              <w:rPr>
                <w:rFonts w:hint="eastAsia" w:ascii="仿宋_GB2312" w:hAnsi="宋体" w:eastAsia="仿宋_GB2312"/>
              </w:rPr>
            </w:pPr>
          </w:p>
        </w:tc>
        <w:tc>
          <w:tcPr>
            <w:tcW w:w="1365" w:type="dxa"/>
            <w:tcBorders>
              <w:top w:val="single" w:color="auto" w:sz="6" w:space="0"/>
              <w:left w:val="single" w:color="auto" w:sz="6" w:space="0"/>
              <w:bottom w:val="single" w:color="auto" w:sz="6" w:space="0"/>
              <w:right w:val="single" w:color="auto" w:sz="6" w:space="0"/>
            </w:tcBorders>
            <w:noWrap w:val="0"/>
            <w:vAlign w:val="center"/>
          </w:tcPr>
          <w:p>
            <w:pPr>
              <w:spacing w:line="360" w:lineRule="auto"/>
              <w:jc w:val="center"/>
              <w:rPr>
                <w:rFonts w:hint="eastAsia"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Pr>
        <w:tc>
          <w:tcPr>
            <w:tcW w:w="1683" w:type="dxa"/>
            <w:tcBorders>
              <w:top w:val="single" w:color="auto" w:sz="6" w:space="0"/>
              <w:left w:val="single" w:color="auto" w:sz="6" w:space="0"/>
              <w:bottom w:val="single" w:color="auto" w:sz="6" w:space="0"/>
              <w:right w:val="single" w:color="auto" w:sz="4" w:space="0"/>
            </w:tcBorders>
            <w:noWrap w:val="0"/>
            <w:vAlign w:val="center"/>
          </w:tcPr>
          <w:p>
            <w:pPr>
              <w:spacing w:line="360" w:lineRule="auto"/>
              <w:jc w:val="center"/>
              <w:rPr>
                <w:rFonts w:hint="eastAsia" w:ascii="仿宋_GB2312" w:hAnsi="宋体" w:eastAsia="仿宋_GB2312"/>
              </w:rPr>
            </w:pPr>
          </w:p>
        </w:tc>
        <w:tc>
          <w:tcPr>
            <w:tcW w:w="1470" w:type="dxa"/>
            <w:tcBorders>
              <w:top w:val="single" w:color="auto" w:sz="6" w:space="0"/>
              <w:left w:val="single" w:color="auto" w:sz="4" w:space="0"/>
              <w:bottom w:val="single" w:color="auto" w:sz="6" w:space="0"/>
              <w:right w:val="single" w:color="auto" w:sz="6" w:space="0"/>
            </w:tcBorders>
            <w:noWrap w:val="0"/>
            <w:vAlign w:val="center"/>
          </w:tcPr>
          <w:p>
            <w:pPr>
              <w:spacing w:line="360" w:lineRule="auto"/>
              <w:jc w:val="center"/>
              <w:rPr>
                <w:rFonts w:hint="eastAsia" w:ascii="仿宋_GB2312" w:hAnsi="宋体" w:eastAsia="仿宋_GB2312"/>
              </w:rPr>
            </w:pPr>
          </w:p>
        </w:tc>
        <w:tc>
          <w:tcPr>
            <w:tcW w:w="1785" w:type="dxa"/>
            <w:tcBorders>
              <w:top w:val="single" w:color="auto" w:sz="6" w:space="0"/>
              <w:left w:val="single" w:color="auto" w:sz="6" w:space="0"/>
              <w:bottom w:val="single" w:color="auto" w:sz="6" w:space="0"/>
              <w:right w:val="single" w:color="auto" w:sz="4" w:space="0"/>
            </w:tcBorders>
            <w:noWrap w:val="0"/>
            <w:vAlign w:val="center"/>
          </w:tcPr>
          <w:p>
            <w:pPr>
              <w:spacing w:line="360" w:lineRule="auto"/>
              <w:jc w:val="center"/>
              <w:rPr>
                <w:rFonts w:hint="eastAsia" w:ascii="仿宋_GB2312" w:hAnsi="宋体" w:eastAsia="仿宋_GB2312"/>
              </w:rPr>
            </w:pPr>
          </w:p>
        </w:tc>
        <w:tc>
          <w:tcPr>
            <w:tcW w:w="2940" w:type="dxa"/>
            <w:tcBorders>
              <w:top w:val="single" w:color="auto" w:sz="6" w:space="0"/>
              <w:left w:val="single" w:color="auto" w:sz="4" w:space="0"/>
              <w:bottom w:val="single" w:color="auto" w:sz="6" w:space="0"/>
              <w:right w:val="single" w:color="auto" w:sz="6" w:space="0"/>
            </w:tcBorders>
            <w:noWrap w:val="0"/>
            <w:vAlign w:val="center"/>
          </w:tcPr>
          <w:p>
            <w:pPr>
              <w:spacing w:line="360" w:lineRule="auto"/>
              <w:jc w:val="center"/>
              <w:rPr>
                <w:rFonts w:hint="eastAsia" w:ascii="仿宋_GB2312" w:hAnsi="宋体" w:eastAsia="仿宋_GB2312"/>
              </w:rPr>
            </w:pPr>
          </w:p>
        </w:tc>
        <w:tc>
          <w:tcPr>
            <w:tcW w:w="1365" w:type="dxa"/>
            <w:tcBorders>
              <w:top w:val="single" w:color="auto" w:sz="6" w:space="0"/>
              <w:left w:val="single" w:color="auto" w:sz="6" w:space="0"/>
              <w:bottom w:val="single" w:color="auto" w:sz="6" w:space="0"/>
              <w:right w:val="single" w:color="auto" w:sz="6" w:space="0"/>
            </w:tcBorders>
            <w:noWrap w:val="0"/>
            <w:vAlign w:val="center"/>
          </w:tcPr>
          <w:p>
            <w:pPr>
              <w:spacing w:line="360" w:lineRule="auto"/>
              <w:jc w:val="center"/>
              <w:rPr>
                <w:rFonts w:hint="eastAsia"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Pr>
        <w:tc>
          <w:tcPr>
            <w:tcW w:w="1683" w:type="dxa"/>
            <w:tcBorders>
              <w:top w:val="single" w:color="auto" w:sz="6" w:space="0"/>
              <w:left w:val="single" w:color="auto" w:sz="6" w:space="0"/>
              <w:bottom w:val="single" w:color="auto" w:sz="6" w:space="0"/>
              <w:right w:val="single" w:color="auto" w:sz="4" w:space="0"/>
            </w:tcBorders>
            <w:noWrap w:val="0"/>
            <w:vAlign w:val="center"/>
          </w:tcPr>
          <w:p>
            <w:pPr>
              <w:spacing w:line="360" w:lineRule="auto"/>
              <w:jc w:val="center"/>
              <w:rPr>
                <w:rFonts w:hint="eastAsia" w:ascii="仿宋_GB2312" w:hAnsi="宋体" w:eastAsia="仿宋_GB2312"/>
              </w:rPr>
            </w:pPr>
          </w:p>
        </w:tc>
        <w:tc>
          <w:tcPr>
            <w:tcW w:w="1470" w:type="dxa"/>
            <w:tcBorders>
              <w:top w:val="single" w:color="auto" w:sz="6" w:space="0"/>
              <w:left w:val="single" w:color="auto" w:sz="4" w:space="0"/>
              <w:bottom w:val="single" w:color="auto" w:sz="6" w:space="0"/>
              <w:right w:val="single" w:color="auto" w:sz="6" w:space="0"/>
            </w:tcBorders>
            <w:noWrap w:val="0"/>
            <w:vAlign w:val="center"/>
          </w:tcPr>
          <w:p>
            <w:pPr>
              <w:spacing w:line="360" w:lineRule="auto"/>
              <w:jc w:val="center"/>
              <w:rPr>
                <w:rFonts w:hint="eastAsia" w:ascii="仿宋_GB2312" w:hAnsi="宋体" w:eastAsia="仿宋_GB2312"/>
              </w:rPr>
            </w:pPr>
          </w:p>
        </w:tc>
        <w:tc>
          <w:tcPr>
            <w:tcW w:w="1785" w:type="dxa"/>
            <w:tcBorders>
              <w:top w:val="single" w:color="auto" w:sz="6" w:space="0"/>
              <w:left w:val="single" w:color="auto" w:sz="6" w:space="0"/>
              <w:bottom w:val="single" w:color="auto" w:sz="6" w:space="0"/>
              <w:right w:val="single" w:color="auto" w:sz="4" w:space="0"/>
            </w:tcBorders>
            <w:noWrap w:val="0"/>
            <w:vAlign w:val="center"/>
          </w:tcPr>
          <w:p>
            <w:pPr>
              <w:spacing w:line="360" w:lineRule="auto"/>
              <w:jc w:val="center"/>
              <w:rPr>
                <w:rFonts w:hint="eastAsia" w:ascii="仿宋_GB2312" w:hAnsi="宋体" w:eastAsia="仿宋_GB2312"/>
              </w:rPr>
            </w:pPr>
          </w:p>
        </w:tc>
        <w:tc>
          <w:tcPr>
            <w:tcW w:w="2940" w:type="dxa"/>
            <w:tcBorders>
              <w:top w:val="single" w:color="auto" w:sz="6" w:space="0"/>
              <w:left w:val="single" w:color="auto" w:sz="4" w:space="0"/>
              <w:bottom w:val="single" w:color="auto" w:sz="6" w:space="0"/>
              <w:right w:val="single" w:color="auto" w:sz="6" w:space="0"/>
            </w:tcBorders>
            <w:noWrap w:val="0"/>
            <w:vAlign w:val="center"/>
          </w:tcPr>
          <w:p>
            <w:pPr>
              <w:spacing w:line="360" w:lineRule="auto"/>
              <w:jc w:val="center"/>
              <w:rPr>
                <w:rFonts w:hint="eastAsia" w:ascii="仿宋_GB2312" w:hAnsi="宋体" w:eastAsia="仿宋_GB2312"/>
              </w:rPr>
            </w:pPr>
          </w:p>
        </w:tc>
        <w:tc>
          <w:tcPr>
            <w:tcW w:w="1365" w:type="dxa"/>
            <w:tcBorders>
              <w:top w:val="single" w:color="auto" w:sz="6" w:space="0"/>
              <w:left w:val="single" w:color="auto" w:sz="6" w:space="0"/>
              <w:bottom w:val="single" w:color="auto" w:sz="6" w:space="0"/>
              <w:right w:val="single" w:color="auto" w:sz="6" w:space="0"/>
            </w:tcBorders>
            <w:noWrap w:val="0"/>
            <w:vAlign w:val="center"/>
          </w:tcPr>
          <w:p>
            <w:pPr>
              <w:spacing w:line="360" w:lineRule="auto"/>
              <w:jc w:val="center"/>
              <w:rPr>
                <w:rFonts w:hint="eastAsia"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Pr>
        <w:tc>
          <w:tcPr>
            <w:tcW w:w="1683" w:type="dxa"/>
            <w:tcBorders>
              <w:top w:val="single" w:color="auto" w:sz="6" w:space="0"/>
              <w:left w:val="single" w:color="auto" w:sz="6" w:space="0"/>
              <w:bottom w:val="single" w:color="auto" w:sz="6" w:space="0"/>
              <w:right w:val="single" w:color="auto" w:sz="4" w:space="0"/>
            </w:tcBorders>
            <w:noWrap w:val="0"/>
            <w:vAlign w:val="center"/>
          </w:tcPr>
          <w:p>
            <w:pPr>
              <w:spacing w:line="360" w:lineRule="auto"/>
              <w:jc w:val="center"/>
              <w:rPr>
                <w:rFonts w:hint="eastAsia" w:ascii="仿宋_GB2312" w:hAnsi="宋体" w:eastAsia="仿宋_GB2312"/>
              </w:rPr>
            </w:pPr>
          </w:p>
        </w:tc>
        <w:tc>
          <w:tcPr>
            <w:tcW w:w="1470" w:type="dxa"/>
            <w:tcBorders>
              <w:top w:val="single" w:color="auto" w:sz="6" w:space="0"/>
              <w:left w:val="single" w:color="auto" w:sz="4" w:space="0"/>
              <w:bottom w:val="single" w:color="auto" w:sz="6" w:space="0"/>
              <w:right w:val="single" w:color="auto" w:sz="6" w:space="0"/>
            </w:tcBorders>
            <w:noWrap w:val="0"/>
            <w:vAlign w:val="center"/>
          </w:tcPr>
          <w:p>
            <w:pPr>
              <w:spacing w:line="360" w:lineRule="auto"/>
              <w:jc w:val="center"/>
              <w:rPr>
                <w:rFonts w:hint="eastAsia" w:ascii="仿宋_GB2312" w:hAnsi="宋体" w:eastAsia="仿宋_GB2312"/>
              </w:rPr>
            </w:pPr>
          </w:p>
        </w:tc>
        <w:tc>
          <w:tcPr>
            <w:tcW w:w="1785" w:type="dxa"/>
            <w:tcBorders>
              <w:top w:val="single" w:color="auto" w:sz="6" w:space="0"/>
              <w:left w:val="single" w:color="auto" w:sz="6" w:space="0"/>
              <w:bottom w:val="single" w:color="auto" w:sz="6" w:space="0"/>
              <w:right w:val="single" w:color="auto" w:sz="4" w:space="0"/>
            </w:tcBorders>
            <w:noWrap w:val="0"/>
            <w:vAlign w:val="center"/>
          </w:tcPr>
          <w:p>
            <w:pPr>
              <w:spacing w:line="360" w:lineRule="auto"/>
              <w:jc w:val="center"/>
              <w:rPr>
                <w:rFonts w:hint="eastAsia" w:ascii="仿宋_GB2312" w:hAnsi="宋体" w:eastAsia="仿宋_GB2312"/>
              </w:rPr>
            </w:pPr>
          </w:p>
        </w:tc>
        <w:tc>
          <w:tcPr>
            <w:tcW w:w="2940" w:type="dxa"/>
            <w:tcBorders>
              <w:top w:val="single" w:color="auto" w:sz="6" w:space="0"/>
              <w:left w:val="single" w:color="auto" w:sz="4" w:space="0"/>
              <w:bottom w:val="single" w:color="auto" w:sz="6" w:space="0"/>
              <w:right w:val="single" w:color="auto" w:sz="6" w:space="0"/>
            </w:tcBorders>
            <w:noWrap w:val="0"/>
            <w:vAlign w:val="center"/>
          </w:tcPr>
          <w:p>
            <w:pPr>
              <w:spacing w:line="360" w:lineRule="auto"/>
              <w:jc w:val="center"/>
              <w:rPr>
                <w:rFonts w:hint="eastAsia" w:ascii="仿宋_GB2312" w:hAnsi="宋体" w:eastAsia="仿宋_GB2312"/>
              </w:rPr>
            </w:pPr>
          </w:p>
        </w:tc>
        <w:tc>
          <w:tcPr>
            <w:tcW w:w="1365" w:type="dxa"/>
            <w:tcBorders>
              <w:top w:val="single" w:color="auto" w:sz="6" w:space="0"/>
              <w:left w:val="single" w:color="auto" w:sz="6" w:space="0"/>
              <w:bottom w:val="single" w:color="auto" w:sz="6" w:space="0"/>
              <w:right w:val="single" w:color="auto" w:sz="6" w:space="0"/>
            </w:tcBorders>
            <w:noWrap w:val="0"/>
            <w:vAlign w:val="center"/>
          </w:tcPr>
          <w:p>
            <w:pPr>
              <w:spacing w:line="360" w:lineRule="auto"/>
              <w:jc w:val="center"/>
              <w:rPr>
                <w:rFonts w:hint="eastAsia"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Pr>
        <w:tc>
          <w:tcPr>
            <w:tcW w:w="1683" w:type="dxa"/>
            <w:tcBorders>
              <w:top w:val="single" w:color="auto" w:sz="6" w:space="0"/>
              <w:left w:val="single" w:color="auto" w:sz="6" w:space="0"/>
              <w:bottom w:val="single" w:color="auto" w:sz="6" w:space="0"/>
              <w:right w:val="single" w:color="auto" w:sz="4" w:space="0"/>
            </w:tcBorders>
            <w:noWrap w:val="0"/>
            <w:vAlign w:val="center"/>
          </w:tcPr>
          <w:p>
            <w:pPr>
              <w:spacing w:line="360" w:lineRule="auto"/>
              <w:jc w:val="center"/>
              <w:rPr>
                <w:rFonts w:hint="eastAsia" w:ascii="仿宋_GB2312" w:hAnsi="宋体" w:eastAsia="仿宋_GB2312"/>
              </w:rPr>
            </w:pPr>
          </w:p>
        </w:tc>
        <w:tc>
          <w:tcPr>
            <w:tcW w:w="1470" w:type="dxa"/>
            <w:tcBorders>
              <w:top w:val="single" w:color="auto" w:sz="6" w:space="0"/>
              <w:left w:val="single" w:color="auto" w:sz="4" w:space="0"/>
              <w:bottom w:val="single" w:color="auto" w:sz="6" w:space="0"/>
              <w:right w:val="single" w:color="auto" w:sz="6" w:space="0"/>
            </w:tcBorders>
            <w:noWrap w:val="0"/>
            <w:vAlign w:val="center"/>
          </w:tcPr>
          <w:p>
            <w:pPr>
              <w:spacing w:line="360" w:lineRule="auto"/>
              <w:jc w:val="center"/>
              <w:rPr>
                <w:rFonts w:hint="eastAsia" w:ascii="仿宋_GB2312" w:hAnsi="宋体" w:eastAsia="仿宋_GB2312"/>
              </w:rPr>
            </w:pPr>
          </w:p>
        </w:tc>
        <w:tc>
          <w:tcPr>
            <w:tcW w:w="1785" w:type="dxa"/>
            <w:tcBorders>
              <w:top w:val="single" w:color="auto" w:sz="6" w:space="0"/>
              <w:left w:val="single" w:color="auto" w:sz="6" w:space="0"/>
              <w:bottom w:val="single" w:color="auto" w:sz="6" w:space="0"/>
              <w:right w:val="single" w:color="auto" w:sz="4" w:space="0"/>
            </w:tcBorders>
            <w:noWrap w:val="0"/>
            <w:vAlign w:val="center"/>
          </w:tcPr>
          <w:p>
            <w:pPr>
              <w:spacing w:line="360" w:lineRule="auto"/>
              <w:jc w:val="center"/>
              <w:rPr>
                <w:rFonts w:hint="eastAsia" w:ascii="仿宋_GB2312" w:hAnsi="宋体" w:eastAsia="仿宋_GB2312"/>
              </w:rPr>
            </w:pPr>
          </w:p>
        </w:tc>
        <w:tc>
          <w:tcPr>
            <w:tcW w:w="2940" w:type="dxa"/>
            <w:tcBorders>
              <w:top w:val="single" w:color="auto" w:sz="6" w:space="0"/>
              <w:left w:val="single" w:color="auto" w:sz="4" w:space="0"/>
              <w:bottom w:val="single" w:color="auto" w:sz="6" w:space="0"/>
              <w:right w:val="single" w:color="auto" w:sz="6" w:space="0"/>
            </w:tcBorders>
            <w:noWrap w:val="0"/>
            <w:vAlign w:val="center"/>
          </w:tcPr>
          <w:p>
            <w:pPr>
              <w:spacing w:line="360" w:lineRule="auto"/>
              <w:jc w:val="center"/>
              <w:rPr>
                <w:rFonts w:hint="eastAsia" w:ascii="仿宋_GB2312" w:hAnsi="宋体" w:eastAsia="仿宋_GB2312"/>
              </w:rPr>
            </w:pPr>
          </w:p>
        </w:tc>
        <w:tc>
          <w:tcPr>
            <w:tcW w:w="1365" w:type="dxa"/>
            <w:tcBorders>
              <w:top w:val="single" w:color="auto" w:sz="6" w:space="0"/>
              <w:left w:val="single" w:color="auto" w:sz="6" w:space="0"/>
              <w:bottom w:val="single" w:color="auto" w:sz="6" w:space="0"/>
              <w:right w:val="single" w:color="auto" w:sz="6" w:space="0"/>
            </w:tcBorders>
            <w:noWrap w:val="0"/>
            <w:vAlign w:val="center"/>
          </w:tcPr>
          <w:p>
            <w:pPr>
              <w:spacing w:line="360" w:lineRule="auto"/>
              <w:jc w:val="center"/>
              <w:rPr>
                <w:rFonts w:hint="eastAsia"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Pr>
        <w:tc>
          <w:tcPr>
            <w:tcW w:w="1683" w:type="dxa"/>
            <w:tcBorders>
              <w:top w:val="single" w:color="auto" w:sz="6" w:space="0"/>
              <w:left w:val="single" w:color="auto" w:sz="6" w:space="0"/>
              <w:bottom w:val="single" w:color="auto" w:sz="6" w:space="0"/>
              <w:right w:val="single" w:color="auto" w:sz="4" w:space="0"/>
            </w:tcBorders>
            <w:noWrap w:val="0"/>
            <w:vAlign w:val="center"/>
          </w:tcPr>
          <w:p>
            <w:pPr>
              <w:spacing w:line="360" w:lineRule="auto"/>
              <w:jc w:val="center"/>
              <w:rPr>
                <w:rFonts w:hint="eastAsia" w:ascii="仿宋_GB2312" w:hAnsi="宋体" w:eastAsia="仿宋_GB2312"/>
              </w:rPr>
            </w:pPr>
          </w:p>
        </w:tc>
        <w:tc>
          <w:tcPr>
            <w:tcW w:w="1470" w:type="dxa"/>
            <w:tcBorders>
              <w:top w:val="single" w:color="auto" w:sz="6" w:space="0"/>
              <w:left w:val="single" w:color="auto" w:sz="4" w:space="0"/>
              <w:bottom w:val="single" w:color="auto" w:sz="6" w:space="0"/>
              <w:right w:val="single" w:color="auto" w:sz="6" w:space="0"/>
            </w:tcBorders>
            <w:noWrap w:val="0"/>
            <w:vAlign w:val="center"/>
          </w:tcPr>
          <w:p>
            <w:pPr>
              <w:spacing w:line="360" w:lineRule="auto"/>
              <w:jc w:val="center"/>
              <w:rPr>
                <w:rFonts w:hint="eastAsia" w:ascii="仿宋_GB2312" w:hAnsi="宋体" w:eastAsia="仿宋_GB2312"/>
              </w:rPr>
            </w:pPr>
          </w:p>
        </w:tc>
        <w:tc>
          <w:tcPr>
            <w:tcW w:w="1785" w:type="dxa"/>
            <w:tcBorders>
              <w:top w:val="single" w:color="auto" w:sz="6" w:space="0"/>
              <w:left w:val="single" w:color="auto" w:sz="6" w:space="0"/>
              <w:bottom w:val="single" w:color="auto" w:sz="6" w:space="0"/>
              <w:right w:val="single" w:color="auto" w:sz="4" w:space="0"/>
            </w:tcBorders>
            <w:noWrap w:val="0"/>
            <w:vAlign w:val="center"/>
          </w:tcPr>
          <w:p>
            <w:pPr>
              <w:spacing w:line="360" w:lineRule="auto"/>
              <w:jc w:val="center"/>
              <w:rPr>
                <w:rFonts w:hint="eastAsia" w:ascii="仿宋_GB2312" w:hAnsi="宋体" w:eastAsia="仿宋_GB2312"/>
              </w:rPr>
            </w:pPr>
          </w:p>
        </w:tc>
        <w:tc>
          <w:tcPr>
            <w:tcW w:w="2940" w:type="dxa"/>
            <w:tcBorders>
              <w:top w:val="single" w:color="auto" w:sz="6" w:space="0"/>
              <w:left w:val="single" w:color="auto" w:sz="4" w:space="0"/>
              <w:bottom w:val="single" w:color="auto" w:sz="6" w:space="0"/>
              <w:right w:val="single" w:color="auto" w:sz="6" w:space="0"/>
            </w:tcBorders>
            <w:noWrap w:val="0"/>
            <w:vAlign w:val="center"/>
          </w:tcPr>
          <w:p>
            <w:pPr>
              <w:spacing w:line="360" w:lineRule="auto"/>
              <w:jc w:val="center"/>
              <w:rPr>
                <w:rFonts w:hint="eastAsia" w:ascii="仿宋_GB2312" w:hAnsi="宋体" w:eastAsia="仿宋_GB2312"/>
              </w:rPr>
            </w:pPr>
          </w:p>
        </w:tc>
        <w:tc>
          <w:tcPr>
            <w:tcW w:w="1365" w:type="dxa"/>
            <w:tcBorders>
              <w:top w:val="single" w:color="auto" w:sz="6" w:space="0"/>
              <w:left w:val="single" w:color="auto" w:sz="6" w:space="0"/>
              <w:bottom w:val="single" w:color="auto" w:sz="6" w:space="0"/>
              <w:right w:val="single" w:color="auto" w:sz="6" w:space="0"/>
            </w:tcBorders>
            <w:noWrap w:val="0"/>
            <w:vAlign w:val="center"/>
          </w:tcPr>
          <w:p>
            <w:pPr>
              <w:spacing w:line="360" w:lineRule="auto"/>
              <w:jc w:val="center"/>
              <w:rPr>
                <w:rFonts w:hint="eastAsia"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Pr>
        <w:tc>
          <w:tcPr>
            <w:tcW w:w="1683" w:type="dxa"/>
            <w:tcBorders>
              <w:top w:val="single" w:color="auto" w:sz="6" w:space="0"/>
              <w:left w:val="single" w:color="auto" w:sz="6" w:space="0"/>
              <w:bottom w:val="single" w:color="auto" w:sz="6" w:space="0"/>
              <w:right w:val="single" w:color="auto" w:sz="4" w:space="0"/>
            </w:tcBorders>
            <w:noWrap w:val="0"/>
            <w:vAlign w:val="center"/>
          </w:tcPr>
          <w:p>
            <w:pPr>
              <w:spacing w:line="360" w:lineRule="auto"/>
              <w:jc w:val="center"/>
              <w:rPr>
                <w:rFonts w:hint="eastAsia" w:ascii="仿宋_GB2312" w:hAnsi="宋体" w:eastAsia="仿宋_GB2312"/>
              </w:rPr>
            </w:pPr>
          </w:p>
        </w:tc>
        <w:tc>
          <w:tcPr>
            <w:tcW w:w="1470" w:type="dxa"/>
            <w:tcBorders>
              <w:top w:val="single" w:color="auto" w:sz="6" w:space="0"/>
              <w:left w:val="single" w:color="auto" w:sz="4" w:space="0"/>
              <w:bottom w:val="single" w:color="auto" w:sz="6" w:space="0"/>
              <w:right w:val="single" w:color="auto" w:sz="6" w:space="0"/>
            </w:tcBorders>
            <w:noWrap w:val="0"/>
            <w:vAlign w:val="center"/>
          </w:tcPr>
          <w:p>
            <w:pPr>
              <w:spacing w:line="360" w:lineRule="auto"/>
              <w:jc w:val="center"/>
              <w:rPr>
                <w:rFonts w:hint="eastAsia" w:ascii="仿宋_GB2312" w:hAnsi="宋体" w:eastAsia="仿宋_GB2312"/>
              </w:rPr>
            </w:pPr>
          </w:p>
        </w:tc>
        <w:tc>
          <w:tcPr>
            <w:tcW w:w="1785" w:type="dxa"/>
            <w:tcBorders>
              <w:top w:val="single" w:color="auto" w:sz="6" w:space="0"/>
              <w:left w:val="single" w:color="auto" w:sz="6" w:space="0"/>
              <w:bottom w:val="single" w:color="auto" w:sz="6" w:space="0"/>
              <w:right w:val="single" w:color="auto" w:sz="4" w:space="0"/>
            </w:tcBorders>
            <w:noWrap w:val="0"/>
            <w:vAlign w:val="center"/>
          </w:tcPr>
          <w:p>
            <w:pPr>
              <w:spacing w:line="360" w:lineRule="auto"/>
              <w:jc w:val="center"/>
              <w:rPr>
                <w:rFonts w:hint="eastAsia" w:ascii="仿宋_GB2312" w:hAnsi="宋体" w:eastAsia="仿宋_GB2312"/>
              </w:rPr>
            </w:pPr>
          </w:p>
        </w:tc>
        <w:tc>
          <w:tcPr>
            <w:tcW w:w="2940" w:type="dxa"/>
            <w:tcBorders>
              <w:top w:val="single" w:color="auto" w:sz="6" w:space="0"/>
              <w:left w:val="single" w:color="auto" w:sz="4" w:space="0"/>
              <w:bottom w:val="single" w:color="auto" w:sz="6" w:space="0"/>
              <w:right w:val="single" w:color="auto" w:sz="6" w:space="0"/>
            </w:tcBorders>
            <w:noWrap w:val="0"/>
            <w:vAlign w:val="center"/>
          </w:tcPr>
          <w:p>
            <w:pPr>
              <w:spacing w:line="360" w:lineRule="auto"/>
              <w:jc w:val="center"/>
              <w:rPr>
                <w:rFonts w:hint="eastAsia" w:ascii="仿宋_GB2312" w:hAnsi="宋体" w:eastAsia="仿宋_GB2312"/>
              </w:rPr>
            </w:pPr>
          </w:p>
        </w:tc>
        <w:tc>
          <w:tcPr>
            <w:tcW w:w="1365" w:type="dxa"/>
            <w:tcBorders>
              <w:top w:val="single" w:color="auto" w:sz="6" w:space="0"/>
              <w:left w:val="single" w:color="auto" w:sz="6" w:space="0"/>
              <w:bottom w:val="single" w:color="auto" w:sz="6" w:space="0"/>
              <w:right w:val="single" w:color="auto" w:sz="6" w:space="0"/>
            </w:tcBorders>
            <w:noWrap w:val="0"/>
            <w:vAlign w:val="center"/>
          </w:tcPr>
          <w:p>
            <w:pPr>
              <w:spacing w:line="360" w:lineRule="auto"/>
              <w:jc w:val="center"/>
              <w:rPr>
                <w:rFonts w:hint="eastAsia"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Pr>
        <w:tc>
          <w:tcPr>
            <w:tcW w:w="1683" w:type="dxa"/>
            <w:tcBorders>
              <w:top w:val="single" w:color="auto" w:sz="6" w:space="0"/>
              <w:left w:val="single" w:color="auto" w:sz="6" w:space="0"/>
              <w:bottom w:val="single" w:color="auto" w:sz="6" w:space="0"/>
              <w:right w:val="single" w:color="auto" w:sz="4" w:space="0"/>
            </w:tcBorders>
            <w:noWrap w:val="0"/>
            <w:vAlign w:val="center"/>
          </w:tcPr>
          <w:p>
            <w:pPr>
              <w:spacing w:line="360" w:lineRule="auto"/>
              <w:jc w:val="center"/>
              <w:rPr>
                <w:rFonts w:hint="eastAsia" w:ascii="仿宋_GB2312" w:hAnsi="宋体" w:eastAsia="仿宋_GB2312"/>
              </w:rPr>
            </w:pPr>
          </w:p>
        </w:tc>
        <w:tc>
          <w:tcPr>
            <w:tcW w:w="1470" w:type="dxa"/>
            <w:tcBorders>
              <w:top w:val="single" w:color="auto" w:sz="6" w:space="0"/>
              <w:left w:val="single" w:color="auto" w:sz="4" w:space="0"/>
              <w:bottom w:val="single" w:color="auto" w:sz="6" w:space="0"/>
              <w:right w:val="single" w:color="auto" w:sz="6" w:space="0"/>
            </w:tcBorders>
            <w:noWrap w:val="0"/>
            <w:vAlign w:val="center"/>
          </w:tcPr>
          <w:p>
            <w:pPr>
              <w:spacing w:line="360" w:lineRule="auto"/>
              <w:jc w:val="center"/>
              <w:rPr>
                <w:rFonts w:hint="eastAsia" w:ascii="仿宋_GB2312" w:hAnsi="宋体" w:eastAsia="仿宋_GB2312"/>
              </w:rPr>
            </w:pPr>
          </w:p>
        </w:tc>
        <w:tc>
          <w:tcPr>
            <w:tcW w:w="1785" w:type="dxa"/>
            <w:tcBorders>
              <w:top w:val="single" w:color="auto" w:sz="6" w:space="0"/>
              <w:left w:val="single" w:color="auto" w:sz="6" w:space="0"/>
              <w:bottom w:val="single" w:color="auto" w:sz="6" w:space="0"/>
              <w:right w:val="single" w:color="auto" w:sz="4" w:space="0"/>
            </w:tcBorders>
            <w:noWrap w:val="0"/>
            <w:vAlign w:val="center"/>
          </w:tcPr>
          <w:p>
            <w:pPr>
              <w:spacing w:line="360" w:lineRule="auto"/>
              <w:jc w:val="center"/>
              <w:rPr>
                <w:rFonts w:hint="eastAsia" w:ascii="仿宋_GB2312" w:hAnsi="宋体" w:eastAsia="仿宋_GB2312"/>
              </w:rPr>
            </w:pPr>
          </w:p>
        </w:tc>
        <w:tc>
          <w:tcPr>
            <w:tcW w:w="2940" w:type="dxa"/>
            <w:tcBorders>
              <w:top w:val="single" w:color="auto" w:sz="6" w:space="0"/>
              <w:left w:val="single" w:color="auto" w:sz="4" w:space="0"/>
              <w:bottom w:val="single" w:color="auto" w:sz="6" w:space="0"/>
              <w:right w:val="single" w:color="auto" w:sz="6" w:space="0"/>
            </w:tcBorders>
            <w:noWrap w:val="0"/>
            <w:vAlign w:val="center"/>
          </w:tcPr>
          <w:p>
            <w:pPr>
              <w:spacing w:line="360" w:lineRule="auto"/>
              <w:jc w:val="center"/>
              <w:rPr>
                <w:rFonts w:hint="eastAsia" w:ascii="仿宋_GB2312" w:hAnsi="宋体" w:eastAsia="仿宋_GB2312"/>
              </w:rPr>
            </w:pPr>
          </w:p>
        </w:tc>
        <w:tc>
          <w:tcPr>
            <w:tcW w:w="1365" w:type="dxa"/>
            <w:tcBorders>
              <w:top w:val="single" w:color="auto" w:sz="6" w:space="0"/>
              <w:left w:val="single" w:color="auto" w:sz="6" w:space="0"/>
              <w:bottom w:val="single" w:color="auto" w:sz="6" w:space="0"/>
              <w:right w:val="single" w:color="auto" w:sz="6" w:space="0"/>
            </w:tcBorders>
            <w:noWrap w:val="0"/>
            <w:vAlign w:val="center"/>
          </w:tcPr>
          <w:p>
            <w:pPr>
              <w:spacing w:line="360" w:lineRule="auto"/>
              <w:jc w:val="center"/>
              <w:rPr>
                <w:rFonts w:hint="eastAsia" w:ascii="仿宋_GB2312" w:hAnsi="宋体" w:eastAsia="仿宋_GB2312"/>
              </w:rPr>
            </w:pPr>
          </w:p>
        </w:tc>
      </w:tr>
    </w:tbl>
    <w:p>
      <w:pPr>
        <w:spacing w:line="360" w:lineRule="auto"/>
        <w:rPr>
          <w:rFonts w:hint="eastAsia" w:ascii="仿宋_GB2312" w:hAnsi="宋体" w:eastAsia="仿宋_GB2312"/>
          <w:b/>
          <w:sz w:val="30"/>
        </w:rPr>
      </w:pPr>
      <w:r>
        <w:rPr>
          <w:rFonts w:hint="eastAsia" w:ascii="仿宋_GB2312" w:hAnsi="宋体" w:eastAsia="仿宋_GB2312"/>
          <w:sz w:val="24"/>
        </w:rPr>
        <w:t>注：备品备件是指投标人为本次采购服务所准备的备品备件设备，</w:t>
      </w:r>
      <w:r>
        <w:rPr>
          <w:rFonts w:hint="eastAsia" w:ascii="仿宋_GB2312" w:eastAsia="仿宋_GB2312"/>
          <w:sz w:val="24"/>
        </w:rPr>
        <w:t>以保证出现故障时，可以在最短的时间内使用备品备件清单中的设备排除故障</w:t>
      </w:r>
      <w:r>
        <w:rPr>
          <w:rFonts w:hint="eastAsia" w:ascii="仿宋_GB2312" w:hAnsi="宋体" w:eastAsia="仿宋_GB2312"/>
          <w:sz w:val="24"/>
        </w:rPr>
        <w:t>。</w:t>
      </w:r>
    </w:p>
    <w:p>
      <w:pPr>
        <w:autoSpaceDE w:val="0"/>
        <w:autoSpaceDN w:val="0"/>
        <w:adjustRightInd w:val="0"/>
        <w:spacing w:line="420" w:lineRule="exact"/>
        <w:ind w:firstLine="4440" w:firstLineChars="1850"/>
        <w:rPr>
          <w:rFonts w:hint="eastAsia" w:ascii="仿宋_GB2312" w:eastAsia="仿宋_GB2312"/>
          <w:kern w:val="0"/>
          <w:sz w:val="24"/>
        </w:rPr>
      </w:pPr>
      <w:r>
        <w:rPr>
          <w:rFonts w:hint="eastAsia" w:ascii="仿宋_GB2312" w:eastAsia="仿宋_GB2312"/>
          <w:kern w:val="0"/>
          <w:sz w:val="24"/>
        </w:rPr>
        <w:t>投标人名称（公章）：</w:t>
      </w:r>
    </w:p>
    <w:p>
      <w:pPr>
        <w:autoSpaceDE w:val="0"/>
        <w:autoSpaceDN w:val="0"/>
        <w:adjustRightInd w:val="0"/>
        <w:spacing w:line="420" w:lineRule="exact"/>
        <w:rPr>
          <w:rFonts w:hint="eastAsia" w:ascii="仿宋_GB2312" w:eastAsia="仿宋_GB2312"/>
          <w:kern w:val="0"/>
          <w:sz w:val="24"/>
        </w:rPr>
      </w:pPr>
      <w:r>
        <w:rPr>
          <w:rFonts w:hint="eastAsia" w:ascii="仿宋_GB2312" w:eastAsia="仿宋_GB2312"/>
          <w:kern w:val="0"/>
          <w:sz w:val="24"/>
        </w:rPr>
        <w:t xml:space="preserve">                                     法定代表人或授权委托人（签字）：</w:t>
      </w:r>
    </w:p>
    <w:p>
      <w:pPr>
        <w:spacing w:line="360" w:lineRule="auto"/>
        <w:jc w:val="center"/>
        <w:rPr>
          <w:rFonts w:hint="eastAsia" w:ascii="仿宋_GB2312" w:eastAsia="仿宋_GB2312"/>
          <w:kern w:val="0"/>
          <w:sz w:val="24"/>
        </w:rPr>
      </w:pPr>
      <w:r>
        <w:rPr>
          <w:rFonts w:hint="eastAsia" w:ascii="仿宋_GB2312" w:eastAsia="仿宋_GB2312"/>
          <w:kern w:val="0"/>
          <w:sz w:val="24"/>
        </w:rPr>
        <w:t xml:space="preserve">                    日期：2019年  月   日</w:t>
      </w:r>
    </w:p>
    <w:p>
      <w:pPr>
        <w:spacing w:line="480" w:lineRule="exact"/>
        <w:jc w:val="center"/>
        <w:rPr>
          <w:rFonts w:hint="eastAsia" w:ascii="仿宋_GB2312" w:hAnsi="宋体" w:eastAsia="仿宋_GB2312"/>
          <w:b/>
          <w:sz w:val="30"/>
        </w:rPr>
      </w:pPr>
    </w:p>
    <w:p>
      <w:pPr>
        <w:spacing w:line="480" w:lineRule="exact"/>
        <w:jc w:val="center"/>
        <w:rPr>
          <w:rFonts w:hint="eastAsia" w:ascii="仿宋_GB2312" w:hAnsi="宋体" w:eastAsia="仿宋_GB2312"/>
          <w:b/>
          <w:sz w:val="30"/>
        </w:rPr>
      </w:pPr>
    </w:p>
    <w:p>
      <w:pPr>
        <w:spacing w:line="480" w:lineRule="exact"/>
        <w:jc w:val="center"/>
        <w:rPr>
          <w:rFonts w:hint="eastAsia" w:ascii="仿宋_GB2312" w:eastAsia="仿宋_GB2312"/>
          <w:b/>
          <w:kern w:val="0"/>
          <w:sz w:val="30"/>
          <w:lang w:val="zh-CN"/>
        </w:rPr>
      </w:pPr>
      <w:r>
        <w:rPr>
          <w:rFonts w:hint="eastAsia" w:ascii="仿宋_GB2312" w:hAnsi="宋体" w:eastAsia="仿宋_GB2312"/>
          <w:b/>
          <w:sz w:val="30"/>
        </w:rPr>
        <w:t>十九、</w:t>
      </w:r>
      <w:r>
        <w:rPr>
          <w:rFonts w:hint="eastAsia" w:ascii="仿宋_GB2312" w:eastAsia="仿宋_GB2312"/>
          <w:b/>
          <w:kern w:val="0"/>
          <w:sz w:val="30"/>
          <w:lang w:val="zh-CN"/>
        </w:rPr>
        <w:t>培训计划</w:t>
      </w:r>
    </w:p>
    <w:p>
      <w:pPr>
        <w:spacing w:line="480" w:lineRule="exact"/>
        <w:jc w:val="center"/>
        <w:rPr>
          <w:rFonts w:hint="eastAsia" w:ascii="仿宋_GB2312" w:eastAsia="仿宋_GB2312"/>
          <w:sz w:val="28"/>
        </w:rPr>
      </w:pPr>
      <w:r>
        <w:rPr>
          <w:rFonts w:hint="eastAsia" w:ascii="仿宋_GB2312" w:eastAsia="仿宋_GB2312"/>
          <w:sz w:val="28"/>
        </w:rPr>
        <w:t>（由投标人根据采购需求自行编制）</w:t>
      </w:r>
    </w:p>
    <w:p>
      <w:pPr>
        <w:keepNext/>
        <w:autoSpaceDE w:val="0"/>
        <w:autoSpaceDN w:val="0"/>
        <w:adjustRightInd w:val="0"/>
        <w:spacing w:line="440" w:lineRule="exact"/>
        <w:ind w:firstLine="477"/>
        <w:rPr>
          <w:rFonts w:hint="eastAsia" w:ascii="仿宋_GB2312" w:eastAsia="仿宋_GB2312"/>
          <w:b/>
          <w:sz w:val="24"/>
        </w:rPr>
      </w:pPr>
      <w:r>
        <w:rPr>
          <w:rFonts w:hint="eastAsia" w:ascii="仿宋_GB2312" w:eastAsia="仿宋_GB2312"/>
          <w:b/>
          <w:sz w:val="24"/>
        </w:rPr>
        <w:t>附表: 培训日程及费用</w:t>
      </w:r>
    </w:p>
    <w:tbl>
      <w:tblPr>
        <w:tblStyle w:val="64"/>
        <w:tblW w:w="0" w:type="auto"/>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wBefore w:w="0" w:type="dxa"/>
          <w:trHeight w:val="1013" w:hRule="atLeast"/>
        </w:trPr>
        <w:tc>
          <w:tcPr>
            <w:tcW w:w="1806" w:type="dxa"/>
            <w:tcBorders>
              <w:top w:val="single" w:color="auto" w:sz="6" w:space="0"/>
              <w:left w:val="single" w:color="auto" w:sz="6" w:space="0"/>
              <w:bottom w:val="nil"/>
              <w:right w:val="nil"/>
            </w:tcBorders>
            <w:shd w:val="pct10" w:color="auto" w:fill="auto"/>
            <w:noWrap w:val="0"/>
            <w:vAlign w:val="center"/>
          </w:tcPr>
          <w:p>
            <w:pPr>
              <w:tabs>
                <w:tab w:val="center" w:pos="1690"/>
              </w:tabs>
              <w:suppressAutoHyphens/>
              <w:autoSpaceDE w:val="0"/>
              <w:autoSpaceDN w:val="0"/>
              <w:adjustRightInd w:val="0"/>
              <w:spacing w:line="440" w:lineRule="exact"/>
              <w:jc w:val="center"/>
              <w:rPr>
                <w:rFonts w:hint="eastAsia" w:ascii="仿宋_GB2312" w:eastAsia="仿宋_GB2312"/>
                <w:sz w:val="24"/>
              </w:rPr>
            </w:pPr>
            <w:r>
              <w:rPr>
                <w:rFonts w:hint="eastAsia" w:ascii="仿宋_GB2312" w:eastAsia="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pPr>
              <w:tabs>
                <w:tab w:val="center" w:pos="595"/>
              </w:tabs>
              <w:suppressAutoHyphens/>
              <w:autoSpaceDE w:val="0"/>
              <w:autoSpaceDN w:val="0"/>
              <w:adjustRightInd w:val="0"/>
              <w:spacing w:line="440" w:lineRule="exact"/>
              <w:jc w:val="center"/>
              <w:rPr>
                <w:rFonts w:hint="eastAsia" w:ascii="仿宋_GB2312" w:eastAsia="仿宋_GB2312"/>
                <w:sz w:val="24"/>
              </w:rPr>
            </w:pPr>
            <w:r>
              <w:rPr>
                <w:rFonts w:hint="eastAsia" w:ascii="仿宋_GB2312" w:eastAsia="仿宋_GB2312"/>
                <w:sz w:val="24"/>
              </w:rPr>
              <w:t>提供的资料</w:t>
            </w:r>
          </w:p>
        </w:tc>
        <w:tc>
          <w:tcPr>
            <w:tcW w:w="930" w:type="dxa"/>
            <w:tcBorders>
              <w:top w:val="single" w:color="auto" w:sz="6" w:space="0"/>
              <w:left w:val="single" w:color="auto" w:sz="6" w:space="0"/>
              <w:bottom w:val="nil"/>
              <w:right w:val="nil"/>
            </w:tcBorders>
            <w:shd w:val="pct10" w:color="auto" w:fill="auto"/>
            <w:noWrap w:val="0"/>
            <w:vAlign w:val="center"/>
          </w:tcPr>
          <w:p>
            <w:pPr>
              <w:tabs>
                <w:tab w:val="center" w:pos="595"/>
              </w:tabs>
              <w:suppressAutoHyphens/>
              <w:autoSpaceDE w:val="0"/>
              <w:autoSpaceDN w:val="0"/>
              <w:adjustRightInd w:val="0"/>
              <w:spacing w:line="440" w:lineRule="exact"/>
              <w:jc w:val="center"/>
              <w:rPr>
                <w:rFonts w:hint="eastAsia" w:ascii="仿宋_GB2312" w:eastAsia="仿宋_GB2312"/>
                <w:sz w:val="24"/>
              </w:rPr>
            </w:pPr>
            <w:r>
              <w:rPr>
                <w:rFonts w:hint="eastAsia" w:ascii="仿宋_GB2312" w:eastAsia="仿宋_GB2312"/>
                <w:sz w:val="24"/>
              </w:rPr>
              <w:t>持续时间</w:t>
            </w:r>
          </w:p>
        </w:tc>
        <w:tc>
          <w:tcPr>
            <w:tcW w:w="953" w:type="dxa"/>
            <w:tcBorders>
              <w:top w:val="single" w:color="auto" w:sz="6" w:space="0"/>
              <w:left w:val="single" w:color="auto" w:sz="6" w:space="0"/>
              <w:bottom w:val="nil"/>
              <w:right w:val="nil"/>
            </w:tcBorders>
            <w:shd w:val="pct10" w:color="auto" w:fill="auto"/>
            <w:noWrap w:val="0"/>
            <w:vAlign w:val="center"/>
          </w:tcPr>
          <w:p>
            <w:pPr>
              <w:tabs>
                <w:tab w:val="center" w:pos="1028"/>
              </w:tabs>
              <w:suppressAutoHyphens/>
              <w:autoSpaceDE w:val="0"/>
              <w:autoSpaceDN w:val="0"/>
              <w:adjustRightInd w:val="0"/>
              <w:spacing w:line="440" w:lineRule="exact"/>
              <w:jc w:val="center"/>
              <w:rPr>
                <w:rFonts w:hint="eastAsia" w:ascii="仿宋_GB2312" w:eastAsia="仿宋_GB2312"/>
                <w:sz w:val="24"/>
              </w:rPr>
            </w:pPr>
            <w:r>
              <w:rPr>
                <w:rFonts w:hint="eastAsia" w:ascii="仿宋_GB2312" w:eastAsia="仿宋_GB2312"/>
                <w:sz w:val="24"/>
              </w:rPr>
              <w:t>授课教师</w:t>
            </w:r>
          </w:p>
        </w:tc>
        <w:tc>
          <w:tcPr>
            <w:tcW w:w="997" w:type="dxa"/>
            <w:tcBorders>
              <w:top w:val="single" w:color="auto" w:sz="6" w:space="0"/>
              <w:left w:val="single" w:color="auto" w:sz="6" w:space="0"/>
              <w:bottom w:val="nil"/>
              <w:right w:val="nil"/>
            </w:tcBorders>
            <w:shd w:val="pct10" w:color="auto" w:fill="auto"/>
            <w:noWrap w:val="0"/>
            <w:vAlign w:val="center"/>
          </w:tcPr>
          <w:p>
            <w:pPr>
              <w:tabs>
                <w:tab w:val="center" w:pos="595"/>
              </w:tabs>
              <w:suppressAutoHyphens/>
              <w:autoSpaceDE w:val="0"/>
              <w:autoSpaceDN w:val="0"/>
              <w:adjustRightInd w:val="0"/>
              <w:spacing w:line="440" w:lineRule="exact"/>
              <w:jc w:val="center"/>
              <w:rPr>
                <w:rFonts w:hint="eastAsia" w:ascii="仿宋_GB2312" w:eastAsia="仿宋_GB2312"/>
                <w:sz w:val="24"/>
              </w:rPr>
            </w:pPr>
            <w:r>
              <w:rPr>
                <w:rFonts w:hint="eastAsia" w:ascii="仿宋_GB2312" w:eastAsia="仿宋_GB2312"/>
                <w:sz w:val="24"/>
              </w:rPr>
              <w:t>培训对象</w:t>
            </w:r>
          </w:p>
        </w:tc>
        <w:tc>
          <w:tcPr>
            <w:tcW w:w="1440" w:type="dxa"/>
            <w:tcBorders>
              <w:top w:val="single" w:color="auto" w:sz="6" w:space="0"/>
              <w:left w:val="single" w:color="auto" w:sz="6" w:space="0"/>
              <w:bottom w:val="nil"/>
              <w:right w:val="nil"/>
            </w:tcBorders>
            <w:shd w:val="pct10" w:color="auto" w:fill="auto"/>
            <w:noWrap w:val="0"/>
            <w:vAlign w:val="center"/>
          </w:tcPr>
          <w:p>
            <w:pPr>
              <w:tabs>
                <w:tab w:val="center" w:pos="520"/>
              </w:tabs>
              <w:suppressAutoHyphens/>
              <w:autoSpaceDE w:val="0"/>
              <w:autoSpaceDN w:val="0"/>
              <w:adjustRightInd w:val="0"/>
              <w:spacing w:line="440" w:lineRule="exact"/>
              <w:jc w:val="center"/>
              <w:rPr>
                <w:rFonts w:hint="eastAsia" w:ascii="仿宋_GB2312" w:eastAsia="仿宋_GB2312"/>
                <w:sz w:val="24"/>
              </w:rPr>
            </w:pPr>
            <w:r>
              <w:rPr>
                <w:rFonts w:hint="eastAsia" w:ascii="仿宋_GB2312" w:eastAsia="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pPr>
              <w:suppressAutoHyphens/>
              <w:autoSpaceDE w:val="0"/>
              <w:autoSpaceDN w:val="0"/>
              <w:adjustRightInd w:val="0"/>
              <w:spacing w:line="440" w:lineRule="exact"/>
              <w:jc w:val="center"/>
              <w:rPr>
                <w:rFonts w:hint="eastAsia" w:ascii="仿宋_GB2312" w:eastAsia="仿宋_GB2312"/>
                <w:sz w:val="24"/>
              </w:rPr>
            </w:pPr>
            <w:r>
              <w:rPr>
                <w:rFonts w:hint="eastAsia" w:ascii="仿宋_GB2312" w:eastAsia="仿宋_GB2312"/>
                <w:sz w:val="24"/>
              </w:rPr>
              <w:t>课程费用</w:t>
            </w:r>
          </w:p>
        </w:tc>
      </w:tr>
      <w:tr>
        <w:tblPrEx>
          <w:tblCellMar>
            <w:top w:w="0" w:type="dxa"/>
            <w:left w:w="120" w:type="dxa"/>
            <w:bottom w:w="0" w:type="dxa"/>
            <w:right w:w="120" w:type="dxa"/>
          </w:tblCellMar>
        </w:tblPrEx>
        <w:trPr>
          <w:wBefore w:w="0" w:type="dxa"/>
          <w:trHeight w:val="398" w:hRule="atLeast"/>
        </w:trPr>
        <w:tc>
          <w:tcPr>
            <w:tcW w:w="1806" w:type="dxa"/>
            <w:tcBorders>
              <w:top w:val="single" w:color="auto" w:sz="6" w:space="0"/>
              <w:left w:val="single" w:color="auto" w:sz="6" w:space="0"/>
              <w:bottom w:val="nil"/>
              <w:right w:val="nil"/>
            </w:tcBorders>
            <w:noWrap w:val="0"/>
            <w:vAlign w:val="top"/>
          </w:tcPr>
          <w:p>
            <w:pPr>
              <w:tabs>
                <w:tab w:val="left" w:pos="589"/>
                <w:tab w:val="left" w:pos="1303"/>
                <w:tab w:val="left" w:pos="2017"/>
                <w:tab w:val="left" w:pos="2731"/>
                <w:tab w:val="left" w:pos="3445"/>
                <w:tab w:val="left" w:pos="4159"/>
                <w:tab w:val="left" w:pos="4873"/>
              </w:tabs>
              <w:suppressAutoHyphens/>
              <w:autoSpaceDE w:val="0"/>
              <w:autoSpaceDN w:val="0"/>
              <w:adjustRightInd w:val="0"/>
              <w:spacing w:line="440" w:lineRule="exact"/>
              <w:rPr>
                <w:rFonts w:hint="eastAsia" w:ascii="仿宋_GB2312" w:eastAsia="仿宋_GB2312"/>
                <w:sz w:val="24"/>
              </w:rPr>
            </w:pPr>
          </w:p>
        </w:tc>
        <w:tc>
          <w:tcPr>
            <w:tcW w:w="1254" w:type="dxa"/>
            <w:tcBorders>
              <w:top w:val="single" w:color="auto" w:sz="6" w:space="0"/>
              <w:left w:val="single" w:color="auto" w:sz="6" w:space="0"/>
              <w:bottom w:val="nil"/>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adjustRightInd w:val="0"/>
              <w:spacing w:line="440" w:lineRule="exact"/>
              <w:rPr>
                <w:rFonts w:hint="eastAsia" w:ascii="仿宋_GB2312" w:eastAsia="仿宋_GB2312"/>
                <w:sz w:val="24"/>
              </w:rPr>
            </w:pPr>
          </w:p>
        </w:tc>
        <w:tc>
          <w:tcPr>
            <w:tcW w:w="930" w:type="dxa"/>
            <w:tcBorders>
              <w:top w:val="single" w:color="auto" w:sz="6" w:space="0"/>
              <w:left w:val="single" w:color="auto" w:sz="6" w:space="0"/>
              <w:bottom w:val="nil"/>
              <w:right w:val="nil"/>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adjustRightInd w:val="0"/>
              <w:spacing w:line="440" w:lineRule="exact"/>
              <w:rPr>
                <w:rFonts w:hint="eastAsia" w:ascii="仿宋_GB2312" w:eastAsia="仿宋_GB2312"/>
                <w:sz w:val="24"/>
              </w:rPr>
            </w:pPr>
          </w:p>
        </w:tc>
        <w:tc>
          <w:tcPr>
            <w:tcW w:w="953" w:type="dxa"/>
            <w:tcBorders>
              <w:top w:val="single" w:color="auto" w:sz="6" w:space="0"/>
              <w:left w:val="single" w:color="auto" w:sz="6" w:space="0"/>
              <w:bottom w:val="nil"/>
              <w:right w:val="nil"/>
            </w:tcBorders>
            <w:noWrap w:val="0"/>
            <w:vAlign w:val="top"/>
          </w:tcPr>
          <w:p>
            <w:pPr>
              <w:tabs>
                <w:tab w:val="left" w:pos="573"/>
                <w:tab w:val="left" w:pos="1287"/>
                <w:tab w:val="left" w:pos="2001"/>
                <w:tab w:val="left" w:pos="2715"/>
                <w:tab w:val="left" w:pos="3429"/>
                <w:tab w:val="left" w:pos="4211"/>
                <w:tab w:val="left" w:pos="4643"/>
              </w:tabs>
              <w:suppressAutoHyphens/>
              <w:autoSpaceDE w:val="0"/>
              <w:autoSpaceDN w:val="0"/>
              <w:adjustRightInd w:val="0"/>
              <w:spacing w:line="440" w:lineRule="exact"/>
              <w:rPr>
                <w:rFonts w:hint="eastAsia" w:ascii="仿宋_GB2312" w:eastAsia="仿宋_GB2312"/>
                <w:sz w:val="24"/>
              </w:rPr>
            </w:pPr>
          </w:p>
        </w:tc>
        <w:tc>
          <w:tcPr>
            <w:tcW w:w="997" w:type="dxa"/>
            <w:tcBorders>
              <w:top w:val="single" w:color="auto" w:sz="6" w:space="0"/>
              <w:left w:val="single" w:color="auto" w:sz="6" w:space="0"/>
              <w:bottom w:val="nil"/>
              <w:right w:val="nil"/>
            </w:tcBorders>
            <w:noWrap w:val="0"/>
            <w:vAlign w:val="top"/>
          </w:tcPr>
          <w:p>
            <w:pPr>
              <w:tabs>
                <w:tab w:val="left" w:pos="440"/>
                <w:tab w:val="left" w:pos="1154"/>
                <w:tab w:val="left" w:pos="1936"/>
                <w:tab w:val="left" w:pos="2368"/>
              </w:tabs>
              <w:suppressAutoHyphens/>
              <w:autoSpaceDE w:val="0"/>
              <w:autoSpaceDN w:val="0"/>
              <w:adjustRightInd w:val="0"/>
              <w:spacing w:line="440" w:lineRule="exact"/>
              <w:rPr>
                <w:rFonts w:hint="eastAsia" w:ascii="仿宋_GB2312" w:eastAsia="仿宋_GB2312"/>
                <w:sz w:val="24"/>
              </w:rPr>
            </w:pPr>
          </w:p>
        </w:tc>
        <w:tc>
          <w:tcPr>
            <w:tcW w:w="1440" w:type="dxa"/>
            <w:tcBorders>
              <w:top w:val="single" w:color="auto" w:sz="6" w:space="0"/>
              <w:left w:val="single" w:color="auto" w:sz="6" w:space="0"/>
              <w:bottom w:val="nil"/>
              <w:right w:val="nil"/>
            </w:tcBorders>
            <w:noWrap w:val="0"/>
            <w:vAlign w:val="top"/>
          </w:tcPr>
          <w:p>
            <w:pPr>
              <w:tabs>
                <w:tab w:val="left" w:pos="589"/>
                <w:tab w:val="left" w:pos="1303"/>
                <w:tab w:val="left" w:pos="2017"/>
                <w:tab w:val="left" w:pos="2731"/>
                <w:tab w:val="left" w:pos="3445"/>
                <w:tab w:val="left" w:pos="4159"/>
                <w:tab w:val="left" w:pos="4873"/>
              </w:tabs>
              <w:suppressAutoHyphens/>
              <w:autoSpaceDE w:val="0"/>
              <w:autoSpaceDN w:val="0"/>
              <w:adjustRightInd w:val="0"/>
              <w:spacing w:line="440" w:lineRule="exact"/>
              <w:rPr>
                <w:rFonts w:hint="eastAsia" w:ascii="仿宋_GB2312" w:eastAsia="仿宋_GB2312"/>
                <w:sz w:val="24"/>
              </w:rPr>
            </w:pPr>
          </w:p>
        </w:tc>
        <w:tc>
          <w:tcPr>
            <w:tcW w:w="1620" w:type="dxa"/>
            <w:tcBorders>
              <w:top w:val="single" w:color="auto" w:sz="6" w:space="0"/>
              <w:left w:val="single" w:color="auto" w:sz="6" w:space="0"/>
              <w:bottom w:val="nil"/>
              <w:right w:val="single" w:color="auto" w:sz="6" w:space="0"/>
            </w:tcBorders>
            <w:noWrap w:val="0"/>
            <w:vAlign w:val="top"/>
          </w:tcPr>
          <w:p>
            <w:pPr>
              <w:suppressAutoHyphens/>
              <w:autoSpaceDE w:val="0"/>
              <w:autoSpaceDN w:val="0"/>
              <w:adjustRightInd w:val="0"/>
              <w:spacing w:line="440" w:lineRule="exact"/>
              <w:rPr>
                <w:rFonts w:hint="eastAsia" w:ascii="仿宋_GB2312" w:eastAsia="仿宋_GB2312"/>
                <w:sz w:val="24"/>
              </w:rPr>
            </w:pPr>
          </w:p>
        </w:tc>
      </w:tr>
      <w:tr>
        <w:tblPrEx>
          <w:tblCellMar>
            <w:top w:w="0" w:type="dxa"/>
            <w:left w:w="120" w:type="dxa"/>
            <w:bottom w:w="0" w:type="dxa"/>
            <w:right w:w="120" w:type="dxa"/>
          </w:tblCellMar>
        </w:tblPrEx>
        <w:trPr>
          <w:wBefore w:w="0" w:type="dxa"/>
        </w:trPr>
        <w:tc>
          <w:tcPr>
            <w:tcW w:w="1806" w:type="dxa"/>
            <w:tcBorders>
              <w:top w:val="single" w:color="auto" w:sz="6" w:space="0"/>
              <w:left w:val="single" w:color="auto" w:sz="6" w:space="0"/>
              <w:bottom w:val="nil"/>
              <w:right w:val="nil"/>
            </w:tcBorders>
            <w:noWrap w:val="0"/>
            <w:vAlign w:val="top"/>
          </w:tcPr>
          <w:p>
            <w:pPr>
              <w:tabs>
                <w:tab w:val="left" w:pos="589"/>
                <w:tab w:val="left" w:pos="1303"/>
                <w:tab w:val="left" w:pos="2017"/>
                <w:tab w:val="left" w:pos="2731"/>
                <w:tab w:val="left" w:pos="3445"/>
                <w:tab w:val="left" w:pos="4159"/>
                <w:tab w:val="left" w:pos="4873"/>
              </w:tabs>
              <w:suppressAutoHyphens/>
              <w:autoSpaceDE w:val="0"/>
              <w:autoSpaceDN w:val="0"/>
              <w:adjustRightInd w:val="0"/>
              <w:spacing w:line="440" w:lineRule="exact"/>
              <w:rPr>
                <w:rFonts w:hint="eastAsia" w:ascii="仿宋_GB2312" w:eastAsia="仿宋_GB2312"/>
                <w:sz w:val="24"/>
              </w:rPr>
            </w:pPr>
          </w:p>
        </w:tc>
        <w:tc>
          <w:tcPr>
            <w:tcW w:w="1254" w:type="dxa"/>
            <w:tcBorders>
              <w:top w:val="single" w:color="auto" w:sz="6" w:space="0"/>
              <w:left w:val="single" w:color="auto" w:sz="6" w:space="0"/>
              <w:bottom w:val="nil"/>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adjustRightInd w:val="0"/>
              <w:spacing w:line="440" w:lineRule="exact"/>
              <w:rPr>
                <w:rFonts w:hint="eastAsia" w:ascii="仿宋_GB2312" w:eastAsia="仿宋_GB2312"/>
                <w:sz w:val="24"/>
              </w:rPr>
            </w:pPr>
          </w:p>
        </w:tc>
        <w:tc>
          <w:tcPr>
            <w:tcW w:w="930" w:type="dxa"/>
            <w:tcBorders>
              <w:top w:val="single" w:color="auto" w:sz="6" w:space="0"/>
              <w:left w:val="single" w:color="auto" w:sz="6" w:space="0"/>
              <w:bottom w:val="nil"/>
              <w:right w:val="nil"/>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adjustRightInd w:val="0"/>
              <w:spacing w:line="440" w:lineRule="exact"/>
              <w:rPr>
                <w:rFonts w:hint="eastAsia" w:ascii="仿宋_GB2312" w:eastAsia="仿宋_GB2312"/>
                <w:sz w:val="24"/>
              </w:rPr>
            </w:pPr>
          </w:p>
        </w:tc>
        <w:tc>
          <w:tcPr>
            <w:tcW w:w="953" w:type="dxa"/>
            <w:tcBorders>
              <w:top w:val="single" w:color="auto" w:sz="6" w:space="0"/>
              <w:left w:val="single" w:color="auto" w:sz="6" w:space="0"/>
              <w:bottom w:val="nil"/>
              <w:right w:val="nil"/>
            </w:tcBorders>
            <w:noWrap w:val="0"/>
            <w:vAlign w:val="top"/>
          </w:tcPr>
          <w:p>
            <w:pPr>
              <w:tabs>
                <w:tab w:val="left" w:pos="573"/>
                <w:tab w:val="left" w:pos="1287"/>
                <w:tab w:val="left" w:pos="2001"/>
                <w:tab w:val="left" w:pos="2715"/>
                <w:tab w:val="left" w:pos="3429"/>
                <w:tab w:val="left" w:pos="4211"/>
                <w:tab w:val="left" w:pos="4643"/>
              </w:tabs>
              <w:suppressAutoHyphens/>
              <w:autoSpaceDE w:val="0"/>
              <w:autoSpaceDN w:val="0"/>
              <w:adjustRightInd w:val="0"/>
              <w:spacing w:line="440" w:lineRule="exact"/>
              <w:rPr>
                <w:rFonts w:hint="eastAsia" w:ascii="仿宋_GB2312" w:eastAsia="仿宋_GB2312"/>
                <w:sz w:val="24"/>
              </w:rPr>
            </w:pPr>
          </w:p>
        </w:tc>
        <w:tc>
          <w:tcPr>
            <w:tcW w:w="997" w:type="dxa"/>
            <w:tcBorders>
              <w:top w:val="single" w:color="auto" w:sz="6" w:space="0"/>
              <w:left w:val="single" w:color="auto" w:sz="6" w:space="0"/>
              <w:bottom w:val="nil"/>
              <w:right w:val="nil"/>
            </w:tcBorders>
            <w:noWrap w:val="0"/>
            <w:vAlign w:val="top"/>
          </w:tcPr>
          <w:p>
            <w:pPr>
              <w:tabs>
                <w:tab w:val="left" w:pos="440"/>
                <w:tab w:val="left" w:pos="1154"/>
                <w:tab w:val="left" w:pos="1936"/>
                <w:tab w:val="left" w:pos="2368"/>
              </w:tabs>
              <w:suppressAutoHyphens/>
              <w:autoSpaceDE w:val="0"/>
              <w:autoSpaceDN w:val="0"/>
              <w:adjustRightInd w:val="0"/>
              <w:spacing w:line="440" w:lineRule="exact"/>
              <w:rPr>
                <w:rFonts w:hint="eastAsia" w:ascii="仿宋_GB2312" w:eastAsia="仿宋_GB2312"/>
                <w:sz w:val="24"/>
              </w:rPr>
            </w:pPr>
          </w:p>
        </w:tc>
        <w:tc>
          <w:tcPr>
            <w:tcW w:w="1440" w:type="dxa"/>
            <w:tcBorders>
              <w:top w:val="single" w:color="auto" w:sz="6" w:space="0"/>
              <w:left w:val="single" w:color="auto" w:sz="6" w:space="0"/>
              <w:bottom w:val="nil"/>
              <w:right w:val="nil"/>
            </w:tcBorders>
            <w:noWrap w:val="0"/>
            <w:vAlign w:val="top"/>
          </w:tcPr>
          <w:p>
            <w:pPr>
              <w:tabs>
                <w:tab w:val="left" w:pos="7"/>
              </w:tabs>
              <w:suppressAutoHyphens/>
              <w:autoSpaceDE w:val="0"/>
              <w:autoSpaceDN w:val="0"/>
              <w:adjustRightInd w:val="0"/>
              <w:spacing w:line="440" w:lineRule="exact"/>
              <w:rPr>
                <w:rFonts w:hint="eastAsia" w:ascii="仿宋_GB2312" w:eastAsia="仿宋_GB2312"/>
                <w:sz w:val="24"/>
              </w:rPr>
            </w:pPr>
          </w:p>
        </w:tc>
        <w:tc>
          <w:tcPr>
            <w:tcW w:w="1620" w:type="dxa"/>
            <w:tcBorders>
              <w:top w:val="single" w:color="auto" w:sz="6" w:space="0"/>
              <w:left w:val="single" w:color="auto" w:sz="6" w:space="0"/>
              <w:bottom w:val="nil"/>
              <w:right w:val="single" w:color="auto" w:sz="6" w:space="0"/>
            </w:tcBorders>
            <w:noWrap w:val="0"/>
            <w:vAlign w:val="top"/>
          </w:tcPr>
          <w:p>
            <w:pPr>
              <w:suppressAutoHyphens/>
              <w:autoSpaceDE w:val="0"/>
              <w:autoSpaceDN w:val="0"/>
              <w:adjustRightInd w:val="0"/>
              <w:spacing w:line="440" w:lineRule="exact"/>
              <w:rPr>
                <w:rFonts w:hint="eastAsia" w:ascii="仿宋_GB2312" w:eastAsia="仿宋_GB2312"/>
                <w:sz w:val="24"/>
              </w:rPr>
            </w:pPr>
          </w:p>
        </w:tc>
      </w:tr>
      <w:tr>
        <w:tblPrEx>
          <w:tblCellMar>
            <w:top w:w="0" w:type="dxa"/>
            <w:left w:w="120" w:type="dxa"/>
            <w:bottom w:w="0" w:type="dxa"/>
            <w:right w:w="120" w:type="dxa"/>
          </w:tblCellMar>
        </w:tblPrEx>
        <w:trPr>
          <w:wBefore w:w="0" w:type="dxa"/>
        </w:trPr>
        <w:tc>
          <w:tcPr>
            <w:tcW w:w="1806" w:type="dxa"/>
            <w:tcBorders>
              <w:top w:val="single" w:color="auto" w:sz="6" w:space="0"/>
              <w:left w:val="single" w:color="auto" w:sz="6" w:space="0"/>
              <w:bottom w:val="nil"/>
              <w:right w:val="nil"/>
            </w:tcBorders>
            <w:noWrap w:val="0"/>
            <w:vAlign w:val="top"/>
          </w:tcPr>
          <w:p>
            <w:pPr>
              <w:tabs>
                <w:tab w:val="left" w:pos="589"/>
                <w:tab w:val="left" w:pos="1303"/>
                <w:tab w:val="left" w:pos="2017"/>
                <w:tab w:val="left" w:pos="2731"/>
                <w:tab w:val="left" w:pos="3445"/>
                <w:tab w:val="left" w:pos="4159"/>
                <w:tab w:val="left" w:pos="4873"/>
              </w:tabs>
              <w:suppressAutoHyphens/>
              <w:autoSpaceDE w:val="0"/>
              <w:autoSpaceDN w:val="0"/>
              <w:adjustRightInd w:val="0"/>
              <w:spacing w:line="440" w:lineRule="exact"/>
              <w:rPr>
                <w:rFonts w:hint="eastAsia" w:ascii="仿宋_GB2312" w:eastAsia="仿宋_GB2312"/>
                <w:sz w:val="24"/>
              </w:rPr>
            </w:pPr>
          </w:p>
        </w:tc>
        <w:tc>
          <w:tcPr>
            <w:tcW w:w="1254" w:type="dxa"/>
            <w:tcBorders>
              <w:top w:val="single" w:color="auto" w:sz="6" w:space="0"/>
              <w:left w:val="single" w:color="auto" w:sz="6" w:space="0"/>
              <w:bottom w:val="nil"/>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adjustRightInd w:val="0"/>
              <w:spacing w:line="440" w:lineRule="exact"/>
              <w:rPr>
                <w:rFonts w:hint="eastAsia" w:ascii="仿宋_GB2312" w:eastAsia="仿宋_GB2312"/>
                <w:sz w:val="24"/>
              </w:rPr>
            </w:pPr>
          </w:p>
        </w:tc>
        <w:tc>
          <w:tcPr>
            <w:tcW w:w="930" w:type="dxa"/>
            <w:tcBorders>
              <w:top w:val="single" w:color="auto" w:sz="6" w:space="0"/>
              <w:left w:val="single" w:color="auto" w:sz="6" w:space="0"/>
              <w:bottom w:val="nil"/>
              <w:right w:val="nil"/>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adjustRightInd w:val="0"/>
              <w:spacing w:line="440" w:lineRule="exact"/>
              <w:rPr>
                <w:rFonts w:hint="eastAsia" w:ascii="仿宋_GB2312" w:eastAsia="仿宋_GB2312"/>
                <w:sz w:val="24"/>
              </w:rPr>
            </w:pPr>
          </w:p>
        </w:tc>
        <w:tc>
          <w:tcPr>
            <w:tcW w:w="953" w:type="dxa"/>
            <w:tcBorders>
              <w:top w:val="single" w:color="auto" w:sz="6" w:space="0"/>
              <w:left w:val="single" w:color="auto" w:sz="6" w:space="0"/>
              <w:bottom w:val="nil"/>
              <w:right w:val="nil"/>
            </w:tcBorders>
            <w:noWrap w:val="0"/>
            <w:vAlign w:val="top"/>
          </w:tcPr>
          <w:p>
            <w:pPr>
              <w:tabs>
                <w:tab w:val="left" w:pos="573"/>
                <w:tab w:val="left" w:pos="1287"/>
                <w:tab w:val="left" w:pos="2001"/>
                <w:tab w:val="left" w:pos="2715"/>
                <w:tab w:val="left" w:pos="3429"/>
                <w:tab w:val="left" w:pos="4211"/>
                <w:tab w:val="left" w:pos="4643"/>
              </w:tabs>
              <w:suppressAutoHyphens/>
              <w:autoSpaceDE w:val="0"/>
              <w:autoSpaceDN w:val="0"/>
              <w:adjustRightInd w:val="0"/>
              <w:spacing w:line="440" w:lineRule="exact"/>
              <w:rPr>
                <w:rFonts w:hint="eastAsia" w:ascii="仿宋_GB2312" w:eastAsia="仿宋_GB2312"/>
                <w:sz w:val="24"/>
              </w:rPr>
            </w:pPr>
          </w:p>
        </w:tc>
        <w:tc>
          <w:tcPr>
            <w:tcW w:w="997" w:type="dxa"/>
            <w:tcBorders>
              <w:top w:val="single" w:color="auto" w:sz="6" w:space="0"/>
              <w:left w:val="single" w:color="auto" w:sz="6" w:space="0"/>
              <w:bottom w:val="nil"/>
              <w:right w:val="nil"/>
            </w:tcBorders>
            <w:noWrap w:val="0"/>
            <w:vAlign w:val="top"/>
          </w:tcPr>
          <w:p>
            <w:pPr>
              <w:tabs>
                <w:tab w:val="left" w:pos="440"/>
                <w:tab w:val="left" w:pos="1154"/>
                <w:tab w:val="left" w:pos="1936"/>
                <w:tab w:val="left" w:pos="2368"/>
              </w:tabs>
              <w:suppressAutoHyphens/>
              <w:autoSpaceDE w:val="0"/>
              <w:autoSpaceDN w:val="0"/>
              <w:adjustRightInd w:val="0"/>
              <w:spacing w:line="440" w:lineRule="exact"/>
              <w:rPr>
                <w:rFonts w:hint="eastAsia" w:ascii="仿宋_GB2312" w:eastAsia="仿宋_GB2312"/>
                <w:sz w:val="24"/>
              </w:rPr>
            </w:pPr>
          </w:p>
        </w:tc>
        <w:tc>
          <w:tcPr>
            <w:tcW w:w="1440" w:type="dxa"/>
            <w:tcBorders>
              <w:top w:val="single" w:color="auto" w:sz="6" w:space="0"/>
              <w:left w:val="single" w:color="auto" w:sz="6" w:space="0"/>
              <w:bottom w:val="nil"/>
              <w:right w:val="nil"/>
            </w:tcBorders>
            <w:noWrap w:val="0"/>
            <w:vAlign w:val="top"/>
          </w:tcPr>
          <w:p>
            <w:pPr>
              <w:tabs>
                <w:tab w:val="left" w:pos="7"/>
              </w:tabs>
              <w:suppressAutoHyphens/>
              <w:autoSpaceDE w:val="0"/>
              <w:autoSpaceDN w:val="0"/>
              <w:adjustRightInd w:val="0"/>
              <w:spacing w:line="440" w:lineRule="exact"/>
              <w:rPr>
                <w:rFonts w:hint="eastAsia" w:ascii="仿宋_GB2312" w:eastAsia="仿宋_GB2312"/>
                <w:sz w:val="24"/>
              </w:rPr>
            </w:pPr>
          </w:p>
        </w:tc>
        <w:tc>
          <w:tcPr>
            <w:tcW w:w="1620" w:type="dxa"/>
            <w:tcBorders>
              <w:top w:val="single" w:color="auto" w:sz="6" w:space="0"/>
              <w:left w:val="single" w:color="auto" w:sz="6" w:space="0"/>
              <w:bottom w:val="nil"/>
              <w:right w:val="single" w:color="auto" w:sz="6" w:space="0"/>
            </w:tcBorders>
            <w:noWrap w:val="0"/>
            <w:vAlign w:val="top"/>
          </w:tcPr>
          <w:p>
            <w:pPr>
              <w:suppressAutoHyphens/>
              <w:autoSpaceDE w:val="0"/>
              <w:autoSpaceDN w:val="0"/>
              <w:adjustRightInd w:val="0"/>
              <w:spacing w:line="440" w:lineRule="exact"/>
              <w:rPr>
                <w:rFonts w:hint="eastAsia" w:ascii="仿宋_GB2312" w:eastAsia="仿宋_GB2312"/>
                <w:sz w:val="24"/>
              </w:rPr>
            </w:pPr>
          </w:p>
        </w:tc>
      </w:tr>
      <w:tr>
        <w:tblPrEx>
          <w:tblCellMar>
            <w:top w:w="0" w:type="dxa"/>
            <w:left w:w="120" w:type="dxa"/>
            <w:bottom w:w="0" w:type="dxa"/>
            <w:right w:w="120" w:type="dxa"/>
          </w:tblCellMar>
        </w:tblPrEx>
        <w:trPr>
          <w:wBefore w:w="0" w:type="dxa"/>
        </w:trPr>
        <w:tc>
          <w:tcPr>
            <w:tcW w:w="1806" w:type="dxa"/>
            <w:tcBorders>
              <w:top w:val="single" w:color="auto" w:sz="6" w:space="0"/>
              <w:left w:val="single" w:color="auto" w:sz="6" w:space="0"/>
              <w:bottom w:val="single" w:color="auto" w:sz="6" w:space="0"/>
              <w:right w:val="single" w:color="auto" w:sz="6" w:space="0"/>
            </w:tcBorders>
            <w:noWrap w:val="0"/>
            <w:vAlign w:val="center"/>
          </w:tcPr>
          <w:p>
            <w:pPr>
              <w:tabs>
                <w:tab w:val="left" w:pos="589"/>
                <w:tab w:val="left" w:pos="1303"/>
                <w:tab w:val="left" w:pos="2017"/>
                <w:tab w:val="left" w:pos="2731"/>
                <w:tab w:val="left" w:pos="3445"/>
                <w:tab w:val="left" w:pos="4159"/>
                <w:tab w:val="left" w:pos="4873"/>
              </w:tabs>
              <w:suppressAutoHyphens/>
              <w:autoSpaceDE w:val="0"/>
              <w:autoSpaceDN w:val="0"/>
              <w:adjustRightInd w:val="0"/>
              <w:spacing w:line="440" w:lineRule="exact"/>
              <w:jc w:val="center"/>
              <w:rPr>
                <w:rFonts w:hint="eastAsia" w:ascii="仿宋_GB2312" w:eastAsia="仿宋_GB2312"/>
                <w:sz w:val="24"/>
              </w:rPr>
            </w:pPr>
            <w:r>
              <w:rPr>
                <w:rFonts w:hint="eastAsia" w:ascii="仿宋_GB2312" w:eastAsia="仿宋_GB2312"/>
                <w:sz w:val="24"/>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adjustRightInd w:val="0"/>
              <w:spacing w:line="440" w:lineRule="exact"/>
              <w:rPr>
                <w:rFonts w:hint="eastAsia" w:ascii="仿宋_GB2312" w:eastAsia="仿宋_GB2312"/>
                <w:sz w:val="24"/>
              </w:rPr>
            </w:pPr>
          </w:p>
        </w:tc>
        <w:tc>
          <w:tcPr>
            <w:tcW w:w="930" w:type="dxa"/>
            <w:tcBorders>
              <w:top w:val="single" w:color="auto" w:sz="6" w:space="0"/>
              <w:left w:val="single" w:color="auto" w:sz="6" w:space="0"/>
              <w:bottom w:val="single" w:color="auto" w:sz="6" w:space="0"/>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adjustRightInd w:val="0"/>
              <w:spacing w:line="440" w:lineRule="exact"/>
              <w:rPr>
                <w:rFonts w:hint="eastAsia" w:ascii="仿宋_GB2312" w:eastAsia="仿宋_GB2312"/>
                <w:sz w:val="24"/>
              </w:rPr>
            </w:pPr>
          </w:p>
        </w:tc>
        <w:tc>
          <w:tcPr>
            <w:tcW w:w="953" w:type="dxa"/>
            <w:tcBorders>
              <w:top w:val="single" w:color="auto" w:sz="6" w:space="0"/>
              <w:left w:val="single" w:color="auto" w:sz="6" w:space="0"/>
              <w:bottom w:val="single" w:color="auto" w:sz="6" w:space="0"/>
              <w:right w:val="single" w:color="auto" w:sz="6" w:space="0"/>
            </w:tcBorders>
            <w:noWrap w:val="0"/>
            <w:vAlign w:val="top"/>
          </w:tcPr>
          <w:p>
            <w:pPr>
              <w:tabs>
                <w:tab w:val="left" w:pos="573"/>
                <w:tab w:val="left" w:pos="1287"/>
                <w:tab w:val="left" w:pos="2001"/>
                <w:tab w:val="left" w:pos="2715"/>
                <w:tab w:val="left" w:pos="3429"/>
                <w:tab w:val="left" w:pos="4211"/>
                <w:tab w:val="left" w:pos="4643"/>
              </w:tabs>
              <w:suppressAutoHyphens/>
              <w:autoSpaceDE w:val="0"/>
              <w:autoSpaceDN w:val="0"/>
              <w:adjustRightInd w:val="0"/>
              <w:spacing w:line="440" w:lineRule="exact"/>
              <w:rPr>
                <w:rFonts w:hint="eastAsia" w:ascii="仿宋_GB2312" w:eastAsia="仿宋_GB2312"/>
                <w:sz w:val="24"/>
              </w:rPr>
            </w:pPr>
          </w:p>
        </w:tc>
        <w:tc>
          <w:tcPr>
            <w:tcW w:w="997" w:type="dxa"/>
            <w:tcBorders>
              <w:top w:val="single" w:color="auto" w:sz="6" w:space="0"/>
              <w:left w:val="single" w:color="auto" w:sz="6" w:space="0"/>
              <w:bottom w:val="single" w:color="auto" w:sz="6" w:space="0"/>
              <w:right w:val="single" w:color="auto" w:sz="6" w:space="0"/>
            </w:tcBorders>
            <w:noWrap w:val="0"/>
            <w:vAlign w:val="top"/>
          </w:tcPr>
          <w:p>
            <w:pPr>
              <w:tabs>
                <w:tab w:val="left" w:pos="440"/>
                <w:tab w:val="left" w:pos="1154"/>
                <w:tab w:val="left" w:pos="1936"/>
                <w:tab w:val="left" w:pos="2368"/>
              </w:tabs>
              <w:suppressAutoHyphens/>
              <w:autoSpaceDE w:val="0"/>
              <w:autoSpaceDN w:val="0"/>
              <w:adjustRightInd w:val="0"/>
              <w:spacing w:line="440" w:lineRule="exact"/>
              <w:rPr>
                <w:rFonts w:hint="eastAsia" w:ascii="仿宋_GB2312" w:eastAsia="仿宋_GB2312"/>
                <w:sz w:val="24"/>
              </w:rPr>
            </w:pPr>
          </w:p>
        </w:tc>
        <w:tc>
          <w:tcPr>
            <w:tcW w:w="1440" w:type="dxa"/>
            <w:tcBorders>
              <w:top w:val="single" w:color="auto" w:sz="6" w:space="0"/>
              <w:left w:val="single" w:color="auto" w:sz="6" w:space="0"/>
              <w:bottom w:val="single" w:color="auto" w:sz="6" w:space="0"/>
              <w:right w:val="single" w:color="auto" w:sz="6" w:space="0"/>
            </w:tcBorders>
            <w:noWrap w:val="0"/>
            <w:vAlign w:val="top"/>
          </w:tcPr>
          <w:p>
            <w:pPr>
              <w:tabs>
                <w:tab w:val="left" w:pos="7"/>
              </w:tabs>
              <w:suppressAutoHyphens/>
              <w:autoSpaceDE w:val="0"/>
              <w:autoSpaceDN w:val="0"/>
              <w:adjustRightInd w:val="0"/>
              <w:spacing w:line="440" w:lineRule="exact"/>
              <w:rPr>
                <w:rFonts w:hint="eastAsia" w:ascii="仿宋_GB2312" w:eastAsia="仿宋_GB2312"/>
                <w:sz w:val="24"/>
              </w:rPr>
            </w:pPr>
          </w:p>
        </w:tc>
        <w:tc>
          <w:tcPr>
            <w:tcW w:w="1620" w:type="dxa"/>
            <w:tcBorders>
              <w:top w:val="single" w:color="auto" w:sz="6" w:space="0"/>
              <w:left w:val="single" w:color="auto" w:sz="6" w:space="0"/>
              <w:bottom w:val="single" w:color="auto" w:sz="6" w:space="0"/>
              <w:right w:val="single" w:color="auto" w:sz="6" w:space="0"/>
            </w:tcBorders>
            <w:noWrap w:val="0"/>
            <w:vAlign w:val="top"/>
          </w:tcPr>
          <w:p>
            <w:pPr>
              <w:suppressAutoHyphens/>
              <w:autoSpaceDE w:val="0"/>
              <w:autoSpaceDN w:val="0"/>
              <w:adjustRightInd w:val="0"/>
              <w:spacing w:line="440" w:lineRule="exact"/>
              <w:rPr>
                <w:rFonts w:hint="eastAsia" w:ascii="仿宋_GB2312" w:eastAsia="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440" w:lineRule="exact"/>
        <w:rPr>
          <w:rFonts w:hint="eastAsia" w:ascii="仿宋_GB2312" w:eastAsia="仿宋_GB2312"/>
          <w:sz w:val="24"/>
        </w:rPr>
      </w:pPr>
      <w:r>
        <w:rPr>
          <w:rFonts w:hint="eastAsia" w:ascii="仿宋_GB2312" w:eastAsia="仿宋_GB2312"/>
          <w:sz w:val="24"/>
        </w:rPr>
        <w:t>注解:A</w:t>
      </w:r>
      <w:r>
        <w:rPr>
          <w:rFonts w:hint="eastAsia" w:ascii="仿宋_GB2312" w:eastAsia="仿宋_GB2312"/>
          <w:sz w:val="24"/>
        </w:rPr>
        <w:tab/>
      </w:r>
      <w:r>
        <w:rPr>
          <w:rFonts w:hint="eastAsia" w:ascii="仿宋_GB2312" w:eastAsia="仿宋_GB2312"/>
          <w:sz w:val="24"/>
        </w:rPr>
        <w:t>课程清单按时间顺序排列，并提供以下详细资料：</w:t>
      </w:r>
    </w:p>
    <w:p>
      <w:pPr>
        <w:numPr>
          <w:ilvl w:val="0"/>
          <w:numId w:val="25"/>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440" w:lineRule="exact"/>
        <w:ind w:left="1069"/>
        <w:rPr>
          <w:rFonts w:hint="eastAsia" w:ascii="仿宋_GB2312" w:eastAsia="仿宋_GB2312"/>
          <w:sz w:val="24"/>
        </w:rPr>
      </w:pPr>
      <w:r>
        <w:rPr>
          <w:rFonts w:hint="eastAsia" w:ascii="仿宋_GB2312" w:eastAsia="仿宋_GB2312"/>
          <w:sz w:val="24"/>
        </w:rPr>
        <w:t>课程概要</w:t>
      </w:r>
    </w:p>
    <w:p>
      <w:pPr>
        <w:numPr>
          <w:ilvl w:val="0"/>
          <w:numId w:val="25"/>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440" w:lineRule="exact"/>
        <w:ind w:left="1069"/>
        <w:rPr>
          <w:rFonts w:hint="eastAsia" w:ascii="仿宋_GB2312" w:eastAsia="仿宋_GB2312"/>
          <w:sz w:val="24"/>
        </w:rPr>
      </w:pPr>
      <w:r>
        <w:rPr>
          <w:rFonts w:hint="eastAsia" w:ascii="仿宋_GB2312" w:eastAsia="仿宋_GB2312"/>
          <w:sz w:val="24"/>
        </w:rPr>
        <w:t>课程目的</w:t>
      </w:r>
    </w:p>
    <w:p>
      <w:pPr>
        <w:numPr>
          <w:ilvl w:val="0"/>
          <w:numId w:val="25"/>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440" w:lineRule="exact"/>
        <w:ind w:left="1069"/>
        <w:rPr>
          <w:rFonts w:hint="eastAsia" w:ascii="仿宋_GB2312" w:eastAsia="仿宋_GB2312"/>
          <w:sz w:val="24"/>
        </w:rPr>
      </w:pPr>
      <w:r>
        <w:rPr>
          <w:rFonts w:hint="eastAsia" w:ascii="仿宋_GB2312" w:eastAsia="仿宋_GB2312"/>
          <w:sz w:val="24"/>
        </w:rPr>
        <w:t>教学方式</w:t>
      </w:r>
    </w:p>
    <w:p>
      <w:pPr>
        <w:numPr>
          <w:ilvl w:val="0"/>
          <w:numId w:val="25"/>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440" w:lineRule="exact"/>
        <w:ind w:left="1069"/>
        <w:rPr>
          <w:rFonts w:hint="eastAsia" w:ascii="仿宋_GB2312" w:eastAsia="仿宋_GB2312"/>
          <w:sz w:val="24"/>
        </w:rPr>
      </w:pPr>
      <w:r>
        <w:rPr>
          <w:rFonts w:hint="eastAsia" w:ascii="仿宋_GB2312" w:eastAsia="仿宋_GB2312"/>
          <w:sz w:val="24"/>
        </w:rPr>
        <w:t>先决条件</w:t>
      </w:r>
    </w:p>
    <w:p>
      <w:pPr>
        <w:numPr>
          <w:ilvl w:val="0"/>
          <w:numId w:val="25"/>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440" w:lineRule="exact"/>
        <w:ind w:left="1069"/>
        <w:rPr>
          <w:rFonts w:hint="eastAsia" w:ascii="仿宋_GB2312" w:eastAsia="仿宋_GB2312"/>
          <w:sz w:val="24"/>
        </w:rPr>
      </w:pPr>
      <w:r>
        <w:rPr>
          <w:rFonts w:hint="eastAsia" w:ascii="仿宋_GB2312" w:eastAsia="仿宋_GB2312"/>
          <w:sz w:val="24"/>
        </w:rPr>
        <w:t>教材目录</w:t>
      </w:r>
    </w:p>
    <w:p>
      <w:pPr>
        <w:autoSpaceDE w:val="0"/>
        <w:autoSpaceDN w:val="0"/>
        <w:adjustRightInd w:val="0"/>
        <w:spacing w:line="440" w:lineRule="exact"/>
        <w:rPr>
          <w:rFonts w:hint="eastAsia" w:ascii="仿宋_GB2312" w:eastAsia="仿宋_GB2312"/>
          <w:sz w:val="24"/>
        </w:rPr>
      </w:pPr>
      <w:r>
        <w:rPr>
          <w:rFonts w:hint="eastAsia" w:ascii="仿宋_GB2312" w:eastAsia="仿宋_GB2312"/>
          <w:sz w:val="24"/>
        </w:rPr>
        <w:t>B  按照附表A提供授课教师的简历</w:t>
      </w:r>
    </w:p>
    <w:p>
      <w:pPr>
        <w:autoSpaceDE w:val="0"/>
        <w:autoSpaceDN w:val="0"/>
        <w:adjustRightInd w:val="0"/>
        <w:spacing w:line="440" w:lineRule="exact"/>
        <w:rPr>
          <w:rFonts w:hint="eastAsia" w:ascii="仿宋_GB2312" w:eastAsia="仿宋_GB2312"/>
          <w:b/>
          <w:sz w:val="24"/>
        </w:rPr>
      </w:pPr>
      <w:r>
        <w:rPr>
          <w:rFonts w:hint="eastAsia" w:ascii="仿宋_GB2312" w:eastAsia="仿宋_GB2312"/>
          <w:b/>
          <w:sz w:val="24"/>
        </w:rPr>
        <w:t>注：须随表提交相应的证书复印件并注明所在投标技术文件页码。</w:t>
      </w:r>
    </w:p>
    <w:p>
      <w:pPr>
        <w:autoSpaceDE w:val="0"/>
        <w:autoSpaceDN w:val="0"/>
        <w:adjustRightInd w:val="0"/>
        <w:spacing w:line="440" w:lineRule="exact"/>
        <w:rPr>
          <w:rFonts w:hint="eastAsia" w:ascii="仿宋_GB2312" w:eastAsia="仿宋_GB2312"/>
          <w:b/>
          <w:sz w:val="24"/>
        </w:rPr>
      </w:pPr>
    </w:p>
    <w:p>
      <w:pPr>
        <w:autoSpaceDE w:val="0"/>
        <w:autoSpaceDN w:val="0"/>
        <w:adjustRightInd w:val="0"/>
        <w:spacing w:line="440" w:lineRule="exact"/>
        <w:ind w:firstLine="4800" w:firstLineChars="2000"/>
        <w:rPr>
          <w:rFonts w:hint="eastAsia" w:ascii="仿宋_GB2312" w:eastAsia="仿宋_GB2312"/>
          <w:sz w:val="24"/>
        </w:rPr>
      </w:pPr>
      <w:r>
        <w:rPr>
          <w:rFonts w:hint="eastAsia" w:ascii="仿宋_GB2312" w:eastAsia="仿宋_GB2312"/>
          <w:kern w:val="0"/>
          <w:sz w:val="24"/>
        </w:rPr>
        <w:t xml:space="preserve">投标人名称（公章）：                       </w:t>
      </w:r>
    </w:p>
    <w:p>
      <w:pPr>
        <w:autoSpaceDE w:val="0"/>
        <w:autoSpaceDN w:val="0"/>
        <w:adjustRightInd w:val="0"/>
        <w:spacing w:line="420" w:lineRule="exact"/>
        <w:rPr>
          <w:rFonts w:hint="eastAsia" w:ascii="仿宋_GB2312" w:eastAsia="仿宋_GB2312"/>
          <w:kern w:val="0"/>
          <w:sz w:val="24"/>
        </w:rPr>
      </w:pPr>
      <w:r>
        <w:rPr>
          <w:rFonts w:hint="eastAsia" w:ascii="仿宋_GB2312" w:eastAsia="仿宋_GB2312"/>
          <w:kern w:val="0"/>
          <w:sz w:val="24"/>
        </w:rPr>
        <w:t xml:space="preserve">                                        法定代表人或授权委托人（签字）：                   </w:t>
      </w:r>
    </w:p>
    <w:p>
      <w:pPr>
        <w:autoSpaceDE w:val="0"/>
        <w:autoSpaceDN w:val="0"/>
        <w:adjustRightInd w:val="0"/>
        <w:spacing w:line="440" w:lineRule="exact"/>
        <w:ind w:firstLine="120"/>
        <w:rPr>
          <w:rFonts w:hint="eastAsia" w:ascii="仿宋_GB2312" w:eastAsia="仿宋_GB2312"/>
          <w:sz w:val="24"/>
        </w:rPr>
      </w:pPr>
      <w:r>
        <w:rPr>
          <w:rFonts w:hint="eastAsia" w:ascii="仿宋_GB2312" w:eastAsia="仿宋_GB2312"/>
          <w:kern w:val="0"/>
          <w:sz w:val="24"/>
        </w:rPr>
        <w:t xml:space="preserve">                                       日期：2019年  月   日</w:t>
      </w:r>
    </w:p>
    <w:p>
      <w:pPr>
        <w:spacing w:line="480" w:lineRule="exact"/>
        <w:jc w:val="center"/>
        <w:rPr>
          <w:rFonts w:hint="eastAsia" w:ascii="仿宋_GB2312" w:hAnsi="宋体" w:eastAsia="仿宋_GB2312"/>
          <w:b/>
          <w:sz w:val="30"/>
        </w:rPr>
      </w:pPr>
    </w:p>
    <w:p>
      <w:pPr>
        <w:spacing w:line="480" w:lineRule="exact"/>
        <w:jc w:val="center"/>
        <w:rPr>
          <w:rFonts w:hint="eastAsia" w:ascii="仿宋_GB2312" w:hAnsi="宋体" w:eastAsia="仿宋_GB2312"/>
          <w:b/>
          <w:sz w:val="30"/>
        </w:rPr>
      </w:pPr>
    </w:p>
    <w:p>
      <w:pPr>
        <w:spacing w:line="480" w:lineRule="exact"/>
        <w:jc w:val="center"/>
        <w:rPr>
          <w:rFonts w:hint="eastAsia" w:ascii="仿宋_GB2312" w:hAnsi="宋体" w:eastAsia="仿宋_GB2312"/>
          <w:b/>
          <w:sz w:val="30"/>
        </w:rPr>
      </w:pPr>
      <w:r>
        <w:rPr>
          <w:rFonts w:hint="eastAsia" w:ascii="仿宋_GB2312" w:hAnsi="宋体" w:eastAsia="仿宋_GB2312"/>
          <w:b/>
          <w:sz w:val="30"/>
        </w:rPr>
        <w:t>二十、验收方案</w:t>
      </w:r>
    </w:p>
    <w:p>
      <w:pPr>
        <w:spacing w:line="480" w:lineRule="exact"/>
        <w:jc w:val="center"/>
        <w:rPr>
          <w:rFonts w:hint="eastAsia" w:ascii="仿宋_GB2312" w:eastAsia="仿宋_GB2312"/>
          <w:sz w:val="28"/>
        </w:rPr>
      </w:pPr>
      <w:r>
        <w:rPr>
          <w:rFonts w:hint="eastAsia" w:ascii="仿宋_GB2312" w:eastAsia="仿宋_GB2312"/>
          <w:sz w:val="28"/>
        </w:rPr>
        <w:t>（由投标人根据采购需求自行编制）</w:t>
      </w:r>
    </w:p>
    <w:p>
      <w:pPr>
        <w:spacing w:line="480" w:lineRule="exact"/>
        <w:jc w:val="center"/>
        <w:rPr>
          <w:rFonts w:hint="eastAsia" w:ascii="仿宋_GB2312" w:eastAsia="仿宋_GB2312"/>
          <w:sz w:val="28"/>
        </w:rPr>
      </w:pPr>
    </w:p>
    <w:p>
      <w:pPr>
        <w:spacing w:line="480" w:lineRule="exact"/>
        <w:jc w:val="center"/>
        <w:rPr>
          <w:rFonts w:hint="eastAsia" w:ascii="仿宋_GB2312" w:eastAsia="仿宋_GB2312"/>
          <w:sz w:val="28"/>
        </w:rPr>
      </w:pPr>
    </w:p>
    <w:p>
      <w:pPr>
        <w:autoSpaceDE w:val="0"/>
        <w:autoSpaceDN w:val="0"/>
        <w:adjustRightInd w:val="0"/>
        <w:spacing w:line="440" w:lineRule="exact"/>
        <w:ind w:firstLine="4800" w:firstLineChars="2000"/>
        <w:rPr>
          <w:rFonts w:hint="eastAsia" w:ascii="仿宋_GB2312" w:eastAsia="仿宋_GB2312"/>
          <w:sz w:val="24"/>
        </w:rPr>
      </w:pPr>
      <w:r>
        <w:rPr>
          <w:rFonts w:hint="eastAsia" w:ascii="仿宋_GB2312" w:eastAsia="仿宋_GB2312"/>
          <w:kern w:val="0"/>
          <w:sz w:val="24"/>
        </w:rPr>
        <w:t xml:space="preserve">投标人名称（公章）：                       </w:t>
      </w:r>
    </w:p>
    <w:p>
      <w:pPr>
        <w:autoSpaceDE w:val="0"/>
        <w:autoSpaceDN w:val="0"/>
        <w:adjustRightInd w:val="0"/>
        <w:spacing w:line="420" w:lineRule="exact"/>
        <w:rPr>
          <w:rFonts w:hint="eastAsia" w:ascii="仿宋_GB2312" w:eastAsia="仿宋_GB2312"/>
          <w:kern w:val="0"/>
          <w:sz w:val="24"/>
        </w:rPr>
      </w:pPr>
      <w:r>
        <w:rPr>
          <w:rFonts w:hint="eastAsia" w:ascii="仿宋_GB2312" w:eastAsia="仿宋_GB2312"/>
          <w:kern w:val="0"/>
          <w:sz w:val="24"/>
        </w:rPr>
        <w:t xml:space="preserve">                                        法定代表人或授权委托人（签字）：                   </w:t>
      </w:r>
    </w:p>
    <w:p>
      <w:pPr>
        <w:spacing w:line="480" w:lineRule="exact"/>
        <w:jc w:val="center"/>
        <w:rPr>
          <w:rFonts w:hint="eastAsia" w:ascii="仿宋_GB2312" w:eastAsia="仿宋_GB2312"/>
          <w:kern w:val="0"/>
          <w:sz w:val="24"/>
        </w:rPr>
      </w:pPr>
      <w:r>
        <w:rPr>
          <w:rFonts w:hint="eastAsia" w:ascii="仿宋_GB2312" w:eastAsia="仿宋_GB2312"/>
          <w:kern w:val="0"/>
          <w:sz w:val="24"/>
        </w:rPr>
        <w:t xml:space="preserve">                          日期：2019年  月   日</w:t>
      </w:r>
    </w:p>
    <w:p>
      <w:pPr>
        <w:spacing w:line="480" w:lineRule="exact"/>
        <w:jc w:val="center"/>
        <w:rPr>
          <w:rFonts w:hint="eastAsia" w:ascii="仿宋_GB2312" w:hAnsi="宋体" w:eastAsia="仿宋_GB2312"/>
          <w:b/>
          <w:sz w:val="30"/>
        </w:rPr>
      </w:pPr>
    </w:p>
    <w:p>
      <w:pPr>
        <w:spacing w:line="480" w:lineRule="exact"/>
        <w:jc w:val="center"/>
        <w:rPr>
          <w:rFonts w:hint="eastAsia" w:ascii="仿宋_GB2312" w:hAnsi="宋体" w:eastAsia="仿宋_GB2312"/>
          <w:b/>
          <w:sz w:val="30"/>
        </w:rPr>
      </w:pPr>
    </w:p>
    <w:p>
      <w:pPr>
        <w:spacing w:line="480" w:lineRule="exact"/>
        <w:jc w:val="center"/>
        <w:rPr>
          <w:rFonts w:hint="eastAsia" w:ascii="仿宋_GB2312" w:eastAsia="仿宋_GB2312"/>
          <w:b/>
          <w:sz w:val="30"/>
        </w:rPr>
      </w:pPr>
      <w:r>
        <w:rPr>
          <w:rFonts w:hint="eastAsia" w:ascii="仿宋_GB2312" w:hAnsi="宋体" w:eastAsia="仿宋_GB2312"/>
          <w:b/>
          <w:sz w:val="30"/>
        </w:rPr>
        <w:t>二十一、</w:t>
      </w:r>
      <w:r>
        <w:rPr>
          <w:rFonts w:hint="eastAsia" w:ascii="仿宋_GB2312" w:eastAsia="仿宋_GB2312"/>
          <w:b/>
          <w:sz w:val="30"/>
        </w:rPr>
        <w:t>技术偏离说明表</w:t>
      </w:r>
    </w:p>
    <w:p>
      <w:pPr>
        <w:spacing w:line="480" w:lineRule="exact"/>
        <w:rPr>
          <w:rFonts w:hint="eastAsia" w:ascii="仿宋_GB2312" w:hAnsi="宋体" w:eastAsia="仿宋_GB2312"/>
          <w:sz w:val="24"/>
        </w:rPr>
      </w:pPr>
      <w:r>
        <w:rPr>
          <w:rFonts w:hint="eastAsia" w:ascii="仿宋_GB2312" w:hAnsi="宋体" w:eastAsia="仿宋_GB2312"/>
          <w:sz w:val="24"/>
        </w:rPr>
        <w:t>招标编号：                                                    第   标项</w:t>
      </w:r>
    </w:p>
    <w:tbl>
      <w:tblPr>
        <w:tblStyle w:val="64"/>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8"/>
        <w:gridCol w:w="1665"/>
        <w:gridCol w:w="1665"/>
        <w:gridCol w:w="1665"/>
        <w:gridCol w:w="202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Pr>
        <w:tc>
          <w:tcPr>
            <w:tcW w:w="1908"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宋体" w:eastAsia="仿宋_GB2312"/>
                <w:sz w:val="24"/>
              </w:rPr>
            </w:pPr>
            <w:r>
              <w:rPr>
                <w:rFonts w:hint="eastAsia" w:ascii="仿宋_GB2312" w:hAnsi="宋体" w:eastAsia="仿宋_GB2312"/>
                <w:sz w:val="24"/>
              </w:rPr>
              <w:t xml:space="preserve"> 设备材料名称</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宋体" w:eastAsia="仿宋_GB2312"/>
                <w:sz w:val="24"/>
              </w:rPr>
            </w:pPr>
            <w:r>
              <w:rPr>
                <w:rFonts w:hint="eastAsia" w:ascii="仿宋_GB2312" w:hAnsi="宋体" w:eastAsia="仿宋_GB2312"/>
                <w:sz w:val="24"/>
              </w:rPr>
              <w:t>招标规格</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宋体" w:eastAsia="仿宋_GB2312"/>
                <w:sz w:val="24"/>
              </w:rPr>
            </w:pPr>
            <w:r>
              <w:rPr>
                <w:rFonts w:hint="eastAsia" w:ascii="仿宋_GB2312" w:hAnsi="宋体" w:eastAsia="仿宋_GB2312"/>
                <w:sz w:val="24"/>
              </w:rPr>
              <w:t>投标规格</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宋体" w:eastAsia="仿宋_GB2312"/>
                <w:sz w:val="24"/>
              </w:rPr>
            </w:pPr>
            <w:r>
              <w:rPr>
                <w:rFonts w:hint="eastAsia" w:ascii="仿宋_GB2312" w:hAnsi="宋体" w:eastAsia="仿宋_GB2312"/>
                <w:sz w:val="24"/>
              </w:rPr>
              <w:t>偏离情况</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宋体" w:eastAsia="仿宋_GB2312"/>
                <w:sz w:val="24"/>
              </w:rPr>
            </w:pPr>
            <w:r>
              <w:rPr>
                <w:rFonts w:hint="eastAsia" w:ascii="仿宋_GB2312" w:hAnsi="宋体" w:eastAsia="仿宋_GB2312"/>
                <w:sz w:val="24"/>
              </w:rPr>
              <w:t>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Pr>
        <w:tc>
          <w:tcPr>
            <w:tcW w:w="1908"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202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Pr>
        <w:tc>
          <w:tcPr>
            <w:tcW w:w="1908"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202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Pr>
        <w:tc>
          <w:tcPr>
            <w:tcW w:w="1908"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202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Pr>
        <w:tc>
          <w:tcPr>
            <w:tcW w:w="1908"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202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Pr>
        <w:tc>
          <w:tcPr>
            <w:tcW w:w="1908"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202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Pr>
        <w:tc>
          <w:tcPr>
            <w:tcW w:w="1908"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202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Pr>
        <w:tc>
          <w:tcPr>
            <w:tcW w:w="1908" w:type="dxa"/>
            <w:tcBorders>
              <w:top w:val="single" w:color="auto" w:sz="4" w:space="0"/>
              <w:left w:val="single" w:color="auto" w:sz="4" w:space="0"/>
              <w:bottom w:val="single" w:color="auto" w:sz="4" w:space="0"/>
              <w:right w:val="single" w:color="auto" w:sz="4" w:space="0"/>
            </w:tcBorders>
            <w:noWrap w:val="0"/>
            <w:vAlign w:val="top"/>
          </w:tcPr>
          <w:p>
            <w:pPr>
              <w:spacing w:line="480" w:lineRule="exact"/>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202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Pr>
        <w:tc>
          <w:tcPr>
            <w:tcW w:w="1908" w:type="dxa"/>
            <w:tcBorders>
              <w:top w:val="single" w:color="auto" w:sz="4" w:space="0"/>
              <w:left w:val="single" w:color="auto" w:sz="4" w:space="0"/>
              <w:bottom w:val="single" w:color="auto" w:sz="4" w:space="0"/>
              <w:right w:val="single" w:color="auto" w:sz="4" w:space="0"/>
            </w:tcBorders>
            <w:noWrap w:val="0"/>
            <w:vAlign w:val="top"/>
          </w:tcPr>
          <w:p>
            <w:pPr>
              <w:spacing w:line="480" w:lineRule="exact"/>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202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Pr>
        <w:tc>
          <w:tcPr>
            <w:tcW w:w="1908" w:type="dxa"/>
            <w:tcBorders>
              <w:top w:val="single" w:color="auto" w:sz="4" w:space="0"/>
              <w:left w:val="single" w:color="auto" w:sz="4" w:space="0"/>
              <w:bottom w:val="single" w:color="auto" w:sz="4" w:space="0"/>
              <w:right w:val="single" w:color="auto" w:sz="4" w:space="0"/>
            </w:tcBorders>
            <w:noWrap w:val="0"/>
            <w:vAlign w:val="top"/>
          </w:tcPr>
          <w:p>
            <w:pPr>
              <w:spacing w:line="480" w:lineRule="exact"/>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202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Pr>
        <w:tc>
          <w:tcPr>
            <w:tcW w:w="1908" w:type="dxa"/>
            <w:tcBorders>
              <w:top w:val="single" w:color="auto" w:sz="4" w:space="0"/>
              <w:left w:val="single" w:color="auto" w:sz="4" w:space="0"/>
              <w:bottom w:val="single" w:color="auto" w:sz="4" w:space="0"/>
              <w:right w:val="single" w:color="auto" w:sz="4" w:space="0"/>
            </w:tcBorders>
            <w:noWrap w:val="0"/>
            <w:vAlign w:val="top"/>
          </w:tcPr>
          <w:p>
            <w:pPr>
              <w:spacing w:line="480" w:lineRule="exact"/>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202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Pr>
        <w:tc>
          <w:tcPr>
            <w:tcW w:w="1908" w:type="dxa"/>
            <w:tcBorders>
              <w:top w:val="single" w:color="auto" w:sz="4" w:space="0"/>
              <w:left w:val="single" w:color="auto" w:sz="4" w:space="0"/>
              <w:bottom w:val="single" w:color="auto" w:sz="4" w:space="0"/>
              <w:right w:val="single" w:color="auto" w:sz="4" w:space="0"/>
            </w:tcBorders>
            <w:noWrap w:val="0"/>
            <w:vAlign w:val="top"/>
          </w:tcPr>
          <w:p>
            <w:pPr>
              <w:spacing w:line="480" w:lineRule="exact"/>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202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Pr>
        <w:tc>
          <w:tcPr>
            <w:tcW w:w="1908" w:type="dxa"/>
            <w:tcBorders>
              <w:top w:val="single" w:color="auto" w:sz="4" w:space="0"/>
              <w:left w:val="single" w:color="auto" w:sz="4" w:space="0"/>
              <w:bottom w:val="single" w:color="auto" w:sz="4" w:space="0"/>
              <w:right w:val="single" w:color="auto" w:sz="4" w:space="0"/>
            </w:tcBorders>
            <w:noWrap w:val="0"/>
            <w:vAlign w:val="top"/>
          </w:tcPr>
          <w:p>
            <w:pPr>
              <w:spacing w:line="480" w:lineRule="exact"/>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202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Pr>
        <w:tc>
          <w:tcPr>
            <w:tcW w:w="1908" w:type="dxa"/>
            <w:tcBorders>
              <w:top w:val="single" w:color="auto" w:sz="4" w:space="0"/>
              <w:left w:val="single" w:color="auto" w:sz="4" w:space="0"/>
              <w:bottom w:val="single" w:color="auto" w:sz="4" w:space="0"/>
              <w:right w:val="single" w:color="auto" w:sz="4" w:space="0"/>
            </w:tcBorders>
            <w:noWrap w:val="0"/>
            <w:vAlign w:val="top"/>
          </w:tcPr>
          <w:p>
            <w:pPr>
              <w:spacing w:line="480" w:lineRule="exact"/>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202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Pr>
        <w:tc>
          <w:tcPr>
            <w:tcW w:w="1908" w:type="dxa"/>
            <w:tcBorders>
              <w:top w:val="single" w:color="auto" w:sz="4" w:space="0"/>
              <w:left w:val="single" w:color="auto" w:sz="4" w:space="0"/>
              <w:bottom w:val="single" w:color="auto" w:sz="4" w:space="0"/>
              <w:right w:val="single" w:color="auto" w:sz="4" w:space="0"/>
            </w:tcBorders>
            <w:noWrap w:val="0"/>
            <w:vAlign w:val="top"/>
          </w:tcPr>
          <w:p>
            <w:pPr>
              <w:spacing w:line="480" w:lineRule="exact"/>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202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Pr>
        <w:tc>
          <w:tcPr>
            <w:tcW w:w="1908" w:type="dxa"/>
            <w:tcBorders>
              <w:top w:val="single" w:color="auto" w:sz="4" w:space="0"/>
              <w:left w:val="single" w:color="auto" w:sz="4" w:space="0"/>
              <w:bottom w:val="single" w:color="auto" w:sz="4" w:space="0"/>
              <w:right w:val="single" w:color="auto" w:sz="4" w:space="0"/>
            </w:tcBorders>
            <w:noWrap w:val="0"/>
            <w:vAlign w:val="top"/>
          </w:tcPr>
          <w:p>
            <w:pPr>
              <w:spacing w:line="480" w:lineRule="exact"/>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202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Pr>
        <w:tc>
          <w:tcPr>
            <w:tcW w:w="1908" w:type="dxa"/>
            <w:tcBorders>
              <w:top w:val="single" w:color="auto" w:sz="4" w:space="0"/>
              <w:left w:val="single" w:color="auto" w:sz="4" w:space="0"/>
              <w:bottom w:val="single" w:color="auto" w:sz="4" w:space="0"/>
              <w:right w:val="single" w:color="auto" w:sz="4" w:space="0"/>
            </w:tcBorders>
            <w:noWrap w:val="0"/>
            <w:vAlign w:val="top"/>
          </w:tcPr>
          <w:p>
            <w:pPr>
              <w:spacing w:line="480" w:lineRule="exact"/>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202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Pr>
        <w:tc>
          <w:tcPr>
            <w:tcW w:w="1908" w:type="dxa"/>
            <w:tcBorders>
              <w:top w:val="single" w:color="auto" w:sz="4" w:space="0"/>
              <w:left w:val="single" w:color="auto" w:sz="4" w:space="0"/>
              <w:bottom w:val="single" w:color="auto" w:sz="4" w:space="0"/>
              <w:right w:val="single" w:color="auto" w:sz="4" w:space="0"/>
            </w:tcBorders>
            <w:noWrap w:val="0"/>
            <w:vAlign w:val="top"/>
          </w:tcPr>
          <w:p>
            <w:pPr>
              <w:spacing w:line="480" w:lineRule="exact"/>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202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Pr>
        <w:tc>
          <w:tcPr>
            <w:tcW w:w="1908" w:type="dxa"/>
            <w:tcBorders>
              <w:top w:val="single" w:color="auto" w:sz="4" w:space="0"/>
              <w:left w:val="single" w:color="auto" w:sz="4" w:space="0"/>
              <w:bottom w:val="single" w:color="auto" w:sz="4" w:space="0"/>
              <w:right w:val="single" w:color="auto" w:sz="4" w:space="0"/>
            </w:tcBorders>
            <w:noWrap w:val="0"/>
            <w:vAlign w:val="top"/>
          </w:tcPr>
          <w:p>
            <w:pPr>
              <w:spacing w:line="480" w:lineRule="exact"/>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c>
          <w:tcPr>
            <w:tcW w:w="2025" w:type="dxa"/>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hint="eastAsia" w:ascii="仿宋_GB2312" w:hAnsi="宋体" w:eastAsia="仿宋_GB2312"/>
                <w:sz w:val="24"/>
              </w:rPr>
            </w:pPr>
          </w:p>
        </w:tc>
      </w:tr>
    </w:tbl>
    <w:p>
      <w:pPr>
        <w:autoSpaceDE w:val="0"/>
        <w:autoSpaceDN w:val="0"/>
        <w:adjustRightInd w:val="0"/>
        <w:spacing w:line="440" w:lineRule="exact"/>
        <w:rPr>
          <w:rFonts w:hint="eastAsia" w:ascii="仿宋_GB2312" w:eastAsia="仿宋_GB2312"/>
          <w:kern w:val="0"/>
          <w:sz w:val="24"/>
        </w:rPr>
      </w:pPr>
      <w:r>
        <w:rPr>
          <w:rFonts w:hint="eastAsia" w:ascii="仿宋_GB2312" w:hAnsi="宋体" w:eastAsia="仿宋_GB2312"/>
          <w:sz w:val="24"/>
        </w:rPr>
        <w:t>注：除招标文件参考的品牌外，欢迎其他能满足本项目技术需求且性能与所参考品牌相当的产品参加投标。</w:t>
      </w:r>
      <w:r>
        <w:rPr>
          <w:rFonts w:hint="eastAsia" w:ascii="仿宋_GB2312" w:hAnsi="宋体" w:eastAsia="仿宋_GB2312"/>
          <w:b/>
          <w:sz w:val="24"/>
        </w:rPr>
        <w:t>外购产品请在表中详细注明外购厂家、品牌及技术参数响应情况，并标注“外购”字样。</w:t>
      </w:r>
    </w:p>
    <w:p>
      <w:pPr>
        <w:autoSpaceDE w:val="0"/>
        <w:autoSpaceDN w:val="0"/>
        <w:adjustRightInd w:val="0"/>
        <w:spacing w:line="440" w:lineRule="exact"/>
        <w:ind w:firstLine="4800" w:firstLineChars="2000"/>
        <w:rPr>
          <w:rFonts w:hint="eastAsia" w:ascii="仿宋_GB2312" w:eastAsia="仿宋_GB2312"/>
          <w:kern w:val="0"/>
          <w:sz w:val="24"/>
          <w:lang w:val="zh-CN"/>
        </w:rPr>
      </w:pPr>
    </w:p>
    <w:p>
      <w:pPr>
        <w:autoSpaceDE w:val="0"/>
        <w:autoSpaceDN w:val="0"/>
        <w:adjustRightInd w:val="0"/>
        <w:spacing w:line="440" w:lineRule="exact"/>
        <w:ind w:firstLine="4800" w:firstLineChars="2000"/>
        <w:rPr>
          <w:rFonts w:hint="eastAsia" w:ascii="仿宋_GB2312" w:eastAsia="仿宋_GB2312"/>
          <w:kern w:val="0"/>
          <w:sz w:val="24"/>
        </w:rPr>
      </w:pPr>
      <w:r>
        <w:rPr>
          <w:rFonts w:hint="eastAsia" w:ascii="仿宋_GB2312" w:eastAsia="仿宋_GB2312"/>
          <w:kern w:val="0"/>
          <w:sz w:val="24"/>
          <w:lang w:val="zh-CN"/>
        </w:rPr>
        <w:t xml:space="preserve">投标人名称（公章）：      </w:t>
      </w:r>
    </w:p>
    <w:p>
      <w:pPr>
        <w:autoSpaceDE w:val="0"/>
        <w:autoSpaceDN w:val="0"/>
        <w:adjustRightInd w:val="0"/>
        <w:spacing w:line="440" w:lineRule="exact"/>
        <w:rPr>
          <w:rFonts w:hint="eastAsia" w:ascii="仿宋_GB2312" w:eastAsia="仿宋_GB2312"/>
          <w:kern w:val="0"/>
          <w:sz w:val="24"/>
          <w:lang w:val="zh-CN"/>
        </w:rPr>
      </w:pPr>
      <w:r>
        <w:rPr>
          <w:rFonts w:hint="eastAsia" w:ascii="仿宋_GB2312" w:eastAsia="仿宋_GB2312"/>
          <w:kern w:val="0"/>
          <w:sz w:val="24"/>
          <w:lang w:val="zh-CN"/>
        </w:rPr>
        <w:t xml:space="preserve">                                        法定代表人或授权委托人（签字）： </w:t>
      </w:r>
    </w:p>
    <w:p>
      <w:pPr>
        <w:spacing w:line="440" w:lineRule="exact"/>
        <w:jc w:val="center"/>
        <w:rPr>
          <w:rFonts w:hint="eastAsia" w:ascii="仿宋_GB2312" w:eastAsia="仿宋_GB2312"/>
          <w:kern w:val="0"/>
          <w:sz w:val="24"/>
          <w:lang w:val="zh-CN"/>
        </w:rPr>
      </w:pPr>
      <w:r>
        <w:rPr>
          <w:rFonts w:hint="eastAsia" w:ascii="仿宋_GB2312" w:eastAsia="仿宋_GB2312"/>
          <w:kern w:val="0"/>
          <w:sz w:val="24"/>
          <w:lang w:val="zh-CN"/>
        </w:rPr>
        <w:t xml:space="preserve">                          日期：2019年  月   日</w:t>
      </w:r>
    </w:p>
    <w:p>
      <w:pPr>
        <w:autoSpaceDE w:val="0"/>
        <w:autoSpaceDN w:val="0"/>
        <w:adjustRightInd w:val="0"/>
        <w:spacing w:line="440" w:lineRule="exact"/>
        <w:ind w:firstLine="5760" w:firstLineChars="2400"/>
        <w:rPr>
          <w:rFonts w:hint="eastAsia" w:ascii="仿宋_GB2312" w:eastAsia="仿宋_GB2312"/>
          <w:kern w:val="0"/>
          <w:sz w:val="24"/>
          <w:lang w:val="zh-CN"/>
        </w:rPr>
      </w:pPr>
    </w:p>
    <w:p>
      <w:pPr>
        <w:autoSpaceDE w:val="0"/>
        <w:autoSpaceDN w:val="0"/>
        <w:adjustRightInd w:val="0"/>
        <w:spacing w:line="440" w:lineRule="exact"/>
        <w:ind w:firstLine="5760" w:firstLineChars="2400"/>
        <w:rPr>
          <w:rFonts w:hint="eastAsia" w:ascii="仿宋_GB2312" w:eastAsia="仿宋_GB2312"/>
          <w:kern w:val="0"/>
          <w:sz w:val="24"/>
          <w:lang w:val="zh-CN"/>
        </w:rPr>
      </w:pPr>
    </w:p>
    <w:p>
      <w:pPr>
        <w:spacing w:line="480" w:lineRule="exact"/>
        <w:jc w:val="center"/>
        <w:rPr>
          <w:rFonts w:hint="eastAsia" w:ascii="仿宋_GB2312" w:eastAsia="仿宋_GB2312"/>
          <w:b/>
          <w:kern w:val="0"/>
          <w:sz w:val="30"/>
          <w:lang w:val="zh-CN"/>
        </w:rPr>
      </w:pPr>
      <w:r>
        <w:rPr>
          <w:rFonts w:hint="eastAsia" w:ascii="仿宋_GB2312" w:hAnsi="宋体" w:eastAsia="仿宋_GB2312"/>
          <w:b/>
          <w:sz w:val="30"/>
        </w:rPr>
        <w:t>二十二、</w:t>
      </w:r>
      <w:r>
        <w:rPr>
          <w:rFonts w:hint="eastAsia" w:ascii="仿宋_GB2312" w:eastAsia="仿宋_GB2312"/>
          <w:b/>
          <w:kern w:val="0"/>
          <w:sz w:val="30"/>
          <w:lang w:val="zh-CN"/>
        </w:rPr>
        <w:t>对招标文件中有关条款的拒绝声明</w:t>
      </w:r>
    </w:p>
    <w:p>
      <w:pPr>
        <w:spacing w:line="480" w:lineRule="exact"/>
        <w:jc w:val="center"/>
        <w:rPr>
          <w:rFonts w:hint="eastAsia" w:ascii="仿宋_GB2312" w:eastAsia="仿宋_GB2312"/>
          <w:sz w:val="28"/>
        </w:rPr>
      </w:pPr>
      <w:r>
        <w:rPr>
          <w:rFonts w:hint="eastAsia" w:ascii="仿宋_GB2312" w:eastAsia="仿宋_GB2312"/>
          <w:sz w:val="28"/>
        </w:rPr>
        <w:t>（由投标人根据采购需求自行编制）</w:t>
      </w:r>
    </w:p>
    <w:p>
      <w:pPr>
        <w:autoSpaceDE w:val="0"/>
        <w:autoSpaceDN w:val="0"/>
        <w:adjustRightInd w:val="0"/>
        <w:spacing w:line="440" w:lineRule="exact"/>
        <w:ind w:firstLine="4800" w:firstLineChars="2000"/>
        <w:rPr>
          <w:rFonts w:hint="eastAsia" w:ascii="仿宋_GB2312" w:eastAsia="仿宋_GB2312"/>
          <w:kern w:val="0"/>
          <w:sz w:val="24"/>
          <w:lang w:val="zh-CN"/>
        </w:rPr>
      </w:pPr>
    </w:p>
    <w:p>
      <w:pPr>
        <w:autoSpaceDE w:val="0"/>
        <w:autoSpaceDN w:val="0"/>
        <w:adjustRightInd w:val="0"/>
        <w:spacing w:line="440" w:lineRule="exact"/>
        <w:ind w:firstLine="4800" w:firstLineChars="2000"/>
        <w:rPr>
          <w:rFonts w:hint="eastAsia" w:ascii="仿宋_GB2312" w:eastAsia="仿宋_GB2312"/>
          <w:kern w:val="0"/>
          <w:sz w:val="24"/>
          <w:lang w:val="zh-CN"/>
        </w:rPr>
      </w:pPr>
    </w:p>
    <w:p>
      <w:pPr>
        <w:autoSpaceDE w:val="0"/>
        <w:autoSpaceDN w:val="0"/>
        <w:adjustRightInd w:val="0"/>
        <w:spacing w:line="440" w:lineRule="exact"/>
        <w:ind w:firstLine="4800" w:firstLineChars="2000"/>
        <w:rPr>
          <w:rFonts w:hint="eastAsia" w:ascii="仿宋_GB2312" w:eastAsia="仿宋_GB2312"/>
          <w:kern w:val="0"/>
          <w:sz w:val="24"/>
        </w:rPr>
      </w:pPr>
      <w:r>
        <w:rPr>
          <w:rFonts w:hint="eastAsia" w:ascii="仿宋_GB2312" w:eastAsia="仿宋_GB2312"/>
          <w:kern w:val="0"/>
          <w:sz w:val="24"/>
          <w:lang w:val="zh-CN"/>
        </w:rPr>
        <w:t xml:space="preserve">投标人名称（公章）：      </w:t>
      </w:r>
    </w:p>
    <w:p>
      <w:pPr>
        <w:autoSpaceDE w:val="0"/>
        <w:autoSpaceDN w:val="0"/>
        <w:adjustRightInd w:val="0"/>
        <w:spacing w:line="440" w:lineRule="exact"/>
        <w:rPr>
          <w:rFonts w:hint="eastAsia" w:ascii="仿宋_GB2312" w:eastAsia="仿宋_GB2312"/>
          <w:kern w:val="0"/>
          <w:sz w:val="24"/>
          <w:lang w:val="zh-CN"/>
        </w:rPr>
      </w:pPr>
      <w:r>
        <w:rPr>
          <w:rFonts w:hint="eastAsia" w:ascii="仿宋_GB2312" w:eastAsia="仿宋_GB2312"/>
          <w:kern w:val="0"/>
          <w:sz w:val="24"/>
          <w:lang w:val="zh-CN"/>
        </w:rPr>
        <w:t xml:space="preserve">                                        法定代表人或授权委托人（签字）： </w:t>
      </w:r>
    </w:p>
    <w:p>
      <w:pPr>
        <w:spacing w:line="480" w:lineRule="exact"/>
        <w:jc w:val="center"/>
        <w:rPr>
          <w:rFonts w:hint="eastAsia" w:ascii="仿宋_GB2312" w:eastAsia="仿宋_GB2312"/>
          <w:kern w:val="0"/>
          <w:sz w:val="24"/>
          <w:lang w:val="zh-CN"/>
        </w:rPr>
      </w:pPr>
      <w:r>
        <w:rPr>
          <w:rFonts w:hint="eastAsia" w:ascii="仿宋_GB2312" w:eastAsia="仿宋_GB2312"/>
          <w:kern w:val="0"/>
          <w:sz w:val="24"/>
          <w:lang w:val="zh-CN"/>
        </w:rPr>
        <w:t xml:space="preserve">                            日期：2019年  月   日</w:t>
      </w:r>
    </w:p>
    <w:p>
      <w:pPr>
        <w:spacing w:line="480" w:lineRule="exact"/>
        <w:jc w:val="center"/>
        <w:rPr>
          <w:rFonts w:hint="eastAsia" w:ascii="仿宋_GB2312" w:hAnsi="宋体" w:eastAsia="仿宋_GB2312"/>
          <w:b/>
          <w:sz w:val="30"/>
        </w:rPr>
      </w:pPr>
    </w:p>
    <w:p>
      <w:pPr>
        <w:spacing w:line="480" w:lineRule="exact"/>
        <w:jc w:val="center"/>
        <w:rPr>
          <w:rFonts w:hint="eastAsia" w:ascii="仿宋_GB2312" w:eastAsia="仿宋_GB2312"/>
          <w:b/>
          <w:kern w:val="0"/>
          <w:sz w:val="30"/>
          <w:lang w:val="zh-CN"/>
        </w:rPr>
      </w:pPr>
      <w:r>
        <w:rPr>
          <w:rFonts w:hint="eastAsia" w:ascii="仿宋_GB2312" w:hAnsi="宋体" w:eastAsia="仿宋_GB2312"/>
          <w:b/>
          <w:sz w:val="30"/>
        </w:rPr>
        <w:t>二十三、认为需要的</w:t>
      </w:r>
      <w:r>
        <w:rPr>
          <w:rFonts w:hint="eastAsia" w:ascii="仿宋_GB2312" w:eastAsia="仿宋_GB2312"/>
          <w:b/>
          <w:kern w:val="0"/>
          <w:sz w:val="30"/>
          <w:lang w:val="zh-CN"/>
        </w:rPr>
        <w:t>其他技术文件或说明</w:t>
      </w:r>
    </w:p>
    <w:p>
      <w:pPr>
        <w:spacing w:line="480" w:lineRule="exact"/>
        <w:jc w:val="center"/>
        <w:rPr>
          <w:rFonts w:hint="eastAsia" w:ascii="仿宋_GB2312" w:eastAsia="仿宋_GB2312"/>
          <w:sz w:val="28"/>
        </w:rPr>
      </w:pPr>
      <w:r>
        <w:rPr>
          <w:rFonts w:hint="eastAsia" w:ascii="仿宋_GB2312" w:eastAsia="仿宋_GB2312"/>
          <w:sz w:val="28"/>
        </w:rPr>
        <w:t>（由投标人根据采购需求自行编制）</w:t>
      </w:r>
    </w:p>
    <w:p>
      <w:pPr>
        <w:autoSpaceDE w:val="0"/>
        <w:autoSpaceDN w:val="0"/>
        <w:adjustRightInd w:val="0"/>
        <w:spacing w:line="440" w:lineRule="exact"/>
        <w:ind w:firstLine="4800" w:firstLineChars="2000"/>
        <w:rPr>
          <w:rFonts w:hint="eastAsia" w:ascii="仿宋_GB2312" w:eastAsia="仿宋_GB2312"/>
          <w:kern w:val="0"/>
          <w:sz w:val="24"/>
          <w:lang w:val="zh-CN"/>
        </w:rPr>
      </w:pPr>
    </w:p>
    <w:p>
      <w:pPr>
        <w:autoSpaceDE w:val="0"/>
        <w:autoSpaceDN w:val="0"/>
        <w:adjustRightInd w:val="0"/>
        <w:spacing w:line="440" w:lineRule="exact"/>
        <w:ind w:firstLine="4800" w:firstLineChars="2000"/>
        <w:rPr>
          <w:rFonts w:hint="eastAsia" w:ascii="仿宋_GB2312" w:eastAsia="仿宋_GB2312"/>
          <w:kern w:val="0"/>
          <w:sz w:val="24"/>
          <w:lang w:val="zh-CN"/>
        </w:rPr>
      </w:pPr>
    </w:p>
    <w:p>
      <w:pPr>
        <w:autoSpaceDE w:val="0"/>
        <w:autoSpaceDN w:val="0"/>
        <w:adjustRightInd w:val="0"/>
        <w:spacing w:line="440" w:lineRule="exact"/>
        <w:ind w:firstLine="4800" w:firstLineChars="2000"/>
        <w:rPr>
          <w:rFonts w:hint="eastAsia" w:ascii="仿宋_GB2312" w:eastAsia="仿宋_GB2312"/>
          <w:kern w:val="0"/>
          <w:sz w:val="24"/>
        </w:rPr>
      </w:pPr>
      <w:r>
        <w:rPr>
          <w:rFonts w:hint="eastAsia" w:ascii="仿宋_GB2312" w:eastAsia="仿宋_GB2312"/>
          <w:kern w:val="0"/>
          <w:sz w:val="24"/>
          <w:lang w:val="zh-CN"/>
        </w:rPr>
        <w:t xml:space="preserve">投标人名称（公章）：      </w:t>
      </w:r>
    </w:p>
    <w:p>
      <w:pPr>
        <w:autoSpaceDE w:val="0"/>
        <w:autoSpaceDN w:val="0"/>
        <w:adjustRightInd w:val="0"/>
        <w:spacing w:line="440" w:lineRule="exact"/>
        <w:rPr>
          <w:rFonts w:hint="eastAsia" w:ascii="仿宋_GB2312" w:eastAsia="仿宋_GB2312"/>
          <w:kern w:val="0"/>
          <w:sz w:val="24"/>
          <w:lang w:val="zh-CN"/>
        </w:rPr>
      </w:pPr>
      <w:r>
        <w:rPr>
          <w:rFonts w:hint="eastAsia" w:ascii="仿宋_GB2312" w:eastAsia="仿宋_GB2312"/>
          <w:kern w:val="0"/>
          <w:sz w:val="24"/>
          <w:lang w:val="zh-CN"/>
        </w:rPr>
        <w:t xml:space="preserve">                                        法定代表人或授权委托人（签字）： </w:t>
      </w:r>
    </w:p>
    <w:p>
      <w:pPr>
        <w:spacing w:line="440" w:lineRule="exact"/>
        <w:rPr>
          <w:rFonts w:hint="eastAsia" w:ascii="仿宋_GB2312" w:eastAsia="仿宋_GB2312"/>
          <w:kern w:val="0"/>
          <w:sz w:val="24"/>
          <w:lang w:val="zh-CN"/>
        </w:rPr>
      </w:pPr>
      <w:r>
        <w:rPr>
          <w:rFonts w:hint="eastAsia" w:ascii="仿宋_GB2312" w:eastAsia="仿宋_GB2312"/>
          <w:kern w:val="0"/>
          <w:sz w:val="24"/>
          <w:lang w:val="zh-CN"/>
        </w:rPr>
        <w:t xml:space="preserve">                                        日期：2019年  月   日</w:t>
      </w:r>
    </w:p>
    <w:p>
      <w:pPr>
        <w:spacing w:line="480" w:lineRule="exact"/>
        <w:jc w:val="center"/>
        <w:rPr>
          <w:rFonts w:hint="eastAsia" w:ascii="仿宋_GB2312" w:hAnsi="宋体" w:eastAsia="仿宋_GB2312"/>
          <w:b/>
          <w:sz w:val="24"/>
        </w:rPr>
      </w:pPr>
    </w:p>
    <w:p>
      <w:pPr>
        <w:spacing w:line="480" w:lineRule="exact"/>
        <w:jc w:val="center"/>
        <w:rPr>
          <w:rFonts w:hint="eastAsia" w:ascii="仿宋_GB2312" w:eastAsia="仿宋_GB2312"/>
          <w:b/>
          <w:sz w:val="36"/>
        </w:rPr>
      </w:pPr>
      <w:r>
        <w:rPr>
          <w:rFonts w:hint="eastAsia" w:ascii="仿宋_GB2312" w:hAnsi="宋体" w:eastAsia="仿宋_GB2312"/>
          <w:b/>
          <w:sz w:val="24"/>
        </w:rPr>
        <w:br w:type="page"/>
      </w:r>
      <w:r>
        <w:rPr>
          <w:rFonts w:hint="eastAsia" w:ascii="仿宋_GB2312" w:hAnsi="宋体" w:eastAsia="仿宋_GB2312"/>
          <w:b/>
          <w:sz w:val="30"/>
        </w:rPr>
        <w:t>附件1：杭州市教育设备政府采购货物验收回复单</w:t>
      </w:r>
    </w:p>
    <w:p>
      <w:pPr>
        <w:spacing w:line="360" w:lineRule="auto"/>
        <w:jc w:val="center"/>
        <w:rPr>
          <w:rFonts w:hint="eastAsia" w:ascii="仿宋_GB2312" w:eastAsia="仿宋_GB2312"/>
          <w:b/>
          <w:sz w:val="36"/>
        </w:rPr>
      </w:pPr>
    </w:p>
    <w:p>
      <w:pPr>
        <w:spacing w:line="460" w:lineRule="exact"/>
        <w:rPr>
          <w:rFonts w:hint="eastAsia" w:ascii="仿宋_GB2312" w:eastAsia="仿宋_GB2312"/>
          <w:sz w:val="24"/>
        </w:rPr>
      </w:pPr>
      <w:r>
        <w:rPr>
          <w:rFonts w:hint="eastAsia" w:ascii="仿宋_GB2312" w:eastAsia="仿宋_GB2312"/>
          <w:sz w:val="24"/>
        </w:rPr>
        <w:t>杭州市教育技术中心：</w:t>
      </w:r>
    </w:p>
    <w:p>
      <w:pPr>
        <w:spacing w:line="460" w:lineRule="exact"/>
        <w:ind w:firstLine="480" w:firstLineChars="200"/>
        <w:rPr>
          <w:rFonts w:hint="eastAsia" w:ascii="仿宋_GB2312" w:eastAsia="仿宋_GB2312"/>
          <w:sz w:val="24"/>
        </w:rPr>
      </w:pPr>
      <w:r>
        <w:rPr>
          <w:rFonts w:hint="eastAsia" w:ascii="仿宋_GB2312" w:eastAsia="仿宋_GB2312"/>
          <w:sz w:val="24"/>
        </w:rPr>
        <w:t>供应商已按杭州市教育设备政府采购购销合同【杭教采2017（ XX ）--XXX】的规定，已将下列采购物品安装调试完毕，并已在设备的左侧上方或者按照合同要求粘贴了《杭州市教育设备政府采购售后服务联系单》，现经我单位验收合格，特此回复。</w:t>
      </w:r>
    </w:p>
    <w:p>
      <w:pPr>
        <w:spacing w:line="460" w:lineRule="exact"/>
        <w:ind w:firstLine="600"/>
        <w:jc w:val="center"/>
        <w:rPr>
          <w:rFonts w:hint="eastAsia" w:ascii="仿宋_GB2312" w:eastAsia="仿宋_GB2312"/>
          <w:sz w:val="24"/>
        </w:rPr>
      </w:pPr>
      <w:r>
        <w:rPr>
          <w:rFonts w:hint="eastAsia" w:ascii="仿宋_GB2312" w:eastAsia="仿宋_GB2312"/>
          <w:sz w:val="24"/>
        </w:rPr>
        <w:t>验收物品清单</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800"/>
        <w:gridCol w:w="1800"/>
        <w:gridCol w:w="1980"/>
        <w:gridCol w:w="720"/>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828" w:type="dxa"/>
            <w:noWrap w:val="0"/>
            <w:vAlign w:val="top"/>
          </w:tcPr>
          <w:p>
            <w:pPr>
              <w:spacing w:line="520" w:lineRule="exact"/>
              <w:jc w:val="center"/>
              <w:rPr>
                <w:rFonts w:hint="eastAsia" w:ascii="仿宋_GB2312" w:eastAsia="仿宋_GB2312"/>
              </w:rPr>
            </w:pPr>
            <w:r>
              <w:rPr>
                <w:rFonts w:hint="eastAsia" w:ascii="仿宋_GB2312" w:eastAsia="仿宋_GB2312"/>
              </w:rPr>
              <w:t>序号</w:t>
            </w:r>
          </w:p>
        </w:tc>
        <w:tc>
          <w:tcPr>
            <w:tcW w:w="1800" w:type="dxa"/>
            <w:noWrap w:val="0"/>
            <w:vAlign w:val="top"/>
          </w:tcPr>
          <w:p>
            <w:pPr>
              <w:spacing w:line="520" w:lineRule="exact"/>
              <w:jc w:val="center"/>
              <w:rPr>
                <w:rFonts w:hint="eastAsia" w:ascii="仿宋_GB2312" w:eastAsia="仿宋_GB2312"/>
              </w:rPr>
            </w:pPr>
            <w:r>
              <w:rPr>
                <w:rFonts w:hint="eastAsia" w:ascii="仿宋_GB2312" w:eastAsia="仿宋_GB2312"/>
              </w:rPr>
              <w:t>货物名称</w:t>
            </w:r>
          </w:p>
        </w:tc>
        <w:tc>
          <w:tcPr>
            <w:tcW w:w="1800" w:type="dxa"/>
            <w:noWrap w:val="0"/>
            <w:vAlign w:val="top"/>
          </w:tcPr>
          <w:p>
            <w:pPr>
              <w:spacing w:line="520" w:lineRule="exact"/>
              <w:jc w:val="center"/>
              <w:rPr>
                <w:rFonts w:hint="eastAsia" w:ascii="仿宋_GB2312" w:eastAsia="仿宋_GB2312"/>
              </w:rPr>
            </w:pPr>
            <w:r>
              <w:rPr>
                <w:rFonts w:hint="eastAsia" w:ascii="仿宋_GB2312" w:eastAsia="仿宋_GB2312"/>
              </w:rPr>
              <w:t>品牌型号</w:t>
            </w:r>
          </w:p>
        </w:tc>
        <w:tc>
          <w:tcPr>
            <w:tcW w:w="1980" w:type="dxa"/>
            <w:noWrap w:val="0"/>
            <w:vAlign w:val="top"/>
          </w:tcPr>
          <w:p>
            <w:pPr>
              <w:spacing w:line="520" w:lineRule="exact"/>
              <w:jc w:val="center"/>
              <w:rPr>
                <w:rFonts w:hint="eastAsia" w:ascii="仿宋_GB2312" w:eastAsia="仿宋_GB2312"/>
              </w:rPr>
            </w:pPr>
            <w:r>
              <w:rPr>
                <w:rFonts w:hint="eastAsia" w:ascii="仿宋_GB2312" w:eastAsia="仿宋_GB2312"/>
              </w:rPr>
              <w:t>配置简述</w:t>
            </w:r>
          </w:p>
        </w:tc>
        <w:tc>
          <w:tcPr>
            <w:tcW w:w="720" w:type="dxa"/>
            <w:noWrap w:val="0"/>
            <w:vAlign w:val="top"/>
          </w:tcPr>
          <w:p>
            <w:pPr>
              <w:spacing w:line="520" w:lineRule="exact"/>
              <w:jc w:val="center"/>
              <w:rPr>
                <w:rFonts w:hint="eastAsia" w:ascii="仿宋_GB2312" w:eastAsia="仿宋_GB2312"/>
              </w:rPr>
            </w:pPr>
            <w:r>
              <w:rPr>
                <w:rFonts w:hint="eastAsia" w:ascii="仿宋_GB2312" w:eastAsia="仿宋_GB2312"/>
              </w:rPr>
              <w:t>数量</w:t>
            </w:r>
          </w:p>
        </w:tc>
        <w:tc>
          <w:tcPr>
            <w:tcW w:w="1980" w:type="dxa"/>
            <w:noWrap w:val="0"/>
            <w:vAlign w:val="top"/>
          </w:tcPr>
          <w:p>
            <w:pPr>
              <w:spacing w:line="520" w:lineRule="exact"/>
              <w:jc w:val="center"/>
              <w:rPr>
                <w:rFonts w:hint="eastAsia" w:ascii="仿宋_GB2312" w:eastAsia="仿宋_GB2312"/>
              </w:rPr>
            </w:pPr>
            <w:r>
              <w:rPr>
                <w:rFonts w:hint="eastAsia" w:ascii="仿宋_GB2312" w:eastAsia="仿宋_GB2312"/>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828" w:type="dxa"/>
            <w:noWrap w:val="0"/>
            <w:vAlign w:val="top"/>
          </w:tcPr>
          <w:p>
            <w:pPr>
              <w:spacing w:line="520" w:lineRule="exact"/>
              <w:jc w:val="center"/>
              <w:rPr>
                <w:rFonts w:hint="eastAsia" w:ascii="仿宋_GB2312" w:eastAsia="仿宋_GB2312"/>
                <w:sz w:val="24"/>
              </w:rPr>
            </w:pPr>
            <w:r>
              <w:rPr>
                <w:rFonts w:hint="eastAsia" w:ascii="仿宋_GB2312" w:eastAsia="仿宋_GB2312"/>
                <w:sz w:val="24"/>
              </w:rPr>
              <w:t>1</w:t>
            </w:r>
          </w:p>
        </w:tc>
        <w:tc>
          <w:tcPr>
            <w:tcW w:w="1800" w:type="dxa"/>
            <w:noWrap w:val="0"/>
            <w:vAlign w:val="top"/>
          </w:tcPr>
          <w:p>
            <w:pPr>
              <w:spacing w:line="520" w:lineRule="exact"/>
              <w:rPr>
                <w:rFonts w:hint="eastAsia" w:ascii="仿宋_GB2312" w:eastAsia="仿宋_GB2312"/>
                <w:sz w:val="24"/>
              </w:rPr>
            </w:pPr>
          </w:p>
        </w:tc>
        <w:tc>
          <w:tcPr>
            <w:tcW w:w="1800" w:type="dxa"/>
            <w:noWrap w:val="0"/>
            <w:vAlign w:val="top"/>
          </w:tcPr>
          <w:p>
            <w:pPr>
              <w:spacing w:line="520" w:lineRule="exact"/>
              <w:rPr>
                <w:rFonts w:hint="eastAsia" w:ascii="仿宋_GB2312" w:eastAsia="仿宋_GB2312"/>
                <w:sz w:val="24"/>
              </w:rPr>
            </w:pPr>
          </w:p>
        </w:tc>
        <w:tc>
          <w:tcPr>
            <w:tcW w:w="1980" w:type="dxa"/>
            <w:noWrap w:val="0"/>
            <w:vAlign w:val="top"/>
          </w:tcPr>
          <w:p>
            <w:pPr>
              <w:spacing w:line="520" w:lineRule="exact"/>
              <w:rPr>
                <w:rFonts w:hint="eastAsia" w:ascii="仿宋_GB2312" w:eastAsia="仿宋_GB2312"/>
                <w:sz w:val="24"/>
              </w:rPr>
            </w:pPr>
          </w:p>
        </w:tc>
        <w:tc>
          <w:tcPr>
            <w:tcW w:w="720" w:type="dxa"/>
            <w:noWrap w:val="0"/>
            <w:vAlign w:val="top"/>
          </w:tcPr>
          <w:p>
            <w:pPr>
              <w:spacing w:line="520" w:lineRule="exact"/>
              <w:jc w:val="center"/>
              <w:rPr>
                <w:rFonts w:hint="eastAsia" w:ascii="仿宋_GB2312" w:eastAsia="仿宋_GB2312"/>
                <w:sz w:val="24"/>
              </w:rPr>
            </w:pPr>
          </w:p>
        </w:tc>
        <w:tc>
          <w:tcPr>
            <w:tcW w:w="1980" w:type="dxa"/>
            <w:noWrap w:val="0"/>
            <w:vAlign w:val="top"/>
          </w:tcPr>
          <w:p>
            <w:pPr>
              <w:spacing w:line="520" w:lineRule="exact"/>
              <w:jc w:val="right"/>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828" w:type="dxa"/>
            <w:noWrap w:val="0"/>
            <w:vAlign w:val="top"/>
          </w:tcPr>
          <w:p>
            <w:pPr>
              <w:spacing w:line="520" w:lineRule="exact"/>
              <w:jc w:val="center"/>
              <w:rPr>
                <w:rFonts w:hint="eastAsia" w:ascii="仿宋_GB2312" w:eastAsia="仿宋_GB2312"/>
                <w:sz w:val="24"/>
              </w:rPr>
            </w:pPr>
            <w:r>
              <w:rPr>
                <w:rFonts w:hint="eastAsia" w:ascii="仿宋_GB2312" w:eastAsia="仿宋_GB2312"/>
                <w:sz w:val="24"/>
              </w:rPr>
              <w:t>2</w:t>
            </w:r>
          </w:p>
        </w:tc>
        <w:tc>
          <w:tcPr>
            <w:tcW w:w="1800" w:type="dxa"/>
            <w:noWrap w:val="0"/>
            <w:vAlign w:val="top"/>
          </w:tcPr>
          <w:p>
            <w:pPr>
              <w:spacing w:line="520" w:lineRule="exact"/>
              <w:rPr>
                <w:rFonts w:hint="eastAsia" w:ascii="仿宋_GB2312" w:eastAsia="仿宋_GB2312"/>
                <w:sz w:val="24"/>
              </w:rPr>
            </w:pPr>
          </w:p>
        </w:tc>
        <w:tc>
          <w:tcPr>
            <w:tcW w:w="1800" w:type="dxa"/>
            <w:noWrap w:val="0"/>
            <w:vAlign w:val="top"/>
          </w:tcPr>
          <w:p>
            <w:pPr>
              <w:spacing w:line="520" w:lineRule="exact"/>
              <w:rPr>
                <w:rFonts w:hint="eastAsia" w:ascii="仿宋_GB2312" w:eastAsia="仿宋_GB2312"/>
                <w:sz w:val="24"/>
              </w:rPr>
            </w:pPr>
          </w:p>
        </w:tc>
        <w:tc>
          <w:tcPr>
            <w:tcW w:w="1980" w:type="dxa"/>
            <w:noWrap w:val="0"/>
            <w:vAlign w:val="top"/>
          </w:tcPr>
          <w:p>
            <w:pPr>
              <w:spacing w:line="520" w:lineRule="exact"/>
              <w:rPr>
                <w:rFonts w:hint="eastAsia" w:ascii="仿宋_GB2312" w:eastAsia="仿宋_GB2312"/>
                <w:sz w:val="24"/>
              </w:rPr>
            </w:pPr>
          </w:p>
        </w:tc>
        <w:tc>
          <w:tcPr>
            <w:tcW w:w="720" w:type="dxa"/>
            <w:noWrap w:val="0"/>
            <w:vAlign w:val="top"/>
          </w:tcPr>
          <w:p>
            <w:pPr>
              <w:spacing w:line="520" w:lineRule="exact"/>
              <w:jc w:val="center"/>
              <w:rPr>
                <w:rFonts w:hint="eastAsia" w:ascii="仿宋_GB2312" w:eastAsia="仿宋_GB2312"/>
                <w:sz w:val="24"/>
              </w:rPr>
            </w:pPr>
          </w:p>
        </w:tc>
        <w:tc>
          <w:tcPr>
            <w:tcW w:w="1980" w:type="dxa"/>
            <w:noWrap w:val="0"/>
            <w:vAlign w:val="top"/>
          </w:tcPr>
          <w:p>
            <w:pPr>
              <w:spacing w:line="520" w:lineRule="exact"/>
              <w:jc w:val="right"/>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828" w:type="dxa"/>
            <w:noWrap w:val="0"/>
            <w:vAlign w:val="top"/>
          </w:tcPr>
          <w:p>
            <w:pPr>
              <w:spacing w:line="520" w:lineRule="exact"/>
              <w:jc w:val="center"/>
              <w:rPr>
                <w:rFonts w:hint="eastAsia" w:ascii="仿宋_GB2312" w:eastAsia="仿宋_GB2312"/>
                <w:sz w:val="24"/>
              </w:rPr>
            </w:pPr>
            <w:r>
              <w:rPr>
                <w:rFonts w:hint="eastAsia" w:ascii="仿宋_GB2312" w:eastAsia="仿宋_GB2312"/>
                <w:sz w:val="24"/>
              </w:rPr>
              <w:t>3</w:t>
            </w:r>
          </w:p>
        </w:tc>
        <w:tc>
          <w:tcPr>
            <w:tcW w:w="1800" w:type="dxa"/>
            <w:noWrap w:val="0"/>
            <w:vAlign w:val="top"/>
          </w:tcPr>
          <w:p>
            <w:pPr>
              <w:spacing w:line="520" w:lineRule="exact"/>
              <w:rPr>
                <w:rFonts w:hint="eastAsia" w:ascii="仿宋_GB2312" w:eastAsia="仿宋_GB2312"/>
                <w:sz w:val="24"/>
              </w:rPr>
            </w:pPr>
          </w:p>
        </w:tc>
        <w:tc>
          <w:tcPr>
            <w:tcW w:w="1800" w:type="dxa"/>
            <w:noWrap w:val="0"/>
            <w:vAlign w:val="top"/>
          </w:tcPr>
          <w:p>
            <w:pPr>
              <w:spacing w:line="520" w:lineRule="exact"/>
              <w:rPr>
                <w:rFonts w:hint="eastAsia" w:ascii="仿宋_GB2312" w:eastAsia="仿宋_GB2312"/>
                <w:sz w:val="24"/>
              </w:rPr>
            </w:pPr>
          </w:p>
        </w:tc>
        <w:tc>
          <w:tcPr>
            <w:tcW w:w="1980" w:type="dxa"/>
            <w:noWrap w:val="0"/>
            <w:vAlign w:val="top"/>
          </w:tcPr>
          <w:p>
            <w:pPr>
              <w:spacing w:line="520" w:lineRule="exact"/>
              <w:rPr>
                <w:rFonts w:hint="eastAsia" w:ascii="仿宋_GB2312" w:eastAsia="仿宋_GB2312"/>
                <w:sz w:val="24"/>
              </w:rPr>
            </w:pPr>
          </w:p>
        </w:tc>
        <w:tc>
          <w:tcPr>
            <w:tcW w:w="720" w:type="dxa"/>
            <w:noWrap w:val="0"/>
            <w:vAlign w:val="top"/>
          </w:tcPr>
          <w:p>
            <w:pPr>
              <w:spacing w:line="520" w:lineRule="exact"/>
              <w:jc w:val="center"/>
              <w:rPr>
                <w:rFonts w:hint="eastAsia" w:ascii="仿宋_GB2312" w:eastAsia="仿宋_GB2312"/>
                <w:sz w:val="24"/>
              </w:rPr>
            </w:pPr>
          </w:p>
        </w:tc>
        <w:tc>
          <w:tcPr>
            <w:tcW w:w="1980" w:type="dxa"/>
            <w:noWrap w:val="0"/>
            <w:vAlign w:val="top"/>
          </w:tcPr>
          <w:p>
            <w:pPr>
              <w:spacing w:line="520" w:lineRule="exact"/>
              <w:jc w:val="right"/>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828" w:type="dxa"/>
            <w:noWrap w:val="0"/>
            <w:vAlign w:val="top"/>
          </w:tcPr>
          <w:p>
            <w:pPr>
              <w:spacing w:line="520" w:lineRule="exact"/>
              <w:jc w:val="center"/>
              <w:rPr>
                <w:rFonts w:hint="eastAsia" w:ascii="仿宋_GB2312" w:eastAsia="仿宋_GB2312"/>
                <w:sz w:val="24"/>
              </w:rPr>
            </w:pPr>
            <w:r>
              <w:rPr>
                <w:rFonts w:hint="eastAsia" w:ascii="仿宋_GB2312" w:eastAsia="仿宋_GB2312"/>
                <w:sz w:val="24"/>
              </w:rPr>
              <w:t>4</w:t>
            </w:r>
          </w:p>
        </w:tc>
        <w:tc>
          <w:tcPr>
            <w:tcW w:w="1800" w:type="dxa"/>
            <w:noWrap w:val="0"/>
            <w:vAlign w:val="top"/>
          </w:tcPr>
          <w:p>
            <w:pPr>
              <w:spacing w:line="520" w:lineRule="exact"/>
              <w:rPr>
                <w:rFonts w:hint="eastAsia" w:ascii="仿宋_GB2312" w:eastAsia="仿宋_GB2312"/>
                <w:sz w:val="24"/>
              </w:rPr>
            </w:pPr>
          </w:p>
        </w:tc>
        <w:tc>
          <w:tcPr>
            <w:tcW w:w="1800" w:type="dxa"/>
            <w:noWrap w:val="0"/>
            <w:vAlign w:val="top"/>
          </w:tcPr>
          <w:p>
            <w:pPr>
              <w:spacing w:line="520" w:lineRule="exact"/>
              <w:rPr>
                <w:rFonts w:hint="eastAsia" w:ascii="仿宋_GB2312" w:eastAsia="仿宋_GB2312"/>
                <w:sz w:val="24"/>
              </w:rPr>
            </w:pPr>
          </w:p>
        </w:tc>
        <w:tc>
          <w:tcPr>
            <w:tcW w:w="1980" w:type="dxa"/>
            <w:noWrap w:val="0"/>
            <w:vAlign w:val="top"/>
          </w:tcPr>
          <w:p>
            <w:pPr>
              <w:spacing w:line="520" w:lineRule="exact"/>
              <w:rPr>
                <w:rFonts w:hint="eastAsia" w:ascii="仿宋_GB2312" w:eastAsia="仿宋_GB2312"/>
                <w:sz w:val="24"/>
              </w:rPr>
            </w:pPr>
          </w:p>
        </w:tc>
        <w:tc>
          <w:tcPr>
            <w:tcW w:w="720" w:type="dxa"/>
            <w:noWrap w:val="0"/>
            <w:vAlign w:val="top"/>
          </w:tcPr>
          <w:p>
            <w:pPr>
              <w:spacing w:line="520" w:lineRule="exact"/>
              <w:jc w:val="center"/>
              <w:rPr>
                <w:rFonts w:hint="eastAsia" w:ascii="仿宋_GB2312" w:eastAsia="仿宋_GB2312"/>
                <w:sz w:val="24"/>
              </w:rPr>
            </w:pPr>
          </w:p>
        </w:tc>
        <w:tc>
          <w:tcPr>
            <w:tcW w:w="1980" w:type="dxa"/>
            <w:noWrap w:val="0"/>
            <w:vAlign w:val="top"/>
          </w:tcPr>
          <w:p>
            <w:pPr>
              <w:spacing w:line="520" w:lineRule="exact"/>
              <w:jc w:val="right"/>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828" w:type="dxa"/>
            <w:noWrap w:val="0"/>
            <w:vAlign w:val="top"/>
          </w:tcPr>
          <w:p>
            <w:pPr>
              <w:spacing w:line="520" w:lineRule="exact"/>
              <w:jc w:val="center"/>
              <w:rPr>
                <w:rFonts w:hint="eastAsia" w:ascii="仿宋_GB2312" w:eastAsia="仿宋_GB2312"/>
                <w:sz w:val="24"/>
              </w:rPr>
            </w:pPr>
            <w:r>
              <w:rPr>
                <w:rFonts w:hint="eastAsia" w:ascii="仿宋_GB2312" w:eastAsia="仿宋_GB2312"/>
                <w:sz w:val="24"/>
              </w:rPr>
              <w:t>5</w:t>
            </w:r>
          </w:p>
        </w:tc>
        <w:tc>
          <w:tcPr>
            <w:tcW w:w="1800" w:type="dxa"/>
            <w:noWrap w:val="0"/>
            <w:vAlign w:val="top"/>
          </w:tcPr>
          <w:p>
            <w:pPr>
              <w:spacing w:line="520" w:lineRule="exact"/>
              <w:rPr>
                <w:rFonts w:hint="eastAsia" w:ascii="仿宋_GB2312" w:eastAsia="仿宋_GB2312"/>
                <w:sz w:val="24"/>
              </w:rPr>
            </w:pPr>
          </w:p>
        </w:tc>
        <w:tc>
          <w:tcPr>
            <w:tcW w:w="1800" w:type="dxa"/>
            <w:noWrap w:val="0"/>
            <w:vAlign w:val="top"/>
          </w:tcPr>
          <w:p>
            <w:pPr>
              <w:spacing w:line="520" w:lineRule="exact"/>
              <w:rPr>
                <w:rFonts w:hint="eastAsia" w:ascii="仿宋_GB2312" w:eastAsia="仿宋_GB2312"/>
                <w:sz w:val="24"/>
              </w:rPr>
            </w:pPr>
          </w:p>
        </w:tc>
        <w:tc>
          <w:tcPr>
            <w:tcW w:w="1980" w:type="dxa"/>
            <w:noWrap w:val="0"/>
            <w:vAlign w:val="top"/>
          </w:tcPr>
          <w:p>
            <w:pPr>
              <w:spacing w:line="520" w:lineRule="exact"/>
              <w:rPr>
                <w:rFonts w:hint="eastAsia" w:ascii="仿宋_GB2312" w:eastAsia="仿宋_GB2312"/>
                <w:sz w:val="24"/>
              </w:rPr>
            </w:pPr>
          </w:p>
        </w:tc>
        <w:tc>
          <w:tcPr>
            <w:tcW w:w="720" w:type="dxa"/>
            <w:noWrap w:val="0"/>
            <w:vAlign w:val="top"/>
          </w:tcPr>
          <w:p>
            <w:pPr>
              <w:spacing w:line="520" w:lineRule="exact"/>
              <w:jc w:val="center"/>
              <w:rPr>
                <w:rFonts w:hint="eastAsia" w:ascii="仿宋_GB2312" w:eastAsia="仿宋_GB2312"/>
                <w:sz w:val="24"/>
              </w:rPr>
            </w:pPr>
          </w:p>
        </w:tc>
        <w:tc>
          <w:tcPr>
            <w:tcW w:w="1980" w:type="dxa"/>
            <w:noWrap w:val="0"/>
            <w:vAlign w:val="top"/>
          </w:tcPr>
          <w:p>
            <w:pPr>
              <w:spacing w:line="520" w:lineRule="exact"/>
              <w:jc w:val="right"/>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828" w:type="dxa"/>
            <w:noWrap w:val="0"/>
            <w:vAlign w:val="center"/>
          </w:tcPr>
          <w:p>
            <w:pPr>
              <w:spacing w:line="520" w:lineRule="exact"/>
              <w:jc w:val="center"/>
              <w:rPr>
                <w:rFonts w:hint="eastAsia" w:ascii="仿宋_GB2312" w:eastAsia="仿宋_GB2312"/>
                <w:sz w:val="24"/>
              </w:rPr>
            </w:pPr>
          </w:p>
        </w:tc>
        <w:tc>
          <w:tcPr>
            <w:tcW w:w="1800" w:type="dxa"/>
            <w:noWrap w:val="0"/>
            <w:vAlign w:val="center"/>
          </w:tcPr>
          <w:p>
            <w:pPr>
              <w:spacing w:line="520" w:lineRule="exact"/>
              <w:jc w:val="center"/>
              <w:rPr>
                <w:rFonts w:hint="eastAsia" w:ascii="仿宋_GB2312" w:eastAsia="仿宋_GB2312"/>
                <w:sz w:val="24"/>
              </w:rPr>
            </w:pPr>
            <w:r>
              <w:rPr>
                <w:rFonts w:hint="eastAsia" w:ascii="仿宋_GB2312" w:eastAsia="仿宋_GB2312"/>
                <w:sz w:val="24"/>
              </w:rPr>
              <w:t>总计</w:t>
            </w:r>
          </w:p>
        </w:tc>
        <w:tc>
          <w:tcPr>
            <w:tcW w:w="1800" w:type="dxa"/>
            <w:noWrap w:val="0"/>
            <w:vAlign w:val="center"/>
          </w:tcPr>
          <w:p>
            <w:pPr>
              <w:spacing w:line="520" w:lineRule="exact"/>
              <w:rPr>
                <w:rFonts w:hint="eastAsia" w:ascii="仿宋_GB2312" w:eastAsia="仿宋_GB2312"/>
                <w:sz w:val="24"/>
              </w:rPr>
            </w:pPr>
          </w:p>
        </w:tc>
        <w:tc>
          <w:tcPr>
            <w:tcW w:w="1980" w:type="dxa"/>
            <w:noWrap w:val="0"/>
            <w:vAlign w:val="center"/>
          </w:tcPr>
          <w:p>
            <w:pPr>
              <w:spacing w:line="520" w:lineRule="exact"/>
              <w:rPr>
                <w:rFonts w:hint="eastAsia" w:ascii="仿宋_GB2312" w:eastAsia="仿宋_GB2312"/>
                <w:sz w:val="24"/>
              </w:rPr>
            </w:pPr>
          </w:p>
        </w:tc>
        <w:tc>
          <w:tcPr>
            <w:tcW w:w="720" w:type="dxa"/>
            <w:noWrap w:val="0"/>
            <w:vAlign w:val="center"/>
          </w:tcPr>
          <w:p>
            <w:pPr>
              <w:spacing w:line="520" w:lineRule="exact"/>
              <w:jc w:val="center"/>
              <w:rPr>
                <w:rFonts w:hint="eastAsia" w:ascii="仿宋_GB2312" w:eastAsia="仿宋_GB2312"/>
                <w:sz w:val="24"/>
              </w:rPr>
            </w:pPr>
          </w:p>
        </w:tc>
        <w:tc>
          <w:tcPr>
            <w:tcW w:w="1980" w:type="dxa"/>
            <w:noWrap w:val="0"/>
            <w:vAlign w:val="center"/>
          </w:tcPr>
          <w:p>
            <w:pPr>
              <w:spacing w:line="520" w:lineRule="exact"/>
              <w:jc w:val="center"/>
              <w:rPr>
                <w:rFonts w:hint="eastAsia" w:ascii="仿宋_GB2312" w:eastAsia="仿宋_GB2312"/>
                <w:sz w:val="24"/>
              </w:rPr>
            </w:pPr>
            <w:r>
              <w:rPr>
                <w:rFonts w:hint="eastAsia" w:ascii="仿宋_GB2312" w:eastAsia="仿宋_GB2312"/>
                <w:sz w:val="24"/>
              </w:rPr>
              <w:t xml:space="preserve">     </w:t>
            </w:r>
          </w:p>
        </w:tc>
      </w:tr>
    </w:tbl>
    <w:p>
      <w:pPr>
        <w:spacing w:line="520" w:lineRule="exact"/>
        <w:ind w:firstLine="240" w:firstLineChars="100"/>
        <w:rPr>
          <w:rFonts w:hint="eastAsia" w:ascii="仿宋_GB2312" w:eastAsia="仿宋_GB2312"/>
          <w:sz w:val="24"/>
        </w:rPr>
      </w:pPr>
      <w:r>
        <w:rPr>
          <w:rFonts w:hint="eastAsia" w:ascii="仿宋_GB2312" w:eastAsia="仿宋_GB2312"/>
          <w:sz w:val="24"/>
        </w:rPr>
        <w:t xml:space="preserve">以上共计发票：   份，发票号码为：      </w:t>
      </w:r>
    </w:p>
    <w:p>
      <w:pPr>
        <w:spacing w:line="520" w:lineRule="exact"/>
        <w:rPr>
          <w:rFonts w:hint="eastAsia" w:ascii="仿宋_GB2312" w:eastAsia="仿宋_GB2312"/>
          <w:sz w:val="28"/>
          <w:u w:val="single"/>
        </w:rPr>
      </w:pPr>
    </w:p>
    <w:p>
      <w:pPr>
        <w:spacing w:line="520" w:lineRule="exact"/>
        <w:rPr>
          <w:rFonts w:hint="eastAsia" w:ascii="仿宋_GB2312" w:eastAsia="仿宋_GB2312"/>
          <w:sz w:val="24"/>
        </w:rPr>
      </w:pPr>
      <w:r>
        <w:rPr>
          <w:rFonts w:hint="eastAsia" w:ascii="仿宋_GB2312" w:eastAsia="仿宋_GB2312"/>
          <w:sz w:val="24"/>
        </w:rPr>
        <w:t xml:space="preserve">采购人（公章、财务专用章）：            供应商（公章）：                       </w:t>
      </w:r>
    </w:p>
    <w:p>
      <w:pPr>
        <w:spacing w:line="520" w:lineRule="exact"/>
        <w:rPr>
          <w:rFonts w:hint="eastAsia" w:ascii="仿宋_GB2312" w:eastAsia="仿宋_GB2312"/>
          <w:sz w:val="24"/>
        </w:rPr>
      </w:pPr>
      <w:r>
        <w:rPr>
          <w:rFonts w:hint="eastAsia" w:ascii="仿宋_GB2312" w:eastAsia="仿宋_GB2312"/>
          <w:sz w:val="24"/>
        </w:rPr>
        <w:t>联 系 人：                             联 系 人：</w:t>
      </w:r>
    </w:p>
    <w:p>
      <w:pPr>
        <w:spacing w:line="520" w:lineRule="exact"/>
        <w:rPr>
          <w:rFonts w:hint="eastAsia" w:ascii="仿宋_GB2312" w:eastAsia="仿宋_GB2312"/>
          <w:sz w:val="24"/>
        </w:rPr>
      </w:pPr>
      <w:r>
        <w:rPr>
          <w:rFonts w:hint="eastAsia" w:ascii="仿宋_GB2312" w:eastAsia="仿宋_GB2312"/>
          <w:sz w:val="24"/>
        </w:rPr>
        <w:t>联系电话：                             联系电话：</w:t>
      </w:r>
    </w:p>
    <w:p>
      <w:pPr>
        <w:spacing w:line="520" w:lineRule="exact"/>
        <w:rPr>
          <w:rFonts w:hint="eastAsia" w:ascii="仿宋_GB2312" w:eastAsia="仿宋_GB2312"/>
          <w:sz w:val="24"/>
        </w:rPr>
      </w:pPr>
      <w:r>
        <w:rPr>
          <w:rFonts w:hint="eastAsia" w:ascii="仿宋_GB2312" w:eastAsia="仿宋_GB2312"/>
          <w:sz w:val="24"/>
        </w:rPr>
        <w:t>手机：                                 手机：</w:t>
      </w:r>
    </w:p>
    <w:p>
      <w:pPr>
        <w:spacing w:line="520" w:lineRule="exact"/>
        <w:rPr>
          <w:rFonts w:hint="eastAsia" w:ascii="仿宋_GB2312" w:eastAsia="仿宋_GB2312"/>
          <w:sz w:val="24"/>
        </w:rPr>
      </w:pPr>
      <w:r>
        <w:rPr>
          <w:rFonts w:hint="eastAsia" w:ascii="仿宋_GB2312" w:eastAsia="仿宋_GB2312"/>
          <w:sz w:val="24"/>
        </w:rPr>
        <w:t>签收日期：20  年  月  日               供货日期：20   年  月  日</w:t>
      </w:r>
    </w:p>
    <w:p>
      <w:pPr>
        <w:spacing w:line="520" w:lineRule="exact"/>
        <w:rPr>
          <w:rFonts w:hint="eastAsia" w:ascii="仿宋_GB2312" w:eastAsia="仿宋_GB2312"/>
          <w:sz w:val="28"/>
        </w:rPr>
      </w:pPr>
    </w:p>
    <w:p>
      <w:pPr>
        <w:rPr>
          <w:rFonts w:hint="eastAsia" w:ascii="仿宋_GB2312" w:eastAsia="仿宋_GB2312"/>
          <w:b/>
          <w:sz w:val="36"/>
        </w:rPr>
      </w:pPr>
      <w:r>
        <w:rPr>
          <w:rFonts w:hint="eastAsia" w:ascii="仿宋_GB2312" w:eastAsia="仿宋_GB2312"/>
          <w:b/>
          <w:sz w:val="24"/>
        </w:rPr>
        <w:t>注：本单一式三份，二份由采购单位留存，一份供应商留存。</w:t>
      </w:r>
    </w:p>
    <w:p>
      <w:pPr>
        <w:spacing w:line="480" w:lineRule="exact"/>
        <w:jc w:val="center"/>
        <w:rPr>
          <w:rFonts w:hint="eastAsia" w:ascii="仿宋_GB2312" w:hAnsi="仿宋" w:eastAsia="仿宋_GB2312"/>
          <w:b/>
          <w:sz w:val="36"/>
        </w:rPr>
      </w:pPr>
      <w:r>
        <w:rPr>
          <w:rFonts w:hint="eastAsia" w:ascii="仿宋_GB2312" w:hAnsi="宋体" w:eastAsia="仿宋_GB2312"/>
          <w:b/>
          <w:sz w:val="30"/>
        </w:rPr>
        <w:br w:type="page"/>
      </w:r>
      <w:bookmarkEnd w:id="587"/>
      <w:bookmarkEnd w:id="588"/>
      <w:bookmarkEnd w:id="589"/>
      <w:bookmarkEnd w:id="590"/>
      <w:r>
        <w:rPr>
          <w:rFonts w:hint="eastAsia" w:ascii="仿宋_GB2312" w:hAnsi="宋体" w:eastAsia="仿宋_GB2312"/>
          <w:b/>
          <w:sz w:val="30"/>
        </w:rPr>
        <w:t>附件2：杭州市教育设备政府采购供应商履约评价意见表</w:t>
      </w:r>
    </w:p>
    <w:p>
      <w:pPr>
        <w:jc w:val="center"/>
        <w:rPr>
          <w:rFonts w:hint="eastAsia" w:ascii="仿宋_GB2312" w:hAnsi="仿宋" w:eastAsia="仿宋_GB2312"/>
          <w:kern w:val="0"/>
          <w:sz w:val="24"/>
        </w:rPr>
      </w:pPr>
    </w:p>
    <w:p>
      <w:pPr>
        <w:ind w:right="120"/>
        <w:jc w:val="right"/>
        <w:rPr>
          <w:rFonts w:hint="eastAsia" w:ascii="仿宋_GB2312" w:hAnsi="仿宋" w:eastAsia="仿宋_GB2312"/>
          <w:kern w:val="0"/>
          <w:sz w:val="24"/>
        </w:rPr>
      </w:pPr>
      <w:r>
        <w:rPr>
          <w:rFonts w:hint="eastAsia" w:ascii="仿宋_GB2312" w:hAnsi="仿宋" w:eastAsia="仿宋_GB2312"/>
          <w:kern w:val="0"/>
          <w:sz w:val="24"/>
        </w:rPr>
        <w:t xml:space="preserve"> 反馈日期：2019年     月    日</w:t>
      </w:r>
    </w:p>
    <w:tbl>
      <w:tblPr>
        <w:tblStyle w:val="64"/>
        <w:tblW w:w="0" w:type="auto"/>
        <w:jc w:val="center"/>
        <w:tblLayout w:type="fixed"/>
        <w:tblCellMar>
          <w:top w:w="0" w:type="dxa"/>
          <w:left w:w="108" w:type="dxa"/>
          <w:bottom w:w="0" w:type="dxa"/>
          <w:right w:w="108" w:type="dxa"/>
        </w:tblCellMar>
      </w:tblPr>
      <w:tblGrid>
        <w:gridCol w:w="460"/>
        <w:gridCol w:w="1460"/>
        <w:gridCol w:w="2920"/>
        <w:gridCol w:w="1760"/>
        <w:gridCol w:w="2591"/>
      </w:tblGrid>
      <w:tr>
        <w:tblPrEx>
          <w:tblCellMar>
            <w:top w:w="0" w:type="dxa"/>
            <w:left w:w="108" w:type="dxa"/>
            <w:bottom w:w="0" w:type="dxa"/>
            <w:right w:w="108" w:type="dxa"/>
          </w:tblCellMar>
        </w:tblPrEx>
        <w:trPr>
          <w:wBefore w:w="0" w:type="dxa"/>
          <w:trHeight w:val="435" w:hRule="atLeast"/>
          <w:jc w:val="center"/>
        </w:trPr>
        <w:tc>
          <w:tcPr>
            <w:tcW w:w="1920" w:type="dxa"/>
            <w:gridSpan w:val="2"/>
            <w:tcBorders>
              <w:top w:val="single" w:color="auto" w:sz="4" w:space="0"/>
              <w:left w:val="single" w:color="auto" w:sz="4" w:space="0"/>
              <w:bottom w:val="nil"/>
              <w:right w:val="single" w:color="000000" w:sz="4" w:space="0"/>
            </w:tcBorders>
            <w:noWrap w:val="0"/>
            <w:vAlign w:val="center"/>
          </w:tcPr>
          <w:p>
            <w:pPr>
              <w:jc w:val="center"/>
              <w:rPr>
                <w:rFonts w:hint="eastAsia" w:ascii="仿宋_GB2312" w:hAnsi="宋体" w:eastAsia="仿宋_GB2312" w:cs="宋体"/>
                <w:kern w:val="0"/>
                <w:sz w:val="24"/>
                <w:szCs w:val="24"/>
              </w:rPr>
            </w:pPr>
            <w:r>
              <w:rPr>
                <w:rFonts w:hint="eastAsia" w:ascii="仿宋_GB2312" w:hAnsi="宋体" w:eastAsia="仿宋_GB2312" w:cs="宋体"/>
                <w:kern w:val="0"/>
                <w:sz w:val="24"/>
                <w:szCs w:val="24"/>
              </w:rPr>
              <w:t>政府采购</w:t>
            </w:r>
          </w:p>
        </w:tc>
        <w:tc>
          <w:tcPr>
            <w:tcW w:w="2920"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kern w:val="0"/>
                <w:sz w:val="24"/>
                <w:szCs w:val="24"/>
              </w:rPr>
            </w:pPr>
          </w:p>
        </w:tc>
        <w:tc>
          <w:tcPr>
            <w:tcW w:w="1760"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kern w:val="0"/>
                <w:sz w:val="24"/>
                <w:szCs w:val="24"/>
              </w:rPr>
            </w:pPr>
            <w:r>
              <w:rPr>
                <w:rFonts w:hint="eastAsia" w:ascii="仿宋_GB2312" w:hAnsi="宋体" w:eastAsia="仿宋_GB2312" w:cs="宋体"/>
                <w:kern w:val="0"/>
                <w:sz w:val="24"/>
                <w:szCs w:val="24"/>
              </w:rPr>
              <w:t>履约时间</w:t>
            </w:r>
          </w:p>
        </w:tc>
        <w:tc>
          <w:tcPr>
            <w:tcW w:w="2591"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kern w:val="0"/>
                <w:sz w:val="24"/>
                <w:szCs w:val="24"/>
              </w:rPr>
            </w:pPr>
            <w:r>
              <w:rPr>
                <w:rFonts w:hint="eastAsia" w:ascii="仿宋_GB2312" w:hAnsi="宋体" w:eastAsia="仿宋_GB2312" w:cs="宋体"/>
                <w:kern w:val="0"/>
                <w:sz w:val="24"/>
                <w:szCs w:val="24"/>
              </w:rPr>
              <w:t>2019年  月  日至2019年  月  日</w:t>
            </w:r>
          </w:p>
        </w:tc>
      </w:tr>
      <w:tr>
        <w:tblPrEx>
          <w:tblCellMar>
            <w:top w:w="0" w:type="dxa"/>
            <w:left w:w="108" w:type="dxa"/>
            <w:bottom w:w="0" w:type="dxa"/>
            <w:right w:w="108" w:type="dxa"/>
          </w:tblCellMar>
        </w:tblPrEx>
        <w:trPr>
          <w:wBefore w:w="0" w:type="dxa"/>
          <w:trHeight w:val="78" w:hRule="atLeast"/>
          <w:jc w:val="center"/>
        </w:trPr>
        <w:tc>
          <w:tcPr>
            <w:tcW w:w="1920" w:type="dxa"/>
            <w:gridSpan w:val="2"/>
            <w:tcBorders>
              <w:top w:val="nil"/>
              <w:left w:val="single" w:color="auto" w:sz="4" w:space="0"/>
              <w:bottom w:val="single" w:color="auto" w:sz="4" w:space="0"/>
              <w:right w:val="single" w:color="000000" w:sz="4" w:space="0"/>
            </w:tcBorders>
            <w:noWrap w:val="0"/>
            <w:vAlign w:val="center"/>
          </w:tcPr>
          <w:p>
            <w:pPr>
              <w:jc w:val="center"/>
              <w:rPr>
                <w:rFonts w:hint="eastAsia" w:ascii="仿宋_GB2312" w:hAnsi="宋体" w:eastAsia="仿宋_GB2312" w:cs="宋体"/>
                <w:kern w:val="0"/>
                <w:sz w:val="24"/>
                <w:szCs w:val="24"/>
              </w:rPr>
            </w:pPr>
            <w:r>
              <w:rPr>
                <w:rFonts w:hint="eastAsia" w:ascii="仿宋_GB2312" w:hAnsi="宋体" w:eastAsia="仿宋_GB2312" w:cs="宋体"/>
                <w:kern w:val="0"/>
                <w:sz w:val="24"/>
                <w:szCs w:val="24"/>
              </w:rPr>
              <w:t>项目名称</w:t>
            </w:r>
          </w:p>
        </w:tc>
        <w:tc>
          <w:tcPr>
            <w:tcW w:w="2920"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宋体" w:eastAsia="仿宋_GB2312" w:cs="宋体"/>
                <w:kern w:val="0"/>
                <w:sz w:val="24"/>
                <w:szCs w:val="24"/>
              </w:rPr>
            </w:pPr>
          </w:p>
        </w:tc>
        <w:tc>
          <w:tcPr>
            <w:tcW w:w="1760"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宋体" w:eastAsia="仿宋_GB2312" w:cs="宋体"/>
                <w:kern w:val="0"/>
                <w:sz w:val="24"/>
                <w:szCs w:val="24"/>
              </w:rPr>
            </w:pPr>
          </w:p>
        </w:tc>
        <w:tc>
          <w:tcPr>
            <w:tcW w:w="2591"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宋体" w:eastAsia="仿宋_GB2312" w:cs="宋体"/>
                <w:kern w:val="0"/>
                <w:sz w:val="24"/>
                <w:szCs w:val="24"/>
              </w:rPr>
            </w:pPr>
          </w:p>
        </w:tc>
      </w:tr>
      <w:tr>
        <w:tblPrEx>
          <w:tblCellMar>
            <w:top w:w="0" w:type="dxa"/>
            <w:left w:w="108" w:type="dxa"/>
            <w:bottom w:w="0" w:type="dxa"/>
            <w:right w:w="108" w:type="dxa"/>
          </w:tblCellMar>
        </w:tblPrEx>
        <w:trPr>
          <w:wBefore w:w="0" w:type="dxa"/>
          <w:trHeight w:val="435" w:hRule="atLeast"/>
          <w:jc w:val="center"/>
        </w:trPr>
        <w:tc>
          <w:tcPr>
            <w:tcW w:w="1920" w:type="dxa"/>
            <w:gridSpan w:val="2"/>
            <w:vMerge w:val="restart"/>
            <w:tcBorders>
              <w:top w:val="single" w:color="auto" w:sz="4" w:space="0"/>
              <w:left w:val="single" w:color="auto" w:sz="4" w:space="0"/>
              <w:bottom w:val="single" w:color="000000" w:sz="4" w:space="0"/>
              <w:right w:val="single" w:color="000000" w:sz="4" w:space="0"/>
            </w:tcBorders>
            <w:noWrap w:val="0"/>
            <w:vAlign w:val="center"/>
          </w:tcPr>
          <w:p>
            <w:pPr>
              <w:jc w:val="center"/>
              <w:rPr>
                <w:rFonts w:hint="eastAsia" w:ascii="仿宋_GB2312" w:hAnsi="宋体" w:eastAsia="仿宋_GB2312" w:cs="宋体"/>
                <w:kern w:val="0"/>
                <w:sz w:val="24"/>
                <w:szCs w:val="24"/>
              </w:rPr>
            </w:pPr>
            <w:r>
              <w:rPr>
                <w:rFonts w:hint="eastAsia" w:ascii="仿宋_GB2312" w:hAnsi="宋体" w:eastAsia="仿宋_GB2312" w:cs="宋体"/>
                <w:kern w:val="0"/>
                <w:sz w:val="24"/>
                <w:szCs w:val="24"/>
              </w:rPr>
              <w:t>采购单位</w:t>
            </w:r>
          </w:p>
        </w:tc>
        <w:tc>
          <w:tcPr>
            <w:tcW w:w="2920" w:type="dxa"/>
            <w:vMerge w:val="restart"/>
            <w:tcBorders>
              <w:top w:val="nil"/>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kern w:val="0"/>
                <w:sz w:val="24"/>
                <w:szCs w:val="24"/>
              </w:rPr>
            </w:pPr>
          </w:p>
        </w:tc>
        <w:tc>
          <w:tcPr>
            <w:tcW w:w="1760" w:type="dxa"/>
            <w:tcBorders>
              <w:top w:val="nil"/>
              <w:left w:val="nil"/>
              <w:bottom w:val="single" w:color="auto" w:sz="4" w:space="0"/>
              <w:right w:val="single" w:color="auto" w:sz="4" w:space="0"/>
            </w:tcBorders>
            <w:noWrap w:val="0"/>
            <w:vAlign w:val="center"/>
          </w:tcPr>
          <w:p>
            <w:pPr>
              <w:jc w:val="center"/>
              <w:rPr>
                <w:rFonts w:hint="eastAsia" w:ascii="仿宋_GB2312" w:hAnsi="宋体" w:eastAsia="仿宋_GB2312" w:cs="宋体"/>
                <w:kern w:val="0"/>
                <w:sz w:val="24"/>
                <w:szCs w:val="24"/>
              </w:rPr>
            </w:pPr>
            <w:r>
              <w:rPr>
                <w:rFonts w:hint="eastAsia" w:ascii="仿宋_GB2312" w:hAnsi="宋体" w:eastAsia="仿宋_GB2312" w:cs="宋体"/>
                <w:kern w:val="0"/>
                <w:sz w:val="24"/>
                <w:szCs w:val="24"/>
              </w:rPr>
              <w:t>联系人</w:t>
            </w:r>
          </w:p>
        </w:tc>
        <w:tc>
          <w:tcPr>
            <w:tcW w:w="2591" w:type="dxa"/>
            <w:tcBorders>
              <w:top w:val="nil"/>
              <w:left w:val="nil"/>
              <w:bottom w:val="single" w:color="auto" w:sz="4" w:space="0"/>
              <w:right w:val="single" w:color="auto" w:sz="4" w:space="0"/>
            </w:tcBorders>
            <w:noWrap w:val="0"/>
            <w:vAlign w:val="center"/>
          </w:tcPr>
          <w:p>
            <w:pPr>
              <w:jc w:val="center"/>
              <w:rPr>
                <w:rFonts w:hint="eastAsia" w:ascii="仿宋_GB2312" w:hAnsi="宋体" w:eastAsia="仿宋_GB2312" w:cs="宋体"/>
                <w:kern w:val="0"/>
                <w:sz w:val="24"/>
                <w:szCs w:val="24"/>
              </w:rPr>
            </w:pPr>
          </w:p>
        </w:tc>
      </w:tr>
      <w:tr>
        <w:tblPrEx>
          <w:tblCellMar>
            <w:top w:w="0" w:type="dxa"/>
            <w:left w:w="108" w:type="dxa"/>
            <w:bottom w:w="0" w:type="dxa"/>
            <w:right w:w="108" w:type="dxa"/>
          </w:tblCellMar>
        </w:tblPrEx>
        <w:trPr>
          <w:wBefore w:w="0" w:type="dxa"/>
          <w:trHeight w:val="435" w:hRule="atLeast"/>
          <w:jc w:val="center"/>
        </w:trPr>
        <w:tc>
          <w:tcPr>
            <w:tcW w:w="1920" w:type="dxa"/>
            <w:gridSpan w:val="2"/>
            <w:vMerge w:val="continue"/>
            <w:tcBorders>
              <w:top w:val="single" w:color="auto" w:sz="4" w:space="0"/>
              <w:left w:val="single" w:color="auto" w:sz="4" w:space="0"/>
              <w:bottom w:val="single" w:color="000000" w:sz="4" w:space="0"/>
              <w:right w:val="single" w:color="000000" w:sz="4" w:space="0"/>
            </w:tcBorders>
            <w:noWrap w:val="0"/>
            <w:vAlign w:val="center"/>
          </w:tcPr>
          <w:p>
            <w:pPr>
              <w:rPr>
                <w:rFonts w:hint="eastAsia" w:ascii="仿宋_GB2312" w:hAnsi="宋体" w:eastAsia="仿宋_GB2312" w:cs="宋体"/>
                <w:kern w:val="0"/>
                <w:sz w:val="24"/>
                <w:szCs w:val="24"/>
              </w:rPr>
            </w:pPr>
          </w:p>
        </w:tc>
        <w:tc>
          <w:tcPr>
            <w:tcW w:w="2920" w:type="dxa"/>
            <w:vMerge w:val="continue"/>
            <w:tcBorders>
              <w:top w:val="nil"/>
              <w:left w:val="single" w:color="auto" w:sz="4" w:space="0"/>
              <w:bottom w:val="single" w:color="auto" w:sz="4" w:space="0"/>
              <w:right w:val="single" w:color="auto" w:sz="4" w:space="0"/>
            </w:tcBorders>
            <w:noWrap w:val="0"/>
            <w:vAlign w:val="center"/>
          </w:tcPr>
          <w:p>
            <w:pPr>
              <w:rPr>
                <w:rFonts w:hint="eastAsia" w:ascii="仿宋_GB2312" w:hAnsi="宋体" w:eastAsia="仿宋_GB2312" w:cs="宋体"/>
                <w:kern w:val="0"/>
                <w:sz w:val="24"/>
                <w:szCs w:val="24"/>
              </w:rPr>
            </w:pPr>
          </w:p>
        </w:tc>
        <w:tc>
          <w:tcPr>
            <w:tcW w:w="1760" w:type="dxa"/>
            <w:tcBorders>
              <w:top w:val="nil"/>
              <w:left w:val="nil"/>
              <w:bottom w:val="single" w:color="auto" w:sz="4" w:space="0"/>
              <w:right w:val="single" w:color="auto" w:sz="4" w:space="0"/>
            </w:tcBorders>
            <w:noWrap w:val="0"/>
            <w:vAlign w:val="center"/>
          </w:tcPr>
          <w:p>
            <w:pPr>
              <w:jc w:val="center"/>
              <w:rPr>
                <w:rFonts w:hint="eastAsia" w:ascii="仿宋_GB2312" w:hAnsi="宋体" w:eastAsia="仿宋_GB2312" w:cs="宋体"/>
                <w:kern w:val="0"/>
                <w:sz w:val="24"/>
                <w:szCs w:val="24"/>
              </w:rPr>
            </w:pPr>
            <w:r>
              <w:rPr>
                <w:rFonts w:hint="eastAsia" w:ascii="仿宋_GB2312" w:hAnsi="宋体" w:eastAsia="仿宋_GB2312" w:cs="宋体"/>
                <w:kern w:val="0"/>
                <w:sz w:val="24"/>
                <w:szCs w:val="24"/>
              </w:rPr>
              <w:t>联系电话</w:t>
            </w:r>
          </w:p>
        </w:tc>
        <w:tc>
          <w:tcPr>
            <w:tcW w:w="2591" w:type="dxa"/>
            <w:tcBorders>
              <w:top w:val="nil"/>
              <w:left w:val="nil"/>
              <w:bottom w:val="single" w:color="auto" w:sz="4" w:space="0"/>
              <w:right w:val="single" w:color="auto" w:sz="4" w:space="0"/>
            </w:tcBorders>
            <w:noWrap w:val="0"/>
            <w:vAlign w:val="center"/>
          </w:tcPr>
          <w:p>
            <w:pPr>
              <w:jc w:val="center"/>
              <w:rPr>
                <w:rFonts w:hint="eastAsia" w:ascii="仿宋_GB2312" w:hAnsi="宋体" w:eastAsia="仿宋_GB2312" w:cs="宋体"/>
                <w:kern w:val="0"/>
                <w:sz w:val="24"/>
                <w:szCs w:val="24"/>
              </w:rPr>
            </w:pPr>
          </w:p>
        </w:tc>
      </w:tr>
      <w:tr>
        <w:tblPrEx>
          <w:tblCellMar>
            <w:top w:w="0" w:type="dxa"/>
            <w:left w:w="108" w:type="dxa"/>
            <w:bottom w:w="0" w:type="dxa"/>
            <w:right w:w="108" w:type="dxa"/>
          </w:tblCellMar>
        </w:tblPrEx>
        <w:trPr>
          <w:wBefore w:w="0" w:type="dxa"/>
          <w:trHeight w:val="435" w:hRule="atLeast"/>
          <w:jc w:val="center"/>
        </w:trPr>
        <w:tc>
          <w:tcPr>
            <w:tcW w:w="1920" w:type="dxa"/>
            <w:gridSpan w:val="2"/>
            <w:vMerge w:val="restart"/>
            <w:tcBorders>
              <w:top w:val="single" w:color="auto" w:sz="4" w:space="0"/>
              <w:left w:val="single" w:color="auto" w:sz="4" w:space="0"/>
              <w:bottom w:val="single" w:color="000000" w:sz="4" w:space="0"/>
              <w:right w:val="single" w:color="000000" w:sz="4" w:space="0"/>
            </w:tcBorders>
            <w:noWrap w:val="0"/>
            <w:vAlign w:val="center"/>
          </w:tcPr>
          <w:p>
            <w:pPr>
              <w:jc w:val="center"/>
              <w:rPr>
                <w:rFonts w:hint="eastAsia" w:ascii="仿宋_GB2312" w:hAnsi="宋体" w:eastAsia="仿宋_GB2312" w:cs="宋体"/>
                <w:kern w:val="0"/>
                <w:sz w:val="24"/>
                <w:szCs w:val="24"/>
              </w:rPr>
            </w:pPr>
            <w:r>
              <w:rPr>
                <w:rFonts w:hint="eastAsia" w:ascii="仿宋_GB2312" w:hAnsi="宋体" w:eastAsia="仿宋_GB2312" w:cs="宋体"/>
                <w:kern w:val="0"/>
                <w:sz w:val="24"/>
                <w:szCs w:val="24"/>
              </w:rPr>
              <w:t>供应商名称</w:t>
            </w:r>
          </w:p>
        </w:tc>
        <w:tc>
          <w:tcPr>
            <w:tcW w:w="2920" w:type="dxa"/>
            <w:vMerge w:val="restart"/>
            <w:tcBorders>
              <w:top w:val="nil"/>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kern w:val="0"/>
                <w:sz w:val="24"/>
                <w:szCs w:val="24"/>
              </w:rPr>
            </w:pPr>
            <w:r>
              <w:rPr>
                <w:rFonts w:hint="eastAsia" w:ascii="仿宋_GB2312" w:hAnsi="宋体" w:eastAsia="仿宋_GB2312" w:cs="宋体"/>
                <w:kern w:val="0"/>
                <w:sz w:val="24"/>
                <w:szCs w:val="24"/>
              </w:rPr>
              <w:t xml:space="preserve"> </w:t>
            </w:r>
          </w:p>
        </w:tc>
        <w:tc>
          <w:tcPr>
            <w:tcW w:w="1760" w:type="dxa"/>
            <w:tcBorders>
              <w:top w:val="nil"/>
              <w:left w:val="nil"/>
              <w:bottom w:val="single" w:color="auto" w:sz="4" w:space="0"/>
              <w:right w:val="single" w:color="auto" w:sz="4" w:space="0"/>
            </w:tcBorders>
            <w:noWrap w:val="0"/>
            <w:vAlign w:val="center"/>
          </w:tcPr>
          <w:p>
            <w:pPr>
              <w:jc w:val="center"/>
              <w:rPr>
                <w:rFonts w:hint="eastAsia" w:ascii="仿宋_GB2312" w:hAnsi="宋体" w:eastAsia="仿宋_GB2312" w:cs="宋体"/>
                <w:kern w:val="0"/>
                <w:sz w:val="24"/>
                <w:szCs w:val="24"/>
              </w:rPr>
            </w:pPr>
            <w:r>
              <w:rPr>
                <w:rFonts w:hint="eastAsia" w:ascii="仿宋_GB2312" w:hAnsi="宋体" w:eastAsia="仿宋_GB2312" w:cs="宋体"/>
                <w:kern w:val="0"/>
                <w:sz w:val="24"/>
                <w:szCs w:val="24"/>
              </w:rPr>
              <w:t>联系人</w:t>
            </w:r>
          </w:p>
        </w:tc>
        <w:tc>
          <w:tcPr>
            <w:tcW w:w="2591" w:type="dxa"/>
            <w:tcBorders>
              <w:top w:val="nil"/>
              <w:left w:val="nil"/>
              <w:bottom w:val="single" w:color="auto" w:sz="4" w:space="0"/>
              <w:right w:val="single" w:color="auto" w:sz="4" w:space="0"/>
            </w:tcBorders>
            <w:noWrap w:val="0"/>
            <w:vAlign w:val="center"/>
          </w:tcPr>
          <w:p>
            <w:pPr>
              <w:jc w:val="center"/>
              <w:rPr>
                <w:rFonts w:hint="eastAsia" w:ascii="仿宋_GB2312" w:hAnsi="宋体" w:eastAsia="仿宋_GB2312" w:cs="宋体"/>
                <w:kern w:val="0"/>
                <w:sz w:val="24"/>
                <w:szCs w:val="24"/>
              </w:rPr>
            </w:pPr>
          </w:p>
        </w:tc>
      </w:tr>
      <w:tr>
        <w:tblPrEx>
          <w:tblCellMar>
            <w:top w:w="0" w:type="dxa"/>
            <w:left w:w="108" w:type="dxa"/>
            <w:bottom w:w="0" w:type="dxa"/>
            <w:right w:w="108" w:type="dxa"/>
          </w:tblCellMar>
        </w:tblPrEx>
        <w:trPr>
          <w:wBefore w:w="0" w:type="dxa"/>
          <w:trHeight w:val="435" w:hRule="atLeast"/>
          <w:jc w:val="center"/>
        </w:trPr>
        <w:tc>
          <w:tcPr>
            <w:tcW w:w="1920" w:type="dxa"/>
            <w:gridSpan w:val="2"/>
            <w:vMerge w:val="continue"/>
            <w:tcBorders>
              <w:top w:val="single" w:color="auto" w:sz="4" w:space="0"/>
              <w:left w:val="single" w:color="auto" w:sz="4" w:space="0"/>
              <w:bottom w:val="single" w:color="000000" w:sz="4" w:space="0"/>
              <w:right w:val="single" w:color="000000" w:sz="4" w:space="0"/>
            </w:tcBorders>
            <w:noWrap w:val="0"/>
            <w:vAlign w:val="center"/>
          </w:tcPr>
          <w:p>
            <w:pPr>
              <w:rPr>
                <w:rFonts w:hint="eastAsia" w:ascii="仿宋_GB2312" w:hAnsi="宋体" w:eastAsia="仿宋_GB2312" w:cs="宋体"/>
                <w:kern w:val="0"/>
                <w:sz w:val="24"/>
                <w:szCs w:val="24"/>
              </w:rPr>
            </w:pPr>
          </w:p>
        </w:tc>
        <w:tc>
          <w:tcPr>
            <w:tcW w:w="2920" w:type="dxa"/>
            <w:vMerge w:val="continue"/>
            <w:tcBorders>
              <w:top w:val="nil"/>
              <w:left w:val="single" w:color="auto" w:sz="4" w:space="0"/>
              <w:bottom w:val="single" w:color="auto" w:sz="4" w:space="0"/>
              <w:right w:val="single" w:color="auto" w:sz="4" w:space="0"/>
            </w:tcBorders>
            <w:noWrap w:val="0"/>
            <w:vAlign w:val="center"/>
          </w:tcPr>
          <w:p>
            <w:pPr>
              <w:rPr>
                <w:rFonts w:hint="eastAsia" w:ascii="仿宋_GB2312" w:hAnsi="宋体" w:eastAsia="仿宋_GB2312" w:cs="宋体"/>
                <w:kern w:val="0"/>
                <w:sz w:val="24"/>
                <w:szCs w:val="24"/>
              </w:rPr>
            </w:pPr>
          </w:p>
        </w:tc>
        <w:tc>
          <w:tcPr>
            <w:tcW w:w="1760" w:type="dxa"/>
            <w:tcBorders>
              <w:top w:val="nil"/>
              <w:left w:val="nil"/>
              <w:bottom w:val="single" w:color="auto" w:sz="4" w:space="0"/>
              <w:right w:val="single" w:color="auto" w:sz="4" w:space="0"/>
            </w:tcBorders>
            <w:noWrap w:val="0"/>
            <w:vAlign w:val="center"/>
          </w:tcPr>
          <w:p>
            <w:pPr>
              <w:jc w:val="center"/>
              <w:rPr>
                <w:rFonts w:hint="eastAsia" w:ascii="仿宋_GB2312" w:hAnsi="宋体" w:eastAsia="仿宋_GB2312" w:cs="宋体"/>
                <w:kern w:val="0"/>
                <w:sz w:val="24"/>
                <w:szCs w:val="24"/>
              </w:rPr>
            </w:pPr>
            <w:r>
              <w:rPr>
                <w:rFonts w:hint="eastAsia" w:ascii="仿宋_GB2312" w:hAnsi="宋体" w:eastAsia="仿宋_GB2312" w:cs="宋体"/>
                <w:kern w:val="0"/>
                <w:sz w:val="24"/>
                <w:szCs w:val="24"/>
              </w:rPr>
              <w:t>联系电话</w:t>
            </w:r>
          </w:p>
        </w:tc>
        <w:tc>
          <w:tcPr>
            <w:tcW w:w="2591" w:type="dxa"/>
            <w:tcBorders>
              <w:top w:val="nil"/>
              <w:left w:val="nil"/>
              <w:bottom w:val="single" w:color="auto" w:sz="4" w:space="0"/>
              <w:right w:val="single" w:color="auto" w:sz="4" w:space="0"/>
            </w:tcBorders>
            <w:noWrap w:val="0"/>
            <w:vAlign w:val="center"/>
          </w:tcPr>
          <w:p>
            <w:pPr>
              <w:jc w:val="center"/>
              <w:rPr>
                <w:rFonts w:hint="eastAsia" w:ascii="仿宋_GB2312" w:hAnsi="宋体" w:eastAsia="仿宋_GB2312" w:cs="宋体"/>
                <w:kern w:val="0"/>
                <w:sz w:val="24"/>
                <w:szCs w:val="24"/>
              </w:rPr>
            </w:pPr>
          </w:p>
        </w:tc>
      </w:tr>
      <w:tr>
        <w:tblPrEx>
          <w:tblCellMar>
            <w:top w:w="0" w:type="dxa"/>
            <w:left w:w="108" w:type="dxa"/>
            <w:bottom w:w="0" w:type="dxa"/>
            <w:right w:w="108" w:type="dxa"/>
          </w:tblCellMar>
        </w:tblPrEx>
        <w:trPr>
          <w:wBefore w:w="0" w:type="dxa"/>
          <w:trHeight w:val="405" w:hRule="atLeast"/>
          <w:jc w:val="center"/>
        </w:trPr>
        <w:tc>
          <w:tcPr>
            <w:tcW w:w="1920"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kern w:val="0"/>
                <w:sz w:val="24"/>
                <w:szCs w:val="24"/>
              </w:rPr>
            </w:pPr>
            <w:r>
              <w:rPr>
                <w:rFonts w:hint="eastAsia" w:ascii="仿宋_GB2312" w:hAnsi="宋体" w:eastAsia="仿宋_GB2312" w:cs="宋体"/>
                <w:kern w:val="0"/>
                <w:sz w:val="24"/>
                <w:szCs w:val="24"/>
              </w:rPr>
              <w:t>履约情况评价</w:t>
            </w:r>
          </w:p>
        </w:tc>
        <w:tc>
          <w:tcPr>
            <w:tcW w:w="7271" w:type="dxa"/>
            <w:gridSpan w:val="3"/>
            <w:tcBorders>
              <w:top w:val="single" w:color="auto" w:sz="4" w:space="0"/>
              <w:left w:val="nil"/>
              <w:bottom w:val="single" w:color="auto" w:sz="4" w:space="0"/>
              <w:right w:val="single" w:color="auto" w:sz="4" w:space="0"/>
            </w:tcBorders>
            <w:noWrap w:val="0"/>
            <w:vAlign w:val="center"/>
          </w:tcPr>
          <w:p>
            <w:pPr>
              <w:jc w:val="center"/>
              <w:rPr>
                <w:rFonts w:hint="eastAsia" w:ascii="仿宋_GB2312" w:hAnsi="宋体" w:eastAsia="仿宋_GB2312" w:cs="宋体"/>
                <w:kern w:val="0"/>
                <w:sz w:val="24"/>
                <w:szCs w:val="24"/>
              </w:rPr>
            </w:pPr>
            <w:r>
              <w:rPr>
                <w:rFonts w:hint="eastAsia" w:ascii="仿宋_GB2312" w:hAnsi="宋体" w:eastAsia="仿宋_GB2312" w:cs="宋体"/>
                <w:kern w:val="0"/>
                <w:sz w:val="24"/>
                <w:szCs w:val="24"/>
              </w:rPr>
              <w:t>优秀（  ）   良好（  ）   一般（  ）   差（  ）</w:t>
            </w:r>
          </w:p>
        </w:tc>
      </w:tr>
      <w:tr>
        <w:tblPrEx>
          <w:tblCellMar>
            <w:top w:w="0" w:type="dxa"/>
            <w:left w:w="108" w:type="dxa"/>
            <w:bottom w:w="0" w:type="dxa"/>
            <w:right w:w="108" w:type="dxa"/>
          </w:tblCellMar>
        </w:tblPrEx>
        <w:trPr>
          <w:wBefore w:w="0" w:type="dxa"/>
          <w:trHeight w:val="600" w:hRule="atLeast"/>
          <w:jc w:val="center"/>
        </w:trPr>
        <w:tc>
          <w:tcPr>
            <w:tcW w:w="1920"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宋体" w:eastAsia="仿宋_GB2312" w:cs="宋体"/>
                <w:kern w:val="0"/>
                <w:sz w:val="24"/>
                <w:szCs w:val="24"/>
              </w:rPr>
            </w:pPr>
          </w:p>
        </w:tc>
        <w:tc>
          <w:tcPr>
            <w:tcW w:w="7271" w:type="dxa"/>
            <w:gridSpan w:val="3"/>
            <w:tcBorders>
              <w:top w:val="single" w:color="auto" w:sz="4" w:space="0"/>
              <w:left w:val="nil"/>
              <w:bottom w:val="single" w:color="auto" w:sz="4" w:space="0"/>
              <w:right w:val="single" w:color="auto" w:sz="4" w:space="0"/>
            </w:tcBorders>
            <w:noWrap w:val="0"/>
            <w:vAlign w:val="center"/>
          </w:tcPr>
          <w:p>
            <w:pPr>
              <w:jc w:val="center"/>
              <w:rPr>
                <w:rFonts w:hint="eastAsia" w:ascii="仿宋_GB2312" w:hAnsi="宋体" w:eastAsia="仿宋_GB2312" w:cs="宋体"/>
                <w:kern w:val="0"/>
                <w:sz w:val="24"/>
                <w:szCs w:val="24"/>
              </w:rPr>
            </w:pPr>
            <w:r>
              <w:rPr>
                <w:rFonts w:hint="eastAsia" w:ascii="仿宋_GB2312" w:hAnsi="宋体" w:eastAsia="仿宋_GB2312" w:cs="宋体"/>
                <w:kern w:val="0"/>
                <w:sz w:val="24"/>
                <w:szCs w:val="24"/>
              </w:rPr>
              <w:t>根据供应商履约情况是否按合同约定进行资金支付。 是（  ）；否（  ）</w:t>
            </w:r>
          </w:p>
        </w:tc>
      </w:tr>
      <w:tr>
        <w:tblPrEx>
          <w:tblCellMar>
            <w:top w:w="0" w:type="dxa"/>
            <w:left w:w="108" w:type="dxa"/>
            <w:bottom w:w="0" w:type="dxa"/>
            <w:right w:w="108" w:type="dxa"/>
          </w:tblCellMar>
        </w:tblPrEx>
        <w:trPr>
          <w:wBefore w:w="0" w:type="dxa"/>
          <w:trHeight w:val="1497" w:hRule="atLeast"/>
          <w:jc w:val="center"/>
        </w:trPr>
        <w:tc>
          <w:tcPr>
            <w:tcW w:w="1920"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宋体" w:eastAsia="仿宋_GB2312" w:cs="宋体"/>
                <w:kern w:val="0"/>
                <w:sz w:val="24"/>
                <w:szCs w:val="24"/>
              </w:rPr>
            </w:pPr>
          </w:p>
        </w:tc>
        <w:tc>
          <w:tcPr>
            <w:tcW w:w="7271" w:type="dxa"/>
            <w:gridSpan w:val="3"/>
            <w:tcBorders>
              <w:top w:val="single" w:color="auto" w:sz="4" w:space="0"/>
              <w:left w:val="nil"/>
              <w:bottom w:val="single" w:color="auto" w:sz="4" w:space="0"/>
              <w:right w:val="single" w:color="auto" w:sz="4" w:space="0"/>
            </w:tcBorders>
            <w:noWrap w:val="0"/>
            <w:vAlign w:val="center"/>
          </w:tcPr>
          <w:p>
            <w:pPr>
              <w:rPr>
                <w:rFonts w:hint="eastAsia" w:ascii="仿宋_GB2312" w:hAnsi="宋体" w:eastAsia="仿宋_GB2312" w:cs="宋体"/>
                <w:kern w:val="0"/>
                <w:sz w:val="24"/>
                <w:szCs w:val="24"/>
              </w:rPr>
            </w:pPr>
            <w:r>
              <w:rPr>
                <w:rFonts w:hint="eastAsia" w:ascii="仿宋_GB2312" w:hAnsi="宋体" w:eastAsia="仿宋_GB2312" w:cs="宋体"/>
                <w:kern w:val="0"/>
                <w:sz w:val="24"/>
                <w:szCs w:val="24"/>
              </w:rPr>
              <w:t>评语：</w:t>
            </w:r>
          </w:p>
        </w:tc>
      </w:tr>
      <w:tr>
        <w:tblPrEx>
          <w:tblCellMar>
            <w:top w:w="0" w:type="dxa"/>
            <w:left w:w="108" w:type="dxa"/>
            <w:bottom w:w="0" w:type="dxa"/>
            <w:right w:w="108" w:type="dxa"/>
          </w:tblCellMar>
        </w:tblPrEx>
        <w:trPr>
          <w:wBefore w:w="0" w:type="dxa"/>
          <w:trHeight w:val="675" w:hRule="atLeast"/>
          <w:jc w:val="center"/>
        </w:trPr>
        <w:tc>
          <w:tcPr>
            <w:tcW w:w="460" w:type="dxa"/>
            <w:vMerge w:val="restart"/>
            <w:tcBorders>
              <w:top w:val="nil"/>
              <w:left w:val="single" w:color="auto" w:sz="4" w:space="0"/>
              <w:bottom w:val="single" w:color="auto" w:sz="4" w:space="0"/>
              <w:right w:val="single" w:color="auto" w:sz="4" w:space="0"/>
            </w:tcBorders>
            <w:noWrap w:val="0"/>
            <w:vAlign w:val="center"/>
          </w:tcPr>
          <w:p>
            <w:pPr>
              <w:rPr>
                <w:rFonts w:hint="eastAsia" w:ascii="仿宋_GB2312" w:hAnsi="宋体" w:eastAsia="仿宋_GB2312" w:cs="宋体"/>
                <w:kern w:val="0"/>
                <w:sz w:val="24"/>
                <w:szCs w:val="24"/>
              </w:rPr>
            </w:pPr>
            <w:r>
              <w:rPr>
                <w:rFonts w:hint="eastAsia" w:ascii="仿宋_GB2312" w:hAnsi="宋体" w:eastAsia="仿宋_GB2312" w:cs="宋体"/>
                <w:kern w:val="0"/>
                <w:sz w:val="24"/>
                <w:szCs w:val="24"/>
              </w:rPr>
              <w:t>具体评价指标</w:t>
            </w:r>
          </w:p>
        </w:tc>
        <w:tc>
          <w:tcPr>
            <w:tcW w:w="8731" w:type="dxa"/>
            <w:gridSpan w:val="4"/>
            <w:tcBorders>
              <w:top w:val="nil"/>
              <w:left w:val="nil"/>
              <w:bottom w:val="nil"/>
              <w:right w:val="single" w:color="000000" w:sz="4" w:space="0"/>
            </w:tcBorders>
            <w:noWrap w:val="0"/>
            <w:vAlign w:val="center"/>
          </w:tcPr>
          <w:p>
            <w:pPr>
              <w:rPr>
                <w:rFonts w:hint="eastAsia" w:ascii="仿宋_GB2312" w:hAnsi="宋体" w:eastAsia="仿宋_GB2312" w:cs="宋体"/>
                <w:kern w:val="0"/>
                <w:sz w:val="24"/>
                <w:szCs w:val="24"/>
              </w:rPr>
            </w:pPr>
            <w:r>
              <w:rPr>
                <w:rFonts w:hint="eastAsia" w:ascii="仿宋_GB2312" w:hAnsi="宋体" w:eastAsia="仿宋_GB2312" w:cs="宋体"/>
                <w:kern w:val="0"/>
                <w:sz w:val="24"/>
                <w:szCs w:val="24"/>
              </w:rPr>
              <w:t>1. 项目或产品的性能指标和技术服务能力是否响应投标文件和合同中的承诺。是（  ）；否（  ）</w:t>
            </w:r>
          </w:p>
        </w:tc>
      </w:tr>
      <w:tr>
        <w:tblPrEx>
          <w:tblCellMar>
            <w:top w:w="0" w:type="dxa"/>
            <w:left w:w="108" w:type="dxa"/>
            <w:bottom w:w="0" w:type="dxa"/>
            <w:right w:w="108" w:type="dxa"/>
          </w:tblCellMar>
        </w:tblPrEx>
        <w:trPr>
          <w:wBefore w:w="0" w:type="dxa"/>
          <w:trHeight w:val="485" w:hRule="atLeast"/>
          <w:jc w:val="center"/>
        </w:trPr>
        <w:tc>
          <w:tcPr>
            <w:tcW w:w="460" w:type="dxa"/>
            <w:vMerge w:val="continue"/>
            <w:tcBorders>
              <w:top w:val="nil"/>
              <w:left w:val="single" w:color="auto" w:sz="4" w:space="0"/>
              <w:bottom w:val="single" w:color="auto" w:sz="4" w:space="0"/>
              <w:right w:val="single" w:color="auto" w:sz="4" w:space="0"/>
            </w:tcBorders>
            <w:noWrap w:val="0"/>
            <w:vAlign w:val="center"/>
          </w:tcPr>
          <w:p>
            <w:pPr>
              <w:rPr>
                <w:rFonts w:hint="eastAsia" w:ascii="仿宋_GB2312" w:hAnsi="宋体" w:eastAsia="仿宋_GB2312" w:cs="宋体"/>
                <w:kern w:val="0"/>
                <w:sz w:val="24"/>
                <w:szCs w:val="24"/>
              </w:rPr>
            </w:pPr>
          </w:p>
        </w:tc>
        <w:tc>
          <w:tcPr>
            <w:tcW w:w="8731" w:type="dxa"/>
            <w:gridSpan w:val="4"/>
            <w:tcBorders>
              <w:top w:val="nil"/>
              <w:left w:val="nil"/>
              <w:bottom w:val="nil"/>
              <w:right w:val="single" w:color="000000" w:sz="4" w:space="0"/>
            </w:tcBorders>
            <w:noWrap w:val="0"/>
            <w:vAlign w:val="center"/>
          </w:tcPr>
          <w:p>
            <w:pPr>
              <w:rPr>
                <w:rFonts w:hint="eastAsia" w:ascii="仿宋_GB2312" w:hAnsi="宋体" w:eastAsia="仿宋_GB2312" w:cs="宋体"/>
                <w:kern w:val="0"/>
                <w:sz w:val="24"/>
                <w:szCs w:val="24"/>
              </w:rPr>
            </w:pPr>
            <w:r>
              <w:rPr>
                <w:rFonts w:hint="eastAsia" w:ascii="仿宋_GB2312" w:hAnsi="宋体" w:eastAsia="仿宋_GB2312" w:cs="宋体"/>
                <w:kern w:val="0"/>
                <w:sz w:val="24"/>
                <w:szCs w:val="24"/>
              </w:rPr>
              <w:t>2. 是否按照项目需求、国家技术规范和质量标准实施。是（  ）；否（  ）</w:t>
            </w:r>
          </w:p>
        </w:tc>
      </w:tr>
      <w:tr>
        <w:tblPrEx>
          <w:tblCellMar>
            <w:top w:w="0" w:type="dxa"/>
            <w:left w:w="108" w:type="dxa"/>
            <w:bottom w:w="0" w:type="dxa"/>
            <w:right w:w="108" w:type="dxa"/>
          </w:tblCellMar>
        </w:tblPrEx>
        <w:trPr>
          <w:wBefore w:w="0" w:type="dxa"/>
          <w:trHeight w:val="675" w:hRule="atLeast"/>
          <w:jc w:val="center"/>
        </w:trPr>
        <w:tc>
          <w:tcPr>
            <w:tcW w:w="460" w:type="dxa"/>
            <w:vMerge w:val="continue"/>
            <w:tcBorders>
              <w:top w:val="nil"/>
              <w:left w:val="single" w:color="auto" w:sz="4" w:space="0"/>
              <w:bottom w:val="single" w:color="auto" w:sz="4" w:space="0"/>
              <w:right w:val="single" w:color="auto" w:sz="4" w:space="0"/>
            </w:tcBorders>
            <w:noWrap w:val="0"/>
            <w:vAlign w:val="center"/>
          </w:tcPr>
          <w:p>
            <w:pPr>
              <w:rPr>
                <w:rFonts w:hint="eastAsia" w:ascii="仿宋_GB2312" w:hAnsi="宋体" w:eastAsia="仿宋_GB2312" w:cs="宋体"/>
                <w:kern w:val="0"/>
                <w:sz w:val="24"/>
                <w:szCs w:val="24"/>
              </w:rPr>
            </w:pPr>
          </w:p>
        </w:tc>
        <w:tc>
          <w:tcPr>
            <w:tcW w:w="8731" w:type="dxa"/>
            <w:gridSpan w:val="4"/>
            <w:tcBorders>
              <w:top w:val="nil"/>
              <w:left w:val="nil"/>
              <w:bottom w:val="nil"/>
              <w:right w:val="single" w:color="000000" w:sz="4" w:space="0"/>
            </w:tcBorders>
            <w:noWrap w:val="0"/>
            <w:vAlign w:val="center"/>
          </w:tcPr>
          <w:p>
            <w:pPr>
              <w:rPr>
                <w:rFonts w:hint="eastAsia" w:ascii="仿宋_GB2312" w:hAnsi="宋体" w:eastAsia="仿宋_GB2312" w:cs="宋体"/>
                <w:kern w:val="0"/>
                <w:sz w:val="24"/>
                <w:szCs w:val="24"/>
              </w:rPr>
            </w:pPr>
            <w:r>
              <w:rPr>
                <w:rFonts w:hint="eastAsia" w:ascii="仿宋_GB2312" w:hAnsi="宋体" w:eastAsia="仿宋_GB2312" w:cs="宋体"/>
                <w:kern w:val="0"/>
                <w:sz w:val="24"/>
                <w:szCs w:val="24"/>
              </w:rPr>
              <w:t>3. 项目或产品的质保期（系统维护期）是否响应投标文件和合同中的承诺，并提供相应的保修卡、服务承诺函等资料。是（  ）；否（  ）</w:t>
            </w:r>
          </w:p>
        </w:tc>
      </w:tr>
      <w:tr>
        <w:tblPrEx>
          <w:tblCellMar>
            <w:top w:w="0" w:type="dxa"/>
            <w:left w:w="108" w:type="dxa"/>
            <w:bottom w:w="0" w:type="dxa"/>
            <w:right w:w="108" w:type="dxa"/>
          </w:tblCellMar>
        </w:tblPrEx>
        <w:trPr>
          <w:wBefore w:w="0" w:type="dxa"/>
          <w:trHeight w:val="623" w:hRule="atLeast"/>
          <w:jc w:val="center"/>
        </w:trPr>
        <w:tc>
          <w:tcPr>
            <w:tcW w:w="460" w:type="dxa"/>
            <w:vMerge w:val="continue"/>
            <w:tcBorders>
              <w:top w:val="nil"/>
              <w:left w:val="single" w:color="auto" w:sz="4" w:space="0"/>
              <w:bottom w:val="single" w:color="auto" w:sz="4" w:space="0"/>
              <w:right w:val="single" w:color="auto" w:sz="4" w:space="0"/>
            </w:tcBorders>
            <w:noWrap w:val="0"/>
            <w:vAlign w:val="center"/>
          </w:tcPr>
          <w:p>
            <w:pPr>
              <w:rPr>
                <w:rFonts w:hint="eastAsia" w:ascii="仿宋_GB2312" w:hAnsi="宋体" w:eastAsia="仿宋_GB2312" w:cs="宋体"/>
                <w:kern w:val="0"/>
                <w:sz w:val="24"/>
                <w:szCs w:val="24"/>
              </w:rPr>
            </w:pPr>
          </w:p>
        </w:tc>
        <w:tc>
          <w:tcPr>
            <w:tcW w:w="8731" w:type="dxa"/>
            <w:gridSpan w:val="4"/>
            <w:tcBorders>
              <w:top w:val="nil"/>
              <w:left w:val="nil"/>
              <w:bottom w:val="nil"/>
              <w:right w:val="single" w:color="000000" w:sz="4" w:space="0"/>
            </w:tcBorders>
            <w:noWrap w:val="0"/>
            <w:vAlign w:val="center"/>
          </w:tcPr>
          <w:p>
            <w:pPr>
              <w:rPr>
                <w:rFonts w:hint="eastAsia" w:ascii="仿宋_GB2312" w:hAnsi="宋体" w:eastAsia="仿宋_GB2312" w:cs="宋体"/>
                <w:kern w:val="0"/>
                <w:sz w:val="24"/>
                <w:szCs w:val="24"/>
              </w:rPr>
            </w:pPr>
            <w:r>
              <w:rPr>
                <w:rFonts w:hint="eastAsia" w:ascii="仿宋_GB2312" w:hAnsi="宋体" w:eastAsia="仿宋_GB2312" w:cs="宋体"/>
                <w:kern w:val="0"/>
                <w:sz w:val="24"/>
                <w:szCs w:val="24"/>
              </w:rPr>
              <w:t>4. 是否在项目试运行阶段有实施人员常驻现场。是（  ）；否（  ）</w:t>
            </w:r>
          </w:p>
        </w:tc>
      </w:tr>
      <w:tr>
        <w:tblPrEx>
          <w:tblCellMar>
            <w:top w:w="0" w:type="dxa"/>
            <w:left w:w="108" w:type="dxa"/>
            <w:bottom w:w="0" w:type="dxa"/>
            <w:right w:w="108" w:type="dxa"/>
          </w:tblCellMar>
        </w:tblPrEx>
        <w:trPr>
          <w:wBefore w:w="0" w:type="dxa"/>
          <w:trHeight w:val="505" w:hRule="atLeast"/>
          <w:jc w:val="center"/>
        </w:trPr>
        <w:tc>
          <w:tcPr>
            <w:tcW w:w="460" w:type="dxa"/>
            <w:vMerge w:val="continue"/>
            <w:tcBorders>
              <w:top w:val="nil"/>
              <w:left w:val="single" w:color="auto" w:sz="4" w:space="0"/>
              <w:bottom w:val="single" w:color="auto" w:sz="4" w:space="0"/>
              <w:right w:val="single" w:color="auto" w:sz="4" w:space="0"/>
            </w:tcBorders>
            <w:noWrap w:val="0"/>
            <w:vAlign w:val="center"/>
          </w:tcPr>
          <w:p>
            <w:pPr>
              <w:rPr>
                <w:rFonts w:hint="eastAsia" w:ascii="仿宋_GB2312" w:hAnsi="宋体" w:eastAsia="仿宋_GB2312" w:cs="宋体"/>
                <w:kern w:val="0"/>
                <w:sz w:val="24"/>
                <w:szCs w:val="24"/>
              </w:rPr>
            </w:pPr>
          </w:p>
        </w:tc>
        <w:tc>
          <w:tcPr>
            <w:tcW w:w="8731" w:type="dxa"/>
            <w:gridSpan w:val="4"/>
            <w:tcBorders>
              <w:top w:val="nil"/>
              <w:left w:val="nil"/>
              <w:bottom w:val="nil"/>
              <w:right w:val="single" w:color="000000" w:sz="4" w:space="0"/>
            </w:tcBorders>
            <w:noWrap w:val="0"/>
            <w:vAlign w:val="center"/>
          </w:tcPr>
          <w:p>
            <w:pPr>
              <w:rPr>
                <w:rFonts w:hint="eastAsia" w:ascii="仿宋_GB2312" w:hAnsi="宋体" w:eastAsia="仿宋_GB2312" w:cs="宋体"/>
                <w:kern w:val="0"/>
                <w:sz w:val="24"/>
                <w:szCs w:val="24"/>
              </w:rPr>
            </w:pPr>
            <w:r>
              <w:rPr>
                <w:rFonts w:hint="eastAsia" w:ascii="仿宋_GB2312" w:hAnsi="宋体" w:eastAsia="仿宋_GB2312" w:cs="宋体"/>
                <w:kern w:val="0"/>
                <w:sz w:val="24"/>
                <w:szCs w:val="24"/>
              </w:rPr>
              <w:t>5. 是否在试运行期间对系统及设备及时进行完善和调优，满足采购单位需求。是（  ）；否（  ）</w:t>
            </w:r>
          </w:p>
        </w:tc>
      </w:tr>
      <w:tr>
        <w:tblPrEx>
          <w:tblCellMar>
            <w:top w:w="0" w:type="dxa"/>
            <w:left w:w="108" w:type="dxa"/>
            <w:bottom w:w="0" w:type="dxa"/>
            <w:right w:w="108" w:type="dxa"/>
          </w:tblCellMar>
        </w:tblPrEx>
        <w:trPr>
          <w:wBefore w:w="0" w:type="dxa"/>
          <w:trHeight w:val="529" w:hRule="atLeast"/>
          <w:jc w:val="center"/>
        </w:trPr>
        <w:tc>
          <w:tcPr>
            <w:tcW w:w="460" w:type="dxa"/>
            <w:vMerge w:val="continue"/>
            <w:tcBorders>
              <w:top w:val="nil"/>
              <w:left w:val="single" w:color="auto" w:sz="4" w:space="0"/>
              <w:bottom w:val="single" w:color="auto" w:sz="4" w:space="0"/>
              <w:right w:val="single" w:color="auto" w:sz="4" w:space="0"/>
            </w:tcBorders>
            <w:noWrap w:val="0"/>
            <w:vAlign w:val="center"/>
          </w:tcPr>
          <w:p>
            <w:pPr>
              <w:rPr>
                <w:rFonts w:hint="eastAsia" w:ascii="仿宋_GB2312" w:hAnsi="宋体" w:eastAsia="仿宋_GB2312" w:cs="宋体"/>
                <w:kern w:val="0"/>
                <w:sz w:val="24"/>
                <w:szCs w:val="24"/>
              </w:rPr>
            </w:pPr>
          </w:p>
        </w:tc>
        <w:tc>
          <w:tcPr>
            <w:tcW w:w="8731" w:type="dxa"/>
            <w:gridSpan w:val="4"/>
            <w:tcBorders>
              <w:top w:val="nil"/>
              <w:left w:val="nil"/>
              <w:bottom w:val="nil"/>
              <w:right w:val="single" w:color="000000" w:sz="4" w:space="0"/>
            </w:tcBorders>
            <w:noWrap w:val="0"/>
            <w:vAlign w:val="center"/>
          </w:tcPr>
          <w:p>
            <w:pPr>
              <w:rPr>
                <w:rFonts w:hint="eastAsia" w:ascii="仿宋_GB2312" w:hAnsi="宋体" w:eastAsia="仿宋_GB2312" w:cs="宋体"/>
                <w:kern w:val="0"/>
                <w:sz w:val="24"/>
                <w:szCs w:val="24"/>
              </w:rPr>
            </w:pPr>
            <w:r>
              <w:rPr>
                <w:rFonts w:hint="eastAsia" w:ascii="仿宋_GB2312" w:hAnsi="宋体" w:eastAsia="仿宋_GB2312" w:cs="宋体"/>
                <w:kern w:val="0"/>
                <w:sz w:val="24"/>
                <w:szCs w:val="24"/>
              </w:rPr>
              <w:t>6. 是否在试运行期内，随着采购单位需求的调整随时作出响应。是（  ）；否（  ）</w:t>
            </w:r>
          </w:p>
        </w:tc>
      </w:tr>
      <w:tr>
        <w:tblPrEx>
          <w:tblCellMar>
            <w:top w:w="0" w:type="dxa"/>
            <w:left w:w="108" w:type="dxa"/>
            <w:bottom w:w="0" w:type="dxa"/>
            <w:right w:w="108" w:type="dxa"/>
          </w:tblCellMar>
        </w:tblPrEx>
        <w:trPr>
          <w:wBefore w:w="0" w:type="dxa"/>
          <w:trHeight w:val="551" w:hRule="atLeast"/>
          <w:jc w:val="center"/>
        </w:trPr>
        <w:tc>
          <w:tcPr>
            <w:tcW w:w="460" w:type="dxa"/>
            <w:vMerge w:val="continue"/>
            <w:tcBorders>
              <w:top w:val="nil"/>
              <w:left w:val="single" w:color="auto" w:sz="4" w:space="0"/>
              <w:bottom w:val="single" w:color="auto" w:sz="4" w:space="0"/>
              <w:right w:val="single" w:color="auto" w:sz="4" w:space="0"/>
            </w:tcBorders>
            <w:noWrap w:val="0"/>
            <w:vAlign w:val="center"/>
          </w:tcPr>
          <w:p>
            <w:pPr>
              <w:rPr>
                <w:rFonts w:hint="eastAsia" w:ascii="仿宋_GB2312" w:hAnsi="宋体" w:eastAsia="仿宋_GB2312" w:cs="宋体"/>
                <w:kern w:val="0"/>
                <w:sz w:val="24"/>
                <w:szCs w:val="24"/>
              </w:rPr>
            </w:pPr>
          </w:p>
        </w:tc>
        <w:tc>
          <w:tcPr>
            <w:tcW w:w="8731" w:type="dxa"/>
            <w:gridSpan w:val="4"/>
            <w:tcBorders>
              <w:top w:val="nil"/>
              <w:left w:val="nil"/>
              <w:bottom w:val="nil"/>
              <w:right w:val="single" w:color="000000" w:sz="4" w:space="0"/>
            </w:tcBorders>
            <w:noWrap w:val="0"/>
            <w:vAlign w:val="center"/>
          </w:tcPr>
          <w:p>
            <w:pPr>
              <w:rPr>
                <w:rFonts w:hint="eastAsia" w:ascii="仿宋_GB2312" w:hAnsi="宋体" w:eastAsia="仿宋_GB2312" w:cs="宋体"/>
                <w:kern w:val="0"/>
                <w:sz w:val="24"/>
                <w:szCs w:val="24"/>
              </w:rPr>
            </w:pPr>
            <w:r>
              <w:rPr>
                <w:rFonts w:hint="eastAsia" w:ascii="仿宋_GB2312" w:hAnsi="宋体" w:eastAsia="仿宋_GB2312" w:cs="宋体"/>
                <w:kern w:val="0"/>
                <w:sz w:val="24"/>
                <w:szCs w:val="24"/>
              </w:rPr>
              <w:t>7. 对采购单位的咨询和要求是否耐心解答和解决。是（  ）；否（  ）</w:t>
            </w:r>
          </w:p>
        </w:tc>
      </w:tr>
      <w:tr>
        <w:tblPrEx>
          <w:tblCellMar>
            <w:top w:w="0" w:type="dxa"/>
            <w:left w:w="108" w:type="dxa"/>
            <w:bottom w:w="0" w:type="dxa"/>
            <w:right w:w="108" w:type="dxa"/>
          </w:tblCellMar>
        </w:tblPrEx>
        <w:trPr>
          <w:wBefore w:w="0" w:type="dxa"/>
          <w:trHeight w:val="675" w:hRule="atLeast"/>
          <w:jc w:val="center"/>
        </w:trPr>
        <w:tc>
          <w:tcPr>
            <w:tcW w:w="460" w:type="dxa"/>
            <w:vMerge w:val="continue"/>
            <w:tcBorders>
              <w:top w:val="nil"/>
              <w:left w:val="single" w:color="auto" w:sz="4" w:space="0"/>
              <w:bottom w:val="single" w:color="auto" w:sz="4" w:space="0"/>
              <w:right w:val="single" w:color="auto" w:sz="4" w:space="0"/>
            </w:tcBorders>
            <w:noWrap w:val="0"/>
            <w:vAlign w:val="center"/>
          </w:tcPr>
          <w:p>
            <w:pPr>
              <w:rPr>
                <w:rFonts w:hint="eastAsia" w:ascii="仿宋_GB2312" w:hAnsi="宋体" w:eastAsia="仿宋_GB2312" w:cs="宋体"/>
                <w:kern w:val="0"/>
                <w:sz w:val="24"/>
                <w:szCs w:val="24"/>
              </w:rPr>
            </w:pPr>
          </w:p>
        </w:tc>
        <w:tc>
          <w:tcPr>
            <w:tcW w:w="8731" w:type="dxa"/>
            <w:gridSpan w:val="4"/>
            <w:tcBorders>
              <w:top w:val="nil"/>
              <w:left w:val="nil"/>
              <w:bottom w:val="nil"/>
              <w:right w:val="single" w:color="000000" w:sz="4" w:space="0"/>
            </w:tcBorders>
            <w:noWrap w:val="0"/>
            <w:vAlign w:val="center"/>
          </w:tcPr>
          <w:p>
            <w:pPr>
              <w:rPr>
                <w:rFonts w:hint="eastAsia" w:ascii="仿宋_GB2312" w:hAnsi="宋体" w:eastAsia="仿宋_GB2312" w:cs="宋体"/>
                <w:kern w:val="0"/>
                <w:sz w:val="24"/>
                <w:szCs w:val="24"/>
              </w:rPr>
            </w:pPr>
            <w:r>
              <w:rPr>
                <w:rFonts w:hint="eastAsia" w:ascii="仿宋_GB2312" w:hAnsi="宋体" w:eastAsia="仿宋_GB2312" w:cs="宋体"/>
                <w:kern w:val="0"/>
                <w:sz w:val="24"/>
                <w:szCs w:val="24"/>
              </w:rPr>
              <w:t>8. 是否进行了操作技术示范和讲解，并按照投标文件承诺完成对普通业务人员的应用培训和系统维护人员的专业技术培训。是（  ）；否（  ）</w:t>
            </w:r>
          </w:p>
        </w:tc>
      </w:tr>
      <w:tr>
        <w:tblPrEx>
          <w:tblCellMar>
            <w:top w:w="0" w:type="dxa"/>
            <w:left w:w="108" w:type="dxa"/>
            <w:bottom w:w="0" w:type="dxa"/>
            <w:right w:w="108" w:type="dxa"/>
          </w:tblCellMar>
        </w:tblPrEx>
        <w:trPr>
          <w:wBefore w:w="0" w:type="dxa"/>
          <w:trHeight w:val="459" w:hRule="atLeast"/>
          <w:jc w:val="center"/>
        </w:trPr>
        <w:tc>
          <w:tcPr>
            <w:tcW w:w="460" w:type="dxa"/>
            <w:vMerge w:val="continue"/>
            <w:tcBorders>
              <w:top w:val="nil"/>
              <w:left w:val="single" w:color="auto" w:sz="4" w:space="0"/>
              <w:bottom w:val="single" w:color="auto" w:sz="4" w:space="0"/>
              <w:right w:val="single" w:color="auto" w:sz="4" w:space="0"/>
            </w:tcBorders>
            <w:noWrap w:val="0"/>
            <w:vAlign w:val="center"/>
          </w:tcPr>
          <w:p>
            <w:pPr>
              <w:rPr>
                <w:rFonts w:hint="eastAsia" w:ascii="仿宋_GB2312" w:hAnsi="宋体" w:eastAsia="仿宋_GB2312" w:cs="宋体"/>
                <w:kern w:val="0"/>
                <w:sz w:val="24"/>
                <w:szCs w:val="24"/>
              </w:rPr>
            </w:pPr>
          </w:p>
        </w:tc>
        <w:tc>
          <w:tcPr>
            <w:tcW w:w="8731" w:type="dxa"/>
            <w:gridSpan w:val="4"/>
            <w:tcBorders>
              <w:top w:val="nil"/>
              <w:left w:val="nil"/>
              <w:bottom w:val="single" w:color="auto" w:sz="4" w:space="0"/>
              <w:right w:val="single" w:color="000000" w:sz="4" w:space="0"/>
            </w:tcBorders>
            <w:noWrap w:val="0"/>
            <w:vAlign w:val="center"/>
          </w:tcPr>
          <w:p>
            <w:pPr>
              <w:rPr>
                <w:rFonts w:hint="eastAsia" w:ascii="仿宋_GB2312" w:hAnsi="宋体" w:eastAsia="仿宋_GB2312" w:cs="宋体"/>
                <w:kern w:val="0"/>
                <w:sz w:val="24"/>
                <w:szCs w:val="24"/>
              </w:rPr>
            </w:pPr>
            <w:r>
              <w:rPr>
                <w:rFonts w:hint="eastAsia" w:ascii="仿宋_GB2312" w:hAnsi="宋体" w:eastAsia="仿宋_GB2312" w:cs="宋体"/>
                <w:kern w:val="0"/>
                <w:sz w:val="24"/>
                <w:szCs w:val="24"/>
              </w:rPr>
              <w:t>9. 是否按项目验收标准提交相关工作内容及成果文档。是（  ）；否（  ）</w:t>
            </w:r>
          </w:p>
        </w:tc>
      </w:tr>
    </w:tbl>
    <w:p>
      <w:pPr>
        <w:jc w:val="right"/>
        <w:rPr>
          <w:rFonts w:hint="eastAsia" w:ascii="仿宋_GB2312" w:hAnsi="仿宋" w:eastAsia="仿宋_GB2312"/>
          <w:kern w:val="0"/>
          <w:sz w:val="24"/>
        </w:rPr>
      </w:pPr>
    </w:p>
    <w:p>
      <w:pPr>
        <w:autoSpaceDE w:val="0"/>
        <w:autoSpaceDN w:val="0"/>
        <w:adjustRightInd w:val="0"/>
        <w:rPr>
          <w:rFonts w:hint="eastAsia" w:ascii="仿宋_GB2312" w:hAnsi="仿宋" w:eastAsia="仿宋_GB2312"/>
          <w:b/>
        </w:rPr>
      </w:pPr>
      <w:r>
        <w:rPr>
          <w:rFonts w:hint="eastAsia" w:ascii="仿宋_GB2312" w:hAnsi="仿宋" w:eastAsia="仿宋_GB2312"/>
          <w:b/>
        </w:rPr>
        <w:t>注：采购单位在该设备使用期内对供应商的服务有意见，可复印此表或以其他书面材料向杭州市教育技术中心（电话、传真85154397）、市财政局（电话、传真：87715261）投诉。感谢合作。</w:t>
      </w:r>
    </w:p>
    <w:p>
      <w:pPr>
        <w:jc w:val="center"/>
        <w:rPr>
          <w:rFonts w:hint="eastAsia" w:ascii="仿宋_GB2312" w:eastAsia="仿宋_GB2312"/>
          <w:b/>
        </w:rPr>
      </w:pPr>
    </w:p>
    <w:p>
      <w:pPr>
        <w:jc w:val="center"/>
        <w:rPr>
          <w:rFonts w:hint="eastAsia" w:ascii="仿宋_GB2312" w:eastAsia="仿宋_GB2312"/>
          <w:b/>
        </w:rPr>
      </w:pPr>
    </w:p>
    <w:p>
      <w:pPr>
        <w:jc w:val="center"/>
        <w:rPr>
          <w:rFonts w:hint="eastAsia" w:ascii="仿宋_GB2312" w:eastAsia="仿宋_GB2312"/>
          <w:b/>
        </w:rPr>
      </w:pPr>
    </w:p>
    <w:p>
      <w:pPr>
        <w:jc w:val="center"/>
        <w:rPr>
          <w:rFonts w:hint="eastAsia" w:ascii="仿宋_GB2312" w:hAnsi="宋体" w:eastAsia="仿宋_GB2312"/>
          <w:b/>
          <w:kern w:val="0"/>
          <w:sz w:val="30"/>
          <w:szCs w:val="30"/>
        </w:rPr>
      </w:pPr>
      <w:r>
        <w:rPr>
          <w:rFonts w:hint="eastAsia" w:ascii="仿宋_GB2312" w:hAnsi="宋体" w:eastAsia="仿宋_GB2312"/>
          <w:b/>
          <w:sz w:val="30"/>
          <w:szCs w:val="30"/>
        </w:rPr>
        <w:t>附件3：</w:t>
      </w:r>
      <w:r>
        <w:rPr>
          <w:rFonts w:hint="eastAsia" w:ascii="仿宋_GB2312" w:hAnsi="宋体" w:eastAsia="仿宋_GB2312"/>
          <w:b/>
          <w:kern w:val="0"/>
          <w:sz w:val="30"/>
          <w:szCs w:val="30"/>
        </w:rPr>
        <w:t>杭州市教育设备政府采购实施情况跟踪督查表</w:t>
      </w:r>
    </w:p>
    <w:p>
      <w:pPr>
        <w:rPr>
          <w:rFonts w:hint="eastAsia" w:ascii="仿宋_GB2312" w:hAnsi="宋体" w:eastAsia="仿宋_GB2312"/>
          <w:kern w:val="0"/>
          <w:sz w:val="24"/>
        </w:rPr>
      </w:pPr>
    </w:p>
    <w:p>
      <w:pPr>
        <w:ind w:firstLine="360" w:firstLineChars="150"/>
        <w:rPr>
          <w:rFonts w:hint="eastAsia" w:ascii="仿宋_GB2312" w:hAnsi="宋体" w:eastAsia="仿宋_GB2312"/>
          <w:kern w:val="0"/>
          <w:sz w:val="24"/>
        </w:rPr>
      </w:pPr>
      <w:r>
        <w:rPr>
          <w:rFonts w:hint="eastAsia" w:ascii="仿宋_GB2312" w:hAnsi="宋体" w:eastAsia="仿宋_GB2312"/>
          <w:kern w:val="0"/>
          <w:sz w:val="24"/>
        </w:rPr>
        <w:t>采购单位（公章）                        日期：</w:t>
      </w:r>
      <w:r>
        <w:rPr>
          <w:rFonts w:hint="eastAsia" w:ascii="仿宋_GB2312" w:eastAsia="仿宋_GB2312"/>
          <w:kern w:val="0"/>
          <w:sz w:val="24"/>
        </w:rPr>
        <w:t xml:space="preserve">       </w:t>
      </w:r>
      <w:r>
        <w:rPr>
          <w:rFonts w:hint="eastAsia" w:ascii="仿宋_GB2312" w:hAnsi="宋体" w:eastAsia="仿宋_GB2312"/>
          <w:kern w:val="0"/>
          <w:sz w:val="24"/>
        </w:rPr>
        <w:t>年</w:t>
      </w:r>
      <w:r>
        <w:rPr>
          <w:rFonts w:hint="eastAsia" w:ascii="仿宋_GB2312" w:eastAsia="仿宋_GB2312"/>
          <w:kern w:val="0"/>
          <w:sz w:val="24"/>
        </w:rPr>
        <w:t xml:space="preserve">     </w:t>
      </w:r>
      <w:r>
        <w:rPr>
          <w:rFonts w:hint="eastAsia" w:ascii="仿宋_GB2312" w:hAnsi="宋体" w:eastAsia="仿宋_GB2312"/>
          <w:kern w:val="0"/>
          <w:sz w:val="24"/>
        </w:rPr>
        <w:t>月</w:t>
      </w:r>
      <w:r>
        <w:rPr>
          <w:rFonts w:hint="eastAsia" w:ascii="仿宋_GB2312" w:eastAsia="仿宋_GB2312"/>
          <w:kern w:val="0"/>
          <w:sz w:val="24"/>
        </w:rPr>
        <w:t xml:space="preserve">    </w:t>
      </w:r>
      <w:r>
        <w:rPr>
          <w:rFonts w:hint="eastAsia" w:ascii="仿宋_GB2312" w:hAnsi="宋体" w:eastAsia="仿宋_GB2312"/>
          <w:kern w:val="0"/>
          <w:sz w:val="24"/>
        </w:rPr>
        <w:t>日</w:t>
      </w:r>
    </w:p>
    <w:tbl>
      <w:tblPr>
        <w:tblStyle w:val="64"/>
        <w:tblW w:w="0" w:type="auto"/>
        <w:jc w:val="center"/>
        <w:tblLayout w:type="fixed"/>
        <w:tblCellMar>
          <w:top w:w="0" w:type="dxa"/>
          <w:left w:w="108" w:type="dxa"/>
          <w:bottom w:w="0" w:type="dxa"/>
          <w:right w:w="108" w:type="dxa"/>
        </w:tblCellMar>
      </w:tblPr>
      <w:tblGrid>
        <w:gridCol w:w="573"/>
        <w:gridCol w:w="121"/>
        <w:gridCol w:w="772"/>
        <w:gridCol w:w="319"/>
        <w:gridCol w:w="1985"/>
        <w:gridCol w:w="952"/>
        <w:gridCol w:w="8"/>
        <w:gridCol w:w="1921"/>
        <w:gridCol w:w="428"/>
        <w:gridCol w:w="532"/>
        <w:gridCol w:w="1495"/>
      </w:tblGrid>
      <w:tr>
        <w:tblPrEx>
          <w:tblCellMar>
            <w:top w:w="0" w:type="dxa"/>
            <w:left w:w="108" w:type="dxa"/>
            <w:bottom w:w="0" w:type="dxa"/>
            <w:right w:w="108" w:type="dxa"/>
          </w:tblCellMar>
        </w:tblPrEx>
        <w:trPr>
          <w:wBefore w:w="0" w:type="dxa"/>
          <w:trHeight w:val="452" w:hRule="atLeast"/>
          <w:jc w:val="center"/>
        </w:trPr>
        <w:tc>
          <w:tcPr>
            <w:tcW w:w="1785"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kern w:val="0"/>
                <w:sz w:val="24"/>
              </w:rPr>
            </w:pPr>
            <w:r>
              <w:rPr>
                <w:rFonts w:hint="eastAsia" w:ascii="仿宋_GB2312" w:hAnsi="宋体" w:eastAsia="仿宋_GB2312"/>
                <w:kern w:val="0"/>
                <w:sz w:val="24"/>
              </w:rPr>
              <w:t>项目名称及</w:t>
            </w:r>
          </w:p>
          <w:p>
            <w:pPr>
              <w:jc w:val="center"/>
              <w:rPr>
                <w:rFonts w:hint="eastAsia" w:ascii="仿宋_GB2312" w:hAnsi="宋体" w:eastAsia="仿宋_GB2312"/>
                <w:kern w:val="0"/>
                <w:sz w:val="24"/>
              </w:rPr>
            </w:pPr>
            <w:r>
              <w:rPr>
                <w:rFonts w:hint="eastAsia" w:ascii="仿宋_GB2312" w:hAnsi="宋体" w:eastAsia="仿宋_GB2312"/>
                <w:kern w:val="0"/>
                <w:sz w:val="24"/>
              </w:rPr>
              <w:t>采购编号</w:t>
            </w:r>
          </w:p>
        </w:tc>
        <w:tc>
          <w:tcPr>
            <w:tcW w:w="2945" w:type="dxa"/>
            <w:gridSpan w:val="3"/>
            <w:tcBorders>
              <w:top w:val="single" w:color="auto" w:sz="4" w:space="0"/>
              <w:left w:val="nil"/>
              <w:bottom w:val="single" w:color="auto" w:sz="4" w:space="0"/>
              <w:right w:val="single" w:color="auto" w:sz="4" w:space="0"/>
            </w:tcBorders>
            <w:noWrap w:val="0"/>
            <w:vAlign w:val="center"/>
          </w:tcPr>
          <w:p>
            <w:pPr>
              <w:jc w:val="center"/>
              <w:rPr>
                <w:rFonts w:hint="eastAsia" w:ascii="仿宋_GB2312" w:hAnsi="宋体" w:eastAsia="仿宋_GB2312"/>
                <w:kern w:val="0"/>
                <w:sz w:val="24"/>
              </w:rPr>
            </w:pPr>
          </w:p>
        </w:tc>
        <w:tc>
          <w:tcPr>
            <w:tcW w:w="2349" w:type="dxa"/>
            <w:gridSpan w:val="2"/>
            <w:tcBorders>
              <w:top w:val="single" w:color="auto" w:sz="4" w:space="0"/>
              <w:left w:val="nil"/>
              <w:bottom w:val="single" w:color="auto" w:sz="4" w:space="0"/>
              <w:right w:val="single" w:color="auto" w:sz="4" w:space="0"/>
            </w:tcBorders>
            <w:noWrap w:val="0"/>
            <w:vAlign w:val="center"/>
          </w:tcPr>
          <w:p>
            <w:pPr>
              <w:jc w:val="center"/>
              <w:rPr>
                <w:rFonts w:hint="eastAsia" w:ascii="仿宋_GB2312" w:hAnsi="宋体" w:eastAsia="仿宋_GB2312"/>
                <w:kern w:val="0"/>
                <w:sz w:val="24"/>
              </w:rPr>
            </w:pPr>
            <w:r>
              <w:rPr>
                <w:rFonts w:hint="eastAsia" w:ascii="仿宋_GB2312" w:hAnsi="宋体" w:eastAsia="仿宋_GB2312"/>
                <w:kern w:val="0"/>
                <w:sz w:val="24"/>
              </w:rPr>
              <w:t>采购方式及</w:t>
            </w:r>
          </w:p>
          <w:p>
            <w:pPr>
              <w:jc w:val="center"/>
              <w:rPr>
                <w:rFonts w:hint="eastAsia" w:ascii="仿宋_GB2312" w:hAnsi="宋体" w:eastAsia="仿宋_GB2312"/>
                <w:kern w:val="0"/>
                <w:sz w:val="24"/>
              </w:rPr>
            </w:pPr>
            <w:r>
              <w:rPr>
                <w:rFonts w:hint="eastAsia" w:ascii="仿宋_GB2312" w:hAnsi="宋体" w:eastAsia="仿宋_GB2312"/>
                <w:kern w:val="0"/>
                <w:sz w:val="24"/>
              </w:rPr>
              <w:t>评标办法</w:t>
            </w:r>
          </w:p>
        </w:tc>
        <w:tc>
          <w:tcPr>
            <w:tcW w:w="2027" w:type="dxa"/>
            <w:gridSpan w:val="2"/>
            <w:tcBorders>
              <w:top w:val="single" w:color="auto" w:sz="4" w:space="0"/>
              <w:left w:val="nil"/>
              <w:bottom w:val="single" w:color="auto" w:sz="4" w:space="0"/>
              <w:right w:val="single" w:color="auto" w:sz="4" w:space="0"/>
            </w:tcBorders>
            <w:noWrap w:val="0"/>
            <w:vAlign w:val="center"/>
          </w:tcPr>
          <w:p>
            <w:pPr>
              <w:jc w:val="center"/>
              <w:rPr>
                <w:rFonts w:hint="eastAsia" w:ascii="仿宋_GB2312" w:hAnsi="宋体" w:eastAsia="仿宋_GB2312"/>
                <w:kern w:val="0"/>
                <w:sz w:val="24"/>
              </w:rPr>
            </w:pPr>
          </w:p>
        </w:tc>
      </w:tr>
      <w:tr>
        <w:tblPrEx>
          <w:tblCellMar>
            <w:top w:w="0" w:type="dxa"/>
            <w:left w:w="108" w:type="dxa"/>
            <w:bottom w:w="0" w:type="dxa"/>
            <w:right w:w="108" w:type="dxa"/>
          </w:tblCellMar>
        </w:tblPrEx>
        <w:trPr>
          <w:wBefore w:w="0" w:type="dxa"/>
          <w:trHeight w:val="458" w:hRule="atLeast"/>
          <w:jc w:val="center"/>
        </w:trPr>
        <w:tc>
          <w:tcPr>
            <w:tcW w:w="1785"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kern w:val="0"/>
                <w:sz w:val="24"/>
              </w:rPr>
            </w:pPr>
            <w:r>
              <w:rPr>
                <w:rFonts w:hint="eastAsia" w:ascii="仿宋_GB2312" w:hAnsi="宋体" w:eastAsia="仿宋_GB2312"/>
                <w:kern w:val="0"/>
                <w:sz w:val="24"/>
              </w:rPr>
              <w:t>项目执行书</w:t>
            </w:r>
          </w:p>
          <w:p>
            <w:pPr>
              <w:jc w:val="center"/>
              <w:rPr>
                <w:rFonts w:hint="eastAsia" w:ascii="仿宋_GB2312" w:hAnsi="宋体" w:eastAsia="仿宋_GB2312"/>
                <w:kern w:val="0"/>
                <w:sz w:val="24"/>
              </w:rPr>
            </w:pPr>
            <w:r>
              <w:rPr>
                <w:rFonts w:hint="eastAsia" w:ascii="仿宋_GB2312" w:hAnsi="宋体" w:eastAsia="仿宋_GB2312"/>
                <w:kern w:val="0"/>
                <w:sz w:val="24"/>
              </w:rPr>
              <w:t>编号</w:t>
            </w:r>
          </w:p>
        </w:tc>
        <w:tc>
          <w:tcPr>
            <w:tcW w:w="2945" w:type="dxa"/>
            <w:gridSpan w:val="3"/>
            <w:tcBorders>
              <w:top w:val="nil"/>
              <w:left w:val="nil"/>
              <w:bottom w:val="single" w:color="auto" w:sz="4" w:space="0"/>
              <w:right w:val="single" w:color="auto" w:sz="4" w:space="0"/>
            </w:tcBorders>
            <w:noWrap w:val="0"/>
            <w:vAlign w:val="center"/>
          </w:tcPr>
          <w:p>
            <w:pPr>
              <w:jc w:val="center"/>
              <w:rPr>
                <w:rFonts w:hint="eastAsia" w:ascii="仿宋_GB2312" w:hAnsi="宋体" w:eastAsia="仿宋_GB2312"/>
                <w:kern w:val="0"/>
                <w:sz w:val="24"/>
              </w:rPr>
            </w:pPr>
          </w:p>
        </w:tc>
        <w:tc>
          <w:tcPr>
            <w:tcW w:w="2349" w:type="dxa"/>
            <w:gridSpan w:val="2"/>
            <w:tcBorders>
              <w:top w:val="nil"/>
              <w:left w:val="nil"/>
              <w:bottom w:val="single" w:color="auto" w:sz="4" w:space="0"/>
              <w:right w:val="single" w:color="auto" w:sz="4" w:space="0"/>
            </w:tcBorders>
            <w:noWrap w:val="0"/>
            <w:vAlign w:val="center"/>
          </w:tcPr>
          <w:p>
            <w:pPr>
              <w:jc w:val="center"/>
              <w:rPr>
                <w:rFonts w:hint="eastAsia" w:ascii="仿宋_GB2312" w:hAnsi="宋体" w:eastAsia="仿宋_GB2312"/>
                <w:kern w:val="0"/>
                <w:sz w:val="24"/>
              </w:rPr>
            </w:pPr>
            <w:r>
              <w:rPr>
                <w:rFonts w:hint="eastAsia" w:ascii="仿宋_GB2312" w:hAnsi="宋体" w:eastAsia="仿宋_GB2312"/>
                <w:kern w:val="0"/>
                <w:sz w:val="24"/>
              </w:rPr>
              <w:t>采购单位联系人</w:t>
            </w:r>
          </w:p>
          <w:p>
            <w:pPr>
              <w:jc w:val="center"/>
              <w:rPr>
                <w:rFonts w:hint="eastAsia" w:ascii="仿宋_GB2312" w:hAnsi="宋体" w:eastAsia="仿宋_GB2312"/>
                <w:kern w:val="0"/>
                <w:sz w:val="24"/>
              </w:rPr>
            </w:pPr>
            <w:r>
              <w:rPr>
                <w:rFonts w:hint="eastAsia" w:ascii="仿宋_GB2312" w:hAnsi="宋体" w:eastAsia="仿宋_GB2312"/>
                <w:kern w:val="0"/>
                <w:sz w:val="24"/>
              </w:rPr>
              <w:t>联系电话</w:t>
            </w:r>
          </w:p>
        </w:tc>
        <w:tc>
          <w:tcPr>
            <w:tcW w:w="2027" w:type="dxa"/>
            <w:gridSpan w:val="2"/>
            <w:tcBorders>
              <w:top w:val="nil"/>
              <w:left w:val="nil"/>
              <w:bottom w:val="single" w:color="auto" w:sz="4" w:space="0"/>
              <w:right w:val="single" w:color="auto" w:sz="4" w:space="0"/>
            </w:tcBorders>
            <w:noWrap w:val="0"/>
            <w:vAlign w:val="center"/>
          </w:tcPr>
          <w:p>
            <w:pPr>
              <w:jc w:val="center"/>
              <w:rPr>
                <w:rFonts w:hint="eastAsia" w:ascii="仿宋_GB2312" w:hAnsi="宋体" w:eastAsia="仿宋_GB2312"/>
                <w:kern w:val="0"/>
                <w:sz w:val="24"/>
              </w:rPr>
            </w:pPr>
          </w:p>
        </w:tc>
      </w:tr>
      <w:tr>
        <w:tblPrEx>
          <w:tblCellMar>
            <w:top w:w="0" w:type="dxa"/>
            <w:left w:w="108" w:type="dxa"/>
            <w:bottom w:w="0" w:type="dxa"/>
            <w:right w:w="108" w:type="dxa"/>
          </w:tblCellMar>
        </w:tblPrEx>
        <w:trPr>
          <w:wBefore w:w="0" w:type="dxa"/>
          <w:trHeight w:val="461" w:hRule="atLeast"/>
          <w:jc w:val="center"/>
        </w:trPr>
        <w:tc>
          <w:tcPr>
            <w:tcW w:w="1785"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kern w:val="0"/>
                <w:sz w:val="24"/>
              </w:rPr>
            </w:pPr>
            <w:r>
              <w:rPr>
                <w:rFonts w:hint="eastAsia" w:ascii="仿宋_GB2312" w:hAnsi="宋体" w:eastAsia="仿宋_GB2312"/>
                <w:kern w:val="0"/>
                <w:sz w:val="24"/>
              </w:rPr>
              <w:t>采购预算</w:t>
            </w:r>
          </w:p>
          <w:p>
            <w:pPr>
              <w:jc w:val="center"/>
              <w:rPr>
                <w:rFonts w:hint="eastAsia" w:ascii="仿宋_GB2312" w:hAnsi="宋体" w:eastAsia="仿宋_GB2312"/>
                <w:kern w:val="0"/>
                <w:sz w:val="24"/>
              </w:rPr>
            </w:pPr>
            <w:r>
              <w:rPr>
                <w:rFonts w:hint="eastAsia" w:ascii="仿宋_GB2312" w:hAnsi="宋体" w:eastAsia="仿宋_GB2312"/>
                <w:kern w:val="0"/>
                <w:sz w:val="24"/>
              </w:rPr>
              <w:t>（万元）</w:t>
            </w:r>
          </w:p>
        </w:tc>
        <w:tc>
          <w:tcPr>
            <w:tcW w:w="2945" w:type="dxa"/>
            <w:gridSpan w:val="3"/>
            <w:tcBorders>
              <w:top w:val="nil"/>
              <w:left w:val="nil"/>
              <w:bottom w:val="single" w:color="auto" w:sz="4" w:space="0"/>
              <w:right w:val="single" w:color="auto" w:sz="4" w:space="0"/>
            </w:tcBorders>
            <w:noWrap w:val="0"/>
            <w:vAlign w:val="center"/>
          </w:tcPr>
          <w:p>
            <w:pPr>
              <w:jc w:val="center"/>
              <w:rPr>
                <w:rFonts w:hint="eastAsia" w:ascii="仿宋_GB2312" w:hAnsi="宋体" w:eastAsia="仿宋_GB2312"/>
                <w:kern w:val="0"/>
                <w:sz w:val="24"/>
              </w:rPr>
            </w:pPr>
          </w:p>
        </w:tc>
        <w:tc>
          <w:tcPr>
            <w:tcW w:w="2349" w:type="dxa"/>
            <w:gridSpan w:val="2"/>
            <w:tcBorders>
              <w:top w:val="nil"/>
              <w:left w:val="nil"/>
              <w:bottom w:val="single" w:color="auto" w:sz="4" w:space="0"/>
              <w:right w:val="single" w:color="auto" w:sz="4" w:space="0"/>
            </w:tcBorders>
            <w:noWrap w:val="0"/>
            <w:vAlign w:val="center"/>
          </w:tcPr>
          <w:p>
            <w:pPr>
              <w:jc w:val="center"/>
              <w:rPr>
                <w:rFonts w:hint="eastAsia" w:ascii="仿宋_GB2312" w:hAnsi="宋体" w:eastAsia="仿宋_GB2312"/>
                <w:kern w:val="0"/>
                <w:sz w:val="24"/>
              </w:rPr>
            </w:pPr>
            <w:r>
              <w:rPr>
                <w:rFonts w:hint="eastAsia" w:ascii="仿宋_GB2312" w:hAnsi="宋体" w:eastAsia="仿宋_GB2312"/>
                <w:kern w:val="0"/>
                <w:sz w:val="24"/>
              </w:rPr>
              <w:t>中标价格（万元）</w:t>
            </w:r>
          </w:p>
        </w:tc>
        <w:tc>
          <w:tcPr>
            <w:tcW w:w="2027" w:type="dxa"/>
            <w:gridSpan w:val="2"/>
            <w:tcBorders>
              <w:top w:val="nil"/>
              <w:left w:val="nil"/>
              <w:bottom w:val="single" w:color="auto" w:sz="4" w:space="0"/>
              <w:right w:val="single" w:color="auto" w:sz="4" w:space="0"/>
            </w:tcBorders>
            <w:noWrap w:val="0"/>
            <w:vAlign w:val="center"/>
          </w:tcPr>
          <w:p>
            <w:pPr>
              <w:jc w:val="center"/>
              <w:rPr>
                <w:rFonts w:hint="eastAsia" w:ascii="仿宋_GB2312" w:hAnsi="宋体" w:eastAsia="仿宋_GB2312"/>
                <w:kern w:val="0"/>
                <w:sz w:val="24"/>
              </w:rPr>
            </w:pPr>
          </w:p>
        </w:tc>
      </w:tr>
      <w:tr>
        <w:tblPrEx>
          <w:tblCellMar>
            <w:top w:w="0" w:type="dxa"/>
            <w:left w:w="108" w:type="dxa"/>
            <w:bottom w:w="0" w:type="dxa"/>
            <w:right w:w="108" w:type="dxa"/>
          </w:tblCellMar>
        </w:tblPrEx>
        <w:trPr>
          <w:wBefore w:w="0" w:type="dxa"/>
          <w:trHeight w:val="461" w:hRule="atLeast"/>
          <w:jc w:val="center"/>
        </w:trPr>
        <w:tc>
          <w:tcPr>
            <w:tcW w:w="1785"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kern w:val="0"/>
                <w:sz w:val="24"/>
              </w:rPr>
            </w:pPr>
            <w:r>
              <w:rPr>
                <w:rFonts w:hint="eastAsia" w:ascii="仿宋_GB2312" w:hAnsi="宋体" w:eastAsia="仿宋_GB2312"/>
                <w:kern w:val="0"/>
                <w:sz w:val="24"/>
              </w:rPr>
              <w:t>供应商名称</w:t>
            </w:r>
          </w:p>
        </w:tc>
        <w:tc>
          <w:tcPr>
            <w:tcW w:w="2945" w:type="dxa"/>
            <w:gridSpan w:val="3"/>
            <w:tcBorders>
              <w:top w:val="nil"/>
              <w:left w:val="nil"/>
              <w:bottom w:val="single" w:color="auto" w:sz="4" w:space="0"/>
              <w:right w:val="single" w:color="auto" w:sz="4" w:space="0"/>
            </w:tcBorders>
            <w:noWrap w:val="0"/>
            <w:vAlign w:val="center"/>
          </w:tcPr>
          <w:p>
            <w:pPr>
              <w:jc w:val="center"/>
              <w:rPr>
                <w:rFonts w:hint="eastAsia" w:ascii="仿宋_GB2312" w:hAnsi="宋体" w:eastAsia="仿宋_GB2312"/>
                <w:kern w:val="0"/>
                <w:sz w:val="24"/>
              </w:rPr>
            </w:pPr>
          </w:p>
        </w:tc>
        <w:tc>
          <w:tcPr>
            <w:tcW w:w="2349" w:type="dxa"/>
            <w:gridSpan w:val="2"/>
            <w:tcBorders>
              <w:top w:val="nil"/>
              <w:left w:val="nil"/>
              <w:bottom w:val="single" w:color="auto" w:sz="4" w:space="0"/>
              <w:right w:val="single" w:color="auto" w:sz="4" w:space="0"/>
            </w:tcBorders>
            <w:noWrap w:val="0"/>
            <w:vAlign w:val="center"/>
          </w:tcPr>
          <w:p>
            <w:pPr>
              <w:jc w:val="center"/>
              <w:rPr>
                <w:rFonts w:hint="eastAsia" w:ascii="仿宋_GB2312" w:hAnsi="宋体" w:eastAsia="仿宋_GB2312"/>
                <w:kern w:val="0"/>
                <w:sz w:val="24"/>
              </w:rPr>
            </w:pPr>
            <w:r>
              <w:rPr>
                <w:rFonts w:hint="eastAsia" w:ascii="仿宋_GB2312" w:hAnsi="宋体" w:eastAsia="仿宋_GB2312"/>
                <w:kern w:val="0"/>
                <w:sz w:val="24"/>
              </w:rPr>
              <w:t>售后服务单位名称</w:t>
            </w:r>
          </w:p>
        </w:tc>
        <w:tc>
          <w:tcPr>
            <w:tcW w:w="2027" w:type="dxa"/>
            <w:gridSpan w:val="2"/>
            <w:tcBorders>
              <w:top w:val="nil"/>
              <w:left w:val="nil"/>
              <w:bottom w:val="single" w:color="auto" w:sz="4" w:space="0"/>
              <w:right w:val="single" w:color="auto" w:sz="4" w:space="0"/>
            </w:tcBorders>
            <w:noWrap w:val="0"/>
            <w:vAlign w:val="center"/>
          </w:tcPr>
          <w:p>
            <w:pPr>
              <w:jc w:val="center"/>
              <w:rPr>
                <w:rFonts w:hint="eastAsia" w:ascii="仿宋_GB2312" w:hAnsi="宋体" w:eastAsia="仿宋_GB2312"/>
                <w:kern w:val="0"/>
                <w:sz w:val="24"/>
              </w:rPr>
            </w:pPr>
          </w:p>
        </w:tc>
      </w:tr>
      <w:tr>
        <w:tblPrEx>
          <w:tblCellMar>
            <w:top w:w="0" w:type="dxa"/>
            <w:left w:w="108" w:type="dxa"/>
            <w:bottom w:w="0" w:type="dxa"/>
            <w:right w:w="108" w:type="dxa"/>
          </w:tblCellMar>
        </w:tblPrEx>
        <w:trPr>
          <w:wBefore w:w="0" w:type="dxa"/>
          <w:trHeight w:val="614" w:hRule="atLeast"/>
          <w:jc w:val="center"/>
        </w:trPr>
        <w:tc>
          <w:tcPr>
            <w:tcW w:w="1785" w:type="dxa"/>
            <w:gridSpan w:val="4"/>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仿宋_GB2312" w:hAnsi="宋体" w:eastAsia="仿宋_GB2312"/>
                <w:kern w:val="0"/>
                <w:sz w:val="24"/>
              </w:rPr>
            </w:pPr>
            <w:r>
              <w:rPr>
                <w:rFonts w:hint="eastAsia" w:ascii="仿宋_GB2312" w:hAnsi="宋体" w:eastAsia="仿宋_GB2312"/>
                <w:kern w:val="0"/>
                <w:sz w:val="24"/>
              </w:rPr>
              <w:t>中标时间</w:t>
            </w:r>
          </w:p>
        </w:tc>
        <w:tc>
          <w:tcPr>
            <w:tcW w:w="2937" w:type="dxa"/>
            <w:gridSpan w:val="2"/>
            <w:tcBorders>
              <w:top w:val="single" w:color="auto" w:sz="4" w:space="0"/>
              <w:left w:val="nil"/>
              <w:bottom w:val="nil"/>
              <w:right w:val="single" w:color="auto" w:sz="4" w:space="0"/>
            </w:tcBorders>
            <w:noWrap w:val="0"/>
            <w:vAlign w:val="center"/>
          </w:tcPr>
          <w:p>
            <w:pPr>
              <w:jc w:val="center"/>
              <w:rPr>
                <w:rFonts w:hint="eastAsia" w:ascii="仿宋_GB2312" w:eastAsia="仿宋_GB2312"/>
                <w:kern w:val="0"/>
                <w:sz w:val="24"/>
              </w:rPr>
            </w:pPr>
          </w:p>
        </w:tc>
        <w:tc>
          <w:tcPr>
            <w:tcW w:w="2357" w:type="dxa"/>
            <w:gridSpan w:val="3"/>
            <w:tcBorders>
              <w:top w:val="single" w:color="auto" w:sz="4" w:space="0"/>
              <w:left w:val="nil"/>
              <w:bottom w:val="nil"/>
              <w:right w:val="single" w:color="auto" w:sz="4" w:space="0"/>
            </w:tcBorders>
            <w:noWrap w:val="0"/>
            <w:vAlign w:val="center"/>
          </w:tcPr>
          <w:p>
            <w:pPr>
              <w:ind w:firstLine="240" w:firstLineChars="100"/>
              <w:jc w:val="center"/>
              <w:rPr>
                <w:rFonts w:hint="eastAsia" w:ascii="仿宋_GB2312" w:eastAsia="仿宋_GB2312"/>
                <w:kern w:val="0"/>
                <w:sz w:val="24"/>
              </w:rPr>
            </w:pPr>
            <w:r>
              <w:rPr>
                <w:rFonts w:hint="eastAsia" w:ascii="仿宋_GB2312" w:hAnsi="宋体" w:eastAsia="仿宋_GB2312"/>
                <w:kern w:val="0"/>
                <w:sz w:val="24"/>
              </w:rPr>
              <w:t>合同签订时间</w:t>
            </w:r>
          </w:p>
        </w:tc>
        <w:tc>
          <w:tcPr>
            <w:tcW w:w="2027" w:type="dxa"/>
            <w:gridSpan w:val="2"/>
            <w:tcBorders>
              <w:top w:val="single" w:color="auto" w:sz="4" w:space="0"/>
              <w:left w:val="nil"/>
              <w:bottom w:val="nil"/>
              <w:right w:val="single" w:color="auto" w:sz="4" w:space="0"/>
            </w:tcBorders>
            <w:noWrap w:val="0"/>
            <w:vAlign w:val="center"/>
          </w:tcPr>
          <w:p>
            <w:pPr>
              <w:jc w:val="center"/>
              <w:rPr>
                <w:rFonts w:hint="eastAsia" w:ascii="仿宋_GB2312" w:eastAsia="仿宋_GB2312"/>
                <w:kern w:val="0"/>
                <w:sz w:val="24"/>
              </w:rPr>
            </w:pPr>
          </w:p>
        </w:tc>
      </w:tr>
      <w:tr>
        <w:tblPrEx>
          <w:tblCellMar>
            <w:top w:w="0" w:type="dxa"/>
            <w:left w:w="108" w:type="dxa"/>
            <w:bottom w:w="0" w:type="dxa"/>
            <w:right w:w="108" w:type="dxa"/>
          </w:tblCellMar>
        </w:tblPrEx>
        <w:trPr>
          <w:wBefore w:w="0" w:type="dxa"/>
          <w:trHeight w:val="614" w:hRule="atLeast"/>
          <w:jc w:val="center"/>
        </w:trPr>
        <w:tc>
          <w:tcPr>
            <w:tcW w:w="1785" w:type="dxa"/>
            <w:gridSpan w:val="4"/>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仿宋_GB2312" w:hAnsi="宋体" w:eastAsia="仿宋_GB2312"/>
                <w:kern w:val="0"/>
                <w:sz w:val="24"/>
              </w:rPr>
            </w:pPr>
            <w:r>
              <w:rPr>
                <w:rFonts w:hint="eastAsia" w:ascii="仿宋_GB2312" w:eastAsia="仿宋_GB2312"/>
                <w:kern w:val="0"/>
                <w:sz w:val="24"/>
              </w:rPr>
              <w:t>实际供</w:t>
            </w:r>
            <w:r>
              <w:rPr>
                <w:rFonts w:hint="eastAsia" w:ascii="仿宋_GB2312" w:eastAsia="仿宋_GB2312"/>
                <w:iCs/>
                <w:sz w:val="24"/>
                <w:szCs w:val="24"/>
              </w:rPr>
              <w:t>货时间</w:t>
            </w:r>
          </w:p>
        </w:tc>
        <w:tc>
          <w:tcPr>
            <w:tcW w:w="2937" w:type="dxa"/>
            <w:gridSpan w:val="2"/>
            <w:tcBorders>
              <w:top w:val="single" w:color="auto" w:sz="4" w:space="0"/>
              <w:left w:val="nil"/>
              <w:bottom w:val="nil"/>
              <w:right w:val="single" w:color="auto" w:sz="4" w:space="0"/>
            </w:tcBorders>
            <w:noWrap w:val="0"/>
            <w:vAlign w:val="center"/>
          </w:tcPr>
          <w:p>
            <w:pPr>
              <w:jc w:val="center"/>
              <w:rPr>
                <w:rFonts w:hint="eastAsia" w:ascii="仿宋_GB2312" w:eastAsia="仿宋_GB2312"/>
                <w:kern w:val="0"/>
                <w:sz w:val="24"/>
              </w:rPr>
            </w:pPr>
          </w:p>
        </w:tc>
        <w:tc>
          <w:tcPr>
            <w:tcW w:w="2357" w:type="dxa"/>
            <w:gridSpan w:val="3"/>
            <w:tcBorders>
              <w:top w:val="single" w:color="auto" w:sz="4" w:space="0"/>
              <w:left w:val="nil"/>
              <w:bottom w:val="nil"/>
              <w:right w:val="single" w:color="auto" w:sz="4" w:space="0"/>
            </w:tcBorders>
            <w:noWrap w:val="0"/>
            <w:vAlign w:val="center"/>
          </w:tcPr>
          <w:p>
            <w:pPr>
              <w:ind w:firstLine="240" w:firstLineChars="100"/>
              <w:jc w:val="center"/>
              <w:rPr>
                <w:rFonts w:hint="eastAsia" w:ascii="仿宋_GB2312" w:eastAsia="仿宋_GB2312"/>
                <w:kern w:val="0"/>
                <w:sz w:val="24"/>
              </w:rPr>
            </w:pPr>
            <w:r>
              <w:rPr>
                <w:rFonts w:hint="eastAsia" w:ascii="仿宋_GB2312" w:eastAsia="仿宋_GB2312"/>
                <w:kern w:val="0"/>
                <w:sz w:val="24"/>
              </w:rPr>
              <w:t>项目验收时间</w:t>
            </w:r>
          </w:p>
        </w:tc>
        <w:tc>
          <w:tcPr>
            <w:tcW w:w="2027" w:type="dxa"/>
            <w:gridSpan w:val="2"/>
            <w:tcBorders>
              <w:top w:val="single" w:color="auto" w:sz="4" w:space="0"/>
              <w:left w:val="nil"/>
              <w:bottom w:val="nil"/>
              <w:right w:val="single" w:color="auto" w:sz="4" w:space="0"/>
            </w:tcBorders>
            <w:noWrap w:val="0"/>
            <w:vAlign w:val="center"/>
          </w:tcPr>
          <w:p>
            <w:pPr>
              <w:jc w:val="center"/>
              <w:rPr>
                <w:rFonts w:hint="eastAsia" w:ascii="仿宋_GB2312" w:eastAsia="仿宋_GB2312"/>
                <w:kern w:val="0"/>
                <w:sz w:val="24"/>
              </w:rPr>
            </w:pPr>
          </w:p>
        </w:tc>
      </w:tr>
      <w:tr>
        <w:tblPrEx>
          <w:tblCellMar>
            <w:top w:w="0" w:type="dxa"/>
            <w:left w:w="108" w:type="dxa"/>
            <w:bottom w:w="0" w:type="dxa"/>
            <w:right w:w="108" w:type="dxa"/>
          </w:tblCellMar>
        </w:tblPrEx>
        <w:trPr>
          <w:wBefore w:w="0" w:type="dxa"/>
          <w:trHeight w:val="453" w:hRule="atLeast"/>
          <w:jc w:val="center"/>
        </w:trPr>
        <w:tc>
          <w:tcPr>
            <w:tcW w:w="694" w:type="dxa"/>
            <w:gridSpan w:val="2"/>
            <w:vMerge w:val="restart"/>
            <w:tcBorders>
              <w:top w:val="single" w:color="auto" w:sz="4" w:space="0"/>
              <w:left w:val="single" w:color="auto" w:sz="4" w:space="0"/>
              <w:right w:val="single" w:color="auto" w:sz="4" w:space="0"/>
            </w:tcBorders>
            <w:noWrap w:val="0"/>
            <w:vAlign w:val="center"/>
          </w:tcPr>
          <w:p>
            <w:pPr>
              <w:rPr>
                <w:rFonts w:hint="eastAsia" w:ascii="仿宋_GB2312" w:eastAsia="仿宋_GB2312"/>
                <w:kern w:val="0"/>
                <w:sz w:val="24"/>
              </w:rPr>
            </w:pPr>
            <w:r>
              <w:rPr>
                <w:rFonts w:hint="eastAsia" w:ascii="仿宋_GB2312" w:hAnsi="宋体" w:eastAsia="仿宋_GB2312"/>
                <w:kern w:val="0"/>
                <w:sz w:val="24"/>
              </w:rPr>
              <w:t>具体采购项目情况</w:t>
            </w:r>
          </w:p>
        </w:tc>
        <w:tc>
          <w:tcPr>
            <w:tcW w:w="8412" w:type="dxa"/>
            <w:gridSpan w:val="9"/>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 w:val="24"/>
              </w:rPr>
            </w:pPr>
            <w:r>
              <w:rPr>
                <w:rFonts w:hint="eastAsia" w:ascii="仿宋_GB2312" w:eastAsia="仿宋_GB2312"/>
                <w:iCs/>
                <w:sz w:val="24"/>
                <w:szCs w:val="28"/>
              </w:rPr>
              <w:t>验收物品清单（可另附页）</w:t>
            </w:r>
          </w:p>
        </w:tc>
      </w:tr>
      <w:tr>
        <w:tblPrEx>
          <w:tblCellMar>
            <w:top w:w="0" w:type="dxa"/>
            <w:left w:w="108" w:type="dxa"/>
            <w:bottom w:w="0" w:type="dxa"/>
            <w:right w:w="108" w:type="dxa"/>
          </w:tblCellMar>
        </w:tblPrEx>
        <w:trPr>
          <w:wBefore w:w="0" w:type="dxa"/>
          <w:trHeight w:val="474" w:hRule="atLeast"/>
          <w:jc w:val="center"/>
        </w:trPr>
        <w:tc>
          <w:tcPr>
            <w:tcW w:w="694" w:type="dxa"/>
            <w:gridSpan w:val="2"/>
            <w:vMerge w:val="continue"/>
            <w:tcBorders>
              <w:left w:val="single" w:color="auto" w:sz="4" w:space="0"/>
              <w:right w:val="single" w:color="auto" w:sz="4" w:space="0"/>
            </w:tcBorders>
            <w:noWrap w:val="0"/>
            <w:vAlign w:val="center"/>
          </w:tcPr>
          <w:p>
            <w:pPr>
              <w:rPr>
                <w:rFonts w:hint="eastAsia" w:ascii="仿宋_GB2312" w:hAnsi="宋体" w:eastAsia="仿宋_GB2312"/>
                <w:kern w:val="0"/>
                <w:sz w:val="24"/>
              </w:rPr>
            </w:pPr>
          </w:p>
        </w:tc>
        <w:tc>
          <w:tcPr>
            <w:tcW w:w="77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iCs/>
                <w:szCs w:val="28"/>
              </w:rPr>
            </w:pPr>
            <w:r>
              <w:rPr>
                <w:rFonts w:hint="eastAsia" w:ascii="仿宋_GB2312" w:eastAsia="仿宋_GB2312"/>
                <w:iCs/>
                <w:szCs w:val="28"/>
              </w:rPr>
              <w:t>序号</w:t>
            </w:r>
          </w:p>
        </w:tc>
        <w:tc>
          <w:tcPr>
            <w:tcW w:w="230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 w:val="24"/>
              </w:rPr>
            </w:pPr>
            <w:r>
              <w:rPr>
                <w:rFonts w:hint="eastAsia" w:ascii="仿宋_GB2312" w:eastAsia="仿宋_GB2312"/>
                <w:iCs/>
                <w:szCs w:val="28"/>
              </w:rPr>
              <w:t>货物名称</w:t>
            </w:r>
          </w:p>
        </w:tc>
        <w:tc>
          <w:tcPr>
            <w:tcW w:w="2881"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 w:val="24"/>
              </w:rPr>
            </w:pPr>
            <w:r>
              <w:rPr>
                <w:rFonts w:hint="eastAsia" w:ascii="仿宋_GB2312" w:eastAsia="仿宋_GB2312"/>
                <w:iCs/>
                <w:szCs w:val="28"/>
              </w:rPr>
              <w:t>品牌型号</w:t>
            </w:r>
          </w:p>
        </w:tc>
        <w:tc>
          <w:tcPr>
            <w:tcW w:w="96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 w:val="24"/>
              </w:rPr>
            </w:pPr>
            <w:r>
              <w:rPr>
                <w:rFonts w:hint="eastAsia" w:ascii="仿宋_GB2312" w:eastAsia="仿宋_GB2312"/>
                <w:iCs/>
                <w:szCs w:val="28"/>
              </w:rPr>
              <w:t>数量</w:t>
            </w:r>
          </w:p>
        </w:tc>
        <w:tc>
          <w:tcPr>
            <w:tcW w:w="149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kern w:val="0"/>
                <w:sz w:val="24"/>
              </w:rPr>
            </w:pPr>
            <w:r>
              <w:rPr>
                <w:rFonts w:hint="eastAsia" w:ascii="仿宋_GB2312" w:eastAsia="仿宋_GB2312"/>
                <w:iCs/>
                <w:szCs w:val="28"/>
              </w:rPr>
              <w:t>金额（万元）</w:t>
            </w:r>
          </w:p>
        </w:tc>
      </w:tr>
      <w:tr>
        <w:tblPrEx>
          <w:tblCellMar>
            <w:top w:w="0" w:type="dxa"/>
            <w:left w:w="108" w:type="dxa"/>
            <w:bottom w:w="0" w:type="dxa"/>
            <w:right w:w="108" w:type="dxa"/>
          </w:tblCellMar>
        </w:tblPrEx>
        <w:trPr>
          <w:wBefore w:w="0" w:type="dxa"/>
          <w:trHeight w:val="470" w:hRule="atLeast"/>
          <w:jc w:val="center"/>
        </w:trPr>
        <w:tc>
          <w:tcPr>
            <w:tcW w:w="694" w:type="dxa"/>
            <w:gridSpan w:val="2"/>
            <w:vMerge w:val="continue"/>
            <w:tcBorders>
              <w:left w:val="single" w:color="auto" w:sz="4" w:space="0"/>
              <w:right w:val="single" w:color="auto" w:sz="4" w:space="0"/>
            </w:tcBorders>
            <w:noWrap w:val="0"/>
            <w:vAlign w:val="center"/>
          </w:tcPr>
          <w:p>
            <w:pPr>
              <w:rPr>
                <w:rFonts w:hint="eastAsia" w:ascii="仿宋_GB2312" w:hAnsi="宋体" w:eastAsia="仿宋_GB2312"/>
                <w:kern w:val="0"/>
                <w:sz w:val="24"/>
              </w:rPr>
            </w:pPr>
          </w:p>
        </w:tc>
        <w:tc>
          <w:tcPr>
            <w:tcW w:w="772"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kern w:val="0"/>
                <w:sz w:val="24"/>
              </w:rPr>
            </w:pPr>
          </w:p>
        </w:tc>
        <w:tc>
          <w:tcPr>
            <w:tcW w:w="2304"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kern w:val="0"/>
                <w:sz w:val="24"/>
              </w:rPr>
            </w:pPr>
          </w:p>
        </w:tc>
        <w:tc>
          <w:tcPr>
            <w:tcW w:w="2881" w:type="dxa"/>
            <w:gridSpan w:val="3"/>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kern w:val="0"/>
                <w:sz w:val="24"/>
              </w:rPr>
            </w:pPr>
          </w:p>
        </w:tc>
        <w:tc>
          <w:tcPr>
            <w:tcW w:w="960"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kern w:val="0"/>
                <w:sz w:val="24"/>
              </w:rPr>
            </w:pPr>
          </w:p>
        </w:tc>
        <w:tc>
          <w:tcPr>
            <w:tcW w:w="1495"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kern w:val="0"/>
                <w:sz w:val="24"/>
              </w:rPr>
            </w:pPr>
          </w:p>
        </w:tc>
      </w:tr>
      <w:tr>
        <w:tblPrEx>
          <w:tblCellMar>
            <w:top w:w="0" w:type="dxa"/>
            <w:left w:w="108" w:type="dxa"/>
            <w:bottom w:w="0" w:type="dxa"/>
            <w:right w:w="108" w:type="dxa"/>
          </w:tblCellMar>
        </w:tblPrEx>
        <w:trPr>
          <w:wBefore w:w="0" w:type="dxa"/>
          <w:trHeight w:val="462" w:hRule="atLeast"/>
          <w:jc w:val="center"/>
        </w:trPr>
        <w:tc>
          <w:tcPr>
            <w:tcW w:w="694" w:type="dxa"/>
            <w:gridSpan w:val="2"/>
            <w:vMerge w:val="continue"/>
            <w:tcBorders>
              <w:left w:val="single" w:color="auto" w:sz="4" w:space="0"/>
              <w:right w:val="single" w:color="auto" w:sz="4" w:space="0"/>
            </w:tcBorders>
            <w:noWrap w:val="0"/>
            <w:vAlign w:val="center"/>
          </w:tcPr>
          <w:p>
            <w:pPr>
              <w:rPr>
                <w:rFonts w:hint="eastAsia" w:ascii="仿宋_GB2312" w:hAnsi="宋体" w:eastAsia="仿宋_GB2312"/>
                <w:kern w:val="0"/>
                <w:sz w:val="24"/>
              </w:rPr>
            </w:pPr>
          </w:p>
        </w:tc>
        <w:tc>
          <w:tcPr>
            <w:tcW w:w="772"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kern w:val="0"/>
                <w:sz w:val="24"/>
              </w:rPr>
            </w:pPr>
          </w:p>
        </w:tc>
        <w:tc>
          <w:tcPr>
            <w:tcW w:w="2304"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kern w:val="0"/>
                <w:sz w:val="24"/>
              </w:rPr>
            </w:pPr>
          </w:p>
        </w:tc>
        <w:tc>
          <w:tcPr>
            <w:tcW w:w="2881" w:type="dxa"/>
            <w:gridSpan w:val="3"/>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kern w:val="0"/>
                <w:sz w:val="24"/>
              </w:rPr>
            </w:pPr>
          </w:p>
        </w:tc>
        <w:tc>
          <w:tcPr>
            <w:tcW w:w="960"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kern w:val="0"/>
                <w:sz w:val="24"/>
              </w:rPr>
            </w:pPr>
          </w:p>
        </w:tc>
        <w:tc>
          <w:tcPr>
            <w:tcW w:w="1495"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kern w:val="0"/>
                <w:sz w:val="24"/>
              </w:rPr>
            </w:pPr>
          </w:p>
        </w:tc>
      </w:tr>
      <w:tr>
        <w:tblPrEx>
          <w:tblCellMar>
            <w:top w:w="0" w:type="dxa"/>
            <w:left w:w="108" w:type="dxa"/>
            <w:bottom w:w="0" w:type="dxa"/>
            <w:right w:w="108" w:type="dxa"/>
          </w:tblCellMar>
        </w:tblPrEx>
        <w:trPr>
          <w:wBefore w:w="0" w:type="dxa"/>
          <w:trHeight w:val="453" w:hRule="atLeast"/>
          <w:jc w:val="center"/>
        </w:trPr>
        <w:tc>
          <w:tcPr>
            <w:tcW w:w="694" w:type="dxa"/>
            <w:gridSpan w:val="2"/>
            <w:vMerge w:val="continue"/>
            <w:tcBorders>
              <w:left w:val="single" w:color="auto" w:sz="4" w:space="0"/>
              <w:right w:val="single" w:color="auto" w:sz="4" w:space="0"/>
            </w:tcBorders>
            <w:noWrap w:val="0"/>
            <w:vAlign w:val="center"/>
          </w:tcPr>
          <w:p>
            <w:pPr>
              <w:rPr>
                <w:rFonts w:hint="eastAsia" w:ascii="仿宋_GB2312" w:hAnsi="宋体" w:eastAsia="仿宋_GB2312"/>
                <w:kern w:val="0"/>
                <w:sz w:val="24"/>
              </w:rPr>
            </w:pPr>
          </w:p>
        </w:tc>
        <w:tc>
          <w:tcPr>
            <w:tcW w:w="772"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kern w:val="0"/>
                <w:sz w:val="24"/>
              </w:rPr>
            </w:pPr>
          </w:p>
        </w:tc>
        <w:tc>
          <w:tcPr>
            <w:tcW w:w="2304"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kern w:val="0"/>
                <w:sz w:val="24"/>
              </w:rPr>
            </w:pPr>
          </w:p>
        </w:tc>
        <w:tc>
          <w:tcPr>
            <w:tcW w:w="2881" w:type="dxa"/>
            <w:gridSpan w:val="3"/>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kern w:val="0"/>
                <w:sz w:val="24"/>
              </w:rPr>
            </w:pPr>
          </w:p>
        </w:tc>
        <w:tc>
          <w:tcPr>
            <w:tcW w:w="960"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kern w:val="0"/>
                <w:sz w:val="24"/>
              </w:rPr>
            </w:pPr>
          </w:p>
        </w:tc>
        <w:tc>
          <w:tcPr>
            <w:tcW w:w="1495"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kern w:val="0"/>
                <w:sz w:val="24"/>
              </w:rPr>
            </w:pPr>
          </w:p>
        </w:tc>
      </w:tr>
      <w:tr>
        <w:tblPrEx>
          <w:tblCellMar>
            <w:top w:w="0" w:type="dxa"/>
            <w:left w:w="108" w:type="dxa"/>
            <w:bottom w:w="0" w:type="dxa"/>
            <w:right w:w="108" w:type="dxa"/>
          </w:tblCellMar>
        </w:tblPrEx>
        <w:trPr>
          <w:wBefore w:w="0" w:type="dxa"/>
          <w:trHeight w:val="453" w:hRule="atLeast"/>
          <w:jc w:val="center"/>
        </w:trPr>
        <w:tc>
          <w:tcPr>
            <w:tcW w:w="694" w:type="dxa"/>
            <w:gridSpan w:val="2"/>
            <w:vMerge w:val="continue"/>
            <w:tcBorders>
              <w:left w:val="single" w:color="auto" w:sz="4" w:space="0"/>
              <w:right w:val="single" w:color="auto" w:sz="4" w:space="0"/>
            </w:tcBorders>
            <w:noWrap w:val="0"/>
            <w:vAlign w:val="center"/>
          </w:tcPr>
          <w:p>
            <w:pPr>
              <w:rPr>
                <w:rFonts w:hint="eastAsia" w:ascii="仿宋_GB2312" w:hAnsi="宋体" w:eastAsia="仿宋_GB2312"/>
                <w:kern w:val="0"/>
                <w:sz w:val="24"/>
              </w:rPr>
            </w:pPr>
          </w:p>
        </w:tc>
        <w:tc>
          <w:tcPr>
            <w:tcW w:w="772"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kern w:val="0"/>
                <w:sz w:val="24"/>
              </w:rPr>
            </w:pPr>
          </w:p>
        </w:tc>
        <w:tc>
          <w:tcPr>
            <w:tcW w:w="2304"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kern w:val="0"/>
                <w:sz w:val="24"/>
              </w:rPr>
            </w:pPr>
          </w:p>
        </w:tc>
        <w:tc>
          <w:tcPr>
            <w:tcW w:w="2881" w:type="dxa"/>
            <w:gridSpan w:val="3"/>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kern w:val="0"/>
                <w:sz w:val="24"/>
              </w:rPr>
            </w:pPr>
          </w:p>
        </w:tc>
        <w:tc>
          <w:tcPr>
            <w:tcW w:w="960"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kern w:val="0"/>
                <w:sz w:val="24"/>
              </w:rPr>
            </w:pPr>
          </w:p>
        </w:tc>
        <w:tc>
          <w:tcPr>
            <w:tcW w:w="1495"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kern w:val="0"/>
                <w:sz w:val="24"/>
              </w:rPr>
            </w:pPr>
          </w:p>
        </w:tc>
      </w:tr>
      <w:tr>
        <w:tblPrEx>
          <w:tblCellMar>
            <w:top w:w="0" w:type="dxa"/>
            <w:left w:w="108" w:type="dxa"/>
            <w:bottom w:w="0" w:type="dxa"/>
            <w:right w:w="108" w:type="dxa"/>
          </w:tblCellMar>
        </w:tblPrEx>
        <w:trPr>
          <w:wBefore w:w="0" w:type="dxa"/>
          <w:trHeight w:val="462" w:hRule="atLeast"/>
          <w:jc w:val="center"/>
        </w:trPr>
        <w:tc>
          <w:tcPr>
            <w:tcW w:w="694" w:type="dxa"/>
            <w:gridSpan w:val="2"/>
            <w:vMerge w:val="continue"/>
            <w:tcBorders>
              <w:left w:val="single" w:color="auto" w:sz="4" w:space="0"/>
              <w:right w:val="single" w:color="auto" w:sz="4" w:space="0"/>
            </w:tcBorders>
            <w:noWrap w:val="0"/>
            <w:vAlign w:val="center"/>
          </w:tcPr>
          <w:p>
            <w:pPr>
              <w:rPr>
                <w:rFonts w:hint="eastAsia" w:ascii="仿宋_GB2312" w:hAnsi="宋体" w:eastAsia="仿宋_GB2312"/>
                <w:kern w:val="0"/>
                <w:sz w:val="24"/>
              </w:rPr>
            </w:pPr>
          </w:p>
        </w:tc>
        <w:tc>
          <w:tcPr>
            <w:tcW w:w="772"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kern w:val="0"/>
                <w:sz w:val="24"/>
              </w:rPr>
            </w:pPr>
          </w:p>
        </w:tc>
        <w:tc>
          <w:tcPr>
            <w:tcW w:w="2304"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kern w:val="0"/>
                <w:sz w:val="24"/>
              </w:rPr>
            </w:pPr>
          </w:p>
        </w:tc>
        <w:tc>
          <w:tcPr>
            <w:tcW w:w="2881" w:type="dxa"/>
            <w:gridSpan w:val="3"/>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kern w:val="0"/>
                <w:sz w:val="24"/>
              </w:rPr>
            </w:pPr>
          </w:p>
        </w:tc>
        <w:tc>
          <w:tcPr>
            <w:tcW w:w="960"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kern w:val="0"/>
                <w:sz w:val="24"/>
              </w:rPr>
            </w:pPr>
          </w:p>
        </w:tc>
        <w:tc>
          <w:tcPr>
            <w:tcW w:w="1495"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kern w:val="0"/>
                <w:sz w:val="24"/>
              </w:rPr>
            </w:pPr>
          </w:p>
        </w:tc>
      </w:tr>
      <w:tr>
        <w:tblPrEx>
          <w:tblCellMar>
            <w:top w:w="0" w:type="dxa"/>
            <w:left w:w="108" w:type="dxa"/>
            <w:bottom w:w="0" w:type="dxa"/>
            <w:right w:w="108" w:type="dxa"/>
          </w:tblCellMar>
        </w:tblPrEx>
        <w:trPr>
          <w:wBefore w:w="0" w:type="dxa"/>
          <w:trHeight w:val="465" w:hRule="atLeast"/>
          <w:jc w:val="center"/>
        </w:trPr>
        <w:tc>
          <w:tcPr>
            <w:tcW w:w="694" w:type="dxa"/>
            <w:gridSpan w:val="2"/>
            <w:vMerge w:val="continue"/>
            <w:tcBorders>
              <w:left w:val="single" w:color="auto" w:sz="4" w:space="0"/>
              <w:right w:val="single" w:color="auto" w:sz="4" w:space="0"/>
            </w:tcBorders>
            <w:noWrap w:val="0"/>
            <w:vAlign w:val="center"/>
          </w:tcPr>
          <w:p>
            <w:pPr>
              <w:rPr>
                <w:rFonts w:hint="eastAsia" w:ascii="仿宋_GB2312" w:hAnsi="宋体" w:eastAsia="仿宋_GB2312"/>
                <w:kern w:val="0"/>
                <w:sz w:val="24"/>
              </w:rPr>
            </w:pPr>
          </w:p>
        </w:tc>
        <w:tc>
          <w:tcPr>
            <w:tcW w:w="772"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kern w:val="0"/>
                <w:sz w:val="24"/>
              </w:rPr>
            </w:pPr>
          </w:p>
        </w:tc>
        <w:tc>
          <w:tcPr>
            <w:tcW w:w="2304"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kern w:val="0"/>
                <w:sz w:val="24"/>
              </w:rPr>
            </w:pPr>
          </w:p>
        </w:tc>
        <w:tc>
          <w:tcPr>
            <w:tcW w:w="2881" w:type="dxa"/>
            <w:gridSpan w:val="3"/>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kern w:val="0"/>
                <w:sz w:val="24"/>
              </w:rPr>
            </w:pPr>
          </w:p>
        </w:tc>
        <w:tc>
          <w:tcPr>
            <w:tcW w:w="960"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kern w:val="0"/>
                <w:sz w:val="24"/>
              </w:rPr>
            </w:pPr>
          </w:p>
        </w:tc>
        <w:tc>
          <w:tcPr>
            <w:tcW w:w="1495"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kern w:val="0"/>
                <w:sz w:val="24"/>
              </w:rPr>
            </w:pPr>
          </w:p>
        </w:tc>
      </w:tr>
      <w:tr>
        <w:tblPrEx>
          <w:tblCellMar>
            <w:top w:w="0" w:type="dxa"/>
            <w:left w:w="108" w:type="dxa"/>
            <w:bottom w:w="0" w:type="dxa"/>
            <w:right w:w="108" w:type="dxa"/>
          </w:tblCellMar>
        </w:tblPrEx>
        <w:trPr>
          <w:wBefore w:w="0" w:type="dxa"/>
          <w:trHeight w:val="465" w:hRule="atLeast"/>
          <w:jc w:val="center"/>
        </w:trPr>
        <w:tc>
          <w:tcPr>
            <w:tcW w:w="694" w:type="dxa"/>
            <w:gridSpan w:val="2"/>
            <w:vMerge w:val="continue"/>
            <w:tcBorders>
              <w:left w:val="single" w:color="auto" w:sz="4" w:space="0"/>
              <w:right w:val="single" w:color="auto" w:sz="4" w:space="0"/>
            </w:tcBorders>
            <w:noWrap w:val="0"/>
            <w:vAlign w:val="center"/>
          </w:tcPr>
          <w:p>
            <w:pPr>
              <w:rPr>
                <w:rFonts w:hint="eastAsia" w:ascii="仿宋_GB2312" w:hAnsi="宋体" w:eastAsia="仿宋_GB2312"/>
                <w:kern w:val="0"/>
                <w:sz w:val="24"/>
              </w:rPr>
            </w:pPr>
          </w:p>
        </w:tc>
        <w:tc>
          <w:tcPr>
            <w:tcW w:w="772"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kern w:val="0"/>
                <w:sz w:val="24"/>
              </w:rPr>
            </w:pPr>
          </w:p>
        </w:tc>
        <w:tc>
          <w:tcPr>
            <w:tcW w:w="2304"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kern w:val="0"/>
                <w:sz w:val="24"/>
              </w:rPr>
            </w:pPr>
          </w:p>
        </w:tc>
        <w:tc>
          <w:tcPr>
            <w:tcW w:w="2881" w:type="dxa"/>
            <w:gridSpan w:val="3"/>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kern w:val="0"/>
                <w:sz w:val="24"/>
              </w:rPr>
            </w:pPr>
          </w:p>
        </w:tc>
        <w:tc>
          <w:tcPr>
            <w:tcW w:w="960"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kern w:val="0"/>
                <w:sz w:val="24"/>
              </w:rPr>
            </w:pPr>
          </w:p>
        </w:tc>
        <w:tc>
          <w:tcPr>
            <w:tcW w:w="1495"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kern w:val="0"/>
                <w:sz w:val="24"/>
              </w:rPr>
            </w:pPr>
          </w:p>
        </w:tc>
      </w:tr>
      <w:tr>
        <w:tblPrEx>
          <w:tblCellMar>
            <w:top w:w="0" w:type="dxa"/>
            <w:left w:w="108" w:type="dxa"/>
            <w:bottom w:w="0" w:type="dxa"/>
            <w:right w:w="108" w:type="dxa"/>
          </w:tblCellMar>
        </w:tblPrEx>
        <w:trPr>
          <w:wBefore w:w="0" w:type="dxa"/>
          <w:trHeight w:val="450" w:hRule="atLeast"/>
          <w:jc w:val="center"/>
        </w:trPr>
        <w:tc>
          <w:tcPr>
            <w:tcW w:w="694" w:type="dxa"/>
            <w:gridSpan w:val="2"/>
            <w:vMerge w:val="continue"/>
            <w:tcBorders>
              <w:left w:val="single" w:color="auto" w:sz="4" w:space="0"/>
              <w:right w:val="single" w:color="auto" w:sz="4" w:space="0"/>
            </w:tcBorders>
            <w:noWrap w:val="0"/>
            <w:vAlign w:val="center"/>
          </w:tcPr>
          <w:p>
            <w:pPr>
              <w:rPr>
                <w:rFonts w:hint="eastAsia" w:ascii="仿宋_GB2312" w:hAnsi="宋体" w:eastAsia="仿宋_GB2312"/>
                <w:kern w:val="0"/>
                <w:sz w:val="24"/>
              </w:rPr>
            </w:pPr>
          </w:p>
        </w:tc>
        <w:tc>
          <w:tcPr>
            <w:tcW w:w="772"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kern w:val="0"/>
                <w:sz w:val="24"/>
              </w:rPr>
            </w:pPr>
          </w:p>
        </w:tc>
        <w:tc>
          <w:tcPr>
            <w:tcW w:w="2304"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kern w:val="0"/>
                <w:sz w:val="24"/>
              </w:rPr>
            </w:pPr>
          </w:p>
        </w:tc>
        <w:tc>
          <w:tcPr>
            <w:tcW w:w="2881" w:type="dxa"/>
            <w:gridSpan w:val="3"/>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kern w:val="0"/>
                <w:sz w:val="24"/>
              </w:rPr>
            </w:pPr>
          </w:p>
        </w:tc>
        <w:tc>
          <w:tcPr>
            <w:tcW w:w="960"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kern w:val="0"/>
                <w:sz w:val="24"/>
              </w:rPr>
            </w:pPr>
          </w:p>
        </w:tc>
        <w:tc>
          <w:tcPr>
            <w:tcW w:w="1495"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kern w:val="0"/>
                <w:sz w:val="24"/>
              </w:rPr>
            </w:pPr>
          </w:p>
        </w:tc>
      </w:tr>
      <w:tr>
        <w:tblPrEx>
          <w:tblCellMar>
            <w:top w:w="0" w:type="dxa"/>
            <w:left w:w="108" w:type="dxa"/>
            <w:bottom w:w="0" w:type="dxa"/>
            <w:right w:w="108" w:type="dxa"/>
          </w:tblCellMar>
        </w:tblPrEx>
        <w:trPr>
          <w:wBefore w:w="0" w:type="dxa"/>
          <w:trHeight w:val="565" w:hRule="atLeast"/>
          <w:jc w:val="center"/>
        </w:trPr>
        <w:tc>
          <w:tcPr>
            <w:tcW w:w="1785" w:type="dxa"/>
            <w:gridSpan w:val="4"/>
            <w:tcBorders>
              <w:top w:val="single" w:color="auto" w:sz="4" w:space="0"/>
              <w:left w:val="single" w:color="auto" w:sz="4" w:space="0"/>
              <w:right w:val="single" w:color="auto" w:sz="4" w:space="0"/>
            </w:tcBorders>
            <w:noWrap w:val="0"/>
            <w:vAlign w:val="center"/>
          </w:tcPr>
          <w:p>
            <w:pPr>
              <w:jc w:val="center"/>
              <w:rPr>
                <w:rFonts w:hint="eastAsia" w:ascii="仿宋_GB2312" w:hAnsi="宋体" w:eastAsia="仿宋_GB2312"/>
                <w:kern w:val="0"/>
                <w:sz w:val="24"/>
              </w:rPr>
            </w:pPr>
            <w:r>
              <w:rPr>
                <w:rFonts w:hint="eastAsia" w:ascii="仿宋_GB2312" w:hAnsi="宋体" w:eastAsia="仿宋_GB2312"/>
                <w:kern w:val="0"/>
                <w:sz w:val="24"/>
              </w:rPr>
              <w:t>签收单位</w:t>
            </w:r>
          </w:p>
        </w:tc>
        <w:tc>
          <w:tcPr>
            <w:tcW w:w="2945" w:type="dxa"/>
            <w:gridSpan w:val="3"/>
            <w:tcBorders>
              <w:top w:val="single" w:color="auto" w:sz="4" w:space="0"/>
              <w:left w:val="single" w:color="auto" w:sz="4" w:space="0"/>
              <w:right w:val="single" w:color="auto" w:sz="4" w:space="0"/>
            </w:tcBorders>
            <w:noWrap w:val="0"/>
            <w:vAlign w:val="center"/>
          </w:tcPr>
          <w:p>
            <w:pPr>
              <w:rPr>
                <w:rFonts w:hint="eastAsia" w:ascii="仿宋_GB2312" w:eastAsia="仿宋_GB2312"/>
                <w:kern w:val="0"/>
                <w:sz w:val="24"/>
              </w:rPr>
            </w:pPr>
          </w:p>
        </w:tc>
        <w:tc>
          <w:tcPr>
            <w:tcW w:w="2349" w:type="dxa"/>
            <w:gridSpan w:val="2"/>
            <w:tcBorders>
              <w:top w:val="single" w:color="auto" w:sz="4" w:space="0"/>
              <w:left w:val="nil"/>
              <w:right w:val="single" w:color="auto" w:sz="4" w:space="0"/>
            </w:tcBorders>
            <w:noWrap w:val="0"/>
            <w:vAlign w:val="center"/>
          </w:tcPr>
          <w:p>
            <w:pPr>
              <w:ind w:firstLine="240" w:firstLineChars="100"/>
              <w:rPr>
                <w:rFonts w:hint="eastAsia" w:ascii="仿宋_GB2312" w:eastAsia="仿宋_GB2312"/>
                <w:kern w:val="0"/>
                <w:sz w:val="24"/>
              </w:rPr>
            </w:pPr>
            <w:r>
              <w:rPr>
                <w:rFonts w:hint="eastAsia" w:ascii="仿宋_GB2312" w:hAnsi="宋体" w:eastAsia="仿宋_GB2312"/>
                <w:kern w:val="0"/>
                <w:sz w:val="24"/>
              </w:rPr>
              <w:t>签收人</w:t>
            </w:r>
          </w:p>
        </w:tc>
        <w:tc>
          <w:tcPr>
            <w:tcW w:w="2027" w:type="dxa"/>
            <w:gridSpan w:val="2"/>
            <w:tcBorders>
              <w:top w:val="single" w:color="auto" w:sz="4" w:space="0"/>
              <w:left w:val="nil"/>
              <w:right w:val="single" w:color="auto" w:sz="4" w:space="0"/>
            </w:tcBorders>
            <w:noWrap w:val="0"/>
            <w:vAlign w:val="center"/>
          </w:tcPr>
          <w:p>
            <w:pPr>
              <w:rPr>
                <w:rFonts w:hint="eastAsia" w:ascii="仿宋_GB2312" w:eastAsia="仿宋_GB2312"/>
                <w:kern w:val="0"/>
                <w:sz w:val="24"/>
              </w:rPr>
            </w:pPr>
          </w:p>
        </w:tc>
      </w:tr>
      <w:tr>
        <w:tblPrEx>
          <w:tblCellMar>
            <w:top w:w="0" w:type="dxa"/>
            <w:left w:w="108" w:type="dxa"/>
            <w:bottom w:w="0" w:type="dxa"/>
            <w:right w:w="108" w:type="dxa"/>
          </w:tblCellMar>
        </w:tblPrEx>
        <w:trPr>
          <w:wBefore w:w="0" w:type="dxa"/>
          <w:trHeight w:val="2188" w:hRule="atLeast"/>
          <w:jc w:val="center"/>
        </w:trPr>
        <w:tc>
          <w:tcPr>
            <w:tcW w:w="57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kern w:val="0"/>
                <w:sz w:val="24"/>
              </w:rPr>
            </w:pPr>
            <w:r>
              <w:rPr>
                <w:rFonts w:hint="eastAsia" w:ascii="仿宋_GB2312" w:hAnsi="宋体" w:eastAsia="仿宋_GB2312"/>
                <w:kern w:val="0"/>
                <w:sz w:val="24"/>
              </w:rPr>
              <w:t>售</w:t>
            </w:r>
          </w:p>
          <w:p>
            <w:pPr>
              <w:jc w:val="center"/>
              <w:rPr>
                <w:rFonts w:hint="eastAsia" w:ascii="仿宋_GB2312" w:hAnsi="宋体" w:eastAsia="仿宋_GB2312"/>
                <w:kern w:val="0"/>
                <w:sz w:val="24"/>
              </w:rPr>
            </w:pPr>
            <w:r>
              <w:rPr>
                <w:rFonts w:hint="eastAsia" w:ascii="仿宋_GB2312" w:hAnsi="宋体" w:eastAsia="仿宋_GB2312"/>
                <w:kern w:val="0"/>
                <w:sz w:val="24"/>
              </w:rPr>
              <w:t>后服务情况</w:t>
            </w:r>
          </w:p>
        </w:tc>
        <w:tc>
          <w:tcPr>
            <w:tcW w:w="8533" w:type="dxa"/>
            <w:gridSpan w:val="10"/>
            <w:tcBorders>
              <w:top w:val="single" w:color="auto" w:sz="4" w:space="0"/>
              <w:left w:val="single" w:color="auto" w:sz="4" w:space="0"/>
              <w:bottom w:val="single" w:color="auto" w:sz="4" w:space="0"/>
              <w:right w:val="single" w:color="000000" w:sz="4" w:space="0"/>
            </w:tcBorders>
            <w:noWrap w:val="0"/>
            <w:vAlign w:val="center"/>
          </w:tcPr>
          <w:p>
            <w:pPr>
              <w:spacing w:line="360" w:lineRule="auto"/>
              <w:rPr>
                <w:rFonts w:hint="eastAsia" w:ascii="仿宋_GB2312" w:hAnsi="宋体" w:eastAsia="仿宋_GB2312"/>
                <w:kern w:val="0"/>
                <w:sz w:val="24"/>
              </w:rPr>
            </w:pPr>
            <w:r>
              <w:rPr>
                <w:rFonts w:hint="eastAsia" w:ascii="仿宋_GB2312" w:hAnsi="宋体" w:eastAsia="仿宋_GB2312"/>
                <w:kern w:val="0"/>
                <w:sz w:val="24"/>
              </w:rPr>
              <w:t>1.送货是否及时：是（    ）；否（    ）</w:t>
            </w:r>
          </w:p>
          <w:p>
            <w:pPr>
              <w:spacing w:line="360" w:lineRule="auto"/>
              <w:rPr>
                <w:rFonts w:hint="eastAsia" w:ascii="仿宋_GB2312" w:hAnsi="宋体" w:eastAsia="仿宋_GB2312"/>
                <w:kern w:val="0"/>
                <w:sz w:val="24"/>
              </w:rPr>
            </w:pPr>
            <w:r>
              <w:rPr>
                <w:rFonts w:hint="eastAsia" w:ascii="仿宋_GB2312" w:hAnsi="宋体" w:eastAsia="仿宋_GB2312"/>
                <w:kern w:val="0"/>
                <w:sz w:val="24"/>
              </w:rPr>
              <w:t>2.服务人员态度：热情（    ）；冷淡（    ）；粗暴（    ）</w:t>
            </w:r>
          </w:p>
          <w:p>
            <w:pPr>
              <w:spacing w:line="360" w:lineRule="auto"/>
              <w:rPr>
                <w:rFonts w:hint="eastAsia" w:ascii="仿宋_GB2312" w:hAnsi="宋体" w:eastAsia="仿宋_GB2312"/>
                <w:kern w:val="0"/>
                <w:sz w:val="24"/>
              </w:rPr>
            </w:pPr>
            <w:r>
              <w:rPr>
                <w:rFonts w:hint="eastAsia" w:ascii="仿宋_GB2312" w:hAnsi="宋体" w:eastAsia="仿宋_GB2312"/>
                <w:kern w:val="0"/>
                <w:sz w:val="24"/>
              </w:rPr>
              <w:t>3.是否额外收费或变相收费：是（    ）；否（    ）</w:t>
            </w:r>
          </w:p>
          <w:p>
            <w:pPr>
              <w:spacing w:line="360" w:lineRule="auto"/>
              <w:rPr>
                <w:rFonts w:hint="eastAsia" w:ascii="仿宋_GB2312" w:hAnsi="宋体" w:eastAsia="仿宋_GB2312"/>
                <w:kern w:val="0"/>
                <w:sz w:val="24"/>
              </w:rPr>
            </w:pPr>
            <w:r>
              <w:rPr>
                <w:rFonts w:hint="eastAsia" w:ascii="仿宋_GB2312" w:hAnsi="宋体" w:eastAsia="仿宋_GB2312"/>
                <w:kern w:val="0"/>
                <w:sz w:val="24"/>
              </w:rPr>
              <w:t>4.维修响应是否及时：是（    ）；否（    ）</w:t>
            </w:r>
          </w:p>
          <w:p>
            <w:pPr>
              <w:spacing w:line="360" w:lineRule="auto"/>
              <w:rPr>
                <w:rFonts w:hint="eastAsia" w:ascii="仿宋_GB2312" w:hAnsi="宋体" w:eastAsia="仿宋_GB2312"/>
                <w:kern w:val="0"/>
                <w:sz w:val="24"/>
              </w:rPr>
            </w:pPr>
            <w:r>
              <w:rPr>
                <w:rFonts w:hint="eastAsia" w:ascii="仿宋_GB2312" w:hAnsi="宋体" w:eastAsia="仿宋_GB2312"/>
                <w:kern w:val="0"/>
                <w:sz w:val="24"/>
              </w:rPr>
              <w:t>5.其他评价：</w:t>
            </w:r>
          </w:p>
        </w:tc>
      </w:tr>
    </w:tbl>
    <w:p>
      <w:pPr>
        <w:autoSpaceDE w:val="0"/>
        <w:autoSpaceDN w:val="0"/>
        <w:adjustRightInd w:val="0"/>
        <w:rPr>
          <w:rFonts w:hint="eastAsia" w:ascii="仿宋_GB2312" w:hAnsi="仿宋" w:eastAsia="仿宋_GB2312"/>
          <w:b/>
        </w:rPr>
      </w:pPr>
      <w:r>
        <w:rPr>
          <w:rFonts w:hint="eastAsia" w:ascii="仿宋_GB2312" w:hAnsi="仿宋" w:eastAsia="仿宋_GB2312"/>
          <w:b/>
        </w:rPr>
        <w:t xml:space="preserve">注：1.此表由具体采购学校（单位）每次完成采购任务后填写，并一式两份，分别报市教育技术中心（市教育资产营运管理中心）和驻教育局监察室； </w:t>
      </w:r>
    </w:p>
    <w:p>
      <w:pPr>
        <w:autoSpaceDE w:val="0"/>
        <w:autoSpaceDN w:val="0"/>
        <w:adjustRightInd w:val="0"/>
        <w:ind w:left="1" w:firstLine="476" w:firstLineChars="226"/>
        <w:rPr>
          <w:rFonts w:hint="eastAsia" w:ascii="仿宋_GB2312" w:eastAsia="仿宋_GB2312"/>
        </w:rPr>
      </w:pPr>
      <w:r>
        <w:rPr>
          <w:rFonts w:hint="eastAsia" w:ascii="仿宋_GB2312" w:hAnsi="仿宋" w:eastAsia="仿宋_GB2312"/>
          <w:b/>
        </w:rPr>
        <w:t>2.驻教育局监察室将适时组织市教育技术中心（市教育资产营运管理中心）到具体采购学校（单位）对采购实施情况进行抽查。</w:t>
      </w:r>
    </w:p>
    <w:p>
      <w:pPr>
        <w:rPr>
          <w:rFonts w:hint="eastAsia" w:ascii="仿宋_GB2312" w:eastAsia="仿宋_GB2312"/>
        </w:rPr>
      </w:pPr>
    </w:p>
    <w:p>
      <w:pPr>
        <w:snapToGrid w:val="0"/>
        <w:spacing w:before="50" w:after="50" w:line="360" w:lineRule="auto"/>
        <w:jc w:val="center"/>
        <w:rPr>
          <w:rFonts w:hint="eastAsia" w:ascii="仿宋_GB2312" w:hAnsi="仿宋" w:eastAsia="仿宋_GB2312" w:cs="仿宋_GB2312"/>
          <w:b/>
          <w:sz w:val="30"/>
          <w:szCs w:val="30"/>
        </w:rPr>
      </w:pPr>
      <w:r>
        <w:rPr>
          <w:rFonts w:hint="eastAsia" w:ascii="仿宋_GB2312" w:eastAsia="仿宋_GB2312"/>
        </w:rPr>
        <w:br w:type="page"/>
      </w:r>
      <w:r>
        <w:rPr>
          <w:rFonts w:hint="eastAsia" w:ascii="仿宋_GB2312" w:hAnsi="仿宋" w:eastAsia="仿宋_GB2312" w:cs="仿宋_GB2312"/>
          <w:b/>
          <w:sz w:val="30"/>
          <w:szCs w:val="30"/>
        </w:rPr>
        <w:t>附件4：联合体协议</w:t>
      </w:r>
    </w:p>
    <w:p>
      <w:pPr>
        <w:snapToGrid w:val="0"/>
        <w:spacing w:line="360" w:lineRule="auto"/>
        <w:ind w:firstLine="576"/>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甲方：</w:t>
      </w:r>
    </w:p>
    <w:p>
      <w:pPr>
        <w:snapToGrid w:val="0"/>
        <w:spacing w:line="360" w:lineRule="auto"/>
        <w:ind w:firstLine="576"/>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乙方：</w:t>
      </w:r>
    </w:p>
    <w:p>
      <w:pPr>
        <w:snapToGrid w:val="0"/>
        <w:spacing w:line="360" w:lineRule="auto"/>
        <w:ind w:firstLine="576"/>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w:t>
      </w:r>
    </w:p>
    <w:p>
      <w:pPr>
        <w:snapToGrid w:val="0"/>
        <w:spacing w:line="360" w:lineRule="auto"/>
        <w:ind w:firstLine="576"/>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各方经协商一致，决定组成一个联合体，以一个投标人的身份就杭州市教育技术中心组织实施的</w:t>
      </w:r>
      <w:r>
        <w:rPr>
          <w:rFonts w:hint="eastAsia" w:ascii="仿宋_GB2312" w:hAnsi="仿宋" w:eastAsia="仿宋_GB2312" w:cs="仿宋_GB2312"/>
          <w:sz w:val="24"/>
        </w:rPr>
        <w:t>XXX采购项目</w:t>
      </w:r>
      <w:r>
        <w:rPr>
          <w:rFonts w:hint="eastAsia" w:ascii="仿宋_GB2312" w:hAnsi="仿宋" w:eastAsia="仿宋_GB2312" w:cs="仿宋_GB2312"/>
          <w:kern w:val="0"/>
          <w:sz w:val="24"/>
          <w:lang w:val="zh-CN"/>
        </w:rPr>
        <w:t>（XXX）共同投标。</w:t>
      </w:r>
    </w:p>
    <w:p>
      <w:pPr>
        <w:snapToGrid w:val="0"/>
        <w:spacing w:line="360" w:lineRule="auto"/>
        <w:ind w:firstLine="576"/>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Arial"/>
          <w:sz w:val="24"/>
        </w:rPr>
        <w:t>指定</w:t>
      </w:r>
      <w:r>
        <w:rPr>
          <w:rFonts w:hint="eastAsia" w:ascii="仿宋_GB2312" w:hAnsi="宋体" w:eastAsia="仿宋_GB2312"/>
          <w:u w:val="single"/>
        </w:rPr>
        <w:t xml:space="preserve">   </w:t>
      </w:r>
      <w:r>
        <w:rPr>
          <w:rFonts w:hint="eastAsia" w:ascii="仿宋_GB2312" w:hAnsi="仿宋" w:eastAsia="仿宋_GB2312" w:cs="Arial"/>
          <w:sz w:val="24"/>
        </w:rPr>
        <w:t>方牵头人，代表所有联合体成员负责投标和合同实施阶段的主办、协调工作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所有联合体成员各方法定代表人签署授权书，授权书载明的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三、本次联合投标中，分工如下：甲方承担的工作和义务为：</w:t>
      </w:r>
      <w:r>
        <w:rPr>
          <w:rFonts w:hint="eastAsia" w:ascii="仿宋_GB2312" w:hAnsi="宋体" w:eastAsia="仿宋_GB2312"/>
          <w:u w:val="single"/>
        </w:rPr>
        <w:t xml:space="preserve">             </w:t>
      </w:r>
      <w:r>
        <w:rPr>
          <w:rFonts w:hint="eastAsia" w:ascii="仿宋_GB2312" w:hAnsi="仿宋" w:eastAsia="仿宋_GB2312" w:cs="仿宋_GB2312"/>
          <w:kern w:val="0"/>
          <w:sz w:val="24"/>
          <w:lang w:val="zh-CN"/>
        </w:rPr>
        <w:t>；乙方承担的工作和义务为：</w:t>
      </w:r>
      <w:r>
        <w:rPr>
          <w:rFonts w:hint="eastAsia" w:ascii="仿宋_GB2312" w:hAnsi="宋体" w:eastAsia="仿宋_GB2312"/>
          <w:u w:val="single"/>
        </w:rPr>
        <w:t xml:space="preserve">            </w:t>
      </w:r>
      <w:r>
        <w:rPr>
          <w:rFonts w:hint="eastAsia" w:ascii="仿宋_GB2312" w:hAnsi="仿宋" w:eastAsia="仿宋_GB2312" w:cs="仿宋_GB2312"/>
          <w:kern w:val="0"/>
          <w:sz w:val="24"/>
          <w:lang w:val="zh-CN"/>
        </w:rPr>
        <w:t xml:space="preserve"> ；……</w:t>
      </w:r>
    </w:p>
    <w:p>
      <w:pPr>
        <w:snapToGrid w:val="0"/>
        <w:spacing w:line="360" w:lineRule="auto"/>
        <w:ind w:firstLine="576"/>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四、如果中标，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五、有关本次联合投标的其他事宜：</w:t>
      </w:r>
    </w:p>
    <w:p>
      <w:pPr>
        <w:snapToGrid w:val="0"/>
        <w:spacing w:line="360" w:lineRule="auto"/>
        <w:ind w:firstLine="576"/>
        <w:rPr>
          <w:rFonts w:hint="eastAsia" w:ascii="仿宋_GB2312" w:hAnsi="仿宋" w:eastAsia="仿宋_GB2312" w:cs="仿宋_GB2312"/>
          <w:kern w:val="0"/>
          <w:sz w:val="24"/>
          <w:lang w:val="zh-CN"/>
        </w:rPr>
      </w:pPr>
      <w:r>
        <w:rPr>
          <w:rFonts w:hint="eastAsia" w:ascii="仿宋_GB2312" w:hAnsi="仿宋" w:eastAsia="仿宋_GB2312" w:cs="仿宋_GB2312"/>
          <w:kern w:val="0"/>
          <w:sz w:val="24"/>
        </w:rPr>
        <w:t>1.</w:t>
      </w:r>
      <w:r>
        <w:rPr>
          <w:rFonts w:hint="eastAsia" w:ascii="仿宋_GB2312" w:hAnsi="仿宋" w:eastAsia="仿宋_GB2312" w:cs="仿宋_GB2312"/>
          <w:kern w:val="0"/>
          <w:sz w:val="24"/>
          <w:lang w:val="zh-CN"/>
        </w:rPr>
        <w:t>联合体各方不再单独参加或者与其他供应商另外组成联合体参加同一合同项下的政府采购活动。</w:t>
      </w:r>
    </w:p>
    <w:p>
      <w:pPr>
        <w:snapToGrid w:val="0"/>
        <w:spacing w:line="360" w:lineRule="auto"/>
        <w:ind w:firstLine="576"/>
        <w:rPr>
          <w:rFonts w:hint="eastAsia" w:ascii="仿宋_GB2312" w:hAnsi="仿宋" w:eastAsia="仿宋_GB2312" w:cs="仿宋_GB2312"/>
          <w:kern w:val="0"/>
          <w:sz w:val="24"/>
          <w:lang w:val="zh-CN"/>
        </w:rPr>
      </w:pPr>
      <w:r>
        <w:rPr>
          <w:rFonts w:hint="eastAsia" w:ascii="仿宋_GB2312" w:hAnsi="仿宋" w:eastAsia="仿宋_GB2312" w:cs="仿宋_GB2312"/>
          <w:kern w:val="0"/>
          <w:sz w:val="24"/>
        </w:rPr>
        <w:t>2.</w:t>
      </w:r>
      <w:r>
        <w:rPr>
          <w:rFonts w:hint="eastAsia" w:ascii="仿宋_GB2312" w:hAnsi="仿宋" w:eastAsia="仿宋_GB2312" w:cs="仿宋_GB2312"/>
          <w:kern w:val="0"/>
          <w:sz w:val="24"/>
          <w:lang w:val="zh-CN"/>
        </w:rPr>
        <w:t>联合体中有同类资质的各方按照联合体分工承担相同工作的，按照资质等级较低的供应商确定资质等级。</w:t>
      </w:r>
    </w:p>
    <w:p>
      <w:pPr>
        <w:snapToGrid w:val="0"/>
        <w:spacing w:line="360" w:lineRule="auto"/>
        <w:ind w:firstLine="576"/>
        <w:rPr>
          <w:rFonts w:hint="eastAsia" w:ascii="仿宋_GB2312" w:hAnsi="仿宋" w:eastAsia="仿宋_GB2312" w:cs="仿宋_GB2312"/>
          <w:kern w:val="0"/>
          <w:sz w:val="24"/>
          <w:lang w:val="zh-CN"/>
        </w:rPr>
      </w:pPr>
      <w:r>
        <w:rPr>
          <w:rFonts w:hint="eastAsia" w:ascii="仿宋_GB2312" w:hAnsi="仿宋" w:eastAsia="仿宋_GB2312" w:cs="仿宋_GB2312"/>
          <w:kern w:val="0"/>
          <w:sz w:val="24"/>
        </w:rPr>
        <w:t>3.</w:t>
      </w:r>
      <w:r>
        <w:rPr>
          <w:rFonts w:hint="eastAsia" w:ascii="仿宋_GB2312" w:hAnsi="仿宋" w:eastAsia="仿宋_GB2312" w:cs="仿宋_GB2312"/>
          <w:kern w:val="0"/>
          <w:sz w:val="24"/>
          <w:lang w:val="zh-CN"/>
        </w:rPr>
        <w:t>本协议提交采购人、采购机构后，联合体各方不得以任何形式对上述内容进行修改或撤销。</w:t>
      </w:r>
    </w:p>
    <w:p>
      <w:pPr>
        <w:snapToGrid w:val="0"/>
        <w:spacing w:line="360" w:lineRule="auto"/>
        <w:ind w:firstLine="576"/>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甲方单位：            （公章）          乙方单位：          （公章）</w:t>
      </w:r>
    </w:p>
    <w:p>
      <w:pPr>
        <w:snapToGrid w:val="0"/>
        <w:spacing w:line="360" w:lineRule="auto"/>
        <w:ind w:firstLine="576"/>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法定代表人：（签章）                    法定代表人：（签章）</w:t>
      </w:r>
    </w:p>
    <w:p>
      <w:pPr>
        <w:snapToGrid w:val="0"/>
        <w:spacing w:line="360" w:lineRule="auto"/>
        <w:ind w:firstLine="576"/>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                 日期：    年   月   日</w:t>
      </w:r>
    </w:p>
    <w:p>
      <w:pPr>
        <w:spacing w:line="360" w:lineRule="auto"/>
        <w:rPr>
          <w:rFonts w:hint="eastAsia" w:ascii="仿宋_GB2312" w:hAnsi="仿宋" w:eastAsia="仿宋_GB2312"/>
          <w:b/>
          <w:spacing w:val="6"/>
          <w:sz w:val="32"/>
          <w:szCs w:val="32"/>
        </w:rPr>
      </w:pPr>
      <w:r>
        <w:rPr>
          <w:rFonts w:hint="eastAsia" w:ascii="仿宋_GB2312" w:eastAsia="仿宋_GB2312"/>
        </w:rPr>
        <w:br w:type="page"/>
      </w:r>
      <w:r>
        <w:rPr>
          <w:rFonts w:hint="eastAsia" w:ascii="仿宋_GB2312" w:hAnsi="仿宋" w:eastAsia="仿宋_GB2312"/>
          <w:b/>
          <w:spacing w:val="6"/>
          <w:sz w:val="32"/>
          <w:szCs w:val="32"/>
        </w:rPr>
        <w:t>附件5：质疑函范本及制作说明</w:t>
      </w:r>
    </w:p>
    <w:p>
      <w:pPr>
        <w:widowControl w:val="0"/>
        <w:adjustRightInd w:val="0"/>
        <w:spacing w:line="360" w:lineRule="auto"/>
        <w:jc w:val="center"/>
        <w:rPr>
          <w:rFonts w:hint="eastAsia" w:ascii="仿宋_GB2312" w:hAnsi="仿宋" w:eastAsia="仿宋_GB2312"/>
          <w:b/>
          <w:spacing w:val="6"/>
          <w:sz w:val="32"/>
          <w:szCs w:val="32"/>
        </w:rPr>
      </w:pPr>
      <w:r>
        <w:rPr>
          <w:rFonts w:hint="eastAsia" w:ascii="仿宋_GB2312" w:hAnsi="仿宋" w:eastAsia="仿宋_GB2312"/>
          <w:b/>
          <w:spacing w:val="6"/>
          <w:sz w:val="32"/>
          <w:szCs w:val="32"/>
        </w:rPr>
        <w:t>质疑函范本</w:t>
      </w:r>
    </w:p>
    <w:p>
      <w:pPr>
        <w:widowControl w:val="0"/>
        <w:adjustRightInd w:val="0"/>
        <w:snapToGrid w:val="0"/>
        <w:spacing w:before="240" w:beforeLines="100" w:line="360" w:lineRule="auto"/>
        <w:jc w:val="both"/>
        <w:rPr>
          <w:rFonts w:hint="eastAsia" w:ascii="仿宋_GB2312" w:hAnsi="仿宋" w:eastAsia="仿宋_GB2312" w:cs="仿宋"/>
          <w:bCs/>
          <w:sz w:val="24"/>
          <w:szCs w:val="24"/>
        </w:rPr>
      </w:pPr>
      <w:r>
        <w:rPr>
          <w:rFonts w:hint="eastAsia" w:ascii="仿宋_GB2312" w:hAnsi="仿宋" w:eastAsia="仿宋_GB2312" w:cs="仿宋"/>
          <w:bCs/>
          <w:sz w:val="24"/>
          <w:szCs w:val="24"/>
        </w:rPr>
        <w:t>一、质疑供应商基本信息</w:t>
      </w:r>
    </w:p>
    <w:p>
      <w:pPr>
        <w:widowControl w:val="0"/>
        <w:adjustRightInd w:val="0"/>
        <w:snapToGrid w:val="0"/>
        <w:spacing w:line="360" w:lineRule="auto"/>
        <w:jc w:val="both"/>
        <w:rPr>
          <w:rFonts w:hint="eastAsia" w:ascii="仿宋_GB2312" w:hAnsi="仿宋" w:eastAsia="仿宋_GB2312" w:cs="仿宋"/>
          <w:sz w:val="24"/>
          <w:szCs w:val="24"/>
          <w:u w:val="dotted"/>
        </w:rPr>
      </w:pPr>
      <w:r>
        <w:rPr>
          <w:rFonts w:hint="eastAsia" w:ascii="仿宋_GB2312" w:hAnsi="仿宋" w:eastAsia="仿宋_GB2312" w:cs="仿宋"/>
          <w:sz w:val="24"/>
          <w:szCs w:val="24"/>
        </w:rPr>
        <w:t>质疑供应商：</w:t>
      </w:r>
      <w:r>
        <w:rPr>
          <w:rFonts w:hint="eastAsia" w:ascii="仿宋_GB2312" w:hAnsi="仿宋" w:eastAsia="仿宋_GB2312" w:cs="仿宋"/>
          <w:sz w:val="24"/>
          <w:szCs w:val="24"/>
          <w:u w:val="dotted"/>
        </w:rPr>
        <w:t xml:space="preserve">                                        </w:t>
      </w:r>
    </w:p>
    <w:p>
      <w:pPr>
        <w:widowControl w:val="0"/>
        <w:adjustRightInd w:val="0"/>
        <w:snapToGrid w:val="0"/>
        <w:spacing w:line="360" w:lineRule="auto"/>
        <w:jc w:val="both"/>
        <w:rPr>
          <w:rFonts w:hint="eastAsia" w:ascii="仿宋_GB2312" w:hAnsi="仿宋" w:eastAsia="仿宋_GB2312" w:cs="仿宋"/>
          <w:sz w:val="24"/>
          <w:szCs w:val="24"/>
        </w:rPr>
      </w:pPr>
      <w:r>
        <w:rPr>
          <w:rFonts w:hint="eastAsia" w:ascii="仿宋_GB2312" w:hAnsi="仿宋" w:eastAsia="仿宋_GB2312" w:cs="仿宋"/>
          <w:sz w:val="24"/>
          <w:szCs w:val="24"/>
        </w:rPr>
        <w:t>地址：</w:t>
      </w:r>
      <w:r>
        <w:rPr>
          <w:rFonts w:hint="eastAsia" w:ascii="仿宋_GB2312" w:hAnsi="仿宋" w:eastAsia="仿宋_GB2312" w:cs="仿宋"/>
          <w:sz w:val="24"/>
          <w:szCs w:val="24"/>
          <w:u w:val="dotted"/>
        </w:rPr>
        <w:t xml:space="preserve">                          </w:t>
      </w:r>
      <w:r>
        <w:rPr>
          <w:rFonts w:hint="eastAsia" w:ascii="仿宋_GB2312" w:hAnsi="仿宋" w:eastAsia="仿宋_GB2312" w:cs="仿宋"/>
          <w:sz w:val="24"/>
          <w:szCs w:val="24"/>
        </w:rPr>
        <w:t>邮编：</w:t>
      </w:r>
      <w:r>
        <w:rPr>
          <w:rFonts w:hint="eastAsia" w:ascii="仿宋_GB2312" w:hAnsi="仿宋" w:eastAsia="仿宋_GB2312" w:cs="仿宋"/>
          <w:sz w:val="24"/>
          <w:szCs w:val="24"/>
          <w:u w:val="dotted"/>
        </w:rPr>
        <w:t xml:space="preserve">                                                   </w:t>
      </w:r>
    </w:p>
    <w:p>
      <w:pPr>
        <w:widowControl w:val="0"/>
        <w:adjustRightInd w:val="0"/>
        <w:snapToGrid w:val="0"/>
        <w:spacing w:line="360" w:lineRule="auto"/>
        <w:jc w:val="both"/>
        <w:rPr>
          <w:rFonts w:hint="eastAsia" w:ascii="仿宋_GB2312" w:hAnsi="仿宋" w:eastAsia="仿宋_GB2312" w:cs="仿宋"/>
          <w:sz w:val="24"/>
          <w:szCs w:val="24"/>
        </w:rPr>
      </w:pPr>
      <w:r>
        <w:rPr>
          <w:rFonts w:hint="eastAsia" w:ascii="仿宋_GB2312" w:hAnsi="仿宋" w:eastAsia="仿宋_GB2312" w:cs="仿宋"/>
          <w:sz w:val="24"/>
          <w:szCs w:val="24"/>
        </w:rPr>
        <w:t>联系人：</w:t>
      </w:r>
      <w:r>
        <w:rPr>
          <w:rFonts w:hint="eastAsia" w:ascii="仿宋_GB2312" w:hAnsi="仿宋" w:eastAsia="仿宋_GB2312" w:cs="仿宋"/>
          <w:sz w:val="24"/>
          <w:szCs w:val="24"/>
          <w:u w:val="dotted"/>
        </w:rPr>
        <w:t xml:space="preserve">                      </w:t>
      </w:r>
      <w:r>
        <w:rPr>
          <w:rFonts w:hint="eastAsia" w:ascii="仿宋_GB2312" w:hAnsi="仿宋" w:eastAsia="仿宋_GB2312" w:cs="仿宋"/>
          <w:sz w:val="24"/>
          <w:szCs w:val="24"/>
        </w:rPr>
        <w:t>联系电话：</w:t>
      </w:r>
      <w:r>
        <w:rPr>
          <w:rFonts w:hint="eastAsia" w:ascii="仿宋_GB2312" w:hAnsi="仿宋" w:eastAsia="仿宋_GB2312" w:cs="仿宋"/>
          <w:sz w:val="24"/>
          <w:szCs w:val="24"/>
          <w:u w:val="dotted"/>
        </w:rPr>
        <w:t xml:space="preserve">                              </w:t>
      </w:r>
    </w:p>
    <w:p>
      <w:pPr>
        <w:widowControl w:val="0"/>
        <w:adjustRightInd w:val="0"/>
        <w:snapToGrid w:val="0"/>
        <w:spacing w:line="360" w:lineRule="auto"/>
        <w:jc w:val="both"/>
        <w:rPr>
          <w:rFonts w:hint="eastAsia" w:ascii="仿宋_GB2312" w:hAnsi="仿宋" w:eastAsia="仿宋_GB2312" w:cs="仿宋"/>
          <w:sz w:val="24"/>
          <w:szCs w:val="24"/>
          <w:u w:val="dotted"/>
        </w:rPr>
      </w:pPr>
      <w:r>
        <w:rPr>
          <w:rFonts w:hint="eastAsia" w:ascii="仿宋_GB2312" w:hAnsi="仿宋" w:eastAsia="仿宋_GB2312" w:cs="仿宋"/>
          <w:sz w:val="24"/>
          <w:szCs w:val="24"/>
        </w:rPr>
        <w:t>授权代表：</w:t>
      </w:r>
      <w:r>
        <w:rPr>
          <w:rFonts w:hint="eastAsia" w:ascii="仿宋_GB2312" w:hAnsi="仿宋" w:eastAsia="仿宋_GB2312" w:cs="仿宋"/>
          <w:sz w:val="24"/>
          <w:szCs w:val="24"/>
          <w:u w:val="dotted"/>
        </w:rPr>
        <w:t xml:space="preserve">                                          </w:t>
      </w:r>
    </w:p>
    <w:p>
      <w:pPr>
        <w:widowControl w:val="0"/>
        <w:adjustRightInd w:val="0"/>
        <w:snapToGrid w:val="0"/>
        <w:spacing w:line="360" w:lineRule="auto"/>
        <w:jc w:val="both"/>
        <w:rPr>
          <w:rFonts w:hint="eastAsia" w:ascii="仿宋_GB2312" w:hAnsi="仿宋" w:eastAsia="仿宋_GB2312" w:cs="仿宋"/>
          <w:sz w:val="24"/>
          <w:szCs w:val="24"/>
        </w:rPr>
      </w:pPr>
      <w:r>
        <w:rPr>
          <w:rFonts w:hint="eastAsia" w:ascii="仿宋_GB2312" w:hAnsi="仿宋" w:eastAsia="仿宋_GB2312" w:cs="仿宋"/>
          <w:sz w:val="24"/>
          <w:szCs w:val="24"/>
        </w:rPr>
        <w:t>联系电话：</w:t>
      </w:r>
      <w:r>
        <w:rPr>
          <w:rFonts w:hint="eastAsia" w:ascii="仿宋_GB2312" w:hAnsi="仿宋" w:eastAsia="仿宋_GB2312" w:cs="仿宋"/>
          <w:sz w:val="24"/>
          <w:szCs w:val="24"/>
          <w:u w:val="dotted"/>
        </w:rPr>
        <w:t xml:space="preserve">                                           </w:t>
      </w:r>
      <w:r>
        <w:rPr>
          <w:rFonts w:hint="eastAsia" w:ascii="仿宋_GB2312" w:hAnsi="仿宋" w:eastAsia="仿宋_GB2312" w:cs="仿宋"/>
          <w:sz w:val="24"/>
          <w:szCs w:val="24"/>
        </w:rPr>
        <w:t xml:space="preserve"> </w:t>
      </w:r>
    </w:p>
    <w:p>
      <w:pPr>
        <w:widowControl w:val="0"/>
        <w:adjustRightInd w:val="0"/>
        <w:snapToGrid w:val="0"/>
        <w:spacing w:line="360" w:lineRule="auto"/>
        <w:jc w:val="both"/>
        <w:rPr>
          <w:rFonts w:hint="eastAsia" w:ascii="仿宋_GB2312" w:hAnsi="仿宋" w:eastAsia="仿宋_GB2312" w:cs="仿宋"/>
          <w:sz w:val="24"/>
          <w:szCs w:val="24"/>
        </w:rPr>
      </w:pPr>
      <w:r>
        <w:rPr>
          <w:rFonts w:hint="eastAsia" w:ascii="仿宋_GB2312" w:hAnsi="仿宋" w:eastAsia="仿宋_GB2312" w:cs="仿宋"/>
          <w:sz w:val="24"/>
          <w:szCs w:val="24"/>
        </w:rPr>
        <w:t xml:space="preserve">地址： </w:t>
      </w:r>
      <w:r>
        <w:rPr>
          <w:rFonts w:hint="eastAsia" w:ascii="仿宋_GB2312" w:hAnsi="仿宋" w:eastAsia="仿宋_GB2312" w:cs="仿宋"/>
          <w:sz w:val="24"/>
          <w:szCs w:val="24"/>
          <w:u w:val="dotted"/>
        </w:rPr>
        <w:t xml:space="preserve">                        </w:t>
      </w:r>
      <w:r>
        <w:rPr>
          <w:rFonts w:hint="eastAsia" w:ascii="仿宋_GB2312" w:hAnsi="仿宋" w:eastAsia="仿宋_GB2312" w:cs="仿宋"/>
          <w:sz w:val="24"/>
          <w:szCs w:val="24"/>
        </w:rPr>
        <w:t>邮编：</w:t>
      </w:r>
      <w:r>
        <w:rPr>
          <w:rFonts w:hint="eastAsia" w:ascii="仿宋_GB2312" w:hAnsi="仿宋" w:eastAsia="仿宋_GB2312" w:cs="仿宋"/>
          <w:sz w:val="24"/>
          <w:szCs w:val="24"/>
          <w:u w:val="dotted"/>
        </w:rPr>
        <w:t xml:space="preserve">                                                </w:t>
      </w:r>
    </w:p>
    <w:p>
      <w:pPr>
        <w:widowControl w:val="0"/>
        <w:adjustRightInd w:val="0"/>
        <w:snapToGrid w:val="0"/>
        <w:spacing w:line="360" w:lineRule="auto"/>
        <w:jc w:val="both"/>
        <w:rPr>
          <w:rFonts w:hint="eastAsia" w:ascii="仿宋_GB2312" w:hAnsi="仿宋" w:eastAsia="仿宋_GB2312" w:cs="仿宋"/>
          <w:bCs/>
          <w:sz w:val="24"/>
          <w:szCs w:val="24"/>
        </w:rPr>
      </w:pPr>
      <w:r>
        <w:rPr>
          <w:rFonts w:hint="eastAsia" w:ascii="仿宋_GB2312" w:hAnsi="仿宋" w:eastAsia="仿宋_GB2312" w:cs="仿宋"/>
          <w:bCs/>
          <w:sz w:val="24"/>
          <w:szCs w:val="24"/>
        </w:rPr>
        <w:t>二、质疑项目基本情况</w:t>
      </w:r>
    </w:p>
    <w:p>
      <w:pPr>
        <w:widowControl w:val="0"/>
        <w:adjustRightInd w:val="0"/>
        <w:snapToGrid w:val="0"/>
        <w:spacing w:line="360" w:lineRule="auto"/>
        <w:jc w:val="both"/>
        <w:rPr>
          <w:rFonts w:hint="eastAsia" w:ascii="仿宋_GB2312" w:hAnsi="仿宋" w:eastAsia="仿宋_GB2312" w:cs="仿宋"/>
          <w:sz w:val="24"/>
          <w:szCs w:val="24"/>
        </w:rPr>
      </w:pPr>
      <w:r>
        <w:rPr>
          <w:rFonts w:hint="eastAsia" w:ascii="仿宋_GB2312" w:hAnsi="仿宋" w:eastAsia="仿宋_GB2312" w:cs="仿宋"/>
          <w:sz w:val="24"/>
          <w:szCs w:val="24"/>
        </w:rPr>
        <w:t>质疑项目的名称：</w:t>
      </w:r>
      <w:r>
        <w:rPr>
          <w:rFonts w:hint="eastAsia" w:ascii="仿宋_GB2312" w:hAnsi="仿宋" w:eastAsia="仿宋_GB2312" w:cs="仿宋"/>
          <w:sz w:val="24"/>
          <w:szCs w:val="24"/>
          <w:u w:val="dotted"/>
        </w:rPr>
        <w:t xml:space="preserve">                                      </w:t>
      </w:r>
    </w:p>
    <w:p>
      <w:pPr>
        <w:widowControl w:val="0"/>
        <w:adjustRightInd w:val="0"/>
        <w:snapToGrid w:val="0"/>
        <w:spacing w:line="360" w:lineRule="auto"/>
        <w:jc w:val="both"/>
        <w:rPr>
          <w:rFonts w:hint="eastAsia" w:ascii="仿宋_GB2312" w:hAnsi="仿宋" w:eastAsia="仿宋_GB2312" w:cs="仿宋"/>
          <w:sz w:val="24"/>
          <w:szCs w:val="24"/>
        </w:rPr>
      </w:pPr>
      <w:r>
        <w:rPr>
          <w:rFonts w:hint="eastAsia" w:ascii="仿宋_GB2312" w:hAnsi="仿宋" w:eastAsia="仿宋_GB2312" w:cs="仿宋"/>
          <w:sz w:val="24"/>
          <w:szCs w:val="24"/>
        </w:rPr>
        <w:t>质疑项目的编号：</w:t>
      </w:r>
      <w:r>
        <w:rPr>
          <w:rFonts w:hint="eastAsia" w:ascii="仿宋_GB2312" w:hAnsi="仿宋" w:eastAsia="仿宋_GB2312" w:cs="仿宋"/>
          <w:sz w:val="24"/>
          <w:szCs w:val="24"/>
          <w:u w:val="dotted"/>
        </w:rPr>
        <w:t xml:space="preserve">               </w:t>
      </w:r>
      <w:r>
        <w:rPr>
          <w:rFonts w:hint="eastAsia" w:ascii="仿宋_GB2312" w:hAnsi="仿宋" w:eastAsia="仿宋_GB2312" w:cs="仿宋"/>
          <w:sz w:val="24"/>
          <w:szCs w:val="24"/>
        </w:rPr>
        <w:t>包号：</w:t>
      </w:r>
      <w:r>
        <w:rPr>
          <w:rFonts w:hint="eastAsia" w:ascii="仿宋_GB2312" w:hAnsi="仿宋" w:eastAsia="仿宋_GB2312" w:cs="仿宋"/>
          <w:sz w:val="24"/>
          <w:szCs w:val="24"/>
          <w:u w:val="dotted"/>
        </w:rPr>
        <w:t xml:space="preserve">                 </w:t>
      </w:r>
    </w:p>
    <w:p>
      <w:pPr>
        <w:widowControl w:val="0"/>
        <w:adjustRightInd w:val="0"/>
        <w:snapToGrid w:val="0"/>
        <w:spacing w:line="360" w:lineRule="auto"/>
        <w:jc w:val="both"/>
        <w:rPr>
          <w:rFonts w:hint="eastAsia" w:ascii="仿宋_GB2312" w:hAnsi="仿宋" w:eastAsia="仿宋_GB2312" w:cs="仿宋"/>
          <w:sz w:val="24"/>
          <w:szCs w:val="24"/>
          <w:u w:val="dotted"/>
        </w:rPr>
      </w:pPr>
      <w:r>
        <w:rPr>
          <w:rFonts w:hint="eastAsia" w:ascii="仿宋_GB2312" w:hAnsi="仿宋" w:eastAsia="仿宋_GB2312" w:cs="仿宋"/>
          <w:sz w:val="24"/>
          <w:szCs w:val="24"/>
        </w:rPr>
        <w:t>采购人名称：</w:t>
      </w:r>
      <w:r>
        <w:rPr>
          <w:rFonts w:hint="eastAsia" w:ascii="仿宋_GB2312" w:hAnsi="仿宋" w:eastAsia="仿宋_GB2312" w:cs="仿宋"/>
          <w:sz w:val="24"/>
          <w:szCs w:val="24"/>
          <w:u w:val="dotted"/>
        </w:rPr>
        <w:t xml:space="preserve">                                         </w:t>
      </w:r>
    </w:p>
    <w:p>
      <w:pPr>
        <w:widowControl w:val="0"/>
        <w:adjustRightInd w:val="0"/>
        <w:snapToGrid w:val="0"/>
        <w:spacing w:line="360" w:lineRule="auto"/>
        <w:jc w:val="both"/>
        <w:rPr>
          <w:rFonts w:hint="eastAsia" w:ascii="仿宋_GB2312" w:hAnsi="仿宋" w:eastAsia="仿宋_GB2312" w:cs="仿宋"/>
          <w:sz w:val="24"/>
          <w:szCs w:val="24"/>
        </w:rPr>
      </w:pPr>
      <w:r>
        <w:rPr>
          <w:rFonts w:hint="eastAsia" w:ascii="仿宋_GB2312" w:hAnsi="仿宋" w:eastAsia="仿宋_GB2312" w:cs="仿宋"/>
          <w:sz w:val="24"/>
          <w:szCs w:val="24"/>
        </w:rPr>
        <w:t>采购文件获取日期：</w:t>
      </w:r>
      <w:r>
        <w:rPr>
          <w:rFonts w:hint="eastAsia" w:ascii="仿宋_GB2312" w:hAnsi="仿宋" w:eastAsia="仿宋_GB2312" w:cs="仿宋"/>
          <w:sz w:val="24"/>
          <w:szCs w:val="24"/>
          <w:u w:val="dotted"/>
        </w:rPr>
        <w:t xml:space="preserve">                                           </w:t>
      </w:r>
    </w:p>
    <w:p>
      <w:pPr>
        <w:widowControl w:val="0"/>
        <w:adjustRightInd w:val="0"/>
        <w:snapToGrid w:val="0"/>
        <w:spacing w:line="360" w:lineRule="auto"/>
        <w:jc w:val="both"/>
        <w:rPr>
          <w:rFonts w:hint="eastAsia" w:ascii="仿宋_GB2312" w:hAnsi="仿宋" w:eastAsia="仿宋_GB2312" w:cs="仿宋"/>
          <w:bCs/>
          <w:sz w:val="24"/>
          <w:szCs w:val="24"/>
        </w:rPr>
      </w:pPr>
      <w:r>
        <w:rPr>
          <w:rFonts w:hint="eastAsia" w:ascii="仿宋_GB2312" w:hAnsi="仿宋" w:eastAsia="仿宋_GB2312" w:cs="仿宋"/>
          <w:bCs/>
          <w:sz w:val="24"/>
          <w:szCs w:val="24"/>
        </w:rPr>
        <w:t>三、质疑事项具体内容</w:t>
      </w:r>
    </w:p>
    <w:p>
      <w:pPr>
        <w:widowControl w:val="0"/>
        <w:adjustRightInd w:val="0"/>
        <w:snapToGrid w:val="0"/>
        <w:spacing w:line="360" w:lineRule="auto"/>
        <w:jc w:val="both"/>
        <w:rPr>
          <w:rFonts w:hint="eastAsia" w:ascii="仿宋_GB2312" w:hAnsi="仿宋" w:eastAsia="仿宋_GB2312" w:cs="仿宋"/>
          <w:sz w:val="24"/>
          <w:szCs w:val="24"/>
          <w:u w:val="dotted"/>
        </w:rPr>
      </w:pPr>
      <w:r>
        <w:rPr>
          <w:rFonts w:hint="eastAsia" w:ascii="仿宋_GB2312" w:hAnsi="仿宋" w:eastAsia="仿宋_GB2312" w:cs="仿宋"/>
          <w:sz w:val="24"/>
          <w:szCs w:val="24"/>
        </w:rPr>
        <w:t>质疑事项1：</w:t>
      </w:r>
      <w:r>
        <w:rPr>
          <w:rFonts w:hint="eastAsia" w:ascii="仿宋_GB2312" w:hAnsi="仿宋" w:eastAsia="仿宋_GB2312" w:cs="仿宋"/>
          <w:sz w:val="24"/>
          <w:szCs w:val="24"/>
          <w:u w:val="dotted"/>
        </w:rPr>
        <w:t xml:space="preserve">                                         </w:t>
      </w:r>
    </w:p>
    <w:p>
      <w:pPr>
        <w:widowControl w:val="0"/>
        <w:adjustRightInd w:val="0"/>
        <w:snapToGrid w:val="0"/>
        <w:spacing w:line="360" w:lineRule="auto"/>
        <w:jc w:val="both"/>
        <w:rPr>
          <w:rFonts w:hint="eastAsia" w:ascii="仿宋_GB2312" w:hAnsi="仿宋" w:eastAsia="仿宋_GB2312" w:cs="仿宋"/>
          <w:sz w:val="24"/>
          <w:szCs w:val="24"/>
          <w:u w:val="dotted"/>
        </w:rPr>
      </w:pPr>
      <w:r>
        <w:rPr>
          <w:rFonts w:hint="eastAsia" w:ascii="仿宋_GB2312" w:hAnsi="仿宋" w:eastAsia="仿宋_GB2312" w:cs="仿宋"/>
          <w:sz w:val="24"/>
          <w:szCs w:val="24"/>
        </w:rPr>
        <w:t>事实依据：</w:t>
      </w:r>
      <w:r>
        <w:rPr>
          <w:rFonts w:hint="eastAsia" w:ascii="仿宋_GB2312" w:hAnsi="仿宋" w:eastAsia="仿宋_GB2312" w:cs="仿宋"/>
          <w:sz w:val="24"/>
          <w:szCs w:val="24"/>
          <w:u w:val="dotted"/>
        </w:rPr>
        <w:t xml:space="preserve">                                          </w:t>
      </w:r>
    </w:p>
    <w:p>
      <w:pPr>
        <w:widowControl w:val="0"/>
        <w:adjustRightInd w:val="0"/>
        <w:snapToGrid w:val="0"/>
        <w:spacing w:line="360" w:lineRule="auto"/>
        <w:jc w:val="both"/>
        <w:rPr>
          <w:rFonts w:hint="eastAsia" w:ascii="仿宋_GB2312" w:hAnsi="仿宋" w:eastAsia="仿宋_GB2312" w:cs="仿宋"/>
          <w:sz w:val="24"/>
          <w:szCs w:val="24"/>
        </w:rPr>
      </w:pPr>
      <w:r>
        <w:rPr>
          <w:rFonts w:hint="eastAsia" w:ascii="仿宋_GB2312" w:hAnsi="仿宋" w:eastAsia="仿宋_GB2312" w:cs="仿宋"/>
          <w:sz w:val="24"/>
          <w:szCs w:val="24"/>
          <w:u w:val="dotted"/>
        </w:rPr>
        <w:t xml:space="preserve">                                                       </w:t>
      </w:r>
    </w:p>
    <w:p>
      <w:pPr>
        <w:widowControl w:val="0"/>
        <w:adjustRightInd w:val="0"/>
        <w:snapToGrid w:val="0"/>
        <w:spacing w:line="360" w:lineRule="auto"/>
        <w:jc w:val="both"/>
        <w:rPr>
          <w:rFonts w:hint="eastAsia" w:ascii="仿宋_GB2312" w:hAnsi="仿宋" w:eastAsia="仿宋_GB2312" w:cs="仿宋"/>
          <w:sz w:val="24"/>
          <w:szCs w:val="24"/>
          <w:u w:val="dotted"/>
        </w:rPr>
      </w:pPr>
      <w:r>
        <w:rPr>
          <w:rFonts w:hint="eastAsia" w:ascii="仿宋_GB2312" w:hAnsi="仿宋" w:eastAsia="仿宋_GB2312" w:cs="仿宋"/>
          <w:sz w:val="24"/>
          <w:szCs w:val="24"/>
        </w:rPr>
        <w:t>法律依据：</w:t>
      </w:r>
      <w:r>
        <w:rPr>
          <w:rFonts w:hint="eastAsia" w:ascii="仿宋_GB2312" w:hAnsi="仿宋" w:eastAsia="仿宋_GB2312" w:cs="仿宋"/>
          <w:sz w:val="24"/>
          <w:szCs w:val="24"/>
          <w:u w:val="dotted"/>
        </w:rPr>
        <w:t xml:space="preserve">                                          </w:t>
      </w:r>
    </w:p>
    <w:p>
      <w:pPr>
        <w:widowControl w:val="0"/>
        <w:adjustRightInd w:val="0"/>
        <w:snapToGrid w:val="0"/>
        <w:spacing w:line="360" w:lineRule="auto"/>
        <w:jc w:val="both"/>
        <w:rPr>
          <w:rFonts w:hint="eastAsia" w:ascii="仿宋_GB2312" w:hAnsi="仿宋" w:eastAsia="仿宋_GB2312" w:cs="仿宋"/>
          <w:sz w:val="24"/>
          <w:szCs w:val="24"/>
          <w:u w:val="dotted"/>
        </w:rPr>
      </w:pPr>
      <w:r>
        <w:rPr>
          <w:rFonts w:hint="eastAsia" w:ascii="仿宋_GB2312" w:hAnsi="仿宋" w:eastAsia="仿宋_GB2312" w:cs="仿宋"/>
          <w:sz w:val="24"/>
          <w:szCs w:val="24"/>
          <w:u w:val="dotted"/>
        </w:rPr>
        <w:t xml:space="preserve">                                                     </w:t>
      </w:r>
    </w:p>
    <w:p>
      <w:pPr>
        <w:widowControl w:val="0"/>
        <w:adjustRightInd w:val="0"/>
        <w:snapToGrid w:val="0"/>
        <w:spacing w:line="360" w:lineRule="auto"/>
        <w:jc w:val="both"/>
        <w:rPr>
          <w:rFonts w:hint="eastAsia" w:ascii="仿宋_GB2312" w:hAnsi="仿宋" w:eastAsia="仿宋_GB2312" w:cs="仿宋"/>
          <w:sz w:val="24"/>
          <w:szCs w:val="24"/>
          <w:u w:val="dotted"/>
        </w:rPr>
      </w:pPr>
      <w:r>
        <w:rPr>
          <w:rFonts w:hint="eastAsia" w:ascii="仿宋_GB2312" w:hAnsi="仿宋" w:eastAsia="仿宋_GB2312" w:cs="仿宋"/>
          <w:sz w:val="24"/>
          <w:szCs w:val="24"/>
        </w:rPr>
        <w:t>质疑事项2</w:t>
      </w:r>
    </w:p>
    <w:p>
      <w:pPr>
        <w:widowControl w:val="0"/>
        <w:adjustRightInd w:val="0"/>
        <w:snapToGrid w:val="0"/>
        <w:spacing w:line="360" w:lineRule="auto"/>
        <w:jc w:val="both"/>
        <w:rPr>
          <w:rFonts w:hint="eastAsia" w:ascii="仿宋_GB2312" w:hAnsi="仿宋" w:eastAsia="仿宋_GB2312" w:cs="仿宋"/>
          <w:sz w:val="24"/>
          <w:szCs w:val="24"/>
        </w:rPr>
      </w:pPr>
      <w:r>
        <w:rPr>
          <w:rFonts w:hint="eastAsia" w:ascii="仿宋_GB2312" w:hAnsi="仿宋" w:eastAsia="仿宋_GB2312" w:cs="仿宋"/>
          <w:sz w:val="24"/>
          <w:szCs w:val="24"/>
        </w:rPr>
        <w:t>……</w:t>
      </w:r>
    </w:p>
    <w:p>
      <w:pPr>
        <w:widowControl w:val="0"/>
        <w:adjustRightInd w:val="0"/>
        <w:snapToGrid w:val="0"/>
        <w:spacing w:line="360" w:lineRule="auto"/>
        <w:jc w:val="both"/>
        <w:rPr>
          <w:rFonts w:hint="eastAsia" w:ascii="仿宋_GB2312" w:hAnsi="仿宋" w:eastAsia="仿宋_GB2312" w:cs="仿宋"/>
          <w:bCs/>
          <w:sz w:val="24"/>
          <w:szCs w:val="24"/>
        </w:rPr>
      </w:pPr>
      <w:r>
        <w:rPr>
          <w:rFonts w:hint="eastAsia" w:ascii="仿宋_GB2312" w:hAnsi="仿宋" w:eastAsia="仿宋_GB2312" w:cs="仿宋"/>
          <w:bCs/>
          <w:sz w:val="24"/>
          <w:szCs w:val="24"/>
        </w:rPr>
        <w:t>四、与质疑事项相关的质疑请求</w:t>
      </w:r>
    </w:p>
    <w:p>
      <w:pPr>
        <w:widowControl w:val="0"/>
        <w:adjustRightInd w:val="0"/>
        <w:snapToGrid w:val="0"/>
        <w:spacing w:line="360" w:lineRule="auto"/>
        <w:jc w:val="both"/>
        <w:rPr>
          <w:rFonts w:hint="eastAsia" w:ascii="仿宋_GB2312" w:hAnsi="仿宋" w:eastAsia="仿宋_GB2312" w:cs="仿宋"/>
          <w:sz w:val="24"/>
          <w:szCs w:val="24"/>
          <w:u w:val="dotted"/>
        </w:rPr>
      </w:pPr>
      <w:r>
        <w:rPr>
          <w:rFonts w:hint="eastAsia" w:ascii="仿宋_GB2312" w:hAnsi="仿宋" w:eastAsia="仿宋_GB2312" w:cs="仿宋"/>
          <w:sz w:val="24"/>
          <w:szCs w:val="24"/>
        </w:rPr>
        <w:t>请求：</w:t>
      </w:r>
      <w:r>
        <w:rPr>
          <w:rFonts w:hint="eastAsia" w:ascii="仿宋_GB2312" w:hAnsi="仿宋" w:eastAsia="仿宋_GB2312" w:cs="仿宋"/>
          <w:sz w:val="24"/>
          <w:szCs w:val="24"/>
          <w:u w:val="dotted"/>
        </w:rPr>
        <w:t xml:space="preserve">                                               </w:t>
      </w:r>
    </w:p>
    <w:p>
      <w:pPr>
        <w:widowControl w:val="0"/>
        <w:adjustRightInd w:val="0"/>
        <w:spacing w:line="360" w:lineRule="auto"/>
        <w:jc w:val="both"/>
        <w:rPr>
          <w:rFonts w:hint="eastAsia" w:ascii="仿宋_GB2312" w:hAnsi="仿宋" w:eastAsia="仿宋_GB2312"/>
          <w:sz w:val="24"/>
          <w:szCs w:val="24"/>
        </w:rPr>
      </w:pPr>
      <w:r>
        <w:rPr>
          <w:rFonts w:hint="eastAsia" w:ascii="仿宋_GB2312" w:hAnsi="仿宋" w:eastAsia="仿宋_GB2312"/>
          <w:sz w:val="24"/>
          <w:szCs w:val="24"/>
        </w:rPr>
        <w:t xml:space="preserve">签字(签章)：                   公章：                      </w:t>
      </w:r>
    </w:p>
    <w:p>
      <w:pPr>
        <w:widowControl w:val="0"/>
        <w:adjustRightInd w:val="0"/>
        <w:spacing w:line="360" w:lineRule="auto"/>
        <w:jc w:val="both"/>
        <w:rPr>
          <w:rFonts w:hint="eastAsia" w:ascii="仿宋_GB2312" w:hAnsi="仿宋" w:eastAsia="仿宋_GB2312"/>
          <w:sz w:val="24"/>
          <w:szCs w:val="24"/>
        </w:rPr>
      </w:pPr>
      <w:r>
        <w:rPr>
          <w:rFonts w:hint="eastAsia" w:ascii="仿宋_GB2312" w:hAnsi="仿宋" w:eastAsia="仿宋_GB2312"/>
          <w:sz w:val="24"/>
          <w:szCs w:val="24"/>
        </w:rPr>
        <w:t xml:space="preserve">日期：    </w:t>
      </w:r>
    </w:p>
    <w:p>
      <w:pPr>
        <w:widowControl w:val="0"/>
        <w:adjustRightInd w:val="0"/>
        <w:spacing w:line="360" w:lineRule="auto"/>
        <w:jc w:val="center"/>
        <w:rPr>
          <w:rFonts w:hint="eastAsia" w:ascii="仿宋_GB2312" w:hAnsi="仿宋" w:eastAsia="仿宋_GB2312" w:cs="仿宋"/>
          <w:b/>
          <w:bCs/>
          <w:sz w:val="24"/>
          <w:szCs w:val="24"/>
        </w:rPr>
      </w:pPr>
    </w:p>
    <w:p>
      <w:pPr>
        <w:widowControl w:val="0"/>
        <w:adjustRightInd w:val="0"/>
        <w:spacing w:line="360" w:lineRule="auto"/>
        <w:jc w:val="both"/>
        <w:rPr>
          <w:rFonts w:hint="eastAsia" w:ascii="仿宋_GB2312" w:hAnsi="仿宋" w:eastAsia="仿宋_GB2312"/>
          <w:b/>
          <w:sz w:val="24"/>
          <w:szCs w:val="24"/>
        </w:rPr>
      </w:pPr>
    </w:p>
    <w:p>
      <w:pPr>
        <w:widowControl w:val="0"/>
        <w:adjustRightInd w:val="0"/>
        <w:spacing w:line="360" w:lineRule="auto"/>
        <w:jc w:val="both"/>
        <w:rPr>
          <w:rFonts w:hint="eastAsia" w:ascii="仿宋_GB2312" w:hAnsi="仿宋" w:eastAsia="仿宋_GB2312"/>
          <w:b/>
          <w:sz w:val="24"/>
          <w:szCs w:val="24"/>
        </w:rPr>
      </w:pPr>
    </w:p>
    <w:p>
      <w:pPr>
        <w:widowControl w:val="0"/>
        <w:adjustRightInd w:val="0"/>
        <w:spacing w:line="360" w:lineRule="auto"/>
        <w:jc w:val="both"/>
        <w:rPr>
          <w:rFonts w:hint="eastAsia" w:ascii="仿宋_GB2312" w:hAnsi="仿宋" w:eastAsia="仿宋_GB2312"/>
          <w:b/>
          <w:sz w:val="24"/>
          <w:szCs w:val="24"/>
        </w:rPr>
      </w:pPr>
    </w:p>
    <w:p>
      <w:pPr>
        <w:widowControl w:val="0"/>
        <w:adjustRightInd w:val="0"/>
        <w:spacing w:line="360" w:lineRule="auto"/>
        <w:jc w:val="both"/>
        <w:rPr>
          <w:rFonts w:hint="eastAsia" w:ascii="仿宋_GB2312" w:hAnsi="仿宋" w:eastAsia="仿宋_GB2312"/>
          <w:b/>
          <w:sz w:val="24"/>
          <w:szCs w:val="24"/>
        </w:rPr>
      </w:pPr>
      <w:r>
        <w:rPr>
          <w:rFonts w:hint="eastAsia" w:ascii="仿宋_GB2312" w:hAnsi="仿宋" w:eastAsia="仿宋_GB2312"/>
          <w:b/>
          <w:sz w:val="24"/>
          <w:szCs w:val="24"/>
        </w:rPr>
        <w:t>质疑函制作说明：</w:t>
      </w:r>
    </w:p>
    <w:p>
      <w:pPr>
        <w:adjustRightInd w:val="0"/>
        <w:spacing w:line="360" w:lineRule="auto"/>
        <w:ind w:firstLine="480" w:firstLineChars="200"/>
        <w:rPr>
          <w:rFonts w:hint="eastAsia" w:ascii="仿宋_GB2312" w:hAnsi="仿宋" w:eastAsia="仿宋_GB2312"/>
          <w:sz w:val="24"/>
          <w:szCs w:val="24"/>
        </w:rPr>
      </w:pPr>
      <w:r>
        <w:rPr>
          <w:rFonts w:hint="eastAsia" w:ascii="仿宋_GB2312" w:hAnsi="仿宋" w:eastAsia="仿宋_GB2312"/>
          <w:sz w:val="24"/>
          <w:szCs w:val="24"/>
        </w:rPr>
        <w:t>1.供应商提出质疑时，应提交质疑函和必要的证明材料。</w:t>
      </w:r>
    </w:p>
    <w:p>
      <w:pPr>
        <w:adjustRightInd w:val="0"/>
        <w:spacing w:line="360" w:lineRule="auto"/>
        <w:ind w:firstLine="480" w:firstLineChars="200"/>
        <w:rPr>
          <w:rFonts w:hint="eastAsia" w:ascii="仿宋_GB2312" w:hAnsi="仿宋" w:eastAsia="仿宋_GB2312"/>
          <w:sz w:val="24"/>
          <w:szCs w:val="24"/>
        </w:rPr>
      </w:pPr>
      <w:r>
        <w:rPr>
          <w:rFonts w:hint="eastAsia" w:ascii="仿宋_GB2312" w:hAnsi="仿宋" w:eastAsia="仿宋_GB2312"/>
          <w:sz w:val="24"/>
          <w:szCs w:val="24"/>
        </w:rPr>
        <w:t>2.质疑供应商若委托代理人进行质疑的，质疑函应按要求列明“授权代表”的有关内容，并在附件中提交由质疑</w:t>
      </w:r>
      <w:r>
        <w:rPr>
          <w:rFonts w:hint="eastAsia" w:ascii="仿宋_GB2312" w:hAnsi="仿宋" w:eastAsia="仿宋_GB2312" w:cs="宋体"/>
          <w:kern w:val="0"/>
          <w:sz w:val="24"/>
          <w:szCs w:val="24"/>
        </w:rPr>
        <w:t>供应商签署的授权委托书。授权委托书应载明代理人的姓名或者名称、代理事项、具体权限、期限和相关事项。</w:t>
      </w:r>
    </w:p>
    <w:p>
      <w:pPr>
        <w:adjustRightInd w:val="0"/>
        <w:spacing w:line="360" w:lineRule="auto"/>
        <w:ind w:firstLine="480" w:firstLineChars="200"/>
        <w:rPr>
          <w:rFonts w:hint="eastAsia" w:ascii="仿宋_GB2312" w:hAnsi="仿宋" w:eastAsia="仿宋_GB2312"/>
          <w:sz w:val="24"/>
          <w:szCs w:val="24"/>
        </w:rPr>
      </w:pPr>
      <w:r>
        <w:rPr>
          <w:rFonts w:hint="eastAsia" w:ascii="仿宋_GB2312" w:hAnsi="仿宋" w:eastAsia="仿宋_GB2312"/>
          <w:sz w:val="24"/>
          <w:szCs w:val="24"/>
        </w:rPr>
        <w:t>3.质疑供应商若对项目的某一分包进行质疑，质疑函中应列明具体分包号。</w:t>
      </w:r>
    </w:p>
    <w:p>
      <w:pPr>
        <w:adjustRightInd w:val="0"/>
        <w:spacing w:line="360" w:lineRule="auto"/>
        <w:ind w:firstLine="480" w:firstLineChars="200"/>
        <w:rPr>
          <w:rFonts w:hint="eastAsia" w:ascii="仿宋_GB2312" w:hAnsi="仿宋" w:eastAsia="仿宋_GB2312"/>
          <w:sz w:val="24"/>
          <w:szCs w:val="24"/>
        </w:rPr>
      </w:pPr>
      <w:r>
        <w:rPr>
          <w:rFonts w:hint="eastAsia" w:ascii="仿宋_GB2312" w:hAnsi="仿宋" w:eastAsia="仿宋_GB2312"/>
          <w:sz w:val="24"/>
          <w:szCs w:val="24"/>
        </w:rPr>
        <w:t>4.质疑函的质疑事项应具体、明确，并有必要的事实依据和法律依据。</w:t>
      </w:r>
    </w:p>
    <w:p>
      <w:pPr>
        <w:adjustRightInd w:val="0"/>
        <w:spacing w:line="360" w:lineRule="auto"/>
        <w:ind w:firstLine="480" w:firstLineChars="200"/>
        <w:rPr>
          <w:rFonts w:hint="eastAsia" w:ascii="仿宋_GB2312" w:hAnsi="仿宋" w:eastAsia="仿宋_GB2312"/>
          <w:sz w:val="24"/>
          <w:szCs w:val="24"/>
        </w:rPr>
      </w:pPr>
      <w:r>
        <w:rPr>
          <w:rFonts w:hint="eastAsia" w:ascii="仿宋_GB2312" w:hAnsi="仿宋" w:eastAsia="仿宋_GB2312"/>
          <w:sz w:val="24"/>
          <w:szCs w:val="24"/>
        </w:rPr>
        <w:t>5.质疑函的质疑请求应与质疑事项相关。</w:t>
      </w:r>
    </w:p>
    <w:p>
      <w:pPr>
        <w:adjustRightInd w:val="0"/>
        <w:spacing w:line="360" w:lineRule="auto"/>
        <w:ind w:firstLine="480" w:firstLineChars="200"/>
        <w:rPr>
          <w:rFonts w:hint="eastAsia" w:ascii="仿宋_GB2312" w:hAnsi="仿宋" w:eastAsia="仿宋_GB2312"/>
          <w:sz w:val="24"/>
          <w:szCs w:val="24"/>
        </w:rPr>
      </w:pPr>
      <w:r>
        <w:rPr>
          <w:rFonts w:hint="eastAsia" w:ascii="仿宋_GB2312" w:hAnsi="仿宋" w:eastAsia="仿宋_GB2312"/>
          <w:sz w:val="24"/>
          <w:szCs w:val="24"/>
        </w:rPr>
        <w:t>6.质疑供应商为自然人的，质疑函应由本人签字；质疑供应商为法人或者其他组织的，质疑函应由法定代表人、主要负责人，或者其授权代表签字或者盖章，并加盖公章。</w:t>
      </w:r>
    </w:p>
    <w:p>
      <w:pPr>
        <w:adjustRightInd w:val="0"/>
        <w:spacing w:line="360" w:lineRule="auto"/>
        <w:ind w:firstLine="600" w:firstLineChars="200"/>
        <w:rPr>
          <w:rFonts w:hint="eastAsia" w:ascii="仿宋_GB2312" w:hAnsi="仿宋" w:eastAsia="仿宋_GB2312"/>
          <w:sz w:val="30"/>
          <w:szCs w:val="30"/>
        </w:rPr>
      </w:pPr>
    </w:p>
    <w:p>
      <w:pPr>
        <w:widowControl w:val="0"/>
        <w:adjustRightInd w:val="0"/>
        <w:spacing w:line="360" w:lineRule="auto"/>
        <w:jc w:val="center"/>
        <w:rPr>
          <w:rFonts w:hint="eastAsia" w:ascii="仿宋_GB2312" w:hAnsi="仿宋" w:eastAsia="仿宋_GB2312"/>
          <w:b/>
          <w:spacing w:val="6"/>
          <w:sz w:val="32"/>
          <w:szCs w:val="32"/>
        </w:rPr>
      </w:pPr>
    </w:p>
    <w:p>
      <w:pPr>
        <w:widowControl w:val="0"/>
        <w:adjustRightInd w:val="0"/>
        <w:spacing w:line="360" w:lineRule="auto"/>
        <w:jc w:val="center"/>
        <w:rPr>
          <w:rFonts w:hint="eastAsia" w:ascii="仿宋_GB2312" w:hAnsi="仿宋" w:eastAsia="仿宋_GB2312"/>
          <w:b/>
          <w:spacing w:val="6"/>
          <w:sz w:val="32"/>
          <w:szCs w:val="32"/>
        </w:rPr>
      </w:pPr>
    </w:p>
    <w:p>
      <w:pPr>
        <w:widowControl w:val="0"/>
        <w:adjustRightInd w:val="0"/>
        <w:spacing w:line="360" w:lineRule="auto"/>
        <w:jc w:val="center"/>
        <w:rPr>
          <w:rFonts w:hint="eastAsia" w:ascii="仿宋_GB2312" w:hAnsi="仿宋" w:eastAsia="仿宋_GB2312"/>
          <w:b/>
          <w:spacing w:val="6"/>
          <w:sz w:val="32"/>
          <w:szCs w:val="32"/>
        </w:rPr>
      </w:pPr>
    </w:p>
    <w:p>
      <w:pPr>
        <w:widowControl w:val="0"/>
        <w:adjustRightInd w:val="0"/>
        <w:spacing w:line="360" w:lineRule="auto"/>
        <w:jc w:val="center"/>
        <w:rPr>
          <w:rFonts w:hint="eastAsia" w:ascii="仿宋_GB2312" w:hAnsi="仿宋" w:eastAsia="仿宋_GB2312"/>
          <w:b/>
          <w:spacing w:val="6"/>
          <w:sz w:val="32"/>
          <w:szCs w:val="32"/>
        </w:rPr>
      </w:pPr>
    </w:p>
    <w:p>
      <w:pPr>
        <w:widowControl w:val="0"/>
        <w:adjustRightInd w:val="0"/>
        <w:spacing w:line="360" w:lineRule="auto"/>
        <w:jc w:val="center"/>
        <w:rPr>
          <w:rFonts w:hint="eastAsia" w:ascii="仿宋_GB2312" w:hAnsi="仿宋" w:eastAsia="仿宋_GB2312"/>
          <w:b/>
          <w:spacing w:val="6"/>
          <w:sz w:val="32"/>
          <w:szCs w:val="32"/>
        </w:rPr>
      </w:pPr>
    </w:p>
    <w:p>
      <w:pPr>
        <w:widowControl w:val="0"/>
        <w:adjustRightInd w:val="0"/>
        <w:spacing w:line="360" w:lineRule="auto"/>
        <w:jc w:val="center"/>
        <w:rPr>
          <w:rFonts w:hint="eastAsia" w:ascii="仿宋_GB2312" w:hAnsi="仿宋" w:eastAsia="仿宋_GB2312"/>
          <w:b/>
          <w:spacing w:val="6"/>
          <w:sz w:val="32"/>
          <w:szCs w:val="32"/>
        </w:rPr>
      </w:pPr>
    </w:p>
    <w:p>
      <w:pPr>
        <w:widowControl w:val="0"/>
        <w:adjustRightInd w:val="0"/>
        <w:spacing w:line="360" w:lineRule="auto"/>
        <w:jc w:val="center"/>
        <w:rPr>
          <w:rFonts w:hint="eastAsia" w:ascii="仿宋_GB2312" w:hAnsi="仿宋" w:eastAsia="仿宋_GB2312"/>
          <w:b/>
          <w:spacing w:val="6"/>
          <w:sz w:val="32"/>
          <w:szCs w:val="32"/>
        </w:rPr>
      </w:pPr>
    </w:p>
    <w:p>
      <w:pPr>
        <w:widowControl w:val="0"/>
        <w:adjustRightInd w:val="0"/>
        <w:spacing w:line="360" w:lineRule="auto"/>
        <w:jc w:val="center"/>
        <w:rPr>
          <w:rFonts w:hint="eastAsia" w:ascii="仿宋_GB2312" w:hAnsi="仿宋" w:eastAsia="仿宋_GB2312"/>
          <w:b/>
          <w:spacing w:val="6"/>
          <w:sz w:val="32"/>
          <w:szCs w:val="32"/>
        </w:rPr>
      </w:pPr>
    </w:p>
    <w:p>
      <w:pPr>
        <w:widowControl w:val="0"/>
        <w:adjustRightInd w:val="0"/>
        <w:spacing w:line="360" w:lineRule="auto"/>
        <w:jc w:val="center"/>
        <w:rPr>
          <w:rFonts w:hint="eastAsia" w:ascii="仿宋_GB2312" w:hAnsi="仿宋" w:eastAsia="仿宋_GB2312"/>
          <w:b/>
          <w:spacing w:val="6"/>
          <w:sz w:val="32"/>
          <w:szCs w:val="32"/>
        </w:rPr>
      </w:pPr>
    </w:p>
    <w:p>
      <w:pPr>
        <w:widowControl w:val="0"/>
        <w:adjustRightInd w:val="0"/>
        <w:spacing w:line="360" w:lineRule="auto"/>
        <w:rPr>
          <w:rFonts w:hint="eastAsia" w:ascii="仿宋_GB2312" w:hAnsi="仿宋" w:eastAsia="仿宋_GB2312"/>
          <w:b/>
          <w:spacing w:val="6"/>
          <w:sz w:val="32"/>
          <w:szCs w:val="32"/>
        </w:rPr>
      </w:pPr>
    </w:p>
    <w:p>
      <w:pPr>
        <w:widowControl w:val="0"/>
        <w:adjustRightInd w:val="0"/>
        <w:spacing w:line="360" w:lineRule="auto"/>
        <w:rPr>
          <w:rFonts w:hint="eastAsia" w:ascii="仿宋_GB2312" w:hAnsi="仿宋" w:eastAsia="仿宋_GB2312"/>
          <w:b/>
          <w:spacing w:val="6"/>
          <w:sz w:val="32"/>
          <w:szCs w:val="32"/>
        </w:rPr>
      </w:pPr>
    </w:p>
    <w:p>
      <w:pPr>
        <w:widowControl w:val="0"/>
        <w:adjustRightInd w:val="0"/>
        <w:spacing w:line="360" w:lineRule="auto"/>
        <w:rPr>
          <w:rFonts w:hint="eastAsia" w:ascii="仿宋_GB2312" w:hAnsi="仿宋" w:eastAsia="仿宋_GB2312"/>
          <w:b/>
          <w:spacing w:val="6"/>
          <w:sz w:val="32"/>
          <w:szCs w:val="32"/>
        </w:rPr>
      </w:pPr>
      <w:r>
        <w:rPr>
          <w:rFonts w:hint="eastAsia" w:ascii="仿宋_GB2312" w:hAnsi="仿宋" w:eastAsia="仿宋_GB2312"/>
          <w:b/>
          <w:spacing w:val="6"/>
          <w:sz w:val="32"/>
          <w:szCs w:val="32"/>
        </w:rPr>
        <w:t>附件6：投诉书范本及制作说明</w:t>
      </w:r>
    </w:p>
    <w:p>
      <w:pPr>
        <w:widowControl w:val="0"/>
        <w:adjustRightInd w:val="0"/>
        <w:spacing w:line="360" w:lineRule="auto"/>
        <w:jc w:val="center"/>
        <w:rPr>
          <w:rFonts w:hint="eastAsia" w:ascii="仿宋_GB2312" w:hAnsi="仿宋" w:eastAsia="仿宋_GB2312"/>
          <w:b/>
          <w:sz w:val="24"/>
          <w:szCs w:val="24"/>
        </w:rPr>
      </w:pPr>
    </w:p>
    <w:p>
      <w:pPr>
        <w:widowControl w:val="0"/>
        <w:adjustRightInd w:val="0"/>
        <w:spacing w:line="360" w:lineRule="auto"/>
        <w:jc w:val="center"/>
        <w:rPr>
          <w:rFonts w:hint="eastAsia" w:ascii="仿宋_GB2312" w:hAnsi="仿宋" w:eastAsia="仿宋_GB2312"/>
          <w:b/>
          <w:spacing w:val="6"/>
          <w:sz w:val="32"/>
          <w:szCs w:val="32"/>
        </w:rPr>
      </w:pPr>
      <w:r>
        <w:rPr>
          <w:rFonts w:hint="eastAsia" w:ascii="仿宋_GB2312" w:hAnsi="仿宋" w:eastAsia="仿宋_GB2312"/>
          <w:b/>
          <w:spacing w:val="6"/>
          <w:sz w:val="32"/>
          <w:szCs w:val="32"/>
        </w:rPr>
        <w:t>投诉书范本</w:t>
      </w:r>
    </w:p>
    <w:p>
      <w:pPr>
        <w:widowControl w:val="0"/>
        <w:adjustRightInd w:val="0"/>
        <w:spacing w:line="360" w:lineRule="auto"/>
        <w:jc w:val="both"/>
        <w:rPr>
          <w:rFonts w:hint="eastAsia" w:ascii="仿宋_GB2312" w:hAnsi="仿宋" w:eastAsia="仿宋_GB2312"/>
          <w:sz w:val="24"/>
          <w:szCs w:val="24"/>
        </w:rPr>
      </w:pPr>
      <w:r>
        <w:rPr>
          <w:rFonts w:hint="eastAsia" w:ascii="仿宋_GB2312" w:hAnsi="仿宋" w:eastAsia="仿宋_GB2312"/>
          <w:sz w:val="24"/>
          <w:szCs w:val="24"/>
        </w:rPr>
        <w:t>一、投诉相关主体基本情况</w:t>
      </w:r>
    </w:p>
    <w:p>
      <w:pPr>
        <w:widowControl w:val="0"/>
        <w:adjustRightInd w:val="0"/>
        <w:spacing w:line="360" w:lineRule="auto"/>
        <w:jc w:val="both"/>
        <w:rPr>
          <w:rFonts w:hint="eastAsia" w:ascii="仿宋_GB2312" w:hAnsi="仿宋" w:eastAsia="仿宋_GB2312"/>
          <w:sz w:val="24"/>
          <w:szCs w:val="24"/>
          <w:u w:val="dotted"/>
        </w:rPr>
      </w:pPr>
      <w:r>
        <w:rPr>
          <w:rFonts w:hint="eastAsia" w:ascii="仿宋_GB2312" w:hAnsi="仿宋" w:eastAsia="仿宋_GB2312"/>
          <w:sz w:val="24"/>
          <w:szCs w:val="24"/>
        </w:rPr>
        <w:t>投诉人：</w:t>
      </w:r>
      <w:r>
        <w:rPr>
          <w:rFonts w:hint="eastAsia" w:ascii="仿宋_GB2312" w:hAnsi="仿宋" w:eastAsia="仿宋_GB2312"/>
          <w:sz w:val="24"/>
          <w:szCs w:val="24"/>
          <w:u w:val="dotted"/>
        </w:rPr>
        <w:t xml:space="preserve">                                               </w:t>
      </w:r>
    </w:p>
    <w:p>
      <w:pPr>
        <w:widowControl w:val="0"/>
        <w:adjustRightInd w:val="0"/>
        <w:spacing w:line="360" w:lineRule="auto"/>
        <w:jc w:val="both"/>
        <w:rPr>
          <w:rFonts w:hint="eastAsia" w:ascii="仿宋_GB2312" w:hAnsi="仿宋" w:eastAsia="仿宋_GB2312"/>
          <w:sz w:val="24"/>
          <w:szCs w:val="24"/>
          <w:u w:val="single"/>
        </w:rPr>
      </w:pPr>
      <w:r>
        <w:rPr>
          <w:rFonts w:hint="eastAsia" w:ascii="仿宋_GB2312" w:hAnsi="仿宋" w:eastAsia="仿宋_GB2312"/>
          <w:sz w:val="24"/>
          <w:szCs w:val="24"/>
        </w:rPr>
        <w:t>地     址：</w:t>
      </w:r>
      <w:r>
        <w:rPr>
          <w:rFonts w:hint="eastAsia" w:ascii="仿宋_GB2312" w:hAnsi="仿宋" w:eastAsia="仿宋_GB2312"/>
          <w:sz w:val="24"/>
          <w:szCs w:val="24"/>
          <w:u w:val="dotted"/>
        </w:rPr>
        <w:t xml:space="preserve">                             </w:t>
      </w:r>
      <w:r>
        <w:rPr>
          <w:rFonts w:hint="eastAsia" w:ascii="仿宋_GB2312" w:hAnsi="仿宋" w:eastAsia="仿宋_GB2312"/>
          <w:sz w:val="24"/>
          <w:szCs w:val="24"/>
        </w:rPr>
        <w:t>邮编：</w:t>
      </w:r>
      <w:r>
        <w:rPr>
          <w:rFonts w:hint="eastAsia" w:ascii="仿宋_GB2312" w:hAnsi="仿宋" w:eastAsia="仿宋_GB2312"/>
          <w:sz w:val="24"/>
          <w:szCs w:val="24"/>
          <w:u w:val="dotted"/>
        </w:rPr>
        <w:t xml:space="preserve">         </w:t>
      </w:r>
      <w:r>
        <w:rPr>
          <w:rFonts w:hint="eastAsia" w:ascii="仿宋_GB2312" w:hAnsi="仿宋" w:eastAsia="仿宋_GB2312"/>
          <w:sz w:val="24"/>
          <w:szCs w:val="24"/>
          <w:u w:val="single"/>
        </w:rPr>
        <w:t xml:space="preserve">   </w:t>
      </w:r>
    </w:p>
    <w:p>
      <w:pPr>
        <w:widowControl w:val="0"/>
        <w:tabs>
          <w:tab w:val="left" w:pos="6510"/>
        </w:tabs>
        <w:adjustRightInd w:val="0"/>
        <w:spacing w:line="360" w:lineRule="auto"/>
        <w:rPr>
          <w:rFonts w:hint="eastAsia" w:ascii="仿宋_GB2312" w:hAnsi="仿宋" w:eastAsia="仿宋_GB2312"/>
          <w:sz w:val="24"/>
          <w:szCs w:val="24"/>
        </w:rPr>
      </w:pPr>
      <w:r>
        <w:rPr>
          <w:rFonts w:hint="eastAsia" w:ascii="仿宋_GB2312" w:hAnsi="仿宋" w:eastAsia="仿宋_GB2312"/>
          <w:sz w:val="24"/>
          <w:szCs w:val="24"/>
        </w:rPr>
        <w:t>法定代表人/主要负责人：</w:t>
      </w:r>
      <w:r>
        <w:rPr>
          <w:rFonts w:hint="eastAsia" w:ascii="仿宋_GB2312" w:hAnsi="仿宋" w:eastAsia="仿宋_GB2312"/>
          <w:sz w:val="24"/>
          <w:szCs w:val="24"/>
          <w:u w:val="dotted"/>
        </w:rPr>
        <w:t xml:space="preserve">                                   </w:t>
      </w:r>
      <w:r>
        <w:rPr>
          <w:rFonts w:hint="eastAsia" w:ascii="仿宋_GB2312" w:hAnsi="仿宋" w:eastAsia="仿宋_GB2312"/>
          <w:sz w:val="24"/>
          <w:szCs w:val="24"/>
        </w:rPr>
        <w:t xml:space="preserve">  </w:t>
      </w:r>
    </w:p>
    <w:p>
      <w:pPr>
        <w:widowControl w:val="0"/>
        <w:tabs>
          <w:tab w:val="left" w:pos="6510"/>
        </w:tabs>
        <w:adjustRightInd w:val="0"/>
        <w:spacing w:line="360" w:lineRule="auto"/>
        <w:jc w:val="both"/>
        <w:rPr>
          <w:rFonts w:hint="eastAsia" w:ascii="仿宋_GB2312" w:hAnsi="仿宋" w:eastAsia="仿宋_GB2312"/>
          <w:sz w:val="24"/>
          <w:szCs w:val="24"/>
          <w:u w:val="dotted"/>
        </w:rPr>
      </w:pPr>
      <w:r>
        <w:rPr>
          <w:rFonts w:hint="eastAsia" w:ascii="仿宋_GB2312" w:hAnsi="仿宋" w:eastAsia="仿宋_GB2312"/>
          <w:sz w:val="24"/>
          <w:szCs w:val="24"/>
        </w:rPr>
        <w:t>联系电话：</w:t>
      </w:r>
      <w:r>
        <w:rPr>
          <w:rFonts w:hint="eastAsia" w:ascii="仿宋_GB2312" w:hAnsi="仿宋" w:eastAsia="仿宋_GB2312"/>
          <w:sz w:val="24"/>
          <w:szCs w:val="24"/>
          <w:u w:val="dotted"/>
        </w:rPr>
        <w:t xml:space="preserve">                                             </w:t>
      </w:r>
    </w:p>
    <w:p>
      <w:pPr>
        <w:widowControl w:val="0"/>
        <w:adjustRightInd w:val="0"/>
        <w:spacing w:line="360" w:lineRule="auto"/>
        <w:jc w:val="both"/>
        <w:rPr>
          <w:rFonts w:hint="eastAsia" w:ascii="仿宋_GB2312" w:hAnsi="仿宋" w:eastAsia="仿宋_GB2312"/>
          <w:sz w:val="24"/>
          <w:szCs w:val="24"/>
          <w:u w:val="dotted"/>
        </w:rPr>
      </w:pPr>
      <w:r>
        <w:rPr>
          <w:rFonts w:hint="eastAsia" w:ascii="仿宋_GB2312" w:hAnsi="仿宋" w:eastAsia="仿宋_GB2312"/>
          <w:sz w:val="24"/>
          <w:szCs w:val="24"/>
        </w:rPr>
        <w:t>授权代表：</w:t>
      </w:r>
      <w:r>
        <w:rPr>
          <w:rFonts w:hint="eastAsia" w:ascii="仿宋_GB2312" w:hAnsi="仿宋" w:eastAsia="仿宋_GB2312"/>
          <w:sz w:val="24"/>
          <w:szCs w:val="24"/>
          <w:u w:val="dotted"/>
        </w:rPr>
        <w:t xml:space="preserve">             </w:t>
      </w:r>
      <w:r>
        <w:rPr>
          <w:rFonts w:hint="eastAsia" w:ascii="仿宋_GB2312" w:hAnsi="仿宋" w:eastAsia="仿宋_GB2312"/>
          <w:sz w:val="24"/>
          <w:szCs w:val="24"/>
        </w:rPr>
        <w:t>联系电话</w:t>
      </w:r>
      <w:r>
        <w:rPr>
          <w:rFonts w:hint="eastAsia" w:ascii="仿宋_GB2312" w:hAnsi="仿宋" w:eastAsia="仿宋_GB2312"/>
          <w:sz w:val="24"/>
          <w:szCs w:val="24"/>
          <w:u w:val="dotted"/>
        </w:rPr>
        <w:t xml:space="preserve">：                  </w:t>
      </w:r>
    </w:p>
    <w:p>
      <w:pPr>
        <w:widowControl w:val="0"/>
        <w:adjustRightInd w:val="0"/>
        <w:spacing w:line="360" w:lineRule="auto"/>
        <w:jc w:val="both"/>
        <w:rPr>
          <w:rFonts w:hint="eastAsia" w:ascii="仿宋_GB2312" w:hAnsi="仿宋" w:eastAsia="仿宋_GB2312"/>
          <w:sz w:val="24"/>
          <w:szCs w:val="24"/>
          <w:u w:val="dotted"/>
        </w:rPr>
      </w:pPr>
      <w:r>
        <w:rPr>
          <w:rFonts w:hint="eastAsia" w:ascii="仿宋_GB2312" w:hAnsi="仿宋" w:eastAsia="仿宋_GB2312"/>
          <w:sz w:val="24"/>
          <w:szCs w:val="24"/>
        </w:rPr>
        <w:t>地     址：</w:t>
      </w:r>
      <w:r>
        <w:rPr>
          <w:rFonts w:hint="eastAsia" w:ascii="仿宋_GB2312" w:hAnsi="仿宋" w:eastAsia="仿宋_GB2312"/>
          <w:sz w:val="24"/>
          <w:szCs w:val="24"/>
          <w:u w:val="dotted"/>
        </w:rPr>
        <w:t xml:space="preserve">                             </w:t>
      </w:r>
      <w:r>
        <w:rPr>
          <w:rFonts w:hint="eastAsia" w:ascii="仿宋_GB2312" w:hAnsi="仿宋" w:eastAsia="仿宋_GB2312"/>
          <w:sz w:val="24"/>
          <w:szCs w:val="24"/>
        </w:rPr>
        <w:t>邮编：</w:t>
      </w:r>
      <w:r>
        <w:rPr>
          <w:rFonts w:hint="eastAsia" w:ascii="仿宋_GB2312" w:hAnsi="仿宋" w:eastAsia="仿宋_GB2312"/>
          <w:sz w:val="24"/>
          <w:szCs w:val="24"/>
          <w:u w:val="dotted"/>
        </w:rPr>
        <w:t xml:space="preserve">         </w:t>
      </w:r>
      <w:r>
        <w:rPr>
          <w:rFonts w:hint="eastAsia" w:ascii="仿宋_GB2312" w:hAnsi="仿宋" w:eastAsia="仿宋_GB2312"/>
          <w:sz w:val="24"/>
          <w:szCs w:val="24"/>
          <w:u w:val="single"/>
        </w:rPr>
        <w:t xml:space="preserve"> </w:t>
      </w:r>
      <w:r>
        <w:rPr>
          <w:rFonts w:hint="eastAsia" w:ascii="仿宋_GB2312" w:hAnsi="仿宋" w:eastAsia="仿宋_GB2312"/>
          <w:sz w:val="24"/>
          <w:szCs w:val="24"/>
          <w:u w:val="dotted"/>
        </w:rPr>
        <w:t xml:space="preserve">                   </w:t>
      </w:r>
    </w:p>
    <w:p>
      <w:pPr>
        <w:widowControl w:val="0"/>
        <w:adjustRightInd w:val="0"/>
        <w:spacing w:line="360" w:lineRule="auto"/>
        <w:jc w:val="both"/>
        <w:rPr>
          <w:rFonts w:hint="eastAsia" w:ascii="仿宋_GB2312" w:hAnsi="仿宋" w:eastAsia="仿宋_GB2312"/>
          <w:sz w:val="24"/>
          <w:szCs w:val="24"/>
          <w:u w:val="single"/>
        </w:rPr>
      </w:pPr>
      <w:r>
        <w:rPr>
          <w:rFonts w:hint="eastAsia" w:ascii="仿宋_GB2312" w:hAnsi="仿宋" w:eastAsia="仿宋_GB2312"/>
          <w:sz w:val="24"/>
          <w:szCs w:val="24"/>
        </w:rPr>
        <w:t>被投诉人1：</w:t>
      </w:r>
      <w:r>
        <w:rPr>
          <w:rFonts w:hint="eastAsia" w:ascii="仿宋_GB2312" w:hAnsi="仿宋" w:eastAsia="仿宋_GB2312"/>
          <w:sz w:val="24"/>
          <w:szCs w:val="24"/>
          <w:u w:val="dotted"/>
        </w:rPr>
        <w:t xml:space="preserve">                                           </w:t>
      </w:r>
      <w:r>
        <w:rPr>
          <w:rFonts w:hint="eastAsia" w:ascii="仿宋_GB2312" w:hAnsi="仿宋" w:eastAsia="仿宋_GB2312"/>
          <w:sz w:val="24"/>
          <w:szCs w:val="24"/>
          <w:u w:val="single"/>
        </w:rPr>
        <w:t xml:space="preserve">  </w:t>
      </w:r>
    </w:p>
    <w:p>
      <w:pPr>
        <w:widowControl w:val="0"/>
        <w:adjustRightInd w:val="0"/>
        <w:spacing w:line="360" w:lineRule="auto"/>
        <w:jc w:val="both"/>
        <w:rPr>
          <w:rFonts w:hint="eastAsia" w:ascii="仿宋_GB2312" w:hAnsi="仿宋" w:eastAsia="仿宋_GB2312"/>
          <w:sz w:val="24"/>
          <w:szCs w:val="24"/>
          <w:u w:val="single"/>
        </w:rPr>
      </w:pPr>
      <w:r>
        <w:rPr>
          <w:rFonts w:hint="eastAsia" w:ascii="仿宋_GB2312" w:hAnsi="仿宋" w:eastAsia="仿宋_GB2312"/>
          <w:sz w:val="24"/>
          <w:szCs w:val="24"/>
        </w:rPr>
        <w:t>地     址：</w:t>
      </w:r>
      <w:r>
        <w:rPr>
          <w:rFonts w:hint="eastAsia" w:ascii="仿宋_GB2312" w:hAnsi="仿宋" w:eastAsia="仿宋_GB2312"/>
          <w:sz w:val="24"/>
          <w:szCs w:val="24"/>
          <w:u w:val="dotted"/>
        </w:rPr>
        <w:t xml:space="preserve">                             </w:t>
      </w:r>
      <w:r>
        <w:rPr>
          <w:rFonts w:hint="eastAsia" w:ascii="仿宋_GB2312" w:hAnsi="仿宋" w:eastAsia="仿宋_GB2312"/>
          <w:sz w:val="24"/>
          <w:szCs w:val="24"/>
        </w:rPr>
        <w:t>邮编：</w:t>
      </w:r>
      <w:r>
        <w:rPr>
          <w:rFonts w:hint="eastAsia" w:ascii="仿宋_GB2312" w:hAnsi="仿宋" w:eastAsia="仿宋_GB2312"/>
          <w:sz w:val="24"/>
          <w:szCs w:val="24"/>
          <w:u w:val="dotted"/>
        </w:rPr>
        <w:t xml:space="preserve">          </w:t>
      </w:r>
      <w:r>
        <w:rPr>
          <w:rFonts w:hint="eastAsia" w:ascii="仿宋_GB2312" w:hAnsi="仿宋" w:eastAsia="仿宋_GB2312"/>
          <w:sz w:val="24"/>
          <w:szCs w:val="24"/>
          <w:u w:val="single"/>
        </w:rPr>
        <w:t xml:space="preserve"> </w:t>
      </w:r>
    </w:p>
    <w:p>
      <w:pPr>
        <w:widowControl w:val="0"/>
        <w:adjustRightInd w:val="0"/>
        <w:spacing w:line="360" w:lineRule="auto"/>
        <w:jc w:val="both"/>
        <w:rPr>
          <w:rFonts w:hint="eastAsia" w:ascii="仿宋_GB2312" w:hAnsi="仿宋" w:eastAsia="仿宋_GB2312"/>
          <w:sz w:val="24"/>
          <w:szCs w:val="24"/>
          <w:u w:val="single"/>
        </w:rPr>
      </w:pPr>
      <w:r>
        <w:rPr>
          <w:rFonts w:hint="eastAsia" w:ascii="仿宋_GB2312" w:hAnsi="仿宋" w:eastAsia="仿宋_GB2312"/>
          <w:sz w:val="24"/>
          <w:szCs w:val="24"/>
        </w:rPr>
        <w:t>联系人：</w:t>
      </w:r>
      <w:r>
        <w:rPr>
          <w:rFonts w:hint="eastAsia" w:ascii="仿宋_GB2312" w:hAnsi="仿宋" w:eastAsia="仿宋_GB2312"/>
          <w:sz w:val="24"/>
          <w:szCs w:val="24"/>
          <w:u w:val="dotted"/>
        </w:rPr>
        <w:t xml:space="preserve">               </w:t>
      </w:r>
      <w:r>
        <w:rPr>
          <w:rFonts w:hint="eastAsia" w:ascii="仿宋_GB2312" w:hAnsi="仿宋" w:eastAsia="仿宋_GB2312"/>
          <w:sz w:val="24"/>
          <w:szCs w:val="24"/>
        </w:rPr>
        <w:t>联系电话：</w:t>
      </w:r>
      <w:r>
        <w:rPr>
          <w:rFonts w:hint="eastAsia" w:ascii="仿宋_GB2312" w:hAnsi="仿宋" w:eastAsia="仿宋_GB2312"/>
          <w:sz w:val="24"/>
          <w:szCs w:val="24"/>
          <w:u w:val="dotted"/>
        </w:rPr>
        <w:t xml:space="preserve">                      </w:t>
      </w:r>
      <w:r>
        <w:rPr>
          <w:rFonts w:hint="eastAsia" w:ascii="仿宋_GB2312" w:hAnsi="仿宋" w:eastAsia="仿宋_GB2312"/>
          <w:sz w:val="24"/>
          <w:szCs w:val="24"/>
          <w:u w:val="single"/>
        </w:rPr>
        <w:t xml:space="preserve"> </w:t>
      </w:r>
    </w:p>
    <w:p>
      <w:pPr>
        <w:widowControl w:val="0"/>
        <w:adjustRightInd w:val="0"/>
        <w:spacing w:line="360" w:lineRule="auto"/>
        <w:jc w:val="both"/>
        <w:rPr>
          <w:rFonts w:hint="eastAsia" w:ascii="仿宋_GB2312" w:hAnsi="仿宋" w:eastAsia="仿宋_GB2312"/>
          <w:sz w:val="24"/>
          <w:szCs w:val="24"/>
        </w:rPr>
      </w:pPr>
      <w:r>
        <w:rPr>
          <w:rFonts w:hint="eastAsia" w:ascii="仿宋_GB2312" w:hAnsi="仿宋" w:eastAsia="仿宋_GB2312"/>
          <w:sz w:val="24"/>
          <w:szCs w:val="24"/>
        </w:rPr>
        <w:t>被投诉人2</w:t>
      </w:r>
    </w:p>
    <w:p>
      <w:pPr>
        <w:widowControl w:val="0"/>
        <w:adjustRightInd w:val="0"/>
        <w:spacing w:line="360" w:lineRule="auto"/>
        <w:jc w:val="both"/>
        <w:rPr>
          <w:rFonts w:hint="eastAsia" w:ascii="仿宋_GB2312" w:hAnsi="仿宋" w:eastAsia="仿宋_GB2312"/>
          <w:sz w:val="24"/>
          <w:szCs w:val="24"/>
          <w:u w:val="dotted"/>
        </w:rPr>
      </w:pPr>
      <w:r>
        <w:rPr>
          <w:rFonts w:hint="eastAsia" w:ascii="仿宋_GB2312" w:hAnsi="仿宋" w:eastAsia="仿宋_GB2312"/>
          <w:sz w:val="24"/>
          <w:szCs w:val="24"/>
        </w:rPr>
        <w:t>……</w:t>
      </w:r>
    </w:p>
    <w:p>
      <w:pPr>
        <w:widowControl w:val="0"/>
        <w:adjustRightInd w:val="0"/>
        <w:spacing w:line="360" w:lineRule="auto"/>
        <w:jc w:val="both"/>
        <w:rPr>
          <w:rFonts w:hint="eastAsia" w:ascii="仿宋_GB2312" w:hAnsi="仿宋" w:eastAsia="仿宋_GB2312"/>
          <w:sz w:val="24"/>
          <w:szCs w:val="24"/>
          <w:u w:val="single"/>
        </w:rPr>
      </w:pPr>
      <w:r>
        <w:rPr>
          <w:rFonts w:hint="eastAsia" w:ascii="仿宋_GB2312" w:hAnsi="仿宋" w:eastAsia="仿宋_GB2312"/>
          <w:sz w:val="24"/>
          <w:szCs w:val="24"/>
        </w:rPr>
        <w:t>相关供应商：</w:t>
      </w:r>
      <w:r>
        <w:rPr>
          <w:rFonts w:hint="eastAsia" w:ascii="仿宋_GB2312" w:hAnsi="仿宋" w:eastAsia="仿宋_GB2312"/>
          <w:sz w:val="24"/>
          <w:szCs w:val="24"/>
          <w:u w:val="dotted"/>
        </w:rPr>
        <w:t xml:space="preserve">                                           </w:t>
      </w:r>
      <w:r>
        <w:rPr>
          <w:rFonts w:hint="eastAsia" w:ascii="仿宋_GB2312" w:hAnsi="仿宋" w:eastAsia="仿宋_GB2312"/>
          <w:sz w:val="24"/>
          <w:szCs w:val="24"/>
          <w:u w:val="single"/>
        </w:rPr>
        <w:t xml:space="preserve">    </w:t>
      </w:r>
    </w:p>
    <w:p>
      <w:pPr>
        <w:widowControl w:val="0"/>
        <w:adjustRightInd w:val="0"/>
        <w:spacing w:line="360" w:lineRule="auto"/>
        <w:jc w:val="both"/>
        <w:rPr>
          <w:rFonts w:hint="eastAsia" w:ascii="仿宋_GB2312" w:hAnsi="仿宋" w:eastAsia="仿宋_GB2312"/>
          <w:sz w:val="24"/>
          <w:szCs w:val="24"/>
          <w:u w:val="single"/>
        </w:rPr>
      </w:pPr>
      <w:r>
        <w:rPr>
          <w:rFonts w:hint="eastAsia" w:ascii="仿宋_GB2312" w:hAnsi="仿宋" w:eastAsia="仿宋_GB2312"/>
          <w:sz w:val="24"/>
          <w:szCs w:val="24"/>
        </w:rPr>
        <w:t>地     址：</w:t>
      </w:r>
      <w:r>
        <w:rPr>
          <w:rFonts w:hint="eastAsia" w:ascii="仿宋_GB2312" w:hAnsi="仿宋" w:eastAsia="仿宋_GB2312"/>
          <w:sz w:val="24"/>
          <w:szCs w:val="24"/>
          <w:u w:val="dotted"/>
        </w:rPr>
        <w:t xml:space="preserve">                             </w:t>
      </w:r>
      <w:r>
        <w:rPr>
          <w:rFonts w:hint="eastAsia" w:ascii="仿宋_GB2312" w:hAnsi="仿宋" w:eastAsia="仿宋_GB2312"/>
          <w:sz w:val="24"/>
          <w:szCs w:val="24"/>
        </w:rPr>
        <w:t>邮编：</w:t>
      </w:r>
      <w:r>
        <w:rPr>
          <w:rFonts w:hint="eastAsia" w:ascii="仿宋_GB2312" w:hAnsi="仿宋" w:eastAsia="仿宋_GB2312"/>
          <w:sz w:val="24"/>
          <w:szCs w:val="24"/>
          <w:u w:val="dotted"/>
        </w:rPr>
        <w:t xml:space="preserve">          </w:t>
      </w:r>
      <w:r>
        <w:rPr>
          <w:rFonts w:hint="eastAsia" w:ascii="仿宋_GB2312" w:hAnsi="仿宋" w:eastAsia="仿宋_GB2312"/>
          <w:sz w:val="24"/>
          <w:szCs w:val="24"/>
          <w:u w:val="single"/>
        </w:rPr>
        <w:t xml:space="preserve"> </w:t>
      </w:r>
    </w:p>
    <w:p>
      <w:pPr>
        <w:widowControl w:val="0"/>
        <w:adjustRightInd w:val="0"/>
        <w:spacing w:line="360" w:lineRule="auto"/>
        <w:jc w:val="both"/>
        <w:rPr>
          <w:rFonts w:hint="eastAsia" w:ascii="仿宋_GB2312" w:hAnsi="仿宋" w:eastAsia="仿宋_GB2312"/>
          <w:sz w:val="24"/>
          <w:szCs w:val="24"/>
          <w:u w:val="single"/>
        </w:rPr>
      </w:pPr>
      <w:r>
        <w:rPr>
          <w:rFonts w:hint="eastAsia" w:ascii="仿宋_GB2312" w:hAnsi="仿宋" w:eastAsia="仿宋_GB2312"/>
          <w:sz w:val="24"/>
          <w:szCs w:val="24"/>
        </w:rPr>
        <w:t>联系人：</w:t>
      </w:r>
      <w:r>
        <w:rPr>
          <w:rFonts w:hint="eastAsia" w:ascii="仿宋_GB2312" w:hAnsi="仿宋" w:eastAsia="仿宋_GB2312"/>
          <w:sz w:val="24"/>
          <w:szCs w:val="24"/>
          <w:u w:val="dotted"/>
        </w:rPr>
        <w:t xml:space="preserve">               </w:t>
      </w:r>
      <w:r>
        <w:rPr>
          <w:rFonts w:hint="eastAsia" w:ascii="仿宋_GB2312" w:hAnsi="仿宋" w:eastAsia="仿宋_GB2312"/>
          <w:sz w:val="24"/>
          <w:szCs w:val="24"/>
        </w:rPr>
        <w:t>联系电话：</w:t>
      </w:r>
      <w:r>
        <w:rPr>
          <w:rFonts w:hint="eastAsia" w:ascii="仿宋_GB2312" w:hAnsi="仿宋" w:eastAsia="仿宋_GB2312"/>
          <w:sz w:val="24"/>
          <w:szCs w:val="24"/>
          <w:u w:val="dotted"/>
        </w:rPr>
        <w:t xml:space="preserve">                      </w:t>
      </w:r>
      <w:r>
        <w:rPr>
          <w:rFonts w:hint="eastAsia" w:ascii="仿宋_GB2312" w:hAnsi="仿宋" w:eastAsia="仿宋_GB2312"/>
          <w:sz w:val="24"/>
          <w:szCs w:val="24"/>
          <w:u w:val="single"/>
        </w:rPr>
        <w:t xml:space="preserve">      </w:t>
      </w:r>
    </w:p>
    <w:p>
      <w:pPr>
        <w:widowControl w:val="0"/>
        <w:adjustRightInd w:val="0"/>
        <w:spacing w:line="360" w:lineRule="auto"/>
        <w:jc w:val="both"/>
        <w:rPr>
          <w:rFonts w:hint="eastAsia" w:ascii="仿宋_GB2312" w:hAnsi="仿宋" w:eastAsia="仿宋_GB2312"/>
          <w:sz w:val="24"/>
          <w:szCs w:val="24"/>
        </w:rPr>
      </w:pPr>
      <w:r>
        <w:rPr>
          <w:rFonts w:hint="eastAsia" w:ascii="仿宋_GB2312" w:hAnsi="仿宋" w:eastAsia="仿宋_GB2312"/>
          <w:sz w:val="24"/>
          <w:szCs w:val="24"/>
        </w:rPr>
        <w:t>二、投诉项目基本情况</w:t>
      </w:r>
    </w:p>
    <w:p>
      <w:pPr>
        <w:widowControl w:val="0"/>
        <w:adjustRightInd w:val="0"/>
        <w:spacing w:line="360" w:lineRule="auto"/>
        <w:jc w:val="both"/>
        <w:rPr>
          <w:rFonts w:hint="eastAsia" w:ascii="仿宋_GB2312" w:hAnsi="仿宋" w:eastAsia="仿宋_GB2312"/>
          <w:sz w:val="24"/>
          <w:szCs w:val="24"/>
          <w:u w:val="dotted"/>
        </w:rPr>
      </w:pPr>
      <w:r>
        <w:rPr>
          <w:rFonts w:hint="eastAsia" w:ascii="仿宋_GB2312" w:hAnsi="仿宋" w:eastAsia="仿宋_GB2312"/>
          <w:sz w:val="24"/>
          <w:szCs w:val="24"/>
        </w:rPr>
        <w:t>采购项目名称：</w:t>
      </w:r>
      <w:r>
        <w:rPr>
          <w:rFonts w:hint="eastAsia" w:ascii="仿宋_GB2312" w:hAnsi="仿宋" w:eastAsia="仿宋_GB2312"/>
          <w:sz w:val="24"/>
          <w:szCs w:val="24"/>
          <w:u w:val="dotted"/>
        </w:rPr>
        <w:t xml:space="preserve">                                        </w:t>
      </w:r>
    </w:p>
    <w:p>
      <w:pPr>
        <w:widowControl w:val="0"/>
        <w:adjustRightInd w:val="0"/>
        <w:spacing w:line="360" w:lineRule="auto"/>
        <w:jc w:val="both"/>
        <w:rPr>
          <w:rFonts w:hint="eastAsia" w:ascii="仿宋_GB2312" w:hAnsi="仿宋" w:eastAsia="仿宋_GB2312"/>
          <w:sz w:val="24"/>
          <w:szCs w:val="24"/>
          <w:u w:val="single"/>
        </w:rPr>
      </w:pPr>
      <w:r>
        <w:rPr>
          <w:rFonts w:hint="eastAsia" w:ascii="仿宋_GB2312" w:hAnsi="仿宋" w:eastAsia="仿宋_GB2312"/>
          <w:sz w:val="24"/>
          <w:szCs w:val="24"/>
        </w:rPr>
        <w:t>采购项目编号：</w:t>
      </w:r>
      <w:r>
        <w:rPr>
          <w:rFonts w:hint="eastAsia" w:ascii="仿宋_GB2312" w:hAnsi="仿宋" w:eastAsia="仿宋_GB2312"/>
          <w:sz w:val="24"/>
          <w:szCs w:val="24"/>
          <w:u w:val="dotted"/>
        </w:rPr>
        <w:t xml:space="preserve">                 </w:t>
      </w:r>
      <w:r>
        <w:rPr>
          <w:rFonts w:hint="eastAsia" w:ascii="仿宋_GB2312" w:hAnsi="仿宋" w:eastAsia="仿宋_GB2312"/>
          <w:sz w:val="24"/>
          <w:szCs w:val="24"/>
        </w:rPr>
        <w:t>包号：</w:t>
      </w:r>
      <w:r>
        <w:rPr>
          <w:rFonts w:hint="eastAsia" w:ascii="仿宋_GB2312" w:hAnsi="仿宋" w:eastAsia="仿宋_GB2312"/>
          <w:sz w:val="24"/>
          <w:szCs w:val="24"/>
          <w:u w:val="dotted"/>
        </w:rPr>
        <w:t xml:space="preserve">              </w:t>
      </w:r>
    </w:p>
    <w:p>
      <w:pPr>
        <w:widowControl w:val="0"/>
        <w:adjustRightInd w:val="0"/>
        <w:spacing w:line="360" w:lineRule="auto"/>
        <w:jc w:val="both"/>
        <w:rPr>
          <w:rFonts w:hint="eastAsia" w:ascii="仿宋_GB2312" w:hAnsi="仿宋" w:eastAsia="仿宋_GB2312"/>
          <w:sz w:val="24"/>
          <w:szCs w:val="24"/>
        </w:rPr>
      </w:pPr>
      <w:r>
        <w:rPr>
          <w:rFonts w:hint="eastAsia" w:ascii="仿宋_GB2312" w:hAnsi="仿宋" w:eastAsia="仿宋_GB2312"/>
          <w:sz w:val="24"/>
          <w:szCs w:val="24"/>
        </w:rPr>
        <w:t>采购人名称：</w:t>
      </w:r>
      <w:r>
        <w:rPr>
          <w:rFonts w:hint="eastAsia" w:ascii="仿宋_GB2312" w:hAnsi="仿宋" w:eastAsia="仿宋_GB2312"/>
          <w:sz w:val="24"/>
          <w:szCs w:val="24"/>
          <w:u w:val="dotted"/>
        </w:rPr>
        <w:t xml:space="preserve">                                           </w:t>
      </w:r>
      <w:r>
        <w:rPr>
          <w:rFonts w:hint="eastAsia" w:ascii="仿宋_GB2312" w:hAnsi="仿宋" w:eastAsia="仿宋_GB2312"/>
          <w:sz w:val="24"/>
          <w:szCs w:val="24"/>
          <w:u w:val="single"/>
        </w:rPr>
        <w:t xml:space="preserve">  </w:t>
      </w:r>
    </w:p>
    <w:p>
      <w:pPr>
        <w:widowControl w:val="0"/>
        <w:adjustRightInd w:val="0"/>
        <w:spacing w:line="360" w:lineRule="auto"/>
        <w:jc w:val="both"/>
        <w:rPr>
          <w:rFonts w:hint="eastAsia" w:ascii="仿宋_GB2312" w:hAnsi="仿宋" w:eastAsia="仿宋_GB2312"/>
          <w:sz w:val="24"/>
          <w:szCs w:val="24"/>
          <w:u w:val="single"/>
        </w:rPr>
      </w:pPr>
      <w:r>
        <w:rPr>
          <w:rFonts w:hint="eastAsia" w:ascii="仿宋_GB2312" w:hAnsi="仿宋" w:eastAsia="仿宋_GB2312"/>
          <w:sz w:val="24"/>
          <w:szCs w:val="24"/>
        </w:rPr>
        <w:t>代理机构名称：</w:t>
      </w:r>
      <w:r>
        <w:rPr>
          <w:rFonts w:hint="eastAsia" w:ascii="仿宋_GB2312" w:hAnsi="仿宋" w:eastAsia="仿宋_GB2312"/>
          <w:sz w:val="24"/>
          <w:szCs w:val="24"/>
          <w:u w:val="dotted"/>
        </w:rPr>
        <w:t xml:space="preserve">                                         </w:t>
      </w:r>
    </w:p>
    <w:p>
      <w:pPr>
        <w:widowControl w:val="0"/>
        <w:adjustRightInd w:val="0"/>
        <w:spacing w:line="360" w:lineRule="auto"/>
        <w:jc w:val="both"/>
        <w:rPr>
          <w:rFonts w:hint="eastAsia" w:ascii="仿宋_GB2312" w:hAnsi="仿宋" w:eastAsia="仿宋_GB2312"/>
          <w:sz w:val="24"/>
          <w:szCs w:val="24"/>
          <w:u w:val="dotted"/>
        </w:rPr>
      </w:pPr>
      <w:r>
        <w:rPr>
          <w:rFonts w:hint="eastAsia" w:ascii="仿宋_GB2312" w:hAnsi="仿宋" w:eastAsia="仿宋_GB2312"/>
          <w:sz w:val="24"/>
          <w:szCs w:val="24"/>
        </w:rPr>
        <w:t>采购文件公告:</w:t>
      </w:r>
      <w:r>
        <w:rPr>
          <w:rFonts w:hint="eastAsia" w:ascii="仿宋_GB2312" w:hAnsi="仿宋" w:eastAsia="仿宋_GB2312"/>
          <w:sz w:val="24"/>
          <w:szCs w:val="24"/>
          <w:u w:val="dotted"/>
        </w:rPr>
        <w:t xml:space="preserve">是/否 </w:t>
      </w:r>
      <w:r>
        <w:rPr>
          <w:rFonts w:hint="eastAsia" w:ascii="仿宋_GB2312" w:hAnsi="仿宋" w:eastAsia="仿宋_GB2312"/>
          <w:sz w:val="24"/>
          <w:szCs w:val="24"/>
        </w:rPr>
        <w:t>公告期限：</w:t>
      </w:r>
      <w:r>
        <w:rPr>
          <w:rFonts w:hint="eastAsia" w:ascii="仿宋_GB2312" w:hAnsi="仿宋" w:eastAsia="仿宋_GB2312"/>
          <w:sz w:val="24"/>
          <w:szCs w:val="24"/>
          <w:u w:val="dotted"/>
        </w:rPr>
        <w:t xml:space="preserve">                                 </w:t>
      </w:r>
    </w:p>
    <w:p>
      <w:pPr>
        <w:widowControl w:val="0"/>
        <w:adjustRightInd w:val="0"/>
        <w:spacing w:line="360" w:lineRule="auto"/>
        <w:jc w:val="both"/>
        <w:rPr>
          <w:rFonts w:hint="eastAsia" w:ascii="仿宋_GB2312" w:hAnsi="仿宋" w:eastAsia="仿宋_GB2312"/>
          <w:sz w:val="24"/>
          <w:szCs w:val="24"/>
          <w:u w:val="single"/>
        </w:rPr>
      </w:pPr>
      <w:r>
        <w:rPr>
          <w:rFonts w:hint="eastAsia" w:ascii="仿宋_GB2312" w:hAnsi="仿宋" w:eastAsia="仿宋_GB2312"/>
          <w:sz w:val="24"/>
          <w:szCs w:val="24"/>
        </w:rPr>
        <w:t>采购结果公告:</w:t>
      </w:r>
      <w:r>
        <w:rPr>
          <w:rFonts w:hint="eastAsia" w:ascii="仿宋_GB2312" w:hAnsi="仿宋" w:eastAsia="仿宋_GB2312"/>
          <w:sz w:val="24"/>
          <w:szCs w:val="24"/>
          <w:u w:val="dotted"/>
        </w:rPr>
        <w:t xml:space="preserve">是/否 </w:t>
      </w:r>
      <w:r>
        <w:rPr>
          <w:rFonts w:hint="eastAsia" w:ascii="仿宋_GB2312" w:hAnsi="仿宋" w:eastAsia="仿宋_GB2312"/>
          <w:sz w:val="24"/>
          <w:szCs w:val="24"/>
        </w:rPr>
        <w:t>公告期限：</w:t>
      </w:r>
      <w:r>
        <w:rPr>
          <w:rFonts w:hint="eastAsia" w:ascii="仿宋_GB2312" w:hAnsi="仿宋" w:eastAsia="仿宋_GB2312"/>
          <w:sz w:val="24"/>
          <w:szCs w:val="24"/>
          <w:u w:val="dotted"/>
        </w:rPr>
        <w:t xml:space="preserve">                        </w:t>
      </w:r>
    </w:p>
    <w:p>
      <w:pPr>
        <w:widowControl w:val="0"/>
        <w:adjustRightInd w:val="0"/>
        <w:spacing w:line="360" w:lineRule="auto"/>
        <w:jc w:val="both"/>
        <w:rPr>
          <w:rFonts w:hint="eastAsia" w:ascii="仿宋_GB2312" w:hAnsi="仿宋" w:eastAsia="仿宋_GB2312"/>
          <w:sz w:val="24"/>
          <w:szCs w:val="24"/>
        </w:rPr>
      </w:pPr>
      <w:r>
        <w:rPr>
          <w:rFonts w:hint="eastAsia" w:ascii="仿宋_GB2312" w:hAnsi="仿宋" w:eastAsia="仿宋_GB2312"/>
          <w:sz w:val="24"/>
          <w:szCs w:val="24"/>
        </w:rPr>
        <w:t>三、质疑基本情况</w:t>
      </w:r>
    </w:p>
    <w:p>
      <w:pPr>
        <w:widowControl w:val="0"/>
        <w:adjustRightInd w:val="0"/>
        <w:spacing w:line="360" w:lineRule="auto"/>
        <w:ind w:firstLine="480" w:firstLineChars="200"/>
        <w:jc w:val="both"/>
        <w:rPr>
          <w:rFonts w:hint="eastAsia" w:ascii="仿宋_GB2312" w:hAnsi="仿宋" w:eastAsia="仿宋_GB2312"/>
          <w:sz w:val="24"/>
          <w:szCs w:val="24"/>
          <w:u w:val="dotted"/>
        </w:rPr>
      </w:pPr>
      <w:r>
        <w:rPr>
          <w:rFonts w:hint="eastAsia" w:ascii="仿宋_GB2312" w:hAnsi="仿宋" w:eastAsia="仿宋_GB2312"/>
          <w:sz w:val="24"/>
          <w:szCs w:val="24"/>
        </w:rPr>
        <w:t>投诉人于</w:t>
      </w:r>
      <w:r>
        <w:rPr>
          <w:rFonts w:hint="eastAsia" w:ascii="仿宋_GB2312" w:hAnsi="仿宋" w:eastAsia="仿宋_GB2312"/>
          <w:sz w:val="24"/>
          <w:szCs w:val="24"/>
          <w:u w:val="dotted"/>
        </w:rPr>
        <w:t xml:space="preserve">   </w:t>
      </w:r>
      <w:r>
        <w:rPr>
          <w:rFonts w:hint="eastAsia" w:ascii="仿宋_GB2312" w:hAnsi="仿宋" w:eastAsia="仿宋_GB2312"/>
          <w:sz w:val="24"/>
          <w:szCs w:val="24"/>
        </w:rPr>
        <w:t>年</w:t>
      </w:r>
      <w:r>
        <w:rPr>
          <w:rFonts w:hint="eastAsia" w:ascii="仿宋_GB2312" w:hAnsi="仿宋" w:eastAsia="仿宋_GB2312"/>
          <w:sz w:val="24"/>
          <w:szCs w:val="24"/>
          <w:u w:val="dotted"/>
        </w:rPr>
        <w:t xml:space="preserve">   </w:t>
      </w:r>
      <w:r>
        <w:rPr>
          <w:rFonts w:hint="eastAsia" w:ascii="仿宋_GB2312" w:hAnsi="仿宋" w:eastAsia="仿宋_GB2312"/>
          <w:sz w:val="24"/>
          <w:szCs w:val="24"/>
        </w:rPr>
        <w:t>月</w:t>
      </w:r>
      <w:r>
        <w:rPr>
          <w:rFonts w:hint="eastAsia" w:ascii="仿宋_GB2312" w:hAnsi="仿宋" w:eastAsia="仿宋_GB2312"/>
          <w:sz w:val="24"/>
          <w:szCs w:val="24"/>
          <w:u w:val="dotted"/>
        </w:rPr>
        <w:t xml:space="preserve">  </w:t>
      </w:r>
      <w:r>
        <w:rPr>
          <w:rFonts w:hint="eastAsia" w:ascii="仿宋_GB2312" w:hAnsi="仿宋" w:eastAsia="仿宋_GB2312"/>
          <w:sz w:val="24"/>
          <w:szCs w:val="24"/>
        </w:rPr>
        <w:t>日,向</w:t>
      </w:r>
      <w:r>
        <w:rPr>
          <w:rFonts w:hint="eastAsia" w:ascii="仿宋_GB2312" w:hAnsi="仿宋" w:eastAsia="仿宋_GB2312"/>
          <w:sz w:val="24"/>
          <w:szCs w:val="24"/>
          <w:u w:val="dotted"/>
        </w:rPr>
        <w:t xml:space="preserve">                   </w:t>
      </w:r>
      <w:r>
        <w:rPr>
          <w:rFonts w:hint="eastAsia" w:ascii="仿宋_GB2312" w:hAnsi="仿宋" w:eastAsia="仿宋_GB2312"/>
          <w:sz w:val="24"/>
          <w:szCs w:val="24"/>
        </w:rPr>
        <w:t>提出质疑，质疑事项为：</w:t>
      </w:r>
      <w:r>
        <w:rPr>
          <w:rFonts w:hint="eastAsia" w:ascii="仿宋_GB2312" w:hAnsi="仿宋" w:eastAsia="仿宋_GB2312"/>
          <w:sz w:val="24"/>
          <w:szCs w:val="24"/>
          <w:u w:val="dotted"/>
        </w:rPr>
        <w:t xml:space="preserve">                                </w:t>
      </w:r>
    </w:p>
    <w:p>
      <w:pPr>
        <w:widowControl w:val="0"/>
        <w:adjustRightInd w:val="0"/>
        <w:spacing w:line="360" w:lineRule="auto"/>
        <w:jc w:val="both"/>
        <w:rPr>
          <w:rFonts w:hint="eastAsia" w:ascii="仿宋_GB2312" w:hAnsi="仿宋" w:eastAsia="仿宋_GB2312"/>
          <w:sz w:val="24"/>
          <w:szCs w:val="24"/>
          <w:u w:val="dotted"/>
        </w:rPr>
      </w:pPr>
      <w:r>
        <w:rPr>
          <w:rFonts w:hint="eastAsia" w:ascii="仿宋_GB2312" w:hAnsi="仿宋" w:eastAsia="仿宋_GB2312"/>
          <w:sz w:val="24"/>
          <w:szCs w:val="24"/>
          <w:u w:val="dotted"/>
        </w:rPr>
        <w:t xml:space="preserve">                                                     </w:t>
      </w:r>
      <w:r>
        <w:rPr>
          <w:rFonts w:hint="eastAsia" w:ascii="仿宋_GB2312" w:hAnsi="仿宋" w:eastAsia="仿宋_GB2312"/>
          <w:sz w:val="24"/>
          <w:szCs w:val="24"/>
        </w:rPr>
        <w:t xml:space="preserve">  </w:t>
      </w:r>
    </w:p>
    <w:p>
      <w:pPr>
        <w:widowControl w:val="0"/>
        <w:adjustRightInd w:val="0"/>
        <w:spacing w:line="360" w:lineRule="auto"/>
        <w:ind w:firstLine="360" w:firstLineChars="150"/>
        <w:jc w:val="both"/>
        <w:rPr>
          <w:rFonts w:hint="eastAsia" w:ascii="仿宋_GB2312" w:hAnsi="仿宋" w:eastAsia="仿宋_GB2312"/>
          <w:sz w:val="24"/>
          <w:szCs w:val="24"/>
        </w:rPr>
      </w:pPr>
      <w:r>
        <w:rPr>
          <w:rFonts w:hint="eastAsia" w:ascii="仿宋_GB2312" w:hAnsi="仿宋" w:eastAsia="仿宋_GB2312"/>
          <w:sz w:val="24"/>
          <w:szCs w:val="24"/>
          <w:u w:val="dotted"/>
        </w:rPr>
        <w:t>采购人/代理机构</w:t>
      </w:r>
      <w:r>
        <w:rPr>
          <w:rFonts w:hint="eastAsia" w:ascii="仿宋_GB2312" w:hAnsi="仿宋" w:eastAsia="仿宋_GB2312"/>
          <w:sz w:val="24"/>
          <w:szCs w:val="24"/>
        </w:rPr>
        <w:t>于</w:t>
      </w:r>
      <w:r>
        <w:rPr>
          <w:rFonts w:hint="eastAsia" w:ascii="仿宋_GB2312" w:hAnsi="仿宋" w:eastAsia="仿宋_GB2312"/>
          <w:sz w:val="24"/>
          <w:szCs w:val="24"/>
          <w:u w:val="dotted"/>
        </w:rPr>
        <w:t xml:space="preserve">   </w:t>
      </w:r>
      <w:r>
        <w:rPr>
          <w:rFonts w:hint="eastAsia" w:ascii="仿宋_GB2312" w:hAnsi="仿宋" w:eastAsia="仿宋_GB2312"/>
          <w:sz w:val="24"/>
          <w:szCs w:val="24"/>
        </w:rPr>
        <w:t>年</w:t>
      </w:r>
      <w:r>
        <w:rPr>
          <w:rFonts w:hint="eastAsia" w:ascii="仿宋_GB2312" w:hAnsi="仿宋" w:eastAsia="仿宋_GB2312"/>
          <w:sz w:val="24"/>
          <w:szCs w:val="24"/>
          <w:u w:val="dotted"/>
        </w:rPr>
        <w:t xml:space="preserve">   </w:t>
      </w:r>
      <w:r>
        <w:rPr>
          <w:rFonts w:hint="eastAsia" w:ascii="仿宋_GB2312" w:hAnsi="仿宋" w:eastAsia="仿宋_GB2312"/>
          <w:sz w:val="24"/>
          <w:szCs w:val="24"/>
        </w:rPr>
        <w:t>月</w:t>
      </w:r>
      <w:r>
        <w:rPr>
          <w:rFonts w:hint="eastAsia" w:ascii="仿宋_GB2312" w:hAnsi="仿宋" w:eastAsia="仿宋_GB2312"/>
          <w:sz w:val="24"/>
          <w:szCs w:val="24"/>
          <w:u w:val="dotted"/>
        </w:rPr>
        <w:t xml:space="preserve">   </w:t>
      </w:r>
      <w:r>
        <w:rPr>
          <w:rFonts w:hint="eastAsia" w:ascii="仿宋_GB2312" w:hAnsi="仿宋" w:eastAsia="仿宋_GB2312"/>
          <w:sz w:val="24"/>
          <w:szCs w:val="24"/>
        </w:rPr>
        <w:t>日,就质疑事项作出了答复/没有在法定期限内作出答复。</w:t>
      </w:r>
    </w:p>
    <w:p>
      <w:pPr>
        <w:widowControl w:val="0"/>
        <w:adjustRightInd w:val="0"/>
        <w:spacing w:line="360" w:lineRule="auto"/>
        <w:jc w:val="both"/>
        <w:rPr>
          <w:rFonts w:hint="eastAsia" w:ascii="仿宋_GB2312" w:hAnsi="仿宋" w:eastAsia="仿宋_GB2312"/>
          <w:sz w:val="24"/>
          <w:szCs w:val="24"/>
        </w:rPr>
      </w:pPr>
      <w:r>
        <w:rPr>
          <w:rFonts w:hint="eastAsia" w:ascii="仿宋_GB2312" w:hAnsi="仿宋" w:eastAsia="仿宋_GB2312"/>
          <w:sz w:val="24"/>
          <w:szCs w:val="24"/>
        </w:rPr>
        <w:t>四、投诉事项具体内容</w:t>
      </w:r>
    </w:p>
    <w:p>
      <w:pPr>
        <w:widowControl w:val="0"/>
        <w:adjustRightInd w:val="0"/>
        <w:spacing w:line="360" w:lineRule="auto"/>
        <w:jc w:val="both"/>
        <w:rPr>
          <w:rFonts w:hint="eastAsia" w:ascii="仿宋_GB2312" w:hAnsi="仿宋" w:eastAsia="仿宋_GB2312"/>
          <w:sz w:val="24"/>
          <w:szCs w:val="24"/>
          <w:u w:val="single"/>
        </w:rPr>
      </w:pPr>
      <w:r>
        <w:rPr>
          <w:rFonts w:hint="eastAsia" w:ascii="仿宋_GB2312" w:hAnsi="仿宋" w:eastAsia="仿宋_GB2312"/>
          <w:sz w:val="24"/>
          <w:szCs w:val="24"/>
        </w:rPr>
        <w:t>投诉事项 1：</w:t>
      </w:r>
      <w:r>
        <w:rPr>
          <w:rFonts w:hint="eastAsia" w:ascii="仿宋_GB2312" w:hAnsi="仿宋" w:eastAsia="仿宋_GB2312"/>
          <w:sz w:val="24"/>
          <w:szCs w:val="24"/>
          <w:u w:val="dotted"/>
        </w:rPr>
        <w:t xml:space="preserve">                                       </w:t>
      </w:r>
    </w:p>
    <w:p>
      <w:pPr>
        <w:widowControl w:val="0"/>
        <w:adjustRightInd w:val="0"/>
        <w:spacing w:line="360" w:lineRule="auto"/>
        <w:jc w:val="both"/>
        <w:rPr>
          <w:rFonts w:hint="eastAsia" w:ascii="仿宋_GB2312" w:hAnsi="仿宋" w:eastAsia="仿宋_GB2312"/>
          <w:sz w:val="24"/>
          <w:szCs w:val="24"/>
        </w:rPr>
      </w:pPr>
      <w:r>
        <w:rPr>
          <w:rFonts w:hint="eastAsia" w:ascii="仿宋_GB2312" w:hAnsi="仿宋" w:eastAsia="仿宋_GB2312"/>
          <w:sz w:val="24"/>
          <w:szCs w:val="24"/>
        </w:rPr>
        <w:t>事实依据：</w:t>
      </w:r>
      <w:r>
        <w:rPr>
          <w:rFonts w:hint="eastAsia" w:ascii="仿宋_GB2312" w:hAnsi="仿宋" w:eastAsia="仿宋_GB2312"/>
          <w:sz w:val="24"/>
          <w:szCs w:val="24"/>
          <w:u w:val="dotted"/>
        </w:rPr>
        <w:t xml:space="preserve">                                         </w:t>
      </w:r>
    </w:p>
    <w:p>
      <w:pPr>
        <w:widowControl w:val="0"/>
        <w:adjustRightInd w:val="0"/>
        <w:spacing w:line="360" w:lineRule="auto"/>
        <w:jc w:val="both"/>
        <w:rPr>
          <w:rFonts w:hint="eastAsia" w:ascii="仿宋_GB2312" w:hAnsi="仿宋" w:eastAsia="仿宋_GB2312"/>
          <w:sz w:val="24"/>
          <w:szCs w:val="24"/>
          <w:u w:val="dotted"/>
        </w:rPr>
      </w:pPr>
      <w:r>
        <w:rPr>
          <w:rFonts w:hint="eastAsia" w:ascii="仿宋_GB2312" w:hAnsi="仿宋" w:eastAsia="仿宋_GB2312"/>
          <w:sz w:val="24"/>
          <w:szCs w:val="24"/>
          <w:u w:val="dotted"/>
        </w:rPr>
        <w:t xml:space="preserve">                                                      </w:t>
      </w:r>
    </w:p>
    <w:p>
      <w:pPr>
        <w:widowControl w:val="0"/>
        <w:adjustRightInd w:val="0"/>
        <w:spacing w:line="360" w:lineRule="auto"/>
        <w:jc w:val="both"/>
        <w:rPr>
          <w:rFonts w:hint="eastAsia" w:ascii="仿宋_GB2312" w:hAnsi="仿宋" w:eastAsia="仿宋_GB2312"/>
          <w:sz w:val="24"/>
          <w:szCs w:val="24"/>
          <w:u w:val="single"/>
        </w:rPr>
      </w:pPr>
      <w:r>
        <w:rPr>
          <w:rFonts w:hint="eastAsia" w:ascii="仿宋_GB2312" w:hAnsi="仿宋" w:eastAsia="仿宋_GB2312"/>
          <w:sz w:val="24"/>
          <w:szCs w:val="24"/>
        </w:rPr>
        <w:t>法律依据：</w:t>
      </w:r>
      <w:r>
        <w:rPr>
          <w:rFonts w:hint="eastAsia" w:ascii="仿宋_GB2312" w:hAnsi="仿宋" w:eastAsia="仿宋_GB2312"/>
          <w:sz w:val="24"/>
          <w:szCs w:val="24"/>
          <w:u w:val="dotted"/>
        </w:rPr>
        <w:t xml:space="preserve">                                          </w:t>
      </w:r>
    </w:p>
    <w:p>
      <w:pPr>
        <w:widowControl w:val="0"/>
        <w:adjustRightInd w:val="0"/>
        <w:spacing w:line="360" w:lineRule="auto"/>
        <w:jc w:val="both"/>
        <w:rPr>
          <w:rFonts w:hint="eastAsia" w:ascii="仿宋_GB2312" w:hAnsi="仿宋" w:eastAsia="仿宋_GB2312"/>
          <w:sz w:val="24"/>
          <w:szCs w:val="24"/>
          <w:u w:val="dotted"/>
        </w:rPr>
      </w:pPr>
      <w:r>
        <w:rPr>
          <w:rFonts w:hint="eastAsia" w:ascii="仿宋_GB2312" w:hAnsi="仿宋" w:eastAsia="仿宋_GB2312"/>
          <w:sz w:val="24"/>
          <w:szCs w:val="24"/>
          <w:u w:val="dotted"/>
        </w:rPr>
        <w:t xml:space="preserve">                                                      </w:t>
      </w:r>
    </w:p>
    <w:p>
      <w:pPr>
        <w:widowControl w:val="0"/>
        <w:adjustRightInd w:val="0"/>
        <w:spacing w:line="360" w:lineRule="auto"/>
        <w:jc w:val="both"/>
        <w:rPr>
          <w:rFonts w:hint="eastAsia" w:ascii="仿宋_GB2312" w:hAnsi="仿宋" w:eastAsia="仿宋_GB2312"/>
          <w:sz w:val="24"/>
          <w:szCs w:val="24"/>
        </w:rPr>
      </w:pPr>
      <w:r>
        <w:rPr>
          <w:rFonts w:hint="eastAsia" w:ascii="仿宋_GB2312" w:hAnsi="仿宋" w:eastAsia="仿宋_GB2312"/>
          <w:sz w:val="24"/>
          <w:szCs w:val="24"/>
        </w:rPr>
        <w:t>投诉事项2</w:t>
      </w:r>
    </w:p>
    <w:p>
      <w:pPr>
        <w:widowControl w:val="0"/>
        <w:adjustRightInd w:val="0"/>
        <w:spacing w:line="360" w:lineRule="auto"/>
        <w:jc w:val="both"/>
        <w:rPr>
          <w:rFonts w:hint="eastAsia" w:ascii="仿宋_GB2312" w:hAnsi="仿宋" w:eastAsia="仿宋_GB2312"/>
          <w:sz w:val="24"/>
          <w:szCs w:val="24"/>
          <w:u w:val="dotted"/>
        </w:rPr>
      </w:pPr>
      <w:r>
        <w:rPr>
          <w:rFonts w:hint="eastAsia" w:ascii="仿宋_GB2312" w:hAnsi="仿宋" w:eastAsia="仿宋_GB2312"/>
          <w:sz w:val="24"/>
          <w:szCs w:val="24"/>
        </w:rPr>
        <w:t>……</w:t>
      </w:r>
    </w:p>
    <w:p>
      <w:pPr>
        <w:widowControl w:val="0"/>
        <w:adjustRightInd w:val="0"/>
        <w:spacing w:line="360" w:lineRule="auto"/>
        <w:jc w:val="both"/>
        <w:rPr>
          <w:rFonts w:hint="eastAsia" w:ascii="仿宋_GB2312" w:hAnsi="仿宋" w:eastAsia="仿宋_GB2312"/>
          <w:sz w:val="24"/>
          <w:szCs w:val="24"/>
        </w:rPr>
      </w:pPr>
      <w:r>
        <w:rPr>
          <w:rFonts w:hint="eastAsia" w:ascii="仿宋_GB2312" w:hAnsi="仿宋" w:eastAsia="仿宋_GB2312"/>
          <w:sz w:val="24"/>
          <w:szCs w:val="24"/>
        </w:rPr>
        <w:t>五、与投诉事项相关的投诉请求</w:t>
      </w:r>
    </w:p>
    <w:p>
      <w:pPr>
        <w:widowControl w:val="0"/>
        <w:adjustRightInd w:val="0"/>
        <w:spacing w:line="360" w:lineRule="auto"/>
        <w:jc w:val="both"/>
        <w:rPr>
          <w:rFonts w:hint="eastAsia" w:ascii="仿宋_GB2312" w:hAnsi="仿宋" w:eastAsia="仿宋_GB2312"/>
          <w:sz w:val="24"/>
          <w:szCs w:val="24"/>
        </w:rPr>
      </w:pPr>
      <w:r>
        <w:rPr>
          <w:rFonts w:hint="eastAsia" w:ascii="仿宋_GB2312" w:hAnsi="仿宋" w:eastAsia="仿宋_GB2312"/>
          <w:sz w:val="24"/>
          <w:szCs w:val="24"/>
        </w:rPr>
        <w:t>请求：</w:t>
      </w:r>
      <w:r>
        <w:rPr>
          <w:rFonts w:hint="eastAsia" w:ascii="仿宋_GB2312" w:hAnsi="仿宋" w:eastAsia="仿宋_GB2312"/>
          <w:sz w:val="24"/>
          <w:szCs w:val="24"/>
          <w:u w:val="dotted"/>
        </w:rPr>
        <w:t xml:space="preserve">                                              </w:t>
      </w:r>
      <w:r>
        <w:rPr>
          <w:rFonts w:hint="eastAsia" w:ascii="仿宋_GB2312" w:hAnsi="仿宋" w:eastAsia="仿宋_GB2312"/>
          <w:sz w:val="24"/>
          <w:szCs w:val="24"/>
        </w:rPr>
        <w:t xml:space="preserve"> </w:t>
      </w:r>
    </w:p>
    <w:p>
      <w:pPr>
        <w:widowControl w:val="0"/>
        <w:adjustRightInd w:val="0"/>
        <w:spacing w:line="360" w:lineRule="auto"/>
        <w:jc w:val="both"/>
        <w:rPr>
          <w:rFonts w:hint="eastAsia" w:ascii="仿宋_GB2312" w:hAnsi="仿宋" w:eastAsia="仿宋_GB2312"/>
          <w:sz w:val="24"/>
          <w:szCs w:val="24"/>
          <w:u w:val="single"/>
        </w:rPr>
      </w:pPr>
      <w:r>
        <w:rPr>
          <w:rFonts w:hint="eastAsia" w:ascii="仿宋_GB2312" w:hAnsi="仿宋" w:eastAsia="仿宋_GB2312"/>
          <w:sz w:val="24"/>
          <w:szCs w:val="24"/>
        </w:rPr>
        <w:t xml:space="preserve">                                                                                                    </w:t>
      </w:r>
    </w:p>
    <w:p>
      <w:pPr>
        <w:widowControl w:val="0"/>
        <w:adjustRightInd w:val="0"/>
        <w:spacing w:line="360" w:lineRule="auto"/>
        <w:jc w:val="both"/>
        <w:rPr>
          <w:rFonts w:hint="eastAsia" w:ascii="仿宋_GB2312" w:hAnsi="仿宋" w:eastAsia="仿宋_GB2312"/>
          <w:sz w:val="24"/>
          <w:szCs w:val="24"/>
        </w:rPr>
      </w:pPr>
      <w:r>
        <w:rPr>
          <w:rFonts w:hint="eastAsia" w:ascii="仿宋_GB2312" w:hAnsi="仿宋" w:eastAsia="仿宋_GB2312"/>
          <w:sz w:val="24"/>
          <w:szCs w:val="24"/>
        </w:rPr>
        <w:t xml:space="preserve">签字(签章)：                   公章：                      </w:t>
      </w:r>
    </w:p>
    <w:p>
      <w:pPr>
        <w:widowControl w:val="0"/>
        <w:adjustRightInd w:val="0"/>
        <w:spacing w:line="360" w:lineRule="auto"/>
        <w:jc w:val="both"/>
        <w:rPr>
          <w:rFonts w:hint="eastAsia" w:ascii="仿宋_GB2312" w:hAnsi="仿宋" w:eastAsia="仿宋_GB2312"/>
          <w:sz w:val="24"/>
          <w:szCs w:val="24"/>
        </w:rPr>
      </w:pPr>
      <w:r>
        <w:rPr>
          <w:rFonts w:hint="eastAsia" w:ascii="仿宋_GB2312" w:hAnsi="仿宋" w:eastAsia="仿宋_GB2312"/>
          <w:sz w:val="24"/>
          <w:szCs w:val="24"/>
        </w:rPr>
        <w:t xml:space="preserve">日期：    </w:t>
      </w:r>
    </w:p>
    <w:p>
      <w:pPr>
        <w:widowControl w:val="0"/>
        <w:adjustRightInd w:val="0"/>
        <w:spacing w:line="360" w:lineRule="auto"/>
        <w:jc w:val="both"/>
        <w:rPr>
          <w:rFonts w:hint="eastAsia" w:ascii="仿宋_GB2312" w:hAnsi="仿宋" w:eastAsia="仿宋_GB2312"/>
          <w:b/>
          <w:sz w:val="24"/>
          <w:szCs w:val="24"/>
        </w:rPr>
      </w:pPr>
    </w:p>
    <w:p>
      <w:pPr>
        <w:widowControl w:val="0"/>
        <w:adjustRightInd w:val="0"/>
        <w:spacing w:line="360" w:lineRule="auto"/>
        <w:jc w:val="both"/>
        <w:rPr>
          <w:rFonts w:hint="eastAsia" w:ascii="仿宋_GB2312" w:hAnsi="仿宋" w:eastAsia="仿宋_GB2312"/>
          <w:b/>
          <w:sz w:val="24"/>
          <w:szCs w:val="24"/>
        </w:rPr>
      </w:pPr>
    </w:p>
    <w:p>
      <w:pPr>
        <w:widowControl w:val="0"/>
        <w:adjustRightInd w:val="0"/>
        <w:spacing w:line="360" w:lineRule="auto"/>
        <w:jc w:val="both"/>
        <w:rPr>
          <w:rFonts w:hint="eastAsia" w:ascii="仿宋_GB2312" w:hAnsi="仿宋" w:eastAsia="仿宋_GB2312"/>
          <w:b/>
          <w:sz w:val="24"/>
          <w:szCs w:val="24"/>
        </w:rPr>
      </w:pPr>
      <w:r>
        <w:rPr>
          <w:rFonts w:hint="eastAsia" w:ascii="仿宋_GB2312" w:hAnsi="仿宋" w:eastAsia="仿宋_GB2312"/>
          <w:b/>
          <w:sz w:val="24"/>
          <w:szCs w:val="24"/>
        </w:rPr>
        <w:t>投诉书制作说明：</w:t>
      </w:r>
    </w:p>
    <w:p>
      <w:pPr>
        <w:adjustRightInd w:val="0"/>
        <w:spacing w:line="360" w:lineRule="auto"/>
        <w:ind w:firstLine="480" w:firstLineChars="200"/>
        <w:jc w:val="both"/>
        <w:rPr>
          <w:rFonts w:hint="eastAsia" w:ascii="仿宋_GB2312" w:hAnsi="仿宋" w:eastAsia="仿宋_GB2312" w:cs="宋体"/>
          <w:kern w:val="0"/>
          <w:sz w:val="24"/>
          <w:szCs w:val="24"/>
        </w:rPr>
      </w:pPr>
      <w:r>
        <w:rPr>
          <w:rFonts w:hint="eastAsia" w:ascii="仿宋_GB2312" w:hAnsi="仿宋" w:eastAsia="仿宋_GB2312"/>
          <w:sz w:val="24"/>
          <w:szCs w:val="24"/>
        </w:rPr>
        <w:t>1.投诉人提起投诉时，应当提交投诉书和必要的证明材料，并按照被投诉人和与投诉事项有关的供应商数量提供投诉书副本。</w:t>
      </w:r>
    </w:p>
    <w:p>
      <w:pPr>
        <w:adjustRightInd w:val="0"/>
        <w:spacing w:line="360" w:lineRule="auto"/>
        <w:ind w:firstLine="480" w:firstLineChars="200"/>
        <w:rPr>
          <w:rFonts w:hint="eastAsia" w:ascii="仿宋_GB2312" w:hAnsi="仿宋" w:eastAsia="仿宋_GB2312" w:cs="宋体"/>
          <w:kern w:val="0"/>
          <w:sz w:val="24"/>
          <w:szCs w:val="24"/>
        </w:rPr>
      </w:pPr>
      <w:r>
        <w:rPr>
          <w:rFonts w:hint="eastAsia" w:ascii="仿宋_GB2312" w:hAnsi="仿宋" w:eastAsia="仿宋_GB2312"/>
          <w:sz w:val="24"/>
          <w:szCs w:val="24"/>
        </w:rPr>
        <w:t>2.投诉人若委托代理人进行投诉的，投诉书应按照要求列明“授权代表”的有关内容，并在附件中提交由</w:t>
      </w:r>
      <w:r>
        <w:rPr>
          <w:rFonts w:hint="eastAsia" w:ascii="仿宋_GB2312" w:hAnsi="仿宋" w:eastAsia="仿宋_GB2312" w:cs="宋体"/>
          <w:kern w:val="0"/>
          <w:sz w:val="24"/>
          <w:szCs w:val="24"/>
        </w:rPr>
        <w:t>投诉人签署的授权委托书。授权委托书应当载明代理人的姓名或者名称、代理事项、具体权限、期限和相关事项。</w:t>
      </w:r>
    </w:p>
    <w:p>
      <w:pPr>
        <w:adjustRightInd w:val="0"/>
        <w:spacing w:line="360" w:lineRule="auto"/>
        <w:ind w:firstLine="480" w:firstLineChars="200"/>
        <w:rPr>
          <w:rFonts w:hint="eastAsia" w:ascii="仿宋_GB2312" w:hAnsi="仿宋" w:eastAsia="仿宋_GB2312"/>
          <w:sz w:val="24"/>
          <w:szCs w:val="24"/>
        </w:rPr>
      </w:pPr>
      <w:r>
        <w:rPr>
          <w:rFonts w:hint="eastAsia" w:ascii="仿宋_GB2312" w:hAnsi="仿宋" w:eastAsia="仿宋_GB2312"/>
          <w:sz w:val="24"/>
          <w:szCs w:val="24"/>
        </w:rPr>
        <w:t>3.投诉人若对项目的某一分包进行投诉，投诉书应列明具体分包号。</w:t>
      </w:r>
    </w:p>
    <w:p>
      <w:pPr>
        <w:adjustRightInd w:val="0"/>
        <w:spacing w:line="360" w:lineRule="auto"/>
        <w:ind w:firstLine="480" w:firstLineChars="200"/>
        <w:rPr>
          <w:rFonts w:hint="eastAsia" w:ascii="仿宋_GB2312" w:hAnsi="仿宋" w:eastAsia="仿宋_GB2312"/>
          <w:sz w:val="24"/>
          <w:szCs w:val="24"/>
        </w:rPr>
      </w:pPr>
      <w:r>
        <w:rPr>
          <w:rFonts w:hint="eastAsia" w:ascii="仿宋_GB2312" w:hAnsi="仿宋" w:eastAsia="仿宋_GB2312"/>
          <w:sz w:val="24"/>
          <w:szCs w:val="24"/>
        </w:rPr>
        <w:t>4.投诉书应简要列明质疑事项，质疑函、质疑答复等作为附件材料提供。</w:t>
      </w:r>
    </w:p>
    <w:p>
      <w:pPr>
        <w:adjustRightInd w:val="0"/>
        <w:spacing w:line="360" w:lineRule="auto"/>
        <w:ind w:firstLine="480" w:firstLineChars="200"/>
        <w:rPr>
          <w:rFonts w:hint="eastAsia" w:ascii="仿宋_GB2312" w:hAnsi="仿宋" w:eastAsia="仿宋_GB2312"/>
          <w:sz w:val="24"/>
          <w:szCs w:val="24"/>
        </w:rPr>
      </w:pPr>
      <w:r>
        <w:rPr>
          <w:rFonts w:hint="eastAsia" w:ascii="仿宋_GB2312" w:hAnsi="仿宋" w:eastAsia="仿宋_GB2312"/>
          <w:sz w:val="24"/>
          <w:szCs w:val="24"/>
        </w:rPr>
        <w:t>5.投诉书的投诉事项应具体、明确，并有必要的事实依据和法律依据。</w:t>
      </w:r>
    </w:p>
    <w:p>
      <w:pPr>
        <w:adjustRightInd w:val="0"/>
        <w:spacing w:line="360" w:lineRule="auto"/>
        <w:ind w:firstLine="480" w:firstLineChars="200"/>
        <w:rPr>
          <w:rFonts w:hint="eastAsia" w:ascii="仿宋_GB2312" w:hAnsi="仿宋" w:eastAsia="仿宋_GB2312"/>
          <w:sz w:val="24"/>
          <w:szCs w:val="24"/>
        </w:rPr>
      </w:pPr>
      <w:r>
        <w:rPr>
          <w:rFonts w:hint="eastAsia" w:ascii="仿宋_GB2312" w:hAnsi="仿宋" w:eastAsia="仿宋_GB2312"/>
          <w:sz w:val="24"/>
          <w:szCs w:val="24"/>
        </w:rPr>
        <w:t>6.投诉书的投诉请求应与投诉事项相关。</w:t>
      </w:r>
    </w:p>
    <w:p>
      <w:pPr>
        <w:adjustRightInd w:val="0"/>
        <w:spacing w:line="360" w:lineRule="auto"/>
        <w:ind w:firstLine="480" w:firstLineChars="200"/>
        <w:rPr>
          <w:rFonts w:hint="eastAsia" w:ascii="仿宋_GB2312" w:hAnsi="仿宋" w:eastAsia="仿宋_GB2312" w:cs="宋体"/>
          <w:kern w:val="0"/>
          <w:sz w:val="24"/>
          <w:szCs w:val="24"/>
        </w:rPr>
      </w:pPr>
      <w:r>
        <w:rPr>
          <w:rFonts w:hint="eastAsia" w:ascii="仿宋_GB2312" w:hAnsi="仿宋" w:eastAsia="仿宋_GB2312"/>
          <w:sz w:val="24"/>
          <w:szCs w:val="24"/>
        </w:rPr>
        <w:t>7.投诉人为自然人的，投诉书应当由本人签字；投诉人为法人或者其他组织的，投诉书应当由法定代表人、主要负责人，或者其授权代表签字或者盖章，并加盖公章。</w:t>
      </w:r>
    </w:p>
    <w:p>
      <w:pPr>
        <w:widowControl w:val="0"/>
        <w:adjustRightInd w:val="0"/>
        <w:jc w:val="both"/>
        <w:rPr>
          <w:rFonts w:hint="eastAsia" w:ascii="仿宋_GB2312" w:hAnsi="仿宋" w:eastAsia="仿宋_GB2312" w:cs="仿宋_GB2312"/>
          <w:b/>
          <w:sz w:val="24"/>
          <w:szCs w:val="24"/>
        </w:rPr>
      </w:pPr>
    </w:p>
    <w:p>
      <w:pPr>
        <w:widowControl w:val="0"/>
        <w:adjustRightInd w:val="0"/>
        <w:jc w:val="both"/>
        <w:rPr>
          <w:rFonts w:hint="eastAsia" w:ascii="仿宋_GB2312" w:hAnsi="仿宋" w:eastAsia="仿宋_GB2312" w:cs="仿宋_GB2312"/>
          <w:b/>
          <w:sz w:val="24"/>
          <w:szCs w:val="24"/>
        </w:rPr>
      </w:pPr>
    </w:p>
    <w:p>
      <w:pPr>
        <w:widowControl w:val="0"/>
        <w:adjustRightInd w:val="0"/>
        <w:jc w:val="both"/>
        <w:rPr>
          <w:rFonts w:hint="eastAsia" w:ascii="仿宋_GB2312" w:hAnsi="仿宋" w:eastAsia="仿宋_GB2312" w:cs="仿宋_GB2312"/>
          <w:b/>
          <w:sz w:val="24"/>
          <w:szCs w:val="24"/>
        </w:rPr>
      </w:pPr>
    </w:p>
    <w:p>
      <w:pPr>
        <w:widowControl w:val="0"/>
        <w:adjustRightInd w:val="0"/>
        <w:jc w:val="both"/>
        <w:rPr>
          <w:rFonts w:hint="eastAsia" w:ascii="仿宋_GB2312" w:hAnsi="仿宋" w:eastAsia="仿宋_GB2312" w:cs="仿宋_GB2312"/>
          <w:b/>
          <w:sz w:val="24"/>
          <w:szCs w:val="24"/>
        </w:rPr>
      </w:pPr>
    </w:p>
    <w:p>
      <w:pPr>
        <w:widowControl w:val="0"/>
        <w:adjustRightInd w:val="0"/>
        <w:jc w:val="both"/>
        <w:rPr>
          <w:rFonts w:hint="eastAsia" w:ascii="仿宋_GB2312" w:hAnsi="仿宋" w:eastAsia="仿宋_GB2312" w:cs="仿宋_GB2312"/>
          <w:b/>
          <w:sz w:val="24"/>
          <w:szCs w:val="24"/>
        </w:rPr>
      </w:pPr>
    </w:p>
    <w:p>
      <w:pPr>
        <w:widowControl w:val="0"/>
        <w:adjustRightInd w:val="0"/>
        <w:jc w:val="both"/>
        <w:rPr>
          <w:rFonts w:hint="eastAsia" w:ascii="仿宋_GB2312" w:hAnsi="仿宋" w:eastAsia="仿宋_GB2312"/>
          <w:b/>
          <w:bCs/>
          <w:sz w:val="24"/>
          <w:szCs w:val="24"/>
        </w:rPr>
      </w:pPr>
      <w:r>
        <w:rPr>
          <w:rFonts w:hint="eastAsia" w:ascii="仿宋_GB2312" w:hAnsi="仿宋" w:eastAsia="仿宋_GB2312"/>
          <w:b/>
          <w:spacing w:val="6"/>
          <w:sz w:val="32"/>
          <w:szCs w:val="32"/>
        </w:rPr>
        <w:t>附件7：政府采购节能产品页码表（复印件加盖公章）</w:t>
      </w:r>
    </w:p>
    <w:tbl>
      <w:tblPr>
        <w:tblStyle w:val="64"/>
        <w:tblW w:w="0" w:type="auto"/>
        <w:tblInd w:w="-942" w:type="dxa"/>
        <w:tblLayout w:type="fixed"/>
        <w:tblCellMar>
          <w:top w:w="0" w:type="dxa"/>
          <w:left w:w="108" w:type="dxa"/>
          <w:bottom w:w="0" w:type="dxa"/>
          <w:right w:w="108" w:type="dxa"/>
        </w:tblCellMar>
      </w:tblPr>
      <w:tblGrid>
        <w:gridCol w:w="735"/>
        <w:gridCol w:w="1204"/>
        <w:gridCol w:w="2471"/>
        <w:gridCol w:w="1995"/>
        <w:gridCol w:w="4620"/>
      </w:tblGrid>
      <w:tr>
        <w:tblPrEx>
          <w:tblCellMar>
            <w:top w:w="0" w:type="dxa"/>
            <w:left w:w="108" w:type="dxa"/>
            <w:bottom w:w="0" w:type="dxa"/>
            <w:right w:w="108" w:type="dxa"/>
          </w:tblCellMar>
        </w:tblPrEx>
        <w:trPr>
          <w:wBefore w:w="0" w:type="dxa"/>
          <w:trHeight w:val="714" w:hRule="atLeast"/>
        </w:trPr>
        <w:tc>
          <w:tcPr>
            <w:tcW w:w="735" w:type="dxa"/>
            <w:tcBorders>
              <w:top w:val="single" w:color="auto" w:sz="12" w:space="0"/>
              <w:left w:val="single" w:color="auto" w:sz="12" w:space="0"/>
              <w:bottom w:val="single" w:color="auto" w:sz="4" w:space="0"/>
              <w:right w:val="single" w:color="auto" w:sz="4" w:space="0"/>
            </w:tcBorders>
            <w:noWrap w:val="0"/>
            <w:vAlign w:val="center"/>
          </w:tcPr>
          <w:p>
            <w:pPr>
              <w:widowControl w:val="0"/>
              <w:adjustRightInd w:val="0"/>
              <w:spacing w:line="360" w:lineRule="auto"/>
              <w:jc w:val="center"/>
              <w:rPr>
                <w:rFonts w:hint="eastAsia" w:ascii="仿宋_GB2312" w:hAnsi="仿宋" w:eastAsia="仿宋_GB2312"/>
                <w:sz w:val="24"/>
                <w:szCs w:val="24"/>
              </w:rPr>
            </w:pPr>
            <w:r>
              <w:rPr>
                <w:rFonts w:hint="eastAsia" w:ascii="仿宋_GB2312" w:hAnsi="仿宋" w:eastAsia="仿宋_GB2312"/>
                <w:sz w:val="24"/>
                <w:szCs w:val="24"/>
              </w:rPr>
              <w:t>序号</w:t>
            </w:r>
          </w:p>
        </w:tc>
        <w:tc>
          <w:tcPr>
            <w:tcW w:w="1204" w:type="dxa"/>
            <w:tcBorders>
              <w:top w:val="single" w:color="auto" w:sz="12" w:space="0"/>
              <w:left w:val="single" w:color="auto" w:sz="4" w:space="0"/>
              <w:bottom w:val="single" w:color="auto" w:sz="4" w:space="0"/>
              <w:right w:val="single" w:color="auto" w:sz="4" w:space="0"/>
            </w:tcBorders>
            <w:noWrap w:val="0"/>
            <w:vAlign w:val="center"/>
          </w:tcPr>
          <w:p>
            <w:pPr>
              <w:widowControl w:val="0"/>
              <w:adjustRightInd w:val="0"/>
              <w:spacing w:line="360" w:lineRule="auto"/>
              <w:jc w:val="center"/>
              <w:rPr>
                <w:rFonts w:hint="eastAsia" w:ascii="仿宋_GB2312" w:hAnsi="仿宋" w:eastAsia="仿宋_GB2312"/>
                <w:sz w:val="24"/>
                <w:szCs w:val="24"/>
              </w:rPr>
            </w:pPr>
            <w:r>
              <w:rPr>
                <w:rFonts w:hint="eastAsia" w:ascii="仿宋_GB2312" w:hAnsi="仿宋" w:eastAsia="仿宋_GB2312"/>
                <w:sz w:val="24"/>
                <w:szCs w:val="24"/>
              </w:rPr>
              <w:t>产品型号</w:t>
            </w:r>
          </w:p>
        </w:tc>
        <w:tc>
          <w:tcPr>
            <w:tcW w:w="2471" w:type="dxa"/>
            <w:tcBorders>
              <w:top w:val="single" w:color="auto" w:sz="12" w:space="0"/>
              <w:left w:val="single" w:color="auto" w:sz="4" w:space="0"/>
              <w:bottom w:val="single" w:color="auto" w:sz="4" w:space="0"/>
              <w:right w:val="single" w:color="auto" w:sz="4" w:space="0"/>
            </w:tcBorders>
            <w:noWrap w:val="0"/>
            <w:vAlign w:val="center"/>
          </w:tcPr>
          <w:p>
            <w:pPr>
              <w:widowControl w:val="0"/>
              <w:adjustRightInd w:val="0"/>
              <w:spacing w:line="360" w:lineRule="auto"/>
              <w:jc w:val="center"/>
              <w:rPr>
                <w:rFonts w:hint="eastAsia" w:ascii="仿宋_GB2312" w:hAnsi="仿宋" w:eastAsia="仿宋_GB2312"/>
                <w:sz w:val="24"/>
                <w:szCs w:val="24"/>
              </w:rPr>
            </w:pPr>
            <w:r>
              <w:rPr>
                <w:rFonts w:hint="eastAsia" w:ascii="仿宋_GB2312" w:hAnsi="仿宋" w:eastAsia="仿宋_GB2312"/>
                <w:sz w:val="24"/>
                <w:szCs w:val="24"/>
              </w:rPr>
              <w:t>节能产品认证证书号</w:t>
            </w:r>
          </w:p>
        </w:tc>
        <w:tc>
          <w:tcPr>
            <w:tcW w:w="1995" w:type="dxa"/>
            <w:tcBorders>
              <w:top w:val="single" w:color="auto" w:sz="12" w:space="0"/>
              <w:left w:val="single" w:color="auto" w:sz="4" w:space="0"/>
              <w:bottom w:val="single" w:color="auto" w:sz="4" w:space="0"/>
              <w:right w:val="single" w:color="auto" w:sz="4" w:space="0"/>
            </w:tcBorders>
            <w:noWrap w:val="0"/>
            <w:vAlign w:val="center"/>
          </w:tcPr>
          <w:p>
            <w:pPr>
              <w:widowControl w:val="0"/>
              <w:adjustRightInd w:val="0"/>
              <w:spacing w:line="360" w:lineRule="auto"/>
              <w:jc w:val="center"/>
              <w:rPr>
                <w:rFonts w:hint="eastAsia" w:ascii="仿宋_GB2312" w:hAnsi="仿宋" w:eastAsia="仿宋_GB2312"/>
                <w:sz w:val="24"/>
                <w:szCs w:val="24"/>
              </w:rPr>
            </w:pPr>
            <w:r>
              <w:rPr>
                <w:rFonts w:hint="eastAsia" w:ascii="仿宋_GB2312" w:hAnsi="仿宋" w:eastAsia="仿宋_GB2312"/>
                <w:sz w:val="24"/>
                <w:szCs w:val="24"/>
              </w:rPr>
              <w:t>节能产品认证证书有效截止日期</w:t>
            </w:r>
          </w:p>
        </w:tc>
        <w:tc>
          <w:tcPr>
            <w:tcW w:w="4620" w:type="dxa"/>
            <w:tcBorders>
              <w:top w:val="single" w:color="auto" w:sz="12" w:space="0"/>
              <w:left w:val="single" w:color="auto" w:sz="4" w:space="0"/>
              <w:bottom w:val="single" w:color="auto" w:sz="4" w:space="0"/>
              <w:right w:val="single" w:color="auto" w:sz="12" w:space="0"/>
            </w:tcBorders>
            <w:noWrap w:val="0"/>
            <w:vAlign w:val="center"/>
          </w:tcPr>
          <w:p>
            <w:pPr>
              <w:widowControl w:val="0"/>
              <w:adjustRightInd w:val="0"/>
              <w:spacing w:line="360" w:lineRule="auto"/>
              <w:jc w:val="center"/>
              <w:rPr>
                <w:rFonts w:hint="eastAsia" w:ascii="仿宋_GB2312" w:hAnsi="仿宋" w:eastAsia="仿宋_GB2312"/>
                <w:sz w:val="24"/>
                <w:szCs w:val="24"/>
              </w:rPr>
            </w:pPr>
            <w:r>
              <w:rPr>
                <w:rFonts w:hint="eastAsia" w:ascii="仿宋_GB2312" w:hAnsi="仿宋" w:eastAsia="仿宋_GB2312"/>
                <w:sz w:val="24"/>
                <w:szCs w:val="24"/>
              </w:rPr>
              <w:t>节能产品在《清单》（第 期）中的页码</w:t>
            </w:r>
          </w:p>
        </w:tc>
      </w:tr>
      <w:tr>
        <w:tblPrEx>
          <w:tblCellMar>
            <w:top w:w="0" w:type="dxa"/>
            <w:left w:w="108" w:type="dxa"/>
            <w:bottom w:w="0" w:type="dxa"/>
            <w:right w:w="108" w:type="dxa"/>
          </w:tblCellMar>
        </w:tblPrEx>
        <w:trPr>
          <w:wBefore w:w="0" w:type="dxa"/>
          <w:trHeight w:val="579" w:hRule="atLeast"/>
        </w:trPr>
        <w:tc>
          <w:tcPr>
            <w:tcW w:w="735" w:type="dxa"/>
            <w:tcBorders>
              <w:top w:val="single" w:color="auto" w:sz="4" w:space="0"/>
              <w:left w:val="single" w:color="auto" w:sz="12" w:space="0"/>
              <w:bottom w:val="single" w:color="auto" w:sz="4" w:space="0"/>
              <w:right w:val="single" w:color="auto" w:sz="4" w:space="0"/>
            </w:tcBorders>
            <w:noWrap w:val="0"/>
            <w:vAlign w:val="center"/>
          </w:tcPr>
          <w:p>
            <w:pPr>
              <w:widowControl w:val="0"/>
              <w:adjustRightInd w:val="0"/>
              <w:spacing w:line="360" w:lineRule="auto"/>
              <w:jc w:val="center"/>
              <w:rPr>
                <w:rFonts w:hint="eastAsia" w:ascii="仿宋_GB2312" w:hAnsi="仿宋" w:eastAsia="仿宋_GB2312"/>
                <w:sz w:val="24"/>
                <w:szCs w:val="24"/>
              </w:rPr>
            </w:pPr>
          </w:p>
        </w:tc>
        <w:tc>
          <w:tcPr>
            <w:tcW w:w="1204"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pacing w:line="360" w:lineRule="auto"/>
              <w:jc w:val="center"/>
              <w:rPr>
                <w:rFonts w:hint="eastAsia" w:ascii="仿宋_GB2312" w:hAnsi="仿宋" w:eastAsia="仿宋_GB2312"/>
                <w:sz w:val="24"/>
                <w:szCs w:val="24"/>
              </w:rPr>
            </w:pPr>
          </w:p>
        </w:tc>
        <w:tc>
          <w:tcPr>
            <w:tcW w:w="2471"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pacing w:line="360" w:lineRule="auto"/>
              <w:jc w:val="center"/>
              <w:rPr>
                <w:rFonts w:hint="eastAsia" w:ascii="仿宋_GB2312" w:hAnsi="仿宋" w:eastAsia="仿宋_GB2312"/>
                <w:sz w:val="24"/>
                <w:szCs w:val="24"/>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pacing w:line="360" w:lineRule="auto"/>
              <w:jc w:val="center"/>
              <w:rPr>
                <w:rFonts w:hint="eastAsia" w:ascii="仿宋_GB2312" w:hAnsi="仿宋" w:eastAsia="仿宋_GB2312"/>
                <w:sz w:val="24"/>
                <w:szCs w:val="24"/>
              </w:rPr>
            </w:pPr>
          </w:p>
        </w:tc>
        <w:tc>
          <w:tcPr>
            <w:tcW w:w="4620" w:type="dxa"/>
            <w:tcBorders>
              <w:top w:val="single" w:color="auto" w:sz="4" w:space="0"/>
              <w:left w:val="single" w:color="auto" w:sz="4" w:space="0"/>
              <w:bottom w:val="single" w:color="auto" w:sz="4" w:space="0"/>
              <w:right w:val="single" w:color="auto" w:sz="12" w:space="0"/>
            </w:tcBorders>
            <w:noWrap w:val="0"/>
            <w:vAlign w:val="center"/>
          </w:tcPr>
          <w:p>
            <w:pPr>
              <w:widowControl w:val="0"/>
              <w:adjustRightInd w:val="0"/>
              <w:spacing w:line="360" w:lineRule="auto"/>
              <w:jc w:val="center"/>
              <w:rPr>
                <w:rFonts w:hint="eastAsia" w:ascii="仿宋_GB2312" w:hAnsi="仿宋" w:eastAsia="仿宋_GB2312"/>
                <w:sz w:val="24"/>
                <w:szCs w:val="24"/>
              </w:rPr>
            </w:pPr>
          </w:p>
        </w:tc>
      </w:tr>
      <w:tr>
        <w:tblPrEx>
          <w:tblCellMar>
            <w:top w:w="0" w:type="dxa"/>
            <w:left w:w="108" w:type="dxa"/>
            <w:bottom w:w="0" w:type="dxa"/>
            <w:right w:w="108" w:type="dxa"/>
          </w:tblCellMar>
        </w:tblPrEx>
        <w:trPr>
          <w:wBefore w:w="0" w:type="dxa"/>
          <w:trHeight w:val="615" w:hRule="atLeast"/>
        </w:trPr>
        <w:tc>
          <w:tcPr>
            <w:tcW w:w="735" w:type="dxa"/>
            <w:tcBorders>
              <w:top w:val="single" w:color="auto" w:sz="4" w:space="0"/>
              <w:left w:val="single" w:color="auto" w:sz="12" w:space="0"/>
              <w:bottom w:val="single" w:color="auto" w:sz="4" w:space="0"/>
              <w:right w:val="single" w:color="auto" w:sz="4" w:space="0"/>
            </w:tcBorders>
            <w:noWrap w:val="0"/>
            <w:vAlign w:val="center"/>
          </w:tcPr>
          <w:p>
            <w:pPr>
              <w:widowControl w:val="0"/>
              <w:adjustRightInd w:val="0"/>
              <w:spacing w:line="360" w:lineRule="auto"/>
              <w:jc w:val="center"/>
              <w:rPr>
                <w:rFonts w:hint="eastAsia" w:ascii="仿宋_GB2312" w:hAnsi="仿宋" w:eastAsia="仿宋_GB2312"/>
                <w:sz w:val="24"/>
                <w:szCs w:val="24"/>
              </w:rPr>
            </w:pPr>
          </w:p>
        </w:tc>
        <w:tc>
          <w:tcPr>
            <w:tcW w:w="1204"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pacing w:line="360" w:lineRule="auto"/>
              <w:jc w:val="center"/>
              <w:rPr>
                <w:rFonts w:hint="eastAsia" w:ascii="仿宋_GB2312" w:hAnsi="仿宋" w:eastAsia="仿宋_GB2312"/>
                <w:sz w:val="24"/>
                <w:szCs w:val="24"/>
              </w:rPr>
            </w:pPr>
          </w:p>
        </w:tc>
        <w:tc>
          <w:tcPr>
            <w:tcW w:w="2471"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pacing w:line="360" w:lineRule="auto"/>
              <w:jc w:val="center"/>
              <w:rPr>
                <w:rFonts w:hint="eastAsia" w:ascii="仿宋_GB2312" w:hAnsi="仿宋" w:eastAsia="仿宋_GB2312"/>
                <w:sz w:val="24"/>
                <w:szCs w:val="24"/>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pacing w:line="360" w:lineRule="auto"/>
              <w:jc w:val="center"/>
              <w:rPr>
                <w:rFonts w:hint="eastAsia" w:ascii="仿宋_GB2312" w:hAnsi="仿宋" w:eastAsia="仿宋_GB2312"/>
                <w:sz w:val="24"/>
                <w:szCs w:val="24"/>
              </w:rPr>
            </w:pPr>
          </w:p>
        </w:tc>
        <w:tc>
          <w:tcPr>
            <w:tcW w:w="4620" w:type="dxa"/>
            <w:tcBorders>
              <w:top w:val="single" w:color="auto" w:sz="4" w:space="0"/>
              <w:left w:val="single" w:color="auto" w:sz="4" w:space="0"/>
              <w:bottom w:val="single" w:color="auto" w:sz="4" w:space="0"/>
              <w:right w:val="single" w:color="auto" w:sz="12" w:space="0"/>
            </w:tcBorders>
            <w:noWrap w:val="0"/>
            <w:vAlign w:val="center"/>
          </w:tcPr>
          <w:p>
            <w:pPr>
              <w:widowControl w:val="0"/>
              <w:adjustRightInd w:val="0"/>
              <w:spacing w:line="360" w:lineRule="auto"/>
              <w:jc w:val="center"/>
              <w:rPr>
                <w:rFonts w:hint="eastAsia" w:ascii="仿宋_GB2312" w:hAnsi="仿宋" w:eastAsia="仿宋_GB2312"/>
                <w:sz w:val="24"/>
                <w:szCs w:val="24"/>
              </w:rPr>
            </w:pPr>
          </w:p>
        </w:tc>
      </w:tr>
      <w:tr>
        <w:tblPrEx>
          <w:tblCellMar>
            <w:top w:w="0" w:type="dxa"/>
            <w:left w:w="108" w:type="dxa"/>
            <w:bottom w:w="0" w:type="dxa"/>
            <w:right w:w="108" w:type="dxa"/>
          </w:tblCellMar>
        </w:tblPrEx>
        <w:trPr>
          <w:wBefore w:w="0" w:type="dxa"/>
          <w:trHeight w:val="615" w:hRule="atLeast"/>
        </w:trPr>
        <w:tc>
          <w:tcPr>
            <w:tcW w:w="735" w:type="dxa"/>
            <w:tcBorders>
              <w:top w:val="single" w:color="auto" w:sz="4" w:space="0"/>
              <w:left w:val="single" w:color="auto" w:sz="12" w:space="0"/>
              <w:bottom w:val="single" w:color="auto" w:sz="12" w:space="0"/>
              <w:right w:val="single" w:color="auto" w:sz="4" w:space="0"/>
            </w:tcBorders>
            <w:noWrap w:val="0"/>
            <w:vAlign w:val="center"/>
          </w:tcPr>
          <w:p>
            <w:pPr>
              <w:widowControl w:val="0"/>
              <w:adjustRightInd w:val="0"/>
              <w:spacing w:line="360" w:lineRule="auto"/>
              <w:jc w:val="center"/>
              <w:rPr>
                <w:rFonts w:hint="eastAsia" w:ascii="仿宋_GB2312" w:hAnsi="仿宋" w:eastAsia="仿宋_GB2312"/>
                <w:sz w:val="24"/>
                <w:szCs w:val="24"/>
              </w:rPr>
            </w:pPr>
          </w:p>
        </w:tc>
        <w:tc>
          <w:tcPr>
            <w:tcW w:w="1204" w:type="dxa"/>
            <w:tcBorders>
              <w:top w:val="single" w:color="auto" w:sz="4" w:space="0"/>
              <w:left w:val="single" w:color="auto" w:sz="4" w:space="0"/>
              <w:bottom w:val="single" w:color="auto" w:sz="12" w:space="0"/>
              <w:right w:val="single" w:color="auto" w:sz="4" w:space="0"/>
            </w:tcBorders>
            <w:noWrap w:val="0"/>
            <w:vAlign w:val="center"/>
          </w:tcPr>
          <w:p>
            <w:pPr>
              <w:widowControl w:val="0"/>
              <w:adjustRightInd w:val="0"/>
              <w:spacing w:line="360" w:lineRule="auto"/>
              <w:jc w:val="center"/>
              <w:rPr>
                <w:rFonts w:hint="eastAsia" w:ascii="仿宋_GB2312" w:hAnsi="仿宋" w:eastAsia="仿宋_GB2312"/>
                <w:sz w:val="24"/>
                <w:szCs w:val="24"/>
              </w:rPr>
            </w:pPr>
          </w:p>
        </w:tc>
        <w:tc>
          <w:tcPr>
            <w:tcW w:w="2471" w:type="dxa"/>
            <w:tcBorders>
              <w:top w:val="single" w:color="auto" w:sz="4" w:space="0"/>
              <w:left w:val="single" w:color="auto" w:sz="4" w:space="0"/>
              <w:bottom w:val="single" w:color="auto" w:sz="12" w:space="0"/>
              <w:right w:val="single" w:color="auto" w:sz="4" w:space="0"/>
            </w:tcBorders>
            <w:noWrap w:val="0"/>
            <w:vAlign w:val="center"/>
          </w:tcPr>
          <w:p>
            <w:pPr>
              <w:widowControl w:val="0"/>
              <w:adjustRightInd w:val="0"/>
              <w:spacing w:line="360" w:lineRule="auto"/>
              <w:jc w:val="center"/>
              <w:rPr>
                <w:rFonts w:hint="eastAsia" w:ascii="仿宋_GB2312" w:hAnsi="仿宋" w:eastAsia="仿宋_GB2312"/>
                <w:sz w:val="24"/>
                <w:szCs w:val="24"/>
              </w:rPr>
            </w:pPr>
          </w:p>
        </w:tc>
        <w:tc>
          <w:tcPr>
            <w:tcW w:w="1995" w:type="dxa"/>
            <w:tcBorders>
              <w:top w:val="single" w:color="auto" w:sz="4" w:space="0"/>
              <w:left w:val="single" w:color="auto" w:sz="4" w:space="0"/>
              <w:bottom w:val="single" w:color="auto" w:sz="12" w:space="0"/>
              <w:right w:val="single" w:color="auto" w:sz="4" w:space="0"/>
            </w:tcBorders>
            <w:noWrap w:val="0"/>
            <w:vAlign w:val="center"/>
          </w:tcPr>
          <w:p>
            <w:pPr>
              <w:widowControl w:val="0"/>
              <w:adjustRightInd w:val="0"/>
              <w:spacing w:line="360" w:lineRule="auto"/>
              <w:jc w:val="center"/>
              <w:rPr>
                <w:rFonts w:hint="eastAsia" w:ascii="仿宋_GB2312" w:hAnsi="仿宋" w:eastAsia="仿宋_GB2312"/>
                <w:sz w:val="24"/>
                <w:szCs w:val="24"/>
              </w:rPr>
            </w:pPr>
          </w:p>
        </w:tc>
        <w:tc>
          <w:tcPr>
            <w:tcW w:w="4620" w:type="dxa"/>
            <w:tcBorders>
              <w:top w:val="single" w:color="auto" w:sz="4" w:space="0"/>
              <w:left w:val="single" w:color="auto" w:sz="4" w:space="0"/>
              <w:bottom w:val="single" w:color="auto" w:sz="12" w:space="0"/>
              <w:right w:val="single" w:color="auto" w:sz="12" w:space="0"/>
            </w:tcBorders>
            <w:noWrap w:val="0"/>
            <w:vAlign w:val="center"/>
          </w:tcPr>
          <w:p>
            <w:pPr>
              <w:widowControl w:val="0"/>
              <w:adjustRightInd w:val="0"/>
              <w:spacing w:line="360" w:lineRule="auto"/>
              <w:jc w:val="center"/>
              <w:rPr>
                <w:rFonts w:hint="eastAsia" w:ascii="仿宋_GB2312" w:hAnsi="仿宋" w:eastAsia="仿宋_GB2312"/>
                <w:sz w:val="24"/>
                <w:szCs w:val="24"/>
              </w:rPr>
            </w:pPr>
          </w:p>
        </w:tc>
      </w:tr>
    </w:tbl>
    <w:p>
      <w:pPr>
        <w:widowControl w:val="0"/>
        <w:adjustRightInd w:val="0"/>
        <w:spacing w:line="360" w:lineRule="auto"/>
        <w:jc w:val="both"/>
        <w:rPr>
          <w:rFonts w:hint="eastAsia" w:ascii="仿宋_GB2312" w:hAnsi="仿宋" w:eastAsia="仿宋_GB2312"/>
          <w:b/>
          <w:bCs/>
          <w:sz w:val="24"/>
          <w:szCs w:val="24"/>
        </w:rPr>
      </w:pPr>
      <w:r>
        <w:rPr>
          <w:rFonts w:hint="eastAsia" w:ascii="仿宋_GB2312" w:hAnsi="仿宋" w:eastAsia="仿宋_GB2312"/>
          <w:b/>
          <w:bCs/>
          <w:sz w:val="24"/>
          <w:szCs w:val="24"/>
        </w:rPr>
        <w:t xml:space="preserve"> </w:t>
      </w:r>
    </w:p>
    <w:p>
      <w:pPr>
        <w:widowControl w:val="0"/>
        <w:adjustRightInd w:val="0"/>
        <w:spacing w:line="360" w:lineRule="auto"/>
        <w:rPr>
          <w:rFonts w:hint="eastAsia" w:ascii="仿宋_GB2312" w:hAnsi="仿宋" w:eastAsia="仿宋_GB2312"/>
          <w:b/>
          <w:spacing w:val="6"/>
          <w:sz w:val="32"/>
          <w:szCs w:val="32"/>
        </w:rPr>
      </w:pPr>
      <w:r>
        <w:rPr>
          <w:rFonts w:hint="eastAsia" w:ascii="仿宋_GB2312" w:hAnsi="仿宋" w:eastAsia="仿宋_GB2312"/>
          <w:b/>
          <w:spacing w:val="6"/>
          <w:sz w:val="32"/>
          <w:szCs w:val="32"/>
        </w:rPr>
        <w:t>附表8：政府采购环境标志产品页码表（复印件加盖公章）</w:t>
      </w:r>
    </w:p>
    <w:tbl>
      <w:tblPr>
        <w:tblStyle w:val="64"/>
        <w:tblW w:w="0" w:type="auto"/>
        <w:tblInd w:w="-837" w:type="dxa"/>
        <w:tblLayout w:type="fixed"/>
        <w:tblCellMar>
          <w:top w:w="0" w:type="dxa"/>
          <w:left w:w="108" w:type="dxa"/>
          <w:bottom w:w="0" w:type="dxa"/>
          <w:right w:w="108" w:type="dxa"/>
        </w:tblCellMar>
      </w:tblPr>
      <w:tblGrid>
        <w:gridCol w:w="714"/>
        <w:gridCol w:w="1218"/>
        <w:gridCol w:w="2457"/>
        <w:gridCol w:w="2100"/>
        <w:gridCol w:w="4410"/>
      </w:tblGrid>
      <w:tr>
        <w:tblPrEx>
          <w:tblCellMar>
            <w:top w:w="0" w:type="dxa"/>
            <w:left w:w="108" w:type="dxa"/>
            <w:bottom w:w="0" w:type="dxa"/>
            <w:right w:w="108" w:type="dxa"/>
          </w:tblCellMar>
        </w:tblPrEx>
        <w:trPr>
          <w:wBefore w:w="0" w:type="dxa"/>
          <w:trHeight w:val="714" w:hRule="atLeast"/>
        </w:trPr>
        <w:tc>
          <w:tcPr>
            <w:tcW w:w="714" w:type="dxa"/>
            <w:tcBorders>
              <w:top w:val="single" w:color="auto" w:sz="12" w:space="0"/>
              <w:left w:val="single" w:color="auto" w:sz="12" w:space="0"/>
              <w:bottom w:val="single" w:color="auto" w:sz="4" w:space="0"/>
              <w:right w:val="single" w:color="auto" w:sz="4" w:space="0"/>
            </w:tcBorders>
            <w:noWrap w:val="0"/>
            <w:vAlign w:val="center"/>
          </w:tcPr>
          <w:p>
            <w:pPr>
              <w:widowControl w:val="0"/>
              <w:adjustRightInd w:val="0"/>
              <w:spacing w:line="360" w:lineRule="auto"/>
              <w:jc w:val="center"/>
              <w:rPr>
                <w:rFonts w:hint="eastAsia" w:ascii="仿宋_GB2312" w:hAnsi="仿宋" w:eastAsia="仿宋_GB2312"/>
                <w:sz w:val="24"/>
                <w:szCs w:val="24"/>
              </w:rPr>
            </w:pPr>
            <w:r>
              <w:rPr>
                <w:rFonts w:hint="eastAsia" w:ascii="仿宋_GB2312" w:hAnsi="仿宋" w:eastAsia="仿宋_GB2312"/>
                <w:sz w:val="24"/>
                <w:szCs w:val="24"/>
              </w:rPr>
              <w:t>序号</w:t>
            </w:r>
          </w:p>
        </w:tc>
        <w:tc>
          <w:tcPr>
            <w:tcW w:w="1218" w:type="dxa"/>
            <w:tcBorders>
              <w:top w:val="single" w:color="auto" w:sz="12" w:space="0"/>
              <w:left w:val="single" w:color="auto" w:sz="4" w:space="0"/>
              <w:bottom w:val="single" w:color="auto" w:sz="4" w:space="0"/>
              <w:right w:val="single" w:color="auto" w:sz="4" w:space="0"/>
            </w:tcBorders>
            <w:noWrap w:val="0"/>
            <w:vAlign w:val="center"/>
          </w:tcPr>
          <w:p>
            <w:pPr>
              <w:widowControl w:val="0"/>
              <w:adjustRightInd w:val="0"/>
              <w:spacing w:line="360" w:lineRule="auto"/>
              <w:jc w:val="center"/>
              <w:rPr>
                <w:rFonts w:hint="eastAsia" w:ascii="仿宋_GB2312" w:hAnsi="仿宋" w:eastAsia="仿宋_GB2312"/>
                <w:sz w:val="24"/>
                <w:szCs w:val="24"/>
              </w:rPr>
            </w:pPr>
            <w:r>
              <w:rPr>
                <w:rFonts w:hint="eastAsia" w:ascii="仿宋_GB2312" w:hAnsi="仿宋" w:eastAsia="仿宋_GB2312"/>
                <w:sz w:val="24"/>
                <w:szCs w:val="24"/>
              </w:rPr>
              <w:t>产品型号</w:t>
            </w:r>
          </w:p>
        </w:tc>
        <w:tc>
          <w:tcPr>
            <w:tcW w:w="2457" w:type="dxa"/>
            <w:tcBorders>
              <w:top w:val="single" w:color="auto" w:sz="12" w:space="0"/>
              <w:left w:val="single" w:color="auto" w:sz="4" w:space="0"/>
              <w:bottom w:val="single" w:color="auto" w:sz="4" w:space="0"/>
              <w:right w:val="single" w:color="auto" w:sz="4" w:space="0"/>
            </w:tcBorders>
            <w:noWrap w:val="0"/>
            <w:vAlign w:val="center"/>
          </w:tcPr>
          <w:p>
            <w:pPr>
              <w:widowControl w:val="0"/>
              <w:adjustRightInd w:val="0"/>
              <w:spacing w:line="360" w:lineRule="auto"/>
              <w:jc w:val="center"/>
              <w:rPr>
                <w:rFonts w:hint="eastAsia" w:ascii="仿宋_GB2312" w:hAnsi="仿宋" w:eastAsia="仿宋_GB2312"/>
                <w:sz w:val="24"/>
                <w:szCs w:val="24"/>
              </w:rPr>
            </w:pPr>
            <w:r>
              <w:rPr>
                <w:rFonts w:hint="eastAsia" w:ascii="仿宋_GB2312" w:hAnsi="仿宋" w:eastAsia="仿宋_GB2312"/>
                <w:sz w:val="24"/>
                <w:szCs w:val="24"/>
              </w:rPr>
              <w:t>环境标志产品认证证书号</w:t>
            </w:r>
          </w:p>
        </w:tc>
        <w:tc>
          <w:tcPr>
            <w:tcW w:w="2100" w:type="dxa"/>
            <w:tcBorders>
              <w:top w:val="single" w:color="auto" w:sz="12" w:space="0"/>
              <w:left w:val="single" w:color="auto" w:sz="4" w:space="0"/>
              <w:bottom w:val="single" w:color="auto" w:sz="4" w:space="0"/>
              <w:right w:val="single" w:color="auto" w:sz="4" w:space="0"/>
            </w:tcBorders>
            <w:noWrap w:val="0"/>
            <w:vAlign w:val="center"/>
          </w:tcPr>
          <w:p>
            <w:pPr>
              <w:widowControl w:val="0"/>
              <w:adjustRightInd w:val="0"/>
              <w:spacing w:line="360" w:lineRule="auto"/>
              <w:jc w:val="center"/>
              <w:rPr>
                <w:rFonts w:hint="eastAsia" w:ascii="仿宋_GB2312" w:hAnsi="仿宋" w:eastAsia="仿宋_GB2312"/>
                <w:sz w:val="24"/>
                <w:szCs w:val="24"/>
              </w:rPr>
            </w:pPr>
            <w:r>
              <w:rPr>
                <w:rFonts w:hint="eastAsia" w:ascii="仿宋_GB2312" w:hAnsi="仿宋" w:eastAsia="仿宋_GB2312"/>
                <w:sz w:val="24"/>
                <w:szCs w:val="24"/>
              </w:rPr>
              <w:t>环境标志产品认证证书有效截止日期</w:t>
            </w:r>
          </w:p>
        </w:tc>
        <w:tc>
          <w:tcPr>
            <w:tcW w:w="4410" w:type="dxa"/>
            <w:tcBorders>
              <w:top w:val="single" w:color="auto" w:sz="12" w:space="0"/>
              <w:left w:val="single" w:color="auto" w:sz="4" w:space="0"/>
              <w:bottom w:val="single" w:color="auto" w:sz="4" w:space="0"/>
              <w:right w:val="single" w:color="auto" w:sz="12" w:space="0"/>
            </w:tcBorders>
            <w:noWrap w:val="0"/>
            <w:vAlign w:val="center"/>
          </w:tcPr>
          <w:p>
            <w:pPr>
              <w:widowControl w:val="0"/>
              <w:adjustRightInd w:val="0"/>
              <w:spacing w:line="360" w:lineRule="auto"/>
              <w:jc w:val="center"/>
              <w:rPr>
                <w:rFonts w:hint="eastAsia" w:ascii="仿宋_GB2312" w:hAnsi="仿宋" w:eastAsia="仿宋_GB2312"/>
                <w:sz w:val="24"/>
                <w:szCs w:val="24"/>
              </w:rPr>
            </w:pPr>
            <w:r>
              <w:rPr>
                <w:rFonts w:hint="eastAsia" w:ascii="仿宋_GB2312" w:hAnsi="仿宋" w:eastAsia="仿宋_GB2312"/>
                <w:sz w:val="24"/>
                <w:szCs w:val="24"/>
              </w:rPr>
              <w:t>环境标志产品在《清单》（第  期）中的页码</w:t>
            </w:r>
          </w:p>
        </w:tc>
      </w:tr>
      <w:tr>
        <w:tblPrEx>
          <w:tblCellMar>
            <w:top w:w="0" w:type="dxa"/>
            <w:left w:w="108" w:type="dxa"/>
            <w:bottom w:w="0" w:type="dxa"/>
            <w:right w:w="108" w:type="dxa"/>
          </w:tblCellMar>
        </w:tblPrEx>
        <w:trPr>
          <w:wBefore w:w="0" w:type="dxa"/>
          <w:trHeight w:val="637" w:hRule="atLeast"/>
        </w:trPr>
        <w:tc>
          <w:tcPr>
            <w:tcW w:w="714" w:type="dxa"/>
            <w:tcBorders>
              <w:top w:val="single" w:color="auto" w:sz="4" w:space="0"/>
              <w:left w:val="single" w:color="auto" w:sz="12" w:space="0"/>
              <w:bottom w:val="single" w:color="auto" w:sz="4" w:space="0"/>
              <w:right w:val="single" w:color="auto" w:sz="4" w:space="0"/>
            </w:tcBorders>
            <w:noWrap w:val="0"/>
            <w:vAlign w:val="center"/>
          </w:tcPr>
          <w:p>
            <w:pPr>
              <w:widowControl w:val="0"/>
              <w:adjustRightInd w:val="0"/>
              <w:spacing w:line="360" w:lineRule="auto"/>
              <w:jc w:val="center"/>
              <w:rPr>
                <w:rFonts w:hint="eastAsia" w:ascii="仿宋_GB2312" w:hAnsi="仿宋" w:eastAsia="仿宋_GB2312"/>
                <w:sz w:val="24"/>
                <w:szCs w:val="24"/>
              </w:rPr>
            </w:pPr>
          </w:p>
        </w:tc>
        <w:tc>
          <w:tcPr>
            <w:tcW w:w="1218"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pacing w:line="360" w:lineRule="auto"/>
              <w:jc w:val="center"/>
              <w:rPr>
                <w:rFonts w:hint="eastAsia" w:ascii="仿宋_GB2312" w:hAnsi="仿宋" w:eastAsia="仿宋_GB2312"/>
                <w:sz w:val="24"/>
                <w:szCs w:val="24"/>
              </w:rPr>
            </w:pPr>
          </w:p>
        </w:tc>
        <w:tc>
          <w:tcPr>
            <w:tcW w:w="2457"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pacing w:line="360" w:lineRule="auto"/>
              <w:jc w:val="center"/>
              <w:rPr>
                <w:rFonts w:hint="eastAsia" w:ascii="仿宋_GB2312" w:hAnsi="仿宋" w:eastAsia="仿宋_GB2312"/>
                <w:sz w:val="24"/>
                <w:szCs w:val="24"/>
              </w:rPr>
            </w:pPr>
          </w:p>
        </w:tc>
        <w:tc>
          <w:tcPr>
            <w:tcW w:w="2100"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pacing w:line="360" w:lineRule="auto"/>
              <w:jc w:val="center"/>
              <w:rPr>
                <w:rFonts w:hint="eastAsia" w:ascii="仿宋_GB2312" w:hAnsi="仿宋" w:eastAsia="仿宋_GB2312"/>
                <w:sz w:val="24"/>
                <w:szCs w:val="24"/>
              </w:rPr>
            </w:pPr>
          </w:p>
        </w:tc>
        <w:tc>
          <w:tcPr>
            <w:tcW w:w="4410" w:type="dxa"/>
            <w:tcBorders>
              <w:top w:val="single" w:color="auto" w:sz="4" w:space="0"/>
              <w:left w:val="single" w:color="auto" w:sz="4" w:space="0"/>
              <w:bottom w:val="single" w:color="auto" w:sz="4" w:space="0"/>
              <w:right w:val="single" w:color="auto" w:sz="12" w:space="0"/>
            </w:tcBorders>
            <w:noWrap w:val="0"/>
            <w:vAlign w:val="center"/>
          </w:tcPr>
          <w:p>
            <w:pPr>
              <w:widowControl w:val="0"/>
              <w:adjustRightInd w:val="0"/>
              <w:spacing w:line="360" w:lineRule="auto"/>
              <w:jc w:val="center"/>
              <w:rPr>
                <w:rFonts w:hint="eastAsia" w:ascii="仿宋_GB2312" w:hAnsi="仿宋" w:eastAsia="仿宋_GB2312"/>
                <w:sz w:val="24"/>
                <w:szCs w:val="24"/>
              </w:rPr>
            </w:pPr>
          </w:p>
        </w:tc>
      </w:tr>
      <w:tr>
        <w:tblPrEx>
          <w:tblCellMar>
            <w:top w:w="0" w:type="dxa"/>
            <w:left w:w="108" w:type="dxa"/>
            <w:bottom w:w="0" w:type="dxa"/>
            <w:right w:w="108" w:type="dxa"/>
          </w:tblCellMar>
        </w:tblPrEx>
        <w:trPr>
          <w:wBefore w:w="0" w:type="dxa"/>
          <w:trHeight w:val="617" w:hRule="atLeast"/>
        </w:trPr>
        <w:tc>
          <w:tcPr>
            <w:tcW w:w="714" w:type="dxa"/>
            <w:tcBorders>
              <w:top w:val="single" w:color="auto" w:sz="4" w:space="0"/>
              <w:left w:val="single" w:color="auto" w:sz="12" w:space="0"/>
              <w:bottom w:val="single" w:color="auto" w:sz="4" w:space="0"/>
              <w:right w:val="single" w:color="auto" w:sz="4" w:space="0"/>
            </w:tcBorders>
            <w:noWrap w:val="0"/>
            <w:vAlign w:val="center"/>
          </w:tcPr>
          <w:p>
            <w:pPr>
              <w:widowControl w:val="0"/>
              <w:adjustRightInd w:val="0"/>
              <w:spacing w:line="360" w:lineRule="auto"/>
              <w:jc w:val="center"/>
              <w:rPr>
                <w:rFonts w:hint="eastAsia" w:ascii="仿宋_GB2312" w:hAnsi="仿宋" w:eastAsia="仿宋_GB2312"/>
                <w:sz w:val="24"/>
                <w:szCs w:val="24"/>
              </w:rPr>
            </w:pPr>
          </w:p>
        </w:tc>
        <w:tc>
          <w:tcPr>
            <w:tcW w:w="1218"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pacing w:line="360" w:lineRule="auto"/>
              <w:jc w:val="center"/>
              <w:rPr>
                <w:rFonts w:hint="eastAsia" w:ascii="仿宋_GB2312" w:hAnsi="仿宋" w:eastAsia="仿宋_GB2312"/>
                <w:sz w:val="24"/>
                <w:szCs w:val="24"/>
              </w:rPr>
            </w:pPr>
          </w:p>
        </w:tc>
        <w:tc>
          <w:tcPr>
            <w:tcW w:w="2457"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pacing w:line="360" w:lineRule="auto"/>
              <w:jc w:val="center"/>
              <w:rPr>
                <w:rFonts w:hint="eastAsia" w:ascii="仿宋_GB2312" w:hAnsi="仿宋" w:eastAsia="仿宋_GB2312"/>
                <w:sz w:val="24"/>
                <w:szCs w:val="24"/>
              </w:rPr>
            </w:pPr>
          </w:p>
        </w:tc>
        <w:tc>
          <w:tcPr>
            <w:tcW w:w="2100"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pacing w:line="360" w:lineRule="auto"/>
              <w:jc w:val="center"/>
              <w:rPr>
                <w:rFonts w:hint="eastAsia" w:ascii="仿宋_GB2312" w:hAnsi="仿宋" w:eastAsia="仿宋_GB2312"/>
                <w:sz w:val="24"/>
                <w:szCs w:val="24"/>
              </w:rPr>
            </w:pPr>
          </w:p>
        </w:tc>
        <w:tc>
          <w:tcPr>
            <w:tcW w:w="4410" w:type="dxa"/>
            <w:tcBorders>
              <w:top w:val="single" w:color="auto" w:sz="4" w:space="0"/>
              <w:left w:val="single" w:color="auto" w:sz="4" w:space="0"/>
              <w:bottom w:val="single" w:color="auto" w:sz="4" w:space="0"/>
              <w:right w:val="single" w:color="auto" w:sz="12" w:space="0"/>
            </w:tcBorders>
            <w:noWrap w:val="0"/>
            <w:vAlign w:val="center"/>
          </w:tcPr>
          <w:p>
            <w:pPr>
              <w:widowControl w:val="0"/>
              <w:adjustRightInd w:val="0"/>
              <w:spacing w:line="360" w:lineRule="auto"/>
              <w:jc w:val="center"/>
              <w:rPr>
                <w:rFonts w:hint="eastAsia" w:ascii="仿宋_GB2312" w:hAnsi="仿宋" w:eastAsia="仿宋_GB2312"/>
                <w:sz w:val="24"/>
                <w:szCs w:val="24"/>
              </w:rPr>
            </w:pPr>
          </w:p>
        </w:tc>
      </w:tr>
      <w:tr>
        <w:tblPrEx>
          <w:tblCellMar>
            <w:top w:w="0" w:type="dxa"/>
            <w:left w:w="108" w:type="dxa"/>
            <w:bottom w:w="0" w:type="dxa"/>
            <w:right w:w="108" w:type="dxa"/>
          </w:tblCellMar>
        </w:tblPrEx>
        <w:trPr>
          <w:wBefore w:w="0" w:type="dxa"/>
          <w:trHeight w:val="617" w:hRule="atLeast"/>
        </w:trPr>
        <w:tc>
          <w:tcPr>
            <w:tcW w:w="714" w:type="dxa"/>
            <w:tcBorders>
              <w:top w:val="single" w:color="auto" w:sz="4" w:space="0"/>
              <w:left w:val="single" w:color="auto" w:sz="12" w:space="0"/>
              <w:bottom w:val="single" w:color="auto" w:sz="12" w:space="0"/>
              <w:right w:val="single" w:color="auto" w:sz="4" w:space="0"/>
            </w:tcBorders>
            <w:noWrap w:val="0"/>
            <w:vAlign w:val="center"/>
          </w:tcPr>
          <w:p>
            <w:pPr>
              <w:widowControl w:val="0"/>
              <w:adjustRightInd w:val="0"/>
              <w:spacing w:line="360" w:lineRule="auto"/>
              <w:jc w:val="center"/>
              <w:rPr>
                <w:rFonts w:hint="eastAsia" w:ascii="仿宋_GB2312" w:hAnsi="仿宋" w:eastAsia="仿宋_GB2312"/>
                <w:sz w:val="24"/>
                <w:szCs w:val="24"/>
              </w:rPr>
            </w:pPr>
          </w:p>
        </w:tc>
        <w:tc>
          <w:tcPr>
            <w:tcW w:w="1218" w:type="dxa"/>
            <w:tcBorders>
              <w:top w:val="single" w:color="auto" w:sz="4" w:space="0"/>
              <w:left w:val="single" w:color="auto" w:sz="4" w:space="0"/>
              <w:bottom w:val="single" w:color="auto" w:sz="12" w:space="0"/>
              <w:right w:val="single" w:color="auto" w:sz="4" w:space="0"/>
            </w:tcBorders>
            <w:noWrap w:val="0"/>
            <w:vAlign w:val="center"/>
          </w:tcPr>
          <w:p>
            <w:pPr>
              <w:widowControl w:val="0"/>
              <w:adjustRightInd w:val="0"/>
              <w:spacing w:line="360" w:lineRule="auto"/>
              <w:jc w:val="center"/>
              <w:rPr>
                <w:rFonts w:hint="eastAsia" w:ascii="仿宋_GB2312" w:hAnsi="仿宋" w:eastAsia="仿宋_GB2312"/>
                <w:sz w:val="24"/>
                <w:szCs w:val="24"/>
              </w:rPr>
            </w:pPr>
          </w:p>
        </w:tc>
        <w:tc>
          <w:tcPr>
            <w:tcW w:w="2457" w:type="dxa"/>
            <w:tcBorders>
              <w:top w:val="single" w:color="auto" w:sz="4" w:space="0"/>
              <w:left w:val="single" w:color="auto" w:sz="4" w:space="0"/>
              <w:bottom w:val="single" w:color="auto" w:sz="12" w:space="0"/>
              <w:right w:val="single" w:color="auto" w:sz="4" w:space="0"/>
            </w:tcBorders>
            <w:noWrap w:val="0"/>
            <w:vAlign w:val="center"/>
          </w:tcPr>
          <w:p>
            <w:pPr>
              <w:widowControl w:val="0"/>
              <w:adjustRightInd w:val="0"/>
              <w:spacing w:line="360" w:lineRule="auto"/>
              <w:jc w:val="center"/>
              <w:rPr>
                <w:rFonts w:hint="eastAsia" w:ascii="仿宋_GB2312" w:hAnsi="仿宋" w:eastAsia="仿宋_GB2312"/>
                <w:sz w:val="24"/>
                <w:szCs w:val="24"/>
              </w:rPr>
            </w:pPr>
          </w:p>
        </w:tc>
        <w:tc>
          <w:tcPr>
            <w:tcW w:w="2100" w:type="dxa"/>
            <w:tcBorders>
              <w:top w:val="single" w:color="auto" w:sz="4" w:space="0"/>
              <w:left w:val="single" w:color="auto" w:sz="4" w:space="0"/>
              <w:bottom w:val="single" w:color="auto" w:sz="12" w:space="0"/>
              <w:right w:val="single" w:color="auto" w:sz="4" w:space="0"/>
            </w:tcBorders>
            <w:noWrap w:val="0"/>
            <w:vAlign w:val="center"/>
          </w:tcPr>
          <w:p>
            <w:pPr>
              <w:widowControl w:val="0"/>
              <w:adjustRightInd w:val="0"/>
              <w:spacing w:line="360" w:lineRule="auto"/>
              <w:jc w:val="center"/>
              <w:rPr>
                <w:rFonts w:hint="eastAsia" w:ascii="仿宋_GB2312" w:hAnsi="仿宋" w:eastAsia="仿宋_GB2312"/>
                <w:sz w:val="24"/>
                <w:szCs w:val="24"/>
              </w:rPr>
            </w:pPr>
          </w:p>
        </w:tc>
        <w:tc>
          <w:tcPr>
            <w:tcW w:w="4410" w:type="dxa"/>
            <w:tcBorders>
              <w:top w:val="single" w:color="auto" w:sz="4" w:space="0"/>
              <w:left w:val="single" w:color="auto" w:sz="4" w:space="0"/>
              <w:bottom w:val="single" w:color="auto" w:sz="12" w:space="0"/>
              <w:right w:val="single" w:color="auto" w:sz="12" w:space="0"/>
            </w:tcBorders>
            <w:noWrap w:val="0"/>
            <w:vAlign w:val="center"/>
          </w:tcPr>
          <w:p>
            <w:pPr>
              <w:widowControl w:val="0"/>
              <w:adjustRightInd w:val="0"/>
              <w:spacing w:line="360" w:lineRule="auto"/>
              <w:jc w:val="center"/>
              <w:rPr>
                <w:rFonts w:hint="eastAsia" w:ascii="仿宋_GB2312" w:hAnsi="仿宋" w:eastAsia="仿宋_GB2312"/>
                <w:sz w:val="24"/>
                <w:szCs w:val="24"/>
              </w:rPr>
            </w:pPr>
          </w:p>
        </w:tc>
      </w:tr>
    </w:tbl>
    <w:p>
      <w:pPr>
        <w:widowControl w:val="0"/>
        <w:autoSpaceDE w:val="0"/>
        <w:autoSpaceDN w:val="0"/>
        <w:adjustRightInd w:val="0"/>
        <w:spacing w:line="360" w:lineRule="auto"/>
        <w:ind w:firstLine="4560" w:firstLineChars="1900"/>
        <w:jc w:val="both"/>
        <w:rPr>
          <w:rFonts w:hint="eastAsia" w:ascii="仿宋_GB2312" w:hAnsi="仿宋" w:eastAsia="仿宋_GB2312"/>
          <w:kern w:val="0"/>
          <w:sz w:val="24"/>
          <w:szCs w:val="24"/>
        </w:rPr>
      </w:pPr>
    </w:p>
    <w:p>
      <w:pPr>
        <w:widowControl w:val="0"/>
        <w:autoSpaceDE w:val="0"/>
        <w:autoSpaceDN w:val="0"/>
        <w:adjustRightInd w:val="0"/>
        <w:spacing w:line="360" w:lineRule="auto"/>
        <w:ind w:firstLine="4560" w:firstLineChars="1900"/>
        <w:jc w:val="both"/>
        <w:rPr>
          <w:rFonts w:hint="eastAsia" w:ascii="仿宋_GB2312" w:hAnsi="仿宋" w:eastAsia="仿宋_GB2312"/>
          <w:kern w:val="0"/>
          <w:sz w:val="24"/>
          <w:szCs w:val="24"/>
        </w:rPr>
      </w:pPr>
    </w:p>
    <w:p>
      <w:pPr>
        <w:widowControl w:val="0"/>
        <w:autoSpaceDE w:val="0"/>
        <w:autoSpaceDN w:val="0"/>
        <w:adjustRightInd w:val="0"/>
        <w:spacing w:line="500" w:lineRule="exact"/>
        <w:ind w:firstLine="4560" w:firstLineChars="1900"/>
        <w:jc w:val="both"/>
        <w:rPr>
          <w:rFonts w:hint="eastAsia" w:ascii="仿宋_GB2312" w:hAnsi="仿宋" w:eastAsia="仿宋_GB2312"/>
          <w:kern w:val="0"/>
          <w:sz w:val="24"/>
          <w:szCs w:val="24"/>
        </w:rPr>
      </w:pPr>
      <w:r>
        <w:rPr>
          <w:rFonts w:hint="eastAsia" w:ascii="仿宋_GB2312" w:hAnsi="仿宋" w:eastAsia="仿宋_GB2312"/>
          <w:kern w:val="0"/>
          <w:sz w:val="24"/>
          <w:szCs w:val="24"/>
        </w:rPr>
        <w:t xml:space="preserve">供应商名称（公章）：                       </w:t>
      </w:r>
    </w:p>
    <w:p>
      <w:pPr>
        <w:widowControl w:val="0"/>
        <w:autoSpaceDE w:val="0"/>
        <w:autoSpaceDN w:val="0"/>
        <w:adjustRightInd w:val="0"/>
        <w:spacing w:line="500" w:lineRule="exact"/>
        <w:jc w:val="both"/>
        <w:rPr>
          <w:rFonts w:hint="eastAsia" w:ascii="仿宋_GB2312" w:hAnsi="仿宋" w:eastAsia="仿宋_GB2312"/>
          <w:kern w:val="0"/>
          <w:sz w:val="24"/>
          <w:szCs w:val="24"/>
        </w:rPr>
      </w:pPr>
      <w:r>
        <w:rPr>
          <w:rFonts w:hint="eastAsia" w:ascii="仿宋_GB2312" w:hAnsi="仿宋" w:eastAsia="仿宋_GB2312"/>
          <w:kern w:val="0"/>
          <w:sz w:val="24"/>
          <w:szCs w:val="24"/>
        </w:rPr>
        <w:t xml:space="preserve">                                      法定代表人或授权委托人（签字）：                   </w:t>
      </w:r>
    </w:p>
    <w:p>
      <w:pPr>
        <w:widowControl w:val="0"/>
        <w:adjustRightInd w:val="0"/>
        <w:spacing w:line="500" w:lineRule="exact"/>
        <w:jc w:val="both"/>
        <w:rPr>
          <w:rFonts w:hint="eastAsia" w:ascii="仿宋_GB2312" w:hAnsi="仿宋" w:eastAsia="仿宋_GB2312"/>
          <w:bCs/>
          <w:sz w:val="24"/>
          <w:szCs w:val="24"/>
        </w:rPr>
      </w:pPr>
      <w:r>
        <w:rPr>
          <w:rFonts w:hint="eastAsia" w:ascii="仿宋_GB2312" w:hAnsi="仿宋" w:eastAsia="仿宋_GB2312"/>
          <w:kern w:val="0"/>
          <w:sz w:val="24"/>
          <w:szCs w:val="24"/>
        </w:rPr>
        <w:t xml:space="preserve">                                      日期：   年  月   日</w:t>
      </w:r>
    </w:p>
    <w:p>
      <w:pPr>
        <w:rPr>
          <w:rFonts w:hint="eastAsia" w:ascii="仿宋_GB2312" w:eastAsia="仿宋_GB2312"/>
        </w:rPr>
      </w:pPr>
      <w:r>
        <w:rPr>
          <w:rFonts w:hint="eastAsia" w:ascii="仿宋_GB2312" w:eastAsia="仿宋_GB2312"/>
        </w:rPr>
        <w:br w:type="page"/>
      </w:r>
    </w:p>
    <w:p>
      <w:pPr>
        <w:rPr>
          <w:rFonts w:hint="eastAsia" w:ascii="仿宋_GB2312" w:eastAsia="仿宋_GB2312"/>
          <w:b/>
          <w:kern w:val="0"/>
          <w:sz w:val="32"/>
        </w:rPr>
      </w:pPr>
      <w:r>
        <w:rPr>
          <w:rFonts w:hint="eastAsia" w:ascii="仿宋_GB2312" w:eastAsia="仿宋_GB2312"/>
          <w:b/>
          <w:kern w:val="0"/>
          <w:sz w:val="32"/>
        </w:rPr>
        <w:t>附录1：</w:t>
      </w:r>
    </w:p>
    <w:p>
      <w:pPr>
        <w:jc w:val="center"/>
        <w:rPr>
          <w:rFonts w:hint="eastAsia" w:ascii="仿宋_GB2312" w:hAnsi="宋体" w:eastAsia="仿宋_GB2312"/>
          <w:sz w:val="28"/>
          <w:szCs w:val="28"/>
        </w:rPr>
      </w:pPr>
      <w:r>
        <w:rPr>
          <w:rFonts w:hint="eastAsia" w:ascii="仿宋_GB2312" w:hAnsi="宋体" w:eastAsia="仿宋_GB2312"/>
          <w:b/>
          <w:kern w:val="0"/>
          <w:sz w:val="30"/>
          <w:szCs w:val="30"/>
        </w:rPr>
        <w:t>政府采购支持中小企业信用融资相关事项通知</w:t>
      </w:r>
    </w:p>
    <w:p>
      <w:pPr>
        <w:widowControl w:val="0"/>
        <w:adjustRightInd w:val="0"/>
        <w:spacing w:line="520" w:lineRule="exact"/>
        <w:ind w:firstLine="480" w:firstLineChars="200"/>
        <w:jc w:val="both"/>
        <w:rPr>
          <w:rFonts w:hint="eastAsia" w:ascii="仿宋_GB2312" w:hAnsi="仿宋" w:eastAsia="仿宋_GB2312" w:cs="仿宋_GB2312"/>
          <w:sz w:val="24"/>
          <w:szCs w:val="24"/>
        </w:rPr>
      </w:pPr>
      <w:r>
        <w:rPr>
          <w:rFonts w:hint="eastAsia" w:ascii="仿宋_GB2312" w:hAnsi="仿宋" w:eastAsia="仿宋_GB2312" w:cs="仿宋_GB2312"/>
          <w:sz w:val="24"/>
          <w:szCs w:val="24"/>
        </w:rPr>
        <w:t>为支持和促进中小企业发展，进一步发挥政府采购政策功能，杭州市财政局与省银监局、市金融办、市经信委共同出台了《杭州市政府采购支持中小企业信用融资暂行办法》，并从2014年7月1日起正式启动信用融资工作，现将相关事项通知如下：</w:t>
      </w:r>
    </w:p>
    <w:p>
      <w:pPr>
        <w:widowControl w:val="0"/>
        <w:adjustRightInd w:val="0"/>
        <w:spacing w:line="520" w:lineRule="exact"/>
        <w:ind w:firstLine="482" w:firstLineChars="200"/>
        <w:jc w:val="both"/>
        <w:rPr>
          <w:rFonts w:hint="eastAsia" w:ascii="仿宋_GB2312" w:hAnsi="仿宋" w:eastAsia="仿宋_GB2312" w:cs="仿宋_GB2312"/>
          <w:b/>
          <w:sz w:val="24"/>
          <w:szCs w:val="24"/>
        </w:rPr>
      </w:pPr>
      <w:r>
        <w:rPr>
          <w:rFonts w:hint="eastAsia" w:ascii="仿宋_GB2312" w:hAnsi="仿宋" w:eastAsia="仿宋_GB2312" w:cs="仿宋_GB2312"/>
          <w:b/>
          <w:sz w:val="24"/>
          <w:szCs w:val="24"/>
        </w:rPr>
        <w:t>一、适用对象</w:t>
      </w:r>
    </w:p>
    <w:p>
      <w:pPr>
        <w:widowControl w:val="0"/>
        <w:adjustRightInd w:val="0"/>
        <w:spacing w:line="520" w:lineRule="exact"/>
        <w:ind w:firstLine="480" w:firstLineChars="200"/>
        <w:jc w:val="both"/>
        <w:rPr>
          <w:rFonts w:hint="eastAsia" w:ascii="仿宋_GB2312" w:hAnsi="仿宋" w:eastAsia="仿宋_GB2312" w:cs="仿宋_GB2312"/>
          <w:sz w:val="24"/>
          <w:szCs w:val="24"/>
        </w:rPr>
      </w:pPr>
      <w:r>
        <w:rPr>
          <w:rFonts w:hint="eastAsia" w:ascii="仿宋_GB2312" w:hAnsi="仿宋" w:eastAsia="仿宋_GB2312" w:cs="仿宋_GB2312"/>
          <w:sz w:val="24"/>
          <w:szCs w:val="24"/>
        </w:rPr>
        <w:t>在杭州市政府采购网上注册入库，并取得杭州市政府采购合同的杭州市内中小企业供应商。</w:t>
      </w:r>
    </w:p>
    <w:p>
      <w:pPr>
        <w:widowControl w:val="0"/>
        <w:adjustRightInd w:val="0"/>
        <w:spacing w:line="520" w:lineRule="exact"/>
        <w:ind w:firstLine="482" w:firstLineChars="200"/>
        <w:jc w:val="both"/>
        <w:rPr>
          <w:rFonts w:hint="eastAsia" w:ascii="仿宋_GB2312" w:hAnsi="仿宋" w:eastAsia="仿宋_GB2312" w:cs="仿宋_GB2312"/>
          <w:b/>
          <w:sz w:val="24"/>
          <w:szCs w:val="24"/>
        </w:rPr>
      </w:pPr>
      <w:r>
        <w:rPr>
          <w:rFonts w:hint="eastAsia" w:ascii="仿宋_GB2312" w:hAnsi="仿宋" w:eastAsia="仿宋_GB2312" w:cs="仿宋_GB2312"/>
          <w:b/>
          <w:sz w:val="24"/>
          <w:szCs w:val="24"/>
        </w:rPr>
        <w:t>二、相关信息获取方式</w:t>
      </w:r>
    </w:p>
    <w:p>
      <w:pPr>
        <w:widowControl w:val="0"/>
        <w:adjustRightInd w:val="0"/>
        <w:spacing w:line="520" w:lineRule="exact"/>
        <w:ind w:firstLine="480" w:firstLineChars="200"/>
        <w:jc w:val="both"/>
        <w:rPr>
          <w:rFonts w:hint="eastAsia" w:ascii="仿宋_GB2312" w:hAnsi="仿宋" w:eastAsia="仿宋_GB2312" w:cs="仿宋_GB2312"/>
          <w:sz w:val="24"/>
          <w:szCs w:val="24"/>
        </w:rPr>
      </w:pPr>
      <w:r>
        <w:rPr>
          <w:rFonts w:hint="eastAsia" w:ascii="仿宋_GB2312" w:hAnsi="仿宋" w:eastAsia="仿宋_GB2312" w:cs="仿宋_GB2312"/>
          <w:sz w:val="24"/>
          <w:szCs w:val="24"/>
        </w:rPr>
        <w:t>请登陆杭州市政府采购网（</w:t>
      </w:r>
      <w:r>
        <w:rPr>
          <w:rFonts w:hint="eastAsia" w:ascii="仿宋_GB2312" w:hAnsi="仿宋" w:eastAsia="仿宋_GB2312" w:cs="仿宋_GB2312"/>
          <w:sz w:val="24"/>
          <w:szCs w:val="24"/>
        </w:rPr>
        <w:fldChar w:fldCharType="begin"/>
      </w:r>
      <w:r>
        <w:rPr>
          <w:rFonts w:hint="eastAsia" w:ascii="仿宋_GB2312" w:hAnsi="仿宋" w:eastAsia="仿宋_GB2312" w:cs="仿宋_GB2312"/>
          <w:sz w:val="24"/>
          <w:szCs w:val="24"/>
        </w:rPr>
        <w:instrText xml:space="preserve"> HYPERLINK "http://cg.hzft.gov.cn" </w:instrText>
      </w:r>
      <w:r>
        <w:rPr>
          <w:rFonts w:hint="eastAsia" w:ascii="仿宋_GB2312" w:hAnsi="仿宋" w:eastAsia="仿宋_GB2312" w:cs="仿宋_GB2312"/>
          <w:sz w:val="24"/>
          <w:szCs w:val="24"/>
        </w:rPr>
        <w:fldChar w:fldCharType="separate"/>
      </w:r>
      <w:r>
        <w:rPr>
          <w:rFonts w:hint="eastAsia" w:ascii="仿宋_GB2312" w:hAnsi="仿宋" w:eastAsia="仿宋_GB2312" w:cs="仿宋_GB2312"/>
          <w:snapToGrid w:val="0"/>
          <w:kern w:val="0"/>
          <w:sz w:val="24"/>
          <w:szCs w:val="18"/>
        </w:rPr>
        <w:t>http://cg.hzft.gov.cn</w:t>
      </w:r>
      <w:r>
        <w:rPr>
          <w:rFonts w:hint="eastAsia" w:ascii="仿宋_GB2312" w:hAnsi="仿宋" w:eastAsia="仿宋_GB2312" w:cs="仿宋_GB2312"/>
          <w:sz w:val="24"/>
          <w:szCs w:val="24"/>
        </w:rPr>
        <w:fldChar w:fldCharType="end"/>
      </w:r>
      <w:r>
        <w:rPr>
          <w:rFonts w:hint="eastAsia" w:ascii="仿宋_GB2312" w:hAnsi="仿宋" w:eastAsia="仿宋_GB2312" w:cs="仿宋_GB2312"/>
          <w:sz w:val="24"/>
          <w:szCs w:val="24"/>
        </w:rPr>
        <w:t>）“中小企业信用融资”专栏，可查看信用融资政策文件及各相关银行服务方案。</w:t>
      </w:r>
    </w:p>
    <w:p>
      <w:pPr>
        <w:widowControl w:val="0"/>
        <w:adjustRightInd w:val="0"/>
        <w:spacing w:line="520" w:lineRule="exact"/>
        <w:ind w:firstLine="482" w:firstLineChars="200"/>
        <w:jc w:val="both"/>
        <w:rPr>
          <w:rFonts w:hint="eastAsia" w:ascii="仿宋_GB2312" w:hAnsi="仿宋" w:eastAsia="仿宋_GB2312" w:cs="仿宋_GB2312"/>
          <w:b/>
          <w:sz w:val="24"/>
          <w:szCs w:val="24"/>
        </w:rPr>
      </w:pPr>
      <w:r>
        <w:rPr>
          <w:rFonts w:hint="eastAsia" w:ascii="仿宋_GB2312" w:hAnsi="仿宋" w:eastAsia="仿宋_GB2312" w:cs="仿宋_GB2312"/>
          <w:b/>
          <w:sz w:val="24"/>
          <w:szCs w:val="24"/>
        </w:rPr>
        <w:t>三、申请方式和步骤</w:t>
      </w:r>
    </w:p>
    <w:p>
      <w:pPr>
        <w:widowControl w:val="0"/>
        <w:adjustRightInd w:val="0"/>
        <w:spacing w:line="520" w:lineRule="exact"/>
        <w:ind w:firstLine="480" w:firstLineChars="200"/>
        <w:jc w:val="both"/>
        <w:rPr>
          <w:rFonts w:hint="eastAsia" w:ascii="仿宋_GB2312" w:hAnsi="仿宋" w:eastAsia="仿宋_GB2312" w:cs="仿宋_GB2312"/>
          <w:sz w:val="24"/>
          <w:szCs w:val="24"/>
        </w:rPr>
      </w:pPr>
      <w:r>
        <w:rPr>
          <w:rFonts w:hint="eastAsia" w:ascii="仿宋_GB2312" w:hAnsi="仿宋" w:eastAsia="仿宋_GB2312" w:cs="仿宋_GB2312"/>
          <w:sz w:val="24"/>
          <w:szCs w:val="24"/>
        </w:rPr>
        <w:t>1、供应商若有融资意向，需先与六家合作银行对接，办理相关融资前期手续；</w:t>
      </w:r>
    </w:p>
    <w:p>
      <w:pPr>
        <w:widowControl w:val="0"/>
        <w:adjustRightInd w:val="0"/>
        <w:spacing w:line="520" w:lineRule="exact"/>
        <w:ind w:firstLine="480" w:firstLineChars="200"/>
        <w:jc w:val="both"/>
        <w:rPr>
          <w:rFonts w:hint="eastAsia" w:ascii="仿宋_GB2312" w:hAnsi="仿宋" w:eastAsia="仿宋_GB2312" w:cs="仿宋_GB2312"/>
          <w:sz w:val="24"/>
          <w:szCs w:val="24"/>
        </w:rPr>
      </w:pPr>
      <w:r>
        <w:rPr>
          <w:rFonts w:hint="eastAsia" w:ascii="仿宋_GB2312" w:hAnsi="仿宋" w:eastAsia="仿宋_GB2312" w:cs="仿宋_GB2312"/>
          <w:sz w:val="24"/>
          <w:szCs w:val="24"/>
        </w:rPr>
        <w:t>2、中标后，供应商应与采购单位或者采购机构及时联系，告知融资需求；</w:t>
      </w:r>
    </w:p>
    <w:p>
      <w:pPr>
        <w:widowControl w:val="0"/>
        <w:adjustRightInd w:val="0"/>
        <w:spacing w:line="520" w:lineRule="exact"/>
        <w:ind w:firstLine="480" w:firstLineChars="200"/>
        <w:jc w:val="both"/>
        <w:rPr>
          <w:rFonts w:hint="eastAsia" w:ascii="仿宋_GB2312" w:hAnsi="仿宋" w:eastAsia="仿宋_GB2312" w:cs="仿宋_GB2312"/>
          <w:sz w:val="24"/>
          <w:szCs w:val="24"/>
        </w:rPr>
      </w:pPr>
      <w:r>
        <w:rPr>
          <w:rFonts w:hint="eastAsia" w:ascii="仿宋_GB2312" w:hAnsi="仿宋" w:eastAsia="仿宋_GB2312" w:cs="仿宋_GB2312"/>
          <w:sz w:val="24"/>
          <w:szCs w:val="24"/>
        </w:rPr>
        <w:t>3、采购单位或者采购机构在政府采购信息系统录入中标合同信息时，须在合同备案页“是否为可融资合同”前打勾，并选择相应的信用融资合作银行，录入账号信息；</w:t>
      </w:r>
    </w:p>
    <w:p>
      <w:pPr>
        <w:widowControl w:val="0"/>
        <w:adjustRightInd w:val="0"/>
        <w:spacing w:line="520" w:lineRule="exact"/>
        <w:ind w:firstLine="480" w:firstLineChars="200"/>
        <w:jc w:val="both"/>
        <w:rPr>
          <w:rFonts w:hint="eastAsia" w:ascii="仿宋_GB2312" w:hAnsi="仿宋" w:eastAsia="仿宋_GB2312" w:cs="仿宋_GB2312"/>
          <w:sz w:val="24"/>
          <w:szCs w:val="24"/>
        </w:rPr>
      </w:pPr>
      <w:r>
        <w:rPr>
          <w:rFonts w:hint="eastAsia" w:ascii="仿宋_GB2312" w:hAnsi="仿宋" w:eastAsia="仿宋_GB2312" w:cs="仿宋_GB2312"/>
          <w:sz w:val="24"/>
          <w:szCs w:val="24"/>
        </w:rPr>
        <w:t>4、相关信息录入后，相关合作银行将在政府采购信息系统查询到合同备案信息，经审核，与供应商联系并办理相关融资事宜。</w:t>
      </w:r>
    </w:p>
    <w:p>
      <w:pPr>
        <w:widowControl w:val="0"/>
        <w:adjustRightInd w:val="0"/>
        <w:spacing w:line="520" w:lineRule="exact"/>
        <w:ind w:firstLine="482" w:firstLineChars="200"/>
        <w:jc w:val="both"/>
        <w:rPr>
          <w:rFonts w:hint="eastAsia" w:ascii="仿宋_GB2312" w:hAnsi="仿宋" w:eastAsia="仿宋_GB2312" w:cs="仿宋_GB2312"/>
          <w:b/>
          <w:sz w:val="24"/>
          <w:szCs w:val="24"/>
        </w:rPr>
      </w:pPr>
      <w:r>
        <w:rPr>
          <w:rFonts w:hint="eastAsia" w:ascii="仿宋_GB2312" w:hAnsi="仿宋" w:eastAsia="仿宋_GB2312" w:cs="仿宋_GB2312"/>
          <w:b/>
          <w:sz w:val="24"/>
          <w:szCs w:val="24"/>
        </w:rPr>
        <w:t>四、注意事项</w:t>
      </w:r>
    </w:p>
    <w:p>
      <w:pPr>
        <w:widowControl w:val="0"/>
        <w:adjustRightInd w:val="0"/>
        <w:spacing w:line="520" w:lineRule="exact"/>
        <w:ind w:firstLine="480" w:firstLineChars="200"/>
        <w:jc w:val="both"/>
        <w:rPr>
          <w:rFonts w:hint="eastAsia" w:ascii="仿宋_GB2312" w:hAnsi="仿宋" w:eastAsia="仿宋_GB2312" w:cs="仿宋_GB2312"/>
          <w:sz w:val="24"/>
          <w:szCs w:val="24"/>
        </w:rPr>
      </w:pPr>
      <w:r>
        <w:rPr>
          <w:rFonts w:hint="eastAsia" w:ascii="仿宋_GB2312" w:hAnsi="仿宋" w:eastAsia="仿宋_GB2312" w:cs="仿宋_GB2312"/>
          <w:sz w:val="24"/>
          <w:szCs w:val="24"/>
        </w:rPr>
        <w:t>请各采购单位和采购机构积极支持和配合政府采购信用融资工作，在合同备案环节务必请仔细核对收款银行、账号信息等内容，一旦录入将无法修改。</w:t>
      </w:r>
    </w:p>
    <w:p>
      <w:pPr>
        <w:ind w:firstLine="420" w:firstLineChars="200"/>
        <w:rPr>
          <w:rFonts w:hint="eastAsia" w:ascii="仿宋_GB2312" w:eastAsia="仿宋_GB2312"/>
        </w:rPr>
      </w:pPr>
    </w:p>
    <w:p>
      <w:pPr>
        <w:ind w:firstLine="420" w:firstLineChars="200"/>
        <w:rPr>
          <w:rFonts w:hint="eastAsia" w:ascii="仿宋_GB2312" w:eastAsia="仿宋_GB2312"/>
        </w:rPr>
      </w:pPr>
    </w:p>
    <w:p>
      <w:pPr>
        <w:ind w:firstLine="420" w:firstLineChars="200"/>
        <w:rPr>
          <w:rFonts w:hint="eastAsia" w:ascii="仿宋_GB2312" w:eastAsia="仿宋_GB2312"/>
        </w:rPr>
      </w:pPr>
    </w:p>
    <w:p>
      <w:pPr>
        <w:spacing w:line="400" w:lineRule="exact"/>
        <w:rPr>
          <w:rFonts w:hint="eastAsia" w:ascii="仿宋_GB2312" w:eastAsia="仿宋_GB2312"/>
          <w:sz w:val="24"/>
        </w:rPr>
      </w:pPr>
    </w:p>
    <w:p>
      <w:pPr>
        <w:spacing w:line="400" w:lineRule="exact"/>
        <w:rPr>
          <w:rFonts w:hint="eastAsia" w:ascii="仿宋_GB2312" w:eastAsia="仿宋_GB2312"/>
          <w:sz w:val="24"/>
        </w:rPr>
      </w:pPr>
    </w:p>
    <w:sectPr>
      <w:headerReference r:id="rId11" w:type="default"/>
      <w:footerReference r:id="rId12" w:type="default"/>
      <w:pgSz w:w="11907" w:h="16840"/>
      <w:pgMar w:top="1474" w:right="1814" w:bottom="1474" w:left="1814"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1" w:usb1="080E0000" w:usb2="00000010" w:usb3="00000000" w:csb0="00040000" w:csb1="00000000"/>
  </w:font>
  <w:font w:name="Arial">
    <w:panose1 w:val="020B0604020202020204"/>
    <w:charset w:val="00"/>
    <w:family w:val="swiss"/>
    <w:pitch w:val="default"/>
    <w:sig w:usb0="E0002EFF" w:usb1="C000785B" w:usb2="00000009" w:usb3="00000000" w:csb0="400001FF" w:csb1="FFFF0000"/>
  </w:font>
  <w:font w:name="Verdana">
    <w:panose1 w:val="020B0604030504040204"/>
    <w:charset w:val="00"/>
    <w:family w:val="swiss"/>
    <w:pitch w:val="default"/>
    <w:sig w:usb0="A00006FF" w:usb1="4000205B" w:usb2="00000010" w:usb3="00000000" w:csb0="2000019F" w:csb1="00000000"/>
  </w:font>
  <w:font w:name="Courier New">
    <w:panose1 w:val="02070309020205020404"/>
    <w:charset w:val="00"/>
    <w:family w:val="modern"/>
    <w:pitch w:val="default"/>
    <w:sig w:usb0="E0002E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1" w:usb1="080E0000" w:usb2="00000010" w:usb3="00000000" w:csb0="00040000" w:csb1="00000000"/>
  </w:font>
  <w:font w:name="等线 Light">
    <w:panose1 w:val="02010600030101010101"/>
    <w:charset w:val="88"/>
    <w:family w:val="auto"/>
    <w:pitch w:val="default"/>
    <w:sig w:usb0="A00002BF" w:usb1="38CF7CFA" w:usb2="00000016" w:usb3="00000000" w:csb0="0004000F" w:csb1="00000000"/>
  </w:font>
  <w:font w:name="华文仿宋">
    <w:panose1 w:val="02010600040101010101"/>
    <w:charset w:val="86"/>
    <w:family w:val="auto"/>
    <w:pitch w:val="default"/>
    <w:sig w:usb0="00000287" w:usb1="080F0000" w:usb2="00000000" w:usb3="00000000" w:csb0="0004009F" w:csb1="DFD70000"/>
  </w:font>
  <w:font w:name="Courier">
    <w:altName w:val="Courier New"/>
    <w:panose1 w:val="02070409020205020404"/>
    <w:charset w:val="00"/>
    <w:family w:val="modern"/>
    <w:pitch w:val="default"/>
    <w:sig w:usb0="00000003"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
    <w:altName w:val="Times New Roman"/>
    <w:panose1 w:val="00000000000000000000"/>
    <w:charset w:val="00"/>
    <w:family w:val="roman"/>
    <w:pitch w:val="default"/>
    <w:sig w:usb0="00000003" w:usb1="00000000" w:usb2="00000000" w:usb3="00000000" w:csb0="00000001" w:csb1="00000000"/>
  </w:font>
  <w:font w:name="Futura Bk">
    <w:altName w:val="黑体"/>
    <w:panose1 w:val="00000000000000000000"/>
    <w:charset w:val="00"/>
    <w:family w:val="auto"/>
    <w:pitch w:val="default"/>
    <w:sig w:usb0="00000000" w:usb1="00000000" w:usb2="00000000" w:usb3="00000000" w:csb0="00040001" w:csb1="00000000"/>
  </w:font>
  <w:font w:name="2OcuAe">
    <w:altName w:val="MingLiU-ExtB"/>
    <w:panose1 w:val="00000000000000000000"/>
    <w:charset w:val="88"/>
    <w:family w:val="auto"/>
    <w:pitch w:val="default"/>
    <w:sig w:usb0="00000000" w:usb1="08080000" w:usb2="00000010" w:usb3="00000000" w:csb0="00100000" w:csb1="00000000"/>
  </w:font>
  <w:font w:name="Arial Unicode MS">
    <w:altName w:val="宋体"/>
    <w:panose1 w:val="020B0604020202020204"/>
    <w:charset w:val="86"/>
    <w:family w:val="swiss"/>
    <w:pitch w:val="default"/>
    <w:sig w:usb0="F7FFAFFF" w:usb1="E9DFFFFF" w:usb2="0000003F" w:usb3="00000000" w:csb0="003F01FF" w:csb1="00000000"/>
  </w:font>
  <w:font w:name="新宋体">
    <w:panose1 w:val="02010609030101010101"/>
    <w:charset w:val="86"/>
    <w:family w:val="modern"/>
    <w:pitch w:val="default"/>
    <w:sig w:usb0="00000203" w:usb1="288F0000" w:usb2="00000006" w:usb3="00000000" w:csb0="00040001" w:csb1="00000000"/>
  </w:font>
  <w:font w:name="華康粗圓體">
    <w:altName w:val="Microsoft JhengHei"/>
    <w:panose1 w:val="00000000000000000000"/>
    <w:charset w:val="88"/>
    <w:family w:val="auto"/>
    <w:pitch w:val="default"/>
    <w:sig w:usb0="00000001" w:usb1="08080000" w:usb2="00000010" w:usb3="00000000" w:csb0="00100000" w:csb1="00000000"/>
  </w:font>
  <w:font w:name="華康細圓體">
    <w:altName w:val="Microsoft JhengHei"/>
    <w:panose1 w:val="00000000000000000000"/>
    <w:charset w:val="88"/>
    <w:family w:val="auto"/>
    <w:pitch w:val="default"/>
    <w:sig w:usb0="00000001" w:usb1="08080000" w:usb2="00000010" w:usb3="00000000" w:csb0="00100000" w:csb1="00000000"/>
  </w:font>
  <w:font w:name="Thorndale">
    <w:altName w:val="Times New Roman"/>
    <w:panose1 w:val="00000000000000000000"/>
    <w:charset w:val="00"/>
    <w:family w:val="roman"/>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PMingLiU">
    <w:altName w:val="PMingLiU-ExtB"/>
    <w:panose1 w:val="02020500000000000000"/>
    <w:charset w:val="88"/>
    <w:family w:val="roman"/>
    <w:pitch w:val="default"/>
    <w:sig w:usb0="A00002FF" w:usb1="28CFFCFA" w:usb2="00000016" w:usb3="00000000" w:csb0="00100001" w:csb1="00000000"/>
  </w:font>
  <w:font w:name="Stone Sans">
    <w:altName w:val="宋体"/>
    <w:panose1 w:val="00000000000000000000"/>
    <w:charset w:val="86"/>
    <w:family w:val="auto"/>
    <w:pitch w:val="default"/>
    <w:sig w:usb0="00000001" w:usb1="080E0000" w:usb2="00000010" w:usb3="00000000" w:csb0="00040000" w:csb1="00000000"/>
  </w:font>
  <w:font w:name="Calibri Light">
    <w:panose1 w:val="020F0302020204030204"/>
    <w:charset w:val="00"/>
    <w:family w:val="swiss"/>
    <w:pitch w:val="default"/>
    <w:sig w:usb0="E4002EFF" w:usb1="C200247B" w:usb2="00000009" w:usb3="00000000" w:csb0="200001FF" w:csb1="00000000"/>
  </w:font>
  <w:font w:name="Helvetica">
    <w:altName w:val="Arial"/>
    <w:panose1 w:val="020B0604020202020204"/>
    <w:charset w:val="00"/>
    <w:family w:val="swiss"/>
    <w:pitch w:val="default"/>
    <w:sig w:usb0="00000003" w:usb1="00000000" w:usb2="00000000" w:usb3="00000000" w:csb0="00000001" w:csb1="00000000"/>
  </w:font>
  <w:font w:name="长城仿宋">
    <w:altName w:val="宋体"/>
    <w:panose1 w:val="00000000000000000000"/>
    <w:charset w:val="86"/>
    <w:family w:val="auto"/>
    <w:pitch w:val="default"/>
    <w:sig w:usb0="00000001" w:usb1="080E0000" w:usb2="00000010" w:usb3="00000000" w:csb0="00040000" w:csb1="00000000"/>
  </w:font>
  <w:font w:name="Book Antiqua">
    <w:panose1 w:val="02040602050305030304"/>
    <w:charset w:val="00"/>
    <w:family w:val="roman"/>
    <w:pitch w:val="default"/>
    <w:sig w:usb0="00000287" w:usb1="00000000" w:usb2="00000000" w:usb3="00000000" w:csb0="2000009F" w:csb1="DFD70000"/>
  </w:font>
  <w:font w:name="H Yg 2gj">
    <w:altName w:val="宋体"/>
    <w:panose1 w:val="00000000000000000000"/>
    <w:charset w:val="86"/>
    <w:family w:val="swiss"/>
    <w:pitch w:val="default"/>
    <w:sig w:usb0="00000001" w:usb1="080E0000" w:usb2="00000010" w:usb3="00000000" w:csb0="00040000" w:csb1="00000000"/>
  </w:font>
  <w:font w:name="仿宋体">
    <w:altName w:val="宋体"/>
    <w:panose1 w:val="00000000000000000000"/>
    <w:charset w:val="86"/>
    <w:family w:val="roman"/>
    <w:pitch w:val="default"/>
    <w:sig w:usb0="00000001" w:usb1="080E0000" w:usb2="00000010" w:usb3="00000000" w:csb0="00040000" w:csb1="00000000"/>
  </w:font>
  <w:font w:name="幼圆">
    <w:panose1 w:val="0201050906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CG Times (W1)">
    <w:altName w:val="Times New Roman"/>
    <w:panose1 w:val="00000000000000000000"/>
    <w:charset w:val="00"/>
    <w:family w:val="roman"/>
    <w:pitch w:val="default"/>
    <w:sig w:usb0="00000003" w:usb1="00000000" w:usb2="00000000" w:usb3="00000000" w:csb0="00000001" w:csb1="00000000"/>
  </w:font>
  <w:font w:name="文鼎粗黑">
    <w:altName w:val="黑体"/>
    <w:panose1 w:val="00000000000000000000"/>
    <w:charset w:val="86"/>
    <w:family w:val="auto"/>
    <w:pitch w:val="default"/>
    <w:sig w:usb0="00000001" w:usb1="080E0000" w:usb2="00000010" w:usb3="00000000" w:csb0="00040000" w:csb1="00000000"/>
  </w:font>
  <w:font w:name="Times">
    <w:altName w:val="Times New Roman"/>
    <w:panose1 w:val="02020603050405020304"/>
    <w:charset w:val="00"/>
    <w:family w:val="roman"/>
    <w:pitch w:val="default"/>
    <w:sig w:usb0="E0002AFF" w:usb1="C0007841" w:usb2="00000009" w:usb3="00000000" w:csb0="000001FF" w:csb1="00000000"/>
  </w:font>
  <w:font w:name="Arial Narrow">
    <w:panose1 w:val="020B0606020202030204"/>
    <w:charset w:val="00"/>
    <w:family w:val="swiss"/>
    <w:pitch w:val="default"/>
    <w:sig w:usb0="00000287" w:usb1="00000800" w:usb2="00000000" w:usb3="00000000" w:csb0="2000009F" w:csb1="DFD70000"/>
  </w:font>
  <w:font w:name="华文新魏">
    <w:panose1 w:val="02010800040101010101"/>
    <w:charset w:val="86"/>
    <w:family w:val="auto"/>
    <w:pitch w:val="default"/>
    <w:sig w:usb0="00000001" w:usb1="080F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华文宋体">
    <w:panose1 w:val="02010600040101010101"/>
    <w:charset w:val="86"/>
    <w:family w:val="auto"/>
    <w:pitch w:val="default"/>
    <w:sig w:usb0="00000287" w:usb1="080F0000" w:usb2="00000000" w:usb3="00000000" w:csb0="0004009F" w:csb1="DFD70000"/>
  </w:font>
  <w:font w:name="Vrinda">
    <w:altName w:val="Segoe UI Symbol"/>
    <w:panose1 w:val="020B0502040204020203"/>
    <w:charset w:val="00"/>
    <w:family w:val="swiss"/>
    <w:pitch w:val="default"/>
    <w:sig w:usb0="00010003" w:usb1="00000000" w:usb2="00000000" w:usb3="00000000" w:csb0="00000001" w:csb1="00000000"/>
  </w:font>
  <w:font w:name="MS Mincho">
    <w:altName w:val="Yu Gothic UI"/>
    <w:panose1 w:val="02020609040205080304"/>
    <w:charset w:val="80"/>
    <w:family w:val="modern"/>
    <w:pitch w:val="default"/>
    <w:sig w:usb0="E00002FF" w:usb1="6AC7FDFB" w:usb2="00000012" w:usb3="00000000" w:csb0="0002009F" w:csb1="00000000"/>
  </w:font>
  <w:font w:name="ˎ̥">
    <w:altName w:val="Times New Roman"/>
    <w:panose1 w:val="00000000000000000000"/>
    <w:charset w:val="00"/>
    <w:family w:val="roman"/>
    <w:pitch w:val="default"/>
    <w:sig w:usb0="00000000" w:usb1="00000000" w:usb2="00000000" w:usb3="00000000" w:csb0="00040001" w:csb1="00000000"/>
  </w:font>
  <w:font w:name="ÎÄ¶¦CSÎº±®">
    <w:altName w:val="MS Gothic"/>
    <w:panose1 w:val="00000000000000000000"/>
    <w:charset w:val="80"/>
    <w:family w:val="modern"/>
    <w:pitch w:val="default"/>
    <w:sig w:usb0="00000001" w:usb1="08070000" w:usb2="00000010" w:usb3="00000000" w:csb0="00020000" w:csb1="00000000"/>
  </w:font>
  <w:font w:name="MingLiU-ExtB">
    <w:panose1 w:val="02020500000000000000"/>
    <w:charset w:val="88"/>
    <w:family w:val="auto"/>
    <w:pitch w:val="default"/>
    <w:sig w:usb0="8000002F" w:usb1="02000008" w:usb2="00000000" w:usb3="00000000" w:csb0="00100001" w:csb1="00000000"/>
  </w:font>
  <w:font w:name="Microsoft JhengHei">
    <w:panose1 w:val="020B0604030504040204"/>
    <w:charset w:val="88"/>
    <w:family w:val="auto"/>
    <w:pitch w:val="default"/>
    <w:sig w:usb0="000002A7" w:usb1="28CF4400" w:usb2="00000016" w:usb3="00000000" w:csb0="00100009" w:csb1="00000000"/>
  </w:font>
  <w:font w:name="PMingLiU-ExtB">
    <w:panose1 w:val="02020500000000000000"/>
    <w:charset w:val="88"/>
    <w:family w:val="auto"/>
    <w:pitch w:val="default"/>
    <w:sig w:usb0="8000002F" w:usb1="02000008" w:usb2="00000000" w:usb3="00000000" w:csb0="00100001" w:csb1="00000000"/>
  </w:font>
  <w:font w:name="Segoe UI Symbol">
    <w:panose1 w:val="020B0502040204020203"/>
    <w:charset w:val="00"/>
    <w:family w:val="auto"/>
    <w:pitch w:val="default"/>
    <w:sig w:usb0="800001E3" w:usb1="1200FFEF" w:usb2="00040000" w:usb3="04000000" w:csb0="00000001" w:csb1="40000000"/>
  </w:font>
  <w:font w:name="Yu Gothic UI">
    <w:panose1 w:val="020B0500000000000000"/>
    <w:charset w:val="80"/>
    <w:family w:val="auto"/>
    <w:pitch w:val="default"/>
    <w:sig w:usb0="E00002FF" w:usb1="2AC7FDFF" w:usb2="00000016" w:usb3="00000000" w:csb0="2002009F"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ind w:firstLine="360"/>
      <w:jc w:val="center"/>
    </w:pPr>
    <w:r>
      <w:rPr>
        <w:rFonts w:hint="eastAsia"/>
      </w:rPr>
      <w:t>第</w:t>
    </w:r>
    <w:r>
      <w:fldChar w:fldCharType="begin"/>
    </w:r>
    <w:r>
      <w:instrText xml:space="preserve">PAGE   \* MERGEFORMAT</w:instrText>
    </w:r>
    <w:r>
      <w:fldChar w:fldCharType="separate"/>
    </w:r>
    <w:r>
      <w:rPr>
        <w:lang w:val="zh-CN"/>
      </w:rPr>
      <w:t>88</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pPr>
    <w:r>
      <w:fldChar w:fldCharType="begin"/>
    </w:r>
    <w:r>
      <w:instrText xml:space="preserve"> PAGE   \* MERGEFORMAT </w:instrText>
    </w:r>
    <w:r>
      <w:fldChar w:fldCharType="separate"/>
    </w:r>
    <w:r>
      <w:rPr>
        <w:lang w:val="zh-CN"/>
      </w:rPr>
      <w:t>124</w:t>
    </w:r>
    <w:r>
      <w:rPr>
        <w:lang w:val="zh-CN"/>
      </w:rPr>
      <w:fldChar w:fldCharType="end"/>
    </w:r>
  </w:p>
  <w:p>
    <w:pPr>
      <w:pStyle w:val="4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lang/>
      </w:rPr>
      <w:t>177</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rPr>
      <w:t>177</w:t>
    </w:r>
    <w:r>
      <w:rPr>
        <w:b/>
        <w:bCs/>
        <w:sz w:val="24"/>
        <w:szCs w:val="24"/>
      </w:rPr>
      <w:fldChar w:fldCharType="end"/>
    </w: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0"/>
      </w:pBdr>
      <w:jc w:val="left"/>
    </w:pPr>
    <w:r>
      <w:rPr>
        <w:rFonts w:hint="eastAsia" w:eastAsia="仿宋_GB2312"/>
        <w:i/>
        <w:u w:val="single"/>
      </w:rPr>
      <w:t>杭州市教育设备政府采购招标文件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0"/>
      </w:pBdr>
      <w:jc w:val="left"/>
    </w:pPr>
    <w:r>
      <w:rPr>
        <w:rFonts w:hint="eastAsia" w:eastAsia="仿宋_GB2312"/>
        <w:i/>
        <w:u w:val="single"/>
      </w:rPr>
      <w:t xml:space="preserve">                                                             杭州市教育设备政府采购招标文件                                                              </w:t>
    </w: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
    <w:nsid w:val="00000012"/>
    <w:multiLevelType w:val="multilevel"/>
    <w:tmpl w:val="00000012"/>
    <w:lvl w:ilvl="0" w:tentative="0">
      <w:start w:val="1"/>
      <w:numFmt w:val="decimal"/>
      <w:pStyle w:val="747"/>
      <w:lvlText w:val="%1."/>
      <w:lvlJc w:val="left"/>
      <w:pPr>
        <w:tabs>
          <w:tab w:val="left" w:pos="902"/>
        </w:tabs>
        <w:ind w:left="0" w:firstLine="0"/>
      </w:pPr>
      <w:rPr>
        <w:rFonts w:hint="eastAsia"/>
      </w:rPr>
    </w:lvl>
    <w:lvl w:ilvl="1" w:tentative="0">
      <w:start w:val="1"/>
      <w:numFmt w:val="lowerLetter"/>
      <w:lvlText w:val="%2)"/>
      <w:lvlJc w:val="left"/>
      <w:pPr>
        <w:tabs>
          <w:tab w:val="left" w:pos="1322"/>
        </w:tabs>
        <w:ind w:left="1322" w:hanging="420"/>
      </w:pPr>
      <w:rPr>
        <w:rFonts w:hint="eastAsia"/>
      </w:rPr>
    </w:lvl>
    <w:lvl w:ilvl="2" w:tentative="0">
      <w:start w:val="1"/>
      <w:numFmt w:val="lowerRoman"/>
      <w:pStyle w:val="766"/>
      <w:lvlText w:val="%3."/>
      <w:lvlJc w:val="left"/>
      <w:pPr>
        <w:tabs>
          <w:tab w:val="left" w:pos="1742"/>
        </w:tabs>
        <w:ind w:left="1742" w:hanging="420"/>
      </w:pPr>
      <w:rPr>
        <w:rFonts w:hint="eastAsia"/>
      </w:rPr>
    </w:lvl>
    <w:lvl w:ilvl="3" w:tentative="0">
      <w:start w:val="1"/>
      <w:numFmt w:val="decimal"/>
      <w:lvlText w:val="%4."/>
      <w:lvlJc w:val="left"/>
      <w:pPr>
        <w:tabs>
          <w:tab w:val="left" w:pos="2162"/>
        </w:tabs>
        <w:ind w:left="2162" w:hanging="420"/>
      </w:pPr>
      <w:rPr>
        <w:rFonts w:hint="eastAsia"/>
      </w:rPr>
    </w:lvl>
    <w:lvl w:ilvl="4" w:tentative="0">
      <w:start w:val="1"/>
      <w:numFmt w:val="lowerLetter"/>
      <w:lvlText w:val="%5)"/>
      <w:lvlJc w:val="left"/>
      <w:pPr>
        <w:tabs>
          <w:tab w:val="left" w:pos="2582"/>
        </w:tabs>
        <w:ind w:left="2582" w:hanging="420"/>
      </w:pPr>
      <w:rPr>
        <w:rFonts w:hint="eastAsia"/>
      </w:rPr>
    </w:lvl>
    <w:lvl w:ilvl="5" w:tentative="0">
      <w:start w:val="1"/>
      <w:numFmt w:val="lowerRoman"/>
      <w:lvlText w:val="%6."/>
      <w:lvlJc w:val="left"/>
      <w:pPr>
        <w:tabs>
          <w:tab w:val="left" w:pos="3002"/>
        </w:tabs>
        <w:ind w:left="3002" w:hanging="420"/>
      </w:pPr>
      <w:rPr>
        <w:rFonts w:hint="eastAsia"/>
      </w:rPr>
    </w:lvl>
    <w:lvl w:ilvl="6" w:tentative="0">
      <w:start w:val="1"/>
      <w:numFmt w:val="decimal"/>
      <w:lvlText w:val="%7."/>
      <w:lvlJc w:val="left"/>
      <w:pPr>
        <w:tabs>
          <w:tab w:val="left" w:pos="3422"/>
        </w:tabs>
        <w:ind w:left="3422" w:hanging="420"/>
      </w:pPr>
      <w:rPr>
        <w:rFonts w:hint="eastAsia"/>
      </w:rPr>
    </w:lvl>
    <w:lvl w:ilvl="7" w:tentative="0">
      <w:start w:val="1"/>
      <w:numFmt w:val="lowerLetter"/>
      <w:lvlText w:val="%8)"/>
      <w:lvlJc w:val="left"/>
      <w:pPr>
        <w:tabs>
          <w:tab w:val="left" w:pos="3842"/>
        </w:tabs>
        <w:ind w:left="3842" w:hanging="420"/>
      </w:pPr>
      <w:rPr>
        <w:rFonts w:hint="eastAsia"/>
      </w:rPr>
    </w:lvl>
    <w:lvl w:ilvl="8" w:tentative="0">
      <w:start w:val="1"/>
      <w:numFmt w:val="lowerRoman"/>
      <w:lvlText w:val="%9."/>
      <w:lvlJc w:val="left"/>
      <w:pPr>
        <w:tabs>
          <w:tab w:val="left" w:pos="4262"/>
        </w:tabs>
        <w:ind w:left="4262" w:hanging="420"/>
      </w:pPr>
      <w:rPr>
        <w:rFonts w:hint="eastAsia"/>
      </w:rPr>
    </w:lvl>
  </w:abstractNum>
  <w:abstractNum w:abstractNumId="2">
    <w:nsid w:val="0000001B"/>
    <w:multiLevelType w:val="multilevel"/>
    <w:tmpl w:val="0000001B"/>
    <w:lvl w:ilvl="0" w:tentative="0">
      <w:start w:val="1"/>
      <w:numFmt w:val="decimal"/>
      <w:pStyle w:val="911"/>
      <w:lvlText w:val="(%1)"/>
      <w:lvlJc w:val="left"/>
      <w:pPr>
        <w:tabs>
          <w:tab w:val="left" w:pos="397"/>
        </w:tabs>
        <w:ind w:left="397" w:hanging="397"/>
      </w:pPr>
      <w:rPr>
        <w:rFonts w:hint="default" w:ascii="Arial" w:hAnsi="Arial" w:eastAsia="宋体"/>
        <w:b w:val="0"/>
        <w:i w:val="0"/>
        <w:color w:val="auto"/>
        <w:sz w:val="18"/>
        <w:szCs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1C"/>
    <w:multiLevelType w:val="singleLevel"/>
    <w:tmpl w:val="0000001C"/>
    <w:lvl w:ilvl="0" w:tentative="0">
      <w:start w:val="0"/>
      <w:numFmt w:val="bullet"/>
      <w:lvlText w:val="*"/>
      <w:lvlJc w:val="left"/>
    </w:lvl>
  </w:abstractNum>
  <w:abstractNum w:abstractNumId="4">
    <w:nsid w:val="02EE1799"/>
    <w:multiLevelType w:val="multilevel"/>
    <w:tmpl w:val="02EE179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A760F1C"/>
    <w:multiLevelType w:val="multilevel"/>
    <w:tmpl w:val="0A760F1C"/>
    <w:lvl w:ilvl="0" w:tentative="0">
      <w:start w:val="1"/>
      <w:numFmt w:val="decimal"/>
      <w:pStyle w:val="1090"/>
      <w:suff w:val="space"/>
      <w:lvlText w:val="第%1章"/>
      <w:lvlJc w:val="center"/>
      <w:pPr>
        <w:ind w:left="0" w:firstLine="288"/>
      </w:pPr>
      <w:rPr>
        <w:rFonts w:hint="eastAsia" w:ascii="华文宋体" w:hAnsi="华文宋体" w:eastAsia="华文宋体"/>
        <w:sz w:val="36"/>
      </w:rPr>
    </w:lvl>
    <w:lvl w:ilvl="1" w:tentative="0">
      <w:start w:val="1"/>
      <w:numFmt w:val="decimal"/>
      <w:pStyle w:val="1092"/>
      <w:suff w:val="space"/>
      <w:lvlText w:val="%1.%2"/>
      <w:lvlJc w:val="left"/>
      <w:pPr>
        <w:ind w:left="0" w:firstLine="0"/>
      </w:pPr>
      <w:rPr>
        <w:rFonts w:hint="eastAsia" w:ascii="宋体" w:hAnsi="宋体" w:eastAsia="宋体"/>
        <w:sz w:val="32"/>
        <w:szCs w:val="32"/>
      </w:rPr>
    </w:lvl>
    <w:lvl w:ilvl="2" w:tentative="0">
      <w:start w:val="1"/>
      <w:numFmt w:val="decimal"/>
      <w:pStyle w:val="1093"/>
      <w:suff w:val="space"/>
      <w:lvlText w:val="%1.%2.%3"/>
      <w:lvlJc w:val="left"/>
      <w:pPr>
        <w:ind w:left="0" w:firstLine="0"/>
      </w:pPr>
      <w:rPr>
        <w:rFonts w:hint="eastAsia" w:ascii="黑体" w:hAnsi="黑体" w:eastAsia="黑体"/>
        <w:sz w:val="28"/>
      </w:rPr>
    </w:lvl>
    <w:lvl w:ilvl="3" w:tentative="0">
      <w:start w:val="1"/>
      <w:numFmt w:val="decimal"/>
      <w:pStyle w:val="1094"/>
      <w:suff w:val="space"/>
      <w:lvlText w:val="%1.%2.%3.%4"/>
      <w:lvlJc w:val="left"/>
      <w:pPr>
        <w:ind w:left="0" w:firstLine="0"/>
      </w:pPr>
      <w:rPr>
        <w:rFonts w:hint="eastAsia" w:ascii="黑体" w:hAnsi="黑体" w:eastAsia="黑体"/>
        <w:sz w:val="24"/>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6">
    <w:nsid w:val="0BF561EC"/>
    <w:multiLevelType w:val="multilevel"/>
    <w:tmpl w:val="0BF561EC"/>
    <w:lvl w:ilvl="0" w:tentative="0">
      <w:start w:val="1"/>
      <w:numFmt w:val="decimal"/>
      <w:pStyle w:val="641"/>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0ED47B7B"/>
    <w:multiLevelType w:val="multilevel"/>
    <w:tmpl w:val="0ED47B7B"/>
    <w:lvl w:ilvl="0" w:tentative="0">
      <w:start w:val="1"/>
      <w:numFmt w:val="decimal"/>
      <w:pStyle w:val="1062"/>
      <w:suff w:val="space"/>
      <w:lvlText w:val="%1."/>
      <w:lvlJc w:val="left"/>
      <w:pPr>
        <w:ind w:left="432" w:hanging="432"/>
      </w:pPr>
      <w:rPr>
        <w:rFonts w:hint="eastAsia"/>
      </w:rPr>
    </w:lvl>
    <w:lvl w:ilvl="1" w:tentative="0">
      <w:start w:val="1"/>
      <w:numFmt w:val="decimal"/>
      <w:pStyle w:val="1064"/>
      <w:suff w:val="space"/>
      <w:lvlText w:val="%1.%2."/>
      <w:lvlJc w:val="left"/>
      <w:pPr>
        <w:ind w:left="1993" w:hanging="576"/>
      </w:pPr>
      <w:rPr>
        <w:rFonts w:hint="eastAsia"/>
      </w:rPr>
    </w:lvl>
    <w:lvl w:ilvl="2" w:tentative="0">
      <w:start w:val="1"/>
      <w:numFmt w:val="decimal"/>
      <w:pStyle w:val="1065"/>
      <w:suff w:val="space"/>
      <w:lvlText w:val="%1.%2.%3."/>
      <w:lvlJc w:val="left"/>
      <w:pPr>
        <w:ind w:left="720" w:hanging="720"/>
      </w:pPr>
      <w:rPr>
        <w:rFonts w:hint="eastAsia"/>
      </w:rPr>
    </w:lvl>
    <w:lvl w:ilvl="3" w:tentative="0">
      <w:start w:val="1"/>
      <w:numFmt w:val="decimal"/>
      <w:pStyle w:val="1066"/>
      <w:suff w:val="space"/>
      <w:lvlText w:val="%1.%2.%3.%4."/>
      <w:lvlJc w:val="left"/>
      <w:pPr>
        <w:ind w:left="864" w:hanging="864"/>
      </w:pPr>
      <w:rPr>
        <w:rFonts w:hint="eastAsia"/>
      </w:rPr>
    </w:lvl>
    <w:lvl w:ilvl="4" w:tentative="0">
      <w:start w:val="1"/>
      <w:numFmt w:val="decimal"/>
      <w:pStyle w:val="1067"/>
      <w:suff w:val="space"/>
      <w:lvlText w:val="%1.%2.%3.%4.%5."/>
      <w:lvlJc w:val="left"/>
      <w:pPr>
        <w:ind w:left="1008" w:hanging="1008"/>
      </w:pPr>
      <w:rPr>
        <w:rFonts w:hint="eastAsia"/>
      </w:rPr>
    </w:lvl>
    <w:lvl w:ilvl="5" w:tentative="0">
      <w:start w:val="1"/>
      <w:numFmt w:val="decimal"/>
      <w:pStyle w:val="1068"/>
      <w:suff w:val="space"/>
      <w:lvlText w:val="%1.%2.%3.%4.%5.%6."/>
      <w:lvlJc w:val="left"/>
      <w:pPr>
        <w:ind w:left="1152" w:hanging="1152"/>
      </w:pPr>
      <w:rPr>
        <w:rFonts w:hint="eastAsia"/>
      </w:rPr>
    </w:lvl>
    <w:lvl w:ilvl="6" w:tentative="0">
      <w:start w:val="1"/>
      <w:numFmt w:val="decimal"/>
      <w:pStyle w:val="1069"/>
      <w:suff w:val="space"/>
      <w:lvlText w:val="%1.%2.%3.%4.%5.%6.%7."/>
      <w:lvlJc w:val="left"/>
      <w:pPr>
        <w:ind w:left="1296" w:hanging="1296"/>
      </w:pPr>
      <w:rPr>
        <w:rFonts w:hint="eastAsia"/>
      </w:rPr>
    </w:lvl>
    <w:lvl w:ilvl="7" w:tentative="0">
      <w:start w:val="1"/>
      <w:numFmt w:val="decimal"/>
      <w:pStyle w:val="1070"/>
      <w:suff w:val="space"/>
      <w:lvlText w:val="%1.%2.%3.%4.%5.%6.%7.%8."/>
      <w:lvlJc w:val="left"/>
      <w:pPr>
        <w:ind w:left="1440" w:hanging="1440"/>
      </w:pPr>
      <w:rPr>
        <w:rFonts w:hint="eastAsia"/>
      </w:rPr>
    </w:lvl>
    <w:lvl w:ilvl="8" w:tentative="0">
      <w:start w:val="1"/>
      <w:numFmt w:val="decimal"/>
      <w:pStyle w:val="1071"/>
      <w:suff w:val="space"/>
      <w:lvlText w:val="%1.%2.%3.%4.%5.%6.%7.%8.%9."/>
      <w:lvlJc w:val="left"/>
      <w:pPr>
        <w:ind w:left="1584" w:hanging="1584"/>
      </w:pPr>
      <w:rPr>
        <w:rFonts w:hint="eastAsia"/>
      </w:rPr>
    </w:lvl>
  </w:abstractNum>
  <w:abstractNum w:abstractNumId="8">
    <w:nsid w:val="147B758E"/>
    <w:multiLevelType w:val="multilevel"/>
    <w:tmpl w:val="147B758E"/>
    <w:lvl w:ilvl="0" w:tentative="0">
      <w:start w:val="1"/>
      <w:numFmt w:val="decimal"/>
      <w:pStyle w:val="697"/>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1D2F48D5"/>
    <w:multiLevelType w:val="multilevel"/>
    <w:tmpl w:val="1D2F48D5"/>
    <w:lvl w:ilvl="0" w:tentative="0">
      <w:start w:val="1"/>
      <w:numFmt w:val="decimal"/>
      <w:pStyle w:val="1076"/>
      <w:lvlText w:val="图%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1D416BEB"/>
    <w:multiLevelType w:val="multilevel"/>
    <w:tmpl w:val="1D416BE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208A7ABE"/>
    <w:multiLevelType w:val="multilevel"/>
    <w:tmpl w:val="208A7ABE"/>
    <w:lvl w:ilvl="0" w:tentative="0">
      <w:start w:val="1"/>
      <w:numFmt w:val="decimal"/>
      <w:pStyle w:val="1079"/>
      <w:suff w:val="space"/>
      <w:lvlText w:val="表%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2C5D32A6"/>
    <w:multiLevelType w:val="multilevel"/>
    <w:tmpl w:val="2C5D32A6"/>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3">
    <w:nsid w:val="30B55D3B"/>
    <w:multiLevelType w:val="multilevel"/>
    <w:tmpl w:val="30B55D3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35F82AD6"/>
    <w:multiLevelType w:val="multilevel"/>
    <w:tmpl w:val="35F82AD6"/>
    <w:lvl w:ilvl="0" w:tentative="0">
      <w:start w:val="1"/>
      <w:numFmt w:val="chineseCountingThousand"/>
      <w:pStyle w:val="2"/>
      <w:lvlText w:val="%1、"/>
      <w:lvlJc w:val="left"/>
      <w:pPr>
        <w:ind w:left="0" w:firstLine="0"/>
      </w:pPr>
      <w:rPr>
        <w:rFonts w:hint="default"/>
        <w:sz w:val="30"/>
        <w:szCs w:val="30"/>
      </w:rPr>
    </w:lvl>
    <w:lvl w:ilvl="1" w:tentative="0">
      <w:start w:val="1"/>
      <w:numFmt w:val="decimal"/>
      <w:pStyle w:val="3"/>
      <w:lvlText w:val="%2."/>
      <w:lvlJc w:val="left"/>
      <w:pPr>
        <w:ind w:left="3119" w:firstLine="0"/>
      </w:pPr>
      <w:rPr>
        <w:rFonts w:hint="default"/>
      </w:rPr>
    </w:lvl>
    <w:lvl w:ilvl="2" w:tentative="0">
      <w:start w:val="1"/>
      <w:numFmt w:val="decimal"/>
      <w:pStyle w:val="4"/>
      <w:suff w:val="space"/>
      <w:lvlText w:val="%1.%2.%3"/>
      <w:lvlJc w:val="left"/>
      <w:pPr>
        <w:ind w:left="0" w:firstLine="0"/>
      </w:pPr>
      <w:rPr>
        <w:rFonts w:hint="default" w:ascii="Cambria" w:hAnsi="Cambria"/>
      </w:rPr>
    </w:lvl>
    <w:lvl w:ilvl="3" w:tentative="0">
      <w:start w:val="1"/>
      <w:numFmt w:val="decimal"/>
      <w:pStyle w:val="5"/>
      <w:isLgl/>
      <w:lvlText w:val="%1.%2.%3.%4"/>
      <w:lvlJc w:val="left"/>
      <w:pPr>
        <w:ind w:left="0" w:firstLine="0"/>
      </w:pPr>
      <w:rPr>
        <w:rFonts w:hint="eastAsia"/>
      </w:rPr>
    </w:lvl>
    <w:lvl w:ilvl="4" w:tentative="0">
      <w:start w:val="1"/>
      <w:numFmt w:val="decimal"/>
      <w:pStyle w:val="6"/>
      <w:suff w:val="space"/>
      <w:lvlText w:val="%1.%2.%3.%4.%5"/>
      <w:lvlJc w:val="left"/>
      <w:pPr>
        <w:ind w:left="0" w:firstLine="0"/>
      </w:pPr>
      <w:rPr>
        <w:rFonts w:hint="default" w:ascii="Cambria" w:hAnsi="Cambria"/>
      </w:rPr>
    </w:lvl>
    <w:lvl w:ilvl="5" w:tentative="0">
      <w:start w:val="1"/>
      <w:numFmt w:val="decimal"/>
      <w:pStyle w:val="7"/>
      <w:lvlText w:val="%1.%2.%3.%4.%5.%6"/>
      <w:lvlJc w:val="left"/>
      <w:pPr>
        <w:ind w:left="0" w:firstLine="0"/>
      </w:pPr>
      <w:rPr>
        <w:rFonts w:hint="eastAsia"/>
      </w:rPr>
    </w:lvl>
    <w:lvl w:ilvl="6" w:tentative="0">
      <w:start w:val="1"/>
      <w:numFmt w:val="decimal"/>
      <w:pStyle w:val="8"/>
      <w:lvlText w:val="%1.%2.%3.%4.%5.%6.%7"/>
      <w:lvlJc w:val="left"/>
      <w:pPr>
        <w:ind w:left="0" w:firstLine="0"/>
      </w:pPr>
      <w:rPr>
        <w:rFonts w:hint="eastAsia"/>
      </w:rPr>
    </w:lvl>
    <w:lvl w:ilvl="7" w:tentative="0">
      <w:start w:val="1"/>
      <w:numFmt w:val="decimal"/>
      <w:pStyle w:val="9"/>
      <w:lvlText w:val="%1.%2.%3.%4.%5.%6.%7.%8"/>
      <w:lvlJc w:val="left"/>
      <w:pPr>
        <w:ind w:left="0" w:firstLine="0"/>
      </w:pPr>
      <w:rPr>
        <w:rFonts w:hint="eastAsia"/>
      </w:rPr>
    </w:lvl>
    <w:lvl w:ilvl="8" w:tentative="0">
      <w:start w:val="1"/>
      <w:numFmt w:val="decimal"/>
      <w:pStyle w:val="10"/>
      <w:lvlText w:val="%1.%2.%3.%4.%5.%6.%7.%8.%9"/>
      <w:lvlJc w:val="left"/>
      <w:pPr>
        <w:ind w:left="0" w:firstLine="0"/>
      </w:pPr>
      <w:rPr>
        <w:rFonts w:hint="eastAsia"/>
      </w:rPr>
    </w:lvl>
  </w:abstractNum>
  <w:abstractNum w:abstractNumId="15">
    <w:nsid w:val="3A010582"/>
    <w:multiLevelType w:val="multilevel"/>
    <w:tmpl w:val="3A010582"/>
    <w:lvl w:ilvl="0" w:tentative="0">
      <w:start w:val="1"/>
      <w:numFmt w:val="decimal"/>
      <w:lvlText w:val="%1、"/>
      <w:lvlJc w:val="left"/>
      <w:pPr>
        <w:ind w:left="840" w:hanging="420"/>
      </w:pPr>
      <w:rPr>
        <w:rFonts w:ascii="Cambria" w:hAnsi="Cambria" w:eastAsia="微软雅黑"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
    <w:nsid w:val="3B3813A7"/>
    <w:multiLevelType w:val="multilevel"/>
    <w:tmpl w:val="3B3813A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5C0133B"/>
    <w:multiLevelType w:val="multilevel"/>
    <w:tmpl w:val="45C0133B"/>
    <w:lvl w:ilvl="0" w:tentative="0">
      <w:start w:val="1"/>
      <w:numFmt w:val="decimal"/>
      <w:pStyle w:val="651"/>
      <w:lvlText w:val="%1"/>
      <w:lvlJc w:val="left"/>
      <w:pPr>
        <w:ind w:left="425" w:hanging="425"/>
      </w:pPr>
      <w:rPr>
        <w:rFonts w:hint="eastAsia"/>
      </w:rPr>
    </w:lvl>
    <w:lvl w:ilvl="1" w:tentative="0">
      <w:start w:val="1"/>
      <w:numFmt w:val="decimal"/>
      <w:pStyle w:val="599"/>
      <w:lvlText w:val="%1.%2"/>
      <w:lvlJc w:val="left"/>
      <w:pPr>
        <w:ind w:left="425" w:hanging="425"/>
      </w:pPr>
      <w:rPr>
        <w:rFonts w:hint="eastAsia"/>
      </w:rPr>
    </w:lvl>
    <w:lvl w:ilvl="2" w:tentative="0">
      <w:start w:val="1"/>
      <w:numFmt w:val="decimal"/>
      <w:pStyle w:val="625"/>
      <w:lvlText w:val="%1.%2.%3"/>
      <w:lvlJc w:val="left"/>
      <w:pPr>
        <w:ind w:left="425" w:hanging="425"/>
      </w:pPr>
      <w:rPr>
        <w:rFonts w:hint="eastAsia"/>
      </w:rPr>
    </w:lvl>
    <w:lvl w:ilvl="3" w:tentative="0">
      <w:start w:val="1"/>
      <w:numFmt w:val="decimal"/>
      <w:lvlText w:val="%1.%2.%3.%4"/>
      <w:lvlJc w:val="left"/>
      <w:pPr>
        <w:ind w:left="425" w:hanging="425"/>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8">
    <w:nsid w:val="5AB334FB"/>
    <w:multiLevelType w:val="singleLevel"/>
    <w:tmpl w:val="5AB334FB"/>
    <w:lvl w:ilvl="0" w:tentative="0">
      <w:start w:val="1"/>
      <w:numFmt w:val="chineseCounting"/>
      <w:suff w:val="nothing"/>
      <w:lvlText w:val="%1．"/>
      <w:lvlJc w:val="left"/>
    </w:lvl>
  </w:abstractNum>
  <w:abstractNum w:abstractNumId="19">
    <w:nsid w:val="5F534888"/>
    <w:multiLevelType w:val="multilevel"/>
    <w:tmpl w:val="5F534888"/>
    <w:lvl w:ilvl="0" w:tentative="0">
      <w:start w:val="1"/>
      <w:numFmt w:val="decimal"/>
      <w:pStyle w:val="1052"/>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608D4B65"/>
    <w:multiLevelType w:val="multilevel"/>
    <w:tmpl w:val="608D4B65"/>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1">
    <w:nsid w:val="60D10383"/>
    <w:multiLevelType w:val="multilevel"/>
    <w:tmpl w:val="60D1038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6CEA2025"/>
    <w:multiLevelType w:val="multilevel"/>
    <w:tmpl w:val="6CEA2025"/>
    <w:lvl w:ilvl="0" w:tentative="0">
      <w:start w:val="1"/>
      <w:numFmt w:val="none"/>
      <w:pStyle w:val="409"/>
      <w:suff w:val="nothing"/>
      <w:lvlText w:val="%1"/>
      <w:lvlJc w:val="left"/>
      <w:rPr>
        <w:rFonts w:hint="default" w:ascii="Times New Roman" w:hAnsi="Times New Roman" w:cs="Times New Roman"/>
        <w:b/>
        <w:bCs/>
        <w:i w:val="0"/>
        <w:iCs w:val="0"/>
        <w:sz w:val="21"/>
        <w:szCs w:val="21"/>
      </w:rPr>
    </w:lvl>
    <w:lvl w:ilvl="1" w:tentative="0">
      <w:start w:val="1"/>
      <w:numFmt w:val="decimal"/>
      <w:pStyle w:val="894"/>
      <w:suff w:val="nothing"/>
      <w:lvlText w:val="%1%2　"/>
      <w:lvlJc w:val="left"/>
      <w:rPr>
        <w:rFonts w:hint="eastAsia" w:ascii="黑体" w:hAnsi="Times New Roman" w:eastAsia="黑体" w:cs="Times New Roman"/>
        <w:b w:val="0"/>
        <w:bCs w:val="0"/>
        <w:i w:val="0"/>
        <w:iCs w:val="0"/>
        <w:sz w:val="21"/>
        <w:szCs w:val="21"/>
      </w:rPr>
    </w:lvl>
    <w:lvl w:ilvl="2" w:tentative="0">
      <w:start w:val="1"/>
      <w:numFmt w:val="decimal"/>
      <w:pStyle w:val="942"/>
      <w:suff w:val="nothing"/>
      <w:lvlText w:val="%1%2.%3　"/>
      <w:lvlJc w:val="left"/>
      <w:rPr>
        <w:rFonts w:hint="eastAsia" w:ascii="黑体" w:hAnsi="Times New Roman" w:eastAsia="黑体" w:cs="Times New Roman"/>
        <w:b w:val="0"/>
        <w:bCs w:val="0"/>
        <w:i w:val="0"/>
        <w:iCs w:val="0"/>
        <w:sz w:val="21"/>
        <w:szCs w:val="21"/>
      </w:rPr>
    </w:lvl>
    <w:lvl w:ilvl="3" w:tentative="0">
      <w:start w:val="1"/>
      <w:numFmt w:val="decimal"/>
      <w:suff w:val="nothing"/>
      <w:lvlText w:val="%1%2.%3.%4　"/>
      <w:lvlJc w:val="left"/>
      <w:rPr>
        <w:rFonts w:hint="eastAsia" w:ascii="黑体" w:hAnsi="Times New Roman" w:eastAsia="黑体" w:cs="Times New Roman"/>
        <w:b w:val="0"/>
        <w:bCs w:val="0"/>
        <w:i w:val="0"/>
        <w:iCs w:val="0"/>
        <w:sz w:val="21"/>
        <w:szCs w:val="21"/>
      </w:rPr>
    </w:lvl>
    <w:lvl w:ilvl="4" w:tentative="0">
      <w:start w:val="1"/>
      <w:numFmt w:val="decimal"/>
      <w:suff w:val="nothing"/>
      <w:lvlText w:val="%1%2.%3.%4.%5　"/>
      <w:lvlJc w:val="left"/>
      <w:rPr>
        <w:rFonts w:hint="eastAsia" w:ascii="黑体" w:hAnsi="Times New Roman" w:eastAsia="黑体" w:cs="Times New Roman"/>
        <w:b w:val="0"/>
        <w:bCs w:val="0"/>
        <w:i w:val="0"/>
        <w:iCs w:val="0"/>
        <w:sz w:val="21"/>
        <w:szCs w:val="21"/>
      </w:rPr>
    </w:lvl>
    <w:lvl w:ilvl="5" w:tentative="0">
      <w:start w:val="1"/>
      <w:numFmt w:val="decimal"/>
      <w:suff w:val="nothing"/>
      <w:lvlText w:val="%1%2.%3.%4.%5.%6　"/>
      <w:lvlJc w:val="left"/>
      <w:rPr>
        <w:rFonts w:hint="eastAsia" w:ascii="黑体" w:hAnsi="Times New Roman" w:eastAsia="黑体" w:cs="Times New Roman"/>
        <w:b w:val="0"/>
        <w:bCs w:val="0"/>
        <w:i w:val="0"/>
        <w:iCs w:val="0"/>
        <w:sz w:val="21"/>
        <w:szCs w:val="21"/>
      </w:rPr>
    </w:lvl>
    <w:lvl w:ilvl="6" w:tentative="0">
      <w:start w:val="1"/>
      <w:numFmt w:val="decimal"/>
      <w:suff w:val="nothing"/>
      <w:lvlText w:val="%1%2.%3.%4.%5.%6.%7　"/>
      <w:lvlJc w:val="left"/>
      <w:rPr>
        <w:rFonts w:hint="eastAsia" w:ascii="黑体" w:hAnsi="Times New Roman" w:eastAsia="黑体" w:cs="Times New Roman"/>
        <w:b w:val="0"/>
        <w:bCs w:val="0"/>
        <w:i w:val="0"/>
        <w:iCs w:val="0"/>
        <w:sz w:val="21"/>
        <w:szCs w:val="21"/>
      </w:rPr>
    </w:lvl>
    <w:lvl w:ilvl="7" w:tentative="0">
      <w:start w:val="1"/>
      <w:numFmt w:val="decimal"/>
      <w:lvlText w:val="%1.%2.%3.%4.%5.%6.%7.%8"/>
      <w:lvlJc w:val="left"/>
      <w:pPr>
        <w:tabs>
          <w:tab w:val="left" w:pos="8179"/>
        </w:tabs>
        <w:ind w:left="7797" w:hanging="1418"/>
      </w:pPr>
      <w:rPr>
        <w:rFonts w:hint="eastAsia" w:cs="Times New Roman"/>
      </w:rPr>
    </w:lvl>
    <w:lvl w:ilvl="8" w:tentative="0">
      <w:start w:val="1"/>
      <w:numFmt w:val="decimal"/>
      <w:lvlText w:val="%1.%2.%3.%4.%5.%6.%7.%8.%9"/>
      <w:lvlJc w:val="left"/>
      <w:pPr>
        <w:tabs>
          <w:tab w:val="left" w:pos="8605"/>
        </w:tabs>
        <w:ind w:left="8505" w:hanging="1700"/>
      </w:pPr>
      <w:rPr>
        <w:rFonts w:hint="eastAsia" w:cs="Times New Roman"/>
      </w:rPr>
    </w:lvl>
  </w:abstractNum>
  <w:abstractNum w:abstractNumId="23">
    <w:nsid w:val="743C6250"/>
    <w:multiLevelType w:val="multilevel"/>
    <w:tmpl w:val="743C625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7DD93E85"/>
    <w:multiLevelType w:val="multilevel"/>
    <w:tmpl w:val="7DD93E85"/>
    <w:lvl w:ilvl="0" w:tentative="0">
      <w:start w:val="1"/>
      <w:numFmt w:val="decimal"/>
      <w:lvlText w:val="%1."/>
      <w:lvlJc w:val="left"/>
      <w:pPr>
        <w:tabs>
          <w:tab w:val="left" w:pos="425"/>
        </w:tabs>
        <w:ind w:left="425" w:hanging="425"/>
      </w:pPr>
      <w:rPr>
        <w:rFonts w:hint="default"/>
        <w:sz w:val="32"/>
        <w:szCs w:val="32"/>
      </w:rPr>
    </w:lvl>
    <w:lvl w:ilvl="1" w:tentative="0">
      <w:start w:val="1"/>
      <w:numFmt w:val="decimal"/>
      <w:pStyle w:val="804"/>
      <w:lvlText w:val="%1.%2."/>
      <w:lvlJc w:val="left"/>
      <w:pPr>
        <w:tabs>
          <w:tab w:val="left" w:pos="567"/>
        </w:tabs>
        <w:ind w:left="567" w:hanging="567"/>
      </w:pPr>
      <w:rPr>
        <w:b/>
        <w:color w:val="auto"/>
        <w:sz w:val="30"/>
        <w:szCs w:val="30"/>
      </w:rPr>
    </w:lvl>
    <w:lvl w:ilvl="2" w:tentative="0">
      <w:start w:val="1"/>
      <w:numFmt w:val="decimal"/>
      <w:lvlText w:val="%1.%2.%3."/>
      <w:lvlJc w:val="left"/>
      <w:pPr>
        <w:tabs>
          <w:tab w:val="left" w:pos="709"/>
        </w:tabs>
        <w:ind w:left="709" w:hanging="709"/>
      </w:pPr>
      <w:rPr>
        <w:b/>
        <w:sz w:val="28"/>
        <w:szCs w:val="28"/>
      </w:r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num w:numId="1">
    <w:abstractNumId w:val="14"/>
  </w:num>
  <w:num w:numId="2">
    <w:abstractNumId w:val="1"/>
  </w:num>
  <w:num w:numId="3">
    <w:abstractNumId w:val="22"/>
  </w:num>
  <w:num w:numId="4">
    <w:abstractNumId w:val="2"/>
  </w:num>
  <w:num w:numId="5">
    <w:abstractNumId w:val="17"/>
  </w:num>
  <w:num w:numId="6">
    <w:abstractNumId w:val="6"/>
  </w:num>
  <w:num w:numId="7">
    <w:abstractNumId w:val="8"/>
  </w:num>
  <w:num w:numId="8">
    <w:abstractNumId w:val="24"/>
  </w:num>
  <w:num w:numId="9">
    <w:abstractNumId w:val="19"/>
  </w:num>
  <w:num w:numId="10">
    <w:abstractNumId w:val="7"/>
  </w:num>
  <w:num w:numId="11">
    <w:abstractNumId w:val="9"/>
  </w:num>
  <w:num w:numId="12">
    <w:abstractNumId w:val="11"/>
  </w:num>
  <w:num w:numId="13">
    <w:abstractNumId w:val="5"/>
  </w:num>
  <w:num w:numId="14">
    <w:abstractNumId w:val="13"/>
  </w:num>
  <w:num w:numId="15">
    <w:abstractNumId w:val="0"/>
  </w:num>
  <w:num w:numId="16">
    <w:abstractNumId w:val="20"/>
  </w:num>
  <w:num w:numId="17">
    <w:abstractNumId w:val="12"/>
  </w:num>
  <w:num w:numId="18">
    <w:abstractNumId w:val="4"/>
  </w:num>
  <w:num w:numId="19">
    <w:abstractNumId w:val="21"/>
  </w:num>
  <w:num w:numId="20">
    <w:abstractNumId w:val="23"/>
  </w:num>
  <w:num w:numId="21">
    <w:abstractNumId w:val="16"/>
  </w:num>
  <w:num w:numId="22">
    <w:abstractNumId w:val="18"/>
  </w:num>
  <w:num w:numId="23">
    <w:abstractNumId w:val="10"/>
  </w:num>
  <w:num w:numId="24">
    <w:abstractNumId w:val="15"/>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319"/>
  <w:displayHorizontalDrawingGridEvery w:val="2"/>
  <w:displayVerticalDrawingGridEvery w:val="1"/>
  <w:noPunctuationKerning w:val="1"/>
  <w:characterSpacingControl w:val="compressPunctuation"/>
  <w:doNotValidateAgainstSchema/>
  <w:doNotDemarcateInvalidXml/>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9C7"/>
    <w:rsid w:val="00001503"/>
    <w:rsid w:val="00002C8E"/>
    <w:rsid w:val="00004155"/>
    <w:rsid w:val="00004615"/>
    <w:rsid w:val="000056BD"/>
    <w:rsid w:val="0000599F"/>
    <w:rsid w:val="00005C26"/>
    <w:rsid w:val="00006F78"/>
    <w:rsid w:val="0001001D"/>
    <w:rsid w:val="0001063D"/>
    <w:rsid w:val="000116CD"/>
    <w:rsid w:val="0001201D"/>
    <w:rsid w:val="000136B8"/>
    <w:rsid w:val="00014D82"/>
    <w:rsid w:val="0001568A"/>
    <w:rsid w:val="000158BC"/>
    <w:rsid w:val="00015EF8"/>
    <w:rsid w:val="000173CC"/>
    <w:rsid w:val="00017524"/>
    <w:rsid w:val="00017767"/>
    <w:rsid w:val="000179DD"/>
    <w:rsid w:val="00017C6A"/>
    <w:rsid w:val="00017DFE"/>
    <w:rsid w:val="00020264"/>
    <w:rsid w:val="00020A78"/>
    <w:rsid w:val="00020EDD"/>
    <w:rsid w:val="00021D6C"/>
    <w:rsid w:val="00023BB2"/>
    <w:rsid w:val="000245B1"/>
    <w:rsid w:val="000247AF"/>
    <w:rsid w:val="000262FD"/>
    <w:rsid w:val="000263A2"/>
    <w:rsid w:val="00026761"/>
    <w:rsid w:val="0002695E"/>
    <w:rsid w:val="00030FA6"/>
    <w:rsid w:val="00031091"/>
    <w:rsid w:val="000319D8"/>
    <w:rsid w:val="00032649"/>
    <w:rsid w:val="00032DFC"/>
    <w:rsid w:val="00033BEB"/>
    <w:rsid w:val="000347AA"/>
    <w:rsid w:val="00034D89"/>
    <w:rsid w:val="00034EF7"/>
    <w:rsid w:val="00035854"/>
    <w:rsid w:val="00035F1F"/>
    <w:rsid w:val="000364CC"/>
    <w:rsid w:val="00036634"/>
    <w:rsid w:val="00036651"/>
    <w:rsid w:val="00036A50"/>
    <w:rsid w:val="00036BD1"/>
    <w:rsid w:val="00036C63"/>
    <w:rsid w:val="000378A4"/>
    <w:rsid w:val="00037F17"/>
    <w:rsid w:val="00040E1D"/>
    <w:rsid w:val="00040F98"/>
    <w:rsid w:val="000419FD"/>
    <w:rsid w:val="00041DC5"/>
    <w:rsid w:val="0004312B"/>
    <w:rsid w:val="00043827"/>
    <w:rsid w:val="0004680C"/>
    <w:rsid w:val="00050508"/>
    <w:rsid w:val="000505B8"/>
    <w:rsid w:val="00050C4B"/>
    <w:rsid w:val="00051547"/>
    <w:rsid w:val="00051DF8"/>
    <w:rsid w:val="0005251F"/>
    <w:rsid w:val="00052C9C"/>
    <w:rsid w:val="00053388"/>
    <w:rsid w:val="000534EF"/>
    <w:rsid w:val="00055383"/>
    <w:rsid w:val="000577F7"/>
    <w:rsid w:val="00057F0E"/>
    <w:rsid w:val="00057FB3"/>
    <w:rsid w:val="000617F4"/>
    <w:rsid w:val="00062515"/>
    <w:rsid w:val="00062539"/>
    <w:rsid w:val="0006257B"/>
    <w:rsid w:val="00062B49"/>
    <w:rsid w:val="00062FBD"/>
    <w:rsid w:val="00063354"/>
    <w:rsid w:val="00064795"/>
    <w:rsid w:val="00064E93"/>
    <w:rsid w:val="000668AB"/>
    <w:rsid w:val="00067A84"/>
    <w:rsid w:val="0007083A"/>
    <w:rsid w:val="00072378"/>
    <w:rsid w:val="0007261B"/>
    <w:rsid w:val="00073015"/>
    <w:rsid w:val="000731E5"/>
    <w:rsid w:val="00073B6C"/>
    <w:rsid w:val="00073BB5"/>
    <w:rsid w:val="00073BC1"/>
    <w:rsid w:val="00073C8E"/>
    <w:rsid w:val="00074832"/>
    <w:rsid w:val="00074AC3"/>
    <w:rsid w:val="0007543B"/>
    <w:rsid w:val="00075F94"/>
    <w:rsid w:val="0007634F"/>
    <w:rsid w:val="00077344"/>
    <w:rsid w:val="00080058"/>
    <w:rsid w:val="000806FE"/>
    <w:rsid w:val="00080719"/>
    <w:rsid w:val="00080CDF"/>
    <w:rsid w:val="00080FD8"/>
    <w:rsid w:val="00081378"/>
    <w:rsid w:val="00082F59"/>
    <w:rsid w:val="000838F7"/>
    <w:rsid w:val="00083EA2"/>
    <w:rsid w:val="000840DE"/>
    <w:rsid w:val="0008487A"/>
    <w:rsid w:val="00084A79"/>
    <w:rsid w:val="00085590"/>
    <w:rsid w:val="00085C48"/>
    <w:rsid w:val="00090038"/>
    <w:rsid w:val="000901AF"/>
    <w:rsid w:val="00091C38"/>
    <w:rsid w:val="00091DC6"/>
    <w:rsid w:val="000934AF"/>
    <w:rsid w:val="00093E3B"/>
    <w:rsid w:val="0009484C"/>
    <w:rsid w:val="00095187"/>
    <w:rsid w:val="00095823"/>
    <w:rsid w:val="00095E79"/>
    <w:rsid w:val="0009603E"/>
    <w:rsid w:val="00096BE5"/>
    <w:rsid w:val="00096F4A"/>
    <w:rsid w:val="00097EE3"/>
    <w:rsid w:val="000A02AB"/>
    <w:rsid w:val="000A04FB"/>
    <w:rsid w:val="000A18DF"/>
    <w:rsid w:val="000A29B3"/>
    <w:rsid w:val="000A2FAC"/>
    <w:rsid w:val="000A5B00"/>
    <w:rsid w:val="000A6E9E"/>
    <w:rsid w:val="000A7CAC"/>
    <w:rsid w:val="000B0118"/>
    <w:rsid w:val="000B1033"/>
    <w:rsid w:val="000B1EA0"/>
    <w:rsid w:val="000B243D"/>
    <w:rsid w:val="000B2721"/>
    <w:rsid w:val="000B3619"/>
    <w:rsid w:val="000B37C4"/>
    <w:rsid w:val="000B42DE"/>
    <w:rsid w:val="000B51FF"/>
    <w:rsid w:val="000B5C41"/>
    <w:rsid w:val="000B74E4"/>
    <w:rsid w:val="000B7876"/>
    <w:rsid w:val="000C094A"/>
    <w:rsid w:val="000C0B47"/>
    <w:rsid w:val="000C0C55"/>
    <w:rsid w:val="000C0D1E"/>
    <w:rsid w:val="000C0FC4"/>
    <w:rsid w:val="000C1D5C"/>
    <w:rsid w:val="000C1D80"/>
    <w:rsid w:val="000C23B2"/>
    <w:rsid w:val="000C3423"/>
    <w:rsid w:val="000C3B06"/>
    <w:rsid w:val="000C4BCC"/>
    <w:rsid w:val="000C5381"/>
    <w:rsid w:val="000C55D3"/>
    <w:rsid w:val="000C5C5F"/>
    <w:rsid w:val="000C78E9"/>
    <w:rsid w:val="000C7FB0"/>
    <w:rsid w:val="000D0541"/>
    <w:rsid w:val="000D1454"/>
    <w:rsid w:val="000D26CB"/>
    <w:rsid w:val="000D36EE"/>
    <w:rsid w:val="000D3E57"/>
    <w:rsid w:val="000D47D7"/>
    <w:rsid w:val="000D492F"/>
    <w:rsid w:val="000D5741"/>
    <w:rsid w:val="000D6056"/>
    <w:rsid w:val="000D7407"/>
    <w:rsid w:val="000D767B"/>
    <w:rsid w:val="000D7706"/>
    <w:rsid w:val="000E0D43"/>
    <w:rsid w:val="000E11AF"/>
    <w:rsid w:val="000E1958"/>
    <w:rsid w:val="000E20FA"/>
    <w:rsid w:val="000E5017"/>
    <w:rsid w:val="000E5070"/>
    <w:rsid w:val="000E58DA"/>
    <w:rsid w:val="000E6035"/>
    <w:rsid w:val="000E6101"/>
    <w:rsid w:val="000E76B9"/>
    <w:rsid w:val="000E7853"/>
    <w:rsid w:val="000F080D"/>
    <w:rsid w:val="000F0A55"/>
    <w:rsid w:val="000F1209"/>
    <w:rsid w:val="000F2215"/>
    <w:rsid w:val="000F2334"/>
    <w:rsid w:val="000F2772"/>
    <w:rsid w:val="000F3B96"/>
    <w:rsid w:val="000F4EDF"/>
    <w:rsid w:val="000F527C"/>
    <w:rsid w:val="000F5C48"/>
    <w:rsid w:val="000F7958"/>
    <w:rsid w:val="000F7C87"/>
    <w:rsid w:val="00101001"/>
    <w:rsid w:val="00101578"/>
    <w:rsid w:val="00101682"/>
    <w:rsid w:val="00101E27"/>
    <w:rsid w:val="00101ED1"/>
    <w:rsid w:val="001024E3"/>
    <w:rsid w:val="00103A0F"/>
    <w:rsid w:val="001045C0"/>
    <w:rsid w:val="00104B6E"/>
    <w:rsid w:val="0010514F"/>
    <w:rsid w:val="00105677"/>
    <w:rsid w:val="00106728"/>
    <w:rsid w:val="001067EE"/>
    <w:rsid w:val="00107748"/>
    <w:rsid w:val="00110393"/>
    <w:rsid w:val="00110419"/>
    <w:rsid w:val="00110593"/>
    <w:rsid w:val="00110A6A"/>
    <w:rsid w:val="00110B8F"/>
    <w:rsid w:val="00110F25"/>
    <w:rsid w:val="001114D7"/>
    <w:rsid w:val="0011152E"/>
    <w:rsid w:val="00112559"/>
    <w:rsid w:val="00112F97"/>
    <w:rsid w:val="00113901"/>
    <w:rsid w:val="00115867"/>
    <w:rsid w:val="00115C5B"/>
    <w:rsid w:val="00116FE0"/>
    <w:rsid w:val="00117395"/>
    <w:rsid w:val="00120175"/>
    <w:rsid w:val="00121ED3"/>
    <w:rsid w:val="00122469"/>
    <w:rsid w:val="00122BEC"/>
    <w:rsid w:val="001240AF"/>
    <w:rsid w:val="00124135"/>
    <w:rsid w:val="001245E1"/>
    <w:rsid w:val="00125B4C"/>
    <w:rsid w:val="00125B97"/>
    <w:rsid w:val="00126805"/>
    <w:rsid w:val="00126F22"/>
    <w:rsid w:val="00127095"/>
    <w:rsid w:val="00127F3D"/>
    <w:rsid w:val="00132418"/>
    <w:rsid w:val="00134F23"/>
    <w:rsid w:val="001355C4"/>
    <w:rsid w:val="00135C6A"/>
    <w:rsid w:val="00136444"/>
    <w:rsid w:val="00137445"/>
    <w:rsid w:val="001418AC"/>
    <w:rsid w:val="00141A23"/>
    <w:rsid w:val="00142CA4"/>
    <w:rsid w:val="00142FC3"/>
    <w:rsid w:val="00143A05"/>
    <w:rsid w:val="00143EA2"/>
    <w:rsid w:val="00143F45"/>
    <w:rsid w:val="0014425B"/>
    <w:rsid w:val="00144AF5"/>
    <w:rsid w:val="0014580F"/>
    <w:rsid w:val="0014653C"/>
    <w:rsid w:val="00147BF5"/>
    <w:rsid w:val="001500CB"/>
    <w:rsid w:val="00151887"/>
    <w:rsid w:val="00151A0F"/>
    <w:rsid w:val="00151A26"/>
    <w:rsid w:val="00151DC4"/>
    <w:rsid w:val="00151F98"/>
    <w:rsid w:val="00152079"/>
    <w:rsid w:val="00152980"/>
    <w:rsid w:val="00152E80"/>
    <w:rsid w:val="00153701"/>
    <w:rsid w:val="001554AE"/>
    <w:rsid w:val="00155861"/>
    <w:rsid w:val="00157DAA"/>
    <w:rsid w:val="001605A1"/>
    <w:rsid w:val="00161DB4"/>
    <w:rsid w:val="00162A2B"/>
    <w:rsid w:val="00163662"/>
    <w:rsid w:val="00163A00"/>
    <w:rsid w:val="0016456E"/>
    <w:rsid w:val="00164C05"/>
    <w:rsid w:val="00166018"/>
    <w:rsid w:val="001662F8"/>
    <w:rsid w:val="00167951"/>
    <w:rsid w:val="00171D8D"/>
    <w:rsid w:val="001734C1"/>
    <w:rsid w:val="0017374D"/>
    <w:rsid w:val="001737AE"/>
    <w:rsid w:val="00173D33"/>
    <w:rsid w:val="00175DB1"/>
    <w:rsid w:val="00176A38"/>
    <w:rsid w:val="00176DBD"/>
    <w:rsid w:val="0017700A"/>
    <w:rsid w:val="00177247"/>
    <w:rsid w:val="0017778D"/>
    <w:rsid w:val="00181B72"/>
    <w:rsid w:val="0018256E"/>
    <w:rsid w:val="0018291C"/>
    <w:rsid w:val="00182990"/>
    <w:rsid w:val="00182ED5"/>
    <w:rsid w:val="00183A5C"/>
    <w:rsid w:val="00184432"/>
    <w:rsid w:val="001844F3"/>
    <w:rsid w:val="001858AC"/>
    <w:rsid w:val="00185A4B"/>
    <w:rsid w:val="00186003"/>
    <w:rsid w:val="00186A39"/>
    <w:rsid w:val="00187217"/>
    <w:rsid w:val="00191B0B"/>
    <w:rsid w:val="00191DC3"/>
    <w:rsid w:val="00192623"/>
    <w:rsid w:val="00192E7C"/>
    <w:rsid w:val="001930C7"/>
    <w:rsid w:val="001941F7"/>
    <w:rsid w:val="00195148"/>
    <w:rsid w:val="00196113"/>
    <w:rsid w:val="001A1654"/>
    <w:rsid w:val="001A17C4"/>
    <w:rsid w:val="001A2361"/>
    <w:rsid w:val="001A31B2"/>
    <w:rsid w:val="001A4265"/>
    <w:rsid w:val="001A4339"/>
    <w:rsid w:val="001A48F0"/>
    <w:rsid w:val="001A4BF7"/>
    <w:rsid w:val="001A4CF8"/>
    <w:rsid w:val="001A782A"/>
    <w:rsid w:val="001B121F"/>
    <w:rsid w:val="001B12A2"/>
    <w:rsid w:val="001B13BA"/>
    <w:rsid w:val="001B32F3"/>
    <w:rsid w:val="001B37A2"/>
    <w:rsid w:val="001B3AB1"/>
    <w:rsid w:val="001B3C75"/>
    <w:rsid w:val="001B4A28"/>
    <w:rsid w:val="001B63E7"/>
    <w:rsid w:val="001B7D2E"/>
    <w:rsid w:val="001B7F47"/>
    <w:rsid w:val="001C0226"/>
    <w:rsid w:val="001C0E6A"/>
    <w:rsid w:val="001C1421"/>
    <w:rsid w:val="001C152F"/>
    <w:rsid w:val="001C174A"/>
    <w:rsid w:val="001C34BA"/>
    <w:rsid w:val="001C3B90"/>
    <w:rsid w:val="001C49D5"/>
    <w:rsid w:val="001C4D5E"/>
    <w:rsid w:val="001C5ECE"/>
    <w:rsid w:val="001C79F5"/>
    <w:rsid w:val="001C7A0F"/>
    <w:rsid w:val="001D0886"/>
    <w:rsid w:val="001D0E3D"/>
    <w:rsid w:val="001D1230"/>
    <w:rsid w:val="001D157D"/>
    <w:rsid w:val="001D15D1"/>
    <w:rsid w:val="001D2B12"/>
    <w:rsid w:val="001D2CAD"/>
    <w:rsid w:val="001D3288"/>
    <w:rsid w:val="001D329C"/>
    <w:rsid w:val="001D3BCC"/>
    <w:rsid w:val="001D4688"/>
    <w:rsid w:val="001D49AA"/>
    <w:rsid w:val="001D4B3F"/>
    <w:rsid w:val="001D5237"/>
    <w:rsid w:val="001D5B5A"/>
    <w:rsid w:val="001D6E05"/>
    <w:rsid w:val="001D71A2"/>
    <w:rsid w:val="001D73BF"/>
    <w:rsid w:val="001E02A1"/>
    <w:rsid w:val="001E04F7"/>
    <w:rsid w:val="001E0539"/>
    <w:rsid w:val="001E0541"/>
    <w:rsid w:val="001E0AB7"/>
    <w:rsid w:val="001E0BB4"/>
    <w:rsid w:val="001E0C5F"/>
    <w:rsid w:val="001E1521"/>
    <w:rsid w:val="001E28A1"/>
    <w:rsid w:val="001E4096"/>
    <w:rsid w:val="001E43A1"/>
    <w:rsid w:val="001E5D55"/>
    <w:rsid w:val="001E6BF9"/>
    <w:rsid w:val="001E6EF1"/>
    <w:rsid w:val="001E76B4"/>
    <w:rsid w:val="001E7DC7"/>
    <w:rsid w:val="001F0179"/>
    <w:rsid w:val="001F03E5"/>
    <w:rsid w:val="001F0F90"/>
    <w:rsid w:val="001F2493"/>
    <w:rsid w:val="001F2EC2"/>
    <w:rsid w:val="001F3029"/>
    <w:rsid w:val="001F42E9"/>
    <w:rsid w:val="001F4E4A"/>
    <w:rsid w:val="001F53CD"/>
    <w:rsid w:val="001F58B8"/>
    <w:rsid w:val="001F5981"/>
    <w:rsid w:val="001F5A3C"/>
    <w:rsid w:val="001F70B2"/>
    <w:rsid w:val="001F732E"/>
    <w:rsid w:val="001F734F"/>
    <w:rsid w:val="001F7B5D"/>
    <w:rsid w:val="002016F0"/>
    <w:rsid w:val="00201D9C"/>
    <w:rsid w:val="00203D48"/>
    <w:rsid w:val="0020433B"/>
    <w:rsid w:val="0020444F"/>
    <w:rsid w:val="002046F4"/>
    <w:rsid w:val="00204746"/>
    <w:rsid w:val="00204A9B"/>
    <w:rsid w:val="00204C3F"/>
    <w:rsid w:val="002050BF"/>
    <w:rsid w:val="00205D46"/>
    <w:rsid w:val="002064D5"/>
    <w:rsid w:val="00206FC0"/>
    <w:rsid w:val="00207B34"/>
    <w:rsid w:val="002109CD"/>
    <w:rsid w:val="00210C7F"/>
    <w:rsid w:val="00211F07"/>
    <w:rsid w:val="002134CF"/>
    <w:rsid w:val="002168D4"/>
    <w:rsid w:val="00220EA3"/>
    <w:rsid w:val="00220F2C"/>
    <w:rsid w:val="00221476"/>
    <w:rsid w:val="0022170F"/>
    <w:rsid w:val="00221A35"/>
    <w:rsid w:val="00221A79"/>
    <w:rsid w:val="00223453"/>
    <w:rsid w:val="0022390B"/>
    <w:rsid w:val="00223EBB"/>
    <w:rsid w:val="002247B9"/>
    <w:rsid w:val="0022524C"/>
    <w:rsid w:val="00225683"/>
    <w:rsid w:val="00227826"/>
    <w:rsid w:val="00230308"/>
    <w:rsid w:val="00230B9C"/>
    <w:rsid w:val="00232F9C"/>
    <w:rsid w:val="00233542"/>
    <w:rsid w:val="00234A21"/>
    <w:rsid w:val="00234E9B"/>
    <w:rsid w:val="00236641"/>
    <w:rsid w:val="0023684C"/>
    <w:rsid w:val="0023694E"/>
    <w:rsid w:val="00236C41"/>
    <w:rsid w:val="002371F5"/>
    <w:rsid w:val="0023740B"/>
    <w:rsid w:val="00237A90"/>
    <w:rsid w:val="00237BB4"/>
    <w:rsid w:val="002401D6"/>
    <w:rsid w:val="00240AE6"/>
    <w:rsid w:val="0024114C"/>
    <w:rsid w:val="002411CD"/>
    <w:rsid w:val="00242362"/>
    <w:rsid w:val="002432D6"/>
    <w:rsid w:val="00243A0D"/>
    <w:rsid w:val="00244568"/>
    <w:rsid w:val="00245BF2"/>
    <w:rsid w:val="002469CD"/>
    <w:rsid w:val="002500A3"/>
    <w:rsid w:val="00250AB4"/>
    <w:rsid w:val="00250B79"/>
    <w:rsid w:val="002510B3"/>
    <w:rsid w:val="002511DA"/>
    <w:rsid w:val="002514AD"/>
    <w:rsid w:val="00251C12"/>
    <w:rsid w:val="002526D9"/>
    <w:rsid w:val="002535EE"/>
    <w:rsid w:val="002542BB"/>
    <w:rsid w:val="00254348"/>
    <w:rsid w:val="00254394"/>
    <w:rsid w:val="00254901"/>
    <w:rsid w:val="002551F3"/>
    <w:rsid w:val="00255499"/>
    <w:rsid w:val="002556C2"/>
    <w:rsid w:val="002559D9"/>
    <w:rsid w:val="00255B4D"/>
    <w:rsid w:val="002561C9"/>
    <w:rsid w:val="00257005"/>
    <w:rsid w:val="00260E4E"/>
    <w:rsid w:val="002614DD"/>
    <w:rsid w:val="00263799"/>
    <w:rsid w:val="00263A75"/>
    <w:rsid w:val="00263D78"/>
    <w:rsid w:val="0026433A"/>
    <w:rsid w:val="002648B5"/>
    <w:rsid w:val="00264FA1"/>
    <w:rsid w:val="00265220"/>
    <w:rsid w:val="0026559A"/>
    <w:rsid w:val="00267D8E"/>
    <w:rsid w:val="0027017A"/>
    <w:rsid w:val="0027036F"/>
    <w:rsid w:val="00270F4C"/>
    <w:rsid w:val="00271377"/>
    <w:rsid w:val="0027287B"/>
    <w:rsid w:val="002728AA"/>
    <w:rsid w:val="00272B53"/>
    <w:rsid w:val="00273E14"/>
    <w:rsid w:val="00274B16"/>
    <w:rsid w:val="0027539D"/>
    <w:rsid w:val="00276482"/>
    <w:rsid w:val="002777D4"/>
    <w:rsid w:val="00277E87"/>
    <w:rsid w:val="00281044"/>
    <w:rsid w:val="00281292"/>
    <w:rsid w:val="002815BC"/>
    <w:rsid w:val="0028260B"/>
    <w:rsid w:val="002827DA"/>
    <w:rsid w:val="00282821"/>
    <w:rsid w:val="00285196"/>
    <w:rsid w:val="002858AA"/>
    <w:rsid w:val="00286384"/>
    <w:rsid w:val="0028643D"/>
    <w:rsid w:val="002874B3"/>
    <w:rsid w:val="00287770"/>
    <w:rsid w:val="0028796E"/>
    <w:rsid w:val="002909F7"/>
    <w:rsid w:val="00290D69"/>
    <w:rsid w:val="0029159A"/>
    <w:rsid w:val="0029189F"/>
    <w:rsid w:val="00291C43"/>
    <w:rsid w:val="0029219C"/>
    <w:rsid w:val="002924F7"/>
    <w:rsid w:val="00292707"/>
    <w:rsid w:val="00292A9D"/>
    <w:rsid w:val="00293073"/>
    <w:rsid w:val="00293A9D"/>
    <w:rsid w:val="00293CC7"/>
    <w:rsid w:val="002945F1"/>
    <w:rsid w:val="00294810"/>
    <w:rsid w:val="0029544F"/>
    <w:rsid w:val="00295709"/>
    <w:rsid w:val="00295EB6"/>
    <w:rsid w:val="00296E31"/>
    <w:rsid w:val="00297964"/>
    <w:rsid w:val="002A016A"/>
    <w:rsid w:val="002A0440"/>
    <w:rsid w:val="002A19DA"/>
    <w:rsid w:val="002A1EA3"/>
    <w:rsid w:val="002A2364"/>
    <w:rsid w:val="002A2A39"/>
    <w:rsid w:val="002A30C9"/>
    <w:rsid w:val="002A4E8F"/>
    <w:rsid w:val="002A50B7"/>
    <w:rsid w:val="002A7001"/>
    <w:rsid w:val="002A72EA"/>
    <w:rsid w:val="002B0494"/>
    <w:rsid w:val="002B3655"/>
    <w:rsid w:val="002B432F"/>
    <w:rsid w:val="002B484F"/>
    <w:rsid w:val="002B4D34"/>
    <w:rsid w:val="002B55D7"/>
    <w:rsid w:val="002B5A78"/>
    <w:rsid w:val="002B5C55"/>
    <w:rsid w:val="002B6301"/>
    <w:rsid w:val="002B6880"/>
    <w:rsid w:val="002B7B52"/>
    <w:rsid w:val="002B7CB7"/>
    <w:rsid w:val="002B7FE4"/>
    <w:rsid w:val="002C11BE"/>
    <w:rsid w:val="002C12CE"/>
    <w:rsid w:val="002C282C"/>
    <w:rsid w:val="002C2AD9"/>
    <w:rsid w:val="002C2D51"/>
    <w:rsid w:val="002C4222"/>
    <w:rsid w:val="002C5030"/>
    <w:rsid w:val="002C59EE"/>
    <w:rsid w:val="002C5DFB"/>
    <w:rsid w:val="002C5EB6"/>
    <w:rsid w:val="002C70EF"/>
    <w:rsid w:val="002D0020"/>
    <w:rsid w:val="002D0B41"/>
    <w:rsid w:val="002D25A4"/>
    <w:rsid w:val="002D2A1D"/>
    <w:rsid w:val="002D354D"/>
    <w:rsid w:val="002D4325"/>
    <w:rsid w:val="002D65B2"/>
    <w:rsid w:val="002E0329"/>
    <w:rsid w:val="002E0ADF"/>
    <w:rsid w:val="002E15AA"/>
    <w:rsid w:val="002E1A9A"/>
    <w:rsid w:val="002E4020"/>
    <w:rsid w:val="002E609D"/>
    <w:rsid w:val="002E6657"/>
    <w:rsid w:val="002E6812"/>
    <w:rsid w:val="002E68C2"/>
    <w:rsid w:val="002E6A69"/>
    <w:rsid w:val="002E6DCA"/>
    <w:rsid w:val="002E721E"/>
    <w:rsid w:val="002E74E5"/>
    <w:rsid w:val="002E78CD"/>
    <w:rsid w:val="002E7DA5"/>
    <w:rsid w:val="002F0342"/>
    <w:rsid w:val="002F0D06"/>
    <w:rsid w:val="002F1237"/>
    <w:rsid w:val="002F139F"/>
    <w:rsid w:val="002F1C55"/>
    <w:rsid w:val="002F1D8A"/>
    <w:rsid w:val="002F200B"/>
    <w:rsid w:val="002F22FA"/>
    <w:rsid w:val="002F2501"/>
    <w:rsid w:val="002F3008"/>
    <w:rsid w:val="002F37BF"/>
    <w:rsid w:val="002F418E"/>
    <w:rsid w:val="002F4A16"/>
    <w:rsid w:val="002F5AEE"/>
    <w:rsid w:val="002F6242"/>
    <w:rsid w:val="002F70C9"/>
    <w:rsid w:val="002F74E5"/>
    <w:rsid w:val="002F75D2"/>
    <w:rsid w:val="003002DF"/>
    <w:rsid w:val="0030059E"/>
    <w:rsid w:val="0030209F"/>
    <w:rsid w:val="00302B04"/>
    <w:rsid w:val="00303060"/>
    <w:rsid w:val="0030359F"/>
    <w:rsid w:val="00303A26"/>
    <w:rsid w:val="003042F5"/>
    <w:rsid w:val="00304BCE"/>
    <w:rsid w:val="0030586C"/>
    <w:rsid w:val="00305890"/>
    <w:rsid w:val="00305A2E"/>
    <w:rsid w:val="003062E5"/>
    <w:rsid w:val="003079E8"/>
    <w:rsid w:val="003109DB"/>
    <w:rsid w:val="003117DA"/>
    <w:rsid w:val="00312077"/>
    <w:rsid w:val="00312573"/>
    <w:rsid w:val="00312C9E"/>
    <w:rsid w:val="0031302E"/>
    <w:rsid w:val="00313756"/>
    <w:rsid w:val="00313BAB"/>
    <w:rsid w:val="00316394"/>
    <w:rsid w:val="003174D9"/>
    <w:rsid w:val="00320FA6"/>
    <w:rsid w:val="00321F88"/>
    <w:rsid w:val="0032231C"/>
    <w:rsid w:val="003227C0"/>
    <w:rsid w:val="00322D41"/>
    <w:rsid w:val="003234B5"/>
    <w:rsid w:val="003238C4"/>
    <w:rsid w:val="00323B73"/>
    <w:rsid w:val="00323D00"/>
    <w:rsid w:val="00323EBA"/>
    <w:rsid w:val="0032418B"/>
    <w:rsid w:val="00325CED"/>
    <w:rsid w:val="00326695"/>
    <w:rsid w:val="00326ADD"/>
    <w:rsid w:val="003312AB"/>
    <w:rsid w:val="00331A47"/>
    <w:rsid w:val="00333724"/>
    <w:rsid w:val="003339C0"/>
    <w:rsid w:val="00334085"/>
    <w:rsid w:val="00334122"/>
    <w:rsid w:val="003342AD"/>
    <w:rsid w:val="00335CAA"/>
    <w:rsid w:val="003362DC"/>
    <w:rsid w:val="00337989"/>
    <w:rsid w:val="00341166"/>
    <w:rsid w:val="00341215"/>
    <w:rsid w:val="00341695"/>
    <w:rsid w:val="003421C6"/>
    <w:rsid w:val="003424B5"/>
    <w:rsid w:val="00343C5D"/>
    <w:rsid w:val="00344382"/>
    <w:rsid w:val="00344496"/>
    <w:rsid w:val="003453A3"/>
    <w:rsid w:val="00345585"/>
    <w:rsid w:val="003458B7"/>
    <w:rsid w:val="00346906"/>
    <w:rsid w:val="00347A78"/>
    <w:rsid w:val="00350953"/>
    <w:rsid w:val="0035168C"/>
    <w:rsid w:val="00352A9A"/>
    <w:rsid w:val="00354CE6"/>
    <w:rsid w:val="003554EA"/>
    <w:rsid w:val="0035603F"/>
    <w:rsid w:val="00356E31"/>
    <w:rsid w:val="00357C6A"/>
    <w:rsid w:val="00357F62"/>
    <w:rsid w:val="003600D5"/>
    <w:rsid w:val="003605A1"/>
    <w:rsid w:val="0036160A"/>
    <w:rsid w:val="00363760"/>
    <w:rsid w:val="00363B18"/>
    <w:rsid w:val="003641C5"/>
    <w:rsid w:val="0036634F"/>
    <w:rsid w:val="00366AA0"/>
    <w:rsid w:val="003678B0"/>
    <w:rsid w:val="003705BE"/>
    <w:rsid w:val="00371065"/>
    <w:rsid w:val="003711E5"/>
    <w:rsid w:val="00371EAD"/>
    <w:rsid w:val="00371EFB"/>
    <w:rsid w:val="00371F73"/>
    <w:rsid w:val="00372C5E"/>
    <w:rsid w:val="00373B82"/>
    <w:rsid w:val="00374A04"/>
    <w:rsid w:val="00374CED"/>
    <w:rsid w:val="003754FF"/>
    <w:rsid w:val="00375CD1"/>
    <w:rsid w:val="00377398"/>
    <w:rsid w:val="00377492"/>
    <w:rsid w:val="003777EC"/>
    <w:rsid w:val="00380818"/>
    <w:rsid w:val="00380CF2"/>
    <w:rsid w:val="00381699"/>
    <w:rsid w:val="00384E5F"/>
    <w:rsid w:val="00386277"/>
    <w:rsid w:val="0038665D"/>
    <w:rsid w:val="003871A2"/>
    <w:rsid w:val="003874E5"/>
    <w:rsid w:val="003878E8"/>
    <w:rsid w:val="0039060A"/>
    <w:rsid w:val="0039137B"/>
    <w:rsid w:val="0039230A"/>
    <w:rsid w:val="00392459"/>
    <w:rsid w:val="00392E7B"/>
    <w:rsid w:val="003933AF"/>
    <w:rsid w:val="00393CC5"/>
    <w:rsid w:val="00393D2B"/>
    <w:rsid w:val="003955FB"/>
    <w:rsid w:val="0039593F"/>
    <w:rsid w:val="00395BFA"/>
    <w:rsid w:val="003961B8"/>
    <w:rsid w:val="00396477"/>
    <w:rsid w:val="00397623"/>
    <w:rsid w:val="00397691"/>
    <w:rsid w:val="003977D2"/>
    <w:rsid w:val="003A0456"/>
    <w:rsid w:val="003A1151"/>
    <w:rsid w:val="003A3005"/>
    <w:rsid w:val="003A407C"/>
    <w:rsid w:val="003A5457"/>
    <w:rsid w:val="003A5DC5"/>
    <w:rsid w:val="003B01F2"/>
    <w:rsid w:val="003B090E"/>
    <w:rsid w:val="003B0E5B"/>
    <w:rsid w:val="003B2130"/>
    <w:rsid w:val="003B315C"/>
    <w:rsid w:val="003B3472"/>
    <w:rsid w:val="003B374B"/>
    <w:rsid w:val="003B3EF3"/>
    <w:rsid w:val="003B511B"/>
    <w:rsid w:val="003B605B"/>
    <w:rsid w:val="003B6609"/>
    <w:rsid w:val="003B6EEC"/>
    <w:rsid w:val="003B7604"/>
    <w:rsid w:val="003B7757"/>
    <w:rsid w:val="003B7CFA"/>
    <w:rsid w:val="003C04F5"/>
    <w:rsid w:val="003C1241"/>
    <w:rsid w:val="003C1470"/>
    <w:rsid w:val="003C2E75"/>
    <w:rsid w:val="003C310A"/>
    <w:rsid w:val="003C339B"/>
    <w:rsid w:val="003C4E7D"/>
    <w:rsid w:val="003C5091"/>
    <w:rsid w:val="003C5774"/>
    <w:rsid w:val="003C583B"/>
    <w:rsid w:val="003C60EC"/>
    <w:rsid w:val="003C63FC"/>
    <w:rsid w:val="003C6B53"/>
    <w:rsid w:val="003C76BD"/>
    <w:rsid w:val="003C7A15"/>
    <w:rsid w:val="003C7DF2"/>
    <w:rsid w:val="003D1307"/>
    <w:rsid w:val="003D1480"/>
    <w:rsid w:val="003D1859"/>
    <w:rsid w:val="003D1AEC"/>
    <w:rsid w:val="003D2407"/>
    <w:rsid w:val="003D25F1"/>
    <w:rsid w:val="003D3A71"/>
    <w:rsid w:val="003D3CBC"/>
    <w:rsid w:val="003D4090"/>
    <w:rsid w:val="003D4253"/>
    <w:rsid w:val="003D47AC"/>
    <w:rsid w:val="003D5961"/>
    <w:rsid w:val="003D5CAA"/>
    <w:rsid w:val="003D5F87"/>
    <w:rsid w:val="003D60B8"/>
    <w:rsid w:val="003D74C2"/>
    <w:rsid w:val="003E0159"/>
    <w:rsid w:val="003E0AD3"/>
    <w:rsid w:val="003E0C4E"/>
    <w:rsid w:val="003E0CFC"/>
    <w:rsid w:val="003E115F"/>
    <w:rsid w:val="003E2DA7"/>
    <w:rsid w:val="003E30AC"/>
    <w:rsid w:val="003E30ED"/>
    <w:rsid w:val="003E3C5C"/>
    <w:rsid w:val="003E3EE4"/>
    <w:rsid w:val="003E5C5E"/>
    <w:rsid w:val="003E751C"/>
    <w:rsid w:val="003E7F35"/>
    <w:rsid w:val="003F1075"/>
    <w:rsid w:val="003F2743"/>
    <w:rsid w:val="003F29F2"/>
    <w:rsid w:val="003F322B"/>
    <w:rsid w:val="003F5C64"/>
    <w:rsid w:val="003F7B79"/>
    <w:rsid w:val="0040084C"/>
    <w:rsid w:val="00400CAA"/>
    <w:rsid w:val="00400D00"/>
    <w:rsid w:val="004010AF"/>
    <w:rsid w:val="004014F3"/>
    <w:rsid w:val="00401551"/>
    <w:rsid w:val="00401DF2"/>
    <w:rsid w:val="00401F12"/>
    <w:rsid w:val="00402293"/>
    <w:rsid w:val="004022B4"/>
    <w:rsid w:val="0040253D"/>
    <w:rsid w:val="00403417"/>
    <w:rsid w:val="00403DA2"/>
    <w:rsid w:val="004046C1"/>
    <w:rsid w:val="00404B61"/>
    <w:rsid w:val="00406379"/>
    <w:rsid w:val="0040671B"/>
    <w:rsid w:val="00406BAA"/>
    <w:rsid w:val="004074E5"/>
    <w:rsid w:val="00407B4D"/>
    <w:rsid w:val="004127B1"/>
    <w:rsid w:val="00414DA8"/>
    <w:rsid w:val="00415B4A"/>
    <w:rsid w:val="004162AB"/>
    <w:rsid w:val="00416E6B"/>
    <w:rsid w:val="00417535"/>
    <w:rsid w:val="00417619"/>
    <w:rsid w:val="004178C5"/>
    <w:rsid w:val="00420AFE"/>
    <w:rsid w:val="00420EF9"/>
    <w:rsid w:val="004210EA"/>
    <w:rsid w:val="0042287A"/>
    <w:rsid w:val="00422C3E"/>
    <w:rsid w:val="00422EBA"/>
    <w:rsid w:val="00423C19"/>
    <w:rsid w:val="00423D32"/>
    <w:rsid w:val="004246E9"/>
    <w:rsid w:val="00425125"/>
    <w:rsid w:val="00427419"/>
    <w:rsid w:val="004276DE"/>
    <w:rsid w:val="004277F1"/>
    <w:rsid w:val="00430D63"/>
    <w:rsid w:val="00431FA1"/>
    <w:rsid w:val="004322F9"/>
    <w:rsid w:val="00434651"/>
    <w:rsid w:val="00434F0B"/>
    <w:rsid w:val="004354B6"/>
    <w:rsid w:val="00435E0C"/>
    <w:rsid w:val="00435E51"/>
    <w:rsid w:val="00435FAF"/>
    <w:rsid w:val="00436777"/>
    <w:rsid w:val="00436855"/>
    <w:rsid w:val="004370C8"/>
    <w:rsid w:val="00437FBE"/>
    <w:rsid w:val="004401D4"/>
    <w:rsid w:val="00441923"/>
    <w:rsid w:val="004438D0"/>
    <w:rsid w:val="004442AE"/>
    <w:rsid w:val="004458B5"/>
    <w:rsid w:val="004460A5"/>
    <w:rsid w:val="00446455"/>
    <w:rsid w:val="00446728"/>
    <w:rsid w:val="00446DF3"/>
    <w:rsid w:val="00447D0E"/>
    <w:rsid w:val="0045170A"/>
    <w:rsid w:val="00451DCB"/>
    <w:rsid w:val="004524B3"/>
    <w:rsid w:val="00453957"/>
    <w:rsid w:val="00454880"/>
    <w:rsid w:val="00454DA2"/>
    <w:rsid w:val="004552AE"/>
    <w:rsid w:val="004557FF"/>
    <w:rsid w:val="00455A67"/>
    <w:rsid w:val="00456DED"/>
    <w:rsid w:val="00457BD4"/>
    <w:rsid w:val="00457C43"/>
    <w:rsid w:val="00457ECD"/>
    <w:rsid w:val="004603E3"/>
    <w:rsid w:val="00460E52"/>
    <w:rsid w:val="004611A6"/>
    <w:rsid w:val="00461239"/>
    <w:rsid w:val="00461FF2"/>
    <w:rsid w:val="004626B2"/>
    <w:rsid w:val="00463CA3"/>
    <w:rsid w:val="00464410"/>
    <w:rsid w:val="00464B10"/>
    <w:rsid w:val="00464B5C"/>
    <w:rsid w:val="00464C7B"/>
    <w:rsid w:val="00464DA7"/>
    <w:rsid w:val="004653CF"/>
    <w:rsid w:val="004660F8"/>
    <w:rsid w:val="00466E2D"/>
    <w:rsid w:val="004670DC"/>
    <w:rsid w:val="00467335"/>
    <w:rsid w:val="0046779F"/>
    <w:rsid w:val="00467EA1"/>
    <w:rsid w:val="004700EE"/>
    <w:rsid w:val="00470174"/>
    <w:rsid w:val="00471538"/>
    <w:rsid w:val="00471685"/>
    <w:rsid w:val="00471801"/>
    <w:rsid w:val="00471A58"/>
    <w:rsid w:val="0047545A"/>
    <w:rsid w:val="00475DED"/>
    <w:rsid w:val="00475E2D"/>
    <w:rsid w:val="00476473"/>
    <w:rsid w:val="00476C31"/>
    <w:rsid w:val="00477115"/>
    <w:rsid w:val="004775E9"/>
    <w:rsid w:val="00477F5E"/>
    <w:rsid w:val="0048071C"/>
    <w:rsid w:val="00481F8D"/>
    <w:rsid w:val="004833F4"/>
    <w:rsid w:val="00483DA5"/>
    <w:rsid w:val="00483E70"/>
    <w:rsid w:val="00484EB1"/>
    <w:rsid w:val="00485FF1"/>
    <w:rsid w:val="00486328"/>
    <w:rsid w:val="00486554"/>
    <w:rsid w:val="0048678A"/>
    <w:rsid w:val="004869FF"/>
    <w:rsid w:val="004872D4"/>
    <w:rsid w:val="00487969"/>
    <w:rsid w:val="00490320"/>
    <w:rsid w:val="00490CAF"/>
    <w:rsid w:val="00490DBE"/>
    <w:rsid w:val="00491F0A"/>
    <w:rsid w:val="004929CF"/>
    <w:rsid w:val="00493853"/>
    <w:rsid w:val="00494569"/>
    <w:rsid w:val="0049524B"/>
    <w:rsid w:val="004A0D17"/>
    <w:rsid w:val="004A0E31"/>
    <w:rsid w:val="004A1580"/>
    <w:rsid w:val="004A20A2"/>
    <w:rsid w:val="004A32F1"/>
    <w:rsid w:val="004A4098"/>
    <w:rsid w:val="004A5259"/>
    <w:rsid w:val="004B2366"/>
    <w:rsid w:val="004B2A51"/>
    <w:rsid w:val="004B2CC7"/>
    <w:rsid w:val="004B2D43"/>
    <w:rsid w:val="004B3275"/>
    <w:rsid w:val="004B71EF"/>
    <w:rsid w:val="004B7B23"/>
    <w:rsid w:val="004C04D9"/>
    <w:rsid w:val="004C0AAD"/>
    <w:rsid w:val="004C260F"/>
    <w:rsid w:val="004C2CB9"/>
    <w:rsid w:val="004C3CD0"/>
    <w:rsid w:val="004C3EC9"/>
    <w:rsid w:val="004C4224"/>
    <w:rsid w:val="004C617B"/>
    <w:rsid w:val="004C63CA"/>
    <w:rsid w:val="004C697A"/>
    <w:rsid w:val="004C7094"/>
    <w:rsid w:val="004C7237"/>
    <w:rsid w:val="004C7B4B"/>
    <w:rsid w:val="004C7BFD"/>
    <w:rsid w:val="004C7DA3"/>
    <w:rsid w:val="004D00F1"/>
    <w:rsid w:val="004D0A10"/>
    <w:rsid w:val="004D1896"/>
    <w:rsid w:val="004D2951"/>
    <w:rsid w:val="004D2DAC"/>
    <w:rsid w:val="004D2E60"/>
    <w:rsid w:val="004D34AD"/>
    <w:rsid w:val="004D3841"/>
    <w:rsid w:val="004D38B7"/>
    <w:rsid w:val="004D5F83"/>
    <w:rsid w:val="004D63F3"/>
    <w:rsid w:val="004D68E4"/>
    <w:rsid w:val="004D78D3"/>
    <w:rsid w:val="004D7B0F"/>
    <w:rsid w:val="004D7B8F"/>
    <w:rsid w:val="004D7FF3"/>
    <w:rsid w:val="004E06FC"/>
    <w:rsid w:val="004E09FF"/>
    <w:rsid w:val="004E1504"/>
    <w:rsid w:val="004E1A60"/>
    <w:rsid w:val="004E2B29"/>
    <w:rsid w:val="004E3D26"/>
    <w:rsid w:val="004E4AD7"/>
    <w:rsid w:val="004E4B17"/>
    <w:rsid w:val="004E4BD4"/>
    <w:rsid w:val="004E5640"/>
    <w:rsid w:val="004E7853"/>
    <w:rsid w:val="004E788E"/>
    <w:rsid w:val="004F0218"/>
    <w:rsid w:val="004F0627"/>
    <w:rsid w:val="004F06AA"/>
    <w:rsid w:val="004F0F28"/>
    <w:rsid w:val="004F1241"/>
    <w:rsid w:val="004F146C"/>
    <w:rsid w:val="004F164A"/>
    <w:rsid w:val="004F1775"/>
    <w:rsid w:val="004F177B"/>
    <w:rsid w:val="004F1A15"/>
    <w:rsid w:val="004F237E"/>
    <w:rsid w:val="004F23C6"/>
    <w:rsid w:val="004F2581"/>
    <w:rsid w:val="004F3AEE"/>
    <w:rsid w:val="004F4E7A"/>
    <w:rsid w:val="004F64B8"/>
    <w:rsid w:val="0050117F"/>
    <w:rsid w:val="005011FE"/>
    <w:rsid w:val="00502CD0"/>
    <w:rsid w:val="00504484"/>
    <w:rsid w:val="00504892"/>
    <w:rsid w:val="00504E18"/>
    <w:rsid w:val="005058A0"/>
    <w:rsid w:val="00505E7C"/>
    <w:rsid w:val="00506D03"/>
    <w:rsid w:val="00506DCD"/>
    <w:rsid w:val="00507438"/>
    <w:rsid w:val="00507B99"/>
    <w:rsid w:val="00507CA2"/>
    <w:rsid w:val="00507E1D"/>
    <w:rsid w:val="00507EFC"/>
    <w:rsid w:val="00511620"/>
    <w:rsid w:val="00511862"/>
    <w:rsid w:val="005118C7"/>
    <w:rsid w:val="0051247B"/>
    <w:rsid w:val="00512EB3"/>
    <w:rsid w:val="005131B6"/>
    <w:rsid w:val="005135F4"/>
    <w:rsid w:val="00513AED"/>
    <w:rsid w:val="00514A85"/>
    <w:rsid w:val="00515B7B"/>
    <w:rsid w:val="00516D60"/>
    <w:rsid w:val="00516DBC"/>
    <w:rsid w:val="00517C64"/>
    <w:rsid w:val="00517F8F"/>
    <w:rsid w:val="00517FDE"/>
    <w:rsid w:val="00520F2A"/>
    <w:rsid w:val="0052138D"/>
    <w:rsid w:val="0052172E"/>
    <w:rsid w:val="005223E3"/>
    <w:rsid w:val="005273C9"/>
    <w:rsid w:val="00530A34"/>
    <w:rsid w:val="005314F8"/>
    <w:rsid w:val="00532312"/>
    <w:rsid w:val="0053364A"/>
    <w:rsid w:val="0053398D"/>
    <w:rsid w:val="00534B80"/>
    <w:rsid w:val="00534E69"/>
    <w:rsid w:val="005357CA"/>
    <w:rsid w:val="00536116"/>
    <w:rsid w:val="00536C77"/>
    <w:rsid w:val="005404CD"/>
    <w:rsid w:val="00540839"/>
    <w:rsid w:val="00540892"/>
    <w:rsid w:val="00540AF6"/>
    <w:rsid w:val="00540D2D"/>
    <w:rsid w:val="00540DFC"/>
    <w:rsid w:val="00540E58"/>
    <w:rsid w:val="00541538"/>
    <w:rsid w:val="00542256"/>
    <w:rsid w:val="005426D0"/>
    <w:rsid w:val="00542E87"/>
    <w:rsid w:val="0054325A"/>
    <w:rsid w:val="00544428"/>
    <w:rsid w:val="00545F50"/>
    <w:rsid w:val="00546839"/>
    <w:rsid w:val="00546AFB"/>
    <w:rsid w:val="005475A5"/>
    <w:rsid w:val="00547AF5"/>
    <w:rsid w:val="005503A8"/>
    <w:rsid w:val="005503DC"/>
    <w:rsid w:val="00551CF1"/>
    <w:rsid w:val="00552360"/>
    <w:rsid w:val="00553D37"/>
    <w:rsid w:val="005551A7"/>
    <w:rsid w:val="005554D4"/>
    <w:rsid w:val="00555D84"/>
    <w:rsid w:val="00557BCA"/>
    <w:rsid w:val="005608CD"/>
    <w:rsid w:val="00561FF0"/>
    <w:rsid w:val="00562715"/>
    <w:rsid w:val="00562A2F"/>
    <w:rsid w:val="00562C5D"/>
    <w:rsid w:val="0056353D"/>
    <w:rsid w:val="005640C3"/>
    <w:rsid w:val="0056432C"/>
    <w:rsid w:val="005653AE"/>
    <w:rsid w:val="00565575"/>
    <w:rsid w:val="005660FF"/>
    <w:rsid w:val="005677E9"/>
    <w:rsid w:val="00575307"/>
    <w:rsid w:val="00575DA5"/>
    <w:rsid w:val="00576386"/>
    <w:rsid w:val="005768A4"/>
    <w:rsid w:val="00576CE8"/>
    <w:rsid w:val="00576F3E"/>
    <w:rsid w:val="00577667"/>
    <w:rsid w:val="00577FE5"/>
    <w:rsid w:val="00580199"/>
    <w:rsid w:val="00580566"/>
    <w:rsid w:val="00580E02"/>
    <w:rsid w:val="00580FDD"/>
    <w:rsid w:val="00582DFA"/>
    <w:rsid w:val="005834F1"/>
    <w:rsid w:val="005835CA"/>
    <w:rsid w:val="005850FD"/>
    <w:rsid w:val="005853F0"/>
    <w:rsid w:val="0058647F"/>
    <w:rsid w:val="00587D1D"/>
    <w:rsid w:val="005902B6"/>
    <w:rsid w:val="00590B19"/>
    <w:rsid w:val="00591D66"/>
    <w:rsid w:val="00591F0B"/>
    <w:rsid w:val="005939D4"/>
    <w:rsid w:val="00594F32"/>
    <w:rsid w:val="0059515E"/>
    <w:rsid w:val="005961B1"/>
    <w:rsid w:val="005974AA"/>
    <w:rsid w:val="0059776A"/>
    <w:rsid w:val="005A02AF"/>
    <w:rsid w:val="005A1985"/>
    <w:rsid w:val="005A1BBD"/>
    <w:rsid w:val="005A1D48"/>
    <w:rsid w:val="005A2B8F"/>
    <w:rsid w:val="005A4526"/>
    <w:rsid w:val="005A5315"/>
    <w:rsid w:val="005A5538"/>
    <w:rsid w:val="005A5EDD"/>
    <w:rsid w:val="005A6640"/>
    <w:rsid w:val="005A6795"/>
    <w:rsid w:val="005A72F1"/>
    <w:rsid w:val="005B016E"/>
    <w:rsid w:val="005B21BC"/>
    <w:rsid w:val="005B28C8"/>
    <w:rsid w:val="005B3819"/>
    <w:rsid w:val="005B398A"/>
    <w:rsid w:val="005B44B0"/>
    <w:rsid w:val="005B46C0"/>
    <w:rsid w:val="005B5962"/>
    <w:rsid w:val="005B6131"/>
    <w:rsid w:val="005B7D51"/>
    <w:rsid w:val="005B7E28"/>
    <w:rsid w:val="005C0639"/>
    <w:rsid w:val="005C0C43"/>
    <w:rsid w:val="005C1052"/>
    <w:rsid w:val="005C1D17"/>
    <w:rsid w:val="005C3487"/>
    <w:rsid w:val="005C356D"/>
    <w:rsid w:val="005C5027"/>
    <w:rsid w:val="005C520E"/>
    <w:rsid w:val="005C58C2"/>
    <w:rsid w:val="005C64D7"/>
    <w:rsid w:val="005C6CE3"/>
    <w:rsid w:val="005C70AA"/>
    <w:rsid w:val="005C798C"/>
    <w:rsid w:val="005D0299"/>
    <w:rsid w:val="005D0822"/>
    <w:rsid w:val="005D20BD"/>
    <w:rsid w:val="005D29C8"/>
    <w:rsid w:val="005D317E"/>
    <w:rsid w:val="005D3618"/>
    <w:rsid w:val="005D41DE"/>
    <w:rsid w:val="005D5815"/>
    <w:rsid w:val="005D77DD"/>
    <w:rsid w:val="005E027C"/>
    <w:rsid w:val="005E161E"/>
    <w:rsid w:val="005E1FA9"/>
    <w:rsid w:val="005E2112"/>
    <w:rsid w:val="005E21B6"/>
    <w:rsid w:val="005E30F2"/>
    <w:rsid w:val="005E3232"/>
    <w:rsid w:val="005E3277"/>
    <w:rsid w:val="005E3CB0"/>
    <w:rsid w:val="005E558E"/>
    <w:rsid w:val="005E59CA"/>
    <w:rsid w:val="005E6CFC"/>
    <w:rsid w:val="005E7200"/>
    <w:rsid w:val="005F0008"/>
    <w:rsid w:val="005F28B8"/>
    <w:rsid w:val="005F334B"/>
    <w:rsid w:val="005F3AB9"/>
    <w:rsid w:val="005F55C1"/>
    <w:rsid w:val="005F631F"/>
    <w:rsid w:val="005F6815"/>
    <w:rsid w:val="005F6BB4"/>
    <w:rsid w:val="005F715B"/>
    <w:rsid w:val="005F71C7"/>
    <w:rsid w:val="005F760C"/>
    <w:rsid w:val="005F7837"/>
    <w:rsid w:val="005F7A94"/>
    <w:rsid w:val="006001B1"/>
    <w:rsid w:val="006004F0"/>
    <w:rsid w:val="006006F3"/>
    <w:rsid w:val="00601C0E"/>
    <w:rsid w:val="006035EF"/>
    <w:rsid w:val="00603AD0"/>
    <w:rsid w:val="00603DEB"/>
    <w:rsid w:val="0060557A"/>
    <w:rsid w:val="00605A6D"/>
    <w:rsid w:val="00605E47"/>
    <w:rsid w:val="00605E6D"/>
    <w:rsid w:val="00606985"/>
    <w:rsid w:val="00606B00"/>
    <w:rsid w:val="006077E5"/>
    <w:rsid w:val="00610E92"/>
    <w:rsid w:val="00610E97"/>
    <w:rsid w:val="00610FDB"/>
    <w:rsid w:val="0061224B"/>
    <w:rsid w:val="00612516"/>
    <w:rsid w:val="00613486"/>
    <w:rsid w:val="00613A58"/>
    <w:rsid w:val="00613FA6"/>
    <w:rsid w:val="00617D61"/>
    <w:rsid w:val="00617EE0"/>
    <w:rsid w:val="00617F2F"/>
    <w:rsid w:val="00620A79"/>
    <w:rsid w:val="00620E02"/>
    <w:rsid w:val="0062195D"/>
    <w:rsid w:val="00622571"/>
    <w:rsid w:val="00622932"/>
    <w:rsid w:val="0062340D"/>
    <w:rsid w:val="00623941"/>
    <w:rsid w:val="00623DDC"/>
    <w:rsid w:val="00624968"/>
    <w:rsid w:val="006251D3"/>
    <w:rsid w:val="0062594C"/>
    <w:rsid w:val="00625B38"/>
    <w:rsid w:val="006264CF"/>
    <w:rsid w:val="006274F6"/>
    <w:rsid w:val="00630A81"/>
    <w:rsid w:val="006317B0"/>
    <w:rsid w:val="00631A40"/>
    <w:rsid w:val="00632D7B"/>
    <w:rsid w:val="0063341B"/>
    <w:rsid w:val="006337A9"/>
    <w:rsid w:val="00633D10"/>
    <w:rsid w:val="00636828"/>
    <w:rsid w:val="006369F6"/>
    <w:rsid w:val="00636A39"/>
    <w:rsid w:val="00637C23"/>
    <w:rsid w:val="00640449"/>
    <w:rsid w:val="0064140F"/>
    <w:rsid w:val="006414D7"/>
    <w:rsid w:val="006417D7"/>
    <w:rsid w:val="00642B74"/>
    <w:rsid w:val="00643FCB"/>
    <w:rsid w:val="00645E46"/>
    <w:rsid w:val="00646B15"/>
    <w:rsid w:val="00647440"/>
    <w:rsid w:val="006477DA"/>
    <w:rsid w:val="0065161A"/>
    <w:rsid w:val="00651FBD"/>
    <w:rsid w:val="006541A3"/>
    <w:rsid w:val="0065503E"/>
    <w:rsid w:val="00655114"/>
    <w:rsid w:val="0065541D"/>
    <w:rsid w:val="00655759"/>
    <w:rsid w:val="006565B1"/>
    <w:rsid w:val="00656881"/>
    <w:rsid w:val="0066078D"/>
    <w:rsid w:val="00660894"/>
    <w:rsid w:val="00662982"/>
    <w:rsid w:val="00665E14"/>
    <w:rsid w:val="00666249"/>
    <w:rsid w:val="006667D2"/>
    <w:rsid w:val="00667794"/>
    <w:rsid w:val="006708B2"/>
    <w:rsid w:val="00670A4F"/>
    <w:rsid w:val="00670C14"/>
    <w:rsid w:val="006713CE"/>
    <w:rsid w:val="00671B39"/>
    <w:rsid w:val="00673125"/>
    <w:rsid w:val="00673219"/>
    <w:rsid w:val="006771EF"/>
    <w:rsid w:val="00680DE8"/>
    <w:rsid w:val="00680F07"/>
    <w:rsid w:val="00681EB9"/>
    <w:rsid w:val="00682D48"/>
    <w:rsid w:val="006831CA"/>
    <w:rsid w:val="006833C5"/>
    <w:rsid w:val="00684939"/>
    <w:rsid w:val="0068586E"/>
    <w:rsid w:val="006862A0"/>
    <w:rsid w:val="00687CD0"/>
    <w:rsid w:val="0069010F"/>
    <w:rsid w:val="0069012B"/>
    <w:rsid w:val="00690BD4"/>
    <w:rsid w:val="00692169"/>
    <w:rsid w:val="006932CC"/>
    <w:rsid w:val="0069432C"/>
    <w:rsid w:val="006951D0"/>
    <w:rsid w:val="006960BF"/>
    <w:rsid w:val="0069622F"/>
    <w:rsid w:val="006A04D5"/>
    <w:rsid w:val="006A0586"/>
    <w:rsid w:val="006A0BC3"/>
    <w:rsid w:val="006A179D"/>
    <w:rsid w:val="006A344D"/>
    <w:rsid w:val="006A3A4F"/>
    <w:rsid w:val="006A3C4C"/>
    <w:rsid w:val="006A56AF"/>
    <w:rsid w:val="006A5B96"/>
    <w:rsid w:val="006A6044"/>
    <w:rsid w:val="006A60A7"/>
    <w:rsid w:val="006A69A6"/>
    <w:rsid w:val="006A6E52"/>
    <w:rsid w:val="006A77FC"/>
    <w:rsid w:val="006A7850"/>
    <w:rsid w:val="006A7B96"/>
    <w:rsid w:val="006B00B7"/>
    <w:rsid w:val="006B2B3E"/>
    <w:rsid w:val="006B3E86"/>
    <w:rsid w:val="006B4368"/>
    <w:rsid w:val="006B4D58"/>
    <w:rsid w:val="006B610C"/>
    <w:rsid w:val="006B633E"/>
    <w:rsid w:val="006B6F2B"/>
    <w:rsid w:val="006B7202"/>
    <w:rsid w:val="006B79EE"/>
    <w:rsid w:val="006B7F6D"/>
    <w:rsid w:val="006C1078"/>
    <w:rsid w:val="006C16A6"/>
    <w:rsid w:val="006C2772"/>
    <w:rsid w:val="006C2B4C"/>
    <w:rsid w:val="006C3650"/>
    <w:rsid w:val="006C46C3"/>
    <w:rsid w:val="006C4B94"/>
    <w:rsid w:val="006C4D72"/>
    <w:rsid w:val="006C5F16"/>
    <w:rsid w:val="006C672E"/>
    <w:rsid w:val="006C6B30"/>
    <w:rsid w:val="006C72D7"/>
    <w:rsid w:val="006C730D"/>
    <w:rsid w:val="006C7664"/>
    <w:rsid w:val="006D067D"/>
    <w:rsid w:val="006D0703"/>
    <w:rsid w:val="006D09B8"/>
    <w:rsid w:val="006D0C4D"/>
    <w:rsid w:val="006D10B2"/>
    <w:rsid w:val="006D1BC3"/>
    <w:rsid w:val="006D2597"/>
    <w:rsid w:val="006D2848"/>
    <w:rsid w:val="006D2B9A"/>
    <w:rsid w:val="006D42E1"/>
    <w:rsid w:val="006D4522"/>
    <w:rsid w:val="006D5C6D"/>
    <w:rsid w:val="006D632C"/>
    <w:rsid w:val="006D69F3"/>
    <w:rsid w:val="006D72C0"/>
    <w:rsid w:val="006D72F5"/>
    <w:rsid w:val="006D7683"/>
    <w:rsid w:val="006E1777"/>
    <w:rsid w:val="006E2631"/>
    <w:rsid w:val="006E2E62"/>
    <w:rsid w:val="006E374E"/>
    <w:rsid w:val="006E3D00"/>
    <w:rsid w:val="006E514D"/>
    <w:rsid w:val="006E5ACB"/>
    <w:rsid w:val="006E68A9"/>
    <w:rsid w:val="006E7EE3"/>
    <w:rsid w:val="006E7F14"/>
    <w:rsid w:val="006F0167"/>
    <w:rsid w:val="006F020C"/>
    <w:rsid w:val="006F06F6"/>
    <w:rsid w:val="006F0838"/>
    <w:rsid w:val="006F0BC1"/>
    <w:rsid w:val="006F0E20"/>
    <w:rsid w:val="006F142B"/>
    <w:rsid w:val="006F19A6"/>
    <w:rsid w:val="006F21B3"/>
    <w:rsid w:val="006F26E7"/>
    <w:rsid w:val="006F287E"/>
    <w:rsid w:val="006F2A2D"/>
    <w:rsid w:val="006F2AED"/>
    <w:rsid w:val="006F3066"/>
    <w:rsid w:val="006F3291"/>
    <w:rsid w:val="006F34AC"/>
    <w:rsid w:val="006F5050"/>
    <w:rsid w:val="006F6050"/>
    <w:rsid w:val="006F6400"/>
    <w:rsid w:val="006F6547"/>
    <w:rsid w:val="006F673F"/>
    <w:rsid w:val="006F6ACA"/>
    <w:rsid w:val="006F6BAE"/>
    <w:rsid w:val="006F738F"/>
    <w:rsid w:val="006F753D"/>
    <w:rsid w:val="007001CA"/>
    <w:rsid w:val="00701759"/>
    <w:rsid w:val="007020E9"/>
    <w:rsid w:val="007021D6"/>
    <w:rsid w:val="00702704"/>
    <w:rsid w:val="00702E47"/>
    <w:rsid w:val="00703145"/>
    <w:rsid w:val="007042C7"/>
    <w:rsid w:val="00706072"/>
    <w:rsid w:val="0070677B"/>
    <w:rsid w:val="00706F12"/>
    <w:rsid w:val="0070715F"/>
    <w:rsid w:val="0070780B"/>
    <w:rsid w:val="00707CE1"/>
    <w:rsid w:val="0071120A"/>
    <w:rsid w:val="00711B3D"/>
    <w:rsid w:val="007159BA"/>
    <w:rsid w:val="007164A6"/>
    <w:rsid w:val="00717188"/>
    <w:rsid w:val="00717699"/>
    <w:rsid w:val="007178A9"/>
    <w:rsid w:val="00717D08"/>
    <w:rsid w:val="00720000"/>
    <w:rsid w:val="00720180"/>
    <w:rsid w:val="007205A6"/>
    <w:rsid w:val="00720A1F"/>
    <w:rsid w:val="00721B42"/>
    <w:rsid w:val="00722C32"/>
    <w:rsid w:val="00722D5D"/>
    <w:rsid w:val="00722FF5"/>
    <w:rsid w:val="007233F6"/>
    <w:rsid w:val="0072498E"/>
    <w:rsid w:val="007252DD"/>
    <w:rsid w:val="0072551A"/>
    <w:rsid w:val="00725AD0"/>
    <w:rsid w:val="00725FDA"/>
    <w:rsid w:val="007269F0"/>
    <w:rsid w:val="00726C21"/>
    <w:rsid w:val="0072727E"/>
    <w:rsid w:val="00727F07"/>
    <w:rsid w:val="0073045F"/>
    <w:rsid w:val="007305CB"/>
    <w:rsid w:val="0073196F"/>
    <w:rsid w:val="007326A4"/>
    <w:rsid w:val="00732BB9"/>
    <w:rsid w:val="007337F3"/>
    <w:rsid w:val="00733C23"/>
    <w:rsid w:val="00734D4C"/>
    <w:rsid w:val="00734E32"/>
    <w:rsid w:val="0073551D"/>
    <w:rsid w:val="007360B2"/>
    <w:rsid w:val="0073621F"/>
    <w:rsid w:val="0073680C"/>
    <w:rsid w:val="007376C8"/>
    <w:rsid w:val="00737CA4"/>
    <w:rsid w:val="00737FB7"/>
    <w:rsid w:val="00740F21"/>
    <w:rsid w:val="00740FA8"/>
    <w:rsid w:val="007419EA"/>
    <w:rsid w:val="00741ADF"/>
    <w:rsid w:val="00742288"/>
    <w:rsid w:val="00743B22"/>
    <w:rsid w:val="00743EB0"/>
    <w:rsid w:val="00743F42"/>
    <w:rsid w:val="00745A41"/>
    <w:rsid w:val="00745B1A"/>
    <w:rsid w:val="00745B22"/>
    <w:rsid w:val="0074648B"/>
    <w:rsid w:val="0074682E"/>
    <w:rsid w:val="00747266"/>
    <w:rsid w:val="00747917"/>
    <w:rsid w:val="007479EC"/>
    <w:rsid w:val="00747D8E"/>
    <w:rsid w:val="007516D9"/>
    <w:rsid w:val="007518B1"/>
    <w:rsid w:val="007518BE"/>
    <w:rsid w:val="00751919"/>
    <w:rsid w:val="00751B4D"/>
    <w:rsid w:val="00752443"/>
    <w:rsid w:val="00752C6E"/>
    <w:rsid w:val="0075322C"/>
    <w:rsid w:val="007533B9"/>
    <w:rsid w:val="00753A8B"/>
    <w:rsid w:val="007548C9"/>
    <w:rsid w:val="00754FD0"/>
    <w:rsid w:val="0075583A"/>
    <w:rsid w:val="00755E6B"/>
    <w:rsid w:val="007562F0"/>
    <w:rsid w:val="007568B5"/>
    <w:rsid w:val="0075794B"/>
    <w:rsid w:val="00757F22"/>
    <w:rsid w:val="007603A2"/>
    <w:rsid w:val="0076093C"/>
    <w:rsid w:val="007623AB"/>
    <w:rsid w:val="0076287E"/>
    <w:rsid w:val="00762946"/>
    <w:rsid w:val="00763AE5"/>
    <w:rsid w:val="0076495D"/>
    <w:rsid w:val="00765F9D"/>
    <w:rsid w:val="00767CF4"/>
    <w:rsid w:val="007705F9"/>
    <w:rsid w:val="0077138C"/>
    <w:rsid w:val="007718E6"/>
    <w:rsid w:val="00772231"/>
    <w:rsid w:val="00772C32"/>
    <w:rsid w:val="00773120"/>
    <w:rsid w:val="00775806"/>
    <w:rsid w:val="00775BB1"/>
    <w:rsid w:val="00775EA2"/>
    <w:rsid w:val="0077619B"/>
    <w:rsid w:val="0077619F"/>
    <w:rsid w:val="00776493"/>
    <w:rsid w:val="00777EFE"/>
    <w:rsid w:val="007801BF"/>
    <w:rsid w:val="00780377"/>
    <w:rsid w:val="007813F7"/>
    <w:rsid w:val="00781B5D"/>
    <w:rsid w:val="00783CA8"/>
    <w:rsid w:val="0078449C"/>
    <w:rsid w:val="00784CF4"/>
    <w:rsid w:val="00785983"/>
    <w:rsid w:val="00785A04"/>
    <w:rsid w:val="00785CDC"/>
    <w:rsid w:val="007866DD"/>
    <w:rsid w:val="00786A06"/>
    <w:rsid w:val="00786A18"/>
    <w:rsid w:val="007870F0"/>
    <w:rsid w:val="00787C73"/>
    <w:rsid w:val="00791113"/>
    <w:rsid w:val="00792AD7"/>
    <w:rsid w:val="00793DDD"/>
    <w:rsid w:val="00794CC3"/>
    <w:rsid w:val="007955CF"/>
    <w:rsid w:val="00795647"/>
    <w:rsid w:val="00795C81"/>
    <w:rsid w:val="0079764B"/>
    <w:rsid w:val="007A0594"/>
    <w:rsid w:val="007A1872"/>
    <w:rsid w:val="007A249F"/>
    <w:rsid w:val="007A260D"/>
    <w:rsid w:val="007A2B66"/>
    <w:rsid w:val="007A3798"/>
    <w:rsid w:val="007A54F1"/>
    <w:rsid w:val="007A7158"/>
    <w:rsid w:val="007A7917"/>
    <w:rsid w:val="007B0B56"/>
    <w:rsid w:val="007B0D2B"/>
    <w:rsid w:val="007B12AC"/>
    <w:rsid w:val="007B2169"/>
    <w:rsid w:val="007B3A64"/>
    <w:rsid w:val="007B4FB3"/>
    <w:rsid w:val="007B4FD8"/>
    <w:rsid w:val="007B50A4"/>
    <w:rsid w:val="007B6072"/>
    <w:rsid w:val="007B736B"/>
    <w:rsid w:val="007B7897"/>
    <w:rsid w:val="007C07C6"/>
    <w:rsid w:val="007C0D0D"/>
    <w:rsid w:val="007C127F"/>
    <w:rsid w:val="007C1746"/>
    <w:rsid w:val="007C1888"/>
    <w:rsid w:val="007C2522"/>
    <w:rsid w:val="007C2768"/>
    <w:rsid w:val="007C2818"/>
    <w:rsid w:val="007C2908"/>
    <w:rsid w:val="007C4023"/>
    <w:rsid w:val="007C4E9C"/>
    <w:rsid w:val="007C68A8"/>
    <w:rsid w:val="007C704E"/>
    <w:rsid w:val="007C794C"/>
    <w:rsid w:val="007C7BAF"/>
    <w:rsid w:val="007D0DE1"/>
    <w:rsid w:val="007D2948"/>
    <w:rsid w:val="007D29D3"/>
    <w:rsid w:val="007D3763"/>
    <w:rsid w:val="007D381E"/>
    <w:rsid w:val="007D38C6"/>
    <w:rsid w:val="007D45C2"/>
    <w:rsid w:val="007D54FF"/>
    <w:rsid w:val="007D5901"/>
    <w:rsid w:val="007D59F7"/>
    <w:rsid w:val="007D5C8A"/>
    <w:rsid w:val="007D62B7"/>
    <w:rsid w:val="007D6A07"/>
    <w:rsid w:val="007E045D"/>
    <w:rsid w:val="007E0CB3"/>
    <w:rsid w:val="007E0EB2"/>
    <w:rsid w:val="007E29D9"/>
    <w:rsid w:val="007E32CD"/>
    <w:rsid w:val="007E4296"/>
    <w:rsid w:val="007E60EA"/>
    <w:rsid w:val="007E7606"/>
    <w:rsid w:val="007E760D"/>
    <w:rsid w:val="007E7978"/>
    <w:rsid w:val="007E7BC2"/>
    <w:rsid w:val="007E7D16"/>
    <w:rsid w:val="007F062A"/>
    <w:rsid w:val="007F1ACB"/>
    <w:rsid w:val="007F1DEB"/>
    <w:rsid w:val="007F270A"/>
    <w:rsid w:val="007F271F"/>
    <w:rsid w:val="007F2C27"/>
    <w:rsid w:val="007F4DF6"/>
    <w:rsid w:val="007F5039"/>
    <w:rsid w:val="007F6359"/>
    <w:rsid w:val="007F6429"/>
    <w:rsid w:val="007F65B1"/>
    <w:rsid w:val="007F7FA7"/>
    <w:rsid w:val="0080052C"/>
    <w:rsid w:val="008012D3"/>
    <w:rsid w:val="00801BC6"/>
    <w:rsid w:val="00802559"/>
    <w:rsid w:val="008029BB"/>
    <w:rsid w:val="00802E03"/>
    <w:rsid w:val="00802E83"/>
    <w:rsid w:val="008042FB"/>
    <w:rsid w:val="008053C9"/>
    <w:rsid w:val="00807832"/>
    <w:rsid w:val="00810573"/>
    <w:rsid w:val="00810DF6"/>
    <w:rsid w:val="00811719"/>
    <w:rsid w:val="00811807"/>
    <w:rsid w:val="00811A29"/>
    <w:rsid w:val="0081305A"/>
    <w:rsid w:val="00813A42"/>
    <w:rsid w:val="008153ED"/>
    <w:rsid w:val="0081546F"/>
    <w:rsid w:val="00816FD0"/>
    <w:rsid w:val="008170B3"/>
    <w:rsid w:val="00817FF9"/>
    <w:rsid w:val="008207ED"/>
    <w:rsid w:val="00820F2B"/>
    <w:rsid w:val="008210C8"/>
    <w:rsid w:val="00821B91"/>
    <w:rsid w:val="00822508"/>
    <w:rsid w:val="00822BBC"/>
    <w:rsid w:val="00822CC3"/>
    <w:rsid w:val="00823365"/>
    <w:rsid w:val="008238CB"/>
    <w:rsid w:val="00823B96"/>
    <w:rsid w:val="008244E4"/>
    <w:rsid w:val="00824EC9"/>
    <w:rsid w:val="00824FC1"/>
    <w:rsid w:val="00825653"/>
    <w:rsid w:val="008256D5"/>
    <w:rsid w:val="00826250"/>
    <w:rsid w:val="00826AC8"/>
    <w:rsid w:val="00826FAC"/>
    <w:rsid w:val="008274BB"/>
    <w:rsid w:val="00827AD2"/>
    <w:rsid w:val="00827D05"/>
    <w:rsid w:val="00827D85"/>
    <w:rsid w:val="00830126"/>
    <w:rsid w:val="00830CBE"/>
    <w:rsid w:val="00830D62"/>
    <w:rsid w:val="00831036"/>
    <w:rsid w:val="008311E1"/>
    <w:rsid w:val="00832220"/>
    <w:rsid w:val="00832ACE"/>
    <w:rsid w:val="0083424A"/>
    <w:rsid w:val="0083481D"/>
    <w:rsid w:val="00834A37"/>
    <w:rsid w:val="00834DA0"/>
    <w:rsid w:val="0083558D"/>
    <w:rsid w:val="00835872"/>
    <w:rsid w:val="00835A95"/>
    <w:rsid w:val="00836DA3"/>
    <w:rsid w:val="00837EF6"/>
    <w:rsid w:val="00840070"/>
    <w:rsid w:val="00840790"/>
    <w:rsid w:val="00840CA4"/>
    <w:rsid w:val="00841583"/>
    <w:rsid w:val="008416B1"/>
    <w:rsid w:val="008441BC"/>
    <w:rsid w:val="00844210"/>
    <w:rsid w:val="008443B6"/>
    <w:rsid w:val="00845204"/>
    <w:rsid w:val="008472D3"/>
    <w:rsid w:val="00847D2E"/>
    <w:rsid w:val="008500F9"/>
    <w:rsid w:val="00850586"/>
    <w:rsid w:val="00851052"/>
    <w:rsid w:val="008528C3"/>
    <w:rsid w:val="00853376"/>
    <w:rsid w:val="008533BA"/>
    <w:rsid w:val="0085413B"/>
    <w:rsid w:val="00854397"/>
    <w:rsid w:val="0085476A"/>
    <w:rsid w:val="008551AC"/>
    <w:rsid w:val="008552F4"/>
    <w:rsid w:val="00855755"/>
    <w:rsid w:val="00855FE2"/>
    <w:rsid w:val="00856F5E"/>
    <w:rsid w:val="00856FD9"/>
    <w:rsid w:val="00857211"/>
    <w:rsid w:val="00857D78"/>
    <w:rsid w:val="00860080"/>
    <w:rsid w:val="00861EDF"/>
    <w:rsid w:val="00862419"/>
    <w:rsid w:val="00863B64"/>
    <w:rsid w:val="00863FB7"/>
    <w:rsid w:val="008648CD"/>
    <w:rsid w:val="0086714F"/>
    <w:rsid w:val="0086720D"/>
    <w:rsid w:val="00867250"/>
    <w:rsid w:val="00870656"/>
    <w:rsid w:val="008717EE"/>
    <w:rsid w:val="00872169"/>
    <w:rsid w:val="008739B2"/>
    <w:rsid w:val="00873C22"/>
    <w:rsid w:val="008749E1"/>
    <w:rsid w:val="00874EC1"/>
    <w:rsid w:val="00876634"/>
    <w:rsid w:val="008775ED"/>
    <w:rsid w:val="00877F40"/>
    <w:rsid w:val="00880312"/>
    <w:rsid w:val="00881EEE"/>
    <w:rsid w:val="0088221E"/>
    <w:rsid w:val="00882EF8"/>
    <w:rsid w:val="00883159"/>
    <w:rsid w:val="008835DF"/>
    <w:rsid w:val="00884002"/>
    <w:rsid w:val="008845EB"/>
    <w:rsid w:val="00886400"/>
    <w:rsid w:val="008864C7"/>
    <w:rsid w:val="00887873"/>
    <w:rsid w:val="00887AFA"/>
    <w:rsid w:val="0089067F"/>
    <w:rsid w:val="008911C0"/>
    <w:rsid w:val="008918CA"/>
    <w:rsid w:val="00892754"/>
    <w:rsid w:val="0089310B"/>
    <w:rsid w:val="00893226"/>
    <w:rsid w:val="00893FD3"/>
    <w:rsid w:val="00894196"/>
    <w:rsid w:val="0089512D"/>
    <w:rsid w:val="008951FE"/>
    <w:rsid w:val="008958F6"/>
    <w:rsid w:val="00896C88"/>
    <w:rsid w:val="008973C1"/>
    <w:rsid w:val="00897961"/>
    <w:rsid w:val="008979CD"/>
    <w:rsid w:val="008A186A"/>
    <w:rsid w:val="008A1B06"/>
    <w:rsid w:val="008A29BB"/>
    <w:rsid w:val="008A3451"/>
    <w:rsid w:val="008A4003"/>
    <w:rsid w:val="008A4576"/>
    <w:rsid w:val="008A4E15"/>
    <w:rsid w:val="008A4EDC"/>
    <w:rsid w:val="008A5486"/>
    <w:rsid w:val="008A59F7"/>
    <w:rsid w:val="008A7005"/>
    <w:rsid w:val="008A70A6"/>
    <w:rsid w:val="008A753D"/>
    <w:rsid w:val="008B01A6"/>
    <w:rsid w:val="008B0217"/>
    <w:rsid w:val="008B0A23"/>
    <w:rsid w:val="008B37A0"/>
    <w:rsid w:val="008B37A3"/>
    <w:rsid w:val="008B3E0B"/>
    <w:rsid w:val="008B444C"/>
    <w:rsid w:val="008B4725"/>
    <w:rsid w:val="008B511C"/>
    <w:rsid w:val="008B558F"/>
    <w:rsid w:val="008B5B56"/>
    <w:rsid w:val="008B65B7"/>
    <w:rsid w:val="008B6DD1"/>
    <w:rsid w:val="008B715B"/>
    <w:rsid w:val="008B7BDA"/>
    <w:rsid w:val="008B7DF7"/>
    <w:rsid w:val="008B7F0A"/>
    <w:rsid w:val="008C0C67"/>
    <w:rsid w:val="008C1E7E"/>
    <w:rsid w:val="008C2049"/>
    <w:rsid w:val="008C2603"/>
    <w:rsid w:val="008C284E"/>
    <w:rsid w:val="008C353A"/>
    <w:rsid w:val="008C371E"/>
    <w:rsid w:val="008C4502"/>
    <w:rsid w:val="008C4AEC"/>
    <w:rsid w:val="008C4C8A"/>
    <w:rsid w:val="008C614B"/>
    <w:rsid w:val="008C634D"/>
    <w:rsid w:val="008C7A63"/>
    <w:rsid w:val="008C7B51"/>
    <w:rsid w:val="008C7B7D"/>
    <w:rsid w:val="008C7CE8"/>
    <w:rsid w:val="008D1017"/>
    <w:rsid w:val="008D2BD7"/>
    <w:rsid w:val="008D4CB8"/>
    <w:rsid w:val="008D4CE8"/>
    <w:rsid w:val="008D4EA3"/>
    <w:rsid w:val="008D5EF3"/>
    <w:rsid w:val="008D70C6"/>
    <w:rsid w:val="008D760A"/>
    <w:rsid w:val="008E03E1"/>
    <w:rsid w:val="008E1907"/>
    <w:rsid w:val="008E210E"/>
    <w:rsid w:val="008E24FA"/>
    <w:rsid w:val="008E2651"/>
    <w:rsid w:val="008E2EAC"/>
    <w:rsid w:val="008E382A"/>
    <w:rsid w:val="008E3A64"/>
    <w:rsid w:val="008E3E3C"/>
    <w:rsid w:val="008E3E6E"/>
    <w:rsid w:val="008E3F18"/>
    <w:rsid w:val="008E4AB7"/>
    <w:rsid w:val="008E4DAD"/>
    <w:rsid w:val="008E5CD4"/>
    <w:rsid w:val="008E5EBC"/>
    <w:rsid w:val="008E7456"/>
    <w:rsid w:val="008F0BA6"/>
    <w:rsid w:val="008F152D"/>
    <w:rsid w:val="008F2A3B"/>
    <w:rsid w:val="008F3B8A"/>
    <w:rsid w:val="008F46CC"/>
    <w:rsid w:val="008F470B"/>
    <w:rsid w:val="008F5290"/>
    <w:rsid w:val="008F5807"/>
    <w:rsid w:val="008F5D93"/>
    <w:rsid w:val="008F675C"/>
    <w:rsid w:val="008F6E97"/>
    <w:rsid w:val="008F7413"/>
    <w:rsid w:val="008F7BD6"/>
    <w:rsid w:val="00901A21"/>
    <w:rsid w:val="0090263E"/>
    <w:rsid w:val="00903250"/>
    <w:rsid w:val="00903BF8"/>
    <w:rsid w:val="0090436B"/>
    <w:rsid w:val="0090582F"/>
    <w:rsid w:val="009061AC"/>
    <w:rsid w:val="009069F7"/>
    <w:rsid w:val="00907998"/>
    <w:rsid w:val="00907AC9"/>
    <w:rsid w:val="00907F76"/>
    <w:rsid w:val="009106BE"/>
    <w:rsid w:val="00910D28"/>
    <w:rsid w:val="00910F1D"/>
    <w:rsid w:val="009116E7"/>
    <w:rsid w:val="0091180A"/>
    <w:rsid w:val="00911E5C"/>
    <w:rsid w:val="00912B5E"/>
    <w:rsid w:val="00913111"/>
    <w:rsid w:val="00913372"/>
    <w:rsid w:val="00913472"/>
    <w:rsid w:val="00914274"/>
    <w:rsid w:val="009162B6"/>
    <w:rsid w:val="00917969"/>
    <w:rsid w:val="009214F5"/>
    <w:rsid w:val="009215B6"/>
    <w:rsid w:val="00921750"/>
    <w:rsid w:val="00921B2B"/>
    <w:rsid w:val="00921F96"/>
    <w:rsid w:val="0092203C"/>
    <w:rsid w:val="0092489F"/>
    <w:rsid w:val="00924972"/>
    <w:rsid w:val="009255FC"/>
    <w:rsid w:val="009257EE"/>
    <w:rsid w:val="00925DFB"/>
    <w:rsid w:val="0092603E"/>
    <w:rsid w:val="009263D9"/>
    <w:rsid w:val="00926851"/>
    <w:rsid w:val="0092705D"/>
    <w:rsid w:val="009275CA"/>
    <w:rsid w:val="0093046E"/>
    <w:rsid w:val="00930557"/>
    <w:rsid w:val="00930885"/>
    <w:rsid w:val="00930F34"/>
    <w:rsid w:val="00931555"/>
    <w:rsid w:val="0093366B"/>
    <w:rsid w:val="00933CB9"/>
    <w:rsid w:val="009341AA"/>
    <w:rsid w:val="00934D3D"/>
    <w:rsid w:val="00934FA7"/>
    <w:rsid w:val="00935180"/>
    <w:rsid w:val="009355EB"/>
    <w:rsid w:val="0093622A"/>
    <w:rsid w:val="0093638F"/>
    <w:rsid w:val="00936635"/>
    <w:rsid w:val="00936722"/>
    <w:rsid w:val="00937532"/>
    <w:rsid w:val="0094234A"/>
    <w:rsid w:val="00942D4F"/>
    <w:rsid w:val="00943864"/>
    <w:rsid w:val="00943AAB"/>
    <w:rsid w:val="00945AC9"/>
    <w:rsid w:val="00945B7A"/>
    <w:rsid w:val="009463DE"/>
    <w:rsid w:val="00946A35"/>
    <w:rsid w:val="00946BE7"/>
    <w:rsid w:val="00950099"/>
    <w:rsid w:val="00951C08"/>
    <w:rsid w:val="00951D2C"/>
    <w:rsid w:val="00952022"/>
    <w:rsid w:val="009520EC"/>
    <w:rsid w:val="00952CAC"/>
    <w:rsid w:val="00953709"/>
    <w:rsid w:val="00953F97"/>
    <w:rsid w:val="00954186"/>
    <w:rsid w:val="009549E8"/>
    <w:rsid w:val="009565DB"/>
    <w:rsid w:val="009567A4"/>
    <w:rsid w:val="00956943"/>
    <w:rsid w:val="00957165"/>
    <w:rsid w:val="009573F5"/>
    <w:rsid w:val="00960F2A"/>
    <w:rsid w:val="00961BDB"/>
    <w:rsid w:val="00963884"/>
    <w:rsid w:val="00964322"/>
    <w:rsid w:val="00964A90"/>
    <w:rsid w:val="00964D71"/>
    <w:rsid w:val="00965A17"/>
    <w:rsid w:val="00965A3F"/>
    <w:rsid w:val="009660C0"/>
    <w:rsid w:val="00966BB3"/>
    <w:rsid w:val="00966C10"/>
    <w:rsid w:val="009673DA"/>
    <w:rsid w:val="0096748E"/>
    <w:rsid w:val="009676A5"/>
    <w:rsid w:val="0096775E"/>
    <w:rsid w:val="00967C1E"/>
    <w:rsid w:val="009700D8"/>
    <w:rsid w:val="009705DD"/>
    <w:rsid w:val="0097072B"/>
    <w:rsid w:val="0097099D"/>
    <w:rsid w:val="00971452"/>
    <w:rsid w:val="00971F45"/>
    <w:rsid w:val="009723E5"/>
    <w:rsid w:val="009729D1"/>
    <w:rsid w:val="00974029"/>
    <w:rsid w:val="009760A9"/>
    <w:rsid w:val="009768D2"/>
    <w:rsid w:val="00976D7C"/>
    <w:rsid w:val="009775E0"/>
    <w:rsid w:val="009776DE"/>
    <w:rsid w:val="0097789B"/>
    <w:rsid w:val="00977E1B"/>
    <w:rsid w:val="00977EB4"/>
    <w:rsid w:val="00980F18"/>
    <w:rsid w:val="00981130"/>
    <w:rsid w:val="009814BD"/>
    <w:rsid w:val="0098156B"/>
    <w:rsid w:val="00981B53"/>
    <w:rsid w:val="00981FF3"/>
    <w:rsid w:val="0098234C"/>
    <w:rsid w:val="009834D2"/>
    <w:rsid w:val="00983607"/>
    <w:rsid w:val="00983E0E"/>
    <w:rsid w:val="0098618A"/>
    <w:rsid w:val="0098710C"/>
    <w:rsid w:val="00987619"/>
    <w:rsid w:val="00987896"/>
    <w:rsid w:val="00987D36"/>
    <w:rsid w:val="009901E0"/>
    <w:rsid w:val="0099126C"/>
    <w:rsid w:val="009926AB"/>
    <w:rsid w:val="00993956"/>
    <w:rsid w:val="009941F9"/>
    <w:rsid w:val="009949D8"/>
    <w:rsid w:val="00996795"/>
    <w:rsid w:val="00996DED"/>
    <w:rsid w:val="00997D21"/>
    <w:rsid w:val="009A00B0"/>
    <w:rsid w:val="009A031A"/>
    <w:rsid w:val="009A14E8"/>
    <w:rsid w:val="009A1583"/>
    <w:rsid w:val="009A26EF"/>
    <w:rsid w:val="009A27CE"/>
    <w:rsid w:val="009A3C00"/>
    <w:rsid w:val="009A3C98"/>
    <w:rsid w:val="009A4337"/>
    <w:rsid w:val="009A4F31"/>
    <w:rsid w:val="009A5327"/>
    <w:rsid w:val="009A5D30"/>
    <w:rsid w:val="009A76CF"/>
    <w:rsid w:val="009A7AE8"/>
    <w:rsid w:val="009A7E53"/>
    <w:rsid w:val="009B1298"/>
    <w:rsid w:val="009B1671"/>
    <w:rsid w:val="009B169E"/>
    <w:rsid w:val="009B43B4"/>
    <w:rsid w:val="009B4A37"/>
    <w:rsid w:val="009B4A9C"/>
    <w:rsid w:val="009B589D"/>
    <w:rsid w:val="009B5AEF"/>
    <w:rsid w:val="009B5CA9"/>
    <w:rsid w:val="009C029F"/>
    <w:rsid w:val="009C0A58"/>
    <w:rsid w:val="009C11B5"/>
    <w:rsid w:val="009C1431"/>
    <w:rsid w:val="009C1836"/>
    <w:rsid w:val="009C2528"/>
    <w:rsid w:val="009C2563"/>
    <w:rsid w:val="009C3107"/>
    <w:rsid w:val="009C3440"/>
    <w:rsid w:val="009C3BA6"/>
    <w:rsid w:val="009C3BB3"/>
    <w:rsid w:val="009C4CB7"/>
    <w:rsid w:val="009C4D98"/>
    <w:rsid w:val="009C5394"/>
    <w:rsid w:val="009C5986"/>
    <w:rsid w:val="009C5E08"/>
    <w:rsid w:val="009C5EFC"/>
    <w:rsid w:val="009C64D2"/>
    <w:rsid w:val="009C663C"/>
    <w:rsid w:val="009C6AF6"/>
    <w:rsid w:val="009D040F"/>
    <w:rsid w:val="009D0546"/>
    <w:rsid w:val="009D10F6"/>
    <w:rsid w:val="009D1944"/>
    <w:rsid w:val="009D1F22"/>
    <w:rsid w:val="009D281A"/>
    <w:rsid w:val="009D2919"/>
    <w:rsid w:val="009D2D22"/>
    <w:rsid w:val="009D2ECA"/>
    <w:rsid w:val="009D2F3A"/>
    <w:rsid w:val="009D370C"/>
    <w:rsid w:val="009D40E6"/>
    <w:rsid w:val="009D4C90"/>
    <w:rsid w:val="009D4E71"/>
    <w:rsid w:val="009D6A66"/>
    <w:rsid w:val="009D6D6B"/>
    <w:rsid w:val="009D6DF5"/>
    <w:rsid w:val="009D6EAD"/>
    <w:rsid w:val="009D6F7F"/>
    <w:rsid w:val="009D7177"/>
    <w:rsid w:val="009D7D22"/>
    <w:rsid w:val="009E0496"/>
    <w:rsid w:val="009E0F36"/>
    <w:rsid w:val="009E1575"/>
    <w:rsid w:val="009E2BEE"/>
    <w:rsid w:val="009E2FC7"/>
    <w:rsid w:val="009E3597"/>
    <w:rsid w:val="009E3AC0"/>
    <w:rsid w:val="009E3B3F"/>
    <w:rsid w:val="009E3EB1"/>
    <w:rsid w:val="009E504E"/>
    <w:rsid w:val="009E5063"/>
    <w:rsid w:val="009E62F3"/>
    <w:rsid w:val="009E7078"/>
    <w:rsid w:val="009E70CF"/>
    <w:rsid w:val="009E7206"/>
    <w:rsid w:val="009E7292"/>
    <w:rsid w:val="009E73A2"/>
    <w:rsid w:val="009F136C"/>
    <w:rsid w:val="009F1407"/>
    <w:rsid w:val="009F1F73"/>
    <w:rsid w:val="009F29F6"/>
    <w:rsid w:val="009F312E"/>
    <w:rsid w:val="009F441A"/>
    <w:rsid w:val="009F63B2"/>
    <w:rsid w:val="009F7927"/>
    <w:rsid w:val="009F7A66"/>
    <w:rsid w:val="00A0052E"/>
    <w:rsid w:val="00A0094F"/>
    <w:rsid w:val="00A00E57"/>
    <w:rsid w:val="00A01BFB"/>
    <w:rsid w:val="00A02198"/>
    <w:rsid w:val="00A02E1C"/>
    <w:rsid w:val="00A02E71"/>
    <w:rsid w:val="00A032F9"/>
    <w:rsid w:val="00A03673"/>
    <w:rsid w:val="00A03ECC"/>
    <w:rsid w:val="00A04FBE"/>
    <w:rsid w:val="00A0519B"/>
    <w:rsid w:val="00A05321"/>
    <w:rsid w:val="00A07557"/>
    <w:rsid w:val="00A0761C"/>
    <w:rsid w:val="00A0763C"/>
    <w:rsid w:val="00A105F8"/>
    <w:rsid w:val="00A10C81"/>
    <w:rsid w:val="00A11128"/>
    <w:rsid w:val="00A116D0"/>
    <w:rsid w:val="00A125F7"/>
    <w:rsid w:val="00A1386B"/>
    <w:rsid w:val="00A150FE"/>
    <w:rsid w:val="00A15409"/>
    <w:rsid w:val="00A15EF4"/>
    <w:rsid w:val="00A16195"/>
    <w:rsid w:val="00A161A5"/>
    <w:rsid w:val="00A16464"/>
    <w:rsid w:val="00A1784A"/>
    <w:rsid w:val="00A17A7B"/>
    <w:rsid w:val="00A17ACC"/>
    <w:rsid w:val="00A17D9C"/>
    <w:rsid w:val="00A17E0F"/>
    <w:rsid w:val="00A20543"/>
    <w:rsid w:val="00A209CF"/>
    <w:rsid w:val="00A20FCC"/>
    <w:rsid w:val="00A22930"/>
    <w:rsid w:val="00A22935"/>
    <w:rsid w:val="00A22BA9"/>
    <w:rsid w:val="00A22F29"/>
    <w:rsid w:val="00A2329C"/>
    <w:rsid w:val="00A24477"/>
    <w:rsid w:val="00A24A94"/>
    <w:rsid w:val="00A2592E"/>
    <w:rsid w:val="00A26008"/>
    <w:rsid w:val="00A266CC"/>
    <w:rsid w:val="00A26724"/>
    <w:rsid w:val="00A26C22"/>
    <w:rsid w:val="00A26DCA"/>
    <w:rsid w:val="00A27ABF"/>
    <w:rsid w:val="00A307A9"/>
    <w:rsid w:val="00A30E92"/>
    <w:rsid w:val="00A31973"/>
    <w:rsid w:val="00A32D3D"/>
    <w:rsid w:val="00A345F9"/>
    <w:rsid w:val="00A35103"/>
    <w:rsid w:val="00A35303"/>
    <w:rsid w:val="00A3614B"/>
    <w:rsid w:val="00A366A1"/>
    <w:rsid w:val="00A37B82"/>
    <w:rsid w:val="00A37FF8"/>
    <w:rsid w:val="00A4069C"/>
    <w:rsid w:val="00A40DBD"/>
    <w:rsid w:val="00A40E1A"/>
    <w:rsid w:val="00A41750"/>
    <w:rsid w:val="00A41BE3"/>
    <w:rsid w:val="00A42017"/>
    <w:rsid w:val="00A42751"/>
    <w:rsid w:val="00A43529"/>
    <w:rsid w:val="00A44140"/>
    <w:rsid w:val="00A46992"/>
    <w:rsid w:val="00A46C76"/>
    <w:rsid w:val="00A5023C"/>
    <w:rsid w:val="00A521ED"/>
    <w:rsid w:val="00A530C7"/>
    <w:rsid w:val="00A53A64"/>
    <w:rsid w:val="00A542C8"/>
    <w:rsid w:val="00A54FB1"/>
    <w:rsid w:val="00A55103"/>
    <w:rsid w:val="00A551C6"/>
    <w:rsid w:val="00A55610"/>
    <w:rsid w:val="00A55F49"/>
    <w:rsid w:val="00A56264"/>
    <w:rsid w:val="00A566D9"/>
    <w:rsid w:val="00A60297"/>
    <w:rsid w:val="00A604B1"/>
    <w:rsid w:val="00A60641"/>
    <w:rsid w:val="00A61422"/>
    <w:rsid w:val="00A62C70"/>
    <w:rsid w:val="00A62EBC"/>
    <w:rsid w:val="00A632F0"/>
    <w:rsid w:val="00A6452E"/>
    <w:rsid w:val="00A64FE9"/>
    <w:rsid w:val="00A658EF"/>
    <w:rsid w:val="00A65919"/>
    <w:rsid w:val="00A65CE9"/>
    <w:rsid w:val="00A65F84"/>
    <w:rsid w:val="00A66336"/>
    <w:rsid w:val="00A66906"/>
    <w:rsid w:val="00A6747C"/>
    <w:rsid w:val="00A67C86"/>
    <w:rsid w:val="00A703C3"/>
    <w:rsid w:val="00A70944"/>
    <w:rsid w:val="00A71521"/>
    <w:rsid w:val="00A71A9A"/>
    <w:rsid w:val="00A71B90"/>
    <w:rsid w:val="00A72C2F"/>
    <w:rsid w:val="00A72E6A"/>
    <w:rsid w:val="00A7326A"/>
    <w:rsid w:val="00A74B3C"/>
    <w:rsid w:val="00A7663E"/>
    <w:rsid w:val="00A8111B"/>
    <w:rsid w:val="00A81A45"/>
    <w:rsid w:val="00A821FD"/>
    <w:rsid w:val="00A82765"/>
    <w:rsid w:val="00A82BE8"/>
    <w:rsid w:val="00A83B60"/>
    <w:rsid w:val="00A8409D"/>
    <w:rsid w:val="00A84398"/>
    <w:rsid w:val="00A84F34"/>
    <w:rsid w:val="00A85B04"/>
    <w:rsid w:val="00A86370"/>
    <w:rsid w:val="00A86929"/>
    <w:rsid w:val="00A917CB"/>
    <w:rsid w:val="00A918F4"/>
    <w:rsid w:val="00A91C8B"/>
    <w:rsid w:val="00A92204"/>
    <w:rsid w:val="00A94E6F"/>
    <w:rsid w:val="00A9588F"/>
    <w:rsid w:val="00A961CD"/>
    <w:rsid w:val="00A964FE"/>
    <w:rsid w:val="00A966CB"/>
    <w:rsid w:val="00A96AE8"/>
    <w:rsid w:val="00A97A50"/>
    <w:rsid w:val="00A97FFB"/>
    <w:rsid w:val="00AA0217"/>
    <w:rsid w:val="00AA0745"/>
    <w:rsid w:val="00AA15E3"/>
    <w:rsid w:val="00AA20C3"/>
    <w:rsid w:val="00AA23E0"/>
    <w:rsid w:val="00AA2DD8"/>
    <w:rsid w:val="00AA2ECC"/>
    <w:rsid w:val="00AA2FCB"/>
    <w:rsid w:val="00AA3173"/>
    <w:rsid w:val="00AA31AF"/>
    <w:rsid w:val="00AA363A"/>
    <w:rsid w:val="00AA5989"/>
    <w:rsid w:val="00AA5AEF"/>
    <w:rsid w:val="00AA69FC"/>
    <w:rsid w:val="00AA785E"/>
    <w:rsid w:val="00AA79A5"/>
    <w:rsid w:val="00AB0733"/>
    <w:rsid w:val="00AB0DF9"/>
    <w:rsid w:val="00AB0F30"/>
    <w:rsid w:val="00AB1AB0"/>
    <w:rsid w:val="00AB2F5B"/>
    <w:rsid w:val="00AB5C6F"/>
    <w:rsid w:val="00AB5E33"/>
    <w:rsid w:val="00AB6DDC"/>
    <w:rsid w:val="00AC0A1B"/>
    <w:rsid w:val="00AC1272"/>
    <w:rsid w:val="00AC1B6C"/>
    <w:rsid w:val="00AC1EBE"/>
    <w:rsid w:val="00AC2142"/>
    <w:rsid w:val="00AC2185"/>
    <w:rsid w:val="00AC25AF"/>
    <w:rsid w:val="00AC2650"/>
    <w:rsid w:val="00AC2D61"/>
    <w:rsid w:val="00AC2E41"/>
    <w:rsid w:val="00AC3843"/>
    <w:rsid w:val="00AC7D60"/>
    <w:rsid w:val="00AD0A6C"/>
    <w:rsid w:val="00AD0F66"/>
    <w:rsid w:val="00AD172A"/>
    <w:rsid w:val="00AD1AD1"/>
    <w:rsid w:val="00AD3A3F"/>
    <w:rsid w:val="00AD44DF"/>
    <w:rsid w:val="00AD667F"/>
    <w:rsid w:val="00AD6FC0"/>
    <w:rsid w:val="00AD70BE"/>
    <w:rsid w:val="00AD7D7A"/>
    <w:rsid w:val="00AD7E57"/>
    <w:rsid w:val="00AE013C"/>
    <w:rsid w:val="00AE0706"/>
    <w:rsid w:val="00AE0A99"/>
    <w:rsid w:val="00AE1053"/>
    <w:rsid w:val="00AE1128"/>
    <w:rsid w:val="00AE122E"/>
    <w:rsid w:val="00AE122F"/>
    <w:rsid w:val="00AE128D"/>
    <w:rsid w:val="00AE329C"/>
    <w:rsid w:val="00AE3A00"/>
    <w:rsid w:val="00AE3AD0"/>
    <w:rsid w:val="00AE5F83"/>
    <w:rsid w:val="00AE6DBA"/>
    <w:rsid w:val="00AE6DE1"/>
    <w:rsid w:val="00AF0FE5"/>
    <w:rsid w:val="00AF11DD"/>
    <w:rsid w:val="00AF1251"/>
    <w:rsid w:val="00AF2E3F"/>
    <w:rsid w:val="00AF3226"/>
    <w:rsid w:val="00AF3E85"/>
    <w:rsid w:val="00AF47CA"/>
    <w:rsid w:val="00AF6742"/>
    <w:rsid w:val="00AF751B"/>
    <w:rsid w:val="00AF7C9C"/>
    <w:rsid w:val="00AF7CCC"/>
    <w:rsid w:val="00B00BEF"/>
    <w:rsid w:val="00B03C9F"/>
    <w:rsid w:val="00B07130"/>
    <w:rsid w:val="00B10BE6"/>
    <w:rsid w:val="00B10CFA"/>
    <w:rsid w:val="00B111D7"/>
    <w:rsid w:val="00B125C5"/>
    <w:rsid w:val="00B12CFC"/>
    <w:rsid w:val="00B141A3"/>
    <w:rsid w:val="00B14D89"/>
    <w:rsid w:val="00B163F0"/>
    <w:rsid w:val="00B17619"/>
    <w:rsid w:val="00B17760"/>
    <w:rsid w:val="00B177D3"/>
    <w:rsid w:val="00B20543"/>
    <w:rsid w:val="00B21909"/>
    <w:rsid w:val="00B22641"/>
    <w:rsid w:val="00B234AB"/>
    <w:rsid w:val="00B23A2B"/>
    <w:rsid w:val="00B23BDC"/>
    <w:rsid w:val="00B253A2"/>
    <w:rsid w:val="00B25984"/>
    <w:rsid w:val="00B25C19"/>
    <w:rsid w:val="00B279ED"/>
    <w:rsid w:val="00B27A26"/>
    <w:rsid w:val="00B310F7"/>
    <w:rsid w:val="00B31A6B"/>
    <w:rsid w:val="00B31C2C"/>
    <w:rsid w:val="00B31F7D"/>
    <w:rsid w:val="00B332EF"/>
    <w:rsid w:val="00B33B66"/>
    <w:rsid w:val="00B33C6F"/>
    <w:rsid w:val="00B34DD2"/>
    <w:rsid w:val="00B35241"/>
    <w:rsid w:val="00B37828"/>
    <w:rsid w:val="00B379A4"/>
    <w:rsid w:val="00B4043E"/>
    <w:rsid w:val="00B41349"/>
    <w:rsid w:val="00B41755"/>
    <w:rsid w:val="00B42283"/>
    <w:rsid w:val="00B42C69"/>
    <w:rsid w:val="00B42F24"/>
    <w:rsid w:val="00B430BC"/>
    <w:rsid w:val="00B43A76"/>
    <w:rsid w:val="00B44BC1"/>
    <w:rsid w:val="00B45E7F"/>
    <w:rsid w:val="00B46BC8"/>
    <w:rsid w:val="00B4752B"/>
    <w:rsid w:val="00B478FF"/>
    <w:rsid w:val="00B47C75"/>
    <w:rsid w:val="00B5089E"/>
    <w:rsid w:val="00B513F1"/>
    <w:rsid w:val="00B5176B"/>
    <w:rsid w:val="00B521F1"/>
    <w:rsid w:val="00B529D6"/>
    <w:rsid w:val="00B529E3"/>
    <w:rsid w:val="00B52CC2"/>
    <w:rsid w:val="00B536AF"/>
    <w:rsid w:val="00B542AE"/>
    <w:rsid w:val="00B54B8B"/>
    <w:rsid w:val="00B54CFA"/>
    <w:rsid w:val="00B54E49"/>
    <w:rsid w:val="00B56701"/>
    <w:rsid w:val="00B57457"/>
    <w:rsid w:val="00B57893"/>
    <w:rsid w:val="00B5797C"/>
    <w:rsid w:val="00B579EF"/>
    <w:rsid w:val="00B60786"/>
    <w:rsid w:val="00B6215F"/>
    <w:rsid w:val="00B62290"/>
    <w:rsid w:val="00B622BC"/>
    <w:rsid w:val="00B63F93"/>
    <w:rsid w:val="00B64DF0"/>
    <w:rsid w:val="00B656D9"/>
    <w:rsid w:val="00B65B13"/>
    <w:rsid w:val="00B67743"/>
    <w:rsid w:val="00B67E1E"/>
    <w:rsid w:val="00B70F43"/>
    <w:rsid w:val="00B71078"/>
    <w:rsid w:val="00B727D6"/>
    <w:rsid w:val="00B72E9E"/>
    <w:rsid w:val="00B75C51"/>
    <w:rsid w:val="00B76506"/>
    <w:rsid w:val="00B765D6"/>
    <w:rsid w:val="00B76859"/>
    <w:rsid w:val="00B775AC"/>
    <w:rsid w:val="00B80549"/>
    <w:rsid w:val="00B806E2"/>
    <w:rsid w:val="00B807F9"/>
    <w:rsid w:val="00B81486"/>
    <w:rsid w:val="00B818D1"/>
    <w:rsid w:val="00B819C9"/>
    <w:rsid w:val="00B819ED"/>
    <w:rsid w:val="00B81AC6"/>
    <w:rsid w:val="00B82304"/>
    <w:rsid w:val="00B8237B"/>
    <w:rsid w:val="00B82700"/>
    <w:rsid w:val="00B82B04"/>
    <w:rsid w:val="00B83393"/>
    <w:rsid w:val="00B83C20"/>
    <w:rsid w:val="00B84252"/>
    <w:rsid w:val="00B84340"/>
    <w:rsid w:val="00B84747"/>
    <w:rsid w:val="00B848B5"/>
    <w:rsid w:val="00B85195"/>
    <w:rsid w:val="00B85363"/>
    <w:rsid w:val="00B85833"/>
    <w:rsid w:val="00B85D7D"/>
    <w:rsid w:val="00B85D96"/>
    <w:rsid w:val="00B85E42"/>
    <w:rsid w:val="00B8613C"/>
    <w:rsid w:val="00B86186"/>
    <w:rsid w:val="00B868EA"/>
    <w:rsid w:val="00B90779"/>
    <w:rsid w:val="00B90B66"/>
    <w:rsid w:val="00B90EEF"/>
    <w:rsid w:val="00B91DA9"/>
    <w:rsid w:val="00B927DF"/>
    <w:rsid w:val="00B9345A"/>
    <w:rsid w:val="00B956CE"/>
    <w:rsid w:val="00B961DC"/>
    <w:rsid w:val="00B96710"/>
    <w:rsid w:val="00B96F41"/>
    <w:rsid w:val="00B9706B"/>
    <w:rsid w:val="00B97239"/>
    <w:rsid w:val="00B97626"/>
    <w:rsid w:val="00B97BA6"/>
    <w:rsid w:val="00B97E66"/>
    <w:rsid w:val="00BA2813"/>
    <w:rsid w:val="00BA2844"/>
    <w:rsid w:val="00BA339D"/>
    <w:rsid w:val="00BA35BB"/>
    <w:rsid w:val="00BA3B11"/>
    <w:rsid w:val="00BA42A2"/>
    <w:rsid w:val="00BA47A1"/>
    <w:rsid w:val="00BA4E0B"/>
    <w:rsid w:val="00BA63E4"/>
    <w:rsid w:val="00BA6B35"/>
    <w:rsid w:val="00BA7845"/>
    <w:rsid w:val="00BA7926"/>
    <w:rsid w:val="00BB0CB2"/>
    <w:rsid w:val="00BB1445"/>
    <w:rsid w:val="00BB17B1"/>
    <w:rsid w:val="00BB1BB6"/>
    <w:rsid w:val="00BB297E"/>
    <w:rsid w:val="00BB3D6B"/>
    <w:rsid w:val="00BB4817"/>
    <w:rsid w:val="00BB48A1"/>
    <w:rsid w:val="00BB4D61"/>
    <w:rsid w:val="00BB5234"/>
    <w:rsid w:val="00BB5734"/>
    <w:rsid w:val="00BB573B"/>
    <w:rsid w:val="00BB638C"/>
    <w:rsid w:val="00BB6A5B"/>
    <w:rsid w:val="00BB7BBD"/>
    <w:rsid w:val="00BC04B0"/>
    <w:rsid w:val="00BC0795"/>
    <w:rsid w:val="00BC0FC9"/>
    <w:rsid w:val="00BC14D1"/>
    <w:rsid w:val="00BC2F14"/>
    <w:rsid w:val="00BC3674"/>
    <w:rsid w:val="00BC433A"/>
    <w:rsid w:val="00BC441A"/>
    <w:rsid w:val="00BC4446"/>
    <w:rsid w:val="00BC480E"/>
    <w:rsid w:val="00BC4963"/>
    <w:rsid w:val="00BC51C1"/>
    <w:rsid w:val="00BC5C4E"/>
    <w:rsid w:val="00BC63BA"/>
    <w:rsid w:val="00BC6E4B"/>
    <w:rsid w:val="00BC7A06"/>
    <w:rsid w:val="00BC7F2D"/>
    <w:rsid w:val="00BD0550"/>
    <w:rsid w:val="00BD2E2C"/>
    <w:rsid w:val="00BD48B8"/>
    <w:rsid w:val="00BD4C77"/>
    <w:rsid w:val="00BD5047"/>
    <w:rsid w:val="00BD5142"/>
    <w:rsid w:val="00BD5923"/>
    <w:rsid w:val="00BD6310"/>
    <w:rsid w:val="00BE01CB"/>
    <w:rsid w:val="00BE06B1"/>
    <w:rsid w:val="00BE0EE6"/>
    <w:rsid w:val="00BE1626"/>
    <w:rsid w:val="00BE191B"/>
    <w:rsid w:val="00BE42B1"/>
    <w:rsid w:val="00BE5C06"/>
    <w:rsid w:val="00BF01F8"/>
    <w:rsid w:val="00BF056E"/>
    <w:rsid w:val="00BF078A"/>
    <w:rsid w:val="00BF0E11"/>
    <w:rsid w:val="00BF0F62"/>
    <w:rsid w:val="00BF13E6"/>
    <w:rsid w:val="00BF1778"/>
    <w:rsid w:val="00BF1801"/>
    <w:rsid w:val="00BF183D"/>
    <w:rsid w:val="00BF3D05"/>
    <w:rsid w:val="00BF3DA3"/>
    <w:rsid w:val="00BF3EFA"/>
    <w:rsid w:val="00BF47CB"/>
    <w:rsid w:val="00BF4965"/>
    <w:rsid w:val="00BF55CD"/>
    <w:rsid w:val="00BF5B3A"/>
    <w:rsid w:val="00BF5BDC"/>
    <w:rsid w:val="00BF63D7"/>
    <w:rsid w:val="00BF7827"/>
    <w:rsid w:val="00BF7872"/>
    <w:rsid w:val="00C00368"/>
    <w:rsid w:val="00C019A0"/>
    <w:rsid w:val="00C01E11"/>
    <w:rsid w:val="00C022DC"/>
    <w:rsid w:val="00C03231"/>
    <w:rsid w:val="00C03E0F"/>
    <w:rsid w:val="00C05F5E"/>
    <w:rsid w:val="00C06E50"/>
    <w:rsid w:val="00C07440"/>
    <w:rsid w:val="00C07449"/>
    <w:rsid w:val="00C0757B"/>
    <w:rsid w:val="00C07AE2"/>
    <w:rsid w:val="00C10D52"/>
    <w:rsid w:val="00C11256"/>
    <w:rsid w:val="00C118A6"/>
    <w:rsid w:val="00C11ADE"/>
    <w:rsid w:val="00C11B33"/>
    <w:rsid w:val="00C129BD"/>
    <w:rsid w:val="00C1359B"/>
    <w:rsid w:val="00C13A8C"/>
    <w:rsid w:val="00C14139"/>
    <w:rsid w:val="00C15449"/>
    <w:rsid w:val="00C15BB4"/>
    <w:rsid w:val="00C16F06"/>
    <w:rsid w:val="00C17851"/>
    <w:rsid w:val="00C17ADE"/>
    <w:rsid w:val="00C17E13"/>
    <w:rsid w:val="00C20449"/>
    <w:rsid w:val="00C208E6"/>
    <w:rsid w:val="00C209FA"/>
    <w:rsid w:val="00C2131A"/>
    <w:rsid w:val="00C2159D"/>
    <w:rsid w:val="00C225F6"/>
    <w:rsid w:val="00C22B96"/>
    <w:rsid w:val="00C236B5"/>
    <w:rsid w:val="00C241A6"/>
    <w:rsid w:val="00C24226"/>
    <w:rsid w:val="00C243B4"/>
    <w:rsid w:val="00C24821"/>
    <w:rsid w:val="00C25D88"/>
    <w:rsid w:val="00C26063"/>
    <w:rsid w:val="00C277FB"/>
    <w:rsid w:val="00C27FEF"/>
    <w:rsid w:val="00C30C60"/>
    <w:rsid w:val="00C31320"/>
    <w:rsid w:val="00C3179F"/>
    <w:rsid w:val="00C32680"/>
    <w:rsid w:val="00C32861"/>
    <w:rsid w:val="00C32C2B"/>
    <w:rsid w:val="00C33238"/>
    <w:rsid w:val="00C33253"/>
    <w:rsid w:val="00C34082"/>
    <w:rsid w:val="00C3422F"/>
    <w:rsid w:val="00C352AB"/>
    <w:rsid w:val="00C3594A"/>
    <w:rsid w:val="00C364E9"/>
    <w:rsid w:val="00C365CB"/>
    <w:rsid w:val="00C365EE"/>
    <w:rsid w:val="00C3675A"/>
    <w:rsid w:val="00C36A02"/>
    <w:rsid w:val="00C36ADA"/>
    <w:rsid w:val="00C36D69"/>
    <w:rsid w:val="00C37BF4"/>
    <w:rsid w:val="00C37EC0"/>
    <w:rsid w:val="00C40894"/>
    <w:rsid w:val="00C40BB3"/>
    <w:rsid w:val="00C40F6E"/>
    <w:rsid w:val="00C411D0"/>
    <w:rsid w:val="00C41234"/>
    <w:rsid w:val="00C41E7F"/>
    <w:rsid w:val="00C4226D"/>
    <w:rsid w:val="00C42283"/>
    <w:rsid w:val="00C42537"/>
    <w:rsid w:val="00C42A71"/>
    <w:rsid w:val="00C44C96"/>
    <w:rsid w:val="00C45ACF"/>
    <w:rsid w:val="00C46572"/>
    <w:rsid w:val="00C47A8D"/>
    <w:rsid w:val="00C47DE2"/>
    <w:rsid w:val="00C5030C"/>
    <w:rsid w:val="00C506B1"/>
    <w:rsid w:val="00C52C20"/>
    <w:rsid w:val="00C52EBF"/>
    <w:rsid w:val="00C54744"/>
    <w:rsid w:val="00C54AB2"/>
    <w:rsid w:val="00C54B36"/>
    <w:rsid w:val="00C54ECF"/>
    <w:rsid w:val="00C564CF"/>
    <w:rsid w:val="00C5687D"/>
    <w:rsid w:val="00C569FF"/>
    <w:rsid w:val="00C56FC4"/>
    <w:rsid w:val="00C574EB"/>
    <w:rsid w:val="00C60891"/>
    <w:rsid w:val="00C61D6B"/>
    <w:rsid w:val="00C62462"/>
    <w:rsid w:val="00C62552"/>
    <w:rsid w:val="00C6338D"/>
    <w:rsid w:val="00C64162"/>
    <w:rsid w:val="00C64991"/>
    <w:rsid w:val="00C64C49"/>
    <w:rsid w:val="00C64D74"/>
    <w:rsid w:val="00C66125"/>
    <w:rsid w:val="00C6628A"/>
    <w:rsid w:val="00C669C3"/>
    <w:rsid w:val="00C66A62"/>
    <w:rsid w:val="00C67B50"/>
    <w:rsid w:val="00C70264"/>
    <w:rsid w:val="00C714BD"/>
    <w:rsid w:val="00C72127"/>
    <w:rsid w:val="00C73100"/>
    <w:rsid w:val="00C732B7"/>
    <w:rsid w:val="00C7350B"/>
    <w:rsid w:val="00C74261"/>
    <w:rsid w:val="00C743E3"/>
    <w:rsid w:val="00C74680"/>
    <w:rsid w:val="00C74971"/>
    <w:rsid w:val="00C75D97"/>
    <w:rsid w:val="00C775BB"/>
    <w:rsid w:val="00C80123"/>
    <w:rsid w:val="00C80D93"/>
    <w:rsid w:val="00C813F4"/>
    <w:rsid w:val="00C825CD"/>
    <w:rsid w:val="00C83392"/>
    <w:rsid w:val="00C8378B"/>
    <w:rsid w:val="00C847BF"/>
    <w:rsid w:val="00C8538E"/>
    <w:rsid w:val="00C85CF7"/>
    <w:rsid w:val="00C867E2"/>
    <w:rsid w:val="00C8739E"/>
    <w:rsid w:val="00C901D4"/>
    <w:rsid w:val="00C9349B"/>
    <w:rsid w:val="00C9390E"/>
    <w:rsid w:val="00C95075"/>
    <w:rsid w:val="00C9544D"/>
    <w:rsid w:val="00C954BB"/>
    <w:rsid w:val="00C9585E"/>
    <w:rsid w:val="00C95A24"/>
    <w:rsid w:val="00C97263"/>
    <w:rsid w:val="00C97CA3"/>
    <w:rsid w:val="00C97CB6"/>
    <w:rsid w:val="00CA07BE"/>
    <w:rsid w:val="00CA08A4"/>
    <w:rsid w:val="00CA19FA"/>
    <w:rsid w:val="00CA3CB6"/>
    <w:rsid w:val="00CA4542"/>
    <w:rsid w:val="00CA4B72"/>
    <w:rsid w:val="00CA5F9B"/>
    <w:rsid w:val="00CA65CA"/>
    <w:rsid w:val="00CA66E3"/>
    <w:rsid w:val="00CB030C"/>
    <w:rsid w:val="00CB22E1"/>
    <w:rsid w:val="00CB238C"/>
    <w:rsid w:val="00CB26F4"/>
    <w:rsid w:val="00CB295E"/>
    <w:rsid w:val="00CB2B3B"/>
    <w:rsid w:val="00CB2F29"/>
    <w:rsid w:val="00CB4260"/>
    <w:rsid w:val="00CB4A75"/>
    <w:rsid w:val="00CB54D0"/>
    <w:rsid w:val="00CB60C7"/>
    <w:rsid w:val="00CB7B49"/>
    <w:rsid w:val="00CC015E"/>
    <w:rsid w:val="00CC0B9E"/>
    <w:rsid w:val="00CC1250"/>
    <w:rsid w:val="00CC135F"/>
    <w:rsid w:val="00CC21EA"/>
    <w:rsid w:val="00CC2624"/>
    <w:rsid w:val="00CC450C"/>
    <w:rsid w:val="00CC49C0"/>
    <w:rsid w:val="00CC75B5"/>
    <w:rsid w:val="00CC7CC6"/>
    <w:rsid w:val="00CD00DE"/>
    <w:rsid w:val="00CD0306"/>
    <w:rsid w:val="00CD0D0B"/>
    <w:rsid w:val="00CD5658"/>
    <w:rsid w:val="00CD6177"/>
    <w:rsid w:val="00CD6A66"/>
    <w:rsid w:val="00CD712E"/>
    <w:rsid w:val="00CD7C01"/>
    <w:rsid w:val="00CE0AC8"/>
    <w:rsid w:val="00CE1060"/>
    <w:rsid w:val="00CE131A"/>
    <w:rsid w:val="00CE1C69"/>
    <w:rsid w:val="00CE1CA9"/>
    <w:rsid w:val="00CE2C16"/>
    <w:rsid w:val="00CE2F23"/>
    <w:rsid w:val="00CE3CD2"/>
    <w:rsid w:val="00CE40E4"/>
    <w:rsid w:val="00CE47D7"/>
    <w:rsid w:val="00CE48D6"/>
    <w:rsid w:val="00CE4A4E"/>
    <w:rsid w:val="00CE50A6"/>
    <w:rsid w:val="00CE596F"/>
    <w:rsid w:val="00CE5C7B"/>
    <w:rsid w:val="00CE7975"/>
    <w:rsid w:val="00CE7C29"/>
    <w:rsid w:val="00CE7E15"/>
    <w:rsid w:val="00CF0074"/>
    <w:rsid w:val="00CF0F27"/>
    <w:rsid w:val="00CF109C"/>
    <w:rsid w:val="00CF2885"/>
    <w:rsid w:val="00CF2BD8"/>
    <w:rsid w:val="00CF3BB9"/>
    <w:rsid w:val="00CF3FC8"/>
    <w:rsid w:val="00CF50AB"/>
    <w:rsid w:val="00CF6316"/>
    <w:rsid w:val="00CF71BA"/>
    <w:rsid w:val="00CF74EA"/>
    <w:rsid w:val="00D00949"/>
    <w:rsid w:val="00D00993"/>
    <w:rsid w:val="00D009B8"/>
    <w:rsid w:val="00D00AF0"/>
    <w:rsid w:val="00D027B4"/>
    <w:rsid w:val="00D02D71"/>
    <w:rsid w:val="00D02D80"/>
    <w:rsid w:val="00D03176"/>
    <w:rsid w:val="00D0367A"/>
    <w:rsid w:val="00D03712"/>
    <w:rsid w:val="00D05ABC"/>
    <w:rsid w:val="00D06A82"/>
    <w:rsid w:val="00D10455"/>
    <w:rsid w:val="00D10D47"/>
    <w:rsid w:val="00D12130"/>
    <w:rsid w:val="00D126A5"/>
    <w:rsid w:val="00D12865"/>
    <w:rsid w:val="00D12D98"/>
    <w:rsid w:val="00D13187"/>
    <w:rsid w:val="00D13667"/>
    <w:rsid w:val="00D13D70"/>
    <w:rsid w:val="00D147CC"/>
    <w:rsid w:val="00D14857"/>
    <w:rsid w:val="00D15004"/>
    <w:rsid w:val="00D20E85"/>
    <w:rsid w:val="00D214C6"/>
    <w:rsid w:val="00D215A8"/>
    <w:rsid w:val="00D21939"/>
    <w:rsid w:val="00D21B8A"/>
    <w:rsid w:val="00D2327A"/>
    <w:rsid w:val="00D248B2"/>
    <w:rsid w:val="00D248D3"/>
    <w:rsid w:val="00D25230"/>
    <w:rsid w:val="00D26133"/>
    <w:rsid w:val="00D26999"/>
    <w:rsid w:val="00D26A2B"/>
    <w:rsid w:val="00D26E5A"/>
    <w:rsid w:val="00D270A5"/>
    <w:rsid w:val="00D277F8"/>
    <w:rsid w:val="00D30EB8"/>
    <w:rsid w:val="00D328DF"/>
    <w:rsid w:val="00D32C62"/>
    <w:rsid w:val="00D32FA1"/>
    <w:rsid w:val="00D35EAC"/>
    <w:rsid w:val="00D407A9"/>
    <w:rsid w:val="00D4099F"/>
    <w:rsid w:val="00D41423"/>
    <w:rsid w:val="00D42C37"/>
    <w:rsid w:val="00D43F8E"/>
    <w:rsid w:val="00D44575"/>
    <w:rsid w:val="00D44FB4"/>
    <w:rsid w:val="00D45EDA"/>
    <w:rsid w:val="00D4739E"/>
    <w:rsid w:val="00D510A9"/>
    <w:rsid w:val="00D518BF"/>
    <w:rsid w:val="00D519C7"/>
    <w:rsid w:val="00D52A78"/>
    <w:rsid w:val="00D5302B"/>
    <w:rsid w:val="00D53509"/>
    <w:rsid w:val="00D53736"/>
    <w:rsid w:val="00D544F0"/>
    <w:rsid w:val="00D55BFD"/>
    <w:rsid w:val="00D57D03"/>
    <w:rsid w:val="00D60658"/>
    <w:rsid w:val="00D6081B"/>
    <w:rsid w:val="00D61387"/>
    <w:rsid w:val="00D61602"/>
    <w:rsid w:val="00D61F87"/>
    <w:rsid w:val="00D63387"/>
    <w:rsid w:val="00D63802"/>
    <w:rsid w:val="00D64919"/>
    <w:rsid w:val="00D656BF"/>
    <w:rsid w:val="00D66617"/>
    <w:rsid w:val="00D66BE6"/>
    <w:rsid w:val="00D66DC8"/>
    <w:rsid w:val="00D67B40"/>
    <w:rsid w:val="00D70415"/>
    <w:rsid w:val="00D722FD"/>
    <w:rsid w:val="00D72515"/>
    <w:rsid w:val="00D7419C"/>
    <w:rsid w:val="00D744DE"/>
    <w:rsid w:val="00D74542"/>
    <w:rsid w:val="00D74746"/>
    <w:rsid w:val="00D74F49"/>
    <w:rsid w:val="00D76232"/>
    <w:rsid w:val="00D76513"/>
    <w:rsid w:val="00D76897"/>
    <w:rsid w:val="00D76C40"/>
    <w:rsid w:val="00D77386"/>
    <w:rsid w:val="00D77A40"/>
    <w:rsid w:val="00D77E75"/>
    <w:rsid w:val="00D804EA"/>
    <w:rsid w:val="00D80876"/>
    <w:rsid w:val="00D819EA"/>
    <w:rsid w:val="00D83B46"/>
    <w:rsid w:val="00D84AFA"/>
    <w:rsid w:val="00D85720"/>
    <w:rsid w:val="00D8748A"/>
    <w:rsid w:val="00D877EF"/>
    <w:rsid w:val="00D87966"/>
    <w:rsid w:val="00D91762"/>
    <w:rsid w:val="00D92A5E"/>
    <w:rsid w:val="00D92D73"/>
    <w:rsid w:val="00D937F4"/>
    <w:rsid w:val="00D9409F"/>
    <w:rsid w:val="00D94474"/>
    <w:rsid w:val="00D9449E"/>
    <w:rsid w:val="00D95B72"/>
    <w:rsid w:val="00D95B81"/>
    <w:rsid w:val="00D95E12"/>
    <w:rsid w:val="00DA0E6A"/>
    <w:rsid w:val="00DA1BC6"/>
    <w:rsid w:val="00DA2379"/>
    <w:rsid w:val="00DA3DBA"/>
    <w:rsid w:val="00DA51EE"/>
    <w:rsid w:val="00DA6463"/>
    <w:rsid w:val="00DA6602"/>
    <w:rsid w:val="00DA6AF3"/>
    <w:rsid w:val="00DB0424"/>
    <w:rsid w:val="00DB05C1"/>
    <w:rsid w:val="00DB1151"/>
    <w:rsid w:val="00DB1691"/>
    <w:rsid w:val="00DB1847"/>
    <w:rsid w:val="00DB31F9"/>
    <w:rsid w:val="00DB3E24"/>
    <w:rsid w:val="00DB7583"/>
    <w:rsid w:val="00DC008C"/>
    <w:rsid w:val="00DC0968"/>
    <w:rsid w:val="00DC0C90"/>
    <w:rsid w:val="00DC0E69"/>
    <w:rsid w:val="00DC0FAC"/>
    <w:rsid w:val="00DC1E2A"/>
    <w:rsid w:val="00DC2968"/>
    <w:rsid w:val="00DC4305"/>
    <w:rsid w:val="00DC49D9"/>
    <w:rsid w:val="00DC5128"/>
    <w:rsid w:val="00DC53C4"/>
    <w:rsid w:val="00DC5761"/>
    <w:rsid w:val="00DC5AB6"/>
    <w:rsid w:val="00DC5DDC"/>
    <w:rsid w:val="00DC5F1A"/>
    <w:rsid w:val="00DC5FC0"/>
    <w:rsid w:val="00DC7CEA"/>
    <w:rsid w:val="00DC7EFF"/>
    <w:rsid w:val="00DD0BDD"/>
    <w:rsid w:val="00DD1C8C"/>
    <w:rsid w:val="00DD21D0"/>
    <w:rsid w:val="00DD2DFF"/>
    <w:rsid w:val="00DD3983"/>
    <w:rsid w:val="00DD3FCF"/>
    <w:rsid w:val="00DD41E0"/>
    <w:rsid w:val="00DD454A"/>
    <w:rsid w:val="00DD4A85"/>
    <w:rsid w:val="00DD533B"/>
    <w:rsid w:val="00DD64FE"/>
    <w:rsid w:val="00DD7066"/>
    <w:rsid w:val="00DD70C2"/>
    <w:rsid w:val="00DD798D"/>
    <w:rsid w:val="00DE165E"/>
    <w:rsid w:val="00DE21DC"/>
    <w:rsid w:val="00DE2BA0"/>
    <w:rsid w:val="00DE31E5"/>
    <w:rsid w:val="00DE45D1"/>
    <w:rsid w:val="00DE5114"/>
    <w:rsid w:val="00DE60E7"/>
    <w:rsid w:val="00DE6757"/>
    <w:rsid w:val="00DE682E"/>
    <w:rsid w:val="00DE696B"/>
    <w:rsid w:val="00DE6AC7"/>
    <w:rsid w:val="00DE7BFA"/>
    <w:rsid w:val="00DE7E1B"/>
    <w:rsid w:val="00DF03DF"/>
    <w:rsid w:val="00DF1CBB"/>
    <w:rsid w:val="00DF1F70"/>
    <w:rsid w:val="00DF32FE"/>
    <w:rsid w:val="00DF34D7"/>
    <w:rsid w:val="00DF3713"/>
    <w:rsid w:val="00DF38A6"/>
    <w:rsid w:val="00DF3A08"/>
    <w:rsid w:val="00DF3AA7"/>
    <w:rsid w:val="00DF3CF9"/>
    <w:rsid w:val="00DF45DC"/>
    <w:rsid w:val="00DF4DBE"/>
    <w:rsid w:val="00DF602C"/>
    <w:rsid w:val="00DF60A2"/>
    <w:rsid w:val="00E00180"/>
    <w:rsid w:val="00E00A90"/>
    <w:rsid w:val="00E00C17"/>
    <w:rsid w:val="00E02FAC"/>
    <w:rsid w:val="00E04414"/>
    <w:rsid w:val="00E0463A"/>
    <w:rsid w:val="00E0587B"/>
    <w:rsid w:val="00E0722C"/>
    <w:rsid w:val="00E0741A"/>
    <w:rsid w:val="00E079E6"/>
    <w:rsid w:val="00E07BB0"/>
    <w:rsid w:val="00E105E5"/>
    <w:rsid w:val="00E10FF3"/>
    <w:rsid w:val="00E1138A"/>
    <w:rsid w:val="00E12CED"/>
    <w:rsid w:val="00E12DF2"/>
    <w:rsid w:val="00E13865"/>
    <w:rsid w:val="00E13A78"/>
    <w:rsid w:val="00E14D41"/>
    <w:rsid w:val="00E14D51"/>
    <w:rsid w:val="00E1578B"/>
    <w:rsid w:val="00E1669F"/>
    <w:rsid w:val="00E1705D"/>
    <w:rsid w:val="00E17844"/>
    <w:rsid w:val="00E2004B"/>
    <w:rsid w:val="00E20082"/>
    <w:rsid w:val="00E20861"/>
    <w:rsid w:val="00E20CBC"/>
    <w:rsid w:val="00E2120B"/>
    <w:rsid w:val="00E2320C"/>
    <w:rsid w:val="00E23535"/>
    <w:rsid w:val="00E252C2"/>
    <w:rsid w:val="00E258DC"/>
    <w:rsid w:val="00E25E6B"/>
    <w:rsid w:val="00E27B6F"/>
    <w:rsid w:val="00E30F22"/>
    <w:rsid w:val="00E3218A"/>
    <w:rsid w:val="00E326A5"/>
    <w:rsid w:val="00E331B9"/>
    <w:rsid w:val="00E33524"/>
    <w:rsid w:val="00E33C3C"/>
    <w:rsid w:val="00E342EA"/>
    <w:rsid w:val="00E34B89"/>
    <w:rsid w:val="00E351D9"/>
    <w:rsid w:val="00E357B3"/>
    <w:rsid w:val="00E36495"/>
    <w:rsid w:val="00E3750A"/>
    <w:rsid w:val="00E37F15"/>
    <w:rsid w:val="00E4015E"/>
    <w:rsid w:val="00E408C4"/>
    <w:rsid w:val="00E40F66"/>
    <w:rsid w:val="00E41E16"/>
    <w:rsid w:val="00E42921"/>
    <w:rsid w:val="00E433D2"/>
    <w:rsid w:val="00E43E7F"/>
    <w:rsid w:val="00E444DD"/>
    <w:rsid w:val="00E45625"/>
    <w:rsid w:val="00E45EFB"/>
    <w:rsid w:val="00E4697B"/>
    <w:rsid w:val="00E47510"/>
    <w:rsid w:val="00E47C30"/>
    <w:rsid w:val="00E512AD"/>
    <w:rsid w:val="00E518A5"/>
    <w:rsid w:val="00E53468"/>
    <w:rsid w:val="00E538A7"/>
    <w:rsid w:val="00E53B3C"/>
    <w:rsid w:val="00E549B3"/>
    <w:rsid w:val="00E55789"/>
    <w:rsid w:val="00E608F2"/>
    <w:rsid w:val="00E61093"/>
    <w:rsid w:val="00E61597"/>
    <w:rsid w:val="00E61A75"/>
    <w:rsid w:val="00E633C5"/>
    <w:rsid w:val="00E66272"/>
    <w:rsid w:val="00E67821"/>
    <w:rsid w:val="00E713FB"/>
    <w:rsid w:val="00E71762"/>
    <w:rsid w:val="00E72726"/>
    <w:rsid w:val="00E72736"/>
    <w:rsid w:val="00E732FF"/>
    <w:rsid w:val="00E73438"/>
    <w:rsid w:val="00E744B4"/>
    <w:rsid w:val="00E7473A"/>
    <w:rsid w:val="00E75341"/>
    <w:rsid w:val="00E755BD"/>
    <w:rsid w:val="00E763D3"/>
    <w:rsid w:val="00E76A2A"/>
    <w:rsid w:val="00E7774B"/>
    <w:rsid w:val="00E77D4B"/>
    <w:rsid w:val="00E807AC"/>
    <w:rsid w:val="00E808EA"/>
    <w:rsid w:val="00E81061"/>
    <w:rsid w:val="00E81A30"/>
    <w:rsid w:val="00E81C23"/>
    <w:rsid w:val="00E821F1"/>
    <w:rsid w:val="00E8248B"/>
    <w:rsid w:val="00E8275F"/>
    <w:rsid w:val="00E836C2"/>
    <w:rsid w:val="00E83B18"/>
    <w:rsid w:val="00E846E5"/>
    <w:rsid w:val="00E852CB"/>
    <w:rsid w:val="00E9167D"/>
    <w:rsid w:val="00E91C09"/>
    <w:rsid w:val="00E91F3A"/>
    <w:rsid w:val="00E92D43"/>
    <w:rsid w:val="00E93EBF"/>
    <w:rsid w:val="00E95797"/>
    <w:rsid w:val="00E961C3"/>
    <w:rsid w:val="00EA01A7"/>
    <w:rsid w:val="00EA051F"/>
    <w:rsid w:val="00EA2187"/>
    <w:rsid w:val="00EA229C"/>
    <w:rsid w:val="00EA2B3C"/>
    <w:rsid w:val="00EA3CA4"/>
    <w:rsid w:val="00EA3FDC"/>
    <w:rsid w:val="00EA4C09"/>
    <w:rsid w:val="00EA60ED"/>
    <w:rsid w:val="00EA6B4B"/>
    <w:rsid w:val="00EA7FF1"/>
    <w:rsid w:val="00EB0778"/>
    <w:rsid w:val="00EB0898"/>
    <w:rsid w:val="00EB0A52"/>
    <w:rsid w:val="00EB109B"/>
    <w:rsid w:val="00EB1CBF"/>
    <w:rsid w:val="00EB29FF"/>
    <w:rsid w:val="00EB6775"/>
    <w:rsid w:val="00EB6F58"/>
    <w:rsid w:val="00EB7232"/>
    <w:rsid w:val="00EB7F36"/>
    <w:rsid w:val="00EC1046"/>
    <w:rsid w:val="00EC1CED"/>
    <w:rsid w:val="00EC2D27"/>
    <w:rsid w:val="00EC3654"/>
    <w:rsid w:val="00EC38D8"/>
    <w:rsid w:val="00EC3A22"/>
    <w:rsid w:val="00EC3F35"/>
    <w:rsid w:val="00EC4B40"/>
    <w:rsid w:val="00EC4C7E"/>
    <w:rsid w:val="00EC56E8"/>
    <w:rsid w:val="00EC5B88"/>
    <w:rsid w:val="00EC5FB8"/>
    <w:rsid w:val="00EC61AC"/>
    <w:rsid w:val="00ED0DA7"/>
    <w:rsid w:val="00ED1434"/>
    <w:rsid w:val="00ED1CA7"/>
    <w:rsid w:val="00ED27F4"/>
    <w:rsid w:val="00ED2995"/>
    <w:rsid w:val="00ED30FA"/>
    <w:rsid w:val="00ED352A"/>
    <w:rsid w:val="00ED4FD1"/>
    <w:rsid w:val="00ED7172"/>
    <w:rsid w:val="00ED71A8"/>
    <w:rsid w:val="00ED754F"/>
    <w:rsid w:val="00ED76D9"/>
    <w:rsid w:val="00EE02F1"/>
    <w:rsid w:val="00EE0C03"/>
    <w:rsid w:val="00EE100A"/>
    <w:rsid w:val="00EE2455"/>
    <w:rsid w:val="00EE3072"/>
    <w:rsid w:val="00EE35B0"/>
    <w:rsid w:val="00EE431A"/>
    <w:rsid w:val="00EE5756"/>
    <w:rsid w:val="00EE72FA"/>
    <w:rsid w:val="00EE79FA"/>
    <w:rsid w:val="00EF02F8"/>
    <w:rsid w:val="00EF09FA"/>
    <w:rsid w:val="00EF0B22"/>
    <w:rsid w:val="00EF0CB3"/>
    <w:rsid w:val="00EF17D5"/>
    <w:rsid w:val="00EF1841"/>
    <w:rsid w:val="00EF1853"/>
    <w:rsid w:val="00EF1985"/>
    <w:rsid w:val="00EF3596"/>
    <w:rsid w:val="00EF5512"/>
    <w:rsid w:val="00EF58C4"/>
    <w:rsid w:val="00EF65ED"/>
    <w:rsid w:val="00EF76BF"/>
    <w:rsid w:val="00EF7EE9"/>
    <w:rsid w:val="00F00923"/>
    <w:rsid w:val="00F01AE9"/>
    <w:rsid w:val="00F020CA"/>
    <w:rsid w:val="00F02DC4"/>
    <w:rsid w:val="00F04188"/>
    <w:rsid w:val="00F04271"/>
    <w:rsid w:val="00F04F01"/>
    <w:rsid w:val="00F06142"/>
    <w:rsid w:val="00F061B2"/>
    <w:rsid w:val="00F077C8"/>
    <w:rsid w:val="00F10DFC"/>
    <w:rsid w:val="00F1132E"/>
    <w:rsid w:val="00F11DC6"/>
    <w:rsid w:val="00F11F0A"/>
    <w:rsid w:val="00F13E61"/>
    <w:rsid w:val="00F14228"/>
    <w:rsid w:val="00F148AC"/>
    <w:rsid w:val="00F14976"/>
    <w:rsid w:val="00F15066"/>
    <w:rsid w:val="00F15E94"/>
    <w:rsid w:val="00F166BB"/>
    <w:rsid w:val="00F170E8"/>
    <w:rsid w:val="00F177C3"/>
    <w:rsid w:val="00F17A41"/>
    <w:rsid w:val="00F21BB5"/>
    <w:rsid w:val="00F228D9"/>
    <w:rsid w:val="00F22B1D"/>
    <w:rsid w:val="00F231BA"/>
    <w:rsid w:val="00F24D0B"/>
    <w:rsid w:val="00F25D8E"/>
    <w:rsid w:val="00F26EE6"/>
    <w:rsid w:val="00F27EBA"/>
    <w:rsid w:val="00F304C8"/>
    <w:rsid w:val="00F30663"/>
    <w:rsid w:val="00F310D7"/>
    <w:rsid w:val="00F3142A"/>
    <w:rsid w:val="00F31EC4"/>
    <w:rsid w:val="00F3227A"/>
    <w:rsid w:val="00F32F59"/>
    <w:rsid w:val="00F3394E"/>
    <w:rsid w:val="00F34DB7"/>
    <w:rsid w:val="00F3533F"/>
    <w:rsid w:val="00F35C1C"/>
    <w:rsid w:val="00F35EE9"/>
    <w:rsid w:val="00F37369"/>
    <w:rsid w:val="00F3748E"/>
    <w:rsid w:val="00F40304"/>
    <w:rsid w:val="00F40A1F"/>
    <w:rsid w:val="00F41289"/>
    <w:rsid w:val="00F41918"/>
    <w:rsid w:val="00F43133"/>
    <w:rsid w:val="00F43228"/>
    <w:rsid w:val="00F4498A"/>
    <w:rsid w:val="00F45112"/>
    <w:rsid w:val="00F457B2"/>
    <w:rsid w:val="00F45E4F"/>
    <w:rsid w:val="00F46491"/>
    <w:rsid w:val="00F474CB"/>
    <w:rsid w:val="00F47AB0"/>
    <w:rsid w:val="00F47B54"/>
    <w:rsid w:val="00F47E83"/>
    <w:rsid w:val="00F50D28"/>
    <w:rsid w:val="00F50FA9"/>
    <w:rsid w:val="00F51051"/>
    <w:rsid w:val="00F513A8"/>
    <w:rsid w:val="00F52C8D"/>
    <w:rsid w:val="00F530D8"/>
    <w:rsid w:val="00F5408B"/>
    <w:rsid w:val="00F54D17"/>
    <w:rsid w:val="00F55844"/>
    <w:rsid w:val="00F55C66"/>
    <w:rsid w:val="00F55D0E"/>
    <w:rsid w:val="00F5670C"/>
    <w:rsid w:val="00F56730"/>
    <w:rsid w:val="00F56DA5"/>
    <w:rsid w:val="00F573F2"/>
    <w:rsid w:val="00F575EB"/>
    <w:rsid w:val="00F57683"/>
    <w:rsid w:val="00F579DA"/>
    <w:rsid w:val="00F57C08"/>
    <w:rsid w:val="00F60232"/>
    <w:rsid w:val="00F6074F"/>
    <w:rsid w:val="00F61503"/>
    <w:rsid w:val="00F6177C"/>
    <w:rsid w:val="00F61CC5"/>
    <w:rsid w:val="00F61E53"/>
    <w:rsid w:val="00F62D2F"/>
    <w:rsid w:val="00F6420D"/>
    <w:rsid w:val="00F642FC"/>
    <w:rsid w:val="00F646C0"/>
    <w:rsid w:val="00F64933"/>
    <w:rsid w:val="00F64C8A"/>
    <w:rsid w:val="00F64F2D"/>
    <w:rsid w:val="00F65124"/>
    <w:rsid w:val="00F66162"/>
    <w:rsid w:val="00F66263"/>
    <w:rsid w:val="00F66E9C"/>
    <w:rsid w:val="00F6750A"/>
    <w:rsid w:val="00F67B91"/>
    <w:rsid w:val="00F7081A"/>
    <w:rsid w:val="00F70D3F"/>
    <w:rsid w:val="00F71961"/>
    <w:rsid w:val="00F71B98"/>
    <w:rsid w:val="00F72085"/>
    <w:rsid w:val="00F72200"/>
    <w:rsid w:val="00F732DC"/>
    <w:rsid w:val="00F7392A"/>
    <w:rsid w:val="00F73BB2"/>
    <w:rsid w:val="00F73BBB"/>
    <w:rsid w:val="00F73DDC"/>
    <w:rsid w:val="00F76040"/>
    <w:rsid w:val="00F7724D"/>
    <w:rsid w:val="00F818FE"/>
    <w:rsid w:val="00F821A3"/>
    <w:rsid w:val="00F83E6A"/>
    <w:rsid w:val="00F840D0"/>
    <w:rsid w:val="00F84B7A"/>
    <w:rsid w:val="00F84EC5"/>
    <w:rsid w:val="00F85063"/>
    <w:rsid w:val="00F854A8"/>
    <w:rsid w:val="00F854EB"/>
    <w:rsid w:val="00F85799"/>
    <w:rsid w:val="00F85B70"/>
    <w:rsid w:val="00F861E7"/>
    <w:rsid w:val="00F866AB"/>
    <w:rsid w:val="00F86C93"/>
    <w:rsid w:val="00F876CC"/>
    <w:rsid w:val="00F91239"/>
    <w:rsid w:val="00F927C9"/>
    <w:rsid w:val="00F93EB2"/>
    <w:rsid w:val="00F957AD"/>
    <w:rsid w:val="00F96993"/>
    <w:rsid w:val="00F974FD"/>
    <w:rsid w:val="00F979B9"/>
    <w:rsid w:val="00FA0C96"/>
    <w:rsid w:val="00FA12C3"/>
    <w:rsid w:val="00FA18A1"/>
    <w:rsid w:val="00FA1AE9"/>
    <w:rsid w:val="00FA3899"/>
    <w:rsid w:val="00FA3B75"/>
    <w:rsid w:val="00FA3C45"/>
    <w:rsid w:val="00FA4EE8"/>
    <w:rsid w:val="00FA5C69"/>
    <w:rsid w:val="00FA7DE5"/>
    <w:rsid w:val="00FB0012"/>
    <w:rsid w:val="00FB01D3"/>
    <w:rsid w:val="00FB1189"/>
    <w:rsid w:val="00FB1DAE"/>
    <w:rsid w:val="00FB283B"/>
    <w:rsid w:val="00FB3D35"/>
    <w:rsid w:val="00FB3E2D"/>
    <w:rsid w:val="00FB4313"/>
    <w:rsid w:val="00FB4368"/>
    <w:rsid w:val="00FB4645"/>
    <w:rsid w:val="00FB4B1C"/>
    <w:rsid w:val="00FB692E"/>
    <w:rsid w:val="00FB7A8B"/>
    <w:rsid w:val="00FC009E"/>
    <w:rsid w:val="00FC024C"/>
    <w:rsid w:val="00FC03EA"/>
    <w:rsid w:val="00FC059D"/>
    <w:rsid w:val="00FC0878"/>
    <w:rsid w:val="00FC0BD4"/>
    <w:rsid w:val="00FC2693"/>
    <w:rsid w:val="00FC2BCD"/>
    <w:rsid w:val="00FC36A4"/>
    <w:rsid w:val="00FC3780"/>
    <w:rsid w:val="00FC3A04"/>
    <w:rsid w:val="00FC3BCA"/>
    <w:rsid w:val="00FC4B62"/>
    <w:rsid w:val="00FC55E7"/>
    <w:rsid w:val="00FC57F6"/>
    <w:rsid w:val="00FC585F"/>
    <w:rsid w:val="00FC6039"/>
    <w:rsid w:val="00FC6041"/>
    <w:rsid w:val="00FC70D4"/>
    <w:rsid w:val="00FC73BD"/>
    <w:rsid w:val="00FC7EDB"/>
    <w:rsid w:val="00FD0D4E"/>
    <w:rsid w:val="00FD1845"/>
    <w:rsid w:val="00FD28A2"/>
    <w:rsid w:val="00FD2C5C"/>
    <w:rsid w:val="00FD3615"/>
    <w:rsid w:val="00FD3D4D"/>
    <w:rsid w:val="00FD405D"/>
    <w:rsid w:val="00FD4407"/>
    <w:rsid w:val="00FD4D54"/>
    <w:rsid w:val="00FD4FD6"/>
    <w:rsid w:val="00FD55BE"/>
    <w:rsid w:val="00FD5AEB"/>
    <w:rsid w:val="00FD68AE"/>
    <w:rsid w:val="00FD6BC4"/>
    <w:rsid w:val="00FD6EE4"/>
    <w:rsid w:val="00FD7023"/>
    <w:rsid w:val="00FD73BA"/>
    <w:rsid w:val="00FD7637"/>
    <w:rsid w:val="00FE040B"/>
    <w:rsid w:val="00FE0A29"/>
    <w:rsid w:val="00FE0DB2"/>
    <w:rsid w:val="00FE1858"/>
    <w:rsid w:val="00FE1B31"/>
    <w:rsid w:val="00FE2774"/>
    <w:rsid w:val="00FE279F"/>
    <w:rsid w:val="00FE3496"/>
    <w:rsid w:val="00FE3EC2"/>
    <w:rsid w:val="00FE411F"/>
    <w:rsid w:val="00FE4F60"/>
    <w:rsid w:val="00FE550C"/>
    <w:rsid w:val="00FE71B0"/>
    <w:rsid w:val="00FE78B9"/>
    <w:rsid w:val="00FE7E77"/>
    <w:rsid w:val="00FF0068"/>
    <w:rsid w:val="00FF0207"/>
    <w:rsid w:val="00FF0448"/>
    <w:rsid w:val="00FF183C"/>
    <w:rsid w:val="00FF20C3"/>
    <w:rsid w:val="00FF2D94"/>
    <w:rsid w:val="00FF328B"/>
    <w:rsid w:val="00FF665B"/>
    <w:rsid w:val="00FF67C8"/>
    <w:rsid w:val="00FF69E5"/>
    <w:rsid w:val="00FF6C5F"/>
    <w:rsid w:val="00FF7935"/>
    <w:rsid w:val="01487EDA"/>
    <w:rsid w:val="13E11E13"/>
    <w:rsid w:val="16CF6FB0"/>
    <w:rsid w:val="1BBE3AD9"/>
    <w:rsid w:val="30FC3C9C"/>
    <w:rsid w:val="328A15C1"/>
    <w:rsid w:val="455706FF"/>
    <w:rsid w:val="4A4F192C"/>
    <w:rsid w:val="55015B2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f" stroke="f">
      <v:fill on="f"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0" w:semiHidden="0" w:name="heading 8"/>
    <w:lsdException w:qFormat="1" w:unhideWhenUsed="0" w:uiPriority="0" w:semiHidden="0" w:name="heading 9"/>
    <w:lsdException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nhideWhenUsed="0" w:uiPriority="99" w:semiHidden="0" w:name="table of figures"/>
    <w:lsdException w:uiPriority="99" w:name="envelope address"/>
    <w:lsdException w:uiPriority="99" w:name="envelope return"/>
    <w:lsdException w:unhideWhenUsed="0" w:uiPriority="99" w:semiHidden="0" w:name="footnote reference"/>
    <w:lsdException w:qFormat="1" w:unhideWhenUsed="0" w:uiPriority="99" w:semiHidden="0" w:name="annotation reference"/>
    <w:lsdException w:uiPriority="99" w:name="line number"/>
    <w:lsdException w:unhideWhenUsed="0" w:uiPriority="0" w:semiHidden="0" w:name="page number"/>
    <w:lsdException w:uiPriority="99" w:name="endnote reference"/>
    <w:lsdException w:unhideWhenUsed="0" w:uiPriority="0" w:semiHidden="0" w:name="endnote text"/>
    <w:lsdException w:unhideWhenUsed="0" w:uiPriority="99" w:semiHidden="0" w:name="table of authorities"/>
    <w:lsdException w:uiPriority="99" w:name="macro"/>
    <w:lsdException w:unhideWhenUsed="0" w:uiPriority="99" w:semiHidden="0" w:name="toa heading"/>
    <w:lsdException w:qFormat="1" w:unhideWhenUsed="0" w:uiPriority="0" w:semiHidden="0" w:name="List"/>
    <w:lsdException w:unhideWhenUsed="0" w:uiPriority="99" w:semiHidden="0" w:name="List Bullet"/>
    <w:lsdException w:qFormat="1" w:unhideWhenUsed="0" w:uiPriority="0" w:semiHidden="0" w:name="List Number"/>
    <w:lsdException w:unhideWhenUsed="0" w:uiPriority="99" w:semiHidden="0" w:name="List 2"/>
    <w:lsdException w:unhideWhenUsed="0" w:uiPriority="99" w:semiHidden="0" w:name="List 3"/>
    <w:lsdException w:unhideWhenUsed="0" w:uiPriority="99" w:semiHidden="0" w:name="List 4"/>
    <w:lsdException w:uiPriority="99" w:name="List 5"/>
    <w:lsdException w:unhideWhenUsed="0" w:uiPriority="99" w:semiHidden="0" w:name="List Bullet 2"/>
    <w:lsdException w:unhideWhenUsed="0" w:uiPriority="99" w:semiHidden="0" w:name="List Bullet 3"/>
    <w:lsdException w:unhideWhenUsed="0" w:uiPriority="99" w:semiHidden="0" w:name="List Bullet 4"/>
    <w:lsdException w:unhideWhenUsed="0" w:uiPriority="99" w:semiHidden="0" w:name="List Bullet 5"/>
    <w:lsdException w:unhideWhenUsed="0" w:uiPriority="99" w:semiHidden="0" w:name="List Number 2"/>
    <w:lsdException w:unhideWhenUsed="0" w:uiPriority="99" w:semiHidden="0" w:name="List Number 3"/>
    <w:lsdException w:unhideWhenUsed="0" w:uiPriority="99" w:semiHidden="0" w:name="List Number 4"/>
    <w:lsdException w:unhideWhenUsed="0" w:uiPriority="99" w:semiHidden="0" w:name="List Number 5"/>
    <w:lsdException w:qFormat="1" w:unhideWhenUsed="0" w:uiPriority="10" w:semiHidden="0" w:name="Title"/>
    <w:lsdException w:uiPriority="99" w:name="Closing"/>
    <w:lsdException w:uiPriority="99" w:name="Signature"/>
    <w:lsdException w:unhideWhenUsed="0" w:uiPriority="0"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nhideWhenUsed="0" w:uiPriority="99" w:semiHidden="0" w:name="Salutation"/>
    <w:lsdException w:qFormat="1" w:unhideWhenUsed="0" w:uiPriority="99" w:semiHidden="0" w:name="Date"/>
    <w:lsdException w:qFormat="1" w:unhideWhenUsed="0" w:uiPriority="0" w:semiHidden="0" w:name="Body Text First Indent"/>
    <w:lsdException w:unhideWhenUsed="0" w:uiPriority="99" w:semiHidden="0" w:name="Body Text First Indent 2"/>
    <w:lsdException w:uiPriority="99" w:name="Note Heading"/>
    <w:lsdException w:unhideWhenUsed="0" w:uiPriority="99" w:semiHidden="0" w:name="Body Text 2"/>
    <w:lsdException w:unhideWhenUsed="0" w:uiPriority="99" w:semiHidden="0" w:name="Body Text 3"/>
    <w:lsdException w:unhideWhenUsed="0" w:uiPriority="99" w:semiHidden="0" w:name="Body Text Indent 2"/>
    <w:lsdException w:qFormat="1" w:unhideWhenUsed="0" w:uiPriority="99" w:semiHidden="0" w:name="Body Text Indent 3"/>
    <w:lsdException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99" w:name="E-mail Signature"/>
    <w:lsdException w:uiPriority="99" w:semiHidden="0" w:name=""/>
    <w:lsdException w:uiPriority="99" w:semiHidden="0" w:nam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semiHidden="0" w:name="HTML Preformatted"/>
    <w:lsdException w:uiPriority="99" w:name="HTML Sample"/>
    <w:lsdException w:uiPriority="99" w:name="HTML Typewriter"/>
    <w:lsdException w:uiPriority="99" w:name="HTML Variable"/>
    <w:lsdException w:uiPriority="99" w:semiHidden="0" w:name="Normal Table"/>
    <w:lsdException w:unhideWhenUsed="0" w:uiPriority="0" w:semiHidden="0" w:name="annotation subject"/>
    <w:lsdException w:uiPriority="99" w:name="Table Simple 1"/>
    <w:lsdException w:unhideWhenUsed="0" w:uiPriority="0" w:semiHidden="0"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nhideWhenUsed="0" w:uiPriority="0" w:semiHidden="0" w:name="Table Grid 1"/>
    <w:lsdException w:uiPriority="99" w:name="Table Grid 2"/>
    <w:lsdException w:uiPriority="99" w:name="Table Grid 3"/>
    <w:lsdException w:uiPriority="99" w:name="Table Grid 4"/>
    <w:lsdException w:uiPriority="99" w:name="Table Grid 5"/>
    <w:lsdException w:uiPriority="99" w:name="Table Grid 6"/>
    <w:lsdException w:unhideWhenUsed="0" w:uiPriority="99" w:semiHidden="0"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iPriority="59"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iPriority="34"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iPriority="34"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iPriority="34"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kern w:val="2"/>
      <w:sz w:val="21"/>
      <w:lang w:val="en-US" w:eastAsia="zh-CN" w:bidi="ar-SA"/>
    </w:rPr>
  </w:style>
  <w:style w:type="paragraph" w:styleId="2">
    <w:name w:val="heading 1"/>
    <w:basedOn w:val="1"/>
    <w:next w:val="1"/>
    <w:link w:val="485"/>
    <w:qFormat/>
    <w:uiPriority w:val="9"/>
    <w:pPr>
      <w:keepNext/>
      <w:numPr>
        <w:ilvl w:val="0"/>
        <w:numId w:val="1"/>
      </w:numPr>
      <w:spacing w:line="288" w:lineRule="auto"/>
      <w:jc w:val="center"/>
      <w:outlineLvl w:val="0"/>
    </w:pPr>
    <w:rPr>
      <w:rFonts w:ascii="仿宋_GB2312" w:eastAsia="仿宋_GB2312"/>
      <w:b/>
      <w:color w:val="000000"/>
      <w:sz w:val="36"/>
    </w:rPr>
  </w:style>
  <w:style w:type="paragraph" w:styleId="3">
    <w:name w:val="heading 2"/>
    <w:basedOn w:val="1"/>
    <w:next w:val="1"/>
    <w:link w:val="204"/>
    <w:qFormat/>
    <w:uiPriority w:val="0"/>
    <w:pPr>
      <w:keepNext/>
      <w:numPr>
        <w:ilvl w:val="1"/>
        <w:numId w:val="1"/>
      </w:numPr>
      <w:adjustRightInd w:val="0"/>
      <w:spacing w:line="360" w:lineRule="auto"/>
      <w:textAlignment w:val="baseline"/>
      <w:outlineLvl w:val="1"/>
    </w:pPr>
    <w:rPr>
      <w:rFonts w:ascii="仿宋_GB2312" w:eastAsia="仿宋_GB2312"/>
      <w:kern w:val="0"/>
      <w:sz w:val="28"/>
    </w:rPr>
  </w:style>
  <w:style w:type="paragraph" w:styleId="4">
    <w:name w:val="heading 3"/>
    <w:basedOn w:val="1"/>
    <w:next w:val="1"/>
    <w:link w:val="189"/>
    <w:qFormat/>
    <w:uiPriority w:val="0"/>
    <w:pPr>
      <w:keepNext/>
      <w:keepLines/>
      <w:numPr>
        <w:ilvl w:val="2"/>
        <w:numId w:val="1"/>
      </w:numPr>
      <w:spacing w:before="260" w:after="260" w:line="416" w:lineRule="auto"/>
      <w:outlineLvl w:val="2"/>
    </w:pPr>
    <w:rPr>
      <w:b/>
      <w:sz w:val="32"/>
    </w:rPr>
  </w:style>
  <w:style w:type="paragraph" w:styleId="5">
    <w:name w:val="heading 4"/>
    <w:basedOn w:val="1"/>
    <w:next w:val="1"/>
    <w:link w:val="111"/>
    <w:qFormat/>
    <w:uiPriority w:val="0"/>
    <w:pPr>
      <w:keepNext/>
      <w:keepLines/>
      <w:numPr>
        <w:ilvl w:val="3"/>
        <w:numId w:val="1"/>
      </w:numPr>
      <w:spacing w:before="280" w:after="290" w:line="372" w:lineRule="auto"/>
      <w:outlineLvl w:val="3"/>
    </w:pPr>
    <w:rPr>
      <w:rFonts w:ascii="Arial" w:hAnsi="Arial" w:eastAsia="黑体"/>
      <w:b/>
      <w:sz w:val="28"/>
    </w:rPr>
  </w:style>
  <w:style w:type="paragraph" w:styleId="6">
    <w:name w:val="heading 5"/>
    <w:basedOn w:val="1"/>
    <w:next w:val="1"/>
    <w:link w:val="472"/>
    <w:qFormat/>
    <w:uiPriority w:val="9"/>
    <w:pPr>
      <w:keepNext/>
      <w:keepLines/>
      <w:numPr>
        <w:ilvl w:val="4"/>
        <w:numId w:val="1"/>
      </w:numPr>
      <w:tabs>
        <w:tab w:val="left" w:pos="1008"/>
      </w:tabs>
      <w:spacing w:before="280" w:after="290" w:line="372" w:lineRule="auto"/>
      <w:outlineLvl w:val="4"/>
    </w:pPr>
    <w:rPr>
      <w:b/>
      <w:bCs/>
      <w:sz w:val="28"/>
      <w:szCs w:val="28"/>
    </w:rPr>
  </w:style>
  <w:style w:type="paragraph" w:styleId="7">
    <w:name w:val="heading 6"/>
    <w:basedOn w:val="1"/>
    <w:next w:val="1"/>
    <w:link w:val="129"/>
    <w:qFormat/>
    <w:uiPriority w:val="9"/>
    <w:pPr>
      <w:keepNext/>
      <w:keepLines/>
      <w:numPr>
        <w:ilvl w:val="5"/>
        <w:numId w:val="1"/>
      </w:numPr>
      <w:tabs>
        <w:tab w:val="left" w:pos="1152"/>
      </w:tabs>
      <w:spacing w:before="240" w:after="64" w:line="317" w:lineRule="auto"/>
      <w:outlineLvl w:val="5"/>
    </w:pPr>
    <w:rPr>
      <w:rFonts w:ascii="Arial" w:hAnsi="Arial" w:eastAsia="黑体"/>
      <w:b/>
      <w:bCs/>
      <w:sz w:val="24"/>
      <w:szCs w:val="24"/>
    </w:rPr>
  </w:style>
  <w:style w:type="paragraph" w:styleId="8">
    <w:name w:val="heading 7"/>
    <w:basedOn w:val="1"/>
    <w:next w:val="1"/>
    <w:link w:val="107"/>
    <w:qFormat/>
    <w:uiPriority w:val="9"/>
    <w:pPr>
      <w:keepNext/>
      <w:keepLines/>
      <w:numPr>
        <w:ilvl w:val="6"/>
        <w:numId w:val="1"/>
      </w:numPr>
      <w:tabs>
        <w:tab w:val="left" w:pos="1296"/>
      </w:tabs>
      <w:spacing w:before="240" w:after="64" w:line="317" w:lineRule="auto"/>
      <w:outlineLvl w:val="6"/>
    </w:pPr>
    <w:rPr>
      <w:b/>
      <w:bCs/>
      <w:sz w:val="24"/>
      <w:szCs w:val="24"/>
    </w:rPr>
  </w:style>
  <w:style w:type="paragraph" w:styleId="9">
    <w:name w:val="heading 8"/>
    <w:basedOn w:val="1"/>
    <w:next w:val="1"/>
    <w:link w:val="313"/>
    <w:qFormat/>
    <w:uiPriority w:val="0"/>
    <w:pPr>
      <w:keepNext/>
      <w:keepLines/>
      <w:numPr>
        <w:ilvl w:val="7"/>
        <w:numId w:val="1"/>
      </w:numPr>
      <w:tabs>
        <w:tab w:val="left" w:pos="1440"/>
      </w:tabs>
      <w:spacing w:before="240" w:after="64" w:line="317" w:lineRule="auto"/>
      <w:outlineLvl w:val="7"/>
    </w:pPr>
    <w:rPr>
      <w:rFonts w:ascii="Arial" w:hAnsi="Arial" w:eastAsia="黑体"/>
      <w:sz w:val="24"/>
      <w:szCs w:val="24"/>
    </w:rPr>
  </w:style>
  <w:style w:type="paragraph" w:styleId="10">
    <w:name w:val="heading 9"/>
    <w:basedOn w:val="1"/>
    <w:next w:val="1"/>
    <w:link w:val="179"/>
    <w:qFormat/>
    <w:uiPriority w:val="0"/>
    <w:pPr>
      <w:keepNext/>
      <w:keepLines/>
      <w:numPr>
        <w:ilvl w:val="8"/>
        <w:numId w:val="1"/>
      </w:numPr>
      <w:tabs>
        <w:tab w:val="left" w:pos="1584"/>
      </w:tabs>
      <w:spacing w:before="240" w:after="64" w:line="317" w:lineRule="auto"/>
      <w:outlineLvl w:val="8"/>
    </w:pPr>
    <w:rPr>
      <w:rFonts w:ascii="Arial" w:hAnsi="Arial" w:eastAsia="黑体"/>
      <w:szCs w:val="21"/>
    </w:rPr>
  </w:style>
  <w:style w:type="character" w:default="1" w:styleId="72">
    <w:name w:val="Default Paragraph Font"/>
    <w:uiPriority w:val="0"/>
  </w:style>
  <w:style w:type="table" w:default="1" w:styleId="64">
    <w:name w:val="Normal Table"/>
    <w:unhideWhenUsed/>
    <w:uiPriority w:val="99"/>
    <w:tblPr>
      <w:tblStyle w:val="64"/>
      <w:tblCellMar>
        <w:top w:w="0" w:type="dxa"/>
        <w:left w:w="108" w:type="dxa"/>
        <w:bottom w:w="0" w:type="dxa"/>
        <w:right w:w="108" w:type="dxa"/>
      </w:tblCellMar>
    </w:tblPr>
  </w:style>
  <w:style w:type="paragraph" w:styleId="11">
    <w:name w:val="List 3"/>
    <w:basedOn w:val="1"/>
    <w:uiPriority w:val="99"/>
    <w:pPr>
      <w:ind w:left="100" w:leftChars="400" w:hanging="200" w:hangingChars="200"/>
    </w:pPr>
    <w:rPr>
      <w:szCs w:val="24"/>
    </w:rPr>
  </w:style>
  <w:style w:type="paragraph" w:styleId="12">
    <w:name w:val="toc 7"/>
    <w:basedOn w:val="1"/>
    <w:next w:val="1"/>
    <w:qFormat/>
    <w:uiPriority w:val="39"/>
    <w:pPr>
      <w:spacing w:line="360" w:lineRule="auto"/>
      <w:ind w:left="1200" w:leftChars="1200"/>
    </w:pPr>
    <w:rPr>
      <w:sz w:val="24"/>
      <w:szCs w:val="24"/>
    </w:rPr>
  </w:style>
  <w:style w:type="paragraph" w:styleId="13">
    <w:name w:val="List Number 2"/>
    <w:basedOn w:val="1"/>
    <w:uiPriority w:val="99"/>
    <w:pPr>
      <w:tabs>
        <w:tab w:val="left" w:pos="360"/>
      </w:tabs>
      <w:snapToGrid w:val="0"/>
      <w:ind w:left="360" w:right="709" w:hanging="360"/>
    </w:pPr>
    <w:rPr>
      <w:rFonts w:eastAsia="2OcuAe"/>
      <w:spacing w:val="2"/>
      <w:kern w:val="0"/>
      <w:sz w:val="20"/>
      <w:lang w:eastAsia="zh-TW"/>
    </w:rPr>
  </w:style>
  <w:style w:type="paragraph" w:styleId="14">
    <w:name w:val="table of authorities"/>
    <w:basedOn w:val="1"/>
    <w:next w:val="1"/>
    <w:uiPriority w:val="99"/>
    <w:pPr>
      <w:ind w:left="420" w:leftChars="200"/>
    </w:pPr>
    <w:rPr>
      <w:kern w:val="0"/>
      <w:sz w:val="24"/>
      <w:szCs w:val="24"/>
    </w:rPr>
  </w:style>
  <w:style w:type="paragraph" w:styleId="15">
    <w:name w:val="List Bullet 4"/>
    <w:basedOn w:val="1"/>
    <w:uiPriority w:val="99"/>
    <w:pPr>
      <w:tabs>
        <w:tab w:val="left" w:pos="885"/>
      </w:tabs>
      <w:snapToGrid w:val="0"/>
      <w:ind w:left="885" w:right="709" w:hanging="885"/>
    </w:pPr>
    <w:rPr>
      <w:rFonts w:eastAsia="2OcuAe"/>
      <w:spacing w:val="2"/>
      <w:kern w:val="0"/>
      <w:sz w:val="20"/>
      <w:lang w:eastAsia="zh-TW"/>
    </w:rPr>
  </w:style>
  <w:style w:type="paragraph" w:styleId="16">
    <w:name w:val="List Number"/>
    <w:basedOn w:val="1"/>
    <w:qFormat/>
    <w:uiPriority w:val="0"/>
    <w:pPr>
      <w:tabs>
        <w:tab w:val="left" w:pos="950"/>
      </w:tabs>
      <w:snapToGrid w:val="0"/>
      <w:ind w:left="950" w:right="709" w:hanging="420"/>
    </w:pPr>
    <w:rPr>
      <w:rFonts w:eastAsia="2OcuAe"/>
      <w:spacing w:val="2"/>
      <w:kern w:val="0"/>
      <w:sz w:val="20"/>
      <w:lang w:eastAsia="zh-TW"/>
    </w:rPr>
  </w:style>
  <w:style w:type="paragraph" w:styleId="17">
    <w:name w:val="Normal Indent"/>
    <w:basedOn w:val="1"/>
    <w:link w:val="323"/>
    <w:qFormat/>
    <w:uiPriority w:val="99"/>
    <w:pPr>
      <w:ind w:firstLine="420"/>
    </w:pPr>
  </w:style>
  <w:style w:type="paragraph" w:styleId="18">
    <w:name w:val="caption"/>
    <w:basedOn w:val="1"/>
    <w:next w:val="1"/>
    <w:link w:val="1075"/>
    <w:qFormat/>
    <w:uiPriority w:val="0"/>
    <w:pPr>
      <w:widowControl w:val="0"/>
      <w:spacing w:before="100" w:beforeAutospacing="1" w:after="100" w:afterAutospacing="1" w:line="360" w:lineRule="auto"/>
      <w:jc w:val="both"/>
    </w:pPr>
    <w:rPr>
      <w:rFonts w:ascii="Cambria" w:hAnsi="Cambria" w:eastAsia="黑体"/>
      <w:sz w:val="20"/>
    </w:rPr>
  </w:style>
  <w:style w:type="paragraph" w:styleId="19">
    <w:name w:val="List Bullet"/>
    <w:basedOn w:val="1"/>
    <w:uiPriority w:val="99"/>
    <w:pPr>
      <w:tabs>
        <w:tab w:val="left" w:pos="989"/>
      </w:tabs>
      <w:snapToGrid w:val="0"/>
      <w:ind w:left="989" w:right="709" w:hanging="420"/>
    </w:pPr>
    <w:rPr>
      <w:rFonts w:eastAsia="2OcuAe"/>
      <w:spacing w:val="2"/>
      <w:kern w:val="0"/>
      <w:sz w:val="20"/>
      <w:lang w:eastAsia="zh-TW"/>
    </w:rPr>
  </w:style>
  <w:style w:type="paragraph" w:styleId="20">
    <w:name w:val="Document Map"/>
    <w:basedOn w:val="1"/>
    <w:link w:val="230"/>
    <w:qFormat/>
    <w:uiPriority w:val="99"/>
    <w:pPr>
      <w:shd w:val="clear" w:color="auto" w:fill="000080"/>
    </w:pPr>
  </w:style>
  <w:style w:type="paragraph" w:styleId="21">
    <w:name w:val="toa heading"/>
    <w:basedOn w:val="1"/>
    <w:next w:val="1"/>
    <w:uiPriority w:val="99"/>
    <w:pPr>
      <w:widowControl w:val="0"/>
      <w:spacing w:before="120"/>
      <w:jc w:val="both"/>
    </w:pPr>
    <w:rPr>
      <w:rFonts w:ascii="Arial" w:hAnsi="Arial"/>
      <w:b/>
      <w:bCs/>
      <w:szCs w:val="24"/>
    </w:rPr>
  </w:style>
  <w:style w:type="paragraph" w:styleId="22">
    <w:name w:val="annotation text"/>
    <w:basedOn w:val="1"/>
    <w:link w:val="101"/>
    <w:qFormat/>
    <w:uiPriority w:val="99"/>
    <w:pPr>
      <w:jc w:val="left"/>
    </w:pPr>
  </w:style>
  <w:style w:type="paragraph" w:styleId="23">
    <w:name w:val="Salutation"/>
    <w:basedOn w:val="1"/>
    <w:next w:val="1"/>
    <w:link w:val="159"/>
    <w:uiPriority w:val="99"/>
    <w:rPr>
      <w:szCs w:val="24"/>
    </w:rPr>
  </w:style>
  <w:style w:type="paragraph" w:styleId="24">
    <w:name w:val="Body Text 3"/>
    <w:basedOn w:val="1"/>
    <w:link w:val="99"/>
    <w:uiPriority w:val="99"/>
    <w:pPr>
      <w:jc w:val="center"/>
    </w:pPr>
    <w:rPr>
      <w:kern w:val="0"/>
      <w:sz w:val="20"/>
    </w:rPr>
  </w:style>
  <w:style w:type="paragraph" w:styleId="25">
    <w:name w:val="List Bullet 3"/>
    <w:basedOn w:val="1"/>
    <w:uiPriority w:val="99"/>
    <w:pPr>
      <w:tabs>
        <w:tab w:val="left" w:pos="1800"/>
      </w:tabs>
      <w:snapToGrid w:val="0"/>
      <w:ind w:left="1800" w:right="709" w:hanging="420"/>
    </w:pPr>
    <w:rPr>
      <w:rFonts w:eastAsia="2OcuAe"/>
      <w:spacing w:val="2"/>
      <w:kern w:val="0"/>
      <w:sz w:val="20"/>
      <w:lang w:eastAsia="zh-TW"/>
    </w:rPr>
  </w:style>
  <w:style w:type="paragraph" w:styleId="26">
    <w:name w:val="Body Text"/>
    <w:basedOn w:val="1"/>
    <w:link w:val="450"/>
    <w:qFormat/>
    <w:uiPriority w:val="0"/>
    <w:pPr>
      <w:spacing w:before="120" w:beforeLines="0" w:beforeAutospacing="0" w:after="120" w:afterLines="0" w:afterAutospacing="0" w:line="264" w:lineRule="auto"/>
    </w:pPr>
    <w:rPr>
      <w:sz w:val="24"/>
    </w:rPr>
  </w:style>
  <w:style w:type="paragraph" w:styleId="27">
    <w:name w:val="Body Text Indent"/>
    <w:basedOn w:val="1"/>
    <w:link w:val="287"/>
    <w:qFormat/>
    <w:uiPriority w:val="0"/>
    <w:pPr>
      <w:spacing w:before="120" w:beforeLines="0" w:beforeAutospacing="0" w:after="120" w:afterLines="0" w:afterAutospacing="0" w:line="360" w:lineRule="auto"/>
      <w:ind w:left="420" w:leftChars="200"/>
    </w:pPr>
    <w:rPr>
      <w:sz w:val="24"/>
    </w:rPr>
  </w:style>
  <w:style w:type="paragraph" w:styleId="28">
    <w:name w:val="List Number 3"/>
    <w:basedOn w:val="1"/>
    <w:uiPriority w:val="99"/>
    <w:pPr>
      <w:tabs>
        <w:tab w:val="left" w:pos="1389"/>
      </w:tabs>
      <w:snapToGrid w:val="0"/>
      <w:ind w:left="1389" w:right="709" w:hanging="360"/>
    </w:pPr>
    <w:rPr>
      <w:rFonts w:eastAsia="2OcuAe"/>
      <w:spacing w:val="2"/>
      <w:kern w:val="0"/>
      <w:sz w:val="20"/>
      <w:lang w:eastAsia="zh-TW"/>
    </w:rPr>
  </w:style>
  <w:style w:type="paragraph" w:styleId="29">
    <w:name w:val="List 2"/>
    <w:basedOn w:val="1"/>
    <w:uiPriority w:val="99"/>
    <w:pPr>
      <w:widowControl w:val="0"/>
      <w:ind w:left="100" w:leftChars="200" w:hanging="200" w:hangingChars="200"/>
      <w:jc w:val="both"/>
    </w:pPr>
    <w:rPr>
      <w:szCs w:val="24"/>
    </w:rPr>
  </w:style>
  <w:style w:type="paragraph" w:styleId="30">
    <w:name w:val="Block Text"/>
    <w:basedOn w:val="1"/>
    <w:uiPriority w:val="99"/>
    <w:pPr>
      <w:snapToGrid w:val="0"/>
      <w:spacing w:line="400" w:lineRule="exact"/>
      <w:ind w:left="2" w:right="105" w:firstLine="538"/>
      <w:jc w:val="left"/>
    </w:pPr>
    <w:rPr>
      <w:b/>
    </w:rPr>
  </w:style>
  <w:style w:type="paragraph" w:styleId="31">
    <w:name w:val="List Bullet 2"/>
    <w:basedOn w:val="1"/>
    <w:uiPriority w:val="99"/>
    <w:pPr>
      <w:tabs>
        <w:tab w:val="left" w:pos="780"/>
      </w:tabs>
      <w:spacing w:line="480" w:lineRule="exact"/>
      <w:ind w:left="680" w:leftChars="10" w:right="170" w:hanging="659" w:hangingChars="270"/>
    </w:pPr>
    <w:rPr>
      <w:rFonts w:ascii="宋体" w:hAnsi="宋体"/>
      <w:b/>
      <w:color w:val="0000FF"/>
      <w:spacing w:val="2"/>
      <w:kern w:val="0"/>
      <w:sz w:val="24"/>
      <w:szCs w:val="24"/>
      <w:lang w:eastAsia="zh-TW"/>
    </w:rPr>
  </w:style>
  <w:style w:type="paragraph" w:styleId="32">
    <w:name w:val="toc 5"/>
    <w:basedOn w:val="1"/>
    <w:next w:val="1"/>
    <w:qFormat/>
    <w:uiPriority w:val="39"/>
    <w:pPr>
      <w:spacing w:line="360" w:lineRule="auto"/>
      <w:ind w:left="800" w:leftChars="800"/>
    </w:pPr>
    <w:rPr>
      <w:sz w:val="24"/>
      <w:szCs w:val="24"/>
    </w:rPr>
  </w:style>
  <w:style w:type="paragraph" w:styleId="33">
    <w:name w:val="toc 3"/>
    <w:basedOn w:val="1"/>
    <w:next w:val="1"/>
    <w:qFormat/>
    <w:uiPriority w:val="39"/>
    <w:pPr>
      <w:spacing w:line="360" w:lineRule="auto"/>
      <w:ind w:left="400" w:leftChars="400"/>
    </w:pPr>
    <w:rPr>
      <w:sz w:val="24"/>
      <w:szCs w:val="24"/>
    </w:rPr>
  </w:style>
  <w:style w:type="paragraph" w:styleId="34">
    <w:name w:val="Plain Text"/>
    <w:basedOn w:val="1"/>
    <w:link w:val="351"/>
    <w:qFormat/>
    <w:uiPriority w:val="0"/>
    <w:rPr>
      <w:rFonts w:ascii="宋体" w:hAnsi="Courier New"/>
    </w:rPr>
  </w:style>
  <w:style w:type="paragraph" w:styleId="35">
    <w:name w:val="List Bullet 5"/>
    <w:basedOn w:val="1"/>
    <w:uiPriority w:val="99"/>
    <w:pPr>
      <w:tabs>
        <w:tab w:val="left" w:pos="2040"/>
      </w:tabs>
      <w:snapToGrid w:val="0"/>
      <w:ind w:left="2040" w:right="709" w:hanging="360"/>
    </w:pPr>
    <w:rPr>
      <w:rFonts w:eastAsia="2OcuAe"/>
      <w:spacing w:val="2"/>
      <w:kern w:val="0"/>
      <w:sz w:val="20"/>
      <w:lang w:eastAsia="zh-TW"/>
    </w:rPr>
  </w:style>
  <w:style w:type="paragraph" w:styleId="36">
    <w:name w:val="List Number 4"/>
    <w:basedOn w:val="1"/>
    <w:uiPriority w:val="99"/>
    <w:pPr>
      <w:tabs>
        <w:tab w:val="left" w:pos="840"/>
      </w:tabs>
      <w:autoSpaceDE w:val="0"/>
      <w:autoSpaceDN w:val="0"/>
      <w:adjustRightInd w:val="0"/>
      <w:spacing w:line="360" w:lineRule="atLeast"/>
      <w:ind w:left="840" w:hanging="420"/>
    </w:pPr>
    <w:rPr>
      <w:kern w:val="0"/>
      <w:sz w:val="24"/>
    </w:rPr>
  </w:style>
  <w:style w:type="paragraph" w:styleId="37">
    <w:name w:val="toc 8"/>
    <w:basedOn w:val="1"/>
    <w:next w:val="1"/>
    <w:qFormat/>
    <w:uiPriority w:val="39"/>
    <w:pPr>
      <w:spacing w:line="360" w:lineRule="auto"/>
      <w:ind w:left="1400" w:leftChars="1400"/>
    </w:pPr>
    <w:rPr>
      <w:sz w:val="24"/>
      <w:szCs w:val="24"/>
    </w:rPr>
  </w:style>
  <w:style w:type="paragraph" w:styleId="38">
    <w:name w:val="Date"/>
    <w:basedOn w:val="1"/>
    <w:next w:val="1"/>
    <w:link w:val="275"/>
    <w:qFormat/>
    <w:uiPriority w:val="99"/>
    <w:pPr>
      <w:ind w:left="100" w:leftChars="2500"/>
    </w:pPr>
    <w:rPr>
      <w:rFonts w:ascii="仿宋_GB2312" w:eastAsia="仿宋_GB2312"/>
      <w:kern w:val="0"/>
      <w:sz w:val="24"/>
      <w:szCs w:val="24"/>
    </w:rPr>
  </w:style>
  <w:style w:type="paragraph" w:styleId="39">
    <w:name w:val="Body Text Indent 2"/>
    <w:basedOn w:val="1"/>
    <w:link w:val="379"/>
    <w:uiPriority w:val="99"/>
    <w:pPr>
      <w:spacing w:after="120" w:afterLines="0" w:line="480" w:lineRule="auto"/>
      <w:ind w:left="420" w:leftChars="200"/>
    </w:pPr>
  </w:style>
  <w:style w:type="paragraph" w:styleId="40">
    <w:name w:val="endnote text"/>
    <w:basedOn w:val="1"/>
    <w:link w:val="484"/>
    <w:uiPriority w:val="0"/>
    <w:pPr>
      <w:adjustRightInd w:val="0"/>
      <w:spacing w:line="360" w:lineRule="atLeast"/>
      <w:jc w:val="left"/>
      <w:textAlignment w:val="baseline"/>
    </w:pPr>
    <w:rPr>
      <w:kern w:val="0"/>
      <w:sz w:val="24"/>
    </w:rPr>
  </w:style>
  <w:style w:type="paragraph" w:styleId="41">
    <w:name w:val="Balloon Text"/>
    <w:basedOn w:val="1"/>
    <w:link w:val="460"/>
    <w:qFormat/>
    <w:uiPriority w:val="99"/>
    <w:rPr>
      <w:sz w:val="18"/>
    </w:rPr>
  </w:style>
  <w:style w:type="paragraph" w:styleId="42">
    <w:name w:val="footer"/>
    <w:basedOn w:val="1"/>
    <w:link w:val="318"/>
    <w:qFormat/>
    <w:uiPriority w:val="99"/>
    <w:pPr>
      <w:tabs>
        <w:tab w:val="center" w:pos="4153"/>
        <w:tab w:val="right" w:pos="8306"/>
      </w:tabs>
      <w:snapToGrid w:val="0"/>
      <w:jc w:val="left"/>
    </w:pPr>
    <w:rPr>
      <w:sz w:val="18"/>
    </w:rPr>
  </w:style>
  <w:style w:type="paragraph" w:styleId="43">
    <w:name w:val="header"/>
    <w:basedOn w:val="1"/>
    <w:link w:val="238"/>
    <w:qFormat/>
    <w:uiPriority w:val="99"/>
    <w:pPr>
      <w:pBdr>
        <w:bottom w:val="single" w:color="auto" w:sz="6" w:space="1"/>
      </w:pBdr>
      <w:tabs>
        <w:tab w:val="center" w:pos="4153"/>
        <w:tab w:val="right" w:pos="8306"/>
      </w:tabs>
      <w:snapToGrid w:val="0"/>
      <w:jc w:val="center"/>
    </w:pPr>
    <w:rPr>
      <w:sz w:val="18"/>
    </w:rPr>
  </w:style>
  <w:style w:type="paragraph" w:styleId="44">
    <w:name w:val="toc 1"/>
    <w:basedOn w:val="1"/>
    <w:next w:val="1"/>
    <w:qFormat/>
    <w:uiPriority w:val="39"/>
    <w:pPr>
      <w:spacing w:before="120" w:beforeLines="0" w:beforeAutospacing="0" w:after="120" w:afterLines="0" w:afterAutospacing="0"/>
      <w:jc w:val="left"/>
    </w:pPr>
    <w:rPr>
      <w:b/>
      <w:caps/>
      <w:sz w:val="20"/>
    </w:rPr>
  </w:style>
  <w:style w:type="paragraph" w:styleId="45">
    <w:name w:val="toc 4"/>
    <w:basedOn w:val="1"/>
    <w:next w:val="1"/>
    <w:qFormat/>
    <w:uiPriority w:val="39"/>
    <w:pPr>
      <w:spacing w:line="360" w:lineRule="auto"/>
      <w:ind w:left="600" w:leftChars="600"/>
    </w:pPr>
    <w:rPr>
      <w:sz w:val="24"/>
      <w:szCs w:val="24"/>
    </w:rPr>
  </w:style>
  <w:style w:type="paragraph" w:styleId="46">
    <w:name w:val="Subtitle"/>
    <w:basedOn w:val="1"/>
    <w:next w:val="1"/>
    <w:link w:val="480"/>
    <w:qFormat/>
    <w:uiPriority w:val="11"/>
    <w:pPr>
      <w:widowControl w:val="0"/>
      <w:spacing w:before="100" w:beforeAutospacing="1" w:after="100" w:afterAutospacing="1" w:line="312" w:lineRule="auto"/>
      <w:jc w:val="center"/>
      <w:outlineLvl w:val="1"/>
    </w:pPr>
    <w:rPr>
      <w:rFonts w:ascii="Cambria" w:hAnsi="Cambria"/>
      <w:b/>
      <w:bCs/>
      <w:kern w:val="28"/>
      <w:sz w:val="32"/>
      <w:szCs w:val="32"/>
    </w:rPr>
  </w:style>
  <w:style w:type="paragraph" w:styleId="47">
    <w:name w:val="List Number 5"/>
    <w:basedOn w:val="1"/>
    <w:uiPriority w:val="99"/>
    <w:pPr>
      <w:tabs>
        <w:tab w:val="left" w:pos="420"/>
      </w:tabs>
      <w:snapToGrid w:val="0"/>
      <w:ind w:left="420" w:right="709" w:hanging="420"/>
    </w:pPr>
    <w:rPr>
      <w:rFonts w:eastAsia="2OcuAe"/>
      <w:spacing w:val="2"/>
      <w:kern w:val="0"/>
      <w:sz w:val="20"/>
      <w:lang w:eastAsia="zh-TW"/>
    </w:rPr>
  </w:style>
  <w:style w:type="paragraph" w:styleId="48">
    <w:name w:val="List"/>
    <w:basedOn w:val="1"/>
    <w:qFormat/>
    <w:uiPriority w:val="0"/>
    <w:pPr>
      <w:widowControl w:val="0"/>
      <w:ind w:left="200" w:hanging="200" w:hangingChars="200"/>
      <w:jc w:val="both"/>
    </w:pPr>
    <w:rPr>
      <w:szCs w:val="24"/>
    </w:rPr>
  </w:style>
  <w:style w:type="paragraph" w:styleId="49">
    <w:name w:val="footnote text"/>
    <w:basedOn w:val="1"/>
    <w:link w:val="232"/>
    <w:uiPriority w:val="99"/>
    <w:pPr>
      <w:widowControl w:val="0"/>
      <w:snapToGrid w:val="0"/>
    </w:pPr>
    <w:rPr>
      <w:sz w:val="18"/>
      <w:szCs w:val="18"/>
    </w:rPr>
  </w:style>
  <w:style w:type="paragraph" w:styleId="50">
    <w:name w:val="toc 6"/>
    <w:basedOn w:val="1"/>
    <w:next w:val="1"/>
    <w:qFormat/>
    <w:uiPriority w:val="39"/>
    <w:pPr>
      <w:spacing w:line="360" w:lineRule="auto"/>
      <w:ind w:left="1000" w:leftChars="1000"/>
    </w:pPr>
    <w:rPr>
      <w:sz w:val="24"/>
      <w:szCs w:val="24"/>
    </w:rPr>
  </w:style>
  <w:style w:type="paragraph" w:styleId="51">
    <w:name w:val="Body Text Indent 3"/>
    <w:basedOn w:val="1"/>
    <w:link w:val="282"/>
    <w:qFormat/>
    <w:uiPriority w:val="99"/>
    <w:pPr>
      <w:spacing w:line="360" w:lineRule="auto"/>
      <w:ind w:firstLine="420"/>
    </w:pPr>
    <w:rPr>
      <w:kern w:val="0"/>
      <w:sz w:val="24"/>
    </w:rPr>
  </w:style>
  <w:style w:type="paragraph" w:styleId="52">
    <w:name w:val="table of figures"/>
    <w:basedOn w:val="1"/>
    <w:next w:val="1"/>
    <w:uiPriority w:val="99"/>
    <w:pPr>
      <w:widowControl w:val="0"/>
      <w:spacing w:afterLines="50" w:line="120" w:lineRule="auto"/>
      <w:ind w:left="840" w:leftChars="200" w:hanging="420" w:hangingChars="200"/>
      <w:jc w:val="both"/>
    </w:pPr>
    <w:rPr>
      <w:rFonts w:eastAsia="楷体_GB2312"/>
      <w:szCs w:val="24"/>
    </w:rPr>
  </w:style>
  <w:style w:type="paragraph" w:styleId="53">
    <w:name w:val="toc 2"/>
    <w:basedOn w:val="1"/>
    <w:next w:val="1"/>
    <w:qFormat/>
    <w:uiPriority w:val="39"/>
    <w:pPr>
      <w:spacing w:line="360" w:lineRule="auto"/>
      <w:ind w:left="200" w:leftChars="200"/>
    </w:pPr>
    <w:rPr>
      <w:sz w:val="24"/>
      <w:szCs w:val="24"/>
    </w:rPr>
  </w:style>
  <w:style w:type="paragraph" w:styleId="54">
    <w:name w:val="toc 9"/>
    <w:basedOn w:val="1"/>
    <w:next w:val="1"/>
    <w:qFormat/>
    <w:uiPriority w:val="39"/>
    <w:pPr>
      <w:spacing w:line="360" w:lineRule="auto"/>
      <w:ind w:left="1600" w:leftChars="1600"/>
    </w:pPr>
    <w:rPr>
      <w:sz w:val="24"/>
      <w:szCs w:val="24"/>
    </w:rPr>
  </w:style>
  <w:style w:type="paragraph" w:styleId="55">
    <w:name w:val="Body Text 2"/>
    <w:basedOn w:val="1"/>
    <w:link w:val="88"/>
    <w:uiPriority w:val="99"/>
    <w:pPr>
      <w:spacing w:after="120" w:afterLines="0" w:line="480" w:lineRule="auto"/>
    </w:pPr>
    <w:rPr>
      <w:kern w:val="0"/>
      <w:sz w:val="20"/>
      <w:szCs w:val="24"/>
    </w:rPr>
  </w:style>
  <w:style w:type="paragraph" w:styleId="56">
    <w:name w:val="List 4"/>
    <w:basedOn w:val="1"/>
    <w:uiPriority w:val="99"/>
    <w:pPr>
      <w:widowControl w:val="0"/>
      <w:ind w:left="1680" w:hanging="420"/>
      <w:jc w:val="both"/>
    </w:pPr>
  </w:style>
  <w:style w:type="paragraph" w:styleId="57">
    <w:name w:val="HTML Preformatted"/>
    <w:basedOn w:val="1"/>
    <w:link w:val="207"/>
    <w:unhideWhenUs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kern w:val="0"/>
      <w:sz w:val="24"/>
      <w:szCs w:val="24"/>
    </w:rPr>
  </w:style>
  <w:style w:type="paragraph" w:styleId="58">
    <w:name w:val="Normal (Web)"/>
    <w:basedOn w:val="1"/>
    <w:qFormat/>
    <w:uiPriority w:val="99"/>
    <w:pPr>
      <w:widowControl/>
      <w:spacing w:before="100" w:beforeLines="0" w:beforeAutospacing="1" w:after="100" w:afterLines="0" w:afterAutospacing="1" w:line="360" w:lineRule="auto"/>
      <w:ind w:firstLine="480"/>
      <w:jc w:val="left"/>
    </w:pPr>
    <w:rPr>
      <w:rFonts w:ascii="宋体" w:hAnsi="宋体"/>
      <w:color w:val="5D5D5D"/>
      <w:kern w:val="0"/>
      <w:sz w:val="18"/>
    </w:rPr>
  </w:style>
  <w:style w:type="paragraph" w:styleId="59">
    <w:name w:val="index 1"/>
    <w:basedOn w:val="1"/>
    <w:next w:val="1"/>
    <w:unhideWhenUsed/>
    <w:uiPriority w:val="99"/>
    <w:pPr>
      <w:widowControl w:val="0"/>
      <w:spacing w:line="360" w:lineRule="auto"/>
      <w:jc w:val="center"/>
    </w:pPr>
    <w:rPr>
      <w:rFonts w:ascii="宋体" w:hAnsi="宋体"/>
      <w:bCs/>
      <w:szCs w:val="24"/>
    </w:rPr>
  </w:style>
  <w:style w:type="paragraph" w:styleId="60">
    <w:name w:val="Title"/>
    <w:basedOn w:val="1"/>
    <w:link w:val="469"/>
    <w:qFormat/>
    <w:uiPriority w:val="10"/>
    <w:pPr>
      <w:widowControl/>
      <w:overflowPunct w:val="0"/>
      <w:autoSpaceDE w:val="0"/>
      <w:autoSpaceDN w:val="0"/>
      <w:adjustRightInd w:val="0"/>
      <w:spacing w:line="420" w:lineRule="exact"/>
      <w:jc w:val="center"/>
      <w:textAlignment w:val="baseline"/>
    </w:pPr>
    <w:rPr>
      <w:rFonts w:eastAsia="黑体"/>
      <w:b/>
      <w:kern w:val="0"/>
      <w:sz w:val="28"/>
      <w:lang w:val="en-GB"/>
    </w:rPr>
  </w:style>
  <w:style w:type="paragraph" w:styleId="61">
    <w:name w:val="annotation subject"/>
    <w:basedOn w:val="22"/>
    <w:next w:val="22"/>
    <w:link w:val="293"/>
    <w:uiPriority w:val="0"/>
    <w:rPr>
      <w:b/>
    </w:rPr>
  </w:style>
  <w:style w:type="paragraph" w:styleId="62">
    <w:name w:val="Body Text First Indent"/>
    <w:basedOn w:val="26"/>
    <w:link w:val="132"/>
    <w:qFormat/>
    <w:uiPriority w:val="0"/>
    <w:pPr>
      <w:spacing w:before="0" w:beforeLines="0" w:beforeAutospacing="0" w:line="360" w:lineRule="auto"/>
      <w:ind w:firstLine="420" w:firstLineChars="100"/>
    </w:pPr>
  </w:style>
  <w:style w:type="paragraph" w:styleId="63">
    <w:name w:val="Body Text First Indent 2"/>
    <w:basedOn w:val="27"/>
    <w:link w:val="285"/>
    <w:uiPriority w:val="99"/>
    <w:pPr>
      <w:widowControl w:val="0"/>
      <w:spacing w:before="0" w:line="240" w:lineRule="auto"/>
      <w:ind w:firstLine="420" w:firstLineChars="200"/>
      <w:jc w:val="both"/>
    </w:pPr>
    <w:rPr>
      <w:rFonts w:ascii="仿宋_GB2312" w:hAnsi="Arial" w:eastAsia="仿宋_GB2312"/>
      <w:spacing w:val="-5"/>
      <w:sz w:val="21"/>
      <w:szCs w:val="24"/>
    </w:rPr>
  </w:style>
  <w:style w:type="table" w:styleId="65">
    <w:name w:val="Table Grid"/>
    <w:basedOn w:val="64"/>
    <w:unhideWhenUsed/>
    <w:qFormat/>
    <w:uiPriority w:val="59"/>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Simple 2"/>
    <w:basedOn w:val="64"/>
    <w:uiPriority w:val="0"/>
    <w:pPr>
      <w:widowControl w:val="0"/>
      <w:jc w:val="both"/>
    </w:pPr>
    <w:tblPr>
      <w:tblStyle w:val="64"/>
    </w:tblPr>
    <w:tblStylePr w:type="firstRow">
      <w:rPr>
        <w:b/>
        <w:bCs/>
      </w:rPr>
      <w:tblPr>
        <w:tblStyle w:val="64"/>
      </w:tblPr>
      <w:tcPr>
        <w:tcBorders>
          <w:top w:val="nil"/>
          <w:left w:val="single" w:color="000000" w:sz="12" w:space="0"/>
          <w:bottom w:val="nil"/>
          <w:right w:val="nil"/>
          <w:insideH w:val="nil"/>
          <w:insideV w:val="nil"/>
          <w:tl2br w:val="nil"/>
          <w:tr2bl w:val="nil"/>
        </w:tcBorders>
      </w:tcPr>
    </w:tblStylePr>
    <w:tblStylePr w:type="lastRow">
      <w:rPr>
        <w:b/>
        <w:bCs/>
        <w:color w:val="auto"/>
      </w:rPr>
      <w:tblPr>
        <w:tblStyle w:val="64"/>
      </w:tblPr>
      <w:tcPr>
        <w:tcBorders>
          <w:top w:val="single" w:color="000000" w:sz="6" w:space="0"/>
          <w:left w:val="nil"/>
          <w:bottom w:val="nil"/>
          <w:right w:val="nil"/>
          <w:insideH w:val="nil"/>
          <w:insideV w:val="nil"/>
          <w:tl2br w:val="nil"/>
          <w:tr2bl w:val="nil"/>
        </w:tcBorders>
      </w:tcPr>
    </w:tblStylePr>
    <w:tblStylePr w:type="firstCol">
      <w:rPr>
        <w:b/>
        <w:bCs/>
      </w:rPr>
      <w:tblPr>
        <w:tblStyle w:val="64"/>
      </w:tblPr>
      <w:tcPr>
        <w:tcBorders>
          <w:top w:val="nil"/>
          <w:left w:val="nil"/>
          <w:bottom w:val="nil"/>
          <w:right w:val="single" w:color="000000" w:sz="12" w:space="0"/>
          <w:insideH w:val="nil"/>
          <w:insideV w:val="nil"/>
          <w:tl2br w:val="nil"/>
          <w:tr2bl w:val="nil"/>
        </w:tcBorders>
      </w:tcPr>
    </w:tblStylePr>
    <w:tblStylePr w:type="lastCol">
      <w:rPr>
        <w:b/>
        <w:bCs/>
      </w:rPr>
      <w:tblPr>
        <w:tblStyle w:val="64"/>
      </w:tblPr>
      <w:tcPr>
        <w:tcBorders>
          <w:top w:val="nil"/>
          <w:left w:val="nil"/>
          <w:bottom w:val="single" w:color="000000" w:sz="6" w:space="0"/>
          <w:right w:val="nil"/>
          <w:insideH w:val="nil"/>
          <w:insideV w:val="nil"/>
          <w:tl2br w:val="nil"/>
          <w:tr2bl w:val="nil"/>
        </w:tcBorders>
      </w:tcPr>
    </w:tblStylePr>
    <w:tblStylePr w:type="neCell">
      <w:rPr>
        <w:b/>
        <w:bCs/>
      </w:rPr>
      <w:tblPr>
        <w:tblStyle w:val="64"/>
      </w:tblPr>
      <w:tcPr>
        <w:tcBorders>
          <w:top w:val="nil"/>
          <w:left w:val="nil"/>
          <w:bottom w:val="nil"/>
          <w:right w:val="nil"/>
          <w:insideH w:val="nil"/>
          <w:insideV w:val="nil"/>
          <w:tl2br w:val="nil"/>
          <w:tr2bl w:val="nil"/>
        </w:tcBorders>
      </w:tcPr>
    </w:tblStylePr>
    <w:tblStylePr w:type="swCell">
      <w:rPr>
        <w:b/>
        <w:bCs/>
      </w:rPr>
      <w:tblPr>
        <w:tblStyle w:val="64"/>
      </w:tblPr>
      <w:tcPr>
        <w:tcBorders>
          <w:top w:val="nil"/>
          <w:left w:val="nil"/>
          <w:bottom w:val="nil"/>
          <w:right w:val="nil"/>
          <w:insideH w:val="nil"/>
          <w:insideV w:val="nil"/>
          <w:tl2br w:val="nil"/>
          <w:tr2bl w:val="nil"/>
        </w:tcBorders>
      </w:tcPr>
    </w:tblStylePr>
  </w:style>
  <w:style w:type="table" w:styleId="67">
    <w:name w:val="Table Grid 1"/>
    <w:basedOn w:val="64"/>
    <w:uiPriority w:val="0"/>
    <w:pPr>
      <w:widowControl w:val="0"/>
      <w:jc w:val="both"/>
    </w:pPr>
    <w:tblPr>
      <w:tblStyle w:val="64"/>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blStyle w:val="64"/>
      </w:tblPr>
      <w:tcPr>
        <w:tcBorders>
          <w:top w:val="nil"/>
          <w:left w:val="nil"/>
          <w:bottom w:val="nil"/>
          <w:right w:val="nil"/>
          <w:insideH w:val="nil"/>
          <w:insideV w:val="nil"/>
          <w:tl2br w:val="nil"/>
          <w:tr2bl w:val="nil"/>
        </w:tcBorders>
      </w:tcPr>
    </w:tblStylePr>
    <w:tblStylePr w:type="lastCol">
      <w:rPr>
        <w:i/>
        <w:iCs/>
      </w:rPr>
      <w:tblPr>
        <w:tblStyle w:val="64"/>
      </w:tblPr>
      <w:tcPr>
        <w:tcBorders>
          <w:top w:val="nil"/>
          <w:left w:val="nil"/>
          <w:bottom w:val="nil"/>
          <w:right w:val="nil"/>
          <w:insideH w:val="nil"/>
          <w:insideV w:val="nil"/>
          <w:tl2br w:val="nil"/>
          <w:tr2bl w:val="nil"/>
        </w:tcBorders>
      </w:tcPr>
    </w:tblStylePr>
    <w:tblStylePr w:type="nwCell">
      <w:tblPr>
        <w:tblStyle w:val="64"/>
      </w:tblPr>
      <w:tcPr>
        <w:tcBorders>
          <w:top w:val="nil"/>
          <w:left w:val="nil"/>
          <w:bottom w:val="nil"/>
          <w:right w:val="nil"/>
          <w:insideH w:val="nil"/>
          <w:insideV w:val="nil"/>
          <w:tl2br w:val="single" w:color="000000" w:sz="6" w:space="0"/>
          <w:tr2bl w:val="nil"/>
        </w:tcBorders>
      </w:tcPr>
    </w:tblStylePr>
  </w:style>
  <w:style w:type="table" w:styleId="68">
    <w:name w:val="Table Grid 7"/>
    <w:basedOn w:val="64"/>
    <w:uiPriority w:val="99"/>
    <w:pPr>
      <w:widowControl w:val="0"/>
      <w:jc w:val="both"/>
    </w:pPr>
    <w:rPr>
      <w:b/>
      <w:bCs/>
    </w:rPr>
    <w:tblPr>
      <w:tblStyle w:val="64"/>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b w:val="0"/>
        <w:bCs w:val="0"/>
      </w:rPr>
      <w:tblPr>
        <w:tblStyle w:val="64"/>
      </w:tblPr>
      <w:tcPr>
        <w:tcBorders>
          <w:top w:val="nil"/>
          <w:left w:val="single" w:color="000000" w:sz="12" w:space="0"/>
          <w:bottom w:val="nil"/>
          <w:right w:val="nil"/>
          <w:insideH w:val="nil"/>
          <w:insideV w:val="nil"/>
          <w:tl2br w:val="nil"/>
          <w:tr2bl w:val="nil"/>
        </w:tcBorders>
      </w:tcPr>
    </w:tblStylePr>
    <w:tblStylePr w:type="lastRow">
      <w:rPr>
        <w:b w:val="0"/>
        <w:bCs w:val="0"/>
      </w:rPr>
      <w:tblPr>
        <w:tblStyle w:val="64"/>
      </w:tblPr>
      <w:tcPr>
        <w:tcBorders>
          <w:top w:val="single" w:color="000000" w:sz="6" w:space="0"/>
          <w:left w:val="nil"/>
          <w:bottom w:val="nil"/>
          <w:right w:val="nil"/>
          <w:insideH w:val="nil"/>
          <w:insideV w:val="nil"/>
          <w:tl2br w:val="nil"/>
          <w:tr2bl w:val="nil"/>
        </w:tcBorders>
      </w:tcPr>
    </w:tblStylePr>
    <w:tblStylePr w:type="firstCol">
      <w:rPr>
        <w:b w:val="0"/>
        <w:bCs w:val="0"/>
      </w:rPr>
      <w:tblPr>
        <w:tblStyle w:val="64"/>
      </w:tblPr>
      <w:tcPr>
        <w:tcBorders>
          <w:top w:val="nil"/>
          <w:left w:val="nil"/>
          <w:bottom w:val="nil"/>
          <w:right w:val="nil"/>
          <w:insideH w:val="nil"/>
          <w:insideV w:val="nil"/>
          <w:tl2br w:val="nil"/>
          <w:tr2bl w:val="nil"/>
        </w:tcBorders>
      </w:tcPr>
    </w:tblStylePr>
    <w:tblStylePr w:type="lastCol">
      <w:rPr>
        <w:b w:val="0"/>
        <w:bCs w:val="0"/>
      </w:rPr>
      <w:tblPr>
        <w:tblStyle w:val="64"/>
      </w:tblPr>
      <w:tcPr>
        <w:tcBorders>
          <w:top w:val="nil"/>
          <w:left w:val="nil"/>
          <w:bottom w:val="nil"/>
          <w:right w:val="nil"/>
          <w:insideH w:val="nil"/>
          <w:insideV w:val="nil"/>
          <w:tl2br w:val="nil"/>
          <w:tr2bl w:val="nil"/>
        </w:tcBorders>
      </w:tcPr>
    </w:tblStylePr>
    <w:tblStylePr w:type="nwCell">
      <w:tblPr>
        <w:tblStyle w:val="64"/>
      </w:tblPr>
      <w:tcPr>
        <w:tcBorders>
          <w:top w:val="nil"/>
          <w:left w:val="nil"/>
          <w:bottom w:val="nil"/>
          <w:right w:val="nil"/>
          <w:insideH w:val="nil"/>
          <w:insideV w:val="nil"/>
          <w:tl2br w:val="single" w:color="000000" w:sz="6" w:space="0"/>
          <w:tr2bl w:val="nil"/>
        </w:tcBorders>
      </w:tcPr>
    </w:tblStylePr>
  </w:style>
  <w:style w:type="table" w:styleId="69">
    <w:name w:val="Light List Accent 5"/>
    <w:basedOn w:val="64"/>
    <w:unhideWhenUsed/>
    <w:uiPriority w:val="34"/>
    <w:tblPr>
      <w:tblStyle w:val="64"/>
      <w:tblStyleRowBandSize w:val="1"/>
      <w:tblStyleColBandSize w:val="1"/>
    </w:tblPr>
    <w:tcPr>
      <w:shd w:val="clear" w:color="auto" w:fill="EEF5FB"/>
    </w:tcPr>
    <w:tblStylePr w:type="firstRow">
      <w:pPr>
        <w:spacing w:before="0" w:after="0" w:line="240" w:lineRule="auto"/>
      </w:pPr>
      <w:rPr>
        <w:b/>
        <w:bCs/>
        <w:color w:val="FFFFFF"/>
      </w:rPr>
      <w:tblPr>
        <w:tblStyle w:val="64"/>
      </w:tblPr>
      <w:tcPr>
        <w:tcBorders>
          <w:top w:val="nil"/>
          <w:left w:val="single" w:color="FFFFFF" w:sz="12" w:space="0"/>
          <w:bottom w:val="nil"/>
          <w:right w:val="nil"/>
          <w:insideH w:val="nil"/>
          <w:insideV w:val="nil"/>
          <w:tl2br w:val="nil"/>
          <w:tr2bl w:val="nil"/>
        </w:tcBorders>
        <w:shd w:val="clear" w:color="auto" w:fill="D25F12"/>
      </w:tcPr>
    </w:tblStylePr>
    <w:tblStylePr w:type="lastRow">
      <w:pPr>
        <w:spacing w:before="0" w:after="0" w:line="240" w:lineRule="auto"/>
      </w:pPr>
      <w:rPr>
        <w:b/>
        <w:bCs/>
      </w:rPr>
      <w:tblPr>
        <w:tblStyle w:val="64"/>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blStyle w:val="64"/>
      </w:tblPr>
      <w:tcPr>
        <w:tcBorders>
          <w:top w:val="nil"/>
          <w:left w:val="nil"/>
          <w:bottom w:val="nil"/>
          <w:right w:val="nil"/>
          <w:insideH w:val="nil"/>
          <w:insideV w:val="nil"/>
          <w:tl2br w:val="nil"/>
          <w:tr2bl w:val="nil"/>
        </w:tcBorders>
        <w:shd w:val="clear" w:color="auto" w:fill="D6E6F4"/>
      </w:tcPr>
    </w:tblStylePr>
    <w:tblStylePr w:type="band1Horz">
      <w:tblPr>
        <w:tblStyle w:val="64"/>
      </w:tblPr>
      <w:tcPr>
        <w:shd w:val="clear" w:color="auto" w:fill="DEEAF6"/>
      </w:tcPr>
    </w:tblStylePr>
  </w:style>
  <w:style w:type="table" w:styleId="70">
    <w:name w:val="Medium List 2 Accent 4"/>
    <w:basedOn w:val="64"/>
    <w:unhideWhenUsed/>
    <w:uiPriority w:val="34"/>
    <w:tblPr>
      <w:tblStyle w:val="64"/>
      <w:tblStyleRowBandSize w:val="1"/>
      <w:tblStyleColBandSize w:val="1"/>
    </w:tblPr>
    <w:tcPr>
      <w:shd w:val="clear" w:color="auto" w:fill="EEF5FB"/>
    </w:tcPr>
    <w:tblStylePr w:type="firstRow">
      <w:rPr>
        <w:sz w:val="24"/>
        <w:szCs w:val="24"/>
      </w:rPr>
      <w:tblPr>
        <w:tblStyle w:val="64"/>
      </w:tblPr>
      <w:tcPr>
        <w:tcBorders>
          <w:top w:val="nil"/>
          <w:left w:val="single" w:color="FFFFFF" w:sz="12" w:space="0"/>
          <w:bottom w:val="nil"/>
          <w:right w:val="nil"/>
          <w:insideH w:val="nil"/>
          <w:insideV w:val="nil"/>
          <w:tl2br w:val="nil"/>
          <w:tr2bl w:val="nil"/>
        </w:tcBorders>
        <w:shd w:val="clear" w:color="auto" w:fill="D25F12"/>
      </w:tcPr>
    </w:tblStylePr>
    <w:tblStylePr w:type="lastRow">
      <w:tblPr>
        <w:tblStyle w:val="64"/>
      </w:tblPr>
      <w:tcPr>
        <w:tcBorders>
          <w:top w:val="single" w:color="000000" w:sz="12" w:space="0"/>
          <w:left w:val="nil"/>
          <w:bottom w:val="nil"/>
          <w:right w:val="nil"/>
          <w:insideH w:val="nil"/>
          <w:insideV w:val="nil"/>
          <w:tl2br w:val="nil"/>
          <w:tr2bl w:val="nil"/>
        </w:tcBorders>
        <w:shd w:val="clear" w:color="auto" w:fill="FFFFFF"/>
      </w:tcPr>
    </w:tblStylePr>
    <w:tblStylePr w:type="firstCol">
      <w:tblPr>
        <w:tblStyle w:val="64"/>
      </w:tblPr>
      <w:tcPr>
        <w:tcBorders>
          <w:top w:val="nil"/>
          <w:left w:val="nil"/>
          <w:bottom w:val="nil"/>
          <w:right w:val="single" w:color="8064A2" w:sz="8" w:space="0"/>
          <w:insideH w:val="nil"/>
          <w:insideV w:val="nil"/>
          <w:tl2br w:val="nil"/>
          <w:tr2bl w:val="nil"/>
        </w:tcBorders>
        <w:shd w:val="clear" w:color="auto" w:fill="FFFFFF"/>
      </w:tcPr>
    </w:tblStylePr>
    <w:tblStylePr w:type="lastCol">
      <w:tblPr>
        <w:tblStyle w:val="64"/>
      </w:tblPr>
      <w:tcPr>
        <w:tcBorders>
          <w:top w:val="nil"/>
          <w:left w:val="nil"/>
          <w:bottom w:val="single" w:color="8064A2" w:sz="8" w:space="0"/>
          <w:right w:val="nil"/>
          <w:insideH w:val="nil"/>
          <w:insideV w:val="nil"/>
          <w:tl2br w:val="nil"/>
          <w:tr2bl w:val="nil"/>
        </w:tcBorders>
        <w:shd w:val="clear" w:color="auto" w:fill="FFFFFF"/>
      </w:tcPr>
    </w:tblStylePr>
    <w:tblStylePr w:type="band1Vert">
      <w:tblPr>
        <w:tblStyle w:val="64"/>
      </w:tblPr>
      <w:tcPr>
        <w:tcBorders>
          <w:top w:val="nil"/>
          <w:left w:val="nil"/>
          <w:bottom w:val="nil"/>
          <w:right w:val="nil"/>
          <w:insideH w:val="nil"/>
          <w:insideV w:val="nil"/>
          <w:tl2br w:val="nil"/>
          <w:tr2bl w:val="nil"/>
        </w:tcBorders>
        <w:shd w:val="clear" w:color="auto" w:fill="D6E6F4"/>
      </w:tcPr>
    </w:tblStylePr>
    <w:tblStylePr w:type="band1Horz">
      <w:tblPr>
        <w:tblStyle w:val="64"/>
      </w:tblPr>
      <w:tcPr>
        <w:shd w:val="clear" w:color="auto" w:fill="DEEAF6"/>
      </w:tcPr>
    </w:tblStylePr>
    <w:tblStylePr w:type="nwCell">
      <w:tblPr>
        <w:tblStyle w:val="64"/>
      </w:tblPr>
      <w:tcPr>
        <w:shd w:val="clear" w:color="auto" w:fill="FFFFFF"/>
      </w:tcPr>
    </w:tblStylePr>
    <w:tblStylePr w:type="swCell">
      <w:tblPr>
        <w:tblStyle w:val="64"/>
      </w:tblPr>
      <w:tcPr>
        <w:tcBorders>
          <w:top w:val="nil"/>
          <w:left w:val="nil"/>
          <w:bottom w:val="nil"/>
          <w:right w:val="nil"/>
          <w:insideH w:val="nil"/>
          <w:insideV w:val="nil"/>
          <w:tl2br w:val="nil"/>
          <w:tr2bl w:val="nil"/>
        </w:tcBorders>
      </w:tcPr>
    </w:tblStylePr>
  </w:style>
  <w:style w:type="table" w:styleId="71">
    <w:name w:val="Dark List Accent 5"/>
    <w:basedOn w:val="64"/>
    <w:unhideWhenUsed/>
    <w:uiPriority w:val="34"/>
    <w:tblPr>
      <w:tblStyle w:val="64"/>
      <w:tblStyleRowBandSize w:val="1"/>
      <w:tblStyleColBandSize w:val="1"/>
    </w:tblPr>
    <w:tcPr>
      <w:shd w:val="clear" w:color="auto" w:fill="EEF5FB"/>
    </w:tcPr>
    <w:tblStylePr w:type="firstRow">
      <w:pPr>
        <w:spacing w:before="0" w:after="0" w:line="240" w:lineRule="auto"/>
      </w:pPr>
      <w:rPr>
        <w:b/>
        <w:bCs/>
        <w:color w:val="FFFFFF"/>
      </w:rPr>
      <w:tblPr>
        <w:tblStyle w:val="64"/>
      </w:tblPr>
      <w:tcPr>
        <w:tcBorders>
          <w:top w:val="nil"/>
          <w:left w:val="single" w:color="FFFFFF" w:sz="12" w:space="0"/>
          <w:bottom w:val="nil"/>
          <w:right w:val="nil"/>
          <w:insideH w:val="nil"/>
          <w:insideV w:val="nil"/>
          <w:tl2br w:val="nil"/>
          <w:tr2bl w:val="nil"/>
        </w:tcBorders>
        <w:shd w:val="clear" w:color="auto" w:fill="D25F12"/>
      </w:tcPr>
    </w:tblStylePr>
    <w:tblStylePr w:type="lastRow">
      <w:pPr>
        <w:spacing w:before="0" w:after="0" w:line="240" w:lineRule="auto"/>
      </w:pPr>
      <w:rPr>
        <w:b/>
        <w:bCs/>
      </w:rPr>
      <w:tblPr>
        <w:tblStyle w:val="64"/>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Pr>
        <w:tblStyle w:val="64"/>
      </w:tblPr>
      <w:tcPr>
        <w:tcBorders>
          <w:top w:val="nil"/>
          <w:left w:val="nil"/>
          <w:bottom w:val="nil"/>
          <w:right w:val="single" w:color="FFFFFF" w:sz="18" w:space="0"/>
          <w:insideH w:val="nil"/>
          <w:insideV w:val="nil"/>
          <w:tl2br w:val="nil"/>
          <w:tr2bl w:val="nil"/>
        </w:tcBorders>
        <w:shd w:val="clear" w:color="auto" w:fill="31849B"/>
      </w:tcPr>
    </w:tblStylePr>
    <w:tblStylePr w:type="lastCol">
      <w:rPr>
        <w:b/>
        <w:bCs/>
      </w:rPr>
      <w:tblPr>
        <w:tblStyle w:val="64"/>
      </w:tblPr>
      <w:tcPr>
        <w:tcBorders>
          <w:top w:val="nil"/>
          <w:left w:val="nil"/>
          <w:bottom w:val="single" w:color="FFFFFF" w:sz="18" w:space="0"/>
          <w:right w:val="nil"/>
          <w:insideH w:val="nil"/>
          <w:insideV w:val="nil"/>
          <w:tl2br w:val="nil"/>
          <w:tr2bl w:val="nil"/>
        </w:tcBorders>
        <w:shd w:val="clear" w:color="auto" w:fill="31849B"/>
      </w:tcPr>
    </w:tblStylePr>
    <w:tblStylePr w:type="band1Vert">
      <w:tblPr>
        <w:tblStyle w:val="64"/>
      </w:tblPr>
      <w:tcPr>
        <w:tcBorders>
          <w:top w:val="nil"/>
          <w:left w:val="nil"/>
          <w:bottom w:val="nil"/>
          <w:right w:val="nil"/>
          <w:insideH w:val="nil"/>
          <w:insideV w:val="nil"/>
          <w:tl2br w:val="nil"/>
          <w:tr2bl w:val="nil"/>
        </w:tcBorders>
        <w:shd w:val="clear" w:color="auto" w:fill="D6E6F4"/>
      </w:tcPr>
    </w:tblStylePr>
    <w:tblStylePr w:type="band1Horz">
      <w:tblPr>
        <w:tblStyle w:val="64"/>
      </w:tblPr>
      <w:tcPr>
        <w:shd w:val="clear" w:color="auto" w:fill="DEEAF6"/>
      </w:tcPr>
    </w:tblStylePr>
  </w:style>
  <w:style w:type="character" w:styleId="73">
    <w:name w:val="Strong"/>
    <w:qFormat/>
    <w:uiPriority w:val="22"/>
    <w:rPr>
      <w:b/>
    </w:rPr>
  </w:style>
  <w:style w:type="character" w:styleId="74">
    <w:name w:val="page number"/>
    <w:basedOn w:val="72"/>
    <w:uiPriority w:val="0"/>
  </w:style>
  <w:style w:type="character" w:styleId="75">
    <w:name w:val="FollowedHyperlink"/>
    <w:qFormat/>
    <w:uiPriority w:val="99"/>
    <w:rPr>
      <w:color w:val="800080"/>
      <w:u w:val="single"/>
    </w:rPr>
  </w:style>
  <w:style w:type="character" w:styleId="76">
    <w:name w:val="Emphasis"/>
    <w:qFormat/>
    <w:uiPriority w:val="20"/>
    <w:rPr>
      <w:i/>
      <w:iCs/>
    </w:rPr>
  </w:style>
  <w:style w:type="character" w:styleId="77">
    <w:name w:val="Hyperlink"/>
    <w:qFormat/>
    <w:uiPriority w:val="99"/>
    <w:rPr>
      <w:color w:val="0000FF"/>
      <w:u w:val="single"/>
    </w:rPr>
  </w:style>
  <w:style w:type="character" w:styleId="78">
    <w:name w:val="annotation reference"/>
    <w:qFormat/>
    <w:uiPriority w:val="99"/>
    <w:rPr>
      <w:sz w:val="21"/>
      <w:szCs w:val="21"/>
    </w:rPr>
  </w:style>
  <w:style w:type="character" w:styleId="79">
    <w:name w:val="footnote reference"/>
    <w:uiPriority w:val="99"/>
    <w:rPr>
      <w:rFonts w:cs="Times New Roman"/>
      <w:vertAlign w:val="superscript"/>
    </w:rPr>
  </w:style>
  <w:style w:type="character" w:customStyle="1" w:styleId="80">
    <w:name w:val="中等深浅网格 2 字符"/>
    <w:link w:val="81"/>
    <w:qFormat/>
    <w:uiPriority w:val="1"/>
    <w:rPr>
      <w:kern w:val="2"/>
      <w:sz w:val="21"/>
      <w:lang w:val="en-US" w:eastAsia="zh-CN" w:bidi="ar-SA"/>
    </w:rPr>
  </w:style>
  <w:style w:type="paragraph" w:customStyle="1" w:styleId="81">
    <w:name w:val="中等深浅网格 22"/>
    <w:link w:val="80"/>
    <w:qFormat/>
    <w:uiPriority w:val="1"/>
    <w:pPr>
      <w:widowControl w:val="0"/>
      <w:jc w:val="both"/>
    </w:pPr>
    <w:rPr>
      <w:kern w:val="2"/>
      <w:sz w:val="21"/>
      <w:lang w:val="en-US" w:eastAsia="zh-CN" w:bidi="ar-SA"/>
    </w:rPr>
  </w:style>
  <w:style w:type="character" w:customStyle="1" w:styleId="82">
    <w:name w:val="text-01"/>
    <w:uiPriority w:val="99"/>
    <w:rPr>
      <w:rFonts w:ascii="Verdana" w:hAnsi="Verdana" w:cs="Times New Roman"/>
      <w:sz w:val="18"/>
      <w:szCs w:val="18"/>
    </w:rPr>
  </w:style>
  <w:style w:type="character" w:customStyle="1" w:styleId="83">
    <w:name w:val="Figure Description Char"/>
    <w:link w:val="84"/>
    <w:qFormat/>
    <w:uiPriority w:val="0"/>
    <w:rPr>
      <w:rFonts w:eastAsia="黑体" w:cs="Arial"/>
      <w:spacing w:val="-4"/>
      <w:kern w:val="2"/>
      <w:sz w:val="21"/>
      <w:szCs w:val="21"/>
      <w:lang w:val="en-US" w:eastAsia="zh-CN" w:bidi="ar-SA"/>
    </w:rPr>
  </w:style>
  <w:style w:type="paragraph" w:customStyle="1" w:styleId="84">
    <w:name w:val="Figure Description"/>
    <w:next w:val="1"/>
    <w:link w:val="83"/>
    <w:qFormat/>
    <w:uiPriority w:val="0"/>
    <w:pPr>
      <w:keepNext/>
      <w:adjustRightInd w:val="0"/>
      <w:snapToGrid w:val="0"/>
      <w:spacing w:before="320" w:after="80" w:line="240" w:lineRule="atLeast"/>
      <w:ind w:left="1701"/>
    </w:pPr>
    <w:rPr>
      <w:rFonts w:eastAsia="黑体" w:cs="Arial"/>
      <w:spacing w:val="-4"/>
      <w:kern w:val="2"/>
      <w:sz w:val="21"/>
      <w:szCs w:val="21"/>
      <w:lang w:val="en-US" w:eastAsia="zh-CN" w:bidi="ar-SA"/>
    </w:rPr>
  </w:style>
  <w:style w:type="character" w:customStyle="1" w:styleId="85">
    <w:name w:val="style41"/>
    <w:uiPriority w:val="0"/>
  </w:style>
  <w:style w:type="character" w:customStyle="1" w:styleId="86">
    <w:name w:val="正文文本缩进 Char2"/>
    <w:aliases w:val="正文文字首行缩进 Char"/>
    <w:uiPriority w:val="0"/>
    <w:rPr>
      <w:kern w:val="2"/>
      <w:sz w:val="21"/>
    </w:rPr>
  </w:style>
  <w:style w:type="character" w:customStyle="1" w:styleId="87">
    <w:name w:val="正文文本 3 Char3"/>
    <w:semiHidden/>
    <w:uiPriority w:val="99"/>
    <w:rPr>
      <w:rFonts w:ascii="Times New Roman" w:hAnsi="Times New Roman" w:eastAsia="宋体" w:cs="Times New Roman"/>
      <w:sz w:val="16"/>
      <w:szCs w:val="16"/>
    </w:rPr>
  </w:style>
  <w:style w:type="character" w:customStyle="1" w:styleId="88">
    <w:name w:val="正文文本 2 Char"/>
    <w:link w:val="55"/>
    <w:uiPriority w:val="99"/>
    <w:rPr>
      <w:rFonts w:eastAsia="宋体"/>
      <w:szCs w:val="24"/>
      <w:lang w:bidi="ar-SA"/>
    </w:rPr>
  </w:style>
  <w:style w:type="character" w:customStyle="1" w:styleId="89">
    <w:name w:val="titlestylelight1"/>
    <w:uiPriority w:val="0"/>
    <w:rPr>
      <w:rFonts w:hint="default" w:ascii="Arial" w:hAnsi="Arial" w:cs="Arial"/>
      <w:b/>
      <w:bCs/>
      <w:color w:val="666666"/>
      <w:sz w:val="18"/>
      <w:szCs w:val="18"/>
    </w:rPr>
  </w:style>
  <w:style w:type="character" w:customStyle="1" w:styleId="90">
    <w:name w:val="批注文字 Char1"/>
    <w:uiPriority w:val="99"/>
    <w:rPr>
      <w:kern w:val="2"/>
      <w:sz w:val="21"/>
    </w:rPr>
  </w:style>
  <w:style w:type="character" w:customStyle="1" w:styleId="91">
    <w:name w:val="Table Text Char Char"/>
    <w:link w:val="92"/>
    <w:uiPriority w:val="0"/>
    <w:rPr>
      <w:rFonts w:ascii="Arial" w:hAnsi="Arial" w:cs="Arial"/>
      <w:sz w:val="18"/>
      <w:szCs w:val="18"/>
      <w:lang w:val="en-US" w:eastAsia="zh-CN" w:bidi="ar-SA"/>
    </w:rPr>
  </w:style>
  <w:style w:type="paragraph" w:customStyle="1" w:styleId="92">
    <w:name w:val="Table Text"/>
    <w:link w:val="91"/>
    <w:qFormat/>
    <w:uiPriority w:val="0"/>
    <w:pPr>
      <w:snapToGrid w:val="0"/>
      <w:spacing w:before="80" w:after="80"/>
    </w:pPr>
    <w:rPr>
      <w:rFonts w:ascii="Arial" w:hAnsi="Arial" w:cs="Arial"/>
      <w:sz w:val="18"/>
      <w:szCs w:val="18"/>
      <w:lang w:val="en-US" w:eastAsia="zh-CN" w:bidi="ar-SA"/>
    </w:rPr>
  </w:style>
  <w:style w:type="character" w:styleId="93">
    <w:name w:val=""/>
    <w:qFormat/>
    <w:uiPriority w:val="33"/>
    <w:rPr>
      <w:b/>
      <w:bCs/>
      <w:smallCaps/>
      <w:spacing w:val="5"/>
    </w:rPr>
  </w:style>
  <w:style w:type="character" w:customStyle="1" w:styleId="94">
    <w:name w:val="正文文本缩进 3 Char3"/>
    <w:semiHidden/>
    <w:uiPriority w:val="99"/>
    <w:rPr>
      <w:rFonts w:ascii="Times New Roman" w:hAnsi="Times New Roman" w:eastAsia="宋体" w:cs="Times New Roman"/>
      <w:sz w:val="16"/>
      <w:szCs w:val="16"/>
    </w:rPr>
  </w:style>
  <w:style w:type="character" w:customStyle="1" w:styleId="95">
    <w:name w:val="标准文本 Char Char"/>
    <w:link w:val="96"/>
    <w:uiPriority w:val="0"/>
  </w:style>
  <w:style w:type="paragraph" w:customStyle="1" w:styleId="96">
    <w:name w:val="标准文本"/>
    <w:basedOn w:val="1"/>
    <w:link w:val="95"/>
    <w:qFormat/>
    <w:uiPriority w:val="0"/>
    <w:pPr>
      <w:widowControl w:val="0"/>
      <w:spacing w:line="360" w:lineRule="auto"/>
      <w:ind w:firstLine="480" w:firstLineChars="200"/>
      <w:jc w:val="both"/>
    </w:pPr>
    <w:rPr>
      <w:kern w:val="0"/>
      <w:sz w:val="20"/>
    </w:rPr>
  </w:style>
  <w:style w:type="character" w:customStyle="1" w:styleId="97">
    <w:name w:val="编号，小四 Char"/>
    <w:link w:val="98"/>
    <w:qFormat/>
    <w:locked/>
    <w:uiPriority w:val="0"/>
    <w:rPr>
      <w:sz w:val="24"/>
    </w:rPr>
  </w:style>
  <w:style w:type="paragraph" w:customStyle="1" w:styleId="98">
    <w:name w:val="编号，小四"/>
    <w:basedOn w:val="1"/>
    <w:link w:val="97"/>
    <w:qFormat/>
    <w:uiPriority w:val="0"/>
    <w:pPr>
      <w:widowControl w:val="0"/>
      <w:numPr>
        <w:ilvl w:val="0"/>
        <w:numId w:val="2"/>
      </w:numPr>
      <w:spacing w:line="360" w:lineRule="auto"/>
      <w:jc w:val="both"/>
    </w:pPr>
    <w:rPr>
      <w:kern w:val="0"/>
      <w:sz w:val="24"/>
    </w:rPr>
  </w:style>
  <w:style w:type="character" w:customStyle="1" w:styleId="99">
    <w:name w:val="正文文本 3 Char"/>
    <w:link w:val="24"/>
    <w:uiPriority w:val="99"/>
    <w:rPr>
      <w:rFonts w:eastAsia="宋体"/>
      <w:lang w:bidi="ar-SA"/>
    </w:rPr>
  </w:style>
  <w:style w:type="character" w:customStyle="1" w:styleId="100">
    <w:name w:val="tw4winMark"/>
    <w:uiPriority w:val="99"/>
    <w:rPr>
      <w:rFonts w:ascii="Courier New" w:hAnsi="Courier New"/>
      <w:vanish/>
      <w:color w:val="800080"/>
      <w:vertAlign w:val="subscript"/>
    </w:rPr>
  </w:style>
  <w:style w:type="character" w:customStyle="1" w:styleId="101">
    <w:name w:val="批注文字 Char"/>
    <w:link w:val="22"/>
    <w:qFormat/>
    <w:uiPriority w:val="99"/>
    <w:rPr>
      <w:rFonts w:eastAsia="宋体"/>
      <w:kern w:val="2"/>
      <w:sz w:val="21"/>
      <w:lang w:val="en-US" w:eastAsia="zh-CN" w:bidi="ar-SA"/>
    </w:rPr>
  </w:style>
  <w:style w:type="character" w:customStyle="1" w:styleId="102">
    <w:name w:val="Char Char9"/>
    <w:uiPriority w:val="0"/>
    <w:rPr>
      <w:rFonts w:cs="Times New Roman"/>
      <w:b/>
      <w:bCs/>
      <w:kern w:val="44"/>
      <w:sz w:val="44"/>
      <w:szCs w:val="44"/>
    </w:rPr>
  </w:style>
  <w:style w:type="character" w:customStyle="1" w:styleId="103">
    <w:name w:val="正文首行缩进字符1"/>
    <w:uiPriority w:val="0"/>
    <w:rPr>
      <w:rFonts w:ascii="宋体" w:eastAsia="宋体"/>
      <w:snapToGrid w:val="0"/>
      <w:kern w:val="2"/>
      <w:sz w:val="21"/>
      <w:szCs w:val="24"/>
      <w:lang w:bidi="ar-SA"/>
    </w:rPr>
  </w:style>
  <w:style w:type="character" w:customStyle="1" w:styleId="104">
    <w:name w:val="blue"/>
    <w:uiPriority w:val="0"/>
  </w:style>
  <w:style w:type="character" w:customStyle="1" w:styleId="105">
    <w:name w:val="Char Char Char Char Char"/>
    <w:link w:val="106"/>
    <w:uiPriority w:val="0"/>
    <w:rPr>
      <w:rFonts w:eastAsia="仿宋_GB2312"/>
      <w:kern w:val="2"/>
      <w:sz w:val="28"/>
    </w:rPr>
  </w:style>
  <w:style w:type="paragraph" w:customStyle="1" w:styleId="106">
    <w:name w:val="Char"/>
    <w:basedOn w:val="1"/>
    <w:link w:val="105"/>
    <w:uiPriority w:val="0"/>
    <w:rPr>
      <w:rFonts w:eastAsia="仿宋_GB2312"/>
      <w:sz w:val="28"/>
    </w:rPr>
  </w:style>
  <w:style w:type="character" w:customStyle="1" w:styleId="107">
    <w:name w:val="标题 7 Char"/>
    <w:link w:val="8"/>
    <w:qFormat/>
    <w:uiPriority w:val="9"/>
    <w:rPr>
      <w:b/>
      <w:bCs/>
      <w:kern w:val="2"/>
      <w:sz w:val="24"/>
      <w:szCs w:val="24"/>
    </w:rPr>
  </w:style>
  <w:style w:type="character" w:customStyle="1" w:styleId="108">
    <w:name w:val="正文文本 Char4"/>
    <w:semiHidden/>
    <w:uiPriority w:val="99"/>
    <w:rPr>
      <w:rFonts w:ascii="Times New Roman" w:hAnsi="Times New Roman" w:eastAsia="宋体" w:cs="Times New Roman"/>
      <w:szCs w:val="20"/>
    </w:rPr>
  </w:style>
  <w:style w:type="character" w:customStyle="1" w:styleId="109">
    <w:name w:val="font181"/>
    <w:qFormat/>
    <w:uiPriority w:val="0"/>
    <w:rPr>
      <w:rFonts w:hint="eastAsia" w:ascii="宋体" w:hAnsi="宋体" w:eastAsia="宋体" w:cs="宋体"/>
      <w:color w:val="000000"/>
      <w:sz w:val="18"/>
      <w:szCs w:val="18"/>
      <w:u w:val="none"/>
    </w:rPr>
  </w:style>
  <w:style w:type="character" w:customStyle="1" w:styleId="110">
    <w:name w:val="gray11"/>
    <w:uiPriority w:val="99"/>
    <w:rPr>
      <w:rFonts w:cs="Times New Roman"/>
      <w:color w:val="000000"/>
      <w:sz w:val="18"/>
      <w:szCs w:val="18"/>
      <w:u w:val="none"/>
    </w:rPr>
  </w:style>
  <w:style w:type="character" w:customStyle="1" w:styleId="111">
    <w:name w:val="标题 4 Char"/>
    <w:link w:val="5"/>
    <w:qFormat/>
    <w:uiPriority w:val="9"/>
    <w:rPr>
      <w:rFonts w:ascii="Arial" w:hAnsi="Arial" w:eastAsia="黑体"/>
      <w:b/>
      <w:kern w:val="2"/>
      <w:sz w:val="28"/>
    </w:rPr>
  </w:style>
  <w:style w:type="character" w:customStyle="1" w:styleId="112">
    <w:name w:val="新闻－正文 Char"/>
    <w:link w:val="113"/>
    <w:locked/>
    <w:uiPriority w:val="0"/>
    <w:rPr>
      <w:rFonts w:cs="宋体"/>
    </w:rPr>
  </w:style>
  <w:style w:type="paragraph" w:customStyle="1" w:styleId="113">
    <w:name w:val="新闻－正文"/>
    <w:basedOn w:val="1"/>
    <w:link w:val="112"/>
    <w:uiPriority w:val="0"/>
    <w:pPr>
      <w:widowControl w:val="0"/>
      <w:spacing w:before="100" w:beforeLines="50" w:beforeAutospacing="1" w:after="100" w:afterAutospacing="1" w:line="360" w:lineRule="auto"/>
      <w:ind w:firstLine="200" w:firstLineChars="200"/>
      <w:jc w:val="both"/>
    </w:pPr>
    <w:rPr>
      <w:kern w:val="0"/>
      <w:sz w:val="20"/>
    </w:rPr>
  </w:style>
  <w:style w:type="character" w:customStyle="1" w:styleId="114">
    <w:name w:val="font12gray1"/>
    <w:uiPriority w:val="0"/>
    <w:rPr>
      <w:color w:val="5F5F5F"/>
      <w:sz w:val="18"/>
      <w:szCs w:val="18"/>
    </w:rPr>
  </w:style>
  <w:style w:type="character" w:customStyle="1" w:styleId="115">
    <w:name w:val="ww"/>
    <w:uiPriority w:val="99"/>
    <w:rPr>
      <w:rFonts w:cs="Times New Roman"/>
    </w:rPr>
  </w:style>
  <w:style w:type="character" w:customStyle="1" w:styleId="116">
    <w:name w:val="副标题 Char1"/>
    <w:uiPriority w:val="11"/>
    <w:rPr>
      <w:rFonts w:ascii="Cambria" w:hAnsi="Cambria" w:eastAsia="宋体" w:cs="Times New Roman"/>
      <w:b/>
      <w:bCs/>
      <w:kern w:val="28"/>
      <w:sz w:val="32"/>
      <w:szCs w:val="32"/>
    </w:rPr>
  </w:style>
  <w:style w:type="character" w:customStyle="1" w:styleId="117">
    <w:name w:val="textcontents"/>
    <w:uiPriority w:val="99"/>
    <w:rPr>
      <w:rFonts w:cs="Times New Roman"/>
    </w:rPr>
  </w:style>
  <w:style w:type="character" w:customStyle="1" w:styleId="118">
    <w:name w:val="标题 6 Char1"/>
    <w:uiPriority w:val="0"/>
    <w:rPr>
      <w:rFonts w:ascii="Arial" w:hAnsi="Arial" w:eastAsia="黑体"/>
      <w:b/>
      <w:bCs/>
      <w:kern w:val="2"/>
      <w:sz w:val="24"/>
      <w:szCs w:val="24"/>
    </w:rPr>
  </w:style>
  <w:style w:type="character" w:customStyle="1" w:styleId="119">
    <w:name w:val="日期 Char3"/>
    <w:semiHidden/>
    <w:uiPriority w:val="99"/>
    <w:rPr>
      <w:rFonts w:ascii="Times New Roman" w:hAnsi="Times New Roman" w:eastAsia="宋体" w:cs="Times New Roman"/>
      <w:szCs w:val="20"/>
    </w:rPr>
  </w:style>
  <w:style w:type="character" w:customStyle="1" w:styleId="120">
    <w:name w:val="style7"/>
    <w:uiPriority w:val="0"/>
  </w:style>
  <w:style w:type="character" w:customStyle="1" w:styleId="121">
    <w:name w:val="列出段落 Char1"/>
    <w:link w:val="122"/>
    <w:locked/>
    <w:uiPriority w:val="34"/>
  </w:style>
  <w:style w:type="paragraph" w:styleId="122">
    <w:name w:val="List Paragraph"/>
    <w:basedOn w:val="1"/>
    <w:link w:val="121"/>
    <w:qFormat/>
    <w:uiPriority w:val="34"/>
    <w:pPr>
      <w:ind w:firstLine="420" w:firstLineChars="200"/>
    </w:pPr>
  </w:style>
  <w:style w:type="character" w:customStyle="1" w:styleId="123">
    <w:name w:val="批注文字 Char4"/>
    <w:semiHidden/>
    <w:uiPriority w:val="99"/>
    <w:rPr>
      <w:rFonts w:ascii="Times New Roman" w:hAnsi="Times New Roman" w:eastAsia="宋体" w:cs="Times New Roman"/>
      <w:szCs w:val="20"/>
    </w:rPr>
  </w:style>
  <w:style w:type="character" w:customStyle="1" w:styleId="124">
    <w:name w:val="Char Char7"/>
    <w:uiPriority w:val="0"/>
    <w:rPr>
      <w:rFonts w:ascii="Cambria" w:hAnsi="Cambria" w:eastAsia="宋体"/>
      <w:b/>
      <w:bCs/>
      <w:sz w:val="32"/>
      <w:szCs w:val="32"/>
      <w:lang w:bidi="ar-SA"/>
    </w:rPr>
  </w:style>
  <w:style w:type="character" w:customStyle="1" w:styleId="125">
    <w:name w:val="普通文字 Char2"/>
    <w:aliases w:val="纯文本 Char Char3,纯文本 Char Char Char2,普通文字 Char Char Char Char Char2,普通文字 Char Char Char Char1,正 文 1 Char1,Plain Text Char1,Texte Char1,普通文字1 Char1,普通文字2 Char1,普通文字3 Char1,普通文字4 Char1,普通文字5 Char1,普通文字6 Char1,普通文字11 Char1,普通文字21 Char1,普通文字41 Char"/>
    <w:uiPriority w:val="0"/>
    <w:rPr>
      <w:rFonts w:ascii="宋体" w:hAnsi="Courier New" w:eastAsia="宋体"/>
      <w:kern w:val="2"/>
      <w:sz w:val="21"/>
      <w:lang w:val="en-US" w:eastAsia="zh-CN"/>
    </w:rPr>
  </w:style>
  <w:style w:type="character" w:customStyle="1" w:styleId="126">
    <w:name w:val="fred3"/>
    <w:uiPriority w:val="0"/>
    <w:rPr>
      <w:color w:val="CC0000"/>
    </w:rPr>
  </w:style>
  <w:style w:type="character" w:customStyle="1" w:styleId="127">
    <w:name w:val="style1"/>
    <w:uiPriority w:val="0"/>
  </w:style>
  <w:style w:type="character" w:customStyle="1" w:styleId="128">
    <w:name w:val="unnamed51"/>
    <w:uiPriority w:val="0"/>
    <w:rPr>
      <w:rFonts w:hint="default" w:ascii="Arial" w:hAnsi="Arial" w:cs="Arial"/>
      <w:color w:val="000000"/>
      <w:sz w:val="18"/>
      <w:szCs w:val="18"/>
      <w:u w:val="none"/>
    </w:rPr>
  </w:style>
  <w:style w:type="character" w:customStyle="1" w:styleId="129">
    <w:name w:val="标题 6 Char"/>
    <w:link w:val="7"/>
    <w:qFormat/>
    <w:uiPriority w:val="9"/>
    <w:rPr>
      <w:rFonts w:ascii="Arial" w:hAnsi="Arial" w:eastAsia="黑体"/>
      <w:b/>
      <w:bCs/>
      <w:kern w:val="2"/>
      <w:sz w:val="24"/>
      <w:szCs w:val="24"/>
    </w:rPr>
  </w:style>
  <w:style w:type="character" w:customStyle="1" w:styleId="130">
    <w:name w:val="正文首行缩进 2 字符"/>
    <w:uiPriority w:val="99"/>
    <w:rPr>
      <w:rFonts w:ascii="仿宋_GB2312" w:hAnsi="Arial" w:eastAsia="仿宋_GB2312"/>
      <w:spacing w:val="-5"/>
      <w:kern w:val="2"/>
      <w:sz w:val="21"/>
      <w:szCs w:val="24"/>
      <w:lang w:val="en-US" w:eastAsia="zh-CN" w:bidi="ar-SA"/>
    </w:rPr>
  </w:style>
  <w:style w:type="character" w:customStyle="1" w:styleId="131">
    <w:name w:val="页眉 Char1"/>
    <w:uiPriority w:val="99"/>
    <w:rPr>
      <w:kern w:val="2"/>
      <w:sz w:val="18"/>
    </w:rPr>
  </w:style>
  <w:style w:type="character" w:customStyle="1" w:styleId="132">
    <w:name w:val="正文首行缩进 Char"/>
    <w:link w:val="62"/>
    <w:qFormat/>
    <w:uiPriority w:val="0"/>
    <w:rPr>
      <w:rFonts w:eastAsia="宋体"/>
      <w:kern w:val="2"/>
      <w:sz w:val="24"/>
      <w:lang w:val="en-US" w:eastAsia="zh-CN" w:bidi="ar-SA"/>
    </w:rPr>
  </w:style>
  <w:style w:type="character" w:customStyle="1" w:styleId="133">
    <w:name w:val="批注框文本 Char4"/>
    <w:semiHidden/>
    <w:uiPriority w:val="99"/>
    <w:rPr>
      <w:rFonts w:ascii="Times New Roman" w:hAnsi="Times New Roman" w:eastAsia="宋体" w:cs="Times New Roman"/>
      <w:sz w:val="18"/>
      <w:szCs w:val="18"/>
    </w:rPr>
  </w:style>
  <w:style w:type="character" w:customStyle="1" w:styleId="134">
    <w:name w:val="model-capacity"/>
    <w:uiPriority w:val="0"/>
  </w:style>
  <w:style w:type="character" w:customStyle="1" w:styleId="135">
    <w:name w:val="页脚 Char2"/>
    <w:uiPriority w:val="0"/>
    <w:rPr>
      <w:kern w:val="2"/>
      <w:sz w:val="18"/>
      <w:szCs w:val="18"/>
    </w:rPr>
  </w:style>
  <w:style w:type="character" w:customStyle="1" w:styleId="136">
    <w:name w:val="正文文本 3 Char2"/>
    <w:uiPriority w:val="0"/>
    <w:rPr>
      <w:kern w:val="2"/>
      <w:sz w:val="16"/>
      <w:szCs w:val="16"/>
    </w:rPr>
  </w:style>
  <w:style w:type="character" w:customStyle="1" w:styleId="137">
    <w:name w:val="标书表格字体格式 Char"/>
    <w:uiPriority w:val="0"/>
    <w:rPr>
      <w:kern w:val="2"/>
      <w:sz w:val="21"/>
      <w:szCs w:val="24"/>
      <w:lang w:bidi="ar-SA"/>
    </w:rPr>
  </w:style>
  <w:style w:type="character" w:customStyle="1" w:styleId="138">
    <w:name w:val="style17"/>
    <w:uiPriority w:val="0"/>
  </w:style>
  <w:style w:type="character" w:customStyle="1" w:styleId="139">
    <w:name w:val="无间隔 Char"/>
    <w:link w:val="140"/>
    <w:qFormat/>
    <w:uiPriority w:val="1"/>
    <w:rPr>
      <w:kern w:val="2"/>
      <w:sz w:val="21"/>
      <w:lang w:bidi="ar-SA"/>
    </w:rPr>
  </w:style>
  <w:style w:type="paragraph" w:styleId="140">
    <w:name w:val="No Spacing"/>
    <w:link w:val="139"/>
    <w:qFormat/>
    <w:uiPriority w:val="1"/>
    <w:pPr>
      <w:widowControl w:val="0"/>
      <w:jc w:val="both"/>
    </w:pPr>
    <w:rPr>
      <w:kern w:val="2"/>
      <w:sz w:val="21"/>
      <w:lang w:val="en-US" w:eastAsia="zh-CN" w:bidi="ar-SA"/>
    </w:rPr>
  </w:style>
  <w:style w:type="character" w:customStyle="1" w:styleId="141">
    <w:name w:val="normalfont1"/>
    <w:uiPriority w:val="99"/>
    <w:rPr>
      <w:rFonts w:ascii="Tahoma" w:hAnsi="Tahoma" w:cs="Tahoma"/>
      <w:sz w:val="24"/>
      <w:szCs w:val="24"/>
    </w:rPr>
  </w:style>
  <w:style w:type="character" w:customStyle="1" w:styleId="142">
    <w:name w:val="z-窗体底端 字符"/>
    <w:uiPriority w:val="99"/>
    <w:rPr>
      <w:rFonts w:ascii="Arial" w:hAnsi="Arial" w:cs="Arial"/>
      <w:vanish/>
      <w:sz w:val="16"/>
      <w:szCs w:val="16"/>
    </w:rPr>
  </w:style>
  <w:style w:type="character" w:customStyle="1" w:styleId="143">
    <w:name w:val="Heading 1 Char"/>
    <w:uiPriority w:val="9"/>
    <w:rPr>
      <w:rFonts w:ascii="Times New Roman" w:hAnsi="Times New Roman"/>
      <w:b/>
      <w:bCs/>
      <w:kern w:val="44"/>
      <w:sz w:val="44"/>
      <w:szCs w:val="44"/>
      <w:lang w:val="zh-CN" w:eastAsia="en-US"/>
    </w:rPr>
  </w:style>
  <w:style w:type="character" w:styleId="144">
    <w:name w:val=""/>
    <w:qFormat/>
    <w:uiPriority w:val="32"/>
    <w:rPr>
      <w:b/>
      <w:bCs/>
      <w:smallCaps/>
      <w:color w:val="C0504D"/>
      <w:spacing w:val="5"/>
      <w:u w:val="single"/>
    </w:rPr>
  </w:style>
  <w:style w:type="character" w:customStyle="1" w:styleId="145">
    <w:name w:val="批注主题 Char4"/>
    <w:semiHidden/>
    <w:uiPriority w:val="99"/>
    <w:rPr>
      <w:rFonts w:ascii="Times New Roman" w:hAnsi="Times New Roman" w:eastAsia="宋体" w:cs="Times New Roman"/>
      <w:b/>
      <w:bCs/>
      <w:szCs w:val="20"/>
    </w:rPr>
  </w:style>
  <w:style w:type="character" w:customStyle="1" w:styleId="146">
    <w:name w:val="style31"/>
    <w:uiPriority w:val="99"/>
    <w:rPr>
      <w:rFonts w:cs="Times New Roman"/>
      <w:color w:val="666666"/>
    </w:rPr>
  </w:style>
  <w:style w:type="character" w:customStyle="1" w:styleId="147">
    <w:name w:val="正文文本缩进 3 Char4"/>
    <w:semiHidden/>
    <w:uiPriority w:val="99"/>
    <w:rPr>
      <w:rFonts w:ascii="Times New Roman" w:hAnsi="Times New Roman" w:eastAsia="宋体" w:cs="Times New Roman"/>
      <w:sz w:val="16"/>
      <w:szCs w:val="16"/>
    </w:rPr>
  </w:style>
  <w:style w:type="character" w:customStyle="1" w:styleId="148">
    <w:name w:val="text1"/>
    <w:uiPriority w:val="99"/>
    <w:rPr>
      <w:rFonts w:cs="Times New Roman"/>
    </w:rPr>
  </w:style>
  <w:style w:type="character" w:customStyle="1" w:styleId="149">
    <w:name w:val="日期 Char4"/>
    <w:semiHidden/>
    <w:uiPriority w:val="99"/>
    <w:rPr>
      <w:rFonts w:ascii="Times New Roman" w:hAnsi="Times New Roman" w:eastAsia="宋体" w:cs="Times New Roman"/>
      <w:szCs w:val="20"/>
    </w:rPr>
  </w:style>
  <w:style w:type="character" w:customStyle="1" w:styleId="150">
    <w:name w:val="style3"/>
    <w:uiPriority w:val="99"/>
    <w:rPr>
      <w:rFonts w:cs="Times New Roman"/>
    </w:rPr>
  </w:style>
  <w:style w:type="character" w:customStyle="1" w:styleId="151">
    <w:name w:val="标题 字符"/>
    <w:uiPriority w:val="10"/>
    <w:rPr>
      <w:rFonts w:eastAsia="黑体"/>
      <w:b/>
      <w:sz w:val="28"/>
      <w:lang w:val="en-GB" w:eastAsia="zh-CN" w:bidi="ar-SA"/>
    </w:rPr>
  </w:style>
  <w:style w:type="character" w:customStyle="1" w:styleId="152">
    <w:name w:val="表正文 Char"/>
    <w:aliases w:val="正文非缩进 Char,正文不缩进 Char,特点 Char,段1 Char,标题4 Char,特点标题 Char,ALT+Z Char,四号 Char,缩进 Char,正文（段落文字） Char,正文编号 Char,Justified Char,plain paragraph Char,pp Char,Block text Char,t Char,BODY TEXT Char,text Char,sp Char,sbs Char,block text Char,bt4 Char,正文（"/>
    <w:uiPriority w:val="99"/>
    <w:rPr>
      <w:rFonts w:eastAsia="宋体"/>
      <w:kern w:val="2"/>
      <w:sz w:val="21"/>
      <w:lang w:val="en-US" w:eastAsia="zh-CN" w:bidi="ar-SA"/>
    </w:rPr>
  </w:style>
  <w:style w:type="character" w:customStyle="1" w:styleId="153">
    <w:name w:val="15"/>
    <w:uiPriority w:val="0"/>
    <w:rPr>
      <w:rFonts w:hint="default" w:ascii="Times New Roman" w:hAnsi="Times New Roman" w:cs="Times New Roman"/>
      <w:sz w:val="21"/>
      <w:szCs w:val="21"/>
    </w:rPr>
  </w:style>
  <w:style w:type="character" w:customStyle="1" w:styleId="154">
    <w:name w:val="pt141"/>
    <w:uiPriority w:val="99"/>
    <w:rPr>
      <w:rFonts w:cs="Times New Roman"/>
      <w:color w:val="330066"/>
      <w:sz w:val="22"/>
      <w:szCs w:val="22"/>
    </w:rPr>
  </w:style>
  <w:style w:type="character" w:customStyle="1" w:styleId="155">
    <w:name w:val="章节样式 Char"/>
    <w:link w:val="156"/>
    <w:uiPriority w:val="0"/>
    <w:rPr>
      <w:rFonts w:ascii="Calibri" w:hAnsi="Calibri"/>
      <w:b/>
      <w:bCs/>
      <w:kern w:val="44"/>
      <w:sz w:val="44"/>
      <w:szCs w:val="44"/>
      <w:lang w:val="zh-CN"/>
    </w:rPr>
  </w:style>
  <w:style w:type="paragraph" w:customStyle="1" w:styleId="156">
    <w:name w:val="章节样式"/>
    <w:basedOn w:val="2"/>
    <w:link w:val="155"/>
    <w:qFormat/>
    <w:uiPriority w:val="0"/>
    <w:pPr>
      <w:keepLines/>
      <w:widowControl w:val="0"/>
      <w:spacing w:before="100" w:beforeAutospacing="1" w:after="100" w:afterAutospacing="1" w:line="578" w:lineRule="auto"/>
      <w:jc w:val="both"/>
    </w:pPr>
    <w:rPr>
      <w:rFonts w:ascii="Calibri" w:hAnsi="Calibri" w:eastAsia="宋体"/>
      <w:bCs/>
      <w:color w:val="auto"/>
      <w:kern w:val="44"/>
      <w:sz w:val="44"/>
      <w:szCs w:val="44"/>
      <w:lang w:val="zh-CN"/>
    </w:rPr>
  </w:style>
  <w:style w:type="character" w:customStyle="1" w:styleId="157">
    <w:name w:val="style61"/>
    <w:uiPriority w:val="0"/>
    <w:rPr>
      <w:rFonts w:hint="default" w:ascii="Times New Roman" w:hAnsi="Times New Roman" w:cs="Times New Roman"/>
      <w:color w:val="000000"/>
      <w:sz w:val="24"/>
      <w:szCs w:val="24"/>
    </w:rPr>
  </w:style>
  <w:style w:type="character" w:customStyle="1" w:styleId="158">
    <w:name w:val="Char Char"/>
    <w:uiPriority w:val="99"/>
    <w:rPr>
      <w:rFonts w:ascii="Times New Roman" w:hAnsi="Times New Roman" w:eastAsia="仿宋_GB2312" w:cs="Times New Roman"/>
      <w:sz w:val="28"/>
      <w:szCs w:val="20"/>
    </w:rPr>
  </w:style>
  <w:style w:type="character" w:customStyle="1" w:styleId="159">
    <w:name w:val="称呼 Char"/>
    <w:link w:val="23"/>
    <w:uiPriority w:val="99"/>
    <w:rPr>
      <w:kern w:val="2"/>
      <w:sz w:val="21"/>
      <w:szCs w:val="24"/>
    </w:rPr>
  </w:style>
  <w:style w:type="character" w:styleId="160">
    <w:name w:val=""/>
    <w:qFormat/>
    <w:uiPriority w:val="19"/>
    <w:rPr>
      <w:i/>
      <w:iCs/>
      <w:color w:val="808080"/>
    </w:rPr>
  </w:style>
  <w:style w:type="character" w:customStyle="1" w:styleId="161">
    <w:name w:val="font"/>
    <w:uiPriority w:val="0"/>
  </w:style>
  <w:style w:type="character" w:customStyle="1" w:styleId="162">
    <w:name w:val="xh2"/>
    <w:uiPriority w:val="99"/>
    <w:rPr>
      <w:rFonts w:cs="Times New Roman"/>
    </w:rPr>
  </w:style>
  <w:style w:type="character" w:customStyle="1" w:styleId="163">
    <w:name w:val="HTML 预设格式 Char3"/>
    <w:semiHidden/>
    <w:uiPriority w:val="99"/>
    <w:rPr>
      <w:rFonts w:ascii="Courier New" w:hAnsi="Courier New" w:eastAsia="宋体" w:cs="Courier New"/>
      <w:sz w:val="20"/>
      <w:szCs w:val="20"/>
    </w:rPr>
  </w:style>
  <w:style w:type="character" w:customStyle="1" w:styleId="164">
    <w:name w:val="m1"/>
    <w:uiPriority w:val="99"/>
    <w:rPr>
      <w:rFonts w:cs="Times New Roman"/>
      <w:b/>
      <w:bCs/>
      <w:sz w:val="22"/>
      <w:szCs w:val="22"/>
    </w:rPr>
  </w:style>
  <w:style w:type="character" w:customStyle="1" w:styleId="165">
    <w:name w:val="无格式表格 51"/>
    <w:qFormat/>
    <w:uiPriority w:val="0"/>
    <w:rPr>
      <w:smallCaps/>
      <w:color w:val="C0504D"/>
      <w:u w:val="single"/>
    </w:rPr>
  </w:style>
  <w:style w:type="character" w:customStyle="1" w:styleId="166">
    <w:name w:val="r13"/>
    <w:uiPriority w:val="0"/>
  </w:style>
  <w:style w:type="character" w:customStyle="1" w:styleId="167">
    <w:name w:val="正文段 Char"/>
    <w:link w:val="168"/>
    <w:qFormat/>
    <w:uiPriority w:val="0"/>
    <w:rPr>
      <w:sz w:val="24"/>
    </w:rPr>
  </w:style>
  <w:style w:type="paragraph" w:customStyle="1" w:styleId="168">
    <w:name w:val="正文段"/>
    <w:basedOn w:val="1"/>
    <w:link w:val="167"/>
    <w:qFormat/>
    <w:uiPriority w:val="0"/>
    <w:pPr>
      <w:widowControl/>
      <w:adjustRightInd w:val="0"/>
      <w:snapToGrid w:val="0"/>
      <w:spacing w:after="156" w:afterLines="50"/>
      <w:ind w:firstLine="200" w:firstLineChars="200"/>
    </w:pPr>
    <w:rPr>
      <w:kern w:val="0"/>
      <w:sz w:val="24"/>
    </w:rPr>
  </w:style>
  <w:style w:type="character" w:customStyle="1" w:styleId="169">
    <w:name w:val="批注主题 Char3"/>
    <w:semiHidden/>
    <w:uiPriority w:val="99"/>
    <w:rPr>
      <w:rFonts w:ascii="Times New Roman" w:hAnsi="Times New Roman" w:eastAsia="宋体" w:cs="Times New Roman"/>
      <w:b/>
      <w:bCs/>
      <w:szCs w:val="20"/>
    </w:rPr>
  </w:style>
  <w:style w:type="character" w:customStyle="1" w:styleId="170">
    <w:name w:val="称呼 Char2"/>
    <w:semiHidden/>
    <w:uiPriority w:val="99"/>
    <w:rPr>
      <w:rFonts w:ascii="Times New Roman" w:hAnsi="Times New Roman" w:eastAsia="宋体" w:cs="Times New Roman"/>
      <w:szCs w:val="20"/>
    </w:rPr>
  </w:style>
  <w:style w:type="character" w:customStyle="1" w:styleId="171">
    <w:name w:val="para1"/>
    <w:uiPriority w:val="99"/>
    <w:rPr>
      <w:rFonts w:ascii="Arial" w:hAnsi="Arial" w:cs="Arial"/>
      <w:sz w:val="18"/>
      <w:szCs w:val="18"/>
    </w:rPr>
  </w:style>
  <w:style w:type="character" w:customStyle="1" w:styleId="172">
    <w:name w:val="标题 8 字符"/>
    <w:qFormat/>
    <w:uiPriority w:val="0"/>
    <w:rPr>
      <w:rFonts w:ascii="Arial" w:hAnsi="Arial" w:eastAsia="黑体"/>
      <w:kern w:val="2"/>
      <w:sz w:val="24"/>
      <w:szCs w:val="24"/>
      <w:lang w:val="en-US" w:eastAsia="zh-CN" w:bidi="ar-SA"/>
    </w:rPr>
  </w:style>
  <w:style w:type="character" w:customStyle="1" w:styleId="173">
    <w:name w:val="ca-5"/>
    <w:uiPriority w:val="0"/>
  </w:style>
  <w:style w:type="character" w:customStyle="1" w:styleId="174">
    <w:name w:val="style14"/>
    <w:uiPriority w:val="0"/>
  </w:style>
  <w:style w:type="character" w:customStyle="1" w:styleId="175">
    <w:name w:val="hg"/>
    <w:uiPriority w:val="0"/>
  </w:style>
  <w:style w:type="character" w:customStyle="1" w:styleId="176">
    <w:name w:val="访问过的超链接1"/>
    <w:uiPriority w:val="99"/>
    <w:rPr>
      <w:color w:val="800080"/>
      <w:u w:val="single"/>
    </w:rPr>
  </w:style>
  <w:style w:type="character" w:customStyle="1" w:styleId="177">
    <w:name w:val="Document Map Char"/>
    <w:semiHidden/>
    <w:uiPriority w:val="99"/>
    <w:rPr>
      <w:rFonts w:ascii="Times New Roman" w:hAnsi="Times New Roman"/>
      <w:kern w:val="0"/>
      <w:sz w:val="16"/>
      <w:szCs w:val="0"/>
      <w:lang w:val="zh-CN" w:eastAsia="en-US"/>
    </w:rPr>
  </w:style>
  <w:style w:type="character" w:customStyle="1" w:styleId="178">
    <w:name w:val="font41"/>
    <w:qFormat/>
    <w:uiPriority w:val="0"/>
    <w:rPr>
      <w:rFonts w:hint="eastAsia" w:ascii="宋体" w:hAnsi="宋体" w:eastAsia="宋体" w:cs="宋体"/>
      <w:color w:val="000000"/>
      <w:sz w:val="20"/>
      <w:szCs w:val="20"/>
      <w:u w:val="none"/>
    </w:rPr>
  </w:style>
  <w:style w:type="character" w:customStyle="1" w:styleId="179">
    <w:name w:val="标题 9 Char"/>
    <w:link w:val="10"/>
    <w:qFormat/>
    <w:uiPriority w:val="9"/>
    <w:rPr>
      <w:rFonts w:ascii="Arial" w:hAnsi="Arial" w:eastAsia="黑体"/>
      <w:kern w:val="2"/>
      <w:sz w:val="21"/>
      <w:szCs w:val="21"/>
    </w:rPr>
  </w:style>
  <w:style w:type="character" w:customStyle="1" w:styleId="180">
    <w:name w:val="彩色列表 - 着色 1 Char"/>
    <w:uiPriority w:val="34"/>
    <w:rPr>
      <w:rFonts w:ascii="Times New Roman" w:hAnsi="Times New Roman" w:eastAsia="宋体" w:cs="Times New Roman"/>
      <w:szCs w:val="20"/>
    </w:rPr>
  </w:style>
  <w:style w:type="character" w:customStyle="1" w:styleId="181">
    <w:name w:val="列出段落 Char"/>
    <w:aliases w:val="编号 Char,表格段落 Char,标题 2 + 楷体_GB2312 Char,左侧:  0 厘米 Char,行距: 1.5 倍行距 Char,首行缩进:  1 字符 + Bold Char,悬挂缩进: 0.63 厘米 Char,1.2.3标题 Char,表格说明样式 Char,段落样式 Char,List1 Char,List11 Char,List Char"/>
    <w:qFormat/>
    <w:uiPriority w:val="34"/>
    <w:rPr>
      <w:rFonts w:ascii="Calibri" w:hAnsi="Calibri"/>
      <w:kern w:val="2"/>
      <w:sz w:val="21"/>
    </w:rPr>
  </w:style>
  <w:style w:type="character" w:customStyle="1" w:styleId="182">
    <w:name w:val="apple-style-span"/>
    <w:basedOn w:val="72"/>
    <w:uiPriority w:val="99"/>
  </w:style>
  <w:style w:type="character" w:customStyle="1" w:styleId="183">
    <w:name w:val="Comment Subject Char"/>
    <w:semiHidden/>
    <w:uiPriority w:val="99"/>
    <w:rPr>
      <w:rFonts w:ascii="Times New Roman" w:hAnsi="Times New Roman" w:eastAsia="宋体" w:cs="Times New Roman"/>
      <w:b/>
      <w:bCs/>
      <w:kern w:val="0"/>
      <w:sz w:val="20"/>
      <w:szCs w:val="20"/>
      <w:lang w:val="zh-CN" w:eastAsia="en-US" w:bidi="ar-SA"/>
    </w:rPr>
  </w:style>
  <w:style w:type="character" w:customStyle="1" w:styleId="184">
    <w:name w:val="正文首行缩进2字 Char"/>
    <w:link w:val="185"/>
    <w:uiPriority w:val="0"/>
    <w:rPr>
      <w:rFonts w:eastAsia="楷体_GB2312"/>
      <w:sz w:val="28"/>
      <w:szCs w:val="24"/>
    </w:rPr>
  </w:style>
  <w:style w:type="paragraph" w:customStyle="1" w:styleId="185">
    <w:name w:val="正文首行缩进2字"/>
    <w:basedOn w:val="1"/>
    <w:link w:val="184"/>
    <w:uiPriority w:val="0"/>
    <w:pPr>
      <w:widowControl w:val="0"/>
      <w:ind w:firstLine="560" w:firstLineChars="200"/>
      <w:jc w:val="both"/>
    </w:pPr>
    <w:rPr>
      <w:rFonts w:eastAsia="楷体_GB2312"/>
      <w:kern w:val="0"/>
      <w:sz w:val="28"/>
      <w:szCs w:val="24"/>
    </w:rPr>
  </w:style>
  <w:style w:type="character" w:customStyle="1" w:styleId="186">
    <w:name w:val="v0066991"/>
    <w:uiPriority w:val="0"/>
    <w:rPr>
      <w:rFonts w:hint="default" w:ascii="Arial" w:hAnsi="Arial" w:cs="Arial"/>
      <w:color w:val="000000"/>
      <w:sz w:val="26"/>
      <w:szCs w:val="26"/>
      <w:u w:val="none"/>
    </w:rPr>
  </w:style>
  <w:style w:type="character" w:customStyle="1" w:styleId="187">
    <w:name w:val="标题 9 字符"/>
    <w:qFormat/>
    <w:uiPriority w:val="99"/>
    <w:rPr>
      <w:rFonts w:ascii="Arial" w:hAnsi="Arial" w:eastAsia="黑体"/>
      <w:kern w:val="2"/>
      <w:sz w:val="21"/>
      <w:szCs w:val="21"/>
      <w:lang w:val="en-US" w:eastAsia="zh-CN" w:bidi="ar-SA"/>
    </w:rPr>
  </w:style>
  <w:style w:type="character" w:styleId="188">
    <w:name w:val=""/>
    <w:qFormat/>
    <w:uiPriority w:val="21"/>
    <w:rPr>
      <w:b/>
      <w:bCs/>
      <w:i/>
      <w:iCs/>
      <w:color w:val="4F81BD"/>
    </w:rPr>
  </w:style>
  <w:style w:type="character" w:customStyle="1" w:styleId="189">
    <w:name w:val="标题 3 Char"/>
    <w:link w:val="4"/>
    <w:qFormat/>
    <w:uiPriority w:val="9"/>
    <w:rPr>
      <w:b/>
      <w:kern w:val="2"/>
      <w:sz w:val="32"/>
    </w:rPr>
  </w:style>
  <w:style w:type="character" w:customStyle="1" w:styleId="190">
    <w:name w:val="font81"/>
    <w:qFormat/>
    <w:uiPriority w:val="0"/>
    <w:rPr>
      <w:rFonts w:hint="default" w:ascii="Arial" w:hAnsi="Arial" w:cs="Arial"/>
      <w:color w:val="000000"/>
      <w:sz w:val="22"/>
      <w:szCs w:val="22"/>
      <w:u w:val="none"/>
    </w:rPr>
  </w:style>
  <w:style w:type="character" w:customStyle="1" w:styleId="191">
    <w:name w:val="纯文本 Char2"/>
    <w:aliases w:val="普通文字 Char Char Char1,普通文字 Char Char2,普通文字 Char3,纯文本 Char Char2,普通文字 Char Char Char Char Char1,Texte Char,小 Char1,正 文 1 Char2,普通文字1 Char2,普通文字2 Char2,普通文字3 Char,普通文字4 Char,普通文字5 Char,普通文字6 Char,普通文字11 Char,普通文字21 Char,普通文字31 Char,普通文字41 Char1"/>
    <w:uiPriority w:val="0"/>
    <w:rPr>
      <w:rFonts w:ascii="宋体" w:hAnsi="Courier New"/>
      <w:kern w:val="2"/>
      <w:sz w:val="21"/>
    </w:rPr>
  </w:style>
  <w:style w:type="character" w:customStyle="1" w:styleId="192">
    <w:name w:val="正文首行缩进 Char1"/>
    <w:uiPriority w:val="0"/>
    <w:rPr>
      <w:rFonts w:eastAsia="宋体"/>
      <w:kern w:val="2"/>
      <w:sz w:val="21"/>
      <w:szCs w:val="22"/>
      <w:lang w:val="en-US" w:eastAsia="zh-CN" w:bidi="ar-SA"/>
    </w:rPr>
  </w:style>
  <w:style w:type="character" w:customStyle="1" w:styleId="193">
    <w:name w:val="标题字符1"/>
    <w:uiPriority w:val="0"/>
    <w:rPr>
      <w:rFonts w:ascii="等线 Light" w:hAnsi="等线 Light" w:cs="Times New Roman"/>
      <w:b/>
      <w:bCs/>
      <w:kern w:val="2"/>
      <w:sz w:val="32"/>
      <w:szCs w:val="32"/>
    </w:rPr>
  </w:style>
  <w:style w:type="character" w:customStyle="1" w:styleId="194">
    <w:name w:val="标书正文格式 Char Char Char Char"/>
    <w:uiPriority w:val="99"/>
    <w:rPr>
      <w:rFonts w:eastAsia="楷体_GB2312" w:cs="Times New Roman"/>
      <w:kern w:val="2"/>
      <w:sz w:val="24"/>
      <w:szCs w:val="24"/>
      <w:lang w:val="en-US" w:eastAsia="zh-CN" w:bidi="ar-SA"/>
    </w:rPr>
  </w:style>
  <w:style w:type="character" w:customStyle="1" w:styleId="195">
    <w:name w:val="style31style4"/>
    <w:uiPriority w:val="0"/>
  </w:style>
  <w:style w:type="character" w:customStyle="1" w:styleId="196">
    <w:name w:val="EmailStyle30"/>
    <w:uiPriority w:val="0"/>
    <w:rPr>
      <w:color w:val="000000"/>
    </w:rPr>
  </w:style>
  <w:style w:type="character" w:customStyle="1" w:styleId="197">
    <w:name w:val="纯文本 字符"/>
    <w:uiPriority w:val="0"/>
    <w:rPr>
      <w:rFonts w:ascii="宋体" w:hAnsi="Courier New" w:cs="Courier New"/>
      <w:szCs w:val="21"/>
    </w:rPr>
  </w:style>
  <w:style w:type="character" w:customStyle="1" w:styleId="198">
    <w:name w:val="正文文本 Char Char"/>
    <w:uiPriority w:val="0"/>
    <w:rPr>
      <w:rFonts w:eastAsia="仿宋_GB2312"/>
      <w:kern w:val="2"/>
      <w:sz w:val="28"/>
      <w:szCs w:val="24"/>
      <w:lang w:val="en-US" w:eastAsia="zh-CN" w:bidi="ar-SA"/>
    </w:rPr>
  </w:style>
  <w:style w:type="character" w:customStyle="1" w:styleId="199">
    <w:name w:val="con"/>
    <w:uiPriority w:val="0"/>
  </w:style>
  <w:style w:type="character" w:customStyle="1" w:styleId="200">
    <w:name w:val="正文缩进 Char1"/>
    <w:aliases w:val="正文对齐 Char,样式3 Char,特点 Char1,。 Char,上海中望标准正文（首行缩进两字） Char,上海中望标准超级链接 Char,正文缩进（首行缩进两字） Char,上海中望标准超级链接 Char Char Char Char,特点 Char Char,水上软件 Char,标题四 Char"/>
    <w:uiPriority w:val="0"/>
    <w:rPr>
      <w:kern w:val="2"/>
      <w:sz w:val="21"/>
    </w:rPr>
  </w:style>
  <w:style w:type="character" w:customStyle="1" w:styleId="201">
    <w:name w:val="zi_01a1"/>
    <w:qFormat/>
    <w:uiPriority w:val="0"/>
    <w:rPr>
      <w:rFonts w:hint="eastAsia" w:ascii="宋体" w:hAnsi="宋体" w:eastAsia="宋体"/>
      <w:color w:val="4D5865"/>
      <w:sz w:val="18"/>
      <w:szCs w:val="18"/>
      <w:u w:val="none"/>
    </w:rPr>
  </w:style>
  <w:style w:type="character" w:customStyle="1" w:styleId="202">
    <w:name w:val="textfont"/>
    <w:uiPriority w:val="0"/>
  </w:style>
  <w:style w:type="character" w:customStyle="1" w:styleId="203">
    <w:name w:val="称呼 字符"/>
    <w:uiPriority w:val="99"/>
    <w:rPr>
      <w:kern w:val="2"/>
      <w:sz w:val="21"/>
      <w:szCs w:val="24"/>
    </w:rPr>
  </w:style>
  <w:style w:type="character" w:customStyle="1" w:styleId="204">
    <w:name w:val="标题 2 Char"/>
    <w:link w:val="3"/>
    <w:qFormat/>
    <w:uiPriority w:val="9"/>
    <w:rPr>
      <w:rFonts w:ascii="仿宋_GB2312" w:eastAsia="仿宋_GB2312"/>
      <w:sz w:val="28"/>
    </w:rPr>
  </w:style>
  <w:style w:type="character" w:customStyle="1" w:styleId="205">
    <w:name w:val="页眉 字符"/>
    <w:uiPriority w:val="99"/>
    <w:rPr>
      <w:sz w:val="18"/>
      <w:szCs w:val="18"/>
    </w:rPr>
  </w:style>
  <w:style w:type="character" w:customStyle="1" w:styleId="206">
    <w:name w:val="标题 9 Char1"/>
    <w:uiPriority w:val="0"/>
    <w:rPr>
      <w:rFonts w:ascii="Arial" w:hAnsi="Arial" w:eastAsia="黑体"/>
      <w:kern w:val="2"/>
      <w:sz w:val="21"/>
      <w:szCs w:val="21"/>
    </w:rPr>
  </w:style>
  <w:style w:type="character" w:customStyle="1" w:styleId="207">
    <w:name w:val="HTML 预设格式 Char"/>
    <w:link w:val="57"/>
    <w:uiPriority w:val="99"/>
    <w:rPr>
      <w:rFonts w:ascii="宋体" w:hAnsi="宋体"/>
      <w:sz w:val="24"/>
      <w:szCs w:val="24"/>
    </w:rPr>
  </w:style>
  <w:style w:type="character" w:customStyle="1" w:styleId="208">
    <w:name w:val="批注主题 Char2"/>
    <w:uiPriority w:val="0"/>
    <w:rPr>
      <w:b/>
      <w:bCs/>
      <w:kern w:val="2"/>
      <w:sz w:val="21"/>
    </w:rPr>
  </w:style>
  <w:style w:type="character" w:customStyle="1" w:styleId="209">
    <w:name w:val="样式 小四 行距: 固定值 23 磅1 Char"/>
    <w:link w:val="210"/>
    <w:uiPriority w:val="0"/>
    <w:rPr>
      <w:kern w:val="2"/>
      <w:sz w:val="24"/>
    </w:rPr>
  </w:style>
  <w:style w:type="paragraph" w:customStyle="1" w:styleId="210">
    <w:name w:val="样式 小四 行距: 固定值 23 磅1"/>
    <w:basedOn w:val="1"/>
    <w:link w:val="209"/>
    <w:uiPriority w:val="0"/>
    <w:pPr>
      <w:widowControl w:val="0"/>
      <w:spacing w:line="460" w:lineRule="exact"/>
      <w:ind w:firstLine="480" w:firstLineChars="200"/>
      <w:jc w:val="both"/>
    </w:pPr>
    <w:rPr>
      <w:sz w:val="24"/>
    </w:rPr>
  </w:style>
  <w:style w:type="character" w:customStyle="1" w:styleId="211">
    <w:name w:val="正文文本缩进 Char1"/>
    <w:uiPriority w:val="99"/>
    <w:rPr>
      <w:kern w:val="2"/>
      <w:sz w:val="24"/>
    </w:rPr>
  </w:style>
  <w:style w:type="character" w:customStyle="1" w:styleId="212">
    <w:name w:val="标题 Char1"/>
    <w:uiPriority w:val="0"/>
    <w:rPr>
      <w:rFonts w:eastAsia="黑体"/>
      <w:b/>
      <w:sz w:val="28"/>
      <w:lang w:val="en-GB"/>
    </w:rPr>
  </w:style>
  <w:style w:type="character" w:customStyle="1" w:styleId="213">
    <w:name w:val="标题 2 Char1"/>
    <w:aliases w:val="标题 2 Char Char,H2 Char Char,Heading 2 Hidden Char Char,Heading 2 CCBS Char Char,heading 2 Char Char,2nd level Char Char,h2 Char Char,2 Char Char,Header 2 Char Char,l2 Char Char,Titre2 Char Char,Head 2 Char Char,Underrubrik1 Char Char,H2 Cha"/>
    <w:uiPriority w:val="99"/>
    <w:rPr>
      <w:rFonts w:ascii="仿宋_GB2312" w:eastAsia="仿宋_GB2312"/>
      <w:sz w:val="28"/>
    </w:rPr>
  </w:style>
  <w:style w:type="character" w:customStyle="1" w:styleId="214">
    <w:name w:val="font111"/>
    <w:qFormat/>
    <w:uiPriority w:val="0"/>
    <w:rPr>
      <w:rFonts w:ascii="Symbol" w:hAnsi="Symbol" w:cs="Symbol"/>
      <w:color w:val="000000"/>
      <w:sz w:val="20"/>
      <w:szCs w:val="20"/>
      <w:u w:val="none"/>
    </w:rPr>
  </w:style>
  <w:style w:type="character" w:customStyle="1" w:styleId="215">
    <w:name w:val="页眉 Char Char"/>
    <w:uiPriority w:val="0"/>
    <w:rPr>
      <w:rFonts w:eastAsia="宋体"/>
      <w:kern w:val="2"/>
      <w:sz w:val="18"/>
      <w:lang w:val="en-US" w:eastAsia="zh-CN" w:bidi="ar-SA"/>
    </w:rPr>
  </w:style>
  <w:style w:type="character" w:customStyle="1" w:styleId="216">
    <w:name w:val="font161"/>
    <w:uiPriority w:val="0"/>
    <w:rPr>
      <w:rFonts w:hint="eastAsia" w:ascii="宋体" w:hAnsi="宋体" w:eastAsia="宋体" w:cs="宋体"/>
      <w:color w:val="000000"/>
      <w:sz w:val="18"/>
      <w:szCs w:val="18"/>
      <w:u w:val="none"/>
    </w:rPr>
  </w:style>
  <w:style w:type="character" w:customStyle="1" w:styleId="217">
    <w:name w:val="正文文本缩进 3 Char1"/>
    <w:uiPriority w:val="0"/>
    <w:rPr>
      <w:sz w:val="24"/>
    </w:rPr>
  </w:style>
  <w:style w:type="character" w:customStyle="1" w:styleId="218">
    <w:name w:val="huan161"/>
    <w:uiPriority w:val="0"/>
    <w:rPr>
      <w:b/>
      <w:bCs/>
      <w:color w:val="FF7200"/>
      <w:sz w:val="24"/>
      <w:szCs w:val="24"/>
    </w:rPr>
  </w:style>
  <w:style w:type="character" w:customStyle="1" w:styleId="219">
    <w:name w:val="标题 5 Char1"/>
    <w:uiPriority w:val="0"/>
    <w:rPr>
      <w:b/>
      <w:bCs/>
      <w:kern w:val="2"/>
      <w:sz w:val="28"/>
      <w:szCs w:val="28"/>
    </w:rPr>
  </w:style>
  <w:style w:type="character" w:customStyle="1" w:styleId="220">
    <w:name w:val="副标题 字符"/>
    <w:uiPriority w:val="11"/>
    <w:rPr>
      <w:rFonts w:ascii="Cambria" w:hAnsi="Cambria"/>
      <w:b/>
      <w:bCs/>
      <w:kern w:val="28"/>
      <w:sz w:val="32"/>
      <w:szCs w:val="32"/>
    </w:rPr>
  </w:style>
  <w:style w:type="character" w:customStyle="1" w:styleId="221">
    <w:name w:val="正文文本 3 Char1"/>
    <w:uiPriority w:val="0"/>
  </w:style>
  <w:style w:type="character" w:customStyle="1" w:styleId="222">
    <w:name w:val="正文缩进 字符"/>
    <w:qFormat/>
    <w:uiPriority w:val="0"/>
    <w:rPr>
      <w:kern w:val="2"/>
      <w:sz w:val="21"/>
    </w:rPr>
  </w:style>
  <w:style w:type="character" w:customStyle="1" w:styleId="223">
    <w:name w:val="wz1"/>
    <w:uiPriority w:val="0"/>
    <w:rPr>
      <w:color w:val="5A5A5A"/>
      <w:sz w:val="18"/>
      <w:szCs w:val="18"/>
      <w:u w:val="none"/>
    </w:rPr>
  </w:style>
  <w:style w:type="character" w:customStyle="1" w:styleId="224">
    <w:name w:val="正文文本缩进 2 字符"/>
    <w:uiPriority w:val="99"/>
    <w:rPr>
      <w:kern w:val="2"/>
      <w:sz w:val="21"/>
    </w:rPr>
  </w:style>
  <w:style w:type="character" w:customStyle="1" w:styleId="225">
    <w:name w:val="标题 7 Char1"/>
    <w:uiPriority w:val="0"/>
    <w:rPr>
      <w:b/>
      <w:bCs/>
      <w:kern w:val="2"/>
      <w:sz w:val="24"/>
      <w:szCs w:val="24"/>
    </w:rPr>
  </w:style>
  <w:style w:type="character" w:customStyle="1" w:styleId="226">
    <w:name w:val="z-窗体底端 Char2"/>
    <w:semiHidden/>
    <w:uiPriority w:val="99"/>
    <w:rPr>
      <w:rFonts w:ascii="Arial" w:hAnsi="Arial" w:eastAsia="宋体" w:cs="Arial"/>
      <w:vanish/>
      <w:sz w:val="16"/>
      <w:szCs w:val="16"/>
    </w:rPr>
  </w:style>
  <w:style w:type="character" w:customStyle="1" w:styleId="227">
    <w:name w:val="批注框文本 Char2"/>
    <w:uiPriority w:val="0"/>
    <w:rPr>
      <w:kern w:val="2"/>
      <w:sz w:val="18"/>
      <w:szCs w:val="18"/>
    </w:rPr>
  </w:style>
  <w:style w:type="character" w:customStyle="1" w:styleId="228">
    <w:name w:val="文档结构图 字符"/>
    <w:qFormat/>
    <w:uiPriority w:val="99"/>
    <w:rPr>
      <w:rFonts w:eastAsia="宋体"/>
      <w:kern w:val="2"/>
      <w:sz w:val="21"/>
      <w:lang w:val="en-US" w:eastAsia="zh-CN" w:bidi="ar-SA"/>
    </w:rPr>
  </w:style>
  <w:style w:type="character" w:customStyle="1" w:styleId="229">
    <w:name w:val="页眉 Char2"/>
    <w:uiPriority w:val="0"/>
    <w:rPr>
      <w:kern w:val="2"/>
      <w:sz w:val="18"/>
      <w:szCs w:val="18"/>
    </w:rPr>
  </w:style>
  <w:style w:type="character" w:customStyle="1" w:styleId="230">
    <w:name w:val="文档结构图 Char"/>
    <w:link w:val="20"/>
    <w:qFormat/>
    <w:uiPriority w:val="99"/>
    <w:rPr>
      <w:rFonts w:eastAsia="宋体"/>
      <w:kern w:val="2"/>
      <w:sz w:val="21"/>
      <w:lang w:val="en-US" w:eastAsia="zh-CN" w:bidi="ar-SA"/>
    </w:rPr>
  </w:style>
  <w:style w:type="character" w:customStyle="1" w:styleId="231">
    <w:name w:val="正文文本 2 Char2"/>
    <w:uiPriority w:val="0"/>
    <w:rPr>
      <w:kern w:val="2"/>
      <w:sz w:val="21"/>
    </w:rPr>
  </w:style>
  <w:style w:type="character" w:customStyle="1" w:styleId="232">
    <w:name w:val="脚注文本 Char"/>
    <w:link w:val="49"/>
    <w:uiPriority w:val="99"/>
    <w:rPr>
      <w:kern w:val="2"/>
      <w:sz w:val="18"/>
      <w:szCs w:val="18"/>
    </w:rPr>
  </w:style>
  <w:style w:type="character" w:customStyle="1" w:styleId="233">
    <w:name w:val="普通文字 Char Char1"/>
    <w:aliases w:val="普通文字 Char1,纯文本 Char Char Char,纯文本 Char Char Char1,纯文本 Char1,普通文字1 Char,纯文本 Char Char1,普通文字 Char Char Char,普通文字 Char Char Char Char Char,纯文本 Char Char Char Char Char Char Char Char Char Char Char Char Char Char,小 Char,正 文 1 Char,普通文字2 Char"/>
    <w:qFormat/>
    <w:uiPriority w:val="99"/>
    <w:rPr>
      <w:rFonts w:ascii="宋体" w:hAnsi="Courier New" w:eastAsia="宋体"/>
      <w:kern w:val="2"/>
      <w:sz w:val="21"/>
      <w:lang w:val="en-US" w:eastAsia="zh-CN" w:bidi="ar-SA"/>
    </w:rPr>
  </w:style>
  <w:style w:type="character" w:customStyle="1" w:styleId="234">
    <w:name w:val="标题 5 字符"/>
    <w:uiPriority w:val="0"/>
    <w:rPr>
      <w:b/>
      <w:bCs/>
      <w:sz w:val="28"/>
      <w:szCs w:val="28"/>
    </w:rPr>
  </w:style>
  <w:style w:type="character" w:customStyle="1" w:styleId="235">
    <w:name w:val=" Char Char Char Char Char"/>
    <w:link w:val="236"/>
    <w:uiPriority w:val="0"/>
    <w:rPr>
      <w:rFonts w:ascii="宋体" w:hAnsi="Courier New" w:eastAsia="宋体"/>
      <w:kern w:val="2"/>
      <w:sz w:val="21"/>
      <w:lang w:val="en-US" w:eastAsia="zh-CN"/>
    </w:rPr>
  </w:style>
  <w:style w:type="paragraph" w:customStyle="1" w:styleId="236">
    <w:name w:val=" Char"/>
    <w:basedOn w:val="1"/>
    <w:link w:val="235"/>
    <w:uiPriority w:val="0"/>
    <w:rPr>
      <w:rFonts w:ascii="宋体" w:hAnsi="Courier New"/>
    </w:rPr>
  </w:style>
  <w:style w:type="character" w:customStyle="1" w:styleId="237">
    <w:name w:val="标题 5 字符1"/>
    <w:qFormat/>
    <w:uiPriority w:val="0"/>
    <w:rPr>
      <w:rFonts w:eastAsia="宋体"/>
      <w:b/>
      <w:bCs/>
      <w:kern w:val="2"/>
      <w:sz w:val="28"/>
      <w:szCs w:val="28"/>
      <w:lang w:val="en-US" w:eastAsia="zh-CN" w:bidi="ar-SA"/>
    </w:rPr>
  </w:style>
  <w:style w:type="character" w:customStyle="1" w:styleId="238">
    <w:name w:val="页眉 Char"/>
    <w:link w:val="43"/>
    <w:qFormat/>
    <w:uiPriority w:val="99"/>
    <w:rPr>
      <w:kern w:val="2"/>
      <w:sz w:val="18"/>
    </w:rPr>
  </w:style>
  <w:style w:type="character" w:customStyle="1" w:styleId="239">
    <w:name w:val="标题 1 Char Char"/>
    <w:uiPriority w:val="0"/>
    <w:rPr>
      <w:rFonts w:eastAsia="宋体"/>
      <w:b/>
      <w:spacing w:val="-2"/>
      <w:sz w:val="24"/>
      <w:lang w:val="en-US" w:eastAsia="zh-CN" w:bidi="ar-SA"/>
    </w:rPr>
  </w:style>
  <w:style w:type="character" w:customStyle="1" w:styleId="240">
    <w:name w:val="ss"/>
    <w:uiPriority w:val="0"/>
  </w:style>
  <w:style w:type="character" w:customStyle="1" w:styleId="241">
    <w:name w:val="news1"/>
    <w:uiPriority w:val="0"/>
    <w:rPr>
      <w:rFonts w:hint="default"/>
      <w:color w:val="4D4D4D"/>
      <w:sz w:val="18"/>
      <w:szCs w:val="18"/>
    </w:rPr>
  </w:style>
  <w:style w:type="character" w:customStyle="1" w:styleId="242">
    <w:name w:val="自定义正文 Char Char"/>
    <w:link w:val="243"/>
    <w:qFormat/>
    <w:uiPriority w:val="99"/>
    <w:rPr>
      <w:sz w:val="24"/>
    </w:rPr>
  </w:style>
  <w:style w:type="paragraph" w:customStyle="1" w:styleId="243">
    <w:name w:val="自定义正文"/>
    <w:basedOn w:val="1"/>
    <w:link w:val="242"/>
    <w:qFormat/>
    <w:uiPriority w:val="99"/>
    <w:pPr>
      <w:widowControl w:val="0"/>
      <w:spacing w:after="156" w:afterLines="50" w:line="360" w:lineRule="auto"/>
      <w:ind w:firstLine="200" w:firstLineChars="200"/>
    </w:pPr>
    <w:rPr>
      <w:kern w:val="0"/>
      <w:sz w:val="24"/>
    </w:rPr>
  </w:style>
  <w:style w:type="character" w:customStyle="1" w:styleId="244">
    <w:name w:val="样式 8 磅"/>
    <w:uiPriority w:val="0"/>
    <w:rPr>
      <w:sz w:val="18"/>
    </w:rPr>
  </w:style>
  <w:style w:type="character" w:customStyle="1" w:styleId="245">
    <w:name w:val="Char Char3"/>
    <w:qFormat/>
    <w:uiPriority w:val="0"/>
    <w:rPr>
      <w:b/>
      <w:bCs/>
      <w:kern w:val="44"/>
      <w:sz w:val="44"/>
      <w:szCs w:val="44"/>
    </w:rPr>
  </w:style>
  <w:style w:type="character" w:customStyle="1" w:styleId="246">
    <w:name w:val="HTML 预设格式 Char2"/>
    <w:semiHidden/>
    <w:uiPriority w:val="99"/>
    <w:rPr>
      <w:rFonts w:ascii="Courier New" w:hAnsi="Courier New" w:eastAsia="宋体" w:cs="Courier New"/>
      <w:sz w:val="20"/>
      <w:szCs w:val="20"/>
    </w:rPr>
  </w:style>
  <w:style w:type="character" w:customStyle="1" w:styleId="247">
    <w:name w:val="标题 8 Char1"/>
    <w:uiPriority w:val="0"/>
    <w:rPr>
      <w:rFonts w:ascii="Arial" w:hAnsi="Arial" w:eastAsia="黑体"/>
      <w:kern w:val="2"/>
      <w:sz w:val="24"/>
      <w:szCs w:val="24"/>
    </w:rPr>
  </w:style>
  <w:style w:type="character" w:customStyle="1" w:styleId="248">
    <w:name w:val="faziwen61"/>
    <w:uiPriority w:val="0"/>
    <w:rPr>
      <w:color w:val="666666"/>
      <w:spacing w:val="20"/>
      <w:sz w:val="16"/>
      <w:szCs w:val="16"/>
    </w:rPr>
  </w:style>
  <w:style w:type="character" w:customStyle="1" w:styleId="249">
    <w:name w:val="批注主题 Char1"/>
    <w:uiPriority w:val="0"/>
    <w:rPr>
      <w:b/>
      <w:kern w:val="2"/>
      <w:sz w:val="21"/>
    </w:rPr>
  </w:style>
  <w:style w:type="character" w:customStyle="1" w:styleId="250">
    <w:name w:val="font201"/>
    <w:qFormat/>
    <w:uiPriority w:val="0"/>
    <w:rPr>
      <w:rFonts w:hint="eastAsia" w:ascii="宋体" w:hAnsi="宋体" w:eastAsia="宋体" w:cs="宋体"/>
      <w:color w:val="000000"/>
      <w:sz w:val="20"/>
      <w:szCs w:val="20"/>
      <w:u w:val="none"/>
    </w:rPr>
  </w:style>
  <w:style w:type="character" w:customStyle="1" w:styleId="251">
    <w:name w:val="样式 黑体 二号"/>
    <w:uiPriority w:val="0"/>
    <w:rPr>
      <w:rFonts w:hint="default" w:ascii="Arial" w:hAnsi="Arial" w:eastAsia="黑体" w:cs="Arial"/>
      <w:sz w:val="44"/>
    </w:rPr>
  </w:style>
  <w:style w:type="character" w:styleId="252">
    <w:name w:val=""/>
    <w:qFormat/>
    <w:uiPriority w:val="0"/>
    <w:rPr>
      <w:smallCaps/>
      <w:color w:val="C0504D"/>
      <w:u w:val="single"/>
    </w:rPr>
  </w:style>
  <w:style w:type="character" w:customStyle="1" w:styleId="253">
    <w:name w:val="正文2 Char Char"/>
    <w:link w:val="254"/>
    <w:qFormat/>
    <w:uiPriority w:val="0"/>
    <w:rPr>
      <w:rFonts w:eastAsia="宋体"/>
      <w:kern w:val="2"/>
      <w:sz w:val="24"/>
      <w:lang w:val="en-US" w:eastAsia="zh-CN" w:bidi="ar-SA"/>
    </w:rPr>
  </w:style>
  <w:style w:type="paragraph" w:customStyle="1" w:styleId="254">
    <w:name w:val="正文2"/>
    <w:basedOn w:val="1"/>
    <w:link w:val="253"/>
    <w:uiPriority w:val="0"/>
    <w:pPr>
      <w:spacing w:before="156" w:beforeLines="0" w:beforeAutospacing="0" w:line="360" w:lineRule="auto"/>
      <w:ind w:firstLine="510" w:firstLineChars="200"/>
    </w:pPr>
    <w:rPr>
      <w:sz w:val="24"/>
    </w:rPr>
  </w:style>
  <w:style w:type="character" w:customStyle="1" w:styleId="255">
    <w:name w:val="Footer Char"/>
    <w:uiPriority w:val="0"/>
    <w:rPr>
      <w:rFonts w:ascii="Times New Roman" w:hAnsi="Times New Roman"/>
      <w:kern w:val="0"/>
      <w:sz w:val="18"/>
      <w:szCs w:val="18"/>
      <w:lang w:val="zh-CN" w:eastAsia="en-US"/>
    </w:rPr>
  </w:style>
  <w:style w:type="character" w:customStyle="1" w:styleId="256">
    <w:name w:val="标题 1 Char1"/>
    <w:uiPriority w:val="99"/>
    <w:rPr>
      <w:rFonts w:ascii="仿宋_GB2312" w:eastAsia="仿宋_GB2312"/>
      <w:b/>
      <w:color w:val="000000"/>
      <w:kern w:val="2"/>
      <w:sz w:val="36"/>
    </w:rPr>
  </w:style>
  <w:style w:type="character" w:customStyle="1" w:styleId="257">
    <w:name w:val="日期 Char2"/>
    <w:uiPriority w:val="0"/>
    <w:rPr>
      <w:kern w:val="2"/>
      <w:sz w:val="21"/>
    </w:rPr>
  </w:style>
  <w:style w:type="character" w:customStyle="1" w:styleId="258">
    <w:name w:val="日期 Char1"/>
    <w:uiPriority w:val="99"/>
    <w:rPr>
      <w:rFonts w:ascii="仿宋_GB2312" w:eastAsia="仿宋_GB2312"/>
      <w:sz w:val="24"/>
      <w:szCs w:val="24"/>
    </w:rPr>
  </w:style>
  <w:style w:type="character" w:customStyle="1" w:styleId="259">
    <w:name w:val="方案正文 Char"/>
    <w:locked/>
    <w:uiPriority w:val="99"/>
    <w:rPr>
      <w:rFonts w:ascii="Times New Roman" w:hAnsi="Times New Roman" w:eastAsia="宋体" w:cs="Times New Roman"/>
      <w:kern w:val="0"/>
      <w:sz w:val="24"/>
      <w:szCs w:val="24"/>
    </w:rPr>
  </w:style>
  <w:style w:type="character" w:customStyle="1" w:styleId="260">
    <w:name w:val="样式 仿宋_GB2312 小四"/>
    <w:uiPriority w:val="99"/>
    <w:rPr>
      <w:rFonts w:ascii="仿宋_GB2312" w:hAnsi="仿宋_GB2312" w:eastAsia="楷体_GB2312" w:cs="Times New Roman"/>
      <w:sz w:val="24"/>
    </w:rPr>
  </w:style>
  <w:style w:type="character" w:customStyle="1" w:styleId="261">
    <w:name w:val="font171"/>
    <w:qFormat/>
    <w:uiPriority w:val="0"/>
    <w:rPr>
      <w:rFonts w:hint="default" w:ascii="Arial" w:hAnsi="Arial" w:cs="Arial"/>
      <w:color w:val="000000"/>
      <w:sz w:val="20"/>
      <w:szCs w:val="20"/>
      <w:u w:val="none"/>
    </w:rPr>
  </w:style>
  <w:style w:type="character" w:customStyle="1" w:styleId="262">
    <w:name w:val="font21"/>
    <w:qFormat/>
    <w:uiPriority w:val="99"/>
    <w:rPr>
      <w:rFonts w:hint="default" w:ascii="Times New Roman" w:hAnsi="Times New Roman" w:cs="Times New Roman"/>
      <w:color w:val="000000"/>
      <w:sz w:val="20"/>
      <w:szCs w:val="20"/>
    </w:rPr>
  </w:style>
  <w:style w:type="character" w:customStyle="1" w:styleId="263">
    <w:name w:val="正文文本缩进 Char3"/>
    <w:semiHidden/>
    <w:uiPriority w:val="99"/>
    <w:rPr>
      <w:rFonts w:ascii="Times New Roman" w:hAnsi="Times New Roman" w:eastAsia="宋体" w:cs="Times New Roman"/>
      <w:szCs w:val="20"/>
    </w:rPr>
  </w:style>
  <w:style w:type="character" w:customStyle="1" w:styleId="264">
    <w:name w:val="z-窗体顶端 Char"/>
    <w:link w:val="265"/>
    <w:uiPriority w:val="99"/>
    <w:rPr>
      <w:rFonts w:ascii="Arial" w:hAnsi="Arial" w:cs="Arial"/>
      <w:vanish/>
      <w:sz w:val="16"/>
      <w:szCs w:val="16"/>
    </w:rPr>
  </w:style>
  <w:style w:type="paragraph" w:styleId="265">
    <w:name w:val=""/>
    <w:basedOn w:val="1"/>
    <w:next w:val="1"/>
    <w:link w:val="264"/>
    <w:unhideWhenUsed/>
    <w:uiPriority w:val="99"/>
    <w:pPr>
      <w:pBdr>
        <w:bottom w:val="single" w:color="auto" w:sz="6" w:space="1"/>
      </w:pBdr>
      <w:jc w:val="center"/>
    </w:pPr>
    <w:rPr>
      <w:rFonts w:ascii="Arial" w:hAnsi="Arial"/>
      <w:vanish/>
      <w:kern w:val="0"/>
      <w:sz w:val="16"/>
      <w:szCs w:val="16"/>
    </w:rPr>
  </w:style>
  <w:style w:type="character" w:customStyle="1" w:styleId="266">
    <w:name w:val="t_tag"/>
    <w:uiPriority w:val="0"/>
  </w:style>
  <w:style w:type="character" w:customStyle="1" w:styleId="267">
    <w:name w:val="z-窗体底端 Char"/>
    <w:link w:val="268"/>
    <w:uiPriority w:val="99"/>
    <w:rPr>
      <w:rFonts w:ascii="Arial" w:hAnsi="Arial" w:cs="Arial"/>
      <w:vanish/>
      <w:sz w:val="16"/>
      <w:szCs w:val="16"/>
    </w:rPr>
  </w:style>
  <w:style w:type="paragraph" w:styleId="268">
    <w:name w:val=""/>
    <w:basedOn w:val="1"/>
    <w:next w:val="1"/>
    <w:link w:val="267"/>
    <w:unhideWhenUsed/>
    <w:uiPriority w:val="99"/>
    <w:pPr>
      <w:pBdr>
        <w:top w:val="single" w:color="auto" w:sz="6" w:space="1"/>
      </w:pBdr>
      <w:jc w:val="center"/>
    </w:pPr>
    <w:rPr>
      <w:rFonts w:ascii="Arial" w:hAnsi="Arial"/>
      <w:vanish/>
      <w:kern w:val="0"/>
      <w:sz w:val="16"/>
      <w:szCs w:val="16"/>
    </w:rPr>
  </w:style>
  <w:style w:type="character" w:customStyle="1" w:styleId="269">
    <w:name w:val="正文文本 Char2"/>
    <w:uiPriority w:val="0"/>
    <w:rPr>
      <w:kern w:val="2"/>
      <w:sz w:val="21"/>
    </w:rPr>
  </w:style>
  <w:style w:type="character" w:customStyle="1" w:styleId="270">
    <w:name w:val="正文2 Char"/>
    <w:locked/>
    <w:uiPriority w:val="0"/>
    <w:rPr>
      <w:kern w:val="2"/>
      <w:sz w:val="24"/>
    </w:rPr>
  </w:style>
  <w:style w:type="character" w:customStyle="1" w:styleId="271">
    <w:name w:val="title_15"/>
    <w:uiPriority w:val="0"/>
  </w:style>
  <w:style w:type="character" w:customStyle="1" w:styleId="272">
    <w:name w:val="btn-lnk-alignl2"/>
    <w:uiPriority w:val="0"/>
  </w:style>
  <w:style w:type="character" w:customStyle="1" w:styleId="273">
    <w:name w:val="正文首行缩进 Char2"/>
    <w:uiPriority w:val="0"/>
  </w:style>
  <w:style w:type="character" w:customStyle="1" w:styleId="274">
    <w:name w:val="文档结构图 Char2"/>
    <w:uiPriority w:val="0"/>
    <w:rPr>
      <w:rFonts w:ascii="宋体"/>
      <w:kern w:val="2"/>
      <w:sz w:val="18"/>
      <w:szCs w:val="18"/>
    </w:rPr>
  </w:style>
  <w:style w:type="character" w:customStyle="1" w:styleId="275">
    <w:name w:val="日期 Char"/>
    <w:link w:val="38"/>
    <w:qFormat/>
    <w:uiPriority w:val="99"/>
    <w:rPr>
      <w:rFonts w:ascii="仿宋_GB2312" w:eastAsia="仿宋_GB2312"/>
      <w:sz w:val="24"/>
      <w:szCs w:val="24"/>
      <w:lang w:bidi="ar-SA"/>
    </w:rPr>
  </w:style>
  <w:style w:type="character" w:customStyle="1" w:styleId="276">
    <w:name w:val="Comment Text Char"/>
    <w:semiHidden/>
    <w:uiPriority w:val="99"/>
    <w:rPr>
      <w:rFonts w:ascii="Times New Roman" w:hAnsi="Times New Roman"/>
      <w:kern w:val="0"/>
      <w:sz w:val="20"/>
      <w:szCs w:val="20"/>
      <w:lang w:val="zh-CN" w:eastAsia="en-US"/>
    </w:rPr>
  </w:style>
  <w:style w:type="character" w:customStyle="1" w:styleId="277">
    <w:name w:val="z-窗体顶端 Char1"/>
    <w:semiHidden/>
    <w:uiPriority w:val="99"/>
    <w:rPr>
      <w:rFonts w:ascii="Arial" w:hAnsi="Arial" w:eastAsia="宋体" w:cs="Arial"/>
      <w:vanish/>
      <w:sz w:val="16"/>
      <w:szCs w:val="16"/>
    </w:rPr>
  </w:style>
  <w:style w:type="character" w:customStyle="1" w:styleId="278">
    <w:name w:val="Plain Text Char"/>
    <w:locked/>
    <w:uiPriority w:val="0"/>
    <w:rPr>
      <w:rFonts w:ascii="宋体" w:hAnsi="Courier New"/>
      <w:kern w:val="2"/>
      <w:sz w:val="21"/>
    </w:rPr>
  </w:style>
  <w:style w:type="character" w:customStyle="1" w:styleId="279">
    <w:name w:val="title12"/>
    <w:uiPriority w:val="0"/>
  </w:style>
  <w:style w:type="character" w:customStyle="1" w:styleId="280">
    <w:name w:val="引用 Char"/>
    <w:link w:val="281"/>
    <w:uiPriority w:val="29"/>
    <w:rPr>
      <w:rFonts w:ascii="Calibri" w:hAnsi="Calibri"/>
      <w:i/>
      <w:iCs/>
      <w:color w:val="000000"/>
    </w:rPr>
  </w:style>
  <w:style w:type="paragraph" w:styleId="281">
    <w:name w:val="Quote"/>
    <w:basedOn w:val="1"/>
    <w:next w:val="1"/>
    <w:link w:val="280"/>
    <w:qFormat/>
    <w:uiPriority w:val="29"/>
    <w:pPr>
      <w:widowControl w:val="0"/>
      <w:spacing w:before="100" w:beforeAutospacing="1" w:after="100" w:afterAutospacing="1" w:line="360" w:lineRule="auto"/>
      <w:jc w:val="both"/>
    </w:pPr>
    <w:rPr>
      <w:rFonts w:ascii="Calibri" w:hAnsi="Calibri"/>
      <w:i/>
      <w:iCs/>
      <w:color w:val="000000"/>
      <w:kern w:val="0"/>
      <w:sz w:val="20"/>
    </w:rPr>
  </w:style>
  <w:style w:type="character" w:customStyle="1" w:styleId="282">
    <w:name w:val="正文文本缩进 3 Char"/>
    <w:link w:val="51"/>
    <w:qFormat/>
    <w:uiPriority w:val="99"/>
    <w:rPr>
      <w:rFonts w:eastAsia="宋体"/>
      <w:sz w:val="24"/>
      <w:lang w:bidi="ar-SA"/>
    </w:rPr>
  </w:style>
  <w:style w:type="character" w:customStyle="1" w:styleId="283">
    <w:name w:val="Body1! Char"/>
    <w:link w:val="284"/>
    <w:qFormat/>
    <w:uiPriority w:val="0"/>
    <w:rPr>
      <w:rFonts w:ascii="Arial" w:hAnsi="Arial"/>
      <w:szCs w:val="21"/>
      <w:lang w:eastAsia="en-US"/>
    </w:rPr>
  </w:style>
  <w:style w:type="paragraph" w:customStyle="1" w:styleId="284">
    <w:name w:val="Body1!"/>
    <w:basedOn w:val="1"/>
    <w:link w:val="283"/>
    <w:qFormat/>
    <w:uiPriority w:val="0"/>
    <w:pPr>
      <w:tabs>
        <w:tab w:val="left" w:pos="1247"/>
      </w:tabs>
      <w:spacing w:before="120" w:after="200" w:line="288" w:lineRule="auto"/>
      <w:ind w:left="1247" w:firstLine="200" w:firstLineChars="200"/>
    </w:pPr>
    <w:rPr>
      <w:rFonts w:ascii="Arial" w:hAnsi="Arial"/>
      <w:kern w:val="0"/>
      <w:sz w:val="20"/>
      <w:szCs w:val="21"/>
      <w:lang w:eastAsia="en-US"/>
    </w:rPr>
  </w:style>
  <w:style w:type="character" w:customStyle="1" w:styleId="285">
    <w:name w:val="正文首行缩进 2 Char"/>
    <w:link w:val="63"/>
    <w:uiPriority w:val="99"/>
    <w:rPr>
      <w:rFonts w:ascii="仿宋_GB2312" w:hAnsi="Arial" w:eastAsia="仿宋_GB2312"/>
      <w:spacing w:val="-5"/>
      <w:kern w:val="2"/>
      <w:sz w:val="21"/>
      <w:szCs w:val="24"/>
      <w:lang w:val="en-US" w:eastAsia="zh-CN" w:bidi="ar-SA"/>
    </w:rPr>
  </w:style>
  <w:style w:type="character" w:customStyle="1" w:styleId="286">
    <w:name w:val="font71"/>
    <w:qFormat/>
    <w:uiPriority w:val="0"/>
    <w:rPr>
      <w:rFonts w:ascii="Arial" w:hAnsi="Arial" w:cs="Arial"/>
      <w:color w:val="000000"/>
      <w:sz w:val="18"/>
      <w:szCs w:val="18"/>
      <w:u w:val="none"/>
    </w:rPr>
  </w:style>
  <w:style w:type="character" w:customStyle="1" w:styleId="287">
    <w:name w:val="正文文本缩进 Char"/>
    <w:link w:val="27"/>
    <w:qFormat/>
    <w:uiPriority w:val="0"/>
    <w:rPr>
      <w:rFonts w:eastAsia="宋体"/>
      <w:kern w:val="2"/>
      <w:sz w:val="24"/>
      <w:lang w:val="en-US" w:eastAsia="zh-CN" w:bidi="ar-SA"/>
    </w:rPr>
  </w:style>
  <w:style w:type="character" w:customStyle="1" w:styleId="288">
    <w:name w:val="font51"/>
    <w:qFormat/>
    <w:uiPriority w:val="99"/>
    <w:rPr>
      <w:rFonts w:hint="default" w:ascii="Arial" w:hAnsi="Arial" w:cs="Arial"/>
      <w:color w:val="000000"/>
      <w:sz w:val="20"/>
      <w:szCs w:val="20"/>
      <w:u w:val="none"/>
    </w:rPr>
  </w:style>
  <w:style w:type="character" w:customStyle="1" w:styleId="289">
    <w:name w:val="font211"/>
    <w:qFormat/>
    <w:uiPriority w:val="0"/>
    <w:rPr>
      <w:rFonts w:hint="eastAsia" w:ascii="宋体" w:hAnsi="宋体" w:eastAsia="宋体" w:cs="宋体"/>
      <w:color w:val="000000"/>
      <w:sz w:val="20"/>
      <w:szCs w:val="20"/>
      <w:u w:val="none"/>
    </w:rPr>
  </w:style>
  <w:style w:type="character" w:customStyle="1" w:styleId="290">
    <w:name w:val="Char Char6"/>
    <w:uiPriority w:val="0"/>
    <w:rPr>
      <w:rFonts w:ascii="Calibri" w:hAnsi="Calibri" w:eastAsia="宋体"/>
      <w:b/>
      <w:bCs/>
      <w:sz w:val="32"/>
      <w:szCs w:val="32"/>
      <w:lang w:bidi="ar-SA"/>
    </w:rPr>
  </w:style>
  <w:style w:type="character" w:customStyle="1" w:styleId="291">
    <w:name w:val="正文文本 3字符1"/>
    <w:uiPriority w:val="0"/>
    <w:rPr>
      <w:kern w:val="2"/>
      <w:sz w:val="16"/>
      <w:szCs w:val="16"/>
    </w:rPr>
  </w:style>
  <w:style w:type="character" w:customStyle="1" w:styleId="292">
    <w:name w:val="正文首行缩进 Char3"/>
    <w:semiHidden/>
    <w:uiPriority w:val="99"/>
  </w:style>
  <w:style w:type="character" w:customStyle="1" w:styleId="293">
    <w:name w:val="批注主题 Char"/>
    <w:link w:val="61"/>
    <w:uiPriority w:val="0"/>
    <w:rPr>
      <w:rFonts w:eastAsia="宋体"/>
      <w:b/>
      <w:kern w:val="2"/>
      <w:sz w:val="21"/>
      <w:lang w:val="en-US" w:eastAsia="zh-CN" w:bidi="ar-SA"/>
    </w:rPr>
  </w:style>
  <w:style w:type="character" w:customStyle="1" w:styleId="294">
    <w:name w:val="sdtype"/>
    <w:uiPriority w:val="0"/>
  </w:style>
  <w:style w:type="character" w:customStyle="1" w:styleId="295">
    <w:name w:val="彩色列表 - 强调文字颜色 1字符"/>
    <w:link w:val="296"/>
    <w:uiPriority w:val="34"/>
  </w:style>
  <w:style w:type="paragraph" w:customStyle="1" w:styleId="296">
    <w:name w:val="彩色列表 - 强调文字颜色 11"/>
    <w:basedOn w:val="1"/>
    <w:link w:val="295"/>
    <w:qFormat/>
    <w:uiPriority w:val="34"/>
    <w:pPr>
      <w:widowControl w:val="0"/>
      <w:ind w:firstLine="420" w:firstLineChars="200"/>
      <w:jc w:val="both"/>
    </w:pPr>
    <w:rPr>
      <w:kern w:val="0"/>
      <w:sz w:val="20"/>
    </w:rPr>
  </w:style>
  <w:style w:type="character" w:customStyle="1" w:styleId="297">
    <w:name w:val="text_edit1"/>
    <w:uiPriority w:val="0"/>
    <w:rPr>
      <w:color w:val="3366CC"/>
      <w:sz w:val="18"/>
      <w:szCs w:val="18"/>
    </w:rPr>
  </w:style>
  <w:style w:type="character" w:customStyle="1" w:styleId="298">
    <w:name w:val="批注文字 Char3"/>
    <w:semiHidden/>
    <w:uiPriority w:val="99"/>
    <w:rPr>
      <w:rFonts w:ascii="Times New Roman" w:hAnsi="Times New Roman" w:eastAsia="宋体" w:cs="Times New Roman"/>
      <w:szCs w:val="20"/>
    </w:rPr>
  </w:style>
  <w:style w:type="character" w:customStyle="1" w:styleId="299">
    <w:name w:val="lh131"/>
    <w:uiPriority w:val="0"/>
    <w:rPr>
      <w:rFonts w:hint="eastAsia" w:ascii="华文仿宋" w:hAnsi="华文仿宋" w:eastAsia="华文仿宋"/>
      <w:b/>
      <w:color w:val="000000"/>
      <w:kern w:val="2"/>
      <w:sz w:val="28"/>
      <w:szCs w:val="28"/>
      <w:lang w:val="en-US" w:eastAsia="zh-CN" w:bidi="ar-SA"/>
    </w:rPr>
  </w:style>
  <w:style w:type="character" w:customStyle="1" w:styleId="300">
    <w:name w:val="纯文本字符1"/>
    <w:uiPriority w:val="0"/>
    <w:rPr>
      <w:rFonts w:ascii="宋体" w:hAnsi="Courier"/>
      <w:kern w:val="2"/>
      <w:sz w:val="24"/>
      <w:szCs w:val="24"/>
    </w:rPr>
  </w:style>
  <w:style w:type="character" w:customStyle="1" w:styleId="301">
    <w:name w:val="MathematicaFormatTextForm"/>
    <w:uiPriority w:val="99"/>
  </w:style>
  <w:style w:type="character" w:customStyle="1" w:styleId="302">
    <w:name w:val="style11"/>
    <w:uiPriority w:val="99"/>
    <w:rPr>
      <w:sz w:val="54"/>
    </w:rPr>
  </w:style>
  <w:style w:type="character" w:customStyle="1" w:styleId="303">
    <w:name w:val="正文（首行缩进两字） Char Char Char Char Char Char Char Char Char Char Char Char Char Char Char"/>
    <w:uiPriority w:val="99"/>
    <w:rPr>
      <w:rFonts w:eastAsia="宋体" w:cs="Times New Roman"/>
      <w:kern w:val="2"/>
      <w:sz w:val="21"/>
      <w:lang w:val="en-US" w:eastAsia="zh-CN" w:bidi="ar-SA"/>
    </w:rPr>
  </w:style>
  <w:style w:type="character" w:customStyle="1" w:styleId="304">
    <w:name w:val="paramname"/>
    <w:basedOn w:val="72"/>
    <w:uiPriority w:val="0"/>
  </w:style>
  <w:style w:type="character" w:customStyle="1" w:styleId="305">
    <w:name w:val="文档结构图 Char3"/>
    <w:semiHidden/>
    <w:uiPriority w:val="99"/>
    <w:rPr>
      <w:rFonts w:ascii="宋体" w:hAnsi="Times New Roman" w:eastAsia="宋体" w:cs="Times New Roman"/>
      <w:sz w:val="18"/>
      <w:szCs w:val="18"/>
    </w:rPr>
  </w:style>
  <w:style w:type="character" w:customStyle="1" w:styleId="306">
    <w:name w:val="at_1"/>
    <w:uiPriority w:val="0"/>
  </w:style>
  <w:style w:type="character" w:customStyle="1" w:styleId="307">
    <w:name w:val="Char Char8"/>
    <w:uiPriority w:val="0"/>
    <w:rPr>
      <w:rFonts w:eastAsia="宋体"/>
      <w:b/>
      <w:bCs/>
      <w:kern w:val="44"/>
      <w:sz w:val="44"/>
      <w:szCs w:val="44"/>
      <w:lang w:val="en-US" w:eastAsia="zh-CN" w:bidi="ar-SA"/>
    </w:rPr>
  </w:style>
  <w:style w:type="character" w:customStyle="1" w:styleId="308">
    <w:name w:val="high-light-bg4"/>
    <w:basedOn w:val="72"/>
    <w:uiPriority w:val="0"/>
  </w:style>
  <w:style w:type="character" w:customStyle="1" w:styleId="309">
    <w:name w:val="SANGFOR_6_正文 Char"/>
    <w:link w:val="310"/>
    <w:locked/>
    <w:uiPriority w:val="99"/>
    <w:rPr>
      <w:rFonts w:hAnsi="仿宋" w:eastAsia="仿宋"/>
      <w:sz w:val="24"/>
      <w:szCs w:val="24"/>
      <w:lang w:val="zh-CN" w:eastAsia="en-US"/>
    </w:rPr>
  </w:style>
  <w:style w:type="paragraph" w:customStyle="1" w:styleId="310">
    <w:name w:val="SANGFOR_6_正文"/>
    <w:basedOn w:val="1"/>
    <w:link w:val="309"/>
    <w:uiPriority w:val="99"/>
    <w:pPr>
      <w:widowControl w:val="0"/>
      <w:spacing w:line="360" w:lineRule="auto"/>
      <w:ind w:firstLine="480" w:firstLineChars="200"/>
      <w:jc w:val="both"/>
    </w:pPr>
    <w:rPr>
      <w:rFonts w:hAnsi="仿宋" w:eastAsia="仿宋"/>
      <w:kern w:val="0"/>
      <w:sz w:val="24"/>
      <w:szCs w:val="24"/>
      <w:lang w:val="zh-CN" w:eastAsia="en-US"/>
    </w:rPr>
  </w:style>
  <w:style w:type="character" w:customStyle="1" w:styleId="311">
    <w:name w:val="font01"/>
    <w:qFormat/>
    <w:uiPriority w:val="0"/>
    <w:rPr>
      <w:rFonts w:hint="eastAsia" w:ascii="宋体" w:hAnsi="宋体" w:eastAsia="宋体" w:cs="宋体"/>
      <w:color w:val="000000"/>
      <w:sz w:val="18"/>
      <w:szCs w:val="18"/>
      <w:u w:val="none"/>
    </w:rPr>
  </w:style>
  <w:style w:type="character" w:customStyle="1" w:styleId="312">
    <w:name w:val="尾注文本 Char1"/>
    <w:semiHidden/>
    <w:uiPriority w:val="99"/>
    <w:rPr>
      <w:rFonts w:ascii="Times New Roman" w:hAnsi="Times New Roman" w:eastAsia="宋体" w:cs="Times New Roman"/>
      <w:szCs w:val="20"/>
    </w:rPr>
  </w:style>
  <w:style w:type="character" w:customStyle="1" w:styleId="313">
    <w:name w:val="标题 8 Char"/>
    <w:link w:val="9"/>
    <w:qFormat/>
    <w:uiPriority w:val="9"/>
    <w:rPr>
      <w:rFonts w:ascii="Arial" w:hAnsi="Arial" w:eastAsia="黑体"/>
      <w:kern w:val="2"/>
      <w:sz w:val="24"/>
      <w:szCs w:val="24"/>
    </w:rPr>
  </w:style>
  <w:style w:type="character" w:customStyle="1" w:styleId="314">
    <w:name w:val="批注框文本 Char3"/>
    <w:semiHidden/>
    <w:uiPriority w:val="99"/>
    <w:rPr>
      <w:rFonts w:ascii="Times New Roman" w:hAnsi="Times New Roman" w:eastAsia="宋体" w:cs="Times New Roman"/>
      <w:sz w:val="18"/>
      <w:szCs w:val="18"/>
    </w:rPr>
  </w:style>
  <w:style w:type="character" w:customStyle="1" w:styleId="315">
    <w:name w:val="正文文本 2字符1"/>
    <w:uiPriority w:val="0"/>
    <w:rPr>
      <w:kern w:val="2"/>
      <w:sz w:val="21"/>
      <w:szCs w:val="24"/>
    </w:rPr>
  </w:style>
  <w:style w:type="character" w:customStyle="1" w:styleId="316">
    <w:name w:val="页眉 Char3"/>
    <w:semiHidden/>
    <w:uiPriority w:val="99"/>
    <w:rPr>
      <w:rFonts w:ascii="Times New Roman" w:hAnsi="Times New Roman" w:eastAsia="宋体" w:cs="Times New Roman"/>
      <w:sz w:val="18"/>
      <w:szCs w:val="18"/>
    </w:rPr>
  </w:style>
  <w:style w:type="character" w:customStyle="1" w:styleId="317">
    <w:name w:val="纯文本 Char3"/>
    <w:semiHidden/>
    <w:uiPriority w:val="99"/>
    <w:rPr>
      <w:rFonts w:ascii="宋体" w:hAnsi="Courier New" w:eastAsia="宋体" w:cs="Courier New"/>
      <w:szCs w:val="21"/>
    </w:rPr>
  </w:style>
  <w:style w:type="character" w:customStyle="1" w:styleId="318">
    <w:name w:val="页脚 Char3"/>
    <w:link w:val="42"/>
    <w:uiPriority w:val="99"/>
    <w:rPr>
      <w:kern w:val="2"/>
      <w:sz w:val="18"/>
    </w:rPr>
  </w:style>
  <w:style w:type="character" w:customStyle="1" w:styleId="319">
    <w:name w:val="font31"/>
    <w:qFormat/>
    <w:uiPriority w:val="0"/>
    <w:rPr>
      <w:rFonts w:hint="eastAsia" w:ascii="宋体" w:hAnsi="宋体" w:eastAsia="宋体" w:cs="宋体"/>
      <w:color w:val="000000"/>
      <w:sz w:val="20"/>
      <w:szCs w:val="20"/>
      <w:u w:val="none"/>
    </w:rPr>
  </w:style>
  <w:style w:type="character" w:customStyle="1" w:styleId="320">
    <w:name w:val="style16"/>
    <w:uiPriority w:val="0"/>
  </w:style>
  <w:style w:type="character" w:customStyle="1" w:styleId="321">
    <w:name w:val="正文文本 2 Char1"/>
    <w:uiPriority w:val="0"/>
    <w:rPr>
      <w:szCs w:val="24"/>
    </w:rPr>
  </w:style>
  <w:style w:type="character" w:customStyle="1" w:styleId="322">
    <w:name w:val="glossaryitem"/>
    <w:uiPriority w:val="0"/>
    <w:rPr>
      <w:u w:val="none"/>
    </w:rPr>
  </w:style>
  <w:style w:type="character" w:customStyle="1" w:styleId="323">
    <w:name w:val="正文缩进 Char"/>
    <w:link w:val="17"/>
    <w:qFormat/>
    <w:uiPriority w:val="99"/>
    <w:rPr>
      <w:kern w:val="2"/>
      <w:sz w:val="21"/>
    </w:rPr>
  </w:style>
  <w:style w:type="character" w:customStyle="1" w:styleId="324">
    <w:name w:val="title_emph1"/>
    <w:uiPriority w:val="99"/>
    <w:rPr>
      <w:rFonts w:hint="default" w:ascii="Arial" w:hAnsi="Arial" w:cs="Arial"/>
      <w:b/>
      <w:bCs/>
      <w:sz w:val="18"/>
      <w:szCs w:val="18"/>
    </w:rPr>
  </w:style>
  <w:style w:type="character" w:customStyle="1" w:styleId="325">
    <w:name w:val="font61"/>
    <w:qFormat/>
    <w:uiPriority w:val="0"/>
    <w:rPr>
      <w:rFonts w:hint="eastAsia" w:ascii="宋体" w:hAnsi="宋体" w:eastAsia="宋体" w:cs="宋体"/>
      <w:color w:val="000000"/>
      <w:sz w:val="22"/>
      <w:szCs w:val="22"/>
      <w:u w:val="none"/>
    </w:rPr>
  </w:style>
  <w:style w:type="character" w:customStyle="1" w:styleId="326">
    <w:name w:val="body1"/>
    <w:uiPriority w:val="99"/>
    <w:rPr>
      <w:rFonts w:cs="Times New Roman"/>
      <w:sz w:val="18"/>
      <w:szCs w:val="18"/>
    </w:rPr>
  </w:style>
  <w:style w:type="character" w:customStyle="1" w:styleId="327">
    <w:name w:val="页脚 Char"/>
    <w:aliases w:val="Footer-Even Char"/>
    <w:qFormat/>
    <w:uiPriority w:val="99"/>
    <w:rPr>
      <w:rFonts w:eastAsia="宋体"/>
      <w:kern w:val="2"/>
      <w:sz w:val="18"/>
      <w:lang w:val="en-US" w:eastAsia="zh-CN" w:bidi="ar-SA"/>
    </w:rPr>
  </w:style>
  <w:style w:type="character" w:customStyle="1" w:styleId="328">
    <w:name w:val="Header Char1"/>
    <w:semiHidden/>
    <w:locked/>
    <w:uiPriority w:val="0"/>
    <w:rPr>
      <w:rFonts w:ascii="Times New Roman" w:hAnsi="Times New Roman" w:cs="Times New Roman"/>
      <w:sz w:val="18"/>
      <w:szCs w:val="18"/>
    </w:rPr>
  </w:style>
  <w:style w:type="character" w:customStyle="1" w:styleId="329">
    <w:name w:val="样式 Arial 小四 首行缩进:  0.85 厘米 行距: 1.5 倍行距 Char"/>
    <w:link w:val="330"/>
    <w:uiPriority w:val="0"/>
    <w:rPr>
      <w:rFonts w:ascii="Arial" w:hAnsi="Arial" w:cs="宋体"/>
      <w:kern w:val="2"/>
      <w:sz w:val="24"/>
    </w:rPr>
  </w:style>
  <w:style w:type="paragraph" w:customStyle="1" w:styleId="330">
    <w:name w:val="样式 Arial 小四 首行缩进:  0.85 厘米 行距: 1.5 倍行距"/>
    <w:basedOn w:val="1"/>
    <w:link w:val="329"/>
    <w:uiPriority w:val="0"/>
    <w:pPr>
      <w:widowControl w:val="0"/>
      <w:spacing w:line="360" w:lineRule="auto"/>
      <w:ind w:firstLine="480"/>
      <w:jc w:val="both"/>
    </w:pPr>
    <w:rPr>
      <w:rFonts w:ascii="Arial" w:hAnsi="Arial"/>
      <w:sz w:val="24"/>
    </w:rPr>
  </w:style>
  <w:style w:type="character" w:styleId="331">
    <w:name w:val="Placeholder Text"/>
    <w:semiHidden/>
    <w:uiPriority w:val="99"/>
    <w:rPr>
      <w:color w:val="808080"/>
    </w:rPr>
  </w:style>
  <w:style w:type="character" w:customStyle="1" w:styleId="332">
    <w:name w:val="z-窗体底端 Char1"/>
    <w:semiHidden/>
    <w:uiPriority w:val="99"/>
    <w:rPr>
      <w:rFonts w:ascii="Arial" w:hAnsi="Arial" w:eastAsia="宋体" w:cs="Arial"/>
      <w:vanish/>
      <w:sz w:val="16"/>
      <w:szCs w:val="16"/>
    </w:rPr>
  </w:style>
  <w:style w:type="character" w:customStyle="1" w:styleId="333">
    <w:name w:val="样式 仿宋_GB2312 小四2"/>
    <w:uiPriority w:val="99"/>
    <w:rPr>
      <w:rFonts w:ascii="仿宋_GB2312" w:hAnsi="仿宋_GB2312" w:eastAsia="楷体_GB2312" w:cs="Times New Roman"/>
      <w:sz w:val="24"/>
    </w:rPr>
  </w:style>
  <w:style w:type="character" w:customStyle="1" w:styleId="334">
    <w:name w:val="标题 Char3"/>
    <w:uiPriority w:val="10"/>
    <w:rPr>
      <w:rFonts w:ascii="Cambria" w:hAnsi="Cambria" w:eastAsia="宋体" w:cs="Times New Roman"/>
      <w:b/>
      <w:bCs/>
      <w:sz w:val="32"/>
      <w:szCs w:val="32"/>
    </w:rPr>
  </w:style>
  <w:style w:type="character" w:customStyle="1" w:styleId="335">
    <w:name w:val="q11"/>
    <w:uiPriority w:val="99"/>
    <w:rPr>
      <w:rFonts w:cs="Times New Roman"/>
      <w:color w:val="333333"/>
      <w:sz w:val="21"/>
      <w:szCs w:val="21"/>
    </w:rPr>
  </w:style>
  <w:style w:type="character" w:customStyle="1" w:styleId="336">
    <w:name w:val="chinaname1"/>
    <w:uiPriority w:val="0"/>
  </w:style>
  <w:style w:type="character" w:customStyle="1" w:styleId="337">
    <w:name w:val="css1"/>
    <w:uiPriority w:val="99"/>
    <w:rPr>
      <w:rFonts w:cs="Times New Roman"/>
      <w:color w:val="666666"/>
      <w:sz w:val="18"/>
      <w:szCs w:val="18"/>
      <w:u w:val="none"/>
    </w:rPr>
  </w:style>
  <w:style w:type="character" w:customStyle="1" w:styleId="338">
    <w:name w:val="font191"/>
    <w:qFormat/>
    <w:uiPriority w:val="0"/>
    <w:rPr>
      <w:rFonts w:hint="default" w:ascii="Symbol" w:hAnsi="Symbol" w:cs="Symbol"/>
      <w:color w:val="000000"/>
      <w:sz w:val="20"/>
      <w:szCs w:val="20"/>
      <w:u w:val="none"/>
    </w:rPr>
  </w:style>
  <w:style w:type="character" w:customStyle="1" w:styleId="339">
    <w:name w:val="bold1"/>
    <w:uiPriority w:val="99"/>
    <w:rPr>
      <w:rFonts w:cs="Times New Roman"/>
      <w:b/>
      <w:bCs/>
    </w:rPr>
  </w:style>
  <w:style w:type="character" w:customStyle="1" w:styleId="340">
    <w:name w:val="正文文本 Char3"/>
    <w:semiHidden/>
    <w:uiPriority w:val="99"/>
    <w:rPr>
      <w:rFonts w:ascii="Times New Roman" w:hAnsi="Times New Roman" w:eastAsia="宋体" w:cs="Times New Roman"/>
      <w:szCs w:val="20"/>
    </w:rPr>
  </w:style>
  <w:style w:type="character" w:customStyle="1" w:styleId="341">
    <w:name w:val="v151"/>
    <w:uiPriority w:val="99"/>
    <w:rPr>
      <w:rFonts w:cs="Times New Roman"/>
      <w:sz w:val="18"/>
      <w:szCs w:val="18"/>
    </w:rPr>
  </w:style>
  <w:style w:type="character" w:customStyle="1" w:styleId="342">
    <w:name w:val="小4 1.5 Char"/>
    <w:link w:val="343"/>
    <w:uiPriority w:val="0"/>
    <w:rPr>
      <w:sz w:val="24"/>
    </w:rPr>
  </w:style>
  <w:style w:type="paragraph" w:customStyle="1" w:styleId="343">
    <w:name w:val="小4 1.5"/>
    <w:basedOn w:val="1"/>
    <w:link w:val="342"/>
    <w:qFormat/>
    <w:uiPriority w:val="0"/>
    <w:pPr>
      <w:widowControl w:val="0"/>
      <w:spacing w:line="360" w:lineRule="auto"/>
      <w:ind w:firstLine="200" w:firstLineChars="200"/>
    </w:pPr>
    <w:rPr>
      <w:kern w:val="0"/>
      <w:sz w:val="24"/>
    </w:rPr>
  </w:style>
  <w:style w:type="character" w:customStyle="1" w:styleId="344">
    <w:name w:val="lan1"/>
    <w:uiPriority w:val="99"/>
    <w:rPr>
      <w:rFonts w:cs="Times New Roman"/>
      <w:color w:val="055099"/>
    </w:rPr>
  </w:style>
  <w:style w:type="character" w:customStyle="1" w:styleId="345">
    <w:name w:val="称呼 Char1"/>
    <w:semiHidden/>
    <w:uiPriority w:val="99"/>
    <w:rPr>
      <w:rFonts w:ascii="Times New Roman" w:hAnsi="Times New Roman" w:eastAsia="宋体" w:cs="Times New Roman"/>
      <w:szCs w:val="20"/>
    </w:rPr>
  </w:style>
  <w:style w:type="character" w:customStyle="1" w:styleId="346">
    <w:name w:val="标书正文格式 Char Char1"/>
    <w:uiPriority w:val="99"/>
    <w:rPr>
      <w:rFonts w:eastAsia="楷体_GB2312" w:cs="Times New Roman"/>
      <w:kern w:val="2"/>
      <w:sz w:val="24"/>
      <w:szCs w:val="24"/>
      <w:lang w:val="en-US" w:eastAsia="zh-CN" w:bidi="ar-SA"/>
    </w:rPr>
  </w:style>
  <w:style w:type="character" w:customStyle="1" w:styleId="347">
    <w:name w:val="aa1"/>
    <w:uiPriority w:val="0"/>
    <w:rPr>
      <w:sz w:val="20"/>
      <w:u w:val="none"/>
    </w:rPr>
  </w:style>
  <w:style w:type="character" w:customStyle="1" w:styleId="348">
    <w:name w:val="style771"/>
    <w:uiPriority w:val="99"/>
    <w:rPr>
      <w:rFonts w:ascii="Arial" w:hAnsi="Arial" w:cs="Arial"/>
      <w:color w:val="000000"/>
      <w:sz w:val="18"/>
      <w:szCs w:val="18"/>
    </w:rPr>
  </w:style>
  <w:style w:type="character" w:customStyle="1" w:styleId="349">
    <w:name w:val="标题 3 Char Char"/>
    <w:uiPriority w:val="0"/>
    <w:rPr>
      <w:rFonts w:eastAsia="宋体"/>
      <w:b/>
      <w:bCs/>
      <w:kern w:val="2"/>
      <w:sz w:val="32"/>
      <w:szCs w:val="32"/>
      <w:lang w:val="en-US" w:eastAsia="zh-CN" w:bidi="ar-SA"/>
    </w:rPr>
  </w:style>
  <w:style w:type="character" w:customStyle="1" w:styleId="350">
    <w:name w:val="样式 宋体"/>
    <w:uiPriority w:val="99"/>
    <w:rPr>
      <w:rFonts w:ascii="宋体" w:eastAsia="宋体" w:cs="Times New Roman"/>
    </w:rPr>
  </w:style>
  <w:style w:type="character" w:customStyle="1" w:styleId="351">
    <w:name w:val="纯文本 Char"/>
    <w:link w:val="34"/>
    <w:qFormat/>
    <w:uiPriority w:val="0"/>
    <w:rPr>
      <w:rFonts w:ascii="宋体" w:hAnsi="Courier New" w:eastAsia="宋体"/>
      <w:kern w:val="2"/>
      <w:sz w:val="21"/>
      <w:lang w:val="en-US" w:eastAsia="zh-CN"/>
    </w:rPr>
  </w:style>
  <w:style w:type="character" w:customStyle="1" w:styleId="352">
    <w:name w:val="Normal Indent Char Char"/>
    <w:aliases w:val="Normal Indent Char1 Char Char,Normal Indent Char Char Char Char,Normal Indent Char1 Char Char Char Char,Normal Indent Char Char Char Char Char Char,Normal Indent Char1 Char Char Char Char Char Char,特点 Char Char Char"/>
    <w:uiPriority w:val="99"/>
    <w:rPr>
      <w:rFonts w:eastAsia="宋体" w:cs="Times New Roman"/>
      <w:kern w:val="2"/>
      <w:sz w:val="28"/>
      <w:lang w:val="en-US" w:eastAsia="zh-CN" w:bidi="ar-SA"/>
    </w:rPr>
  </w:style>
  <w:style w:type="character" w:customStyle="1" w:styleId="353">
    <w:name w:val="font131"/>
    <w:qFormat/>
    <w:uiPriority w:val="0"/>
    <w:rPr>
      <w:rFonts w:hint="default" w:ascii="Arial" w:hAnsi="Arial" w:cs="Arial"/>
      <w:color w:val="000000"/>
      <w:sz w:val="20"/>
      <w:szCs w:val="20"/>
      <w:u w:val="none"/>
    </w:rPr>
  </w:style>
  <w:style w:type="character" w:customStyle="1" w:styleId="354">
    <w:name w:val="样式 标书正文格式 Char + 楷体_GB2312 Char"/>
    <w:uiPriority w:val="99"/>
    <w:rPr>
      <w:rFonts w:ascii="楷体_GB2312" w:hAnsi="楷体_GB2312" w:eastAsia="仿宋_GB2312" w:cs="Times New Roman"/>
      <w:kern w:val="2"/>
      <w:sz w:val="24"/>
      <w:szCs w:val="24"/>
      <w:lang w:val="en-US" w:eastAsia="zh-CN" w:bidi="ar-SA"/>
    </w:rPr>
  </w:style>
  <w:style w:type="character" w:customStyle="1" w:styleId="355">
    <w:name w:val="段 Char Char"/>
    <w:link w:val="356"/>
    <w:uiPriority w:val="0"/>
    <w:rPr>
      <w:rFonts w:ascii="宋体"/>
      <w:sz w:val="21"/>
      <w:lang w:bidi="ar-SA"/>
    </w:rPr>
  </w:style>
  <w:style w:type="paragraph" w:customStyle="1" w:styleId="356">
    <w:name w:val="段"/>
    <w:link w:val="355"/>
    <w:uiPriority w:val="0"/>
    <w:pPr>
      <w:autoSpaceDE w:val="0"/>
      <w:autoSpaceDN w:val="0"/>
      <w:ind w:firstLine="200" w:firstLineChars="200"/>
      <w:jc w:val="both"/>
    </w:pPr>
    <w:rPr>
      <w:rFonts w:ascii="宋体"/>
      <w:sz w:val="21"/>
      <w:lang w:bidi="ar-SA"/>
    </w:rPr>
  </w:style>
  <w:style w:type="character" w:customStyle="1" w:styleId="357">
    <w:name w:val="_文本 Char"/>
    <w:link w:val="358"/>
    <w:locked/>
    <w:uiPriority w:val="99"/>
    <w:rPr>
      <w:rFonts w:ascii="宋体" w:hAnsi="宋体"/>
      <w:sz w:val="24"/>
    </w:rPr>
  </w:style>
  <w:style w:type="paragraph" w:customStyle="1" w:styleId="358">
    <w:name w:val="_文本"/>
    <w:basedOn w:val="1"/>
    <w:link w:val="357"/>
    <w:uiPriority w:val="99"/>
    <w:pPr>
      <w:spacing w:before="100" w:after="100" w:line="360" w:lineRule="auto"/>
      <w:ind w:firstLine="420"/>
    </w:pPr>
    <w:rPr>
      <w:rFonts w:ascii="宋体" w:hAnsi="宋体"/>
      <w:kern w:val="0"/>
      <w:sz w:val="24"/>
    </w:rPr>
  </w:style>
  <w:style w:type="character" w:customStyle="1" w:styleId="359">
    <w:name w:val="count4"/>
    <w:uiPriority w:val="0"/>
  </w:style>
  <w:style w:type="character" w:customStyle="1" w:styleId="360">
    <w:name w:val="标书正文格式 Char"/>
    <w:uiPriority w:val="99"/>
    <w:rPr>
      <w:rFonts w:eastAsia="楷体_GB2312" w:cs="Times New Roman"/>
      <w:kern w:val="2"/>
      <w:sz w:val="24"/>
      <w:szCs w:val="24"/>
      <w:lang w:val="en-US" w:eastAsia="zh-CN" w:bidi="ar-SA"/>
    </w:rPr>
  </w:style>
  <w:style w:type="character" w:customStyle="1" w:styleId="361">
    <w:name w:val="biaozhunzi1"/>
    <w:uiPriority w:val="0"/>
    <w:rPr>
      <w:color w:val="000000"/>
      <w:sz w:val="18"/>
      <w:szCs w:val="18"/>
    </w:rPr>
  </w:style>
  <w:style w:type="character" w:customStyle="1" w:styleId="362">
    <w:name w:val="正文文本 2 Char3"/>
    <w:semiHidden/>
    <w:uiPriority w:val="99"/>
    <w:rPr>
      <w:rFonts w:ascii="Times New Roman" w:hAnsi="Times New Roman" w:eastAsia="宋体" w:cs="Times New Roman"/>
      <w:szCs w:val="20"/>
    </w:rPr>
  </w:style>
  <w:style w:type="character" w:customStyle="1" w:styleId="363">
    <w:name w:val="Item List Char"/>
    <w:link w:val="364"/>
    <w:qFormat/>
    <w:uiPriority w:val="0"/>
    <w:rPr>
      <w:rFonts w:ascii="Arial" w:hAnsi="Arial"/>
      <w:color w:val="000000"/>
      <w:sz w:val="24"/>
      <w:lang w:bidi="ar-SA"/>
    </w:rPr>
  </w:style>
  <w:style w:type="paragraph" w:customStyle="1" w:styleId="364">
    <w:name w:val="Item List"/>
    <w:link w:val="363"/>
    <w:qFormat/>
    <w:uiPriority w:val="0"/>
    <w:pPr>
      <w:tabs>
        <w:tab w:val="left" w:pos="360"/>
      </w:tabs>
      <w:spacing w:line="300" w:lineRule="auto"/>
      <w:ind w:firstLine="425"/>
      <w:jc w:val="both"/>
    </w:pPr>
    <w:rPr>
      <w:rFonts w:ascii="Arial" w:hAnsi="Arial"/>
      <w:color w:val="000000"/>
      <w:sz w:val="24"/>
      <w:lang w:val="en-US" w:eastAsia="zh-CN" w:bidi="ar-SA"/>
    </w:rPr>
  </w:style>
  <w:style w:type="character" w:customStyle="1" w:styleId="365">
    <w:name w:val="彩色列表 - 着色 1 字符"/>
    <w:link w:val="366"/>
    <w:locked/>
    <w:uiPriority w:val="34"/>
    <w:rPr>
      <w:kern w:val="2"/>
      <w:sz w:val="21"/>
    </w:rPr>
  </w:style>
  <w:style w:type="paragraph" w:customStyle="1" w:styleId="366">
    <w:name w:val="彩色列表 - 着色 12"/>
    <w:basedOn w:val="1"/>
    <w:link w:val="365"/>
    <w:qFormat/>
    <w:uiPriority w:val="34"/>
    <w:pPr>
      <w:ind w:firstLine="420" w:firstLineChars="200"/>
    </w:pPr>
  </w:style>
  <w:style w:type="character" w:customStyle="1" w:styleId="367">
    <w:name w:val="引用 Char1"/>
    <w:uiPriority w:val="29"/>
    <w:rPr>
      <w:rFonts w:ascii="Times New Roman" w:hAnsi="Times New Roman" w:eastAsia="宋体" w:cs="Times New Roman"/>
      <w:i/>
      <w:iCs/>
      <w:color w:val="000000"/>
      <w:szCs w:val="20"/>
    </w:rPr>
  </w:style>
  <w:style w:type="character" w:customStyle="1" w:styleId="368">
    <w:name w:val="标题 3 Char1"/>
    <w:aliases w:val="h3 Char,3 Char,Heading 3 hidden Char,2h Char,h31 Char,h32 Char,Section Char,Heading 2.3 Char,(Alt+3) Char,1.2.3. Char,alltoc Char,H3 Char,sect1.2.3 Char,一 Char,1 Char,h4 Char,Title3 Char,Map Char,H31 Char,3rd level Char,Heading 3 - old Char"/>
    <w:uiPriority w:val="99"/>
    <w:rPr>
      <w:b/>
      <w:kern w:val="2"/>
      <w:sz w:val="32"/>
    </w:rPr>
  </w:style>
  <w:style w:type="character" w:customStyle="1" w:styleId="369">
    <w:name w:val="网格型浅色1"/>
    <w:qFormat/>
    <w:uiPriority w:val="32"/>
    <w:rPr>
      <w:b/>
      <w:bCs/>
      <w:smallCaps/>
      <w:color w:val="C0504D"/>
      <w:spacing w:val="5"/>
      <w:u w:val="single"/>
    </w:rPr>
  </w:style>
  <w:style w:type="character" w:customStyle="1" w:styleId="370">
    <w:name w:val="正文文本 3 Char4"/>
    <w:semiHidden/>
    <w:uiPriority w:val="99"/>
    <w:rPr>
      <w:rFonts w:ascii="Times New Roman" w:hAnsi="Times New Roman" w:eastAsia="宋体" w:cs="Times New Roman"/>
      <w:sz w:val="16"/>
      <w:szCs w:val="16"/>
    </w:rPr>
  </w:style>
  <w:style w:type="character" w:customStyle="1" w:styleId="371">
    <w:name w:val="Char Char2"/>
    <w:uiPriority w:val="99"/>
    <w:rPr>
      <w:rFonts w:cs="Times New Roman"/>
      <w:kern w:val="2"/>
      <w:sz w:val="21"/>
    </w:rPr>
  </w:style>
  <w:style w:type="character" w:customStyle="1" w:styleId="372">
    <w:name w:val="页脚 Char1"/>
    <w:uiPriority w:val="99"/>
    <w:rPr>
      <w:kern w:val="2"/>
      <w:sz w:val="18"/>
    </w:rPr>
  </w:style>
  <w:style w:type="character" w:customStyle="1" w:styleId="373">
    <w:name w:val="wenzi1"/>
    <w:uiPriority w:val="99"/>
    <w:rPr>
      <w:rFonts w:ascii="??" w:hAnsi="??" w:cs="Times New Roman"/>
      <w:color w:val="000000"/>
      <w:spacing w:val="0"/>
      <w:sz w:val="22"/>
      <w:szCs w:val="22"/>
      <w:u w:val="none"/>
    </w:rPr>
  </w:style>
  <w:style w:type="character" w:customStyle="1" w:styleId="374">
    <w:name w:val="正文首行缩进 Char4"/>
    <w:semiHidden/>
    <w:uiPriority w:val="99"/>
  </w:style>
  <w:style w:type="character" w:customStyle="1" w:styleId="375">
    <w:name w:val="标书正文格式 Char1 Char Char"/>
    <w:link w:val="376"/>
    <w:locked/>
    <w:uiPriority w:val="99"/>
    <w:rPr>
      <w:rFonts w:eastAsia="楷体_GB2312"/>
      <w:kern w:val="2"/>
      <w:sz w:val="24"/>
      <w:szCs w:val="24"/>
      <w:lang w:val="en-US" w:eastAsia="zh-CN" w:bidi="ar-SA"/>
    </w:rPr>
  </w:style>
  <w:style w:type="paragraph" w:customStyle="1" w:styleId="376">
    <w:name w:val="标书正文格式 Char1 Char"/>
    <w:link w:val="375"/>
    <w:uiPriority w:val="99"/>
    <w:pPr>
      <w:spacing w:line="360" w:lineRule="auto"/>
      <w:ind w:firstLine="200" w:firstLineChars="200"/>
    </w:pPr>
    <w:rPr>
      <w:rFonts w:eastAsia="楷体_GB2312"/>
      <w:kern w:val="2"/>
      <w:sz w:val="24"/>
      <w:szCs w:val="24"/>
      <w:lang w:val="en-US" w:eastAsia="zh-CN" w:bidi="ar-SA"/>
    </w:rPr>
  </w:style>
  <w:style w:type="character" w:customStyle="1" w:styleId="377">
    <w:name w:val="批注框文本 字符"/>
    <w:semiHidden/>
    <w:uiPriority w:val="99"/>
    <w:rPr>
      <w:sz w:val="18"/>
      <w:szCs w:val="18"/>
    </w:rPr>
  </w:style>
  <w:style w:type="character" w:customStyle="1" w:styleId="378">
    <w:name w:val="style221"/>
    <w:uiPriority w:val="99"/>
    <w:rPr>
      <w:rFonts w:ascii="Arial" w:hAnsi="Arial" w:cs="Arial"/>
      <w:b/>
      <w:bCs/>
      <w:color w:val="FFA523"/>
      <w:sz w:val="27"/>
      <w:szCs w:val="27"/>
    </w:rPr>
  </w:style>
  <w:style w:type="character" w:customStyle="1" w:styleId="379">
    <w:name w:val="正文文本缩进 2 Char"/>
    <w:link w:val="39"/>
    <w:uiPriority w:val="99"/>
    <w:rPr>
      <w:kern w:val="2"/>
      <w:sz w:val="21"/>
    </w:rPr>
  </w:style>
  <w:style w:type="character" w:customStyle="1" w:styleId="380">
    <w:name w:val="正文，首行缩进: Char"/>
    <w:link w:val="381"/>
    <w:locked/>
    <w:uiPriority w:val="99"/>
    <w:rPr>
      <w:rFonts w:ascii="Arial" w:hAnsi="Arial" w:eastAsia="仿宋_GB2312" w:cs="宋体"/>
      <w:kern w:val="2"/>
      <w:sz w:val="24"/>
    </w:rPr>
  </w:style>
  <w:style w:type="paragraph" w:customStyle="1" w:styleId="381">
    <w:name w:val="正文，首行缩进:"/>
    <w:basedOn w:val="1"/>
    <w:link w:val="380"/>
    <w:uiPriority w:val="99"/>
    <w:pPr>
      <w:widowControl w:val="0"/>
      <w:spacing w:line="360" w:lineRule="auto"/>
      <w:ind w:firstLine="480" w:firstLineChars="200"/>
    </w:pPr>
    <w:rPr>
      <w:rFonts w:ascii="Arial" w:hAnsi="Arial" w:eastAsia="仿宋_GB2312"/>
      <w:sz w:val="24"/>
    </w:rPr>
  </w:style>
  <w:style w:type="character" w:customStyle="1" w:styleId="382">
    <w:name w:val="标题 2 字符"/>
    <w:uiPriority w:val="0"/>
    <w:rPr>
      <w:rFonts w:ascii="Cambria" w:hAnsi="Cambria" w:eastAsia="宋体" w:cs="Times New Roman"/>
      <w:b/>
      <w:bCs/>
      <w:sz w:val="30"/>
      <w:szCs w:val="32"/>
    </w:rPr>
  </w:style>
  <w:style w:type="character" w:customStyle="1" w:styleId="383">
    <w:name w:val="rightmiddle1"/>
    <w:uiPriority w:val="99"/>
    <w:rPr>
      <w:rFonts w:cs="Times New Roman"/>
    </w:rPr>
  </w:style>
  <w:style w:type="character" w:customStyle="1" w:styleId="384">
    <w:name w:val="标题 6 字符1"/>
    <w:qFormat/>
    <w:uiPriority w:val="0"/>
    <w:rPr>
      <w:rFonts w:ascii="Arial" w:hAnsi="Arial" w:eastAsia="黑体"/>
      <w:b/>
      <w:bCs/>
      <w:kern w:val="2"/>
      <w:sz w:val="24"/>
      <w:szCs w:val="24"/>
      <w:lang w:val="en-US" w:eastAsia="zh-CN" w:bidi="ar-SA"/>
    </w:rPr>
  </w:style>
  <w:style w:type="character" w:customStyle="1" w:styleId="385">
    <w:name w:val="标题三文本 Char"/>
    <w:uiPriority w:val="99"/>
    <w:rPr>
      <w:rFonts w:eastAsia="宋体" w:cs="Times New Roman"/>
      <w:kern w:val="2"/>
      <w:sz w:val="24"/>
      <w:szCs w:val="24"/>
      <w:lang w:val="en-US" w:eastAsia="zh-CN" w:bidi="ar-SA"/>
    </w:rPr>
  </w:style>
  <w:style w:type="character" w:customStyle="1" w:styleId="386">
    <w:name w:val="文档结构图 Char4"/>
    <w:semiHidden/>
    <w:uiPriority w:val="99"/>
    <w:rPr>
      <w:rFonts w:ascii="宋体" w:hAnsi="Times New Roman" w:eastAsia="宋体" w:cs="Times New Roman"/>
      <w:sz w:val="18"/>
      <w:szCs w:val="18"/>
    </w:rPr>
  </w:style>
  <w:style w:type="character" w:customStyle="1" w:styleId="387">
    <w:name w:val="b titlename wangputoptitle"/>
    <w:uiPriority w:val="99"/>
    <w:rPr>
      <w:rFonts w:cs="Times New Roman"/>
    </w:rPr>
  </w:style>
  <w:style w:type="character" w:customStyle="1" w:styleId="388">
    <w:name w:val="标题 6 字符"/>
    <w:uiPriority w:val="0"/>
    <w:rPr>
      <w:rFonts w:ascii="Arial" w:hAnsi="Arial" w:eastAsia="宋体" w:cs="Times New Roman"/>
      <w:b/>
      <w:bCs/>
      <w:sz w:val="28"/>
      <w:szCs w:val="24"/>
    </w:rPr>
  </w:style>
  <w:style w:type="character" w:customStyle="1" w:styleId="389">
    <w:name w:val="批注文字 Char2"/>
    <w:uiPriority w:val="0"/>
    <w:rPr>
      <w:kern w:val="2"/>
      <w:sz w:val="21"/>
    </w:rPr>
  </w:style>
  <w:style w:type="character" w:customStyle="1" w:styleId="390">
    <w:name w:val="unnamed11"/>
    <w:uiPriority w:val="99"/>
    <w:rPr>
      <w:rFonts w:ascii="宋体" w:hAnsi="宋体" w:eastAsia="宋体" w:cs="Times New Roman"/>
      <w:color w:val="666666"/>
      <w:sz w:val="18"/>
      <w:szCs w:val="18"/>
      <w:u w:val="none"/>
    </w:rPr>
  </w:style>
  <w:style w:type="character" w:customStyle="1" w:styleId="391">
    <w:name w:val="尾注文本 字符"/>
    <w:uiPriority w:val="0"/>
    <w:rPr>
      <w:sz w:val="24"/>
    </w:rPr>
  </w:style>
  <w:style w:type="character" w:customStyle="1" w:styleId="392">
    <w:name w:val="spantable1"/>
    <w:uiPriority w:val="99"/>
    <w:rPr>
      <w:rFonts w:cs="Times New Roman"/>
      <w:sz w:val="18"/>
      <w:szCs w:val="18"/>
    </w:rPr>
  </w:style>
  <w:style w:type="character" w:customStyle="1" w:styleId="393">
    <w:name w:val="标题 3 字符"/>
    <w:uiPriority w:val="0"/>
    <w:rPr>
      <w:b/>
      <w:bCs/>
      <w:sz w:val="28"/>
      <w:szCs w:val="32"/>
    </w:rPr>
  </w:style>
  <w:style w:type="character" w:customStyle="1" w:styleId="394">
    <w:name w:val="haikang1"/>
    <w:uiPriority w:val="99"/>
    <w:rPr>
      <w:rFonts w:cs="Times New Roman"/>
      <w:color w:val="000000"/>
      <w:sz w:val="18"/>
      <w:szCs w:val="18"/>
      <w:u w:val="none"/>
    </w:rPr>
  </w:style>
  <w:style w:type="character" w:customStyle="1" w:styleId="395">
    <w:name w:val="Table Text Char1"/>
    <w:qFormat/>
    <w:uiPriority w:val="0"/>
    <w:rPr>
      <w:rFonts w:ascii="Times New Roman" w:hAnsi="Times New Roman" w:eastAsia="宋体" w:cs="Times New Roman"/>
      <w:snapToGrid w:val="0"/>
      <w:kern w:val="0"/>
      <w:szCs w:val="21"/>
    </w:rPr>
  </w:style>
  <w:style w:type="character" w:customStyle="1" w:styleId="396">
    <w:name w:val="spelle"/>
    <w:uiPriority w:val="99"/>
    <w:rPr>
      <w:rFonts w:cs="Times New Roman"/>
    </w:rPr>
  </w:style>
  <w:style w:type="character" w:customStyle="1" w:styleId="397">
    <w:name w:val="标题 2 字符1"/>
    <w:qFormat/>
    <w:uiPriority w:val="9"/>
    <w:rPr>
      <w:rFonts w:ascii="仿宋_GB2312" w:eastAsia="仿宋_GB2312"/>
      <w:sz w:val="28"/>
      <w:lang w:val="en-US" w:eastAsia="zh-CN" w:bidi="ar-SA"/>
    </w:rPr>
  </w:style>
  <w:style w:type="character" w:customStyle="1" w:styleId="398">
    <w:name w:val="grame"/>
    <w:uiPriority w:val="99"/>
    <w:rPr>
      <w:rFonts w:cs="Times New Roman"/>
    </w:rPr>
  </w:style>
  <w:style w:type="character" w:customStyle="1" w:styleId="399">
    <w:name w:val="表格非标题文字 Char"/>
    <w:link w:val="400"/>
    <w:uiPriority w:val="0"/>
    <w:rPr>
      <w:rFonts w:ascii="Futura Bk" w:hAnsi="Futura Bk"/>
      <w:sz w:val="18"/>
      <w:szCs w:val="21"/>
      <w:lang w:val="en-US" w:eastAsia="zh-CN" w:bidi="ar-SA"/>
    </w:rPr>
  </w:style>
  <w:style w:type="paragraph" w:customStyle="1" w:styleId="400">
    <w:name w:val="表格非标题文字"/>
    <w:link w:val="399"/>
    <w:qFormat/>
    <w:uiPriority w:val="0"/>
    <w:pPr>
      <w:snapToGrid w:val="0"/>
      <w:spacing w:before="80" w:after="40"/>
    </w:pPr>
    <w:rPr>
      <w:rFonts w:ascii="Futura Bk" w:hAnsi="Futura Bk"/>
      <w:sz w:val="18"/>
      <w:szCs w:val="21"/>
      <w:lang w:val="en-US" w:eastAsia="zh-CN" w:bidi="ar-SA"/>
    </w:rPr>
  </w:style>
  <w:style w:type="character" w:customStyle="1" w:styleId="401">
    <w:name w:val="unnamed1nn"/>
    <w:uiPriority w:val="99"/>
    <w:rPr>
      <w:rFonts w:cs="Times New Roman"/>
    </w:rPr>
  </w:style>
  <w:style w:type="character" w:customStyle="1" w:styleId="402">
    <w:name w:val="无格式表格 41"/>
    <w:qFormat/>
    <w:uiPriority w:val="21"/>
    <w:rPr>
      <w:b/>
      <w:bCs/>
      <w:i/>
      <w:iCs/>
      <w:color w:val="4F81BD"/>
    </w:rPr>
  </w:style>
  <w:style w:type="character" w:customStyle="1" w:styleId="403">
    <w:name w:val="info"/>
    <w:uiPriority w:val="99"/>
    <w:rPr>
      <w:rFonts w:cs="Times New Roman"/>
    </w:rPr>
  </w:style>
  <w:style w:type="character" w:customStyle="1" w:styleId="404">
    <w:name w:val="正文文本缩进 字符"/>
    <w:qFormat/>
    <w:uiPriority w:val="99"/>
    <w:rPr>
      <w:rFonts w:eastAsia="宋体"/>
      <w:kern w:val="2"/>
      <w:sz w:val="24"/>
      <w:lang w:val="en-US" w:eastAsia="zh-CN" w:bidi="ar-SA"/>
    </w:rPr>
  </w:style>
  <w:style w:type="character" w:customStyle="1" w:styleId="405">
    <w:name w:val="font151"/>
    <w:qFormat/>
    <w:uiPriority w:val="0"/>
    <w:rPr>
      <w:rFonts w:ascii="Symbol" w:hAnsi="Symbol" w:cs="Symbol"/>
      <w:color w:val="000000"/>
      <w:sz w:val="18"/>
      <w:szCs w:val="18"/>
      <w:u w:val="none"/>
    </w:rPr>
  </w:style>
  <w:style w:type="character" w:customStyle="1" w:styleId="406">
    <w:name w:val="脚注文本 字符"/>
    <w:uiPriority w:val="99"/>
    <w:rPr>
      <w:kern w:val="2"/>
      <w:sz w:val="18"/>
      <w:szCs w:val="18"/>
    </w:rPr>
  </w:style>
  <w:style w:type="character" w:customStyle="1" w:styleId="407">
    <w:name w:val="页眉 字符1"/>
    <w:qFormat/>
    <w:uiPriority w:val="99"/>
    <w:rPr>
      <w:kern w:val="2"/>
      <w:sz w:val="18"/>
    </w:rPr>
  </w:style>
  <w:style w:type="character" w:customStyle="1" w:styleId="408">
    <w:name w:val="Item List in Table Char Char"/>
    <w:link w:val="409"/>
    <w:uiPriority w:val="0"/>
    <w:rPr>
      <w:sz w:val="21"/>
      <w:szCs w:val="21"/>
    </w:rPr>
  </w:style>
  <w:style w:type="paragraph" w:customStyle="1" w:styleId="409">
    <w:name w:val="Item List in Table"/>
    <w:basedOn w:val="1"/>
    <w:link w:val="408"/>
    <w:qFormat/>
    <w:uiPriority w:val="0"/>
    <w:pPr>
      <w:numPr>
        <w:ilvl w:val="0"/>
        <w:numId w:val="3"/>
      </w:numPr>
      <w:tabs>
        <w:tab w:val="left" w:pos="170"/>
      </w:tabs>
      <w:topLinePunct/>
      <w:adjustRightInd w:val="0"/>
      <w:snapToGrid w:val="0"/>
      <w:spacing w:before="80" w:after="80" w:line="240" w:lineRule="atLeast"/>
    </w:pPr>
    <w:rPr>
      <w:kern w:val="0"/>
      <w:szCs w:val="21"/>
    </w:rPr>
  </w:style>
  <w:style w:type="character" w:customStyle="1" w:styleId="410">
    <w:name w:val="正文文本 字符"/>
    <w:qFormat/>
    <w:uiPriority w:val="0"/>
    <w:rPr>
      <w:rFonts w:eastAsia="宋体"/>
      <w:kern w:val="2"/>
      <w:sz w:val="24"/>
      <w:lang w:val="en-US" w:eastAsia="zh-CN" w:bidi="ar-SA"/>
    </w:rPr>
  </w:style>
  <w:style w:type="character" w:customStyle="1" w:styleId="411">
    <w:name w:val="正文首行缩进 2 Char1"/>
    <w:semiHidden/>
    <w:uiPriority w:val="99"/>
  </w:style>
  <w:style w:type="character" w:customStyle="1" w:styleId="412">
    <w:name w:val="彩色网格 - 着色 1 字符"/>
    <w:link w:val="413"/>
    <w:uiPriority w:val="29"/>
    <w:rPr>
      <w:rFonts w:ascii="Calibri" w:hAnsi="Calibri"/>
      <w:i/>
      <w:iCs/>
      <w:color w:val="000000"/>
    </w:rPr>
  </w:style>
  <w:style w:type="paragraph" w:customStyle="1" w:styleId="413">
    <w:name w:val="彩色网格 - 着色 11"/>
    <w:basedOn w:val="1"/>
    <w:next w:val="1"/>
    <w:link w:val="412"/>
    <w:qFormat/>
    <w:uiPriority w:val="29"/>
    <w:pPr>
      <w:widowControl w:val="0"/>
      <w:spacing w:before="100" w:beforeAutospacing="1" w:after="100" w:afterAutospacing="1" w:line="360" w:lineRule="auto"/>
      <w:jc w:val="both"/>
    </w:pPr>
    <w:rPr>
      <w:rFonts w:ascii="Calibri" w:hAnsi="Calibri"/>
      <w:i/>
      <w:iCs/>
      <w:color w:val="000000"/>
      <w:kern w:val="0"/>
      <w:sz w:val="20"/>
    </w:rPr>
  </w:style>
  <w:style w:type="character" w:customStyle="1" w:styleId="414">
    <w:name w:val="正文文本 2 字符"/>
    <w:uiPriority w:val="99"/>
    <w:rPr>
      <w:rFonts w:eastAsia="宋体"/>
      <w:szCs w:val="24"/>
      <w:lang w:bidi="ar-SA"/>
    </w:rPr>
  </w:style>
  <w:style w:type="character" w:customStyle="1" w:styleId="415">
    <w:name w:val="批注框文本 字符1"/>
    <w:qFormat/>
    <w:uiPriority w:val="99"/>
    <w:rPr>
      <w:rFonts w:eastAsia="宋体"/>
      <w:kern w:val="2"/>
      <w:sz w:val="18"/>
      <w:lang w:val="en-US" w:eastAsia="zh-CN" w:bidi="ar-SA"/>
    </w:rPr>
  </w:style>
  <w:style w:type="character" w:customStyle="1" w:styleId="416">
    <w:name w:val="font_8"/>
    <w:uiPriority w:val="0"/>
  </w:style>
  <w:style w:type="character" w:customStyle="1" w:styleId="417">
    <w:name w:val="纯文本 字符1"/>
    <w:qFormat/>
    <w:uiPriority w:val="0"/>
    <w:rPr>
      <w:rFonts w:ascii="宋体" w:hAnsi="Courier New" w:eastAsia="宋体"/>
      <w:kern w:val="2"/>
      <w:sz w:val="21"/>
      <w:lang w:val="en-US" w:eastAsia="zh-CN"/>
    </w:rPr>
  </w:style>
  <w:style w:type="character" w:customStyle="1" w:styleId="418">
    <w:name w:val="尾注文本 Char2"/>
    <w:semiHidden/>
    <w:uiPriority w:val="99"/>
    <w:rPr>
      <w:rFonts w:ascii="Times New Roman" w:hAnsi="Times New Roman" w:eastAsia="宋体" w:cs="Times New Roman"/>
      <w:szCs w:val="20"/>
    </w:rPr>
  </w:style>
  <w:style w:type="character" w:customStyle="1" w:styleId="419">
    <w:name w:val="z-窗体顶端 字符"/>
    <w:uiPriority w:val="99"/>
    <w:rPr>
      <w:rFonts w:ascii="Arial" w:hAnsi="Arial" w:cs="Arial"/>
      <w:vanish/>
      <w:sz w:val="16"/>
      <w:szCs w:val="16"/>
    </w:rPr>
  </w:style>
  <w:style w:type="character" w:customStyle="1" w:styleId="420">
    <w:name w:val="标题 1 字符"/>
    <w:uiPriority w:val="0"/>
    <w:rPr>
      <w:b/>
      <w:bCs/>
      <w:kern w:val="44"/>
      <w:sz w:val="32"/>
      <w:szCs w:val="44"/>
    </w:rPr>
  </w:style>
  <w:style w:type="character" w:customStyle="1" w:styleId="421">
    <w:name w:val="页脚 字符1"/>
    <w:uiPriority w:val="99"/>
    <w:rPr>
      <w:kern w:val="2"/>
      <w:sz w:val="18"/>
    </w:rPr>
  </w:style>
  <w:style w:type="character" w:customStyle="1" w:styleId="422">
    <w:name w:val="批注主题 字符"/>
    <w:uiPriority w:val="99"/>
    <w:rPr>
      <w:rFonts w:eastAsia="宋体"/>
      <w:b/>
      <w:kern w:val="2"/>
      <w:sz w:val="21"/>
      <w:lang w:val="en-US" w:eastAsia="zh-CN" w:bidi="ar-SA"/>
    </w:rPr>
  </w:style>
  <w:style w:type="character" w:customStyle="1" w:styleId="423">
    <w:name w:val="日期 字符"/>
    <w:qFormat/>
    <w:uiPriority w:val="99"/>
    <w:rPr>
      <w:rFonts w:ascii="仿宋_GB2312" w:eastAsia="仿宋_GB2312"/>
      <w:sz w:val="24"/>
      <w:szCs w:val="24"/>
      <w:lang w:bidi="ar-SA"/>
    </w:rPr>
  </w:style>
  <w:style w:type="character" w:customStyle="1" w:styleId="424">
    <w:name w:val="中等深浅网格 11"/>
    <w:semiHidden/>
    <w:uiPriority w:val="99"/>
    <w:rPr>
      <w:color w:val="808080"/>
    </w:rPr>
  </w:style>
  <w:style w:type="character" w:customStyle="1" w:styleId="425">
    <w:name w:val="批注文字 字符"/>
    <w:qFormat/>
    <w:uiPriority w:val="99"/>
    <w:rPr>
      <w:rFonts w:eastAsia="宋体"/>
      <w:kern w:val="2"/>
      <w:sz w:val="21"/>
      <w:lang w:val="en-US" w:eastAsia="zh-CN" w:bidi="ar-SA"/>
    </w:rPr>
  </w:style>
  <w:style w:type="character" w:customStyle="1" w:styleId="426">
    <w:name w:val="HTML 预设格式 字符"/>
    <w:uiPriority w:val="99"/>
    <w:rPr>
      <w:rFonts w:ascii="宋体" w:hAnsi="宋体"/>
      <w:sz w:val="24"/>
      <w:szCs w:val="24"/>
    </w:rPr>
  </w:style>
  <w:style w:type="character" w:customStyle="1" w:styleId="427">
    <w:name w:val="正文文本 2 Char4"/>
    <w:semiHidden/>
    <w:uiPriority w:val="99"/>
    <w:rPr>
      <w:rFonts w:ascii="Times New Roman" w:hAnsi="Times New Roman" w:eastAsia="宋体" w:cs="Times New Roman"/>
      <w:szCs w:val="20"/>
    </w:rPr>
  </w:style>
  <w:style w:type="character" w:customStyle="1" w:styleId="428">
    <w:name w:val="标题 3 字符1"/>
    <w:qFormat/>
    <w:uiPriority w:val="99"/>
    <w:rPr>
      <w:rFonts w:eastAsia="宋体"/>
      <w:b/>
      <w:kern w:val="2"/>
      <w:sz w:val="32"/>
      <w:lang w:val="en-US" w:eastAsia="zh-CN" w:bidi="ar-SA"/>
    </w:rPr>
  </w:style>
  <w:style w:type="character" w:customStyle="1" w:styleId="429">
    <w:name w:val="正文文本缩进 2 Char2"/>
    <w:semiHidden/>
    <w:uiPriority w:val="99"/>
    <w:rPr>
      <w:rFonts w:ascii="Times New Roman" w:hAnsi="Times New Roman" w:eastAsia="宋体" w:cs="Times New Roman"/>
      <w:szCs w:val="20"/>
    </w:rPr>
  </w:style>
  <w:style w:type="character" w:customStyle="1" w:styleId="430">
    <w:name w:val="标题 4 字符1"/>
    <w:qFormat/>
    <w:uiPriority w:val="99"/>
    <w:rPr>
      <w:rFonts w:ascii="Arial" w:hAnsi="Arial" w:eastAsia="黑体"/>
      <w:b/>
      <w:kern w:val="2"/>
      <w:sz w:val="28"/>
      <w:lang w:val="en-US" w:eastAsia="zh-CN" w:bidi="ar-SA"/>
    </w:rPr>
  </w:style>
  <w:style w:type="character" w:customStyle="1" w:styleId="431">
    <w:name w:val="一级标题 字符"/>
    <w:link w:val="432"/>
    <w:uiPriority w:val="0"/>
    <w:rPr>
      <w:rFonts w:ascii="仿宋" w:hAnsi="仿宋" w:eastAsia="仿宋" w:cs="仿宋_GB2312"/>
      <w:b/>
      <w:kern w:val="2"/>
      <w:sz w:val="32"/>
      <w:szCs w:val="24"/>
    </w:rPr>
  </w:style>
  <w:style w:type="paragraph" w:customStyle="1" w:styleId="432">
    <w:name w:val="一级标题"/>
    <w:basedOn w:val="1"/>
    <w:next w:val="1"/>
    <w:link w:val="431"/>
    <w:qFormat/>
    <w:uiPriority w:val="0"/>
    <w:pPr>
      <w:widowControl w:val="0"/>
      <w:spacing w:line="360" w:lineRule="auto"/>
      <w:jc w:val="both"/>
      <w:outlineLvl w:val="0"/>
    </w:pPr>
    <w:rPr>
      <w:rFonts w:ascii="仿宋" w:hAnsi="仿宋" w:eastAsia="仿宋" w:cs="仿宋_GB2312"/>
      <w:b/>
      <w:sz w:val="32"/>
      <w:szCs w:val="24"/>
    </w:rPr>
  </w:style>
  <w:style w:type="character" w:customStyle="1" w:styleId="433">
    <w:name w:val="标题 1 字符1"/>
    <w:qFormat/>
    <w:uiPriority w:val="0"/>
    <w:rPr>
      <w:rFonts w:ascii="仿宋_GB2312" w:eastAsia="仿宋_GB2312"/>
      <w:b/>
      <w:color w:val="000000"/>
      <w:kern w:val="2"/>
      <w:sz w:val="36"/>
      <w:lang w:val="en-US" w:eastAsia="zh-CN" w:bidi="ar-SA"/>
    </w:rPr>
  </w:style>
  <w:style w:type="character" w:customStyle="1" w:styleId="434">
    <w:name w:val="标准文本 Char"/>
    <w:qFormat/>
    <w:uiPriority w:val="0"/>
    <w:rPr>
      <w:rFonts w:ascii="Times New Roman" w:hAnsi="Times New Roman" w:eastAsia="宋体" w:cs="Times New Roman"/>
      <w:kern w:val="0"/>
      <w:szCs w:val="20"/>
      <w:lang w:val="zh-CN"/>
    </w:rPr>
  </w:style>
  <w:style w:type="character" w:customStyle="1" w:styleId="435">
    <w:name w:val="明显引用 Char1"/>
    <w:uiPriority w:val="30"/>
    <w:rPr>
      <w:rFonts w:ascii="Times New Roman" w:hAnsi="Times New Roman" w:eastAsia="宋体" w:cs="Times New Roman"/>
      <w:b/>
      <w:bCs/>
      <w:i/>
      <w:iCs/>
      <w:color w:val="4F81BD"/>
      <w:szCs w:val="20"/>
    </w:rPr>
  </w:style>
  <w:style w:type="character" w:customStyle="1" w:styleId="436">
    <w:name w:val="项目符号1号 Char"/>
    <w:link w:val="437"/>
    <w:locked/>
    <w:uiPriority w:val="99"/>
    <w:rPr>
      <w:rFonts w:ascii="Arial" w:hAnsi="Arial" w:eastAsia="仿宋_GB2312" w:cs="宋体"/>
      <w:kern w:val="2"/>
      <w:sz w:val="24"/>
      <w:szCs w:val="24"/>
      <w:lang w:val="en-US" w:eastAsia="zh-CN" w:bidi="ar-SA"/>
    </w:rPr>
  </w:style>
  <w:style w:type="paragraph" w:customStyle="1" w:styleId="437">
    <w:name w:val="项目符号1号"/>
    <w:link w:val="436"/>
    <w:uiPriority w:val="99"/>
    <w:pPr>
      <w:tabs>
        <w:tab w:val="left" w:pos="0"/>
      </w:tabs>
      <w:spacing w:line="360" w:lineRule="auto"/>
    </w:pPr>
    <w:rPr>
      <w:rFonts w:ascii="Arial" w:hAnsi="Arial" w:eastAsia="仿宋_GB2312" w:cs="宋体"/>
      <w:kern w:val="2"/>
      <w:sz w:val="24"/>
      <w:szCs w:val="24"/>
      <w:lang w:val="en-US" w:eastAsia="zh-CN" w:bidi="ar-SA"/>
    </w:rPr>
  </w:style>
  <w:style w:type="character" w:customStyle="1" w:styleId="438">
    <w:name w:val="纯文本 Char4"/>
    <w:semiHidden/>
    <w:uiPriority w:val="99"/>
    <w:rPr>
      <w:rFonts w:ascii="宋体" w:hAnsi="Courier New" w:eastAsia="宋体" w:cs="Courier New"/>
      <w:szCs w:val="21"/>
    </w:rPr>
  </w:style>
  <w:style w:type="character" w:customStyle="1" w:styleId="439">
    <w:name w:val="首行缩进 字符"/>
    <w:link w:val="440"/>
    <w:uiPriority w:val="0"/>
    <w:rPr>
      <w:rFonts w:eastAsia="仿宋"/>
      <w:sz w:val="24"/>
      <w:szCs w:val="24"/>
    </w:rPr>
  </w:style>
  <w:style w:type="paragraph" w:customStyle="1" w:styleId="440">
    <w:name w:val="首行缩进"/>
    <w:basedOn w:val="1"/>
    <w:next w:val="1"/>
    <w:link w:val="439"/>
    <w:qFormat/>
    <w:uiPriority w:val="0"/>
    <w:pPr>
      <w:spacing w:line="360" w:lineRule="auto"/>
      <w:ind w:firstLine="200" w:firstLineChars="200"/>
    </w:pPr>
    <w:rPr>
      <w:rFonts w:eastAsia="仿宋"/>
      <w:kern w:val="0"/>
      <w:sz w:val="24"/>
      <w:szCs w:val="24"/>
    </w:rPr>
  </w:style>
  <w:style w:type="character" w:customStyle="1" w:styleId="441">
    <w:name w:val="页脚 字符"/>
    <w:uiPriority w:val="99"/>
    <w:rPr>
      <w:sz w:val="18"/>
      <w:szCs w:val="18"/>
    </w:rPr>
  </w:style>
  <w:style w:type="character" w:customStyle="1" w:styleId="442">
    <w:name w:val="GP正文(首行缩进) Char Char"/>
    <w:link w:val="443"/>
    <w:locked/>
    <w:uiPriority w:val="0"/>
    <w:rPr>
      <w:sz w:val="21"/>
      <w:szCs w:val="21"/>
    </w:rPr>
  </w:style>
  <w:style w:type="paragraph" w:customStyle="1" w:styleId="443">
    <w:name w:val="GP正文(首行缩进)"/>
    <w:basedOn w:val="1"/>
    <w:link w:val="442"/>
    <w:qFormat/>
    <w:uiPriority w:val="0"/>
    <w:pPr>
      <w:widowControl w:val="0"/>
      <w:spacing w:line="360" w:lineRule="auto"/>
    </w:pPr>
    <w:rPr>
      <w:kern w:val="0"/>
      <w:szCs w:val="21"/>
    </w:rPr>
  </w:style>
  <w:style w:type="character" w:customStyle="1" w:styleId="444">
    <w:name w:val="标题 4 字符"/>
    <w:uiPriority w:val="0"/>
    <w:rPr>
      <w:rFonts w:ascii="Cambria" w:hAnsi="Cambria" w:eastAsia="宋体" w:cs="Times New Roman"/>
      <w:b/>
      <w:bCs/>
      <w:sz w:val="28"/>
      <w:szCs w:val="28"/>
    </w:rPr>
  </w:style>
  <w:style w:type="character" w:customStyle="1" w:styleId="445">
    <w:name w:val="列表符号 Char1"/>
    <w:link w:val="446"/>
    <w:uiPriority w:val="0"/>
    <w:rPr>
      <w:rFonts w:ascii="宋体" w:hAnsi="宋体"/>
      <w:bCs/>
      <w:kern w:val="21"/>
      <w:sz w:val="24"/>
      <w:szCs w:val="24"/>
      <w:lang w:val="zh-CN"/>
    </w:rPr>
  </w:style>
  <w:style w:type="paragraph" w:customStyle="1" w:styleId="446">
    <w:name w:val="列表符号"/>
    <w:basedOn w:val="1"/>
    <w:next w:val="1"/>
    <w:link w:val="445"/>
    <w:qFormat/>
    <w:uiPriority w:val="0"/>
    <w:pPr>
      <w:widowControl w:val="0"/>
      <w:tabs>
        <w:tab w:val="left" w:pos="0"/>
      </w:tabs>
      <w:spacing w:line="360" w:lineRule="auto"/>
      <w:ind w:firstLine="480" w:firstLineChars="200"/>
      <w:jc w:val="both"/>
    </w:pPr>
    <w:rPr>
      <w:rFonts w:ascii="宋体" w:hAnsi="宋体"/>
      <w:bCs/>
      <w:kern w:val="21"/>
      <w:sz w:val="24"/>
      <w:szCs w:val="24"/>
      <w:lang w:val="zh-CN"/>
    </w:rPr>
  </w:style>
  <w:style w:type="character" w:customStyle="1" w:styleId="447">
    <w:name w:val="z-窗体顶端 Char2"/>
    <w:semiHidden/>
    <w:uiPriority w:val="99"/>
    <w:rPr>
      <w:rFonts w:ascii="Arial" w:hAnsi="Arial" w:eastAsia="宋体" w:cs="Arial"/>
      <w:vanish/>
      <w:sz w:val="16"/>
      <w:szCs w:val="16"/>
    </w:rPr>
  </w:style>
  <w:style w:type="character" w:customStyle="1" w:styleId="448">
    <w:name w:val="正文文本 3 字符"/>
    <w:uiPriority w:val="99"/>
    <w:rPr>
      <w:rFonts w:eastAsia="宋体"/>
      <w:lang w:bidi="ar-SA"/>
    </w:rPr>
  </w:style>
  <w:style w:type="character" w:customStyle="1" w:styleId="449">
    <w:name w:val="c1"/>
    <w:uiPriority w:val="0"/>
    <w:rPr>
      <w:sz w:val="24"/>
      <w:szCs w:val="24"/>
    </w:rPr>
  </w:style>
  <w:style w:type="character" w:customStyle="1" w:styleId="450">
    <w:name w:val="正文文本 Char"/>
    <w:link w:val="26"/>
    <w:qFormat/>
    <w:uiPriority w:val="0"/>
    <w:rPr>
      <w:rFonts w:eastAsia="宋体"/>
      <w:kern w:val="2"/>
      <w:sz w:val="24"/>
      <w:lang w:val="en-US" w:eastAsia="zh-CN" w:bidi="ar-SA"/>
    </w:rPr>
  </w:style>
  <w:style w:type="character" w:customStyle="1" w:styleId="451">
    <w:name w:val="批注框文本 Char1"/>
    <w:uiPriority w:val="0"/>
    <w:rPr>
      <w:kern w:val="2"/>
      <w:sz w:val="18"/>
    </w:rPr>
  </w:style>
  <w:style w:type="character" w:customStyle="1" w:styleId="452">
    <w:name w:val="脚注文本 Char1"/>
    <w:semiHidden/>
    <w:uiPriority w:val="99"/>
    <w:rPr>
      <w:rFonts w:ascii="Times New Roman" w:hAnsi="Times New Roman" w:eastAsia="宋体" w:cs="Times New Roman"/>
      <w:sz w:val="18"/>
      <w:szCs w:val="18"/>
    </w:rPr>
  </w:style>
  <w:style w:type="character" w:customStyle="1" w:styleId="453">
    <w:name w:val="正文文本缩进 3 字符"/>
    <w:qFormat/>
    <w:uiPriority w:val="99"/>
    <w:rPr>
      <w:rFonts w:eastAsia="宋体"/>
      <w:sz w:val="24"/>
      <w:lang w:bidi="ar-SA"/>
    </w:rPr>
  </w:style>
  <w:style w:type="character" w:customStyle="1" w:styleId="454">
    <w:name w:val="标题 7 字符"/>
    <w:qFormat/>
    <w:uiPriority w:val="0"/>
    <w:rPr>
      <w:rFonts w:eastAsia="宋体"/>
      <w:b/>
      <w:bCs/>
      <w:kern w:val="2"/>
      <w:sz w:val="24"/>
      <w:szCs w:val="24"/>
      <w:lang w:val="en-US" w:eastAsia="zh-CN" w:bidi="ar-SA"/>
    </w:rPr>
  </w:style>
  <w:style w:type="character" w:customStyle="1" w:styleId="455">
    <w:name w:val="浅色底纹 - 着色 2 字符"/>
    <w:link w:val="456"/>
    <w:uiPriority w:val="30"/>
    <w:rPr>
      <w:rFonts w:ascii="Calibri" w:hAnsi="Calibri"/>
      <w:b/>
      <w:bCs/>
      <w:i/>
      <w:iCs/>
      <w:color w:val="4F81BD"/>
    </w:rPr>
  </w:style>
  <w:style w:type="paragraph" w:customStyle="1" w:styleId="456">
    <w:name w:val="浅色底纹 - 着色 21"/>
    <w:basedOn w:val="1"/>
    <w:next w:val="1"/>
    <w:link w:val="455"/>
    <w:qFormat/>
    <w:uiPriority w:val="30"/>
    <w:pPr>
      <w:widowControl w:val="0"/>
      <w:pBdr>
        <w:bottom w:val="single" w:color="4F81BD" w:sz="4" w:space="4"/>
      </w:pBdr>
      <w:spacing w:before="100" w:beforeAutospacing="1" w:after="100" w:afterAutospacing="1" w:line="360" w:lineRule="auto"/>
      <w:ind w:left="936" w:right="936"/>
      <w:jc w:val="both"/>
    </w:pPr>
    <w:rPr>
      <w:rFonts w:ascii="Calibri" w:hAnsi="Calibri"/>
      <w:b/>
      <w:bCs/>
      <w:i/>
      <w:iCs/>
      <w:color w:val="4F81BD"/>
      <w:kern w:val="0"/>
      <w:sz w:val="20"/>
    </w:rPr>
  </w:style>
  <w:style w:type="character" w:customStyle="1" w:styleId="457">
    <w:name w:val="标题 Char4"/>
    <w:uiPriority w:val="10"/>
    <w:rPr>
      <w:rFonts w:ascii="Cambria" w:hAnsi="Cambria" w:eastAsia="宋体" w:cs="Times New Roman"/>
      <w:b/>
      <w:bCs/>
      <w:sz w:val="32"/>
      <w:szCs w:val="32"/>
    </w:rPr>
  </w:style>
  <w:style w:type="character" w:customStyle="1" w:styleId="458">
    <w:name w:val="正文文本 Char1"/>
    <w:uiPriority w:val="0"/>
    <w:rPr>
      <w:kern w:val="2"/>
      <w:sz w:val="24"/>
    </w:rPr>
  </w:style>
  <w:style w:type="character" w:customStyle="1" w:styleId="459">
    <w:name w:val="unnamed21"/>
    <w:uiPriority w:val="0"/>
    <w:rPr>
      <w:color w:val="000000"/>
      <w:sz w:val="20"/>
      <w:szCs w:val="20"/>
    </w:rPr>
  </w:style>
  <w:style w:type="character" w:customStyle="1" w:styleId="460">
    <w:name w:val="批注框文本 Char"/>
    <w:link w:val="41"/>
    <w:qFormat/>
    <w:uiPriority w:val="99"/>
    <w:rPr>
      <w:rFonts w:eastAsia="宋体"/>
      <w:kern w:val="2"/>
      <w:sz w:val="18"/>
      <w:lang w:val="en-US" w:eastAsia="zh-CN" w:bidi="ar-SA"/>
    </w:rPr>
  </w:style>
  <w:style w:type="character" w:customStyle="1" w:styleId="461">
    <w:name w:val="正文文本缩进 3 Char2"/>
    <w:uiPriority w:val="0"/>
    <w:rPr>
      <w:kern w:val="2"/>
      <w:sz w:val="16"/>
      <w:szCs w:val="16"/>
    </w:rPr>
  </w:style>
  <w:style w:type="character" w:customStyle="1" w:styleId="462">
    <w:name w:val="headline-content2"/>
    <w:uiPriority w:val="0"/>
  </w:style>
  <w:style w:type="character" w:customStyle="1" w:styleId="463">
    <w:name w:val="line1"/>
    <w:uiPriority w:val="0"/>
  </w:style>
  <w:style w:type="character" w:customStyle="1" w:styleId="464">
    <w:name w:val="文档结构图 Char1"/>
    <w:uiPriority w:val="0"/>
    <w:rPr>
      <w:kern w:val="2"/>
      <w:sz w:val="21"/>
      <w:shd w:val="clear" w:color="auto" w:fill="000080"/>
    </w:rPr>
  </w:style>
  <w:style w:type="character" w:customStyle="1" w:styleId="465">
    <w:name w:val="正文2 Char Char Char"/>
    <w:uiPriority w:val="0"/>
    <w:rPr>
      <w:rFonts w:eastAsia="宋体"/>
      <w:kern w:val="2"/>
      <w:sz w:val="24"/>
      <w:lang w:val="en-US" w:eastAsia="zh-CN" w:bidi="ar-SA"/>
    </w:rPr>
  </w:style>
  <w:style w:type="character" w:customStyle="1" w:styleId="466">
    <w:name w:val="fontblank12"/>
    <w:basedOn w:val="72"/>
    <w:uiPriority w:val="99"/>
  </w:style>
  <w:style w:type="character" w:customStyle="1" w:styleId="467">
    <w:name w:val="样式1 Char"/>
    <w:link w:val="468"/>
    <w:qFormat/>
    <w:uiPriority w:val="0"/>
    <w:rPr>
      <w:kern w:val="2"/>
      <w:sz w:val="18"/>
    </w:rPr>
  </w:style>
  <w:style w:type="paragraph" w:customStyle="1" w:styleId="468">
    <w:name w:val="样式1"/>
    <w:basedOn w:val="43"/>
    <w:link w:val="467"/>
    <w:qFormat/>
    <w:uiPriority w:val="0"/>
    <w:pPr>
      <w:widowControl w:val="0"/>
      <w:pBdr>
        <w:bottom w:val="none" w:color="auto" w:sz="0" w:space="0"/>
      </w:pBdr>
    </w:pPr>
  </w:style>
  <w:style w:type="character" w:customStyle="1" w:styleId="469">
    <w:name w:val="标题 Char"/>
    <w:link w:val="60"/>
    <w:uiPriority w:val="10"/>
    <w:rPr>
      <w:rFonts w:eastAsia="黑体"/>
      <w:b/>
      <w:sz w:val="28"/>
      <w:lang w:val="en-GB" w:eastAsia="zh-CN" w:bidi="ar-SA"/>
    </w:rPr>
  </w:style>
  <w:style w:type="character" w:customStyle="1" w:styleId="470">
    <w:name w:val="HTML 预设格式 Char1"/>
    <w:semiHidden/>
    <w:uiPriority w:val="99"/>
    <w:rPr>
      <w:rFonts w:ascii="Courier New" w:hAnsi="Courier New" w:cs="Courier New"/>
      <w:kern w:val="2"/>
    </w:rPr>
  </w:style>
  <w:style w:type="character" w:customStyle="1" w:styleId="471">
    <w:name w:val="apple-converted-space"/>
    <w:uiPriority w:val="0"/>
  </w:style>
  <w:style w:type="character" w:customStyle="1" w:styleId="472">
    <w:name w:val="标题 5 Char"/>
    <w:link w:val="6"/>
    <w:qFormat/>
    <w:uiPriority w:val="9"/>
    <w:rPr>
      <w:b/>
      <w:bCs/>
      <w:kern w:val="2"/>
      <w:sz w:val="28"/>
      <w:szCs w:val="28"/>
    </w:rPr>
  </w:style>
  <w:style w:type="character" w:customStyle="1" w:styleId="473">
    <w:name w:val="正文1 Char"/>
    <w:link w:val="474"/>
    <w:locked/>
    <w:uiPriority w:val="0"/>
    <w:rPr>
      <w:rFonts w:ascii="Arial" w:hAnsi="Arial"/>
      <w:sz w:val="24"/>
    </w:rPr>
  </w:style>
  <w:style w:type="paragraph" w:customStyle="1" w:styleId="474">
    <w:name w:val="正文1"/>
    <w:basedOn w:val="1"/>
    <w:link w:val="473"/>
    <w:qFormat/>
    <w:uiPriority w:val="0"/>
    <w:pPr>
      <w:widowControl/>
      <w:overflowPunct w:val="0"/>
      <w:autoSpaceDE w:val="0"/>
      <w:autoSpaceDN w:val="0"/>
      <w:adjustRightInd w:val="0"/>
      <w:spacing w:before="120" w:beforeLines="0" w:after="120" w:afterLines="0" w:line="360" w:lineRule="auto"/>
      <w:ind w:firstLine="567"/>
      <w:textAlignment w:val="baseline"/>
    </w:pPr>
    <w:rPr>
      <w:rFonts w:ascii="Arial" w:hAnsi="Arial"/>
      <w:kern w:val="0"/>
      <w:sz w:val="24"/>
    </w:rPr>
  </w:style>
  <w:style w:type="character" w:customStyle="1" w:styleId="475">
    <w:name w:val="Header Char"/>
    <w:uiPriority w:val="0"/>
    <w:rPr>
      <w:rFonts w:ascii="Times New Roman" w:hAnsi="Times New Roman"/>
      <w:kern w:val="0"/>
      <w:sz w:val="18"/>
      <w:szCs w:val="18"/>
      <w:lang w:val="zh-CN" w:eastAsia="en-US"/>
    </w:rPr>
  </w:style>
  <w:style w:type="character" w:customStyle="1" w:styleId="476">
    <w:name w:val="Balloon Text Char"/>
    <w:semiHidden/>
    <w:uiPriority w:val="99"/>
    <w:rPr>
      <w:rFonts w:ascii="Times New Roman" w:hAnsi="Times New Roman"/>
      <w:kern w:val="0"/>
      <w:sz w:val="16"/>
      <w:szCs w:val="0"/>
      <w:lang w:val="zh-CN" w:eastAsia="en-US"/>
    </w:rPr>
  </w:style>
  <w:style w:type="character" w:customStyle="1" w:styleId="477">
    <w:name w:val="mymenu1"/>
    <w:uiPriority w:val="0"/>
    <w:rPr>
      <w:color w:val="2D3D50"/>
      <w:sz w:val="18"/>
      <w:szCs w:val="18"/>
    </w:rPr>
  </w:style>
  <w:style w:type="character" w:customStyle="1" w:styleId="478">
    <w:name w:val="明显引用 Char"/>
    <w:link w:val="479"/>
    <w:uiPriority w:val="30"/>
    <w:rPr>
      <w:rFonts w:ascii="Calibri" w:hAnsi="Calibri"/>
      <w:b/>
      <w:bCs/>
      <w:i/>
      <w:iCs/>
      <w:color w:val="4F81BD"/>
    </w:rPr>
  </w:style>
  <w:style w:type="paragraph" w:styleId="479">
    <w:name w:val="Intense Quote"/>
    <w:basedOn w:val="1"/>
    <w:next w:val="1"/>
    <w:link w:val="478"/>
    <w:qFormat/>
    <w:uiPriority w:val="30"/>
    <w:pPr>
      <w:widowControl w:val="0"/>
      <w:pBdr>
        <w:bottom w:val="single" w:color="4F81BD" w:sz="4" w:space="4"/>
      </w:pBdr>
      <w:spacing w:before="100" w:beforeAutospacing="1" w:after="100" w:afterAutospacing="1" w:line="360" w:lineRule="auto"/>
      <w:ind w:left="936" w:right="936"/>
      <w:jc w:val="both"/>
    </w:pPr>
    <w:rPr>
      <w:rFonts w:ascii="Calibri" w:hAnsi="Calibri"/>
      <w:b/>
      <w:bCs/>
      <w:i/>
      <w:iCs/>
      <w:color w:val="4F81BD"/>
      <w:kern w:val="0"/>
      <w:sz w:val="20"/>
    </w:rPr>
  </w:style>
  <w:style w:type="character" w:customStyle="1" w:styleId="480">
    <w:name w:val="副标题 Char"/>
    <w:link w:val="46"/>
    <w:uiPriority w:val="11"/>
    <w:rPr>
      <w:rFonts w:ascii="Cambria" w:hAnsi="Cambria"/>
      <w:b/>
      <w:bCs/>
      <w:kern w:val="28"/>
      <w:sz w:val="32"/>
      <w:szCs w:val="32"/>
    </w:rPr>
  </w:style>
  <w:style w:type="character" w:customStyle="1" w:styleId="481">
    <w:name w:val="font91"/>
    <w:uiPriority w:val="0"/>
    <w:rPr>
      <w:rFonts w:hint="eastAsia" w:ascii="宋体" w:hAnsi="宋体" w:eastAsia="宋体" w:cs="宋体"/>
      <w:color w:val="000000"/>
      <w:sz w:val="18"/>
      <w:szCs w:val="18"/>
      <w:u w:val="none"/>
    </w:rPr>
  </w:style>
  <w:style w:type="character" w:customStyle="1" w:styleId="482">
    <w:name w:val="font141"/>
    <w:qFormat/>
    <w:uiPriority w:val="0"/>
    <w:rPr>
      <w:rFonts w:hint="default" w:ascii="Arial" w:hAnsi="Arial" w:cs="Arial"/>
      <w:color w:val="000000"/>
      <w:sz w:val="20"/>
      <w:szCs w:val="20"/>
      <w:u w:val="none"/>
    </w:rPr>
  </w:style>
  <w:style w:type="character" w:customStyle="1" w:styleId="483">
    <w:name w:val="font101"/>
    <w:qFormat/>
    <w:uiPriority w:val="99"/>
    <w:rPr>
      <w:rFonts w:hint="eastAsia" w:ascii="宋体" w:hAnsi="宋体" w:eastAsia="宋体" w:cs="宋体"/>
      <w:color w:val="000000"/>
      <w:sz w:val="21"/>
      <w:szCs w:val="21"/>
      <w:u w:val="none"/>
    </w:rPr>
  </w:style>
  <w:style w:type="character" w:customStyle="1" w:styleId="484">
    <w:name w:val="尾注文本 Char"/>
    <w:link w:val="40"/>
    <w:uiPriority w:val="0"/>
    <w:rPr>
      <w:sz w:val="24"/>
    </w:rPr>
  </w:style>
  <w:style w:type="character" w:customStyle="1" w:styleId="485">
    <w:name w:val="标题 1 Char"/>
    <w:link w:val="2"/>
    <w:qFormat/>
    <w:uiPriority w:val="9"/>
    <w:rPr>
      <w:rFonts w:ascii="仿宋_GB2312" w:eastAsia="仿宋_GB2312"/>
      <w:b/>
      <w:color w:val="000000"/>
      <w:kern w:val="2"/>
      <w:sz w:val="36"/>
    </w:rPr>
  </w:style>
  <w:style w:type="character" w:customStyle="1" w:styleId="486">
    <w:name w:val="style21"/>
    <w:uiPriority w:val="99"/>
    <w:rPr>
      <w:sz w:val="22"/>
      <w:szCs w:val="22"/>
    </w:rPr>
  </w:style>
  <w:style w:type="character" w:customStyle="1" w:styleId="487">
    <w:name w:val="style141"/>
    <w:uiPriority w:val="0"/>
  </w:style>
  <w:style w:type="character" w:customStyle="1" w:styleId="488">
    <w:name w:val="网格表 1 浅色1"/>
    <w:qFormat/>
    <w:uiPriority w:val="33"/>
    <w:rPr>
      <w:b/>
      <w:bCs/>
      <w:smallCaps/>
      <w:spacing w:val="5"/>
    </w:rPr>
  </w:style>
  <w:style w:type="character" w:customStyle="1" w:styleId="489">
    <w:name w:val="方案正文 Char Char"/>
    <w:link w:val="490"/>
    <w:uiPriority w:val="0"/>
    <w:rPr>
      <w:rFonts w:ascii="仿宋_GB2312" w:eastAsia="仿宋_GB2312"/>
      <w:sz w:val="28"/>
    </w:rPr>
  </w:style>
  <w:style w:type="paragraph" w:customStyle="1" w:styleId="490">
    <w:name w:val="方案正文"/>
    <w:basedOn w:val="1"/>
    <w:link w:val="489"/>
    <w:uiPriority w:val="0"/>
    <w:pPr>
      <w:autoSpaceDE w:val="0"/>
      <w:autoSpaceDN w:val="0"/>
      <w:adjustRightInd w:val="0"/>
      <w:snapToGrid w:val="0"/>
      <w:spacing w:line="500" w:lineRule="atLeast"/>
      <w:ind w:firstLine="561"/>
    </w:pPr>
    <w:rPr>
      <w:rFonts w:ascii="仿宋_GB2312" w:eastAsia="仿宋_GB2312"/>
      <w:kern w:val="0"/>
      <w:sz w:val="28"/>
    </w:rPr>
  </w:style>
  <w:style w:type="character" w:customStyle="1" w:styleId="491">
    <w:name w:val="正文文本缩进 Char4"/>
    <w:semiHidden/>
    <w:uiPriority w:val="99"/>
    <w:rPr>
      <w:rFonts w:ascii="Times New Roman" w:hAnsi="Times New Roman" w:eastAsia="宋体" w:cs="Times New Roman"/>
      <w:szCs w:val="20"/>
    </w:rPr>
  </w:style>
  <w:style w:type="character" w:customStyle="1" w:styleId="492">
    <w:name w:val="custbt1"/>
    <w:uiPriority w:val="0"/>
    <w:rPr>
      <w:rFonts w:hint="default"/>
      <w:color w:val="0066CC"/>
      <w:sz w:val="20"/>
      <w:szCs w:val="20"/>
    </w:rPr>
  </w:style>
  <w:style w:type="character" w:customStyle="1" w:styleId="493">
    <w:name w:val="无格式表格 31"/>
    <w:qFormat/>
    <w:uiPriority w:val="19"/>
    <w:rPr>
      <w:i/>
      <w:iCs/>
      <w:color w:val="808080"/>
    </w:rPr>
  </w:style>
  <w:style w:type="character" w:customStyle="1" w:styleId="494">
    <w:name w:val="正文文本缩进 2 Char1"/>
    <w:semiHidden/>
    <w:uiPriority w:val="99"/>
  </w:style>
  <w:style w:type="character" w:customStyle="1" w:styleId="495">
    <w:name w:val="正文首行缩进 字符"/>
    <w:qFormat/>
    <w:uiPriority w:val="0"/>
    <w:rPr>
      <w:rFonts w:eastAsia="宋体"/>
      <w:kern w:val="2"/>
      <w:sz w:val="24"/>
      <w:lang w:val="en-US" w:eastAsia="zh-CN" w:bidi="ar-SA"/>
    </w:rPr>
  </w:style>
  <w:style w:type="character" w:customStyle="1" w:styleId="496">
    <w:name w:val="标题 4 Char1"/>
    <w:uiPriority w:val="0"/>
    <w:rPr>
      <w:rFonts w:ascii="Arial" w:hAnsi="Arial" w:eastAsia="黑体"/>
      <w:b/>
      <w:kern w:val="2"/>
      <w:sz w:val="28"/>
    </w:rPr>
  </w:style>
  <w:style w:type="character" w:customStyle="1" w:styleId="497">
    <w:name w:val="style211"/>
    <w:uiPriority w:val="0"/>
    <w:rPr>
      <w:sz w:val="20"/>
    </w:rPr>
  </w:style>
  <w:style w:type="character" w:customStyle="1" w:styleId="498">
    <w:name w:val="标题 Char2"/>
    <w:uiPriority w:val="0"/>
    <w:rPr>
      <w:rFonts w:ascii="Cambria" w:hAnsi="Cambria" w:cs="Times New Roman"/>
      <w:b/>
      <w:bCs/>
      <w:kern w:val="2"/>
      <w:sz w:val="32"/>
      <w:szCs w:val="32"/>
    </w:rPr>
  </w:style>
  <w:style w:type="character" w:customStyle="1" w:styleId="499">
    <w:name w:val="word_size2"/>
    <w:uiPriority w:val="99"/>
    <w:rPr>
      <w:rFonts w:cs="Times New Roman"/>
    </w:rPr>
  </w:style>
  <w:style w:type="character" w:customStyle="1" w:styleId="500">
    <w:name w:val="样式 仿宋_GB2312 小四1"/>
    <w:uiPriority w:val="99"/>
    <w:rPr>
      <w:rFonts w:ascii="仿宋_GB2312" w:hAnsi="仿宋_GB2312" w:eastAsia="楷体_GB2312" w:cs="Times New Roman"/>
      <w:sz w:val="24"/>
    </w:rPr>
  </w:style>
  <w:style w:type="character" w:customStyle="1" w:styleId="501">
    <w:name w:val="标书正文格式 Char Char Char"/>
    <w:link w:val="502"/>
    <w:locked/>
    <w:uiPriority w:val="99"/>
    <w:rPr>
      <w:rFonts w:eastAsia="仿宋_GB2312"/>
      <w:kern w:val="2"/>
      <w:sz w:val="30"/>
      <w:szCs w:val="24"/>
      <w:lang w:bidi="ar-SA"/>
    </w:rPr>
  </w:style>
  <w:style w:type="paragraph" w:customStyle="1" w:styleId="502">
    <w:name w:val="标书正文格式 Char Char"/>
    <w:link w:val="501"/>
    <w:uiPriority w:val="99"/>
    <w:pPr>
      <w:spacing w:line="360" w:lineRule="auto"/>
      <w:ind w:firstLine="200" w:firstLineChars="200"/>
    </w:pPr>
    <w:rPr>
      <w:rFonts w:eastAsia="仿宋_GB2312"/>
      <w:kern w:val="2"/>
      <w:sz w:val="30"/>
      <w:szCs w:val="24"/>
      <w:lang w:val="en-US" w:eastAsia="zh-CN" w:bidi="ar-SA"/>
    </w:rPr>
  </w:style>
  <w:style w:type="paragraph" w:customStyle="1" w:styleId="503">
    <w:name w:val="xl325"/>
    <w:basedOn w:val="1"/>
    <w:uiPriority w:val="0"/>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textAlignment w:val="center"/>
    </w:pPr>
    <w:rPr>
      <w:rFonts w:ascii="仿宋" w:hAnsi="仿宋" w:eastAsia="仿宋" w:cs="宋体"/>
      <w:b/>
      <w:bCs/>
      <w:kern w:val="0"/>
      <w:sz w:val="24"/>
      <w:szCs w:val="24"/>
    </w:rPr>
  </w:style>
  <w:style w:type="paragraph" w:customStyle="1" w:styleId="504">
    <w:name w:val="xl278"/>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仿宋" w:hAnsi="仿宋" w:eastAsia="仿宋" w:cs="宋体"/>
      <w:kern w:val="0"/>
      <w:sz w:val="24"/>
      <w:szCs w:val="24"/>
    </w:rPr>
  </w:style>
  <w:style w:type="paragraph" w:customStyle="1" w:styleId="505">
    <w:name w:val="xl124"/>
    <w:basedOn w:val="1"/>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b/>
      <w:bCs/>
      <w:kern w:val="0"/>
      <w:sz w:val="18"/>
      <w:szCs w:val="18"/>
    </w:rPr>
  </w:style>
  <w:style w:type="paragraph" w:customStyle="1" w:styleId="506">
    <w:name w:val="符号标题1"/>
    <w:basedOn w:val="17"/>
    <w:uiPriority w:val="99"/>
    <w:pPr>
      <w:widowControl w:val="0"/>
      <w:spacing w:line="360" w:lineRule="auto"/>
      <w:ind w:firstLineChars="200"/>
    </w:pPr>
    <w:rPr>
      <w:rFonts w:ascii="宋体" w:hAnsi="宋体"/>
      <w:szCs w:val="21"/>
      <w:lang w:val="en-US" w:eastAsia="zh-CN"/>
    </w:rPr>
  </w:style>
  <w:style w:type="paragraph" w:customStyle="1" w:styleId="507">
    <w:name w:val="font10"/>
    <w:basedOn w:val="1"/>
    <w:qFormat/>
    <w:uiPriority w:val="0"/>
    <w:pPr>
      <w:widowControl/>
      <w:spacing w:before="100" w:beforeLines="0" w:beforeAutospacing="1" w:after="100" w:afterLines="0" w:afterAutospacing="1"/>
      <w:jc w:val="left"/>
    </w:pPr>
    <w:rPr>
      <w:color w:val="FF0000"/>
      <w:kern w:val="0"/>
      <w:sz w:val="16"/>
      <w:szCs w:val="16"/>
    </w:rPr>
  </w:style>
  <w:style w:type="paragraph" w:customStyle="1" w:styleId="508">
    <w:name w:val="网格表 31"/>
    <w:basedOn w:val="2"/>
    <w:next w:val="1"/>
    <w:unhideWhenUsed/>
    <w:qFormat/>
    <w:uiPriority w:val="39"/>
    <w:pPr>
      <w:keepLines/>
      <w:spacing w:before="240" w:line="259" w:lineRule="auto"/>
      <w:jc w:val="left"/>
      <w:outlineLvl w:val="9"/>
    </w:pPr>
    <w:rPr>
      <w:rFonts w:ascii="Cambria" w:hAnsi="Cambria" w:eastAsia="宋体"/>
      <w:b w:val="0"/>
      <w:color w:val="365F91"/>
      <w:kern w:val="0"/>
      <w:sz w:val="32"/>
      <w:szCs w:val="32"/>
    </w:rPr>
  </w:style>
  <w:style w:type="paragraph" w:customStyle="1" w:styleId="509">
    <w:name w:val="font12"/>
    <w:basedOn w:val="1"/>
    <w:uiPriority w:val="99"/>
    <w:pPr>
      <w:spacing w:before="100" w:beforeAutospacing="1" w:after="100" w:afterAutospacing="1"/>
    </w:pPr>
    <w:rPr>
      <w:kern w:val="0"/>
      <w:sz w:val="20"/>
    </w:rPr>
  </w:style>
  <w:style w:type="paragraph" w:customStyle="1" w:styleId="510">
    <w:name w:val="正文缩进1"/>
    <w:basedOn w:val="1"/>
    <w:next w:val="27"/>
    <w:uiPriority w:val="0"/>
    <w:pPr>
      <w:autoSpaceDE w:val="0"/>
      <w:autoSpaceDN w:val="0"/>
      <w:adjustRightInd w:val="0"/>
      <w:snapToGrid w:val="0"/>
      <w:spacing w:after="120" w:afterLines="0" w:afterAutospacing="0" w:line="360" w:lineRule="auto"/>
      <w:ind w:left="420" w:leftChars="200" w:firstLine="480" w:firstLineChars="200"/>
    </w:pPr>
    <w:rPr>
      <w:sz w:val="24"/>
    </w:rPr>
  </w:style>
  <w:style w:type="paragraph" w:customStyle="1" w:styleId="511">
    <w:name w:val="xl77"/>
    <w:basedOn w:val="1"/>
    <w:qFormat/>
    <w:uiPriority w:val="99"/>
    <w:pPr>
      <w:widowControl/>
      <w:pBdr>
        <w:top w:val="single" w:color="000000" w:sz="4" w:space="0"/>
        <w:right w:val="single" w:color="000000" w:sz="4" w:space="0"/>
      </w:pBdr>
      <w:shd w:val="clear" w:color="auto" w:fill="FFFFFF"/>
      <w:spacing w:before="100" w:beforeLines="0" w:beforeAutospacing="1" w:after="100" w:afterLines="0" w:afterAutospacing="1"/>
      <w:jc w:val="left"/>
    </w:pPr>
    <w:rPr>
      <w:rFonts w:ascii="宋体" w:hAnsi="宋体" w:cs="宋体"/>
      <w:kern w:val="0"/>
      <w:sz w:val="16"/>
      <w:szCs w:val="16"/>
    </w:rPr>
  </w:style>
  <w:style w:type="paragraph" w:customStyle="1" w:styleId="512">
    <w:name w:val="样式 标题 1"/>
    <w:basedOn w:val="2"/>
    <w:uiPriority w:val="0"/>
    <w:pPr>
      <w:keepLines/>
      <w:widowControl w:val="0"/>
      <w:numPr>
        <w:ilvl w:val="0"/>
        <w:numId w:val="4"/>
      </w:numPr>
      <w:spacing w:before="340" w:after="330" w:line="578" w:lineRule="auto"/>
      <w:jc w:val="both"/>
    </w:pPr>
    <w:rPr>
      <w:rFonts w:ascii="Calibri" w:hAnsi="Calibri" w:eastAsia="宋体"/>
      <w:bCs/>
      <w:color w:val="auto"/>
      <w:kern w:val="44"/>
      <w:sz w:val="30"/>
      <w:szCs w:val="44"/>
    </w:rPr>
  </w:style>
  <w:style w:type="paragraph" w:customStyle="1" w:styleId="513">
    <w:name w:val="默认段落字体 Para Char Char Char Char Char Char Char"/>
    <w:basedOn w:val="1"/>
    <w:uiPriority w:val="99"/>
    <w:rPr>
      <w:rFonts w:ascii="Tahoma" w:hAnsi="Tahoma"/>
      <w:sz w:val="24"/>
    </w:rPr>
  </w:style>
  <w:style w:type="paragraph" w:customStyle="1" w:styleId="514">
    <w:name w:val="_Style 2901"/>
    <w:next w:val="1"/>
    <w:unhideWhenUsed/>
    <w:uiPriority w:val="99"/>
    <w:rPr>
      <w:kern w:val="2"/>
      <w:sz w:val="21"/>
      <w:lang w:val="en-US" w:eastAsia="zh-CN" w:bidi="ar-SA"/>
    </w:rPr>
  </w:style>
  <w:style w:type="paragraph" w:customStyle="1" w:styleId="515">
    <w:name w:val="样式 样式 样式 样式 标题 2 + 段后: 0.5 行 + 段后: 0.5 行 + 段后: 0.5 行 + 段后: 0.5 行"/>
    <w:basedOn w:val="1"/>
    <w:uiPriority w:val="99"/>
    <w:pPr>
      <w:keepNext/>
      <w:keepLines/>
      <w:widowControl w:val="0"/>
      <w:tabs>
        <w:tab w:val="left" w:pos="840"/>
      </w:tabs>
      <w:spacing w:before="260" w:afterLines="50" w:line="413" w:lineRule="auto"/>
      <w:ind w:left="1260" w:hanging="567"/>
      <w:jc w:val="both"/>
      <w:outlineLvl w:val="1"/>
    </w:pPr>
    <w:rPr>
      <w:rFonts w:ascii="Arial" w:hAnsi="Arial" w:eastAsia="黑体"/>
      <w:b/>
      <w:bCs/>
      <w:sz w:val="32"/>
    </w:rPr>
  </w:style>
  <w:style w:type="paragraph" w:customStyle="1" w:styleId="516">
    <w:name w:val="注释"/>
    <w:basedOn w:val="1"/>
    <w:uiPriority w:val="99"/>
    <w:pPr>
      <w:widowControl w:val="0"/>
      <w:tabs>
        <w:tab w:val="left" w:pos="780"/>
      </w:tabs>
      <w:spacing w:after="100" w:afterAutospacing="1" w:line="360" w:lineRule="auto"/>
      <w:ind w:left="780"/>
      <w:jc w:val="both"/>
    </w:pPr>
    <w:rPr>
      <w:sz w:val="18"/>
      <w:szCs w:val="24"/>
    </w:rPr>
  </w:style>
  <w:style w:type="paragraph" w:customStyle="1" w:styleId="517">
    <w:name w:val="features1"/>
    <w:basedOn w:val="1"/>
    <w:uiPriority w:val="99"/>
    <w:pPr>
      <w:spacing w:before="100" w:beforeAutospacing="1" w:after="100" w:afterAutospacing="1"/>
    </w:pPr>
    <w:rPr>
      <w:rFonts w:ascii="宋体" w:hAnsi="宋体" w:cs="宋体"/>
      <w:b/>
      <w:bCs/>
      <w:kern w:val="0"/>
      <w:sz w:val="20"/>
    </w:rPr>
  </w:style>
  <w:style w:type="paragraph" w:customStyle="1" w:styleId="518">
    <w:name w:val="List 1"/>
    <w:basedOn w:val="1"/>
    <w:uiPriority w:val="0"/>
    <w:pPr>
      <w:widowControl/>
      <w:overflowPunct w:val="0"/>
      <w:autoSpaceDE w:val="0"/>
      <w:autoSpaceDN w:val="0"/>
      <w:adjustRightInd w:val="0"/>
      <w:spacing w:line="360" w:lineRule="auto"/>
      <w:ind w:left="2520" w:hanging="360"/>
      <w:textAlignment w:val="baseline"/>
    </w:pPr>
    <w:rPr>
      <w:rFonts w:ascii="宋体"/>
      <w:kern w:val="0"/>
      <w:sz w:val="24"/>
    </w:rPr>
  </w:style>
  <w:style w:type="paragraph" w:customStyle="1" w:styleId="519">
    <w:name w:val="outdent"/>
    <w:basedOn w:val="1"/>
    <w:uiPriority w:val="0"/>
    <w:pPr>
      <w:tabs>
        <w:tab w:val="left" w:pos="420"/>
        <w:tab w:val="left" w:pos="2552"/>
      </w:tabs>
      <w:snapToGrid w:val="0"/>
      <w:spacing w:before="60" w:beforeLines="0" w:after="60" w:afterLines="0"/>
      <w:ind w:left="420" w:right="709" w:hanging="420"/>
    </w:pPr>
    <w:rPr>
      <w:rFonts w:eastAsia="2OcuAe"/>
      <w:spacing w:val="2"/>
      <w:kern w:val="0"/>
      <w:sz w:val="20"/>
      <w:lang w:eastAsia="zh-TW"/>
    </w:rPr>
  </w:style>
  <w:style w:type="paragraph" w:customStyle="1" w:styleId="520">
    <w:name w:val="样式 标题 2 + 宋体 四号 居中"/>
    <w:basedOn w:val="3"/>
    <w:uiPriority w:val="0"/>
    <w:pPr>
      <w:keepLines/>
      <w:widowControl w:val="0"/>
      <w:numPr>
        <w:ilvl w:val="0"/>
        <w:numId w:val="3"/>
      </w:numPr>
      <w:tabs>
        <w:tab w:val="left" w:pos="425"/>
      </w:tabs>
      <w:adjustRightInd/>
      <w:spacing w:before="260" w:after="260" w:line="416" w:lineRule="auto"/>
      <w:jc w:val="center"/>
      <w:textAlignment w:val="auto"/>
    </w:pPr>
    <w:rPr>
      <w:rFonts w:ascii="宋体" w:hAnsi="宋体" w:eastAsia="宋体" w:cs="宋体"/>
      <w:b/>
      <w:bCs/>
      <w:kern w:val="2"/>
      <w:sz w:val="30"/>
    </w:rPr>
  </w:style>
  <w:style w:type="paragraph" w:customStyle="1" w:styleId="521">
    <w:name w:val="xl12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18"/>
      <w:szCs w:val="18"/>
    </w:rPr>
  </w:style>
  <w:style w:type="paragraph" w:customStyle="1" w:styleId="522">
    <w:name w:val="无格式无间隔"/>
    <w:qFormat/>
    <w:uiPriority w:val="0"/>
    <w:rPr>
      <w:rFonts w:ascii="Calibri" w:hAnsi="Calibri"/>
      <w:kern w:val="2"/>
      <w:sz w:val="21"/>
      <w:szCs w:val="21"/>
      <w:lang w:val="en-US" w:eastAsia="zh-CN" w:bidi="ar-SA"/>
    </w:rPr>
  </w:style>
  <w:style w:type="paragraph" w:customStyle="1" w:styleId="523">
    <w:name w:val="xl35"/>
    <w:basedOn w:val="1"/>
    <w:uiPriority w:val="99"/>
    <w:pPr>
      <w:widowControl/>
      <w:spacing w:before="100" w:beforeLines="0" w:beforeAutospacing="1" w:after="100" w:afterLines="0" w:afterAutospacing="1"/>
      <w:jc w:val="center"/>
      <w:textAlignment w:val="center"/>
    </w:pPr>
    <w:rPr>
      <w:rFonts w:ascii="宋体" w:hAnsi="宋体"/>
      <w:b/>
      <w:bCs/>
      <w:kern w:val="0"/>
      <w:sz w:val="36"/>
      <w:szCs w:val="36"/>
    </w:rPr>
  </w:style>
  <w:style w:type="paragraph" w:customStyle="1" w:styleId="524">
    <w:name w:val="xl44"/>
    <w:basedOn w:val="1"/>
    <w:uiPriority w:val="99"/>
    <w:pPr>
      <w:widowControl/>
      <w:pBdr>
        <w:top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eastAsia="Arial Unicode MS"/>
      <w:kern w:val="0"/>
      <w:sz w:val="52"/>
      <w:szCs w:val="52"/>
    </w:rPr>
  </w:style>
  <w:style w:type="paragraph" w:customStyle="1" w:styleId="525">
    <w:name w:val="网格表 32"/>
    <w:basedOn w:val="2"/>
    <w:next w:val="1"/>
    <w:qFormat/>
    <w:uiPriority w:val="39"/>
    <w:pPr>
      <w:keepLines/>
      <w:spacing w:before="480" w:line="276" w:lineRule="auto"/>
      <w:jc w:val="left"/>
      <w:outlineLvl w:val="9"/>
    </w:pPr>
    <w:rPr>
      <w:rFonts w:ascii="Cambria" w:hAnsi="Cambria" w:eastAsia="宋体"/>
      <w:bCs/>
      <w:color w:val="365F91"/>
      <w:kern w:val="0"/>
      <w:sz w:val="28"/>
      <w:szCs w:val="28"/>
    </w:rPr>
  </w:style>
  <w:style w:type="paragraph" w:customStyle="1" w:styleId="52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16"/>
      <w:szCs w:val="16"/>
    </w:rPr>
  </w:style>
  <w:style w:type="paragraph" w:customStyle="1" w:styleId="527">
    <w:name w:val="p17"/>
    <w:basedOn w:val="1"/>
    <w:uiPriority w:val="99"/>
    <w:pPr>
      <w:jc w:val="both"/>
    </w:pPr>
    <w:rPr>
      <w:kern w:val="0"/>
      <w:szCs w:val="21"/>
    </w:rPr>
  </w:style>
  <w:style w:type="paragraph" w:customStyle="1" w:styleId="528">
    <w:name w:val="样式 标题 2h2l22nd level2Header 2Titre2Head 2H2sect 1.2H21..."/>
    <w:basedOn w:val="3"/>
    <w:qFormat/>
    <w:uiPriority w:val="0"/>
    <w:pPr>
      <w:tabs>
        <w:tab w:val="left" w:pos="576"/>
      </w:tabs>
      <w:overflowPunct w:val="0"/>
      <w:adjustRightInd/>
      <w:spacing w:before="480" w:after="480" w:line="460" w:lineRule="atLeast"/>
      <w:ind w:left="576" w:right="407" w:rightChars="194" w:hanging="576"/>
      <w:textAlignment w:val="auto"/>
    </w:pPr>
    <w:rPr>
      <w:rFonts w:ascii="宋体" w:hAnsi="宋体" w:eastAsia="宋体" w:cs="宋体"/>
      <w:b/>
      <w:bCs/>
      <w:sz w:val="32"/>
      <w:szCs w:val="32"/>
    </w:rPr>
  </w:style>
  <w:style w:type="paragraph" w:customStyle="1" w:styleId="529">
    <w:name w:val="A正文小四"/>
    <w:basedOn w:val="1"/>
    <w:uiPriority w:val="99"/>
    <w:pPr>
      <w:widowControl w:val="0"/>
      <w:spacing w:line="360" w:lineRule="auto"/>
      <w:ind w:firstLine="200" w:firstLineChars="200"/>
      <w:jc w:val="both"/>
    </w:pPr>
    <w:rPr>
      <w:sz w:val="24"/>
      <w:szCs w:val="24"/>
    </w:rPr>
  </w:style>
  <w:style w:type="paragraph" w:customStyle="1" w:styleId="530">
    <w:name w:val="xl97"/>
    <w:basedOn w:val="1"/>
    <w:qFormat/>
    <w:uiPriority w:val="0"/>
    <w:pPr>
      <w:widowControl/>
      <w:pBdr>
        <w:top w:val="single" w:color="000000" w:sz="4" w:space="0"/>
        <w:right w:val="single" w:color="000000" w:sz="4" w:space="0"/>
      </w:pBdr>
      <w:shd w:val="clear" w:color="auto" w:fill="FFFFFF"/>
      <w:spacing w:before="100" w:beforeLines="0" w:beforeAutospacing="1" w:after="100" w:afterLines="0" w:afterAutospacing="1"/>
      <w:jc w:val="center"/>
    </w:pPr>
    <w:rPr>
      <w:rFonts w:ascii="宋体" w:hAnsi="宋体" w:cs="宋体"/>
      <w:b/>
      <w:bCs/>
      <w:kern w:val="0"/>
      <w:sz w:val="16"/>
      <w:szCs w:val="16"/>
    </w:rPr>
  </w:style>
  <w:style w:type="paragraph" w:customStyle="1" w:styleId="531">
    <w:name w:val="xl23"/>
    <w:basedOn w:val="1"/>
    <w:uiPriority w:val="0"/>
    <w:pPr>
      <w:widowControl/>
      <w:pBdr>
        <w:top w:val="single" w:color="auto" w:sz="8" w:space="0"/>
      </w:pBdr>
      <w:shd w:val="clear" w:color="auto" w:fill="FFFFFF"/>
      <w:spacing w:before="100" w:beforeLines="0" w:beforeAutospacing="1" w:after="100" w:afterLines="0" w:afterAutospacing="1"/>
      <w:jc w:val="center"/>
      <w:textAlignment w:val="bottom"/>
    </w:pPr>
    <w:rPr>
      <w:rFonts w:ascii="Arial" w:hAnsi="Arial" w:cs="Arial"/>
      <w:b/>
      <w:bCs/>
      <w:kern w:val="0"/>
      <w:sz w:val="44"/>
      <w:szCs w:val="44"/>
    </w:rPr>
  </w:style>
  <w:style w:type="paragraph" w:customStyle="1" w:styleId="532">
    <w:name w:val="xl12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533">
    <w:name w:val="文档正文 Char"/>
    <w:basedOn w:val="1"/>
    <w:uiPriority w:val="0"/>
    <w:pPr>
      <w:adjustRightInd w:val="0"/>
      <w:spacing w:line="480" w:lineRule="atLeast"/>
      <w:ind w:firstLine="567"/>
      <w:textAlignment w:val="baseline"/>
    </w:pPr>
    <w:rPr>
      <w:rFonts w:ascii="仿宋_GB2312" w:eastAsia="仿宋_GB2312" w:cs="仿宋_GB2312"/>
      <w:kern w:val="0"/>
      <w:sz w:val="28"/>
      <w:szCs w:val="28"/>
    </w:rPr>
  </w:style>
  <w:style w:type="paragraph" w:customStyle="1" w:styleId="534">
    <w:name w:val="引用1"/>
    <w:uiPriority w:val="0"/>
    <w:pPr>
      <w:spacing w:after="160" w:line="240" w:lineRule="atLeast"/>
    </w:pPr>
    <w:rPr>
      <w:rFonts w:ascii="Arial" w:hAnsi="Arial"/>
      <w:i/>
      <w:color w:val="808080"/>
      <w:lang w:val="en-US" w:eastAsia="en-US" w:bidi="he-IL"/>
    </w:rPr>
  </w:style>
  <w:style w:type="paragraph" w:customStyle="1" w:styleId="535">
    <w:name w:val="xl42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rPr>
  </w:style>
  <w:style w:type="paragraph" w:customStyle="1" w:styleId="536">
    <w:name w:val="样式 样式 样式 样式 font0 + 行距: 1.5 倍行距 + 左侧:  2 字符 首行缩进:  1.75 字符 + 左侧:..."/>
    <w:basedOn w:val="1"/>
    <w:uiPriority w:val="99"/>
    <w:pPr>
      <w:spacing w:line="360" w:lineRule="auto"/>
      <w:ind w:firstLine="175" w:firstLineChars="175"/>
    </w:pPr>
    <w:rPr>
      <w:rFonts w:ascii="宋体" w:hAnsi="宋体" w:cs="宋体"/>
      <w:kern w:val="0"/>
      <w:sz w:val="24"/>
    </w:rPr>
  </w:style>
  <w:style w:type="paragraph" w:customStyle="1" w:styleId="537">
    <w:name w:val="樣式1"/>
    <w:basedOn w:val="538"/>
    <w:uiPriority w:val="0"/>
    <w:pPr>
      <w:tabs>
        <w:tab w:val="left" w:pos="567"/>
        <w:tab w:val="left" w:pos="840"/>
        <w:tab w:val="left" w:pos="966"/>
        <w:tab w:val="left" w:pos="1800"/>
      </w:tabs>
      <w:spacing w:before="40" w:beforeLines="0" w:after="40" w:afterLines="0"/>
      <w:ind w:left="1276" w:hanging="284"/>
    </w:pPr>
  </w:style>
  <w:style w:type="paragraph" w:customStyle="1" w:styleId="538">
    <w:name w:val="Bullet"/>
    <w:basedOn w:val="1"/>
    <w:uiPriority w:val="0"/>
    <w:pPr>
      <w:tabs>
        <w:tab w:val="left" w:pos="420"/>
        <w:tab w:val="left" w:pos="2552"/>
      </w:tabs>
      <w:snapToGrid w:val="0"/>
      <w:spacing w:before="60" w:beforeLines="0" w:after="60" w:afterLines="0"/>
      <w:ind w:left="420" w:right="709" w:hanging="420"/>
    </w:pPr>
    <w:rPr>
      <w:rFonts w:eastAsia="2OcuAe"/>
      <w:spacing w:val="2"/>
      <w:kern w:val="0"/>
      <w:sz w:val="20"/>
      <w:lang w:eastAsia="zh-TW"/>
    </w:rPr>
  </w:style>
  <w:style w:type="paragraph" w:customStyle="1" w:styleId="539">
    <w:name w:val="xl43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kern w:val="0"/>
      <w:sz w:val="20"/>
    </w:rPr>
  </w:style>
  <w:style w:type="paragraph" w:customStyle="1" w:styleId="540">
    <w:name w:val="±í??"/>
    <w:basedOn w:val="1"/>
    <w:uiPriority w:val="99"/>
    <w:pPr>
      <w:overflowPunct w:val="0"/>
      <w:autoSpaceDE w:val="0"/>
      <w:autoSpaceDN w:val="0"/>
      <w:adjustRightInd w:val="0"/>
      <w:spacing w:line="300" w:lineRule="auto"/>
      <w:jc w:val="center"/>
      <w:textAlignment w:val="baseline"/>
    </w:pPr>
    <w:rPr>
      <w:kern w:val="0"/>
      <w:sz w:val="18"/>
    </w:rPr>
  </w:style>
  <w:style w:type="paragraph" w:customStyle="1" w:styleId="541">
    <w:name w:val="样式 标书正文格式 Char + 加粗"/>
    <w:basedOn w:val="1"/>
    <w:uiPriority w:val="99"/>
    <w:pPr>
      <w:spacing w:line="360" w:lineRule="auto"/>
      <w:ind w:firstLine="200" w:firstLineChars="200"/>
    </w:pPr>
    <w:rPr>
      <w:rFonts w:eastAsia="仿宋_GB2312"/>
      <w:b/>
      <w:bCs/>
      <w:sz w:val="24"/>
      <w:szCs w:val="24"/>
    </w:rPr>
  </w:style>
  <w:style w:type="paragraph" w:customStyle="1" w:styleId="542">
    <w:name w:val="图片"/>
    <w:basedOn w:val="1"/>
    <w:qFormat/>
    <w:uiPriority w:val="0"/>
    <w:pPr>
      <w:widowControl w:val="0"/>
      <w:spacing w:line="360" w:lineRule="auto"/>
      <w:jc w:val="center"/>
    </w:pPr>
    <w:rPr>
      <w:rFonts w:ascii="宋体" w:hAnsi="宋体"/>
      <w:sz w:val="24"/>
      <w:szCs w:val="24"/>
    </w:rPr>
  </w:style>
  <w:style w:type="paragraph" w:customStyle="1" w:styleId="543">
    <w:name w:val="Char3 Char Char Char"/>
    <w:basedOn w:val="1"/>
    <w:uiPriority w:val="99"/>
    <w:pPr>
      <w:spacing w:after="160" w:line="240" w:lineRule="exact"/>
    </w:pPr>
    <w:rPr>
      <w:sz w:val="24"/>
    </w:rPr>
  </w:style>
  <w:style w:type="paragraph" w:customStyle="1" w:styleId="544">
    <w:name w:val="Char Char Char Char Char Char Char"/>
    <w:basedOn w:val="1"/>
    <w:uiPriority w:val="99"/>
    <w:pPr>
      <w:tabs>
        <w:tab w:val="left" w:pos="432"/>
      </w:tabs>
      <w:ind w:left="432" w:hanging="432"/>
    </w:pPr>
    <w:rPr>
      <w:rFonts w:ascii="Tahoma" w:hAnsi="Tahoma"/>
      <w:sz w:val="24"/>
    </w:rPr>
  </w:style>
  <w:style w:type="paragraph" w:customStyle="1" w:styleId="545">
    <w:name w:val="样式 仿宋_GB2312 小四 首行缩进:  0.71 厘米 行距: 1.5 倍行距"/>
    <w:basedOn w:val="1"/>
    <w:uiPriority w:val="99"/>
    <w:pPr>
      <w:widowControl w:val="0"/>
      <w:spacing w:line="360" w:lineRule="auto"/>
      <w:ind w:firstLine="403"/>
      <w:jc w:val="both"/>
    </w:pPr>
    <w:rPr>
      <w:rFonts w:ascii="仿宋_GB2312" w:eastAsia="楷体_GB2312" w:cs="宋体"/>
      <w:sz w:val="24"/>
    </w:rPr>
  </w:style>
  <w:style w:type="paragraph" w:customStyle="1" w:styleId="546">
    <w:name w:val="xl66"/>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Lines="0" w:beforeAutospacing="1" w:after="100" w:afterLines="0" w:afterAutospacing="1"/>
      <w:jc w:val="center"/>
    </w:pPr>
    <w:rPr>
      <w:kern w:val="0"/>
      <w:sz w:val="24"/>
      <w:szCs w:val="24"/>
    </w:rPr>
  </w:style>
  <w:style w:type="paragraph" w:customStyle="1" w:styleId="547">
    <w:name w:val="xl43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kern w:val="0"/>
      <w:sz w:val="20"/>
    </w:rPr>
  </w:style>
  <w:style w:type="paragraph" w:customStyle="1" w:styleId="548">
    <w:name w:val="默认段落字体 Para Char Char Char Char Char Char Char Char Char"/>
    <w:basedOn w:val="1"/>
    <w:uiPriority w:val="0"/>
    <w:rPr>
      <w:rFonts w:ascii="Tahoma" w:hAnsi="Tahoma" w:cs="Tahoma"/>
      <w:sz w:val="24"/>
      <w:szCs w:val="24"/>
    </w:rPr>
  </w:style>
  <w:style w:type="paragraph" w:customStyle="1" w:styleId="549">
    <w:name w:val=" Char1"/>
    <w:basedOn w:val="1"/>
    <w:uiPriority w:val="0"/>
    <w:rPr>
      <w:rFonts w:ascii="仿宋_GB2312" w:eastAsia="仿宋_GB2312"/>
      <w:b/>
      <w:sz w:val="32"/>
    </w:rPr>
  </w:style>
  <w:style w:type="paragraph" w:customStyle="1" w:styleId="550">
    <w:name w:val="正文应用"/>
    <w:basedOn w:val="1"/>
    <w:uiPriority w:val="99"/>
    <w:pPr>
      <w:widowControl w:val="0"/>
      <w:spacing w:line="360" w:lineRule="auto"/>
      <w:ind w:firstLine="480" w:firstLineChars="200"/>
    </w:pPr>
    <w:rPr>
      <w:bCs/>
      <w:sz w:val="24"/>
      <w:szCs w:val="24"/>
    </w:rPr>
  </w:style>
  <w:style w:type="paragraph" w:customStyle="1" w:styleId="551">
    <w:name w:val="样式 标书正文格式 Char Char Char + 首行缩进:  2 字符"/>
    <w:basedOn w:val="1"/>
    <w:uiPriority w:val="99"/>
    <w:pPr>
      <w:spacing w:line="360" w:lineRule="auto"/>
      <w:ind w:firstLine="480" w:firstLineChars="200"/>
    </w:pPr>
    <w:rPr>
      <w:rFonts w:eastAsia="仿宋_GB2312"/>
      <w:sz w:val="24"/>
    </w:rPr>
  </w:style>
  <w:style w:type="paragraph" w:customStyle="1" w:styleId="552">
    <w:name w:val="_Style 290"/>
    <w:next w:val="1"/>
    <w:unhideWhenUsed/>
    <w:uiPriority w:val="99"/>
    <w:rPr>
      <w:kern w:val="2"/>
      <w:sz w:val="21"/>
      <w:lang w:val="en-US" w:eastAsia="zh-CN" w:bidi="ar-SA"/>
    </w:rPr>
  </w:style>
  <w:style w:type="paragraph" w:customStyle="1" w:styleId="553">
    <w:name w:val="标题样式"/>
    <w:basedOn w:val="1"/>
    <w:uiPriority w:val="99"/>
    <w:pPr>
      <w:widowControl w:val="0"/>
      <w:spacing w:line="360" w:lineRule="auto"/>
      <w:jc w:val="both"/>
    </w:pPr>
  </w:style>
  <w:style w:type="paragraph" w:customStyle="1" w:styleId="554">
    <w:name w:val="xl81"/>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Lines="0" w:beforeAutospacing="1" w:after="100" w:afterLines="0" w:afterAutospacing="1"/>
      <w:jc w:val="left"/>
    </w:pPr>
    <w:rPr>
      <w:rFonts w:ascii="宋体" w:hAnsi="宋体" w:cs="宋体"/>
      <w:color w:val="FF0000"/>
      <w:kern w:val="0"/>
      <w:sz w:val="16"/>
      <w:szCs w:val="16"/>
    </w:rPr>
  </w:style>
  <w:style w:type="paragraph" w:customStyle="1" w:styleId="555">
    <w:name w:val="xl88"/>
    <w:basedOn w:val="1"/>
    <w:qFormat/>
    <w:uiPriority w:val="99"/>
    <w:pPr>
      <w:widowControl/>
      <w:pBdr>
        <w:top w:val="single" w:color="auto" w:sz="4" w:space="0"/>
        <w:left w:val="single" w:color="auto" w:sz="4" w:space="0"/>
        <w:right w:val="single" w:color="auto" w:sz="4" w:space="0"/>
      </w:pBdr>
      <w:spacing w:before="100" w:beforeLines="0" w:beforeAutospacing="1" w:after="100" w:afterLines="0" w:afterAutospacing="1"/>
      <w:jc w:val="left"/>
    </w:pPr>
    <w:rPr>
      <w:rFonts w:ascii="宋体" w:hAnsi="宋体" w:cs="宋体"/>
      <w:kern w:val="0"/>
      <w:sz w:val="16"/>
      <w:szCs w:val="16"/>
    </w:rPr>
  </w:style>
  <w:style w:type="paragraph" w:customStyle="1" w:styleId="556">
    <w:name w:val="a2"/>
    <w:basedOn w:val="1"/>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557">
    <w:name w:val="标书正文格式"/>
    <w:uiPriority w:val="99"/>
    <w:pPr>
      <w:spacing w:line="360" w:lineRule="auto"/>
      <w:ind w:firstLine="200" w:firstLineChars="200"/>
    </w:pPr>
    <w:rPr>
      <w:rFonts w:eastAsia="楷体_GB2312"/>
      <w:kern w:val="2"/>
      <w:sz w:val="24"/>
      <w:szCs w:val="24"/>
      <w:lang w:val="en-US" w:eastAsia="zh-CN" w:bidi="ar-SA"/>
    </w:rPr>
  </w:style>
  <w:style w:type="paragraph" w:customStyle="1" w:styleId="558">
    <w:name w:val="关键词"/>
    <w:basedOn w:val="1"/>
    <w:uiPriority w:val="99"/>
    <w:pPr>
      <w:widowControl w:val="0"/>
      <w:tabs>
        <w:tab w:val="left" w:pos="907"/>
      </w:tabs>
      <w:autoSpaceDE w:val="0"/>
      <w:autoSpaceDN w:val="0"/>
      <w:adjustRightInd w:val="0"/>
      <w:spacing w:line="360" w:lineRule="auto"/>
      <w:ind w:left="879" w:hanging="879"/>
      <w:jc w:val="both"/>
    </w:pPr>
    <w:rPr>
      <w:kern w:val="0"/>
      <w:szCs w:val="21"/>
    </w:rPr>
  </w:style>
  <w:style w:type="paragraph" w:customStyle="1" w:styleId="559">
    <w:name w:val="章标题"/>
    <w:next w:val="356"/>
    <w:uiPriority w:val="99"/>
    <w:pPr>
      <w:spacing w:beforeLines="50" w:afterLines="50"/>
      <w:jc w:val="both"/>
      <w:outlineLvl w:val="1"/>
    </w:pPr>
    <w:rPr>
      <w:rFonts w:ascii="黑体" w:eastAsia="黑体"/>
      <w:sz w:val="21"/>
      <w:lang w:val="en-US" w:eastAsia="zh-CN" w:bidi="ar-SA"/>
    </w:rPr>
  </w:style>
  <w:style w:type="paragraph" w:customStyle="1" w:styleId="560">
    <w:name w:val="a0"/>
    <w:basedOn w:val="1"/>
    <w:uiPriority w:val="99"/>
    <w:pPr>
      <w:widowControl/>
      <w:spacing w:before="100" w:beforeLines="0" w:beforeAutospacing="1" w:after="100" w:afterLines="0" w:afterAutospacing="1"/>
      <w:jc w:val="left"/>
    </w:pPr>
    <w:rPr>
      <w:rFonts w:ascii="宋体" w:hAnsi="宋体" w:cs="宋体"/>
      <w:kern w:val="0"/>
      <w:sz w:val="24"/>
      <w:szCs w:val="24"/>
    </w:rPr>
  </w:style>
  <w:style w:type="paragraph" w:customStyle="1" w:styleId="561">
    <w:name w:val="b"/>
    <w:basedOn w:val="1"/>
    <w:uiPriority w:val="0"/>
    <w:pPr>
      <w:adjustRightInd w:val="0"/>
      <w:snapToGrid w:val="0"/>
      <w:jc w:val="center"/>
    </w:pPr>
    <w:rPr>
      <w:rFonts w:ascii="仿宋_GB2312" w:eastAsia="仿宋_GB2312"/>
      <w:snapToGrid w:val="0"/>
      <w:sz w:val="24"/>
      <w:szCs w:val="24"/>
    </w:rPr>
  </w:style>
  <w:style w:type="paragraph" w:customStyle="1" w:styleId="562">
    <w:name w:val="正文缩进2格"/>
    <w:basedOn w:val="1"/>
    <w:uiPriority w:val="0"/>
    <w:pPr>
      <w:widowControl w:val="0"/>
      <w:autoSpaceDE w:val="0"/>
      <w:autoSpaceDN w:val="0"/>
      <w:adjustRightInd w:val="0"/>
      <w:spacing w:line="600" w:lineRule="exact"/>
      <w:ind w:firstLine="639" w:firstLineChars="206"/>
      <w:jc w:val="both"/>
    </w:pPr>
    <w:rPr>
      <w:rFonts w:ascii="仿宋_GB2312" w:hAnsi="宋体" w:eastAsia="仿宋_GB2312"/>
      <w:color w:val="000000"/>
      <w:sz w:val="31"/>
      <w:szCs w:val="28"/>
    </w:rPr>
  </w:style>
  <w:style w:type="paragraph" w:customStyle="1" w:styleId="563">
    <w:name w:val="xl53"/>
    <w:basedOn w:val="1"/>
    <w:uiPriority w:val="99"/>
    <w:pPr>
      <w:widowControl/>
      <w:pBdr>
        <w:bottom w:val="single" w:color="auto" w:sz="8" w:space="0"/>
        <w:right w:val="single" w:color="auto" w:sz="4" w:space="0"/>
      </w:pBdr>
      <w:spacing w:before="100" w:beforeLines="0" w:beforeAutospacing="1" w:after="100" w:afterLines="0" w:afterAutospacing="1"/>
      <w:jc w:val="left"/>
    </w:pPr>
    <w:rPr>
      <w:rFonts w:ascii="Arial Unicode MS" w:hAnsi="Arial Unicode MS" w:eastAsia="Arial Unicode MS"/>
      <w:kern w:val="0"/>
      <w:sz w:val="24"/>
      <w:szCs w:val="24"/>
    </w:rPr>
  </w:style>
  <w:style w:type="paragraph" w:customStyle="1" w:styleId="564">
    <w:name w:val="Paragraphe de liste"/>
    <w:basedOn w:val="1"/>
    <w:uiPriority w:val="0"/>
    <w:pPr>
      <w:spacing w:after="200" w:line="276" w:lineRule="auto"/>
      <w:ind w:left="720"/>
    </w:pPr>
    <w:rPr>
      <w:rFonts w:ascii="Calibri" w:hAnsi="Calibri"/>
      <w:kern w:val="0"/>
      <w:sz w:val="22"/>
      <w:lang w:val="fr-FR" w:eastAsia="en-US"/>
    </w:rPr>
  </w:style>
  <w:style w:type="paragraph" w:customStyle="1" w:styleId="565">
    <w:name w:val="k20"/>
    <w:basedOn w:val="1"/>
    <w:uiPriority w:val="99"/>
    <w:pPr>
      <w:spacing w:before="100" w:after="100" w:line="330" w:lineRule="atLeast"/>
    </w:pPr>
    <w:rPr>
      <w:rFonts w:ascii="宋体" w:hAnsi="宋体"/>
      <w:kern w:val="0"/>
      <w:sz w:val="24"/>
    </w:rPr>
  </w:style>
  <w:style w:type="paragraph" w:customStyle="1" w:styleId="566">
    <w:name w:val="xl42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rPr>
  </w:style>
  <w:style w:type="paragraph" w:styleId="567">
    <w:name w:val=""/>
    <w:basedOn w:val="2"/>
    <w:next w:val="1"/>
    <w:qFormat/>
    <w:uiPriority w:val="39"/>
    <w:pPr>
      <w:keepLines/>
      <w:spacing w:before="480" w:line="276" w:lineRule="auto"/>
      <w:jc w:val="left"/>
      <w:outlineLvl w:val="9"/>
    </w:pPr>
    <w:rPr>
      <w:rFonts w:ascii="Cambria" w:hAnsi="Cambria" w:eastAsia="宋体"/>
      <w:bCs/>
      <w:color w:val="365F91"/>
      <w:kern w:val="0"/>
      <w:sz w:val="28"/>
      <w:szCs w:val="28"/>
    </w:rPr>
  </w:style>
  <w:style w:type="paragraph" w:customStyle="1" w:styleId="568">
    <w:name w:val="样式 首行缩进:  2 字符"/>
    <w:basedOn w:val="1"/>
    <w:uiPriority w:val="0"/>
    <w:pPr>
      <w:widowControl w:val="0"/>
      <w:spacing w:before="100" w:beforeAutospacing="1" w:after="100" w:afterAutospacing="1" w:line="360" w:lineRule="auto"/>
      <w:ind w:firstLine="200" w:firstLineChars="200"/>
      <w:jc w:val="both"/>
    </w:pPr>
    <w:rPr>
      <w:rFonts w:cs="宋体"/>
      <w:sz w:val="24"/>
    </w:rPr>
  </w:style>
  <w:style w:type="paragraph" w:customStyle="1" w:styleId="569">
    <w:name w:val="正文3"/>
    <w:uiPriority w:val="0"/>
    <w:pPr>
      <w:widowControl w:val="0"/>
      <w:adjustRightInd w:val="0"/>
      <w:spacing w:line="315" w:lineRule="atLeast"/>
      <w:jc w:val="both"/>
      <w:textAlignment w:val="baseline"/>
    </w:pPr>
    <w:rPr>
      <w:rFonts w:ascii="宋体"/>
      <w:sz w:val="24"/>
      <w:lang w:val="en-US" w:eastAsia="zh-CN" w:bidi="ar-SA"/>
    </w:rPr>
  </w:style>
  <w:style w:type="paragraph" w:customStyle="1" w:styleId="570">
    <w:name w:val="xl52"/>
    <w:basedOn w:val="1"/>
    <w:uiPriority w:val="99"/>
    <w:pPr>
      <w:widowControl/>
      <w:pBdr>
        <w:bottom w:val="single" w:color="auto" w:sz="4" w:space="0"/>
        <w:right w:val="single" w:color="auto" w:sz="8" w:space="0"/>
      </w:pBdr>
      <w:spacing w:before="100" w:beforeLines="0" w:beforeAutospacing="1" w:after="100" w:afterLines="0" w:afterAutospacing="1"/>
      <w:jc w:val="center"/>
      <w:textAlignment w:val="center"/>
    </w:pPr>
    <w:rPr>
      <w:rFonts w:ascii="Arial" w:hAnsi="Arial" w:eastAsia="Arial Unicode MS" w:cs="Arial"/>
      <w:kern w:val="0"/>
      <w:sz w:val="20"/>
    </w:rPr>
  </w:style>
  <w:style w:type="paragraph" w:customStyle="1" w:styleId="571">
    <w:name w:val="p18"/>
    <w:basedOn w:val="1"/>
    <w:uiPriority w:val="99"/>
    <w:pPr>
      <w:spacing w:before="100" w:after="100"/>
    </w:pPr>
    <w:rPr>
      <w:rFonts w:ascii="宋体" w:hAnsi="宋体"/>
      <w:kern w:val="0"/>
      <w:sz w:val="24"/>
    </w:rPr>
  </w:style>
  <w:style w:type="paragraph" w:customStyle="1" w:styleId="572">
    <w:name w:val="xl54"/>
    <w:basedOn w:val="1"/>
    <w:uiPriority w:val="99"/>
    <w:pPr>
      <w:widowControl/>
      <w:pBdr>
        <w:bottom w:val="single" w:color="auto" w:sz="8" w:space="0"/>
        <w:right w:val="single" w:color="auto" w:sz="4" w:space="0"/>
      </w:pBdr>
      <w:spacing w:before="100" w:beforeLines="0" w:beforeAutospacing="1" w:after="100" w:afterLines="0" w:afterAutospacing="1"/>
      <w:jc w:val="left"/>
    </w:pPr>
    <w:rPr>
      <w:rFonts w:ascii="Arial" w:hAnsi="Arial" w:eastAsia="Arial Unicode MS" w:cs="Arial"/>
      <w:b/>
      <w:bCs/>
      <w:kern w:val="0"/>
      <w:sz w:val="24"/>
      <w:szCs w:val="24"/>
    </w:rPr>
  </w:style>
  <w:style w:type="paragraph" w:customStyle="1" w:styleId="573">
    <w:name w:val="xl27"/>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kern w:val="0"/>
      <w:sz w:val="24"/>
      <w:szCs w:val="24"/>
    </w:rPr>
  </w:style>
  <w:style w:type="paragraph" w:customStyle="1" w:styleId="574">
    <w:name w:val="Normal_23"/>
    <w:qFormat/>
    <w:uiPriority w:val="0"/>
    <w:pPr>
      <w:widowControl w:val="0"/>
      <w:spacing w:before="120" w:after="240"/>
      <w:jc w:val="both"/>
    </w:pPr>
    <w:rPr>
      <w:rFonts w:ascii="Calibri" w:hAnsi="Calibri" w:eastAsia="Calibri" w:cs="Calibri"/>
      <w:color w:val="000000"/>
      <w:sz w:val="22"/>
      <w:szCs w:val="22"/>
      <w:lang w:val="ru-RU" w:eastAsia="zh-CN" w:bidi="ar-SA"/>
    </w:rPr>
  </w:style>
  <w:style w:type="paragraph" w:customStyle="1" w:styleId="575">
    <w:name w:val="subtitle 2"/>
    <w:basedOn w:val="1"/>
    <w:uiPriority w:val="99"/>
    <w:pPr>
      <w:widowControl w:val="0"/>
      <w:adjustRightInd w:val="0"/>
      <w:spacing w:before="240" w:after="240" w:line="312" w:lineRule="atLeast"/>
      <w:jc w:val="both"/>
      <w:textAlignment w:val="baseline"/>
    </w:pPr>
    <w:rPr>
      <w:rFonts w:eastAsia="黑体"/>
      <w:kern w:val="0"/>
      <w:sz w:val="24"/>
    </w:rPr>
  </w:style>
  <w:style w:type="paragraph" w:customStyle="1" w:styleId="576">
    <w:name w:val="彩色列表 - 着色 11"/>
    <w:basedOn w:val="1"/>
    <w:qFormat/>
    <w:uiPriority w:val="99"/>
    <w:pPr>
      <w:widowControl w:val="0"/>
      <w:ind w:firstLine="420" w:firstLineChars="200"/>
      <w:jc w:val="both"/>
    </w:pPr>
  </w:style>
  <w:style w:type="paragraph" w:customStyle="1" w:styleId="577">
    <w:name w:val="标题三文本"/>
    <w:basedOn w:val="1"/>
    <w:uiPriority w:val="99"/>
    <w:pPr>
      <w:widowControl w:val="0"/>
      <w:ind w:left="150" w:leftChars="150" w:firstLine="200" w:firstLineChars="200"/>
      <w:jc w:val="both"/>
    </w:pPr>
    <w:rPr>
      <w:szCs w:val="24"/>
    </w:rPr>
  </w:style>
  <w:style w:type="paragraph" w:customStyle="1" w:styleId="578">
    <w:name w:val="Tabletext"/>
    <w:basedOn w:val="1"/>
    <w:uiPriority w:val="99"/>
    <w:pPr>
      <w:keepLines/>
      <w:widowControl w:val="0"/>
      <w:spacing w:after="120" w:line="240" w:lineRule="atLeast"/>
    </w:pPr>
    <w:rPr>
      <w:rFonts w:ascii="Arial" w:hAnsi="Arial" w:eastAsia="新宋体"/>
      <w:kern w:val="0"/>
      <w:sz w:val="20"/>
    </w:rPr>
  </w:style>
  <w:style w:type="paragraph" w:customStyle="1" w:styleId="579">
    <w:name w:val="font0"/>
    <w:basedOn w:val="1"/>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580">
    <w:name w:val="Char Char Char 字元 字元"/>
    <w:basedOn w:val="1"/>
    <w:uiPriority w:val="99"/>
    <w:pPr>
      <w:spacing w:line="360" w:lineRule="auto"/>
      <w:ind w:firstLine="200" w:firstLineChars="200"/>
    </w:pPr>
  </w:style>
  <w:style w:type="paragraph" w:customStyle="1" w:styleId="581">
    <w:name w:val="表格内文"/>
    <w:basedOn w:val="1"/>
    <w:qFormat/>
    <w:uiPriority w:val="0"/>
    <w:pPr>
      <w:spacing w:line="360" w:lineRule="auto"/>
    </w:pPr>
    <w:rPr>
      <w:rFonts w:ascii="宋体" w:hAnsi="宋体" w:cs="宋体"/>
      <w:color w:val="000000"/>
      <w:szCs w:val="21"/>
    </w:rPr>
  </w:style>
  <w:style w:type="paragraph" w:customStyle="1" w:styleId="582">
    <w:name w:val="xl47"/>
    <w:basedOn w:val="1"/>
    <w:uiPriority w:val="99"/>
    <w:pPr>
      <w:widowControl/>
      <w:pBdr>
        <w:top w:val="single" w:color="auto" w:sz="4" w:space="0"/>
        <w:left w:val="single" w:color="auto" w:sz="8" w:space="0"/>
        <w:bottom w:val="single" w:color="auto" w:sz="8" w:space="0"/>
      </w:pBdr>
      <w:spacing w:before="100" w:beforeLines="0" w:beforeAutospacing="1" w:after="100" w:afterLines="0" w:afterAutospacing="1"/>
      <w:jc w:val="center"/>
      <w:textAlignment w:val="center"/>
    </w:pPr>
    <w:rPr>
      <w:rFonts w:ascii="Arial Unicode MS" w:hAnsi="Arial Unicode MS" w:eastAsia="Arial Unicode MS"/>
      <w:b/>
      <w:bCs/>
      <w:kern w:val="0"/>
      <w:sz w:val="52"/>
      <w:szCs w:val="52"/>
    </w:rPr>
  </w:style>
  <w:style w:type="paragraph" w:customStyle="1" w:styleId="583">
    <w:name w:val="xl32"/>
    <w:basedOn w:val="1"/>
    <w:uiPriority w:val="99"/>
    <w:pPr>
      <w:widowControl/>
      <w:pBdr>
        <w:top w:val="single" w:color="auto" w:sz="8" w:space="0"/>
        <w:left w:val="single" w:color="auto" w:sz="8"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b/>
      <w:bCs/>
      <w:kern w:val="0"/>
      <w:sz w:val="22"/>
      <w:szCs w:val="22"/>
    </w:rPr>
  </w:style>
  <w:style w:type="paragraph" w:customStyle="1" w:styleId="584">
    <w:name w:val="一级条标题"/>
    <w:next w:val="1"/>
    <w:uiPriority w:val="99"/>
    <w:pPr>
      <w:numPr>
        <w:ilvl w:val="2"/>
        <w:numId w:val="3"/>
      </w:numPr>
      <w:outlineLvl w:val="2"/>
    </w:pPr>
    <w:rPr>
      <w:rFonts w:eastAsia="黑体"/>
      <w:sz w:val="21"/>
      <w:szCs w:val="21"/>
      <w:lang w:val="en-US" w:eastAsia="zh-CN" w:bidi="ar-SA"/>
    </w:rPr>
  </w:style>
  <w:style w:type="paragraph" w:customStyle="1" w:styleId="585">
    <w:name w:val="xl48"/>
    <w:basedOn w:val="1"/>
    <w:uiPriority w:val="99"/>
    <w:pPr>
      <w:widowControl/>
      <w:pBdr>
        <w:top w:val="single" w:color="auto" w:sz="4" w:space="0"/>
        <w:bottom w:val="single" w:color="auto" w:sz="8" w:space="0"/>
      </w:pBdr>
      <w:spacing w:before="100" w:beforeLines="0" w:beforeAutospacing="1" w:after="100" w:afterLines="0" w:afterAutospacing="1"/>
      <w:jc w:val="center"/>
      <w:textAlignment w:val="center"/>
    </w:pPr>
    <w:rPr>
      <w:rFonts w:ascii="Arial Unicode MS" w:hAnsi="Arial Unicode MS" w:eastAsia="Arial Unicode MS"/>
      <w:b/>
      <w:bCs/>
      <w:kern w:val="0"/>
      <w:sz w:val="52"/>
      <w:szCs w:val="52"/>
    </w:rPr>
  </w:style>
  <w:style w:type="paragraph" w:customStyle="1" w:styleId="586">
    <w:name w:val="b13"/>
    <w:basedOn w:val="1"/>
    <w:uiPriority w:val="0"/>
    <w:pPr>
      <w:widowControl/>
      <w:autoSpaceDE w:val="0"/>
      <w:autoSpaceDN w:val="0"/>
      <w:adjustRightInd w:val="0"/>
      <w:spacing w:after="120" w:afterLines="0"/>
      <w:jc w:val="left"/>
      <w:textAlignment w:val="bottom"/>
    </w:pPr>
    <w:rPr>
      <w:rFonts w:eastAsia="華康粗圓體"/>
      <w:kern w:val="0"/>
      <w:sz w:val="26"/>
      <w:lang w:eastAsia="zh-TW"/>
    </w:rPr>
  </w:style>
  <w:style w:type="paragraph" w:customStyle="1" w:styleId="587">
    <w:name w:val="_Style 5"/>
    <w:basedOn w:val="1"/>
    <w:qFormat/>
    <w:uiPriority w:val="34"/>
    <w:pPr>
      <w:widowControl w:val="0"/>
      <w:autoSpaceDE w:val="0"/>
      <w:autoSpaceDN w:val="0"/>
      <w:adjustRightInd w:val="0"/>
      <w:spacing w:line="360" w:lineRule="auto"/>
      <w:ind w:firstLine="420" w:firstLineChars="200"/>
    </w:pPr>
    <w:rPr>
      <w:rFonts w:ascii="Calibri" w:hAnsi="Calibri"/>
      <w:kern w:val="0"/>
      <w:szCs w:val="22"/>
    </w:rPr>
  </w:style>
  <w:style w:type="paragraph" w:customStyle="1" w:styleId="588">
    <w:name w:val="xl44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rPr>
  </w:style>
  <w:style w:type="paragraph" w:customStyle="1" w:styleId="589">
    <w:name w:val="xl87"/>
    <w:basedOn w:val="1"/>
    <w:qFormat/>
    <w:uiPriority w:val="99"/>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color w:val="FF0000"/>
      <w:kern w:val="0"/>
      <w:sz w:val="16"/>
      <w:szCs w:val="16"/>
    </w:rPr>
  </w:style>
  <w:style w:type="paragraph" w:customStyle="1" w:styleId="590">
    <w:name w:val="xl62"/>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Lines="0" w:beforeAutospacing="1" w:after="100" w:afterLines="0" w:afterAutospacing="1"/>
      <w:jc w:val="left"/>
      <w:textAlignment w:val="center"/>
    </w:pPr>
    <w:rPr>
      <w:rFonts w:ascii="Arial" w:hAnsi="Arial" w:eastAsia="Arial Unicode MS" w:cs="Arial"/>
      <w:kern w:val="0"/>
      <w:sz w:val="32"/>
      <w:szCs w:val="32"/>
    </w:rPr>
  </w:style>
  <w:style w:type="paragraph" w:customStyle="1" w:styleId="591">
    <w:name w:val="Q5"/>
    <w:basedOn w:val="1"/>
    <w:uiPriority w:val="0"/>
    <w:pPr>
      <w:widowControl w:val="0"/>
      <w:spacing w:line="360" w:lineRule="auto"/>
      <w:ind w:left="425" w:hanging="425"/>
      <w:jc w:val="both"/>
    </w:pPr>
    <w:rPr>
      <w:rFonts w:ascii="宋体" w:hAnsi="宋体"/>
      <w:szCs w:val="28"/>
    </w:rPr>
  </w:style>
  <w:style w:type="paragraph" w:customStyle="1" w:styleId="592">
    <w:name w:val="样式 仿宋_GB2312 小四 加粗 左侧:  1.41 厘米 行距: 1.5 倍行距"/>
    <w:basedOn w:val="1"/>
    <w:uiPriority w:val="99"/>
    <w:pPr>
      <w:widowControl w:val="0"/>
      <w:spacing w:line="360" w:lineRule="auto"/>
      <w:ind w:left="800"/>
      <w:jc w:val="both"/>
    </w:pPr>
    <w:rPr>
      <w:rFonts w:ascii="仿宋_GB2312" w:hAnsi="宋体" w:eastAsia="楷体_GB2312" w:cs="宋体"/>
      <w:b/>
      <w:bCs/>
      <w:sz w:val="24"/>
    </w:rPr>
  </w:style>
  <w:style w:type="paragraph" w:customStyle="1" w:styleId="593">
    <w:name w:val="xl56"/>
    <w:basedOn w:val="1"/>
    <w:uiPriority w:val="99"/>
    <w:pPr>
      <w:widowControl/>
      <w:pBdr>
        <w:top w:val="single" w:color="auto" w:sz="4" w:space="0"/>
        <w:left w:val="single" w:color="auto" w:sz="8" w:space="0"/>
        <w:bottom w:val="single" w:color="auto" w:sz="4" w:space="0"/>
      </w:pBdr>
      <w:spacing w:before="100" w:beforeLines="0" w:beforeAutospacing="1" w:after="100" w:afterLines="0" w:afterAutospacing="1"/>
      <w:jc w:val="left"/>
      <w:textAlignment w:val="center"/>
    </w:pPr>
    <w:rPr>
      <w:rFonts w:ascii="Arial" w:hAnsi="Arial" w:eastAsia="Arial Unicode MS" w:cs="Arial"/>
      <w:kern w:val="0"/>
      <w:sz w:val="20"/>
    </w:rPr>
  </w:style>
  <w:style w:type="paragraph" w:customStyle="1" w:styleId="594">
    <w:name w:val="C11"/>
    <w:basedOn w:val="1"/>
    <w:uiPriority w:val="0"/>
    <w:pPr>
      <w:widowControl/>
      <w:tabs>
        <w:tab w:val="left" w:pos="360"/>
      </w:tabs>
      <w:autoSpaceDE w:val="0"/>
      <w:autoSpaceDN w:val="0"/>
      <w:adjustRightInd w:val="0"/>
      <w:spacing w:before="60" w:beforeLines="0" w:line="288" w:lineRule="auto"/>
      <w:textAlignment w:val="bottom"/>
    </w:pPr>
    <w:rPr>
      <w:rFonts w:eastAsia="華康細圓體"/>
      <w:kern w:val="0"/>
      <w:sz w:val="22"/>
      <w:lang w:eastAsia="zh-TW"/>
    </w:rPr>
  </w:style>
  <w:style w:type="paragraph" w:customStyle="1" w:styleId="595">
    <w:name w:val="规范正文"/>
    <w:basedOn w:val="1"/>
    <w:uiPriority w:val="0"/>
    <w:pPr>
      <w:widowControl w:val="0"/>
      <w:spacing w:beforeLines="50" w:afterLines="50" w:line="360" w:lineRule="auto"/>
      <w:ind w:left="425" w:firstLine="480" w:firstLineChars="200"/>
      <w:jc w:val="both"/>
    </w:pPr>
    <w:rPr>
      <w:rFonts w:ascii="宋体" w:hAnsi="宋体" w:cs="宋体"/>
      <w:kern w:val="0"/>
      <w:sz w:val="24"/>
    </w:rPr>
  </w:style>
  <w:style w:type="paragraph" w:customStyle="1" w:styleId="596">
    <w:name w:val="Step"/>
    <w:basedOn w:val="1"/>
    <w:qFormat/>
    <w:uiPriority w:val="0"/>
    <w:pPr>
      <w:tabs>
        <w:tab w:val="left" w:pos="1701"/>
      </w:tabs>
      <w:topLinePunct/>
      <w:adjustRightInd w:val="0"/>
      <w:snapToGrid w:val="0"/>
      <w:spacing w:before="160" w:after="160" w:line="240" w:lineRule="atLeast"/>
      <w:ind w:left="1701" w:hanging="159"/>
      <w:outlineLvl w:val="5"/>
    </w:pPr>
    <w:rPr>
      <w:rFonts w:cs="Arial"/>
      <w:snapToGrid w:val="0"/>
      <w:kern w:val="0"/>
      <w:szCs w:val="21"/>
    </w:rPr>
  </w:style>
  <w:style w:type="paragraph" w:customStyle="1" w:styleId="597">
    <w:name w:val="Normal_27"/>
    <w:qFormat/>
    <w:uiPriority w:val="0"/>
    <w:pPr>
      <w:widowControl w:val="0"/>
      <w:spacing w:before="120" w:after="240"/>
      <w:jc w:val="both"/>
    </w:pPr>
    <w:rPr>
      <w:rFonts w:ascii="Calibri" w:hAnsi="Calibri" w:eastAsia="Calibri" w:cs="Calibri"/>
      <w:color w:val="000000"/>
      <w:sz w:val="22"/>
      <w:szCs w:val="22"/>
      <w:lang w:val="ru-RU" w:eastAsia="zh-CN" w:bidi="ar-SA"/>
    </w:rPr>
  </w:style>
  <w:style w:type="paragraph" w:customStyle="1" w:styleId="598">
    <w:name w:val=" Char Char Char"/>
    <w:basedOn w:val="1"/>
    <w:uiPriority w:val="0"/>
    <w:rPr>
      <w:rFonts w:ascii="Tahoma" w:hAnsi="Tahoma"/>
      <w:sz w:val="24"/>
    </w:rPr>
  </w:style>
  <w:style w:type="paragraph" w:customStyle="1" w:styleId="599">
    <w:name w:val="Q2"/>
    <w:basedOn w:val="3"/>
    <w:qFormat/>
    <w:uiPriority w:val="0"/>
    <w:pPr>
      <w:keepLines/>
      <w:widowControl w:val="0"/>
      <w:numPr>
        <w:ilvl w:val="1"/>
        <w:numId w:val="5"/>
      </w:numPr>
      <w:adjustRightInd/>
      <w:spacing w:before="260" w:after="260" w:line="416" w:lineRule="auto"/>
      <w:jc w:val="both"/>
      <w:textAlignment w:val="auto"/>
    </w:pPr>
    <w:rPr>
      <w:rFonts w:ascii="Cambria" w:hAnsi="Cambria" w:eastAsia="宋体"/>
      <w:b/>
      <w:bCs/>
      <w:sz w:val="32"/>
      <w:szCs w:val="32"/>
    </w:rPr>
  </w:style>
  <w:style w:type="paragraph" w:customStyle="1" w:styleId="600">
    <w:name w:val="文档标题"/>
    <w:basedOn w:val="1"/>
    <w:uiPriority w:val="99"/>
    <w:pPr>
      <w:widowControl w:val="0"/>
      <w:tabs>
        <w:tab w:val="left" w:pos="0"/>
      </w:tabs>
      <w:autoSpaceDE w:val="0"/>
      <w:autoSpaceDN w:val="0"/>
      <w:adjustRightInd w:val="0"/>
      <w:spacing w:before="300" w:after="300"/>
      <w:jc w:val="center"/>
    </w:pPr>
    <w:rPr>
      <w:rFonts w:ascii="Arial" w:hAnsi="Arial" w:cs="Arial"/>
      <w:kern w:val="0"/>
      <w:sz w:val="30"/>
      <w:szCs w:val="30"/>
    </w:rPr>
  </w:style>
  <w:style w:type="paragraph" w:customStyle="1" w:styleId="601">
    <w:name w:val="xl12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602">
    <w:name w:val="xl90"/>
    <w:basedOn w:val="1"/>
    <w:qFormat/>
    <w:uiPriority w:val="99"/>
    <w:pPr>
      <w:widowControl/>
      <w:pBdr>
        <w:top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b/>
      <w:bCs/>
      <w:kern w:val="0"/>
      <w:sz w:val="16"/>
      <w:szCs w:val="16"/>
    </w:rPr>
  </w:style>
  <w:style w:type="paragraph" w:customStyle="1" w:styleId="603">
    <w:name w:val="v15"/>
    <w:basedOn w:val="1"/>
    <w:uiPriority w:val="99"/>
    <w:pPr>
      <w:spacing w:before="100" w:beforeAutospacing="1" w:after="100" w:afterAutospacing="1"/>
    </w:pPr>
    <w:rPr>
      <w:rFonts w:ascii="Calibri" w:hAnsi="Calibri"/>
      <w:color w:val="000000"/>
      <w:kern w:val="0"/>
      <w:sz w:val="18"/>
      <w:szCs w:val="18"/>
    </w:rPr>
  </w:style>
  <w:style w:type="paragraph" w:customStyle="1" w:styleId="604">
    <w:name w:val="正文 A"/>
    <w:qFormat/>
    <w:uiPriority w:val="0"/>
    <w:pPr>
      <w:widowControl w:val="0"/>
      <w:jc w:val="both"/>
    </w:pPr>
    <w:rPr>
      <w:rFonts w:eastAsia="Arial Unicode MS" w:cs="Arial Unicode MS"/>
      <w:color w:val="000000"/>
      <w:kern w:val="2"/>
      <w:sz w:val="21"/>
      <w:szCs w:val="21"/>
      <w:lang w:val="en-US" w:eastAsia="zh-CN" w:bidi="ar-SA"/>
    </w:rPr>
  </w:style>
  <w:style w:type="paragraph" w:customStyle="1" w:styleId="605">
    <w:name w:val="Char Char19"/>
    <w:basedOn w:val="1"/>
    <w:uiPriority w:val="0"/>
    <w:rPr>
      <w:rFonts w:ascii="Tahoma" w:hAnsi="Tahoma"/>
      <w:sz w:val="24"/>
    </w:rPr>
  </w:style>
  <w:style w:type="paragraph" w:customStyle="1" w:styleId="606">
    <w:name w:val="样式2"/>
    <w:basedOn w:val="43"/>
    <w:uiPriority w:val="99"/>
    <w:pPr>
      <w:widowControl w:val="0"/>
      <w:pBdr>
        <w:top w:val="single" w:color="auto" w:sz="4" w:space="1"/>
        <w:bottom w:val="single" w:color="auto" w:sz="4" w:space="1"/>
      </w:pBdr>
    </w:pPr>
    <w:rPr>
      <w:lang w:val="en-US" w:eastAsia="zh-CN"/>
    </w:rPr>
  </w:style>
  <w:style w:type="paragraph" w:customStyle="1" w:styleId="607">
    <w:name w:val="中等深浅网格 1 - 强调文字颜色 21"/>
    <w:basedOn w:val="1"/>
    <w:qFormat/>
    <w:uiPriority w:val="0"/>
    <w:pPr>
      <w:widowControl/>
      <w:spacing w:after="200" w:afterLines="0" w:line="276" w:lineRule="auto"/>
      <w:ind w:left="720"/>
      <w:contextualSpacing/>
      <w:jc w:val="left"/>
    </w:pPr>
    <w:rPr>
      <w:kern w:val="0"/>
      <w:sz w:val="22"/>
      <w:szCs w:val="22"/>
      <w:lang w:eastAsia="en-US" w:bidi="en-US"/>
    </w:rPr>
  </w:style>
  <w:style w:type="paragraph" w:customStyle="1" w:styleId="608">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kern w:val="0"/>
      <w:sz w:val="24"/>
      <w:szCs w:val="24"/>
    </w:rPr>
  </w:style>
  <w:style w:type="paragraph" w:customStyle="1" w:styleId="609">
    <w:name w:val="xl41"/>
    <w:basedOn w:val="1"/>
    <w:uiPriority w:val="0"/>
    <w:pPr>
      <w:widowControl/>
      <w:pBdr>
        <w:top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ascii="Arial Unicode MS" w:hAnsi="Arial Unicode MS" w:eastAsia="Arial Unicode MS"/>
      <w:kern w:val="0"/>
      <w:sz w:val="52"/>
      <w:szCs w:val="52"/>
    </w:rPr>
  </w:style>
  <w:style w:type="paragraph" w:customStyle="1" w:styleId="610">
    <w:name w:val="产品文档模板-正文"/>
    <w:basedOn w:val="1"/>
    <w:qFormat/>
    <w:uiPriority w:val="0"/>
    <w:pPr>
      <w:widowControl w:val="0"/>
      <w:adjustRightInd w:val="0"/>
      <w:snapToGrid w:val="0"/>
      <w:spacing w:line="360" w:lineRule="auto"/>
      <w:jc w:val="both"/>
    </w:pPr>
    <w:rPr>
      <w:rFonts w:ascii="Calibri" w:hAnsi="Calibri"/>
      <w:snapToGrid w:val="0"/>
      <w:sz w:val="24"/>
      <w:szCs w:val="21"/>
    </w:rPr>
  </w:style>
  <w:style w:type="paragraph" w:customStyle="1" w:styleId="611">
    <w:name w:val="xl70"/>
    <w:basedOn w:val="1"/>
    <w:qFormat/>
    <w:uiPriority w:val="99"/>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b/>
      <w:bCs/>
      <w:kern w:val="0"/>
      <w:sz w:val="16"/>
      <w:szCs w:val="16"/>
    </w:rPr>
  </w:style>
  <w:style w:type="paragraph" w:customStyle="1" w:styleId="612">
    <w:name w:val="4"/>
    <w:basedOn w:val="1"/>
    <w:next w:val="58"/>
    <w:uiPriority w:val="99"/>
    <w:pPr>
      <w:widowControl/>
      <w:spacing w:before="100" w:beforeLines="0" w:beforeAutospacing="1" w:after="100" w:afterLines="0" w:afterAutospacing="1"/>
      <w:jc w:val="left"/>
    </w:pPr>
    <w:rPr>
      <w:rFonts w:ascii="宋体" w:hAnsi="宋体"/>
      <w:kern w:val="0"/>
      <w:sz w:val="24"/>
      <w:szCs w:val="24"/>
    </w:rPr>
  </w:style>
  <w:style w:type="paragraph" w:customStyle="1" w:styleId="613">
    <w:name w:val="wmcz"/>
    <w:basedOn w:val="1"/>
    <w:uiPriority w:val="99"/>
    <w:pPr>
      <w:spacing w:before="100" w:beforeAutospacing="1" w:after="100" w:afterAutospacing="1"/>
    </w:pPr>
    <w:rPr>
      <w:rFonts w:ascii="宋体" w:hAnsi="宋体"/>
      <w:kern w:val="0"/>
      <w:sz w:val="20"/>
    </w:rPr>
  </w:style>
  <w:style w:type="paragraph" w:customStyle="1" w:styleId="614">
    <w:name w:val="样式4"/>
    <w:basedOn w:val="43"/>
    <w:uiPriority w:val="0"/>
    <w:pPr>
      <w:widowControl w:val="0"/>
      <w:pBdr>
        <w:bottom w:val="none" w:color="auto" w:sz="0" w:space="0"/>
      </w:pBdr>
    </w:pPr>
    <w:rPr>
      <w:lang w:val="en-US" w:eastAsia="zh-CN"/>
    </w:rPr>
  </w:style>
  <w:style w:type="paragraph" w:customStyle="1" w:styleId="615">
    <w:name w:val="xl43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color w:val="000000"/>
      <w:kern w:val="0"/>
      <w:sz w:val="20"/>
    </w:rPr>
  </w:style>
  <w:style w:type="paragraph" w:customStyle="1" w:styleId="616">
    <w:name w:val="tableheading"/>
    <w:basedOn w:val="1"/>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617">
    <w:name w:val="font1"/>
    <w:basedOn w:val="1"/>
    <w:uiPriority w:val="99"/>
    <w:pPr>
      <w:spacing w:before="100" w:beforeAutospacing="1" w:after="100" w:afterAutospacing="1"/>
    </w:pPr>
    <w:rPr>
      <w:rFonts w:ascii="宋体" w:hAnsi="宋体"/>
      <w:kern w:val="0"/>
      <w:sz w:val="24"/>
      <w:szCs w:val="24"/>
    </w:rPr>
  </w:style>
  <w:style w:type="paragraph" w:customStyle="1" w:styleId="618">
    <w:name w:val="xl42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0"/>
    </w:rPr>
  </w:style>
  <w:style w:type="paragraph" w:customStyle="1" w:styleId="619">
    <w:name w:val="表格内容"/>
    <w:basedOn w:val="1"/>
    <w:uiPriority w:val="0"/>
    <w:pPr>
      <w:suppressLineNumbers/>
      <w:suppressAutoHyphens/>
    </w:pPr>
    <w:rPr>
      <w:rFonts w:ascii="Thorndale" w:hAnsi="Thorndale" w:cs="宋体"/>
      <w:kern w:val="1"/>
      <w:sz w:val="24"/>
      <w:szCs w:val="24"/>
    </w:rPr>
  </w:style>
  <w:style w:type="paragraph" w:customStyle="1" w:styleId="620">
    <w:name w:val="straightmatter"/>
    <w:basedOn w:val="1"/>
    <w:uiPriority w:val="0"/>
    <w:pPr>
      <w:spacing w:before="120" w:beforeLines="0" w:after="120" w:afterLines="0" w:line="288" w:lineRule="atLeast"/>
      <w:ind w:left="120" w:right="120"/>
    </w:pPr>
    <w:rPr>
      <w:rFonts w:ascii="宋体" w:hAnsi="宋体"/>
      <w:color w:val="52987C"/>
      <w:kern w:val="0"/>
      <w:sz w:val="24"/>
      <w:szCs w:val="24"/>
    </w:rPr>
  </w:style>
  <w:style w:type="paragraph" w:customStyle="1" w:styleId="621">
    <w:name w:val="样式"/>
    <w:basedOn w:val="1"/>
    <w:uiPriority w:val="99"/>
    <w:pPr>
      <w:widowControl w:val="0"/>
      <w:autoSpaceDE w:val="0"/>
      <w:autoSpaceDN w:val="0"/>
      <w:snapToGrid w:val="0"/>
      <w:spacing w:before="120" w:after="120" w:line="360" w:lineRule="auto"/>
      <w:jc w:val="both"/>
    </w:pPr>
    <w:rPr>
      <w:rFonts w:ascii="宋体"/>
      <w:sz w:val="24"/>
    </w:rPr>
  </w:style>
  <w:style w:type="paragraph" w:customStyle="1" w:styleId="622">
    <w:name w:val="xl6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Lines="0" w:beforeAutospacing="1" w:after="100" w:afterLines="0" w:afterAutospacing="1"/>
      <w:jc w:val="center"/>
      <w:textAlignment w:val="center"/>
    </w:pPr>
    <w:rPr>
      <w:rFonts w:ascii="Arial" w:hAnsi="Arial" w:eastAsia="Arial Unicode MS" w:cs="Arial"/>
      <w:kern w:val="0"/>
      <w:sz w:val="32"/>
      <w:szCs w:val="32"/>
    </w:rPr>
  </w:style>
  <w:style w:type="paragraph" w:customStyle="1" w:styleId="623">
    <w:name w:val="标题1"/>
    <w:basedOn w:val="1"/>
    <w:uiPriority w:val="99"/>
    <w:pPr>
      <w:widowControl w:val="0"/>
      <w:spacing w:line="360" w:lineRule="auto"/>
      <w:jc w:val="center"/>
    </w:pPr>
    <w:rPr>
      <w:rFonts w:eastAsia="黑体"/>
      <w:sz w:val="44"/>
    </w:rPr>
  </w:style>
  <w:style w:type="paragraph" w:customStyle="1" w:styleId="624">
    <w:name w:val="默认段落字体 Para Char Char Char Char Char Char Char Char Char Char Char Char Char Char Char Char Char Char Char"/>
    <w:basedOn w:val="1"/>
    <w:uiPriority w:val="99"/>
    <w:rPr>
      <w:rFonts w:ascii="Tahoma" w:hAnsi="Tahoma"/>
      <w:sz w:val="24"/>
    </w:rPr>
  </w:style>
  <w:style w:type="paragraph" w:customStyle="1" w:styleId="625">
    <w:name w:val="Q3"/>
    <w:basedOn w:val="4"/>
    <w:next w:val="1"/>
    <w:qFormat/>
    <w:uiPriority w:val="0"/>
    <w:pPr>
      <w:widowControl w:val="0"/>
      <w:numPr>
        <w:ilvl w:val="2"/>
        <w:numId w:val="5"/>
      </w:numPr>
      <w:jc w:val="both"/>
    </w:pPr>
    <w:rPr>
      <w:bCs/>
      <w:kern w:val="0"/>
      <w:sz w:val="30"/>
      <w:szCs w:val="32"/>
    </w:rPr>
  </w:style>
  <w:style w:type="paragraph" w:customStyle="1" w:styleId="626">
    <w:name w:val="Default"/>
    <w:uiPriority w:val="0"/>
    <w:pPr>
      <w:widowControl w:val="0"/>
      <w:autoSpaceDE w:val="0"/>
      <w:autoSpaceDN w:val="0"/>
      <w:adjustRightInd w:val="0"/>
    </w:pPr>
    <w:rPr>
      <w:rFonts w:ascii="黑体" w:eastAsia="黑体" w:cs="黑体"/>
      <w:color w:val="000000"/>
      <w:sz w:val="24"/>
      <w:szCs w:val="24"/>
      <w:lang w:val="en-US" w:eastAsia="zh-CN" w:bidi="ar-SA"/>
    </w:rPr>
  </w:style>
  <w:style w:type="paragraph" w:customStyle="1" w:styleId="627">
    <w:name w:val="样式 标题1"/>
    <w:basedOn w:val="512"/>
    <w:next w:val="1"/>
    <w:uiPriority w:val="0"/>
    <w:pPr>
      <w:spacing w:before="20" w:after="20" w:line="360" w:lineRule="auto"/>
      <w:jc w:val="left"/>
    </w:pPr>
    <w:rPr>
      <w:rFonts w:eastAsia="黑体"/>
      <w:kern w:val="0"/>
      <w:sz w:val="32"/>
    </w:rPr>
  </w:style>
  <w:style w:type="paragraph" w:customStyle="1" w:styleId="628">
    <w:name w:val="xl40"/>
    <w:basedOn w:val="1"/>
    <w:uiPriority w:val="0"/>
    <w:pPr>
      <w:widowControl/>
      <w:pBdr>
        <w:top w:val="single" w:color="auto" w:sz="4" w:space="0"/>
        <w:left w:val="single" w:color="auto" w:sz="4" w:space="0"/>
        <w:bottom w:val="single" w:color="auto" w:sz="4" w:space="0"/>
      </w:pBdr>
      <w:spacing w:before="100" w:beforeLines="0" w:beforeAutospacing="1" w:after="100" w:afterLines="0" w:afterAutospacing="1"/>
      <w:jc w:val="center"/>
      <w:textAlignment w:val="center"/>
    </w:pPr>
    <w:rPr>
      <w:rFonts w:eastAsia="Arial Unicode MS"/>
      <w:kern w:val="0"/>
      <w:sz w:val="52"/>
      <w:szCs w:val="52"/>
    </w:rPr>
  </w:style>
  <w:style w:type="paragraph" w:customStyle="1" w:styleId="629">
    <w:name w:val="±í??É"/>
    <w:basedOn w:val="1"/>
    <w:uiPriority w:val="99"/>
    <w:pPr>
      <w:overflowPunct w:val="0"/>
      <w:autoSpaceDE w:val="0"/>
      <w:autoSpaceDN w:val="0"/>
      <w:adjustRightInd w:val="0"/>
      <w:spacing w:line="300" w:lineRule="auto"/>
      <w:textAlignment w:val="baseline"/>
    </w:pPr>
    <w:rPr>
      <w:kern w:val="0"/>
      <w:sz w:val="18"/>
    </w:rPr>
  </w:style>
  <w:style w:type="paragraph" w:customStyle="1" w:styleId="630">
    <w:name w:val="Normal1"/>
    <w:uiPriority w:val="99"/>
    <w:pPr>
      <w:widowControl w:val="0"/>
      <w:adjustRightInd w:val="0"/>
      <w:spacing w:line="315" w:lineRule="atLeast"/>
      <w:jc w:val="both"/>
      <w:textAlignment w:val="baseline"/>
    </w:pPr>
    <w:rPr>
      <w:rFonts w:ascii="宋体"/>
      <w:sz w:val="24"/>
      <w:lang w:val="en-US" w:eastAsia="zh-CN" w:bidi="ar-SA"/>
    </w:rPr>
  </w:style>
  <w:style w:type="paragraph" w:customStyle="1" w:styleId="631">
    <w:name w:val="四级条标题"/>
    <w:basedOn w:val="632"/>
    <w:next w:val="356"/>
    <w:uiPriority w:val="99"/>
    <w:pPr>
      <w:outlineLvl w:val="5"/>
    </w:pPr>
  </w:style>
  <w:style w:type="paragraph" w:customStyle="1" w:styleId="632">
    <w:name w:val="三级条标题"/>
    <w:basedOn w:val="633"/>
    <w:next w:val="356"/>
    <w:uiPriority w:val="99"/>
    <w:pPr>
      <w:outlineLvl w:val="4"/>
    </w:pPr>
  </w:style>
  <w:style w:type="paragraph" w:customStyle="1" w:styleId="633">
    <w:name w:val="二级条标题"/>
    <w:basedOn w:val="584"/>
    <w:next w:val="356"/>
    <w:uiPriority w:val="99"/>
    <w:pPr>
      <w:numPr>
        <w:ilvl w:val="0"/>
        <w:numId w:val="0"/>
      </w:numPr>
      <w:jc w:val="both"/>
      <w:outlineLvl w:val="3"/>
    </w:pPr>
    <w:rPr>
      <w:rFonts w:ascii="黑体"/>
      <w:szCs w:val="20"/>
    </w:rPr>
  </w:style>
  <w:style w:type="paragraph" w:customStyle="1" w:styleId="634">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16"/>
      <w:szCs w:val="16"/>
    </w:rPr>
  </w:style>
  <w:style w:type="paragraph" w:customStyle="1" w:styleId="635">
    <w:name w:val="xl83"/>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Lines="0" w:beforeAutospacing="1" w:after="100" w:afterLines="0" w:afterAutospacing="1"/>
      <w:jc w:val="left"/>
    </w:pPr>
    <w:rPr>
      <w:rFonts w:ascii="宋体" w:hAnsi="宋体" w:cs="宋体"/>
      <w:kern w:val="0"/>
      <w:sz w:val="16"/>
      <w:szCs w:val="16"/>
    </w:rPr>
  </w:style>
  <w:style w:type="paragraph" w:customStyle="1" w:styleId="636">
    <w:name w:val="目录"/>
    <w:basedOn w:val="1"/>
    <w:uiPriority w:val="99"/>
    <w:pPr>
      <w:widowControl w:val="0"/>
      <w:autoSpaceDE w:val="0"/>
      <w:autoSpaceDN w:val="0"/>
      <w:adjustRightInd w:val="0"/>
      <w:spacing w:before="300" w:after="150" w:line="360" w:lineRule="auto"/>
      <w:jc w:val="center"/>
    </w:pPr>
    <w:rPr>
      <w:rFonts w:ascii="黑体" w:eastAsia="黑体"/>
      <w:kern w:val="0"/>
      <w:sz w:val="30"/>
      <w:szCs w:val="30"/>
    </w:rPr>
  </w:style>
  <w:style w:type="paragraph" w:customStyle="1" w:styleId="637">
    <w:name w:val="表格内文字"/>
    <w:uiPriority w:val="99"/>
    <w:pPr>
      <w:spacing w:beforeLines="25" w:afterLines="25"/>
      <w:jc w:val="center"/>
    </w:pPr>
    <w:rPr>
      <w:rFonts w:ascii="Arial" w:hAnsi="Arial" w:eastAsia="仿宋_GB2312" w:cs="宋体"/>
      <w:iCs/>
      <w:sz w:val="24"/>
      <w:szCs w:val="24"/>
      <w:lang w:val="en-US" w:eastAsia="zh-CN" w:bidi="ar-SA"/>
    </w:rPr>
  </w:style>
  <w:style w:type="paragraph" w:customStyle="1" w:styleId="638">
    <w:name w:val="Char11"/>
    <w:basedOn w:val="1"/>
    <w:uiPriority w:val="99"/>
    <w:rPr>
      <w:rFonts w:ascii="仿宋_GB2312" w:eastAsia="仿宋_GB2312"/>
      <w:b/>
      <w:sz w:val="32"/>
    </w:rPr>
  </w:style>
  <w:style w:type="paragraph" w:customStyle="1" w:styleId="639">
    <w:name w:val="列出段落2"/>
    <w:basedOn w:val="1"/>
    <w:unhideWhenUsed/>
    <w:qFormat/>
    <w:uiPriority w:val="34"/>
    <w:pPr>
      <w:widowControl w:val="0"/>
      <w:ind w:firstLine="420" w:firstLineChars="200"/>
      <w:jc w:val="both"/>
    </w:pPr>
    <w:rPr>
      <w:rFonts w:ascii="Calibri" w:hAnsi="Calibri"/>
      <w:szCs w:val="22"/>
    </w:rPr>
  </w:style>
  <w:style w:type="paragraph" w:customStyle="1" w:styleId="640">
    <w:name w:val="普通(网站)1"/>
    <w:basedOn w:val="1"/>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641">
    <w:name w:val="cr2 + 自定义颜(RGB(0"/>
    <w:basedOn w:val="1"/>
    <w:uiPriority w:val="0"/>
    <w:pPr>
      <w:numPr>
        <w:ilvl w:val="0"/>
        <w:numId w:val="6"/>
      </w:numPr>
      <w:tabs>
        <w:tab w:val="left" w:pos="289"/>
      </w:tabs>
      <w:spacing w:line="360" w:lineRule="auto"/>
      <w:outlineLvl w:val="0"/>
    </w:pPr>
    <w:rPr>
      <w:rFonts w:ascii="微软雅黑" w:hAnsi="微软雅黑" w:eastAsia="微软雅黑"/>
      <w:color w:val="000000"/>
      <w:spacing w:val="15"/>
      <w:sz w:val="30"/>
      <w:szCs w:val="30"/>
    </w:rPr>
  </w:style>
  <w:style w:type="paragraph" w:customStyle="1" w:styleId="642">
    <w:name w:val="xl33"/>
    <w:basedOn w:val="1"/>
    <w:uiPriority w:val="99"/>
    <w:pPr>
      <w:widowControl/>
      <w:pBdr>
        <w:top w:val="single" w:color="auto" w:sz="8" w:space="0"/>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b/>
      <w:bCs/>
      <w:kern w:val="0"/>
      <w:sz w:val="22"/>
      <w:szCs w:val="22"/>
    </w:rPr>
  </w:style>
  <w:style w:type="paragraph" w:customStyle="1" w:styleId="643">
    <w:name w:val="样式 样式 标题1 + 段前: 0.5 磅 段后: 0.5 磅"/>
    <w:basedOn w:val="627"/>
    <w:uiPriority w:val="0"/>
    <w:pPr>
      <w:spacing w:before="10" w:after="10"/>
    </w:pPr>
    <w:rPr>
      <w:rFonts w:cs="宋体"/>
      <w:sz w:val="30"/>
      <w:szCs w:val="20"/>
    </w:rPr>
  </w:style>
  <w:style w:type="paragraph" w:customStyle="1" w:styleId="644">
    <w:name w:val="正文文本缩进1"/>
    <w:basedOn w:val="1"/>
    <w:uiPriority w:val="0"/>
    <w:pPr>
      <w:spacing w:after="120" w:afterLines="0"/>
      <w:ind w:left="420" w:leftChars="200"/>
    </w:pPr>
    <w:rPr>
      <w:sz w:val="24"/>
    </w:rPr>
  </w:style>
  <w:style w:type="paragraph" w:customStyle="1" w:styleId="645">
    <w:name w:val="标准正文"/>
    <w:basedOn w:val="1"/>
    <w:uiPriority w:val="99"/>
    <w:pPr>
      <w:widowControl w:val="0"/>
      <w:spacing w:before="100" w:beforeAutospacing="1" w:after="100" w:afterAutospacing="1" w:line="360" w:lineRule="auto"/>
      <w:ind w:firstLine="200" w:firstLineChars="200"/>
      <w:jc w:val="both"/>
    </w:pPr>
    <w:rPr>
      <w:sz w:val="24"/>
      <w:szCs w:val="24"/>
    </w:rPr>
  </w:style>
  <w:style w:type="paragraph" w:customStyle="1" w:styleId="646">
    <w:name w:val="font526872"/>
    <w:basedOn w:val="1"/>
    <w:uiPriority w:val="0"/>
    <w:pPr>
      <w:spacing w:before="100" w:beforeAutospacing="1" w:after="100" w:afterAutospacing="1"/>
    </w:pPr>
    <w:rPr>
      <w:rFonts w:ascii="宋体" w:hAnsi="宋体" w:cs="宋体"/>
      <w:kern w:val="0"/>
      <w:sz w:val="18"/>
      <w:szCs w:val="18"/>
    </w:rPr>
  </w:style>
  <w:style w:type="paragraph" w:customStyle="1" w:styleId="647">
    <w:name w:val="xl72"/>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Lines="0" w:beforeAutospacing="1" w:after="100" w:afterLines="0" w:afterAutospacing="1"/>
      <w:jc w:val="left"/>
    </w:pPr>
    <w:rPr>
      <w:rFonts w:ascii="宋体" w:hAnsi="宋体" w:cs="宋体"/>
      <w:kern w:val="0"/>
      <w:sz w:val="16"/>
      <w:szCs w:val="16"/>
    </w:rPr>
  </w:style>
  <w:style w:type="paragraph" w:customStyle="1" w:styleId="648">
    <w:name w:val="样式 小四 首行缩进:  0.85 厘米 行距: 1.5 倍行距"/>
    <w:basedOn w:val="1"/>
    <w:uiPriority w:val="99"/>
    <w:pPr>
      <w:widowControl w:val="0"/>
      <w:spacing w:line="360" w:lineRule="auto"/>
      <w:ind w:firstLine="480"/>
      <w:jc w:val="both"/>
    </w:pPr>
    <w:rPr>
      <w:rFonts w:eastAsia="楷体_GB2312" w:cs="宋体"/>
      <w:sz w:val="24"/>
    </w:rPr>
  </w:style>
  <w:style w:type="paragraph" w:customStyle="1" w:styleId="649">
    <w:name w:val="font11"/>
    <w:basedOn w:val="1"/>
    <w:qFormat/>
    <w:uiPriority w:val="0"/>
    <w:pPr>
      <w:widowControl/>
      <w:spacing w:before="100" w:beforeLines="0" w:beforeAutospacing="1" w:after="100" w:afterLines="0" w:afterAutospacing="1"/>
      <w:jc w:val="left"/>
    </w:pPr>
    <w:rPr>
      <w:rFonts w:hint="eastAsia" w:ascii="宋体" w:hAnsi="宋体"/>
      <w:color w:val="FF0000"/>
      <w:kern w:val="0"/>
      <w:sz w:val="16"/>
      <w:szCs w:val="16"/>
    </w:rPr>
  </w:style>
  <w:style w:type="paragraph" w:customStyle="1" w:styleId="650">
    <w:name w:val="xl95"/>
    <w:basedOn w:val="1"/>
    <w:qFormat/>
    <w:uiPriority w:val="0"/>
    <w:pPr>
      <w:widowControl/>
      <w:pBdr>
        <w:top w:val="single" w:color="000000" w:sz="4" w:space="0"/>
        <w:right w:val="single" w:color="000000" w:sz="4" w:space="0"/>
      </w:pBdr>
      <w:shd w:val="clear" w:color="auto" w:fill="FFFFFF"/>
      <w:spacing w:before="100" w:beforeLines="0" w:beforeAutospacing="1" w:after="100" w:afterLines="0" w:afterAutospacing="1"/>
      <w:jc w:val="left"/>
    </w:pPr>
    <w:rPr>
      <w:rFonts w:ascii="宋体" w:hAnsi="宋体" w:cs="宋体"/>
      <w:b/>
      <w:bCs/>
      <w:kern w:val="0"/>
      <w:sz w:val="16"/>
      <w:szCs w:val="16"/>
    </w:rPr>
  </w:style>
  <w:style w:type="paragraph" w:customStyle="1" w:styleId="651">
    <w:name w:val="Q1"/>
    <w:basedOn w:val="2"/>
    <w:qFormat/>
    <w:uiPriority w:val="0"/>
    <w:pPr>
      <w:keepLines/>
      <w:widowControl w:val="0"/>
      <w:numPr>
        <w:ilvl w:val="0"/>
        <w:numId w:val="5"/>
      </w:numPr>
      <w:adjustRightInd w:val="0"/>
      <w:spacing w:before="340" w:after="330" w:line="578" w:lineRule="auto"/>
      <w:jc w:val="both"/>
    </w:pPr>
    <w:rPr>
      <w:rFonts w:ascii="Times New Roman" w:eastAsia="宋体"/>
      <w:bCs/>
      <w:color w:val="auto"/>
      <w:kern w:val="44"/>
      <w:sz w:val="30"/>
      <w:szCs w:val="24"/>
    </w:rPr>
  </w:style>
  <w:style w:type="paragraph" w:customStyle="1" w:styleId="652">
    <w:name w:val="样式 正文文本正文文字 + 首行缩进:  2 字符"/>
    <w:basedOn w:val="26"/>
    <w:uiPriority w:val="99"/>
    <w:pPr>
      <w:widowControl w:val="0"/>
      <w:autoSpaceDE w:val="0"/>
      <w:autoSpaceDN w:val="0"/>
      <w:adjustRightInd w:val="0"/>
      <w:spacing w:before="60" w:after="60" w:line="460" w:lineRule="exact"/>
      <w:ind w:firstLine="200" w:firstLineChars="200"/>
      <w:textAlignment w:val="baseline"/>
    </w:pPr>
    <w:rPr>
      <w:rFonts w:ascii="宋体"/>
      <w:kern w:val="0"/>
      <w:lang w:val="en-GB"/>
    </w:rPr>
  </w:style>
  <w:style w:type="paragraph" w:customStyle="1" w:styleId="653">
    <w:name w:val="前言、引言标题"/>
    <w:next w:val="1"/>
    <w:uiPriority w:val="99"/>
    <w:pPr>
      <w:shd w:val="clear" w:color="auto" w:fill="FFFFFF"/>
      <w:spacing w:before="640" w:after="560"/>
      <w:jc w:val="center"/>
      <w:outlineLvl w:val="0"/>
    </w:pPr>
    <w:rPr>
      <w:rFonts w:ascii="黑体" w:eastAsia="黑体"/>
      <w:sz w:val="32"/>
      <w:lang w:val="en-US" w:eastAsia="zh-CN" w:bidi="ar-SA"/>
    </w:rPr>
  </w:style>
  <w:style w:type="paragraph" w:customStyle="1" w:styleId="654">
    <w:name w:val=" Char Char Char Char Char Char Char Char Char Char"/>
    <w:basedOn w:val="20"/>
    <w:uiPriority w:val="0"/>
    <w:pPr>
      <w:widowControl w:val="0"/>
      <w:jc w:val="both"/>
    </w:pPr>
    <w:rPr>
      <w:rFonts w:ascii="Tahoma" w:hAnsi="Tahoma"/>
      <w:sz w:val="24"/>
      <w:szCs w:val="24"/>
    </w:rPr>
  </w:style>
  <w:style w:type="paragraph" w:customStyle="1" w:styleId="655">
    <w:name w:val="Char Char1 Char Char Char Char Char Char Char Char"/>
    <w:basedOn w:val="1"/>
    <w:uiPriority w:val="99"/>
    <w:pPr>
      <w:spacing w:after="160" w:line="240" w:lineRule="exact"/>
    </w:pPr>
    <w:rPr>
      <w:rFonts w:ascii="Verdana" w:hAnsi="Verdana"/>
      <w:kern w:val="0"/>
      <w:sz w:val="20"/>
      <w:lang w:eastAsia="en-US"/>
    </w:rPr>
  </w:style>
  <w:style w:type="paragraph" w:customStyle="1" w:styleId="656">
    <w:name w:val="正文段落"/>
    <w:basedOn w:val="1"/>
    <w:uiPriority w:val="0"/>
    <w:pPr>
      <w:widowControl w:val="0"/>
      <w:spacing w:line="360" w:lineRule="auto"/>
      <w:ind w:firstLine="440" w:firstLineChars="200"/>
      <w:jc w:val="both"/>
    </w:pPr>
    <w:rPr>
      <w:rFonts w:ascii="宋体" w:hAnsi="宋体" w:cs="宋体"/>
      <w:kern w:val="0"/>
    </w:rPr>
  </w:style>
  <w:style w:type="paragraph" w:customStyle="1" w:styleId="657">
    <w:name w:val="Normal_26"/>
    <w:qFormat/>
    <w:uiPriority w:val="0"/>
    <w:pPr>
      <w:widowControl w:val="0"/>
      <w:spacing w:before="120" w:after="240"/>
      <w:jc w:val="both"/>
    </w:pPr>
    <w:rPr>
      <w:rFonts w:ascii="Calibri" w:hAnsi="Calibri" w:eastAsia="Calibri" w:cs="Calibri"/>
      <w:color w:val="000000"/>
      <w:sz w:val="22"/>
      <w:szCs w:val="22"/>
      <w:lang w:val="ru-RU" w:eastAsia="zh-CN" w:bidi="ar-SA"/>
    </w:rPr>
  </w:style>
  <w:style w:type="paragraph" w:customStyle="1" w:styleId="658">
    <w:name w:val="xl2226872"/>
    <w:basedOn w:val="1"/>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bottom"/>
    </w:pPr>
    <w:rPr>
      <w:rFonts w:ascii="宋体" w:hAnsi="宋体" w:cs="宋体"/>
      <w:kern w:val="0"/>
      <w:sz w:val="24"/>
      <w:szCs w:val="24"/>
    </w:rPr>
  </w:style>
  <w:style w:type="paragraph" w:customStyle="1" w:styleId="659">
    <w:name w:val="xl82"/>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Lines="0" w:beforeAutospacing="1" w:after="100" w:afterLines="0" w:afterAutospacing="1"/>
      <w:jc w:val="center"/>
    </w:pPr>
    <w:rPr>
      <w:rFonts w:ascii="宋体" w:hAnsi="宋体" w:cs="宋体"/>
      <w:color w:val="FF0000"/>
      <w:kern w:val="0"/>
      <w:sz w:val="16"/>
      <w:szCs w:val="16"/>
    </w:rPr>
  </w:style>
  <w:style w:type="paragraph" w:customStyle="1" w:styleId="660">
    <w:name w:val="表项"/>
    <w:basedOn w:val="1"/>
    <w:uiPriority w:val="0"/>
    <w:pPr>
      <w:widowControl w:val="0"/>
      <w:autoSpaceDE w:val="0"/>
      <w:autoSpaceDN w:val="0"/>
      <w:adjustRightInd w:val="0"/>
      <w:spacing w:line="300" w:lineRule="auto"/>
      <w:jc w:val="center"/>
    </w:pPr>
    <w:rPr>
      <w:rFonts w:ascii="Arial" w:hAnsi="Arial" w:eastAsia="黑体"/>
      <w:kern w:val="0"/>
      <w:sz w:val="18"/>
    </w:rPr>
  </w:style>
  <w:style w:type="paragraph" w:customStyle="1" w:styleId="661">
    <w:name w:val="庄制定的正文"/>
    <w:basedOn w:val="1"/>
    <w:uiPriority w:val="0"/>
    <w:pPr>
      <w:widowControl w:val="0"/>
      <w:spacing w:after="50" w:line="360" w:lineRule="auto"/>
      <w:ind w:firstLine="454"/>
      <w:jc w:val="both"/>
    </w:pPr>
    <w:rPr>
      <w:rFonts w:ascii="宋体" w:hAnsi="宋体" w:cs="宋体"/>
      <w:kern w:val="44"/>
      <w:sz w:val="24"/>
    </w:rPr>
  </w:style>
  <w:style w:type="paragraph" w:customStyle="1" w:styleId="662">
    <w:name w:val="xl29"/>
    <w:basedOn w:val="1"/>
    <w:uiPriority w:val="99"/>
    <w:pPr>
      <w:widowControl/>
      <w:pBdr>
        <w:top w:val="single" w:color="auto" w:sz="4" w:space="0"/>
        <w:left w:val="single" w:color="auto" w:sz="8" w:space="0"/>
        <w:bottom w:val="single" w:color="auto" w:sz="8" w:space="0"/>
        <w:right w:val="single" w:color="auto" w:sz="4" w:space="0"/>
      </w:pBdr>
      <w:spacing w:before="100" w:beforeLines="0" w:beforeAutospacing="1" w:after="100" w:afterLines="0" w:afterAutospacing="1"/>
      <w:jc w:val="center"/>
      <w:textAlignment w:val="center"/>
    </w:pPr>
    <w:rPr>
      <w:rFonts w:ascii="宋体" w:hAnsi="宋体"/>
      <w:b/>
      <w:bCs/>
      <w:kern w:val="0"/>
      <w:sz w:val="24"/>
      <w:szCs w:val="24"/>
    </w:rPr>
  </w:style>
  <w:style w:type="paragraph" w:customStyle="1" w:styleId="663">
    <w:name w:val="xl42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0"/>
    </w:rPr>
  </w:style>
  <w:style w:type="paragraph" w:customStyle="1" w:styleId="664">
    <w:name w:val="xl57"/>
    <w:basedOn w:val="1"/>
    <w:uiPriority w:val="99"/>
    <w:pPr>
      <w:widowControl/>
      <w:pBdr>
        <w:top w:val="single" w:color="auto" w:sz="4" w:space="0"/>
        <w:bottom w:val="single" w:color="auto" w:sz="4" w:space="0"/>
      </w:pBdr>
      <w:spacing w:before="100" w:beforeLines="0" w:beforeAutospacing="1" w:after="100" w:afterLines="0" w:afterAutospacing="1"/>
      <w:jc w:val="left"/>
      <w:textAlignment w:val="center"/>
    </w:pPr>
    <w:rPr>
      <w:rFonts w:ascii="Arial" w:hAnsi="Arial" w:eastAsia="Arial Unicode MS" w:cs="Arial"/>
      <w:kern w:val="0"/>
      <w:sz w:val="20"/>
    </w:rPr>
  </w:style>
  <w:style w:type="paragraph" w:customStyle="1" w:styleId="665">
    <w:name w:val="List Paragraph1"/>
    <w:basedOn w:val="1"/>
    <w:uiPriority w:val="0"/>
    <w:pPr>
      <w:ind w:firstLine="420" w:firstLineChars="200"/>
    </w:pPr>
    <w:rPr>
      <w:szCs w:val="24"/>
    </w:rPr>
  </w:style>
  <w:style w:type="paragraph" w:customStyle="1" w:styleId="666">
    <w:name w:val="xl42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kern w:val="0"/>
      <w:sz w:val="20"/>
    </w:rPr>
  </w:style>
  <w:style w:type="paragraph" w:customStyle="1" w:styleId="667">
    <w:name w:val="tabletext"/>
    <w:basedOn w:val="1"/>
    <w:uiPriority w:val="0"/>
    <w:pPr>
      <w:widowControl/>
      <w:spacing w:before="100" w:beforeLines="0" w:beforeAutospacing="1" w:after="100" w:afterLines="0" w:afterAutospacing="1"/>
      <w:jc w:val="left"/>
    </w:pPr>
    <w:rPr>
      <w:rFonts w:ascii="宋体" w:hAnsi="宋体" w:cs="宋体"/>
      <w:kern w:val="0"/>
      <w:sz w:val="24"/>
      <w:szCs w:val="24"/>
      <w:lang w:bidi="hi-IN"/>
    </w:rPr>
  </w:style>
  <w:style w:type="paragraph" w:customStyle="1" w:styleId="668">
    <w:name w:val="xl42"/>
    <w:basedOn w:val="1"/>
    <w:uiPriority w:val="99"/>
    <w:pPr>
      <w:widowControl/>
      <w:pBdr>
        <w:top w:val="single" w:color="auto" w:sz="4" w:space="0"/>
        <w:left w:val="single" w:color="auto" w:sz="4" w:space="0"/>
        <w:bottom w:val="single" w:color="auto" w:sz="4" w:space="0"/>
        <w:right w:val="single" w:color="auto" w:sz="4" w:space="0"/>
      </w:pBdr>
      <w:shd w:val="clear" w:color="auto" w:fill="C0C0C0"/>
      <w:spacing w:before="100" w:beforeLines="0" w:beforeAutospacing="1" w:after="100" w:afterLines="0" w:afterAutospacing="1"/>
      <w:jc w:val="center"/>
      <w:textAlignment w:val="center"/>
    </w:pPr>
    <w:rPr>
      <w:rFonts w:eastAsia="Arial Unicode MS"/>
      <w:b/>
      <w:bCs/>
      <w:kern w:val="0"/>
      <w:sz w:val="52"/>
      <w:szCs w:val="52"/>
    </w:rPr>
  </w:style>
  <w:style w:type="paragraph" w:customStyle="1" w:styleId="669">
    <w:name w:val="10号线正文"/>
    <w:basedOn w:val="1"/>
    <w:uiPriority w:val="0"/>
    <w:pPr>
      <w:spacing w:line="360" w:lineRule="auto"/>
      <w:ind w:firstLine="482" w:firstLineChars="200"/>
    </w:pPr>
    <w:rPr>
      <w:rFonts w:ascii="宋体" w:cs="宋体"/>
      <w:sz w:val="24"/>
      <w:szCs w:val="24"/>
    </w:rPr>
  </w:style>
  <w:style w:type="paragraph" w:customStyle="1" w:styleId="670">
    <w:name w:val="xl96"/>
    <w:basedOn w:val="1"/>
    <w:qFormat/>
    <w:uiPriority w:val="0"/>
    <w:pPr>
      <w:widowControl/>
      <w:pBdr>
        <w:top w:val="single" w:color="000000" w:sz="4" w:space="0"/>
        <w:right w:val="single" w:color="000000" w:sz="4" w:space="0"/>
      </w:pBdr>
      <w:spacing w:before="100" w:beforeLines="0" w:beforeAutospacing="1" w:after="100" w:afterLines="0" w:afterAutospacing="1"/>
      <w:jc w:val="left"/>
    </w:pPr>
    <w:rPr>
      <w:rFonts w:ascii="宋体" w:hAnsi="宋体" w:cs="宋体"/>
      <w:b/>
      <w:bCs/>
      <w:kern w:val="0"/>
      <w:sz w:val="16"/>
      <w:szCs w:val="16"/>
    </w:rPr>
  </w:style>
  <w:style w:type="paragraph" w:customStyle="1" w:styleId="671">
    <w:name w:val="Char Char Char Char Char Char Char Char Char Char"/>
    <w:basedOn w:val="20"/>
    <w:uiPriority w:val="0"/>
    <w:pPr>
      <w:widowControl w:val="0"/>
      <w:jc w:val="both"/>
    </w:pPr>
    <w:rPr>
      <w:rFonts w:ascii="Tahoma" w:hAnsi="Tahoma"/>
      <w:sz w:val="24"/>
      <w:szCs w:val="24"/>
    </w:rPr>
  </w:style>
  <w:style w:type="paragraph" w:customStyle="1" w:styleId="672">
    <w:name w:val="标书表格字体格式"/>
    <w:next w:val="1"/>
    <w:uiPriority w:val="99"/>
    <w:rPr>
      <w:kern w:val="2"/>
      <w:sz w:val="21"/>
      <w:szCs w:val="24"/>
      <w:lang w:val="en-US" w:eastAsia="zh-CN" w:bidi="ar-SA"/>
    </w:rPr>
  </w:style>
  <w:style w:type="paragraph" w:customStyle="1" w:styleId="673">
    <w:name w:val="xl94"/>
    <w:basedOn w:val="1"/>
    <w:qFormat/>
    <w:uiPriority w:val="0"/>
    <w:pPr>
      <w:widowControl/>
      <w:pBdr>
        <w:top w:val="single" w:color="auto" w:sz="4" w:space="0"/>
        <w:bottom w:val="single" w:color="auto" w:sz="4" w:space="0"/>
        <w:right w:val="single" w:color="auto" w:sz="4" w:space="0"/>
      </w:pBdr>
      <w:shd w:val="clear" w:color="auto" w:fill="FFFFFF"/>
      <w:spacing w:before="100" w:beforeLines="0" w:beforeAutospacing="1" w:after="100" w:afterLines="0" w:afterAutospacing="1"/>
      <w:jc w:val="left"/>
    </w:pPr>
    <w:rPr>
      <w:rFonts w:ascii="宋体" w:hAnsi="宋体" w:cs="宋体"/>
      <w:kern w:val="0"/>
      <w:sz w:val="16"/>
      <w:szCs w:val="16"/>
    </w:rPr>
  </w:style>
  <w:style w:type="paragraph" w:customStyle="1" w:styleId="674">
    <w:name w:val="默认段落字体 Para Char Char Char Char111"/>
    <w:basedOn w:val="1"/>
    <w:uiPriority w:val="0"/>
    <w:rPr>
      <w:rFonts w:ascii="Calibri" w:hAnsi="Calibri" w:cs="Calibri"/>
      <w:kern w:val="0"/>
      <w:sz w:val="24"/>
      <w:szCs w:val="24"/>
      <w:lang w:eastAsia="en-US"/>
    </w:rPr>
  </w:style>
  <w:style w:type="paragraph" w:customStyle="1" w:styleId="67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kern w:val="0"/>
      <w:sz w:val="24"/>
      <w:szCs w:val="24"/>
    </w:rPr>
  </w:style>
  <w:style w:type="paragraph" w:customStyle="1" w:styleId="676">
    <w:name w:val="列表项目1"/>
    <w:basedOn w:val="1"/>
    <w:uiPriority w:val="0"/>
    <w:rPr>
      <w:rFonts w:ascii="宋体" w:hAnsi="宋体" w:cs="宋体"/>
      <w:b/>
      <w:kern w:val="0"/>
      <w:sz w:val="24"/>
      <w:szCs w:val="24"/>
    </w:rPr>
  </w:style>
  <w:style w:type="paragraph" w:customStyle="1" w:styleId="677">
    <w:name w:val="xl91"/>
    <w:basedOn w:val="1"/>
    <w:qFormat/>
    <w:uiPriority w:val="0"/>
    <w:pPr>
      <w:widowControl/>
      <w:pBdr>
        <w:top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16"/>
      <w:szCs w:val="16"/>
    </w:rPr>
  </w:style>
  <w:style w:type="paragraph" w:customStyle="1" w:styleId="678">
    <w:name w:val="样式 首行缩进:  0.85 厘米"/>
    <w:basedOn w:val="1"/>
    <w:uiPriority w:val="99"/>
    <w:pPr>
      <w:widowControl w:val="0"/>
      <w:spacing w:line="360" w:lineRule="auto"/>
      <w:ind w:firstLine="482"/>
      <w:jc w:val="both"/>
    </w:pPr>
    <w:rPr>
      <w:rFonts w:eastAsia="楷体_GB2312" w:cs="宋体"/>
      <w:sz w:val="24"/>
    </w:rPr>
  </w:style>
  <w:style w:type="paragraph" w:customStyle="1" w:styleId="679">
    <w:name w:val="a"/>
    <w:basedOn w:val="1"/>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68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kern w:val="0"/>
      <w:sz w:val="16"/>
      <w:szCs w:val="16"/>
    </w:rPr>
  </w:style>
  <w:style w:type="paragraph" w:customStyle="1" w:styleId="681">
    <w:name w:val="样式 列表编号 + 段后: 0.5 行"/>
    <w:basedOn w:val="16"/>
    <w:uiPriority w:val="0"/>
    <w:pPr>
      <w:tabs>
        <w:tab w:val="left" w:pos="840"/>
        <w:tab w:val="clear" w:pos="950"/>
      </w:tabs>
      <w:snapToGrid/>
      <w:ind w:left="425" w:right="0" w:hanging="425"/>
    </w:pPr>
    <w:rPr>
      <w:rFonts w:eastAsia="宋体" w:cs="宋体"/>
      <w:spacing w:val="0"/>
      <w:sz w:val="24"/>
      <w:lang w:eastAsia="zh-CN"/>
    </w:rPr>
  </w:style>
  <w:style w:type="paragraph" w:customStyle="1" w:styleId="682">
    <w:name w:val="標題 1-1"/>
    <w:uiPriority w:val="0"/>
    <w:pPr>
      <w:pBdr>
        <w:bottom w:val="threeDEngrave" w:color="auto" w:sz="36" w:space="1"/>
      </w:pBdr>
      <w:tabs>
        <w:tab w:val="left" w:pos="420"/>
      </w:tabs>
      <w:spacing w:after="480"/>
      <w:ind w:left="420" w:right="709" w:hanging="420"/>
    </w:pPr>
    <w:rPr>
      <w:rFonts w:ascii="Arial" w:hAnsi="Arial" w:eastAsia="PMingLiU"/>
      <w:b/>
      <w:sz w:val="40"/>
      <w:lang w:val="en-US" w:eastAsia="zh-CN" w:bidi="ar-SA"/>
    </w:rPr>
  </w:style>
  <w:style w:type="paragraph" w:customStyle="1" w:styleId="683">
    <w:name w:val=" Char Char Char Char Char Char Char"/>
    <w:basedOn w:val="1"/>
    <w:uiPriority w:val="0"/>
    <w:pPr>
      <w:tabs>
        <w:tab w:val="left" w:pos="432"/>
      </w:tabs>
      <w:ind w:left="432" w:hanging="432"/>
    </w:pPr>
    <w:rPr>
      <w:rFonts w:ascii="Tahoma" w:hAnsi="Tahoma"/>
      <w:sz w:val="24"/>
    </w:rPr>
  </w:style>
  <w:style w:type="paragraph" w:customStyle="1" w:styleId="684">
    <w:name w:val="xl30"/>
    <w:basedOn w:val="1"/>
    <w:uiPriority w:val="99"/>
    <w:pPr>
      <w:widowControl/>
      <w:pBdr>
        <w:top w:val="single" w:color="auto" w:sz="4" w:space="0"/>
        <w:left w:val="single" w:color="auto" w:sz="8" w:space="0"/>
        <w:bottom w:val="single" w:color="auto" w:sz="4" w:space="0"/>
        <w:right w:val="single" w:color="auto" w:sz="4" w:space="0"/>
      </w:pBdr>
      <w:spacing w:before="100" w:beforeLines="0" w:beforeAutospacing="1" w:after="100" w:afterLines="0" w:afterAutospacing="1"/>
      <w:jc w:val="center"/>
      <w:textAlignment w:val="center"/>
    </w:pPr>
    <w:rPr>
      <w:b/>
      <w:bCs/>
      <w:kern w:val="0"/>
      <w:sz w:val="24"/>
      <w:szCs w:val="24"/>
    </w:rPr>
  </w:style>
  <w:style w:type="paragraph" w:customStyle="1" w:styleId="685">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16"/>
      <w:szCs w:val="16"/>
    </w:rPr>
  </w:style>
  <w:style w:type="paragraph" w:customStyle="1" w:styleId="686">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kern w:val="0"/>
      <w:sz w:val="16"/>
      <w:szCs w:val="16"/>
    </w:rPr>
  </w:style>
  <w:style w:type="paragraph" w:customStyle="1" w:styleId="687">
    <w:name w:val="目录页编号文本样式"/>
    <w:basedOn w:val="1"/>
    <w:uiPriority w:val="99"/>
    <w:pPr>
      <w:widowControl w:val="0"/>
      <w:autoSpaceDE w:val="0"/>
      <w:autoSpaceDN w:val="0"/>
      <w:adjustRightInd w:val="0"/>
      <w:jc w:val="right"/>
    </w:pPr>
    <w:rPr>
      <w:kern w:val="0"/>
      <w:szCs w:val="21"/>
    </w:rPr>
  </w:style>
  <w:style w:type="paragraph" w:customStyle="1" w:styleId="688">
    <w:name w:val="标题6"/>
    <w:basedOn w:val="7"/>
    <w:next w:val="1"/>
    <w:qFormat/>
    <w:uiPriority w:val="99"/>
    <w:pPr>
      <w:widowControl w:val="0"/>
      <w:tabs>
        <w:tab w:val="clear" w:pos="1152"/>
      </w:tabs>
      <w:spacing w:line="319" w:lineRule="auto"/>
      <w:jc w:val="both"/>
    </w:pPr>
    <w:rPr>
      <w:rFonts w:cs="宋体"/>
      <w:kern w:val="0"/>
      <w:szCs w:val="20"/>
    </w:rPr>
  </w:style>
  <w:style w:type="paragraph" w:customStyle="1" w:styleId="689">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16"/>
      <w:szCs w:val="16"/>
    </w:rPr>
  </w:style>
  <w:style w:type="paragraph" w:customStyle="1" w:styleId="690">
    <w:name w:val="TOC 标题1"/>
    <w:basedOn w:val="2"/>
    <w:next w:val="1"/>
    <w:unhideWhenUsed/>
    <w:qFormat/>
    <w:uiPriority w:val="39"/>
    <w:pPr>
      <w:keepLines/>
      <w:spacing w:before="480" w:line="276" w:lineRule="auto"/>
      <w:jc w:val="left"/>
      <w:outlineLvl w:val="9"/>
    </w:pPr>
    <w:rPr>
      <w:rFonts w:ascii="Cambria" w:hAnsi="Cambria" w:eastAsia="宋体"/>
      <w:bCs/>
      <w:color w:val="365F91"/>
      <w:kern w:val="0"/>
      <w:sz w:val="28"/>
      <w:szCs w:val="28"/>
    </w:rPr>
  </w:style>
  <w:style w:type="paragraph" w:customStyle="1" w:styleId="691">
    <w:name w:val="小点说明"/>
    <w:basedOn w:val="1"/>
    <w:uiPriority w:val="99"/>
    <w:pPr>
      <w:widowControl w:val="0"/>
      <w:adjustRightInd w:val="0"/>
      <w:snapToGrid w:val="0"/>
      <w:spacing w:line="360" w:lineRule="auto"/>
      <w:ind w:left="840"/>
    </w:pPr>
    <w:rPr>
      <w:rFonts w:ascii="宋体" w:hAnsi="宋体"/>
      <w:kern w:val="0"/>
      <w:sz w:val="24"/>
      <w:lang w:val="eu-ES"/>
    </w:rPr>
  </w:style>
  <w:style w:type="paragraph" w:customStyle="1" w:styleId="692">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16"/>
      <w:szCs w:val="16"/>
    </w:rPr>
  </w:style>
  <w:style w:type="paragraph" w:customStyle="1" w:styleId="693">
    <w:name w:val="ordinary-output"/>
    <w:basedOn w:val="1"/>
    <w:uiPriority w:val="0"/>
    <w:pPr>
      <w:widowControl/>
      <w:spacing w:before="100" w:beforeLines="0" w:beforeAutospacing="1" w:after="75" w:afterLines="0" w:line="330" w:lineRule="atLeast"/>
      <w:jc w:val="left"/>
    </w:pPr>
    <w:rPr>
      <w:rFonts w:ascii="宋体" w:hAnsi="宋体" w:cs="宋体"/>
      <w:color w:val="333333"/>
      <w:kern w:val="0"/>
      <w:sz w:val="27"/>
      <w:szCs w:val="27"/>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b/>
      <w:bCs/>
      <w:kern w:val="0"/>
      <w:sz w:val="16"/>
      <w:szCs w:val="16"/>
    </w:rPr>
  </w:style>
  <w:style w:type="paragraph" w:customStyle="1" w:styleId="695">
    <w:name w:val="5"/>
    <w:basedOn w:val="1"/>
    <w:next w:val="26"/>
    <w:uiPriority w:val="0"/>
    <w:pPr>
      <w:ind w:right="26"/>
    </w:pPr>
    <w:rPr>
      <w:rFonts w:ascii="楷体_GB2312" w:eastAsia="楷体_GB2312"/>
      <w:snapToGrid w:val="0"/>
      <w:spacing w:val="4"/>
      <w:kern w:val="0"/>
      <w:sz w:val="28"/>
    </w:rPr>
  </w:style>
  <w:style w:type="paragraph" w:customStyle="1" w:styleId="696">
    <w:name w:val="Pa10"/>
    <w:basedOn w:val="1"/>
    <w:next w:val="1"/>
    <w:uiPriority w:val="0"/>
    <w:pPr>
      <w:autoSpaceDE w:val="0"/>
      <w:autoSpaceDN w:val="0"/>
      <w:adjustRightInd w:val="0"/>
      <w:spacing w:before="20" w:beforeLines="0" w:line="136" w:lineRule="atLeast"/>
      <w:jc w:val="left"/>
    </w:pPr>
    <w:rPr>
      <w:rFonts w:ascii="Stone Sans" w:hAnsi="Stone Sans"/>
      <w:kern w:val="0"/>
      <w:sz w:val="24"/>
      <w:szCs w:val="24"/>
    </w:rPr>
  </w:style>
  <w:style w:type="paragraph" w:customStyle="1" w:styleId="697">
    <w:name w:val="Body 1"/>
    <w:basedOn w:val="1"/>
    <w:uiPriority w:val="0"/>
    <w:pPr>
      <w:widowControl w:val="0"/>
      <w:numPr>
        <w:ilvl w:val="0"/>
        <w:numId w:val="7"/>
      </w:numPr>
      <w:spacing w:before="120" w:after="120"/>
      <w:ind w:left="851" w:firstLine="0"/>
      <w:jc w:val="both"/>
    </w:pPr>
    <w:rPr>
      <w:rFonts w:ascii="Arial" w:hAnsi="Arial" w:eastAsia="Times New Roman"/>
      <w:color w:val="000000"/>
      <w:kern w:val="0"/>
      <w:sz w:val="24"/>
      <w:lang w:val="en-GB" w:eastAsia="en-US"/>
    </w:rPr>
  </w:style>
  <w:style w:type="paragraph" w:customStyle="1" w:styleId="698">
    <w:name w:val="xl74"/>
    <w:basedOn w:val="1"/>
    <w:qFormat/>
    <w:uiPriority w:val="99"/>
    <w:pPr>
      <w:widowControl/>
      <w:pBdr>
        <w:top w:val="single" w:color="auto" w:sz="4" w:space="0"/>
        <w:left w:val="single" w:color="auto" w:sz="4" w:space="0"/>
        <w:bottom w:val="single" w:color="auto" w:sz="4" w:space="0"/>
      </w:pBdr>
      <w:shd w:val="clear" w:color="auto" w:fill="FFFFFF"/>
      <w:spacing w:before="100" w:beforeLines="0" w:beforeAutospacing="1" w:after="100" w:afterLines="0" w:afterAutospacing="1"/>
      <w:jc w:val="left"/>
    </w:pPr>
    <w:rPr>
      <w:rFonts w:ascii="宋体" w:hAnsi="宋体" w:cs="宋体"/>
      <w:kern w:val="0"/>
      <w:sz w:val="16"/>
      <w:szCs w:val="16"/>
    </w:rPr>
  </w:style>
  <w:style w:type="paragraph" w:customStyle="1" w:styleId="699">
    <w:name w:val="正文 New New New New New New New New New New New New New New New New New New New New New New New New New New New New New New New New New New New New New New New New New New New New New New New New New New New New"/>
    <w:uiPriority w:val="99"/>
    <w:pPr>
      <w:widowControl w:val="0"/>
      <w:jc w:val="both"/>
    </w:pPr>
    <w:rPr>
      <w:kern w:val="2"/>
      <w:sz w:val="21"/>
      <w:szCs w:val="24"/>
      <w:lang w:val="en-US" w:eastAsia="zh-CN" w:bidi="ar-SA"/>
    </w:rPr>
  </w:style>
  <w:style w:type="paragraph" w:customStyle="1" w:styleId="700">
    <w:name w:val="表格用"/>
    <w:basedOn w:val="1"/>
    <w:uiPriority w:val="99"/>
    <w:pPr>
      <w:widowControl w:val="0"/>
      <w:ind w:firstLine="454"/>
      <w:jc w:val="center"/>
    </w:pPr>
    <w:rPr>
      <w:rFonts w:ascii="宋体"/>
      <w:kern w:val="0"/>
      <w:sz w:val="24"/>
    </w:rPr>
  </w:style>
  <w:style w:type="paragraph" w:customStyle="1" w:styleId="701">
    <w:name w:val="网格表 7 彩色 - 着色 21"/>
    <w:basedOn w:val="2"/>
    <w:next w:val="1"/>
    <w:unhideWhenUsed/>
    <w:qFormat/>
    <w:uiPriority w:val="39"/>
    <w:pPr>
      <w:keepLines/>
      <w:spacing w:before="480" w:line="276" w:lineRule="auto"/>
      <w:jc w:val="left"/>
      <w:outlineLvl w:val="9"/>
    </w:pPr>
    <w:rPr>
      <w:rFonts w:ascii="Calibri Light" w:hAnsi="Calibri Light" w:eastAsia="宋体"/>
      <w:bCs/>
      <w:color w:val="2E74B5"/>
      <w:kern w:val="0"/>
      <w:sz w:val="28"/>
      <w:szCs w:val="28"/>
    </w:rPr>
  </w:style>
  <w:style w:type="paragraph" w:customStyle="1" w:styleId="702">
    <w:name w:val="表格正文中"/>
    <w:basedOn w:val="1"/>
    <w:uiPriority w:val="99"/>
    <w:pPr>
      <w:widowControl w:val="0"/>
      <w:spacing w:line="360" w:lineRule="auto"/>
      <w:jc w:val="center"/>
    </w:pPr>
    <w:rPr>
      <w:rFonts w:ascii="Arial" w:hAnsi="Arial" w:cs="Arial"/>
      <w:szCs w:val="21"/>
    </w:rPr>
  </w:style>
  <w:style w:type="paragraph" w:customStyle="1" w:styleId="703">
    <w:name w:val="xl58"/>
    <w:basedOn w:val="1"/>
    <w:uiPriority w:val="99"/>
    <w:pPr>
      <w:widowControl/>
      <w:pBdr>
        <w:top w:val="single" w:color="auto" w:sz="4" w:space="0"/>
        <w:bottom w:val="single" w:color="auto" w:sz="4" w:space="0"/>
        <w:right w:val="single" w:color="auto" w:sz="4" w:space="0"/>
      </w:pBdr>
      <w:spacing w:before="100" w:beforeLines="0" w:beforeAutospacing="1" w:after="100" w:afterLines="0" w:afterAutospacing="1"/>
      <w:jc w:val="left"/>
      <w:textAlignment w:val="center"/>
    </w:pPr>
    <w:rPr>
      <w:rFonts w:ascii="Arial" w:hAnsi="Arial" w:eastAsia="Arial Unicode MS" w:cs="Arial"/>
      <w:kern w:val="0"/>
      <w:sz w:val="20"/>
    </w:rPr>
  </w:style>
  <w:style w:type="paragraph" w:customStyle="1" w:styleId="704">
    <w:name w:val="标准正文1"/>
    <w:basedOn w:val="1"/>
    <w:uiPriority w:val="99"/>
    <w:pPr>
      <w:widowControl w:val="0"/>
      <w:spacing w:line="360" w:lineRule="auto"/>
      <w:ind w:firstLine="200" w:firstLineChars="200"/>
      <w:jc w:val="both"/>
    </w:pPr>
    <w:rPr>
      <w:rFonts w:ascii="Arial" w:hAnsi="Arial" w:eastAsia="楷体_GB2312"/>
      <w:sz w:val="24"/>
      <w:szCs w:val="24"/>
    </w:rPr>
  </w:style>
  <w:style w:type="paragraph" w:customStyle="1" w:styleId="705">
    <w:name w:val="Body-no indent"/>
    <w:uiPriority w:val="99"/>
    <w:pPr>
      <w:widowControl w:val="0"/>
      <w:tabs>
        <w:tab w:val="left" w:pos="7920"/>
      </w:tabs>
      <w:spacing w:line="280" w:lineRule="exact"/>
      <w:ind w:right="-14"/>
    </w:pPr>
    <w:rPr>
      <w:rFonts w:ascii="Arial" w:hAnsi="Arial"/>
      <w:sz w:val="19"/>
      <w:lang w:val="en-US" w:eastAsia="en-US" w:bidi="he-IL"/>
    </w:rPr>
  </w:style>
  <w:style w:type="paragraph" w:customStyle="1" w:styleId="706">
    <w:name w:val="xl38"/>
    <w:basedOn w:val="1"/>
    <w:uiPriority w:val="0"/>
    <w:pPr>
      <w:widowControl/>
      <w:pBdr>
        <w:top w:val="single" w:color="auto" w:sz="4" w:space="0"/>
        <w:left w:val="single" w:color="auto" w:sz="4" w:space="0"/>
        <w:bottom w:val="single" w:color="auto" w:sz="8" w:space="0"/>
        <w:right w:val="single" w:color="auto" w:sz="8" w:space="0"/>
      </w:pBdr>
      <w:spacing w:before="100" w:beforeLines="0" w:beforeAutospacing="1" w:after="100" w:afterLines="0" w:afterAutospacing="1"/>
      <w:jc w:val="center"/>
      <w:textAlignment w:val="center"/>
    </w:pPr>
    <w:rPr>
      <w:rFonts w:ascii="宋体" w:hAnsi="宋体"/>
      <w:b/>
      <w:bCs/>
      <w:kern w:val="0"/>
      <w:sz w:val="24"/>
      <w:szCs w:val="24"/>
    </w:rPr>
  </w:style>
  <w:style w:type="paragraph" w:customStyle="1" w:styleId="707">
    <w:name w:val="[Normal]"/>
    <w:uiPriority w:val="99"/>
    <w:pPr>
      <w:widowControl w:val="0"/>
      <w:autoSpaceDE w:val="0"/>
      <w:autoSpaceDN w:val="0"/>
      <w:adjustRightInd w:val="0"/>
    </w:pPr>
    <w:rPr>
      <w:rFonts w:ascii="宋体" w:cs="宋体"/>
      <w:sz w:val="24"/>
      <w:szCs w:val="24"/>
      <w:lang w:val="en-US" w:eastAsia="zh-CN" w:bidi="ar-SA"/>
    </w:rPr>
  </w:style>
  <w:style w:type="paragraph" w:customStyle="1" w:styleId="708">
    <w:name w:val="普通正文"/>
    <w:basedOn w:val="1"/>
    <w:uiPriority w:val="99"/>
    <w:pPr>
      <w:widowControl w:val="0"/>
      <w:ind w:firstLine="200" w:firstLineChars="200"/>
      <w:jc w:val="both"/>
    </w:pPr>
    <w:rPr>
      <w:szCs w:val="24"/>
    </w:rPr>
  </w:style>
  <w:style w:type="paragraph" w:customStyle="1" w:styleId="709">
    <w:name w:val=" Char Char28"/>
    <w:basedOn w:val="1"/>
    <w:uiPriority w:val="0"/>
    <w:pPr>
      <w:widowControl w:val="0"/>
      <w:snapToGrid w:val="0"/>
      <w:spacing w:line="360" w:lineRule="auto"/>
      <w:jc w:val="both"/>
    </w:pPr>
    <w:rPr>
      <w:rFonts w:ascii="Arial" w:hAnsi="Arial" w:eastAsia="黑体"/>
      <w:snapToGrid w:val="0"/>
      <w:kern w:val="0"/>
      <w:sz w:val="20"/>
      <w:szCs w:val="21"/>
      <w:lang/>
    </w:rPr>
  </w:style>
  <w:style w:type="paragraph" w:customStyle="1" w:styleId="710">
    <w:name w:val="title3"/>
    <w:basedOn w:val="1"/>
    <w:uiPriority w:val="99"/>
    <w:pPr>
      <w:widowControl w:val="0"/>
      <w:jc w:val="both"/>
    </w:pPr>
    <w:rPr>
      <w:b/>
      <w:szCs w:val="24"/>
    </w:rPr>
  </w:style>
  <w:style w:type="paragraph" w:customStyle="1" w:styleId="711">
    <w:name w:val="xl37"/>
    <w:basedOn w:val="1"/>
    <w:uiPriority w:val="99"/>
    <w:pPr>
      <w:widowControl/>
      <w:pBdr>
        <w:top w:val="single" w:color="auto" w:sz="4" w:space="0"/>
        <w:left w:val="single" w:color="auto" w:sz="8" w:space="0"/>
        <w:bottom w:val="single" w:color="auto" w:sz="4" w:space="0"/>
        <w:right w:val="single" w:color="auto" w:sz="4" w:space="0"/>
      </w:pBdr>
      <w:spacing w:before="100" w:beforeLines="0" w:beforeAutospacing="1" w:after="100" w:afterLines="0" w:afterAutospacing="1"/>
      <w:jc w:val="center"/>
      <w:textAlignment w:val="center"/>
    </w:pPr>
    <w:rPr>
      <w:b/>
      <w:bCs/>
      <w:kern w:val="0"/>
      <w:sz w:val="24"/>
      <w:szCs w:val="24"/>
    </w:rPr>
  </w:style>
  <w:style w:type="paragraph" w:customStyle="1" w:styleId="712">
    <w:name w:val="xl28"/>
    <w:basedOn w:val="1"/>
    <w:uiPriority w:val="99"/>
    <w:pPr>
      <w:widowControl/>
      <w:pBdr>
        <w:top w:val="single" w:color="auto" w:sz="4" w:space="0"/>
        <w:left w:val="single" w:color="auto" w:sz="4" w:space="0"/>
        <w:bottom w:val="single" w:color="auto" w:sz="4" w:space="0"/>
        <w:right w:val="single" w:color="auto" w:sz="8" w:space="0"/>
      </w:pBdr>
      <w:spacing w:before="100" w:beforeLines="0" w:beforeAutospacing="1" w:after="100" w:afterLines="0" w:afterAutospacing="1"/>
      <w:jc w:val="center"/>
      <w:textAlignment w:val="center"/>
    </w:pPr>
    <w:rPr>
      <w:kern w:val="0"/>
      <w:sz w:val="24"/>
      <w:szCs w:val="24"/>
    </w:rPr>
  </w:style>
  <w:style w:type="paragraph" w:customStyle="1" w:styleId="713">
    <w:name w:val="标题2"/>
    <w:basedOn w:val="3"/>
    <w:next w:val="1"/>
    <w:uiPriority w:val="99"/>
    <w:pPr>
      <w:keepLines/>
      <w:widowControl w:val="0"/>
      <w:numPr>
        <w:ilvl w:val="1"/>
        <w:numId w:val="0"/>
      </w:numPr>
      <w:tabs>
        <w:tab w:val="left" w:pos="420"/>
      </w:tabs>
      <w:adjustRightInd/>
      <w:spacing w:after="240" w:line="480" w:lineRule="auto"/>
      <w:ind w:left="420" w:hanging="420"/>
      <w:jc w:val="both"/>
      <w:textAlignment w:val="auto"/>
    </w:pPr>
    <w:rPr>
      <w:rFonts w:ascii="Times New Roman" w:eastAsia="黑体"/>
      <w:b/>
      <w:kern w:val="2"/>
    </w:rPr>
  </w:style>
  <w:style w:type="paragraph" w:customStyle="1" w:styleId="714">
    <w:name w:val="xl60"/>
    <w:basedOn w:val="1"/>
    <w:uiPriority w:val="0"/>
    <w:pPr>
      <w:widowControl/>
      <w:pBdr>
        <w:top w:val="single" w:color="auto" w:sz="4" w:space="0"/>
        <w:bottom w:val="single" w:color="auto" w:sz="8" w:space="0"/>
      </w:pBdr>
      <w:spacing w:before="100" w:beforeLines="0" w:beforeAutospacing="1" w:after="100" w:afterLines="0" w:afterAutospacing="1"/>
      <w:jc w:val="center"/>
    </w:pPr>
    <w:rPr>
      <w:rFonts w:ascii="Arial Unicode MS" w:hAnsi="Arial Unicode MS" w:eastAsia="Arial Unicode MS"/>
      <w:kern w:val="0"/>
      <w:sz w:val="24"/>
      <w:szCs w:val="24"/>
    </w:rPr>
  </w:style>
  <w:style w:type="paragraph" w:customStyle="1" w:styleId="715">
    <w:name w:val="pied de page r閒.2"/>
    <w:uiPriority w:val="0"/>
    <w:pPr>
      <w:spacing w:before="140"/>
      <w:jc w:val="center"/>
    </w:pPr>
    <w:rPr>
      <w:rFonts w:ascii="Helvetica" w:hAnsi="Helvetica"/>
      <w:caps/>
      <w:snapToGrid w:val="0"/>
      <w:lang w:val="en-US" w:eastAsia="en-US" w:bidi="ar-SA"/>
    </w:rPr>
  </w:style>
  <w:style w:type="paragraph" w:customStyle="1" w:styleId="716">
    <w:name w:val="xl12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0"/>
    </w:rPr>
  </w:style>
  <w:style w:type="paragraph" w:customStyle="1" w:styleId="717">
    <w:name w:val="xl111"/>
    <w:basedOn w:val="1"/>
    <w:qFormat/>
    <w:uiPriority w:val="0"/>
    <w:pPr>
      <w:spacing w:before="100" w:beforeAutospacing="1" w:after="100" w:afterAutospacing="1"/>
      <w:jc w:val="center"/>
    </w:pPr>
    <w:rPr>
      <w:rFonts w:ascii="宋体" w:hAnsi="宋体"/>
      <w:kern w:val="0"/>
      <w:sz w:val="20"/>
    </w:rPr>
  </w:style>
  <w:style w:type="paragraph" w:customStyle="1" w:styleId="718">
    <w:name w:val="p16"/>
    <w:basedOn w:val="1"/>
    <w:uiPriority w:val="99"/>
    <w:pPr>
      <w:widowControl/>
      <w:spacing w:before="80" w:beforeLines="0" w:after="80" w:afterLines="0"/>
      <w:jc w:val="left"/>
    </w:pPr>
    <w:rPr>
      <w:rFonts w:ascii="Arial" w:hAnsi="Arial" w:cs="Arial"/>
      <w:kern w:val="0"/>
      <w:sz w:val="18"/>
      <w:szCs w:val="18"/>
    </w:rPr>
  </w:style>
  <w:style w:type="paragraph" w:customStyle="1" w:styleId="719">
    <w:name w:val="目录2"/>
    <w:basedOn w:val="1"/>
    <w:uiPriority w:val="99"/>
    <w:pPr>
      <w:widowControl w:val="0"/>
      <w:autoSpaceDE w:val="0"/>
      <w:autoSpaceDN w:val="0"/>
      <w:adjustRightInd w:val="0"/>
      <w:ind w:left="473"/>
    </w:pPr>
    <w:rPr>
      <w:kern w:val="0"/>
      <w:szCs w:val="21"/>
    </w:rPr>
  </w:style>
  <w:style w:type="paragraph" w:customStyle="1" w:styleId="72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kern w:val="0"/>
      <w:sz w:val="24"/>
      <w:szCs w:val="24"/>
    </w:rPr>
  </w:style>
  <w:style w:type="paragraph" w:customStyle="1" w:styleId="721">
    <w:name w:val="xl108"/>
    <w:basedOn w:val="1"/>
    <w:qFormat/>
    <w:uiPriority w:val="0"/>
    <w:pPr>
      <w:widowControl/>
      <w:pBdr>
        <w:top w:val="single" w:color="000000" w:sz="4" w:space="0"/>
        <w:right w:val="single" w:color="000000" w:sz="4" w:space="0"/>
      </w:pBdr>
      <w:shd w:val="clear" w:color="auto" w:fill="FFFFFF"/>
      <w:spacing w:before="100" w:beforeLines="0" w:beforeAutospacing="1" w:after="100" w:afterLines="0" w:afterAutospacing="1"/>
      <w:jc w:val="left"/>
    </w:pPr>
    <w:rPr>
      <w:rFonts w:ascii="宋体" w:hAnsi="宋体" w:cs="宋体"/>
      <w:b/>
      <w:bCs/>
      <w:color w:val="FF0000"/>
      <w:kern w:val="0"/>
      <w:sz w:val="16"/>
      <w:szCs w:val="16"/>
    </w:rPr>
  </w:style>
  <w:style w:type="paragraph" w:customStyle="1" w:styleId="722">
    <w:name w:val="xl31"/>
    <w:basedOn w:val="1"/>
    <w:uiPriority w:val="99"/>
    <w:pPr>
      <w:widowControl/>
      <w:pBdr>
        <w:top w:val="single" w:color="auto" w:sz="4" w:space="0"/>
        <w:left w:val="single" w:color="auto" w:sz="8"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b/>
      <w:bCs/>
      <w:kern w:val="0"/>
      <w:sz w:val="24"/>
      <w:szCs w:val="24"/>
    </w:rPr>
  </w:style>
  <w:style w:type="paragraph" w:customStyle="1" w:styleId="723">
    <w:name w:val="列出段落1"/>
    <w:basedOn w:val="1"/>
    <w:qFormat/>
    <w:uiPriority w:val="34"/>
    <w:pPr>
      <w:widowControl/>
      <w:ind w:firstLine="420" w:firstLineChars="200"/>
      <w:jc w:val="left"/>
    </w:pPr>
    <w:rPr>
      <w:kern w:val="0"/>
      <w:sz w:val="24"/>
    </w:rPr>
  </w:style>
  <w:style w:type="paragraph" w:customStyle="1" w:styleId="724">
    <w:name w:val="Char Char Char Char Char Char Char Char Char1 Char"/>
    <w:basedOn w:val="1"/>
    <w:uiPriority w:val="0"/>
    <w:rPr>
      <w:rFonts w:ascii="仿宋_GB2312" w:eastAsia="仿宋_GB2312"/>
      <w:b/>
      <w:sz w:val="32"/>
      <w:szCs w:val="32"/>
    </w:rPr>
  </w:style>
  <w:style w:type="paragraph" w:customStyle="1" w:styleId="725">
    <w:name w:val="xl46"/>
    <w:basedOn w:val="1"/>
    <w:uiPriority w:val="99"/>
    <w:pPr>
      <w:widowControl/>
      <w:pBdr>
        <w:top w:val="single" w:color="auto" w:sz="4" w:space="0"/>
        <w:bottom w:val="single" w:color="auto" w:sz="4" w:space="0"/>
        <w:right w:val="single" w:color="auto" w:sz="4" w:space="0"/>
      </w:pBdr>
      <w:spacing w:before="100" w:beforeLines="0" w:beforeAutospacing="1" w:after="100" w:afterLines="0" w:afterAutospacing="1"/>
      <w:jc w:val="left"/>
      <w:textAlignment w:val="center"/>
    </w:pPr>
    <w:rPr>
      <w:rFonts w:ascii="Arial Unicode MS" w:hAnsi="Arial Unicode MS" w:eastAsia="Arial Unicode MS"/>
      <w:kern w:val="0"/>
      <w:sz w:val="52"/>
      <w:szCs w:val="52"/>
    </w:rPr>
  </w:style>
  <w:style w:type="paragraph" w:customStyle="1" w:styleId="726">
    <w:name w:val="Char Char1"/>
    <w:basedOn w:val="20"/>
    <w:uiPriority w:val="0"/>
    <w:pPr>
      <w:widowControl w:val="0"/>
      <w:jc w:val="both"/>
    </w:pPr>
  </w:style>
  <w:style w:type="paragraph" w:customStyle="1" w:styleId="727">
    <w:name w:val="Char2"/>
    <w:basedOn w:val="1"/>
    <w:uiPriority w:val="99"/>
    <w:rPr>
      <w:rFonts w:eastAsia="仿宋_GB2312"/>
      <w:sz w:val="28"/>
    </w:rPr>
  </w:style>
  <w:style w:type="paragraph" w:customStyle="1" w:styleId="728">
    <w:name w:val="Char21"/>
    <w:basedOn w:val="1"/>
    <w:uiPriority w:val="99"/>
    <w:pPr>
      <w:widowControl w:val="0"/>
      <w:jc w:val="both"/>
    </w:pPr>
    <w:rPr>
      <w:szCs w:val="24"/>
    </w:rPr>
  </w:style>
  <w:style w:type="paragraph" w:customStyle="1" w:styleId="729">
    <w:name w:val="xl43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rPr>
  </w:style>
  <w:style w:type="paragraph" w:customStyle="1" w:styleId="730">
    <w:name w:val="Char1 Char Char Char Char Char Char"/>
    <w:basedOn w:val="1"/>
    <w:uiPriority w:val="0"/>
    <w:pPr>
      <w:widowControl w:val="0"/>
      <w:jc w:val="both"/>
    </w:pPr>
  </w:style>
  <w:style w:type="paragraph" w:customStyle="1" w:styleId="731">
    <w:name w:val="文档正文"/>
    <w:basedOn w:val="1"/>
    <w:uiPriority w:val="0"/>
    <w:pPr>
      <w:ind w:firstLine="567"/>
    </w:pPr>
    <w:rPr>
      <w:rFonts w:ascii="长城仿宋" w:eastAsia="长城仿宋"/>
      <w:sz w:val="28"/>
    </w:rPr>
  </w:style>
  <w:style w:type="paragraph" w:customStyle="1" w:styleId="732">
    <w:name w:val="xl89"/>
    <w:basedOn w:val="1"/>
    <w:qFormat/>
    <w:uiPriority w:val="99"/>
    <w:pPr>
      <w:widowControl/>
      <w:pBdr>
        <w:top w:val="single" w:color="000000" w:sz="4" w:space="0"/>
        <w:right w:val="single" w:color="000000" w:sz="4" w:space="0"/>
      </w:pBdr>
      <w:shd w:val="clear" w:color="auto" w:fill="FFFFFF"/>
      <w:spacing w:before="100" w:beforeLines="0" w:beforeAutospacing="1" w:after="100" w:afterLines="0" w:afterAutospacing="1"/>
      <w:jc w:val="left"/>
    </w:pPr>
    <w:rPr>
      <w:rFonts w:ascii="宋体" w:hAnsi="宋体" w:cs="宋体"/>
      <w:color w:val="FF0000"/>
      <w:kern w:val="0"/>
      <w:sz w:val="16"/>
      <w:szCs w:val="16"/>
    </w:rPr>
  </w:style>
  <w:style w:type="paragraph" w:customStyle="1" w:styleId="733">
    <w:name w:val="xl118"/>
    <w:basedOn w:val="1"/>
    <w:qFormat/>
    <w:uiPriority w:val="0"/>
    <w:pPr>
      <w:pBdr>
        <w:top w:val="single" w:color="auto" w:sz="4" w:space="0"/>
        <w:bottom w:val="single" w:color="auto" w:sz="4" w:space="0"/>
      </w:pBdr>
      <w:spacing w:before="100" w:beforeAutospacing="1" w:after="100" w:afterAutospacing="1"/>
      <w:jc w:val="center"/>
    </w:pPr>
    <w:rPr>
      <w:rFonts w:ascii="Arial Unicode MS" w:hAnsi="Arial Unicode MS"/>
      <w:color w:val="000000"/>
      <w:kern w:val="0"/>
      <w:sz w:val="24"/>
      <w:szCs w:val="24"/>
    </w:rPr>
  </w:style>
  <w:style w:type="paragraph" w:customStyle="1" w:styleId="734">
    <w:name w:val="xl44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kern w:val="0"/>
      <w:sz w:val="20"/>
    </w:rPr>
  </w:style>
  <w:style w:type="paragraph" w:customStyle="1" w:styleId="735">
    <w:name w:val="样式 小四 全部大写 行距: 1.5 倍行距"/>
    <w:basedOn w:val="1"/>
    <w:uiPriority w:val="99"/>
    <w:pPr>
      <w:widowControl w:val="0"/>
      <w:spacing w:line="360" w:lineRule="auto"/>
      <w:jc w:val="both"/>
    </w:pPr>
    <w:rPr>
      <w:rFonts w:eastAsia="楷体_GB2312" w:cs="宋体"/>
      <w:caps/>
      <w:sz w:val="24"/>
    </w:rPr>
  </w:style>
  <w:style w:type="paragraph" w:customStyle="1" w:styleId="736">
    <w:name w:val="样式 小四 行距: 1.5 倍行距"/>
    <w:basedOn w:val="1"/>
    <w:uiPriority w:val="99"/>
    <w:pPr>
      <w:widowControl w:val="0"/>
      <w:spacing w:line="360" w:lineRule="auto"/>
      <w:jc w:val="both"/>
    </w:pPr>
    <w:rPr>
      <w:rFonts w:eastAsia="楷体_GB2312" w:cs="宋体"/>
      <w:sz w:val="24"/>
    </w:rPr>
  </w:style>
  <w:style w:type="paragraph" w:customStyle="1" w:styleId="737">
    <w:name w:val=" Char Char1 Char"/>
    <w:basedOn w:val="1"/>
    <w:uiPriority w:val="0"/>
    <w:rPr>
      <w:rFonts w:ascii="仿宋_GB2312" w:eastAsia="仿宋_GB2312"/>
      <w:b/>
      <w:sz w:val="32"/>
    </w:rPr>
  </w:style>
  <w:style w:type="paragraph" w:customStyle="1" w:styleId="738">
    <w:name w:val="xl75"/>
    <w:basedOn w:val="1"/>
    <w:uiPriority w:val="99"/>
    <w:pPr>
      <w:widowControl/>
      <w:pBdr>
        <w:top w:val="single" w:color="000000" w:sz="4" w:space="0"/>
        <w:right w:val="single" w:color="000000" w:sz="4" w:space="0"/>
      </w:pBdr>
      <w:shd w:val="clear" w:color="auto" w:fill="FFFFFF"/>
      <w:spacing w:before="100" w:beforeLines="0" w:beforeAutospacing="1" w:after="100" w:afterLines="0" w:afterAutospacing="1"/>
      <w:jc w:val="left"/>
    </w:pPr>
    <w:rPr>
      <w:rFonts w:ascii="宋体" w:hAnsi="宋体" w:cs="宋体"/>
      <w:kern w:val="0"/>
      <w:sz w:val="16"/>
      <w:szCs w:val="16"/>
    </w:rPr>
  </w:style>
  <w:style w:type="paragraph" w:customStyle="1" w:styleId="739">
    <w:name w:val="af17cgridlangnp1033langf"/>
    <w:uiPriority w:val="99"/>
    <w:pPr>
      <w:widowControl w:val="0"/>
      <w:autoSpaceDE w:val="0"/>
      <w:autoSpaceDN w:val="0"/>
      <w:adjustRightInd w:val="0"/>
      <w:spacing w:before="156" w:line="360" w:lineRule="atLeast"/>
      <w:ind w:left="567" w:firstLine="510"/>
      <w:jc w:val="both"/>
    </w:pPr>
    <w:rPr>
      <w:lang w:val="en-US" w:eastAsia="zh-CN" w:bidi="ar-SA"/>
    </w:rPr>
  </w:style>
  <w:style w:type="paragraph" w:customStyle="1" w:styleId="740">
    <w:name w:val="Retrait 2"/>
    <w:basedOn w:val="1"/>
    <w:uiPriority w:val="0"/>
    <w:pPr>
      <w:spacing w:line="360" w:lineRule="auto"/>
      <w:ind w:left="1417" w:hanging="283"/>
    </w:pPr>
    <w:rPr>
      <w:rFonts w:eastAsia="楷体_GB2312"/>
      <w:bCs/>
      <w:sz w:val="28"/>
    </w:rPr>
  </w:style>
  <w:style w:type="paragraph" w:customStyle="1" w:styleId="741">
    <w:name w:val="Char1"/>
    <w:basedOn w:val="1"/>
    <w:uiPriority w:val="99"/>
    <w:rPr>
      <w:rFonts w:ascii="仿宋_GB2312" w:eastAsia="仿宋_GB2312"/>
      <w:b/>
      <w:sz w:val="32"/>
    </w:rPr>
  </w:style>
  <w:style w:type="paragraph" w:customStyle="1" w:styleId="742">
    <w:name w:val="样式 标题 3h33rd level3BOD 0H3l3CTHeading 3 - oldLevel 3 He..."/>
    <w:basedOn w:val="4"/>
    <w:qFormat/>
    <w:uiPriority w:val="0"/>
    <w:pPr>
      <w:keepLines w:val="0"/>
      <w:tabs>
        <w:tab w:val="left" w:pos="720"/>
        <w:tab w:val="left" w:pos="1035"/>
      </w:tabs>
      <w:spacing w:before="240" w:after="240" w:line="360" w:lineRule="auto"/>
      <w:ind w:left="720" w:right="407" w:rightChars="194" w:hanging="720"/>
    </w:pPr>
    <w:rPr>
      <w:rFonts w:ascii="宋体" w:hAnsi="Arial"/>
      <w:bCs/>
      <w:snapToGrid w:val="0"/>
      <w:kern w:val="0"/>
      <w:sz w:val="24"/>
    </w:rPr>
  </w:style>
  <w:style w:type="paragraph" w:customStyle="1" w:styleId="743">
    <w:name w:val="xl99"/>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744">
    <w:name w:val="样式 仿宋_GB2312 小四 左侧:  0.71 厘米 行距: 固定值 20 磅"/>
    <w:basedOn w:val="1"/>
    <w:uiPriority w:val="99"/>
    <w:pPr>
      <w:widowControl w:val="0"/>
      <w:spacing w:line="400" w:lineRule="exact"/>
      <w:ind w:left="400"/>
      <w:jc w:val="both"/>
    </w:pPr>
    <w:rPr>
      <w:rFonts w:ascii="仿宋_GB2312" w:eastAsia="楷体_GB2312" w:cs="宋体"/>
      <w:sz w:val="24"/>
    </w:rPr>
  </w:style>
  <w:style w:type="paragraph" w:customStyle="1" w:styleId="745">
    <w:name w:val="样式 Verdana 首行缩进:  0.74 厘米"/>
    <w:basedOn w:val="1"/>
    <w:uiPriority w:val="99"/>
    <w:rPr>
      <w:rFonts w:ascii="Verdana" w:hAnsi="Verdana"/>
    </w:rPr>
  </w:style>
  <w:style w:type="paragraph" w:customStyle="1" w:styleId="746">
    <w:name w:val="标准段落"/>
    <w:basedOn w:val="1"/>
    <w:qFormat/>
    <w:uiPriority w:val="0"/>
    <w:pPr>
      <w:topLinePunct/>
      <w:autoSpaceDE w:val="0"/>
      <w:autoSpaceDN w:val="0"/>
      <w:spacing w:line="360" w:lineRule="auto"/>
      <w:ind w:firstLine="560" w:firstLineChars="200"/>
    </w:pPr>
    <w:rPr>
      <w:rFonts w:hAnsi="宋体"/>
      <w:color w:val="FF0000"/>
      <w:sz w:val="28"/>
      <w:szCs w:val="24"/>
      <w:lang w:bidi="th-TH"/>
    </w:rPr>
  </w:style>
  <w:style w:type="paragraph" w:customStyle="1" w:styleId="747">
    <w:name w:val="正文符号1"/>
    <w:basedOn w:val="1"/>
    <w:uiPriority w:val="0"/>
    <w:pPr>
      <w:widowControl w:val="0"/>
      <w:numPr>
        <w:ilvl w:val="0"/>
        <w:numId w:val="2"/>
      </w:numPr>
      <w:tabs>
        <w:tab w:val="left" w:pos="1080"/>
      </w:tabs>
      <w:spacing w:line="360" w:lineRule="auto"/>
      <w:jc w:val="both"/>
    </w:pPr>
    <w:rPr>
      <w:rFonts w:ascii="宋体" w:hAnsi="宋体"/>
      <w:kern w:val="0"/>
      <w:szCs w:val="21"/>
    </w:rPr>
  </w:style>
  <w:style w:type="paragraph" w:customStyle="1" w:styleId="748">
    <w:name w:val="p0"/>
    <w:basedOn w:val="1"/>
    <w:qFormat/>
    <w:uiPriority w:val="0"/>
    <w:pPr>
      <w:widowControl/>
    </w:pPr>
    <w:rPr>
      <w:rFonts w:ascii="仿宋_GB2312" w:hAnsi="宋体" w:eastAsia="仿宋_GB2312" w:cs="宋体"/>
      <w:kern w:val="0"/>
      <w:sz w:val="24"/>
      <w:szCs w:val="24"/>
    </w:rPr>
  </w:style>
  <w:style w:type="paragraph" w:customStyle="1" w:styleId="749">
    <w:name w:val="xl13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0"/>
    </w:rPr>
  </w:style>
  <w:style w:type="paragraph" w:customStyle="1" w:styleId="750">
    <w:name w:val="封面文档标题"/>
    <w:basedOn w:val="1"/>
    <w:qFormat/>
    <w:uiPriority w:val="0"/>
    <w:pPr>
      <w:widowControl w:val="0"/>
      <w:autoSpaceDE w:val="0"/>
      <w:autoSpaceDN w:val="0"/>
      <w:adjustRightInd w:val="0"/>
      <w:spacing w:line="360" w:lineRule="auto"/>
      <w:jc w:val="center"/>
    </w:pPr>
    <w:rPr>
      <w:rFonts w:ascii="Arial" w:hAnsi="Arial" w:cs="Arial"/>
      <w:b/>
      <w:bCs/>
      <w:kern w:val="0"/>
      <w:sz w:val="56"/>
      <w:szCs w:val="56"/>
    </w:rPr>
  </w:style>
  <w:style w:type="paragraph" w:customStyle="1" w:styleId="751">
    <w:name w:val="txt"/>
    <w:basedOn w:val="1"/>
    <w:uiPriority w:val="0"/>
    <w:pPr>
      <w:widowControl/>
      <w:spacing w:before="100" w:beforeLines="0" w:beforeAutospacing="1" w:after="100" w:afterLines="0" w:afterAutospacing="1" w:line="500" w:lineRule="atLeast"/>
      <w:jc w:val="left"/>
    </w:pPr>
    <w:rPr>
      <w:rFonts w:ascii="宋体" w:hAnsi="宋体"/>
      <w:kern w:val="0"/>
      <w:sz w:val="24"/>
      <w:szCs w:val="24"/>
    </w:rPr>
  </w:style>
  <w:style w:type="paragraph" w:customStyle="1" w:styleId="752">
    <w:name w:val="Thf"/>
    <w:basedOn w:val="1"/>
    <w:uiPriority w:val="0"/>
    <w:pPr>
      <w:keepNext/>
      <w:keepLines/>
      <w:spacing w:before="20" w:after="60" w:line="220" w:lineRule="exact"/>
    </w:pPr>
    <w:rPr>
      <w:b/>
      <w:kern w:val="0"/>
      <w:sz w:val="19"/>
      <w:lang w:eastAsia="en-US"/>
    </w:rPr>
  </w:style>
  <w:style w:type="paragraph" w:customStyle="1" w:styleId="753">
    <w:name w:val="答复缩进"/>
    <w:basedOn w:val="754"/>
    <w:uiPriority w:val="99"/>
    <w:pPr>
      <w:spacing w:after="60"/>
      <w:ind w:firstLine="567"/>
    </w:pPr>
    <w:rPr>
      <w:b w:val="0"/>
      <w:kern w:val="0"/>
    </w:rPr>
  </w:style>
  <w:style w:type="paragraph" w:customStyle="1" w:styleId="754">
    <w:name w:val="答复"/>
    <w:basedOn w:val="17"/>
    <w:next w:val="753"/>
    <w:uiPriority w:val="99"/>
    <w:pPr>
      <w:widowControl w:val="0"/>
      <w:spacing w:line="360" w:lineRule="auto"/>
      <w:ind w:firstLine="0"/>
      <w:jc w:val="both"/>
    </w:pPr>
    <w:rPr>
      <w:b/>
      <w:spacing w:val="20"/>
      <w:sz w:val="24"/>
      <w:lang w:val="en-US" w:eastAsia="zh-CN"/>
    </w:rPr>
  </w:style>
  <w:style w:type="paragraph" w:customStyle="1" w:styleId="755">
    <w:name w:val="xl44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both"/>
    </w:pPr>
    <w:rPr>
      <w:rFonts w:ascii="宋体" w:hAnsi="宋体" w:cs="宋体"/>
      <w:kern w:val="0"/>
      <w:sz w:val="20"/>
    </w:rPr>
  </w:style>
  <w:style w:type="paragraph" w:customStyle="1" w:styleId="756">
    <w:name w:val="Normal_35"/>
    <w:qFormat/>
    <w:uiPriority w:val="0"/>
    <w:pPr>
      <w:widowControl w:val="0"/>
      <w:spacing w:before="120" w:after="240"/>
      <w:jc w:val="both"/>
    </w:pPr>
    <w:rPr>
      <w:rFonts w:ascii="Calibri" w:hAnsi="Calibri" w:eastAsia="Calibri" w:cs="Calibri"/>
      <w:color w:val="000000"/>
      <w:sz w:val="22"/>
      <w:szCs w:val="22"/>
      <w:lang w:val="ru-RU" w:eastAsia="zh-CN" w:bidi="ar-SA"/>
    </w:rPr>
  </w:style>
  <w:style w:type="paragraph" w:customStyle="1" w:styleId="757">
    <w:name w:val="xl78"/>
    <w:basedOn w:val="1"/>
    <w:qFormat/>
    <w:uiPriority w:val="99"/>
    <w:pPr>
      <w:widowControl/>
      <w:pBdr>
        <w:top w:val="single" w:color="000000" w:sz="4" w:space="0"/>
        <w:right w:val="single" w:color="000000" w:sz="4" w:space="0"/>
      </w:pBdr>
      <w:shd w:val="clear" w:color="auto" w:fill="FFFFFF"/>
      <w:spacing w:before="100" w:beforeLines="0" w:beforeAutospacing="1" w:after="100" w:afterLines="0" w:afterAutospacing="1"/>
      <w:jc w:val="left"/>
    </w:pPr>
    <w:rPr>
      <w:rFonts w:ascii="宋体" w:hAnsi="宋体" w:cs="宋体"/>
      <w:b/>
      <w:bCs/>
      <w:kern w:val="0"/>
      <w:sz w:val="16"/>
      <w:szCs w:val="16"/>
    </w:rPr>
  </w:style>
  <w:style w:type="paragraph" w:customStyle="1" w:styleId="758">
    <w:name w:val="xl25"/>
    <w:basedOn w:val="1"/>
    <w:uiPriority w:val="0"/>
    <w:pPr>
      <w:widowControl/>
      <w:spacing w:before="100" w:beforeLines="0" w:beforeAutospacing="1" w:after="100" w:afterLines="0" w:afterAutospacing="1"/>
      <w:jc w:val="center"/>
      <w:textAlignment w:val="center"/>
    </w:pPr>
    <w:rPr>
      <w:rFonts w:hint="eastAsia" w:ascii="楷体_GB2312" w:hAnsi="宋体" w:eastAsia="楷体_GB2312"/>
      <w:kern w:val="0"/>
      <w:sz w:val="24"/>
    </w:rPr>
  </w:style>
  <w:style w:type="paragraph" w:customStyle="1" w:styleId="759">
    <w:name w:val="Char Char Char"/>
    <w:basedOn w:val="1"/>
    <w:uiPriority w:val="99"/>
    <w:rPr>
      <w:rFonts w:ascii="Tahoma" w:hAnsi="Tahoma"/>
      <w:sz w:val="24"/>
    </w:rPr>
  </w:style>
  <w:style w:type="paragraph" w:customStyle="1" w:styleId="760">
    <w:name w:val="xl43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rPr>
  </w:style>
  <w:style w:type="paragraph" w:customStyle="1" w:styleId="761">
    <w:name w:val="内文"/>
    <w:uiPriority w:val="99"/>
    <w:pPr>
      <w:widowControl w:val="0"/>
      <w:autoSpaceDE w:val="0"/>
      <w:autoSpaceDN w:val="0"/>
      <w:adjustRightInd w:val="0"/>
      <w:jc w:val="both"/>
    </w:pPr>
    <w:rPr>
      <w:rFonts w:ascii="宋体"/>
      <w:color w:val="000000"/>
      <w:sz w:val="24"/>
      <w:lang w:val="en-US" w:eastAsia="zh-CN" w:bidi="ar-SA"/>
    </w:rPr>
  </w:style>
  <w:style w:type="paragraph" w:customStyle="1" w:styleId="762">
    <w:name w:val="xl110"/>
    <w:basedOn w:val="1"/>
    <w:qFormat/>
    <w:uiPriority w:val="0"/>
    <w:pPr>
      <w:widowControl/>
      <w:pBdr>
        <w:top w:val="single" w:color="auto" w:sz="4" w:space="0"/>
      </w:pBdr>
      <w:spacing w:before="100" w:beforeLines="0" w:beforeAutospacing="1" w:after="100" w:afterLines="0" w:afterAutospacing="1"/>
      <w:jc w:val="left"/>
    </w:pPr>
    <w:rPr>
      <w:rFonts w:ascii="宋体" w:hAnsi="宋体" w:cs="宋体"/>
      <w:b/>
      <w:bCs/>
      <w:kern w:val="0"/>
      <w:sz w:val="24"/>
      <w:szCs w:val="24"/>
    </w:rPr>
  </w:style>
  <w:style w:type="paragraph" w:customStyle="1" w:styleId="763">
    <w:name w:val="正文文字左对齐"/>
    <w:basedOn w:val="26"/>
    <w:uiPriority w:val="99"/>
    <w:pPr>
      <w:widowControl w:val="0"/>
      <w:spacing w:before="0" w:after="0" w:line="240" w:lineRule="auto"/>
      <w:jc w:val="both"/>
    </w:pPr>
    <w:rPr>
      <w:rFonts w:ascii="楷体_GB2312" w:hAnsi="宋体" w:eastAsia="楷体_GB2312"/>
      <w:b/>
      <w:bCs/>
      <w:sz w:val="28"/>
      <w:szCs w:val="28"/>
    </w:rPr>
  </w:style>
  <w:style w:type="paragraph" w:customStyle="1" w:styleId="764">
    <w:name w:val="xl43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kern w:val="0"/>
      <w:sz w:val="20"/>
    </w:rPr>
  </w:style>
  <w:style w:type="paragraph" w:customStyle="1" w:styleId="765">
    <w:name w:val="xl34"/>
    <w:basedOn w:val="1"/>
    <w:uiPriority w:val="99"/>
    <w:pPr>
      <w:widowControl/>
      <w:pBdr>
        <w:top w:val="single" w:color="auto" w:sz="8" w:space="0"/>
        <w:left w:val="single" w:color="auto" w:sz="4" w:space="0"/>
        <w:bottom w:val="single" w:color="auto" w:sz="4" w:space="0"/>
        <w:right w:val="single" w:color="auto" w:sz="8" w:space="0"/>
      </w:pBdr>
      <w:spacing w:before="100" w:beforeLines="0" w:beforeAutospacing="1" w:after="100" w:afterLines="0" w:afterAutospacing="1"/>
      <w:jc w:val="center"/>
      <w:textAlignment w:val="center"/>
    </w:pPr>
    <w:rPr>
      <w:rFonts w:ascii="宋体" w:hAnsi="宋体"/>
      <w:b/>
      <w:bCs/>
      <w:kern w:val="0"/>
      <w:sz w:val="22"/>
      <w:szCs w:val="22"/>
    </w:rPr>
  </w:style>
  <w:style w:type="paragraph" w:customStyle="1" w:styleId="766">
    <w:name w:val="标题3级"/>
    <w:basedOn w:val="4"/>
    <w:uiPriority w:val="0"/>
    <w:pPr>
      <w:keepNext w:val="0"/>
      <w:keepLines w:val="0"/>
      <w:numPr>
        <w:ilvl w:val="2"/>
        <w:numId w:val="2"/>
      </w:numPr>
      <w:tabs>
        <w:tab w:val="left" w:pos="425"/>
        <w:tab w:val="left" w:pos="851"/>
        <w:tab w:val="clear" w:pos="1742"/>
      </w:tabs>
      <w:spacing w:before="0" w:after="0" w:line="360" w:lineRule="auto"/>
    </w:pPr>
  </w:style>
  <w:style w:type="paragraph" w:customStyle="1" w:styleId="767">
    <w:name w:val="Default Paragraph Font Para Char"/>
    <w:basedOn w:val="1"/>
    <w:uiPriority w:val="0"/>
    <w:pPr>
      <w:widowControl/>
      <w:spacing w:after="160" w:afterLines="0" w:line="240" w:lineRule="exact"/>
      <w:jc w:val="left"/>
    </w:pPr>
    <w:rPr>
      <w:rFonts w:ascii="Verdana" w:hAnsi="Verdana"/>
      <w:kern w:val="0"/>
      <w:sz w:val="20"/>
      <w:lang w:eastAsia="en-US"/>
    </w:rPr>
  </w:style>
  <w:style w:type="paragraph" w:customStyle="1" w:styleId="768">
    <w:name w:val="CCTV文档正文"/>
    <w:basedOn w:val="1"/>
    <w:uiPriority w:val="0"/>
    <w:pPr>
      <w:widowControl w:val="0"/>
      <w:spacing w:before="100" w:beforeAutospacing="1" w:after="100" w:afterAutospacing="1" w:line="360" w:lineRule="auto"/>
      <w:ind w:firstLine="200" w:firstLineChars="200"/>
    </w:pPr>
    <w:rPr>
      <w:sz w:val="24"/>
      <w:szCs w:val="21"/>
    </w:rPr>
  </w:style>
  <w:style w:type="paragraph" w:customStyle="1" w:styleId="769">
    <w:name w:val="Q4"/>
    <w:basedOn w:val="5"/>
    <w:qFormat/>
    <w:uiPriority w:val="0"/>
    <w:pPr>
      <w:widowControl w:val="0"/>
      <w:spacing w:line="376" w:lineRule="auto"/>
      <w:jc w:val="both"/>
    </w:pPr>
    <w:rPr>
      <w:rFonts w:ascii="Cambria" w:hAnsi="Cambria" w:eastAsia="宋体"/>
      <w:bCs/>
      <w:kern w:val="0"/>
      <w:szCs w:val="28"/>
    </w:rPr>
  </w:style>
  <w:style w:type="paragraph" w:customStyle="1" w:styleId="770">
    <w:name w:val="Char Char1 Char Char Char Char Char Char Char"/>
    <w:basedOn w:val="1"/>
    <w:uiPriority w:val="0"/>
    <w:pPr>
      <w:widowControl w:val="0"/>
      <w:jc w:val="both"/>
    </w:pPr>
    <w:rPr>
      <w:szCs w:val="24"/>
    </w:rPr>
  </w:style>
  <w:style w:type="paragraph" w:customStyle="1" w:styleId="771">
    <w:name w:val="项目圆"/>
    <w:basedOn w:val="1"/>
    <w:uiPriority w:val="0"/>
    <w:pPr>
      <w:widowControl w:val="0"/>
      <w:tabs>
        <w:tab w:val="left" w:pos="426"/>
        <w:tab w:val="left" w:pos="840"/>
      </w:tabs>
      <w:spacing w:beforeLines="50" w:afterLines="50" w:line="360" w:lineRule="auto"/>
      <w:ind w:left="426" w:hanging="426"/>
      <w:jc w:val="both"/>
    </w:pPr>
    <w:rPr>
      <w:rFonts w:ascii="Book Antiqua" w:hAnsi="Book Antiqua"/>
      <w:bCs/>
      <w:sz w:val="24"/>
      <w:szCs w:val="21"/>
    </w:rPr>
  </w:style>
  <w:style w:type="paragraph" w:customStyle="1" w:styleId="772">
    <w:name w:val="列出段落11"/>
    <w:basedOn w:val="1"/>
    <w:qFormat/>
    <w:uiPriority w:val="34"/>
    <w:pPr>
      <w:widowControl/>
      <w:ind w:firstLine="420" w:firstLineChars="200"/>
      <w:jc w:val="left"/>
    </w:pPr>
    <w:rPr>
      <w:kern w:val="0"/>
      <w:sz w:val="24"/>
    </w:rPr>
  </w:style>
  <w:style w:type="paragraph" w:customStyle="1" w:styleId="773">
    <w:name w:val="List Paragraph"/>
    <w:basedOn w:val="1"/>
    <w:qFormat/>
    <w:uiPriority w:val="0"/>
    <w:pPr>
      <w:widowControl/>
      <w:ind w:firstLine="420" w:firstLineChars="200"/>
      <w:jc w:val="left"/>
    </w:pPr>
    <w:rPr>
      <w:kern w:val="0"/>
      <w:sz w:val="24"/>
    </w:rPr>
  </w:style>
  <w:style w:type="paragraph" w:customStyle="1" w:styleId="774">
    <w:name w:val="xl85"/>
    <w:basedOn w:val="1"/>
    <w:qFormat/>
    <w:uiPriority w:val="99"/>
    <w:pPr>
      <w:widowControl/>
      <w:pBdr>
        <w:top w:val="single" w:color="000000" w:sz="4" w:space="0"/>
        <w:right w:val="single" w:color="000000" w:sz="4" w:space="0"/>
      </w:pBdr>
      <w:shd w:val="clear" w:color="auto" w:fill="FFFFFF"/>
      <w:spacing w:before="100" w:beforeLines="0" w:beforeAutospacing="1" w:after="100" w:afterLines="0" w:afterAutospacing="1"/>
      <w:jc w:val="left"/>
    </w:pPr>
    <w:rPr>
      <w:rFonts w:ascii="宋体" w:hAnsi="宋体" w:cs="宋体"/>
      <w:color w:val="FF0000"/>
      <w:kern w:val="0"/>
      <w:sz w:val="16"/>
      <w:szCs w:val="16"/>
    </w:rPr>
  </w:style>
  <w:style w:type="paragraph" w:customStyle="1" w:styleId="775">
    <w:name w:val="表文1"/>
    <w:basedOn w:val="1"/>
    <w:uiPriority w:val="99"/>
    <w:pPr>
      <w:widowControl/>
      <w:spacing w:line="360" w:lineRule="auto"/>
      <w:ind w:left="-158" w:leftChars="-75" w:firstLine="471" w:firstLineChars="157"/>
    </w:pPr>
    <w:rPr>
      <w:rFonts w:ascii="宋体" w:hAnsi="宋体"/>
      <w:color w:val="000000"/>
      <w:spacing w:val="10"/>
      <w:kern w:val="0"/>
      <w:sz w:val="28"/>
      <w:szCs w:val="18"/>
    </w:rPr>
  </w:style>
  <w:style w:type="paragraph" w:customStyle="1" w:styleId="776">
    <w:name w:val="Char Char Char Char Char Char Char Char"/>
    <w:basedOn w:val="1"/>
    <w:uiPriority w:val="99"/>
    <w:pPr>
      <w:tabs>
        <w:tab w:val="left" w:pos="360"/>
      </w:tabs>
    </w:pPr>
    <w:rPr>
      <w:sz w:val="24"/>
      <w:szCs w:val="24"/>
    </w:rPr>
  </w:style>
  <w:style w:type="paragraph" w:customStyle="1" w:styleId="777">
    <w:name w:val="xl98"/>
    <w:basedOn w:val="1"/>
    <w:qFormat/>
    <w:uiPriority w:val="0"/>
    <w:pPr>
      <w:widowControl/>
      <w:pBdr>
        <w:top w:val="single" w:color="000000" w:sz="4" w:space="0"/>
        <w:left w:val="single" w:color="000000" w:sz="4" w:space="0"/>
        <w:right w:val="single" w:color="000000" w:sz="4" w:space="0"/>
      </w:pBdr>
      <w:shd w:val="clear" w:color="auto" w:fill="FFFFFF"/>
      <w:spacing w:before="100" w:beforeLines="0" w:beforeAutospacing="1" w:after="100" w:afterLines="0" w:afterAutospacing="1"/>
      <w:jc w:val="center"/>
    </w:pPr>
    <w:rPr>
      <w:rFonts w:ascii="宋体" w:hAnsi="宋体" w:cs="宋体"/>
      <w:b/>
      <w:bCs/>
      <w:kern w:val="0"/>
      <w:sz w:val="16"/>
      <w:szCs w:val="16"/>
    </w:rPr>
  </w:style>
  <w:style w:type="paragraph" w:customStyle="1" w:styleId="778">
    <w:name w:val="Body Text Indent"/>
    <w:basedOn w:val="1"/>
    <w:uiPriority w:val="0"/>
    <w:pPr>
      <w:spacing w:line="200" w:lineRule="atLeast"/>
      <w:ind w:firstLine="301"/>
    </w:pPr>
    <w:rPr>
      <w:rFonts w:ascii="宋体" w:hAnsi="Courier New" w:eastAsia="宋体"/>
      <w:spacing w:val="-4"/>
      <w:sz w:val="18"/>
    </w:rPr>
  </w:style>
  <w:style w:type="paragraph" w:customStyle="1" w:styleId="779">
    <w:name w:val="table"/>
    <w:basedOn w:val="1"/>
    <w:uiPriority w:val="99"/>
    <w:pPr>
      <w:spacing w:before="100" w:beforeAutospacing="1" w:after="100" w:afterAutospacing="1"/>
    </w:pPr>
    <w:rPr>
      <w:rFonts w:ascii="Arial Unicode MS" w:hAnsi="Arial Unicode MS"/>
      <w:kern w:val="0"/>
      <w:sz w:val="18"/>
      <w:szCs w:val="18"/>
    </w:rPr>
  </w:style>
  <w:style w:type="paragraph" w:customStyle="1" w:styleId="780">
    <w:name w:val="xl45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781">
    <w:name w:val="修订记录"/>
    <w:basedOn w:val="1"/>
    <w:uiPriority w:val="99"/>
    <w:pPr>
      <w:pageBreakBefore/>
      <w:widowControl w:val="0"/>
      <w:autoSpaceDE w:val="0"/>
      <w:autoSpaceDN w:val="0"/>
      <w:adjustRightInd w:val="0"/>
      <w:spacing w:before="300" w:after="150" w:line="360" w:lineRule="auto"/>
      <w:jc w:val="center"/>
    </w:pPr>
    <w:rPr>
      <w:rFonts w:ascii="黑体" w:eastAsia="黑体"/>
      <w:kern w:val="0"/>
      <w:sz w:val="30"/>
      <w:szCs w:val="30"/>
    </w:rPr>
  </w:style>
  <w:style w:type="paragraph" w:customStyle="1" w:styleId="782">
    <w:name w:val="Char Char1 Char Char Char Char Char Char Char Char Char Char Char Char Char"/>
    <w:basedOn w:val="1"/>
    <w:uiPriority w:val="0"/>
    <w:pPr>
      <w:spacing w:after="160" w:afterLines="0" w:line="240" w:lineRule="exact"/>
    </w:pPr>
    <w:rPr>
      <w:rFonts w:ascii="Verdana" w:hAnsi="Verdana"/>
      <w:kern w:val="0"/>
      <w:sz w:val="20"/>
      <w:lang w:eastAsia="en-US"/>
    </w:rPr>
  </w:style>
  <w:style w:type="paragraph" w:customStyle="1" w:styleId="783">
    <w:name w:val="样式 楷体_GB2312 小四 首行缩进:  0.63 厘米 行距: 1.5 倍行距"/>
    <w:basedOn w:val="1"/>
    <w:uiPriority w:val="99"/>
    <w:pPr>
      <w:widowControl w:val="0"/>
      <w:spacing w:line="360" w:lineRule="auto"/>
      <w:ind w:firstLine="360"/>
      <w:jc w:val="both"/>
    </w:pPr>
    <w:rPr>
      <w:rFonts w:ascii="楷体_GB2312" w:eastAsia="楷体_GB2312" w:cs="宋体"/>
      <w:sz w:val="24"/>
    </w:rPr>
  </w:style>
  <w:style w:type="paragraph" w:customStyle="1" w:styleId="784">
    <w:name w:val="Char1 Char Char Char"/>
    <w:basedOn w:val="1"/>
    <w:qFormat/>
    <w:uiPriority w:val="99"/>
    <w:rPr>
      <w:rFonts w:ascii="仿宋_GB2312" w:eastAsia="仿宋_GB2312"/>
      <w:b/>
      <w:sz w:val="32"/>
      <w:szCs w:val="32"/>
    </w:rPr>
  </w:style>
  <w:style w:type="paragraph" w:customStyle="1" w:styleId="785">
    <w:name w:val="xl2326872"/>
    <w:basedOn w:val="1"/>
    <w:uiPriority w:val="0"/>
    <w:pPr>
      <w:pBdr>
        <w:top w:val="single" w:color="auto" w:sz="4" w:space="1"/>
        <w:left w:val="single" w:color="auto" w:sz="4" w:space="1"/>
        <w:bottom w:val="single" w:color="auto" w:sz="4" w:space="0"/>
        <w:right w:val="single" w:color="auto" w:sz="4" w:space="1"/>
      </w:pBdr>
      <w:spacing w:before="100" w:beforeAutospacing="1" w:after="100" w:afterAutospacing="1"/>
      <w:textAlignment w:val="bottom"/>
    </w:pPr>
    <w:rPr>
      <w:rFonts w:ascii="宋体" w:hAnsi="宋体" w:cs="宋体"/>
      <w:kern w:val="0"/>
      <w:sz w:val="24"/>
      <w:szCs w:val="24"/>
    </w:rPr>
  </w:style>
  <w:style w:type="paragraph" w:customStyle="1" w:styleId="786">
    <w:name w:val="正文，首行缩进:  2 字符"/>
    <w:uiPriority w:val="99"/>
    <w:pPr>
      <w:spacing w:line="360" w:lineRule="auto"/>
      <w:ind w:firstLine="480" w:firstLineChars="200"/>
    </w:pPr>
    <w:rPr>
      <w:rFonts w:ascii="Arial" w:hAnsi="Arial" w:eastAsia="仿宋_GB2312" w:cs="宋体"/>
      <w:kern w:val="2"/>
      <w:sz w:val="24"/>
      <w:szCs w:val="24"/>
      <w:lang w:val="en-US" w:eastAsia="zh-CN" w:bidi="ar-SA"/>
    </w:rPr>
  </w:style>
  <w:style w:type="paragraph" w:customStyle="1" w:styleId="787">
    <w:name w:val="mess  style6"/>
    <w:basedOn w:val="1"/>
    <w:uiPriority w:val="0"/>
    <w:pPr>
      <w:spacing w:before="100" w:beforeAutospacing="1" w:after="100" w:afterAutospacing="1"/>
    </w:pPr>
    <w:rPr>
      <w:rFonts w:ascii="宋体" w:hAnsi="宋体"/>
      <w:kern w:val="0"/>
      <w:sz w:val="24"/>
      <w:szCs w:val="24"/>
    </w:rPr>
  </w:style>
  <w:style w:type="paragraph" w:customStyle="1" w:styleId="788">
    <w:name w:val="xl51"/>
    <w:basedOn w:val="1"/>
    <w:uiPriority w:val="99"/>
    <w:pPr>
      <w:widowControl/>
      <w:pBdr>
        <w:bottom w:val="single" w:color="auto" w:sz="4" w:space="0"/>
        <w:right w:val="single" w:color="auto" w:sz="4" w:space="0"/>
      </w:pBdr>
      <w:spacing w:before="100" w:beforeLines="0" w:beforeAutospacing="1" w:after="100" w:afterLines="0" w:afterAutospacing="1"/>
      <w:textAlignment w:val="center"/>
    </w:pPr>
    <w:rPr>
      <w:rFonts w:ascii="Arial" w:hAnsi="Arial" w:eastAsia="Arial Unicode MS" w:cs="Arial"/>
      <w:color w:val="000000"/>
      <w:kern w:val="0"/>
      <w:sz w:val="20"/>
    </w:rPr>
  </w:style>
  <w:style w:type="paragraph" w:customStyle="1" w:styleId="789">
    <w:name w:val="四级目录 Char Char Char Char Char"/>
    <w:next w:val="1"/>
    <w:uiPriority w:val="99"/>
    <w:pPr>
      <w:spacing w:line="360" w:lineRule="auto"/>
      <w:ind w:left="200" w:leftChars="200"/>
    </w:pPr>
    <w:rPr>
      <w:lang w:val="en-US" w:eastAsia="zh-CN" w:bidi="ar-SA"/>
    </w:rPr>
  </w:style>
  <w:style w:type="paragraph" w:customStyle="1" w:styleId="790">
    <w:name w:val="a1"/>
    <w:basedOn w:val="1"/>
    <w:uiPriority w:val="99"/>
    <w:pPr>
      <w:widowControl/>
      <w:spacing w:before="100" w:beforeLines="0" w:beforeAutospacing="1" w:after="100" w:afterLines="0" w:afterAutospacing="1"/>
      <w:jc w:val="left"/>
    </w:pPr>
    <w:rPr>
      <w:rFonts w:ascii="宋体" w:hAnsi="宋体" w:cs="宋体"/>
      <w:kern w:val="0"/>
      <w:sz w:val="24"/>
      <w:szCs w:val="24"/>
    </w:rPr>
  </w:style>
  <w:style w:type="paragraph" w:customStyle="1" w:styleId="791">
    <w:name w:val="图表"/>
    <w:basedOn w:val="1"/>
    <w:next w:val="1"/>
    <w:uiPriority w:val="99"/>
    <w:pPr>
      <w:widowControl w:val="0"/>
      <w:jc w:val="center"/>
    </w:pPr>
    <w:rPr>
      <w:rFonts w:ascii="宋体"/>
      <w:spacing w:val="20"/>
      <w:sz w:val="24"/>
      <w:szCs w:val="24"/>
    </w:rPr>
  </w:style>
  <w:style w:type="paragraph" w:customStyle="1" w:styleId="792">
    <w:name w:val="xl80"/>
    <w:basedOn w:val="1"/>
    <w:qFormat/>
    <w:uiPriority w:val="99"/>
    <w:pPr>
      <w:widowControl/>
      <w:pBdr>
        <w:top w:val="single" w:color="auto" w:sz="4" w:space="0"/>
        <w:left w:val="single" w:color="auto" w:sz="4" w:space="0"/>
        <w:right w:val="single" w:color="auto" w:sz="4" w:space="0"/>
      </w:pBdr>
      <w:shd w:val="clear" w:color="auto" w:fill="FFFFFF"/>
      <w:spacing w:before="100" w:beforeLines="0" w:beforeAutospacing="1" w:after="100" w:afterLines="0" w:afterAutospacing="1"/>
      <w:jc w:val="center"/>
    </w:pPr>
    <w:rPr>
      <w:rFonts w:ascii="宋体" w:hAnsi="宋体" w:cs="宋体"/>
      <w:kern w:val="0"/>
      <w:sz w:val="16"/>
      <w:szCs w:val="16"/>
    </w:rPr>
  </w:style>
  <w:style w:type="paragraph" w:customStyle="1" w:styleId="793">
    <w:name w:val="xl50"/>
    <w:basedOn w:val="1"/>
    <w:uiPriority w:val="99"/>
    <w:pPr>
      <w:widowControl/>
      <w:pBdr>
        <w:bottom w:val="single" w:color="auto" w:sz="4" w:space="0"/>
        <w:right w:val="single" w:color="auto" w:sz="8" w:space="0"/>
      </w:pBdr>
      <w:spacing w:before="100" w:beforeLines="0" w:beforeAutospacing="1" w:after="100" w:afterLines="0" w:afterAutospacing="1"/>
      <w:jc w:val="center"/>
      <w:textAlignment w:val="center"/>
    </w:pPr>
    <w:rPr>
      <w:rFonts w:ascii="Arial Unicode MS" w:hAnsi="Arial Unicode MS" w:eastAsia="Arial Unicode MS"/>
      <w:kern w:val="0"/>
      <w:sz w:val="20"/>
    </w:rPr>
  </w:style>
  <w:style w:type="paragraph" w:customStyle="1" w:styleId="794">
    <w:name w:val="style8801"/>
    <w:basedOn w:val="1"/>
    <w:uiPriority w:val="99"/>
    <w:pPr>
      <w:spacing w:before="100" w:beforeAutospacing="1" w:after="100" w:afterAutospacing="1"/>
    </w:pPr>
    <w:rPr>
      <w:rFonts w:ascii="宋体" w:hAnsi="宋体" w:cs="宋体"/>
      <w:kern w:val="0"/>
      <w:sz w:val="24"/>
      <w:szCs w:val="24"/>
    </w:rPr>
  </w:style>
  <w:style w:type="paragraph" w:customStyle="1" w:styleId="795">
    <w:name w:val="xl43"/>
    <w:basedOn w:val="1"/>
    <w:uiPriority w:val="99"/>
    <w:pPr>
      <w:widowControl/>
      <w:pBdr>
        <w:top w:val="single" w:color="auto" w:sz="4" w:space="0"/>
        <w:left w:val="single" w:color="auto" w:sz="4" w:space="0"/>
        <w:bottom w:val="single" w:color="auto" w:sz="4" w:space="0"/>
        <w:right w:val="single" w:color="auto" w:sz="4" w:space="0"/>
      </w:pBdr>
      <w:shd w:val="clear" w:color="auto" w:fill="C0C0C0"/>
      <w:spacing w:before="100" w:beforeLines="0" w:beforeAutospacing="1" w:after="100" w:afterLines="0" w:afterAutospacing="1"/>
      <w:jc w:val="center"/>
      <w:textAlignment w:val="center"/>
    </w:pPr>
    <w:rPr>
      <w:rFonts w:ascii="Arial Unicode MS" w:hAnsi="Arial Unicode MS" w:eastAsia="Arial Unicode MS"/>
      <w:b/>
      <w:bCs/>
      <w:kern w:val="0"/>
      <w:sz w:val="52"/>
      <w:szCs w:val="52"/>
    </w:rPr>
  </w:style>
  <w:style w:type="paragraph" w:customStyle="1" w:styleId="796">
    <w:name w:val="(Q5"/>
    <w:basedOn w:val="6"/>
    <w:qFormat/>
    <w:uiPriority w:val="0"/>
    <w:pPr>
      <w:widowControl w:val="0"/>
      <w:tabs>
        <w:tab w:val="clear" w:pos="1008"/>
      </w:tabs>
      <w:spacing w:before="120" w:after="120" w:line="360" w:lineRule="auto"/>
      <w:jc w:val="both"/>
    </w:pPr>
    <w:rPr>
      <w:rFonts w:ascii="Calibri" w:hAnsi="Calibri"/>
      <w:kern w:val="0"/>
    </w:rPr>
  </w:style>
  <w:style w:type="paragraph" w:customStyle="1" w:styleId="797">
    <w:name w:val="font13"/>
    <w:basedOn w:val="1"/>
    <w:uiPriority w:val="99"/>
    <w:pPr>
      <w:spacing w:before="100" w:beforeAutospacing="1" w:after="100" w:afterAutospacing="1"/>
    </w:pPr>
    <w:rPr>
      <w:kern w:val="0"/>
      <w:sz w:val="18"/>
      <w:szCs w:val="18"/>
    </w:rPr>
  </w:style>
  <w:style w:type="paragraph" w:customStyle="1" w:styleId="798">
    <w:name w:val=" Char Char2 Char"/>
    <w:basedOn w:val="1"/>
    <w:uiPriority w:val="0"/>
    <w:pPr>
      <w:keepNext/>
      <w:keepLines/>
      <w:pageBreakBefore/>
      <w:tabs>
        <w:tab w:val="left" w:pos="845"/>
      </w:tabs>
      <w:ind w:left="845" w:hanging="420"/>
    </w:pPr>
    <w:rPr>
      <w:rFonts w:ascii="Tahoma" w:hAnsi="Tahoma"/>
      <w:sz w:val="24"/>
    </w:rPr>
  </w:style>
  <w:style w:type="paragraph" w:customStyle="1" w:styleId="799">
    <w:name w:val="pchart_bodycmt"/>
    <w:basedOn w:val="1"/>
    <w:uiPriority w:val="0"/>
    <w:pPr>
      <w:widowControl/>
      <w:spacing w:before="100" w:beforeLines="0" w:beforeAutospacing="1" w:after="100" w:afterLines="0" w:afterAutospacing="1"/>
      <w:jc w:val="left"/>
    </w:pPr>
    <w:rPr>
      <w:rFonts w:ascii="宋体" w:hAnsi="宋体" w:eastAsia="宋体" w:cs="宋体"/>
      <w:kern w:val="0"/>
      <w:sz w:val="24"/>
      <w:szCs w:val="24"/>
    </w:rPr>
  </w:style>
  <w:style w:type="paragraph" w:customStyle="1" w:styleId="800">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16"/>
      <w:szCs w:val="16"/>
    </w:rPr>
  </w:style>
  <w:style w:type="paragraph" w:customStyle="1" w:styleId="801">
    <w:name w:val="wfxRecipient"/>
    <w:basedOn w:val="1"/>
    <w:uiPriority w:val="0"/>
    <w:rPr>
      <w:kern w:val="0"/>
      <w:sz w:val="20"/>
      <w:lang w:eastAsia="en-US"/>
    </w:rPr>
  </w:style>
  <w:style w:type="paragraph" w:customStyle="1" w:styleId="802">
    <w:name w:val="项目编号1"/>
    <w:basedOn w:val="1"/>
    <w:uiPriority w:val="99"/>
    <w:pPr>
      <w:widowControl w:val="0"/>
      <w:tabs>
        <w:tab w:val="left" w:pos="555"/>
      </w:tabs>
      <w:adjustRightInd w:val="0"/>
      <w:spacing w:line="360" w:lineRule="auto"/>
      <w:ind w:left="555" w:hanging="555"/>
      <w:textAlignment w:val="baseline"/>
    </w:pPr>
    <w:rPr>
      <w:b/>
      <w:kern w:val="24"/>
      <w:sz w:val="24"/>
    </w:rPr>
  </w:style>
  <w:style w:type="paragraph" w:customStyle="1" w:styleId="803">
    <w:name w:val="标书正文（宋体）"/>
    <w:basedOn w:val="17"/>
    <w:uiPriority w:val="99"/>
    <w:pPr>
      <w:widowControl w:val="0"/>
      <w:spacing w:beforeLines="50" w:line="300" w:lineRule="auto"/>
      <w:ind w:firstLine="0"/>
      <w:jc w:val="both"/>
    </w:pPr>
    <w:rPr>
      <w:sz w:val="24"/>
      <w:lang w:val="en-US" w:eastAsia="zh-CN"/>
    </w:rPr>
  </w:style>
  <w:style w:type="paragraph" w:customStyle="1" w:styleId="804">
    <w:name w:val="样式 标题 2 + 宋体 小四"/>
    <w:basedOn w:val="3"/>
    <w:uiPriority w:val="0"/>
    <w:pPr>
      <w:keepLines/>
      <w:numPr>
        <w:ilvl w:val="1"/>
        <w:numId w:val="8"/>
      </w:numPr>
      <w:autoSpaceDE w:val="0"/>
      <w:autoSpaceDN w:val="0"/>
      <w:spacing w:before="312"/>
      <w:ind w:right="6"/>
      <w:jc w:val="both"/>
      <w:textAlignment w:val="bottom"/>
    </w:pPr>
    <w:rPr>
      <w:rFonts w:ascii="宋体" w:hAnsi="宋体" w:eastAsia="宋体"/>
      <w:b/>
      <w:bCs/>
      <w:caps/>
      <w:sz w:val="24"/>
      <w:szCs w:val="24"/>
    </w:rPr>
  </w:style>
  <w:style w:type="paragraph" w:customStyle="1" w:styleId="805">
    <w:name w:val="样式 标书正文格式 Char + 楷体_GB2312 首行缩进:  2 字符"/>
    <w:basedOn w:val="1"/>
    <w:uiPriority w:val="99"/>
    <w:pPr>
      <w:spacing w:line="360" w:lineRule="auto"/>
      <w:ind w:firstLine="480" w:firstLineChars="200"/>
    </w:pPr>
    <w:rPr>
      <w:rFonts w:ascii="楷体_GB2312" w:eastAsia="楷体_GB2312" w:cs="宋体"/>
      <w:sz w:val="24"/>
    </w:rPr>
  </w:style>
  <w:style w:type="paragraph" w:customStyle="1" w:styleId="806">
    <w:name w:val="样式 楷体_GB2312 小四 行距: 1.5 倍行距"/>
    <w:basedOn w:val="1"/>
    <w:uiPriority w:val="99"/>
    <w:pPr>
      <w:widowControl w:val="0"/>
      <w:tabs>
        <w:tab w:val="left" w:pos="824"/>
      </w:tabs>
      <w:spacing w:line="360" w:lineRule="auto"/>
      <w:ind w:left="425" w:hanging="425"/>
      <w:jc w:val="both"/>
    </w:pPr>
    <w:rPr>
      <w:rFonts w:ascii="楷体_GB2312" w:eastAsia="楷体_GB2312" w:cs="宋体"/>
      <w:sz w:val="24"/>
    </w:rPr>
  </w:style>
  <w:style w:type="paragraph" w:customStyle="1" w:styleId="807">
    <w:name w:val="标题3"/>
    <w:basedOn w:val="4"/>
    <w:next w:val="1"/>
    <w:uiPriority w:val="99"/>
    <w:pPr>
      <w:widowControl w:val="0"/>
      <w:numPr>
        <w:ilvl w:val="2"/>
        <w:numId w:val="0"/>
      </w:numPr>
      <w:tabs>
        <w:tab w:val="left" w:pos="840"/>
      </w:tabs>
      <w:spacing w:before="0" w:after="120" w:line="480" w:lineRule="auto"/>
      <w:ind w:left="840" w:hanging="420"/>
      <w:jc w:val="both"/>
    </w:pPr>
    <w:rPr>
      <w:rFonts w:eastAsia="黑体"/>
      <w:sz w:val="24"/>
    </w:rPr>
  </w:style>
  <w:style w:type="paragraph" w:customStyle="1" w:styleId="808">
    <w:name w:val="样式 仿宋_GB2312 小四 左 行距: 1.5 倍行距"/>
    <w:basedOn w:val="1"/>
    <w:uiPriority w:val="99"/>
    <w:pPr>
      <w:widowControl w:val="0"/>
      <w:spacing w:line="360" w:lineRule="auto"/>
    </w:pPr>
    <w:rPr>
      <w:rFonts w:ascii="仿宋_GB2312" w:hAnsi="宋体" w:eastAsia="楷体_GB2312" w:cs="宋体"/>
      <w:sz w:val="24"/>
    </w:rPr>
  </w:style>
  <w:style w:type="paragraph" w:customStyle="1" w:styleId="809">
    <w:name w:val="style2"/>
    <w:basedOn w:val="1"/>
    <w:uiPriority w:val="99"/>
    <w:pPr>
      <w:spacing w:before="100" w:beforeAutospacing="1" w:after="100" w:afterAutospacing="1"/>
    </w:pPr>
    <w:rPr>
      <w:rFonts w:ascii="宋体" w:hAnsi="宋体" w:cs="宋体"/>
      <w:kern w:val="0"/>
      <w:sz w:val="22"/>
      <w:szCs w:val="22"/>
    </w:rPr>
  </w:style>
  <w:style w:type="paragraph" w:customStyle="1" w:styleId="810">
    <w:name w:val="xl112"/>
    <w:basedOn w:val="1"/>
    <w:qFormat/>
    <w:uiPriority w:val="0"/>
    <w:pPr>
      <w:pBdr>
        <w:left w:val="single" w:color="auto" w:sz="4" w:space="0"/>
        <w:right w:val="single" w:color="auto" w:sz="4" w:space="0"/>
      </w:pBdr>
      <w:spacing w:before="100" w:beforeAutospacing="1" w:after="100" w:afterAutospacing="1"/>
      <w:jc w:val="center"/>
      <w:textAlignment w:val="center"/>
    </w:pPr>
    <w:rPr>
      <w:rFonts w:ascii="宋体" w:hAnsi="宋体"/>
      <w:kern w:val="0"/>
      <w:sz w:val="20"/>
    </w:rPr>
  </w:style>
  <w:style w:type="paragraph" w:customStyle="1" w:styleId="811">
    <w:name w:val="xl42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b/>
      <w:bCs/>
      <w:kern w:val="0"/>
      <w:sz w:val="20"/>
    </w:rPr>
  </w:style>
  <w:style w:type="paragraph" w:customStyle="1" w:styleId="812">
    <w:name w:val="无间隔1"/>
    <w:qFormat/>
    <w:uiPriority w:val="1"/>
    <w:pPr>
      <w:widowControl w:val="0"/>
      <w:ind w:firstLine="200" w:firstLineChars="200"/>
      <w:jc w:val="both"/>
    </w:pPr>
    <w:rPr>
      <w:rFonts w:ascii="Arial" w:hAnsi="Arial"/>
      <w:kern w:val="2"/>
      <w:sz w:val="21"/>
      <w:szCs w:val="24"/>
      <w:lang w:val="en-US" w:eastAsia="zh-CN" w:bidi="ar-SA"/>
    </w:rPr>
  </w:style>
  <w:style w:type="paragraph" w:customStyle="1" w:styleId="813">
    <w:name w:val="xl36"/>
    <w:basedOn w:val="1"/>
    <w:uiPriority w:val="99"/>
    <w:pPr>
      <w:widowControl/>
      <w:pBdr>
        <w:top w:val="single" w:color="auto" w:sz="4" w:space="0"/>
        <w:left w:val="single" w:color="auto" w:sz="4" w:space="0"/>
        <w:bottom w:val="single" w:color="auto" w:sz="4" w:space="0"/>
        <w:right w:val="single" w:color="auto" w:sz="8" w:space="0"/>
      </w:pBdr>
      <w:spacing w:before="100" w:beforeLines="0" w:beforeAutospacing="1" w:after="100" w:afterLines="0" w:afterAutospacing="1"/>
      <w:jc w:val="center"/>
      <w:textAlignment w:val="center"/>
    </w:pPr>
    <w:rPr>
      <w:rFonts w:ascii="宋体" w:hAnsi="宋体"/>
      <w:kern w:val="0"/>
      <w:sz w:val="24"/>
      <w:szCs w:val="24"/>
    </w:rPr>
  </w:style>
  <w:style w:type="paragraph" w:customStyle="1" w:styleId="814">
    <w:name w:val="xl109"/>
    <w:basedOn w:val="1"/>
    <w:qFormat/>
    <w:uiPriority w:val="0"/>
    <w:pPr>
      <w:widowControl/>
      <w:spacing w:before="100" w:beforeLines="0" w:beforeAutospacing="1" w:after="100" w:afterLines="0" w:afterAutospacing="1"/>
      <w:jc w:val="left"/>
    </w:pPr>
    <w:rPr>
      <w:rFonts w:ascii="宋体" w:hAnsi="宋体" w:cs="宋体"/>
      <w:kern w:val="0"/>
      <w:sz w:val="28"/>
      <w:szCs w:val="28"/>
    </w:rPr>
  </w:style>
  <w:style w:type="paragraph" w:customStyle="1" w:styleId="815">
    <w:name w:val="五级条标题"/>
    <w:basedOn w:val="631"/>
    <w:next w:val="356"/>
    <w:uiPriority w:val="99"/>
    <w:pPr>
      <w:outlineLvl w:val="6"/>
    </w:pPr>
  </w:style>
  <w:style w:type="paragraph" w:customStyle="1" w:styleId="816">
    <w:name w:val="正文 New New New New"/>
    <w:qFormat/>
    <w:uiPriority w:val="0"/>
    <w:pPr>
      <w:widowControl w:val="0"/>
      <w:jc w:val="both"/>
    </w:pPr>
    <w:rPr>
      <w:kern w:val="2"/>
      <w:sz w:val="21"/>
      <w:szCs w:val="24"/>
      <w:lang w:val="en-US" w:eastAsia="zh-CN" w:bidi="ar-SA"/>
    </w:rPr>
  </w:style>
  <w:style w:type="paragraph" w:customStyle="1" w:styleId="817">
    <w:name w:val="默认段落字体 Para Char Char Char Char"/>
    <w:basedOn w:val="1"/>
    <w:uiPriority w:val="0"/>
    <w:rPr>
      <w:szCs w:val="24"/>
    </w:rPr>
  </w:style>
  <w:style w:type="paragraph" w:customStyle="1" w:styleId="818">
    <w:name w:val="xl116"/>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olor w:val="FF0000"/>
      <w:kern w:val="0"/>
      <w:sz w:val="20"/>
    </w:rPr>
  </w:style>
  <w:style w:type="paragraph" w:customStyle="1" w:styleId="819">
    <w:name w:val="font6"/>
    <w:basedOn w:val="1"/>
    <w:qFormat/>
    <w:uiPriority w:val="99"/>
    <w:pPr>
      <w:widowControl/>
      <w:spacing w:before="100" w:beforeLines="0" w:beforeAutospacing="1" w:after="100" w:afterLines="0" w:afterAutospacing="1"/>
      <w:jc w:val="left"/>
    </w:pPr>
    <w:rPr>
      <w:rFonts w:ascii="宋体" w:hAnsi="宋体" w:cs="宋体"/>
      <w:kern w:val="0"/>
      <w:sz w:val="18"/>
      <w:szCs w:val="18"/>
    </w:rPr>
  </w:style>
  <w:style w:type="paragraph" w:styleId="820">
    <w:name w:val=""/>
    <w:uiPriority w:val="99"/>
    <w:rPr>
      <w:kern w:val="2"/>
      <w:sz w:val="21"/>
      <w:lang w:val="en-US" w:eastAsia="zh-CN" w:bidi="ar-SA"/>
    </w:rPr>
  </w:style>
  <w:style w:type="paragraph" w:customStyle="1" w:styleId="821">
    <w:name w:val="样式 标书正文格式 Char + 楷体_GB2312"/>
    <w:basedOn w:val="1"/>
    <w:uiPriority w:val="99"/>
    <w:pPr>
      <w:spacing w:line="360" w:lineRule="auto"/>
      <w:ind w:firstLine="200" w:firstLineChars="200"/>
    </w:pPr>
    <w:rPr>
      <w:rFonts w:ascii="楷体_GB2312" w:hAnsi="楷体_GB2312" w:eastAsia="仿宋_GB2312"/>
      <w:sz w:val="24"/>
      <w:szCs w:val="24"/>
    </w:rPr>
  </w:style>
  <w:style w:type="paragraph" w:customStyle="1" w:styleId="822">
    <w:name w:val="xl44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kern w:val="0"/>
      <w:sz w:val="20"/>
    </w:rPr>
  </w:style>
  <w:style w:type="paragraph" w:customStyle="1" w:styleId="823">
    <w:name w:val="title2"/>
    <w:basedOn w:val="1"/>
    <w:uiPriority w:val="99"/>
    <w:pPr>
      <w:widowControl w:val="0"/>
      <w:jc w:val="both"/>
    </w:pPr>
    <w:rPr>
      <w:b/>
      <w:sz w:val="24"/>
      <w:szCs w:val="24"/>
    </w:rPr>
  </w:style>
  <w:style w:type="paragraph" w:customStyle="1" w:styleId="824">
    <w:name w:val="Char Char Char Char"/>
    <w:basedOn w:val="1"/>
    <w:uiPriority w:val="99"/>
    <w:pPr>
      <w:widowControl w:val="0"/>
      <w:tabs>
        <w:tab w:val="left" w:pos="360"/>
      </w:tabs>
      <w:ind w:firstLine="420" w:firstLineChars="150"/>
      <w:jc w:val="both"/>
    </w:pPr>
    <w:rPr>
      <w:rFonts w:ascii="Arial" w:hAnsi="Arial" w:cs="Arial"/>
      <w:sz w:val="20"/>
    </w:rPr>
  </w:style>
  <w:style w:type="paragraph" w:customStyle="1" w:styleId="825">
    <w:name w:val="font9"/>
    <w:basedOn w:val="1"/>
    <w:qFormat/>
    <w:uiPriority w:val="99"/>
    <w:pPr>
      <w:widowControl/>
      <w:spacing w:before="100" w:beforeLines="0" w:beforeAutospacing="1" w:after="100" w:afterLines="0" w:afterAutospacing="1"/>
      <w:jc w:val="left"/>
    </w:pPr>
    <w:rPr>
      <w:rFonts w:ascii="Arial" w:hAnsi="Arial" w:eastAsia="Arial Unicode MS" w:cs="Arial"/>
      <w:color w:val="000000"/>
      <w:kern w:val="0"/>
      <w:sz w:val="20"/>
    </w:rPr>
  </w:style>
  <w:style w:type="paragraph" w:customStyle="1" w:styleId="826">
    <w:name w:val="album-div1"/>
    <w:basedOn w:val="1"/>
    <w:uiPriority w:val="0"/>
    <w:pPr>
      <w:shd w:val="clear" w:color="auto" w:fill="FFFFFF"/>
      <w:spacing w:before="100" w:beforeAutospacing="1" w:after="100" w:afterAutospacing="1"/>
    </w:pPr>
    <w:rPr>
      <w:rFonts w:ascii="宋体" w:hAnsi="宋体" w:cs="宋体"/>
      <w:kern w:val="0"/>
      <w:sz w:val="24"/>
      <w:szCs w:val="24"/>
    </w:rPr>
  </w:style>
  <w:style w:type="paragraph" w:customStyle="1" w:styleId="827">
    <w:name w:val="Pa0"/>
    <w:basedOn w:val="1"/>
    <w:next w:val="1"/>
    <w:uiPriority w:val="99"/>
    <w:pPr>
      <w:autoSpaceDE w:val="0"/>
      <w:autoSpaceDN w:val="0"/>
      <w:adjustRightInd w:val="0"/>
      <w:spacing w:line="241" w:lineRule="atLeast"/>
    </w:pPr>
    <w:rPr>
      <w:rFonts w:ascii="H Yg 2gj" w:hAnsi="Calibri" w:eastAsia="H Yg 2gj" w:cs="Times New Roman"/>
      <w:kern w:val="0"/>
      <w:sz w:val="24"/>
      <w:szCs w:val="24"/>
    </w:rPr>
  </w:style>
  <w:style w:type="paragraph" w:customStyle="1" w:styleId="828">
    <w:name w:val="中等深浅网格 21"/>
    <w:qFormat/>
    <w:uiPriority w:val="1"/>
    <w:pPr>
      <w:widowControl w:val="0"/>
      <w:jc w:val="both"/>
    </w:pPr>
    <w:rPr>
      <w:kern w:val="2"/>
      <w:sz w:val="21"/>
      <w:lang w:val="en-US" w:eastAsia="zh-CN" w:bidi="ar-SA"/>
    </w:rPr>
  </w:style>
  <w:style w:type="paragraph" w:customStyle="1" w:styleId="829">
    <w:name w:val="xl119"/>
    <w:basedOn w:val="1"/>
    <w:qFormat/>
    <w:uiPriority w:val="0"/>
    <w:pPr>
      <w:pBdr>
        <w:top w:val="single" w:color="auto" w:sz="4" w:space="0"/>
        <w:bottom w:val="single" w:color="auto" w:sz="4" w:space="0"/>
        <w:right w:val="single" w:color="auto" w:sz="4" w:space="0"/>
      </w:pBdr>
      <w:spacing w:before="100" w:beforeAutospacing="1" w:after="100" w:afterAutospacing="1"/>
      <w:jc w:val="center"/>
    </w:pPr>
    <w:rPr>
      <w:rFonts w:ascii="Arial Unicode MS" w:hAnsi="Arial Unicode MS"/>
      <w:color w:val="000000"/>
      <w:kern w:val="0"/>
      <w:sz w:val="24"/>
      <w:szCs w:val="24"/>
    </w:rPr>
  </w:style>
  <w:style w:type="paragraph" w:customStyle="1" w:styleId="830">
    <w:name w:val="默认段落字体 Para Char"/>
    <w:basedOn w:val="1"/>
    <w:uiPriority w:val="0"/>
    <w:pPr>
      <w:widowControl w:val="0"/>
      <w:jc w:val="both"/>
    </w:pPr>
  </w:style>
  <w:style w:type="paragraph" w:customStyle="1" w:styleId="831">
    <w:name w:val="表格样式 2"/>
    <w:uiPriority w:val="0"/>
    <w:rPr>
      <w:rFonts w:ascii="Helvetica" w:hAnsi="Helvetica" w:eastAsia="Helvetica" w:cs="Helvetica"/>
      <w:color w:val="000000"/>
      <w:lang w:val="en-US" w:eastAsia="zh-CN" w:bidi="ar-SA"/>
    </w:rPr>
  </w:style>
  <w:style w:type="paragraph" w:customStyle="1" w:styleId="832">
    <w:name w:val="样式 书籍标题3 + Arial 段前: 1 行 段后: 1 行"/>
    <w:basedOn w:val="1"/>
    <w:qFormat/>
    <w:uiPriority w:val="0"/>
    <w:pPr>
      <w:widowControl w:val="0"/>
      <w:tabs>
        <w:tab w:val="left" w:pos="360"/>
        <w:tab w:val="left" w:pos="1260"/>
      </w:tabs>
      <w:spacing w:beforeLines="100" w:afterLines="100"/>
      <w:outlineLvl w:val="2"/>
    </w:pPr>
    <w:rPr>
      <w:rFonts w:ascii="Arial" w:hAnsi="Arial"/>
      <w:b/>
      <w:bCs/>
      <w:spacing w:val="20"/>
      <w:sz w:val="28"/>
      <w:szCs w:val="28"/>
    </w:rPr>
  </w:style>
  <w:style w:type="paragraph" w:customStyle="1" w:styleId="833">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16"/>
      <w:szCs w:val="16"/>
    </w:rPr>
  </w:style>
  <w:style w:type="paragraph" w:customStyle="1" w:styleId="834">
    <w:name w:val="font5"/>
    <w:basedOn w:val="1"/>
    <w:qFormat/>
    <w:uiPriority w:val="0"/>
    <w:pPr>
      <w:widowControl/>
      <w:spacing w:before="100" w:beforeLines="0" w:beforeAutospacing="1" w:after="100" w:afterLines="0" w:afterAutospacing="1"/>
      <w:jc w:val="left"/>
    </w:pPr>
    <w:rPr>
      <w:rFonts w:ascii="宋体" w:hAnsi="宋体" w:cs="宋体"/>
      <w:kern w:val="0"/>
      <w:sz w:val="16"/>
      <w:szCs w:val="16"/>
    </w:rPr>
  </w:style>
  <w:style w:type="paragraph" w:customStyle="1" w:styleId="835">
    <w:name w:val="xl84"/>
    <w:basedOn w:val="1"/>
    <w:qFormat/>
    <w:uiPriority w:val="99"/>
    <w:pPr>
      <w:widowControl/>
      <w:pBdr>
        <w:top w:val="single" w:color="000000" w:sz="4" w:space="0"/>
        <w:right w:val="single" w:color="000000" w:sz="4" w:space="0"/>
      </w:pBdr>
      <w:shd w:val="clear" w:color="auto" w:fill="FFFFFF"/>
      <w:spacing w:before="100" w:beforeLines="0" w:beforeAutospacing="1" w:after="100" w:afterLines="0" w:afterAutospacing="1"/>
      <w:jc w:val="center"/>
    </w:pPr>
    <w:rPr>
      <w:rFonts w:ascii="宋体" w:hAnsi="宋体" w:cs="宋体"/>
      <w:color w:val="FF0000"/>
      <w:kern w:val="0"/>
      <w:sz w:val="16"/>
      <w:szCs w:val="16"/>
    </w:rPr>
  </w:style>
  <w:style w:type="paragraph" w:customStyle="1" w:styleId="836">
    <w:name w:val="_Style 144"/>
    <w:basedOn w:val="1"/>
    <w:next w:val="17"/>
    <w:uiPriority w:val="99"/>
    <w:pPr>
      <w:widowControl w:val="0"/>
      <w:ind w:firstLine="420" w:firstLineChars="200"/>
      <w:jc w:val="both"/>
    </w:pPr>
    <w:rPr>
      <w:szCs w:val="24"/>
    </w:rPr>
  </w:style>
  <w:style w:type="paragraph" w:customStyle="1" w:styleId="837">
    <w:name w:val="正文00"/>
    <w:basedOn w:val="17"/>
    <w:uiPriority w:val="99"/>
    <w:pPr>
      <w:widowControl w:val="0"/>
      <w:tabs>
        <w:tab w:val="left" w:pos="0"/>
      </w:tabs>
      <w:spacing w:line="360" w:lineRule="auto"/>
      <w:ind w:firstLine="480" w:firstLineChars="200"/>
      <w:jc w:val="both"/>
    </w:pPr>
    <w:rPr>
      <w:rFonts w:ascii="宋体" w:hAnsi="宋体"/>
      <w:kern w:val="28"/>
      <w:sz w:val="24"/>
      <w:szCs w:val="24"/>
      <w:lang w:val="en-US" w:eastAsia="zh-CN"/>
    </w:rPr>
  </w:style>
  <w:style w:type="paragraph" w:customStyle="1" w:styleId="838">
    <w:name w:val="部分1"/>
    <w:basedOn w:val="1"/>
    <w:uiPriority w:val="99"/>
    <w:pPr>
      <w:keepNext/>
      <w:pageBreakBefore/>
      <w:tabs>
        <w:tab w:val="left" w:pos="720"/>
      </w:tabs>
      <w:spacing w:line="360" w:lineRule="auto"/>
      <w:jc w:val="center"/>
      <w:outlineLvl w:val="0"/>
    </w:pPr>
    <w:rPr>
      <w:rFonts w:eastAsia="黑体"/>
      <w:b/>
      <w:kern w:val="44"/>
      <w:sz w:val="36"/>
    </w:rPr>
  </w:style>
  <w:style w:type="paragraph" w:customStyle="1" w:styleId="839">
    <w:name w:val="Pa9"/>
    <w:basedOn w:val="1"/>
    <w:next w:val="1"/>
    <w:uiPriority w:val="0"/>
    <w:pPr>
      <w:autoSpaceDE w:val="0"/>
      <w:autoSpaceDN w:val="0"/>
      <w:adjustRightInd w:val="0"/>
      <w:spacing w:before="40" w:beforeLines="0" w:line="146" w:lineRule="atLeast"/>
      <w:jc w:val="left"/>
    </w:pPr>
    <w:rPr>
      <w:rFonts w:ascii="Stone Sans" w:hAnsi="Stone Sans"/>
      <w:kern w:val="0"/>
      <w:sz w:val="24"/>
      <w:szCs w:val="24"/>
    </w:rPr>
  </w:style>
  <w:style w:type="paragraph" w:customStyle="1" w:styleId="840">
    <w:name w:val="xl79"/>
    <w:basedOn w:val="1"/>
    <w:qFormat/>
    <w:uiPriority w:val="99"/>
    <w:pPr>
      <w:widowControl/>
      <w:pBdr>
        <w:top w:val="single" w:color="auto" w:sz="4" w:space="0"/>
        <w:left w:val="single" w:color="auto" w:sz="4" w:space="0"/>
        <w:right w:val="single" w:color="auto" w:sz="4" w:space="0"/>
      </w:pBdr>
      <w:shd w:val="clear" w:color="auto" w:fill="FFFFFF"/>
      <w:spacing w:before="100" w:beforeLines="0" w:beforeAutospacing="1" w:after="100" w:afterLines="0" w:afterAutospacing="1"/>
      <w:jc w:val="left"/>
    </w:pPr>
    <w:rPr>
      <w:rFonts w:ascii="宋体" w:hAnsi="宋体" w:cs="宋体"/>
      <w:kern w:val="0"/>
      <w:sz w:val="16"/>
      <w:szCs w:val="16"/>
    </w:rPr>
  </w:style>
  <w:style w:type="paragraph" w:customStyle="1" w:styleId="841">
    <w:name w:val="段落"/>
    <w:basedOn w:val="1"/>
    <w:qFormat/>
    <w:uiPriority w:val="0"/>
    <w:pPr>
      <w:widowControl w:val="0"/>
      <w:spacing w:before="50" w:beforeLines="50" w:after="50" w:afterLines="50" w:line="276" w:lineRule="auto"/>
      <w:ind w:firstLine="200" w:firstLineChars="200"/>
      <w:jc w:val="both"/>
    </w:pPr>
    <w:rPr>
      <w:sz w:val="24"/>
      <w:szCs w:val="22"/>
    </w:rPr>
  </w:style>
  <w:style w:type="paragraph" w:customStyle="1" w:styleId="842">
    <w:name w:val="段落正文 Char Char"/>
    <w:basedOn w:val="1"/>
    <w:uiPriority w:val="99"/>
    <w:pPr>
      <w:widowControl w:val="0"/>
      <w:spacing w:line="360" w:lineRule="auto"/>
      <w:ind w:firstLine="461" w:firstLineChars="192"/>
      <w:jc w:val="both"/>
    </w:pPr>
    <w:rPr>
      <w:rFonts w:ascii="宋体" w:hAnsi="宋体"/>
      <w:sz w:val="24"/>
      <w:szCs w:val="24"/>
      <w:lang/>
    </w:rPr>
  </w:style>
  <w:style w:type="paragraph" w:customStyle="1" w:styleId="843">
    <w:name w:val="摘要"/>
    <w:basedOn w:val="1"/>
    <w:uiPriority w:val="99"/>
    <w:pPr>
      <w:widowControl w:val="0"/>
      <w:tabs>
        <w:tab w:val="left" w:pos="907"/>
      </w:tabs>
      <w:autoSpaceDE w:val="0"/>
      <w:autoSpaceDN w:val="0"/>
      <w:adjustRightInd w:val="0"/>
      <w:spacing w:line="360" w:lineRule="auto"/>
      <w:ind w:left="879" w:hanging="879"/>
      <w:jc w:val="both"/>
    </w:pPr>
    <w:rPr>
      <w:kern w:val="0"/>
      <w:szCs w:val="21"/>
    </w:rPr>
  </w:style>
  <w:style w:type="paragraph" w:customStyle="1" w:styleId="844">
    <w:name w:val="a03"/>
    <w:basedOn w:val="1"/>
    <w:uiPriority w:val="99"/>
    <w:pPr>
      <w:spacing w:before="100" w:beforeAutospacing="1" w:after="100" w:afterAutospacing="1" w:line="270" w:lineRule="atLeast"/>
    </w:pPr>
    <w:rPr>
      <w:rFonts w:ascii="Arial Unicode MS" w:hAnsi="Arial Unicode MS"/>
      <w:color w:val="666666"/>
      <w:kern w:val="0"/>
      <w:sz w:val="18"/>
      <w:szCs w:val="18"/>
    </w:rPr>
  </w:style>
  <w:style w:type="paragraph" w:customStyle="1" w:styleId="845">
    <w:name w:val="xl61"/>
    <w:basedOn w:val="1"/>
    <w:uiPriority w:val="0"/>
    <w:pPr>
      <w:widowControl/>
      <w:pBdr>
        <w:top w:val="single" w:color="auto" w:sz="4" w:space="0"/>
        <w:bottom w:val="single" w:color="auto" w:sz="8" w:space="0"/>
        <w:right w:val="single" w:color="auto" w:sz="4" w:space="0"/>
      </w:pBdr>
      <w:spacing w:before="100" w:beforeLines="0" w:beforeAutospacing="1" w:after="100" w:afterLines="0" w:afterAutospacing="1"/>
      <w:jc w:val="center"/>
    </w:pPr>
    <w:rPr>
      <w:rFonts w:ascii="Arial Unicode MS" w:hAnsi="Arial Unicode MS" w:eastAsia="Arial Unicode MS"/>
      <w:kern w:val="0"/>
      <w:sz w:val="24"/>
      <w:szCs w:val="24"/>
    </w:rPr>
  </w:style>
  <w:style w:type="paragraph" w:customStyle="1" w:styleId="846">
    <w:name w:val="I.1"/>
    <w:basedOn w:val="1"/>
    <w:uiPriority w:val="99"/>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0" w:lineRule="atLeast"/>
      <w:jc w:val="both"/>
    </w:pPr>
    <w:rPr>
      <w:rFonts w:ascii="仿宋体" w:hAnsi="Tahoma" w:eastAsia="仿宋体"/>
      <w:b/>
      <w:bCs/>
      <w:color w:val="0000FF"/>
      <w:spacing w:val="26"/>
      <w:kern w:val="0"/>
      <w:sz w:val="20"/>
      <w:lang w:val="en-GB"/>
    </w:rPr>
  </w:style>
  <w:style w:type="paragraph" w:customStyle="1" w:styleId="847">
    <w:name w:val="xl39"/>
    <w:basedOn w:val="1"/>
    <w:uiPriority w:val="0"/>
    <w:pPr>
      <w:widowControl/>
      <w:spacing w:before="100" w:beforeLines="0" w:beforeAutospacing="1" w:after="100" w:afterLines="0" w:afterAutospacing="1"/>
      <w:jc w:val="left"/>
    </w:pPr>
    <w:rPr>
      <w:rFonts w:ascii="宋体" w:hAnsi="宋体"/>
      <w:b/>
      <w:bCs/>
      <w:kern w:val="0"/>
      <w:sz w:val="24"/>
      <w:szCs w:val="24"/>
    </w:rPr>
  </w:style>
  <w:style w:type="paragraph" w:customStyle="1" w:styleId="848">
    <w:name w:val="xl11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olor w:val="FF0000"/>
      <w:kern w:val="0"/>
      <w:sz w:val="20"/>
    </w:rPr>
  </w:style>
  <w:style w:type="paragraph" w:customStyle="1" w:styleId="849">
    <w:name w:val="xl114"/>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rPr>
  </w:style>
  <w:style w:type="paragraph" w:customStyle="1" w:styleId="850">
    <w:name w:val="封面表格文本"/>
    <w:basedOn w:val="1"/>
    <w:uiPriority w:val="99"/>
    <w:pPr>
      <w:widowControl w:val="0"/>
      <w:autoSpaceDE w:val="0"/>
      <w:autoSpaceDN w:val="0"/>
      <w:adjustRightInd w:val="0"/>
      <w:jc w:val="center"/>
    </w:pPr>
    <w:rPr>
      <w:b/>
      <w:bCs/>
      <w:kern w:val="0"/>
      <w:sz w:val="24"/>
      <w:szCs w:val="24"/>
    </w:rPr>
  </w:style>
  <w:style w:type="paragraph" w:customStyle="1" w:styleId="851">
    <w:name w:val="xl59"/>
    <w:basedOn w:val="1"/>
    <w:uiPriority w:val="99"/>
    <w:pPr>
      <w:widowControl/>
      <w:pBdr>
        <w:top w:val="single" w:color="auto" w:sz="4" w:space="0"/>
        <w:left w:val="single" w:color="auto" w:sz="8" w:space="0"/>
        <w:bottom w:val="single" w:color="auto" w:sz="8" w:space="0"/>
      </w:pBdr>
      <w:spacing w:before="100" w:beforeLines="0" w:beforeAutospacing="1" w:after="100" w:afterLines="0" w:afterAutospacing="1"/>
      <w:jc w:val="center"/>
    </w:pPr>
    <w:rPr>
      <w:rFonts w:ascii="Arial Unicode MS" w:hAnsi="Arial Unicode MS" w:eastAsia="Arial Unicode MS"/>
      <w:kern w:val="0"/>
      <w:sz w:val="24"/>
      <w:szCs w:val="24"/>
    </w:rPr>
  </w:style>
  <w:style w:type="paragraph" w:customStyle="1" w:styleId="852">
    <w:name w:val="xl42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0"/>
    </w:rPr>
  </w:style>
  <w:style w:type="paragraph" w:customStyle="1" w:styleId="853">
    <w:name w:val="带符号正文（缩进）"/>
    <w:uiPriority w:val="99"/>
    <w:pPr>
      <w:tabs>
        <w:tab w:val="left" w:pos="595"/>
      </w:tabs>
      <w:spacing w:before="100" w:beforeAutospacing="1" w:after="100" w:afterAutospacing="1" w:line="360" w:lineRule="auto"/>
      <w:ind w:left="849" w:leftChars="200" w:hanging="369"/>
    </w:pPr>
    <w:rPr>
      <w:sz w:val="24"/>
      <w:lang w:val="en-US" w:eastAsia="zh-CN" w:bidi="ar-SA"/>
    </w:rPr>
  </w:style>
  <w:style w:type="paragraph" w:customStyle="1" w:styleId="854">
    <w:name w:val="彩色底纹 - 着色 11"/>
    <w:uiPriority w:val="99"/>
    <w:rPr>
      <w:kern w:val="2"/>
      <w:sz w:val="21"/>
      <w:lang w:val="en-US" w:eastAsia="zh-CN" w:bidi="ar-SA"/>
    </w:rPr>
  </w:style>
  <w:style w:type="paragraph" w:customStyle="1" w:styleId="855">
    <w:name w:val="表格文字1"/>
    <w:basedOn w:val="1"/>
    <w:uiPriority w:val="99"/>
    <w:pPr>
      <w:widowControl w:val="0"/>
      <w:spacing w:line="360" w:lineRule="auto"/>
      <w:jc w:val="center"/>
    </w:pPr>
    <w:rPr>
      <w:rFonts w:ascii="宋体"/>
      <w:b/>
      <w:bCs/>
      <w:sz w:val="24"/>
      <w:szCs w:val="24"/>
    </w:rPr>
  </w:style>
  <w:style w:type="paragraph" w:customStyle="1" w:styleId="856">
    <w:name w:val="Char3"/>
    <w:basedOn w:val="1"/>
    <w:uiPriority w:val="99"/>
    <w:pPr>
      <w:widowControl w:val="0"/>
      <w:jc w:val="both"/>
    </w:pPr>
    <w:rPr>
      <w:rFonts w:ascii="仿宋_GB2312" w:eastAsia="仿宋_GB2312"/>
      <w:b/>
      <w:sz w:val="32"/>
      <w:szCs w:val="32"/>
    </w:rPr>
  </w:style>
  <w:style w:type="paragraph" w:customStyle="1" w:styleId="857">
    <w:name w:val="目录1"/>
    <w:basedOn w:val="1"/>
    <w:uiPriority w:val="99"/>
    <w:pPr>
      <w:keepLines/>
      <w:widowControl w:val="0"/>
      <w:autoSpaceDE w:val="0"/>
      <w:autoSpaceDN w:val="0"/>
      <w:adjustRightInd w:val="0"/>
      <w:ind w:left="113"/>
    </w:pPr>
    <w:rPr>
      <w:kern w:val="0"/>
      <w:szCs w:val="21"/>
    </w:rPr>
  </w:style>
  <w:style w:type="paragraph" w:customStyle="1" w:styleId="858">
    <w:name w:val="正文内容"/>
    <w:basedOn w:val="1"/>
    <w:uiPriority w:val="0"/>
    <w:pPr>
      <w:widowControl w:val="0"/>
      <w:spacing w:line="360" w:lineRule="auto"/>
      <w:ind w:firstLine="480" w:firstLineChars="200"/>
      <w:jc w:val="both"/>
    </w:pPr>
    <w:rPr>
      <w:rFonts w:eastAsia="楷体_GB2312"/>
      <w:sz w:val="24"/>
      <w:szCs w:val="24"/>
    </w:rPr>
  </w:style>
  <w:style w:type="paragraph" w:customStyle="1" w:styleId="859">
    <w:name w:val="font7"/>
    <w:basedOn w:val="1"/>
    <w:qFormat/>
    <w:uiPriority w:val="99"/>
    <w:pPr>
      <w:widowControl/>
      <w:spacing w:before="100" w:beforeLines="0" w:beforeAutospacing="1" w:after="100" w:afterLines="0" w:afterAutospacing="1"/>
      <w:jc w:val="left"/>
    </w:pPr>
    <w:rPr>
      <w:rFonts w:ascii="宋体" w:hAnsi="宋体" w:cs="宋体"/>
      <w:kern w:val="0"/>
      <w:sz w:val="16"/>
      <w:szCs w:val="16"/>
    </w:rPr>
  </w:style>
  <w:style w:type="paragraph" w:customStyle="1" w:styleId="860">
    <w:name w:val="需求正文"/>
    <w:basedOn w:val="1"/>
    <w:uiPriority w:val="0"/>
    <w:pPr>
      <w:spacing w:line="300" w:lineRule="auto"/>
      <w:ind w:firstLine="560" w:firstLineChars="200"/>
    </w:pPr>
    <w:rPr>
      <w:rFonts w:ascii="Arial" w:hAnsi="Arial" w:eastAsia="仿宋_GB2312"/>
      <w:sz w:val="28"/>
    </w:rPr>
  </w:style>
  <w:style w:type="paragraph" w:customStyle="1" w:styleId="861">
    <w:name w:val="_Style 1"/>
    <w:basedOn w:val="1"/>
    <w:qFormat/>
    <w:uiPriority w:val="0"/>
    <w:pPr>
      <w:widowControl w:val="0"/>
      <w:ind w:firstLine="420" w:firstLineChars="200"/>
      <w:jc w:val="both"/>
    </w:pPr>
  </w:style>
  <w:style w:type="paragraph" w:customStyle="1" w:styleId="862">
    <w:name w:val="para"/>
    <w:basedOn w:val="1"/>
    <w:uiPriority w:val="99"/>
    <w:pPr>
      <w:spacing w:before="100" w:beforeAutospacing="1" w:after="100" w:afterAutospacing="1"/>
    </w:pPr>
    <w:rPr>
      <w:rFonts w:ascii="Arial" w:hAnsi="Arial" w:cs="Arial"/>
      <w:kern w:val="0"/>
      <w:sz w:val="18"/>
      <w:szCs w:val="18"/>
    </w:rPr>
  </w:style>
  <w:style w:type="paragraph" w:customStyle="1" w:styleId="863">
    <w:name w:val="xl45"/>
    <w:basedOn w:val="1"/>
    <w:uiPriority w:val="99"/>
    <w:pPr>
      <w:widowControl/>
      <w:pBdr>
        <w:top w:val="single" w:color="auto" w:sz="4" w:space="0"/>
        <w:left w:val="single" w:color="auto" w:sz="4" w:space="0"/>
        <w:bottom w:val="single" w:color="auto" w:sz="4" w:space="0"/>
      </w:pBdr>
      <w:spacing w:before="100" w:beforeLines="0" w:beforeAutospacing="1" w:after="100" w:afterLines="0" w:afterAutospacing="1"/>
      <w:jc w:val="left"/>
      <w:textAlignment w:val="center"/>
    </w:pPr>
    <w:rPr>
      <w:rFonts w:ascii="Arial Unicode MS" w:hAnsi="Arial Unicode MS" w:eastAsia="Arial Unicode MS"/>
      <w:kern w:val="0"/>
      <w:sz w:val="52"/>
      <w:szCs w:val="52"/>
    </w:rPr>
  </w:style>
  <w:style w:type="paragraph" w:customStyle="1" w:styleId="864">
    <w:name w:val="xl2426872"/>
    <w:basedOn w:val="1"/>
    <w:uiPriority w:val="0"/>
    <w:pPr>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bottom"/>
    </w:pPr>
    <w:rPr>
      <w:rFonts w:ascii="宋体" w:hAnsi="宋体" w:cs="宋体"/>
      <w:kern w:val="0"/>
      <w:sz w:val="24"/>
      <w:szCs w:val="24"/>
    </w:rPr>
  </w:style>
  <w:style w:type="paragraph" w:customStyle="1" w:styleId="865">
    <w:name w:val="说明文字"/>
    <w:uiPriority w:val="99"/>
    <w:pPr>
      <w:widowControl w:val="0"/>
      <w:autoSpaceDE w:val="0"/>
      <w:autoSpaceDN w:val="0"/>
      <w:adjustRightInd w:val="0"/>
      <w:jc w:val="both"/>
    </w:pPr>
    <w:rPr>
      <w:rFonts w:ascii="幼圆" w:eastAsia="幼圆"/>
      <w:i/>
      <w:iCs/>
      <w:color w:val="000000"/>
      <w:lang w:val="en-US" w:eastAsia="zh-CN" w:bidi="ar-SA"/>
    </w:rPr>
  </w:style>
  <w:style w:type="paragraph" w:customStyle="1" w:styleId="866">
    <w:name w:val="xl22"/>
    <w:basedOn w:val="1"/>
    <w:uiPriority w:val="0"/>
    <w:pPr>
      <w:widowControl/>
      <w:pBdr>
        <w:top w:val="single" w:color="auto" w:sz="8" w:space="0"/>
        <w:left w:val="single" w:color="auto" w:sz="8" w:space="0"/>
      </w:pBdr>
      <w:shd w:val="clear" w:color="auto" w:fill="FFFFFF"/>
      <w:spacing w:before="100" w:beforeLines="0" w:beforeAutospacing="1" w:after="100" w:afterLines="0" w:afterAutospacing="1"/>
      <w:jc w:val="left"/>
      <w:textAlignment w:val="bottom"/>
    </w:pPr>
    <w:rPr>
      <w:rFonts w:ascii="宋体" w:hAnsi="宋体"/>
      <w:b/>
      <w:bCs/>
      <w:kern w:val="0"/>
      <w:sz w:val="44"/>
      <w:szCs w:val="44"/>
    </w:rPr>
  </w:style>
  <w:style w:type="paragraph" w:customStyle="1" w:styleId="867">
    <w:name w:val="roundedbox1"/>
    <w:basedOn w:val="1"/>
    <w:uiPriority w:val="99"/>
    <w:pPr>
      <w:spacing w:before="100" w:beforeAutospacing="1" w:after="100" w:afterAutospacing="1"/>
    </w:pPr>
    <w:rPr>
      <w:rFonts w:ascii="宋体" w:hAnsi="宋体" w:cs="宋体"/>
      <w:kern w:val="0"/>
      <w:sz w:val="24"/>
      <w:szCs w:val="24"/>
    </w:rPr>
  </w:style>
  <w:style w:type="paragraph" w:customStyle="1" w:styleId="868">
    <w:name w:val="xl71"/>
    <w:basedOn w:val="1"/>
    <w:qFormat/>
    <w:uiPriority w:val="99"/>
    <w:pPr>
      <w:widowControl/>
      <w:pBdr>
        <w:top w:val="single" w:color="auto" w:sz="4" w:space="0"/>
        <w:left w:val="single" w:color="auto" w:sz="4" w:space="0"/>
        <w:bottom w:val="single" w:color="auto" w:sz="4" w:space="0"/>
      </w:pBdr>
      <w:spacing w:before="100" w:beforeLines="0" w:beforeAutospacing="1" w:after="100" w:afterLines="0" w:afterAutospacing="1"/>
      <w:jc w:val="left"/>
    </w:pPr>
    <w:rPr>
      <w:rFonts w:ascii="宋体" w:hAnsi="宋体" w:cs="宋体"/>
      <w:b/>
      <w:bCs/>
      <w:kern w:val="0"/>
      <w:sz w:val="16"/>
      <w:szCs w:val="16"/>
    </w:rPr>
  </w:style>
  <w:style w:type="paragraph" w:customStyle="1" w:styleId="869">
    <w:name w:val="xl24"/>
    <w:basedOn w:val="1"/>
    <w:uiPriority w:val="0"/>
    <w:pPr>
      <w:widowControl/>
      <w:pBdr>
        <w:top w:val="single" w:color="auto" w:sz="4" w:space="0"/>
        <w:left w:val="single" w:color="auto" w:sz="4" w:space="0"/>
        <w:bottom w:val="single" w:color="auto" w:sz="8" w:space="0"/>
        <w:right w:val="single" w:color="auto" w:sz="4" w:space="0"/>
      </w:pBdr>
      <w:spacing w:before="100" w:beforeLines="0" w:beforeAutospacing="1" w:after="100" w:afterLines="0" w:afterAutospacing="1"/>
      <w:jc w:val="center"/>
      <w:textAlignment w:val="center"/>
    </w:pPr>
    <w:rPr>
      <w:rFonts w:ascii="宋体" w:hAnsi="宋体"/>
      <w:b/>
      <w:bCs/>
      <w:kern w:val="0"/>
      <w:sz w:val="24"/>
      <w:szCs w:val="24"/>
    </w:rPr>
  </w:style>
  <w:style w:type="paragraph" w:customStyle="1" w:styleId="870">
    <w:name w:val="xl113"/>
    <w:basedOn w:val="1"/>
    <w:qFormat/>
    <w:uiPriority w:val="0"/>
    <w:pPr>
      <w:pBdr>
        <w:left w:val="single" w:color="auto" w:sz="4" w:space="0"/>
        <w:bottom w:val="single" w:color="000000" w:sz="4" w:space="0"/>
        <w:right w:val="single" w:color="auto" w:sz="4" w:space="0"/>
      </w:pBdr>
      <w:spacing w:before="100" w:beforeAutospacing="1" w:after="100" w:afterAutospacing="1"/>
      <w:jc w:val="center"/>
      <w:textAlignment w:val="center"/>
    </w:pPr>
    <w:rPr>
      <w:rFonts w:ascii="宋体" w:hAnsi="宋体"/>
      <w:kern w:val="0"/>
      <w:sz w:val="20"/>
    </w:rPr>
  </w:style>
  <w:style w:type="paragraph" w:customStyle="1" w:styleId="871">
    <w:name w:val="样式 标书正文格式 Char + 首行缩进:  2 字符1"/>
    <w:basedOn w:val="1"/>
    <w:uiPriority w:val="99"/>
    <w:pPr>
      <w:spacing w:line="360" w:lineRule="auto"/>
      <w:ind w:firstLine="480" w:firstLineChars="200"/>
    </w:pPr>
    <w:rPr>
      <w:rFonts w:eastAsia="楷体_GB2312" w:cs="宋体"/>
      <w:sz w:val="24"/>
    </w:rPr>
  </w:style>
  <w:style w:type="paragraph" w:customStyle="1" w:styleId="872">
    <w:name w:val="Char Char Char Char Char Char Char1"/>
    <w:basedOn w:val="1"/>
    <w:uiPriority w:val="99"/>
    <w:pPr>
      <w:widowControl w:val="0"/>
      <w:tabs>
        <w:tab w:val="left" w:pos="432"/>
      </w:tabs>
      <w:ind w:left="432" w:hanging="432"/>
      <w:jc w:val="both"/>
    </w:pPr>
    <w:rPr>
      <w:rFonts w:ascii="Tahoma" w:hAnsi="Tahoma"/>
      <w:sz w:val="24"/>
    </w:rPr>
  </w:style>
  <w:style w:type="paragraph" w:customStyle="1" w:styleId="873">
    <w:name w:val="彩色列表 - 强调文字颜色 111"/>
    <w:basedOn w:val="1"/>
    <w:qFormat/>
    <w:uiPriority w:val="34"/>
    <w:pPr>
      <w:widowControl w:val="0"/>
      <w:ind w:firstLine="420" w:firstLineChars="200"/>
      <w:jc w:val="both"/>
    </w:pPr>
    <w:rPr>
      <w:rFonts w:ascii="Calibri" w:hAnsi="Calibri"/>
      <w:szCs w:val="22"/>
    </w:rPr>
  </w:style>
  <w:style w:type="paragraph" w:customStyle="1" w:styleId="874">
    <w:name w:val="Normal (Web)"/>
    <w:basedOn w:val="1"/>
    <w:uiPriority w:val="0"/>
    <w:pPr>
      <w:widowControl/>
      <w:spacing w:before="100" w:beforeLines="0" w:beforeAutospacing="1" w:after="100" w:afterLines="0" w:afterAutospacing="1"/>
      <w:jc w:val="left"/>
    </w:pPr>
    <w:rPr>
      <w:rFonts w:ascii="宋体" w:hAnsi="宋体" w:eastAsia="宋体" w:cs="宋体"/>
      <w:kern w:val="0"/>
      <w:sz w:val="24"/>
      <w:szCs w:val="24"/>
    </w:rPr>
  </w:style>
  <w:style w:type="paragraph" w:customStyle="1" w:styleId="875">
    <w:name w:val="font8"/>
    <w:basedOn w:val="1"/>
    <w:qFormat/>
    <w:uiPriority w:val="99"/>
    <w:pPr>
      <w:widowControl/>
      <w:spacing w:before="100" w:beforeLines="0" w:beforeAutospacing="1" w:after="100" w:afterLines="0" w:afterAutospacing="1"/>
      <w:jc w:val="left"/>
    </w:pPr>
    <w:rPr>
      <w:rFonts w:hint="eastAsia" w:ascii="宋体" w:hAnsi="宋体"/>
      <w:kern w:val="0"/>
      <w:sz w:val="24"/>
      <w:szCs w:val="24"/>
    </w:rPr>
  </w:style>
  <w:style w:type="paragraph" w:customStyle="1" w:styleId="876">
    <w:name w:val="项目"/>
    <w:basedOn w:val="11"/>
    <w:uiPriority w:val="0"/>
    <w:pPr>
      <w:tabs>
        <w:tab w:val="left" w:pos="1140"/>
        <w:tab w:val="left" w:pos="1389"/>
      </w:tabs>
      <w:spacing w:after="120" w:afterLines="0"/>
      <w:ind w:left="1140" w:leftChars="0" w:hanging="420" w:firstLineChars="0"/>
    </w:pPr>
    <w:rPr>
      <w:rFonts w:ascii="华文中宋" w:hAnsi="Verdana" w:eastAsia="华文中宋"/>
      <w:color w:val="000066"/>
      <w:szCs w:val="21"/>
    </w:rPr>
  </w:style>
  <w:style w:type="paragraph" w:customStyle="1" w:styleId="877">
    <w:name w:val="xl73"/>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Lines="0" w:beforeAutospacing="1" w:after="100" w:afterLines="0" w:afterAutospacing="1"/>
      <w:jc w:val="center"/>
    </w:pPr>
    <w:rPr>
      <w:rFonts w:ascii="宋体" w:hAnsi="宋体" w:cs="宋体"/>
      <w:kern w:val="0"/>
      <w:sz w:val="16"/>
      <w:szCs w:val="16"/>
    </w:rPr>
  </w:style>
  <w:style w:type="paragraph" w:customStyle="1" w:styleId="878">
    <w:name w:val="小四 段落 宋体 Char Char"/>
    <w:basedOn w:val="1"/>
    <w:uiPriority w:val="0"/>
    <w:pPr>
      <w:spacing w:line="360" w:lineRule="auto"/>
      <w:ind w:firstLine="480" w:firstLineChars="200"/>
    </w:pPr>
    <w:rPr>
      <w:rFonts w:ascii="宋体" w:hAnsi="宋体"/>
      <w:sz w:val="24"/>
      <w:szCs w:val="24"/>
    </w:rPr>
  </w:style>
  <w:style w:type="paragraph" w:customStyle="1" w:styleId="879">
    <w:name w:val="xl76"/>
    <w:basedOn w:val="1"/>
    <w:qFormat/>
    <w:uiPriority w:val="99"/>
    <w:pPr>
      <w:widowControl/>
      <w:pBdr>
        <w:top w:val="single" w:color="000000" w:sz="4" w:space="0"/>
        <w:right w:val="single" w:color="000000" w:sz="4" w:space="0"/>
      </w:pBdr>
      <w:shd w:val="clear" w:color="auto" w:fill="FFFFFF"/>
      <w:spacing w:before="100" w:beforeLines="0" w:beforeAutospacing="1" w:after="100" w:afterLines="0" w:afterAutospacing="1"/>
      <w:jc w:val="center"/>
    </w:pPr>
    <w:rPr>
      <w:rFonts w:ascii="宋体" w:hAnsi="宋体" w:cs="宋体"/>
      <w:kern w:val="0"/>
      <w:sz w:val="16"/>
      <w:szCs w:val="16"/>
    </w:rPr>
  </w:style>
  <w:style w:type="paragraph" w:customStyle="1" w:styleId="880">
    <w:name w:val="Char Char Char Char1"/>
    <w:basedOn w:val="1"/>
    <w:uiPriority w:val="99"/>
    <w:pPr>
      <w:spacing w:after="160" w:line="240" w:lineRule="exact"/>
    </w:pPr>
    <w:rPr>
      <w:rFonts w:ascii="Verdana" w:hAnsi="Verdana" w:eastAsia="仿宋_GB2312"/>
      <w:kern w:val="0"/>
      <w:sz w:val="24"/>
      <w:lang w:eastAsia="en-US"/>
    </w:rPr>
  </w:style>
  <w:style w:type="paragraph" w:customStyle="1" w:styleId="881">
    <w:name w:val="itemlist"/>
    <w:basedOn w:val="1"/>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882">
    <w:name w:val="默认段落字体 Para Char Char Char Char Char Char Char Char Char1 Char"/>
    <w:basedOn w:val="1"/>
    <w:uiPriority w:val="0"/>
    <w:pPr>
      <w:widowControl w:val="0"/>
      <w:jc w:val="both"/>
    </w:pPr>
    <w:rPr>
      <w:rFonts w:ascii="Tahoma" w:hAnsi="Tahoma" w:cs="Tahoma"/>
      <w:sz w:val="24"/>
      <w:szCs w:val="24"/>
    </w:rPr>
  </w:style>
  <w:style w:type="paragraph" w:customStyle="1" w:styleId="883">
    <w:name w:val="默认段落字体 Para Char Char Char Char Char Char Char Char Char1"/>
    <w:basedOn w:val="1"/>
    <w:uiPriority w:val="0"/>
    <w:rPr>
      <w:szCs w:val="21"/>
    </w:rPr>
  </w:style>
  <w:style w:type="paragraph" w:customStyle="1" w:styleId="884">
    <w:name w:val="xl117"/>
    <w:basedOn w:val="1"/>
    <w:qFormat/>
    <w:uiPriority w:val="0"/>
    <w:pPr>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color w:val="000000"/>
      <w:kern w:val="0"/>
      <w:sz w:val="24"/>
      <w:szCs w:val="24"/>
    </w:rPr>
  </w:style>
  <w:style w:type="paragraph" w:customStyle="1" w:styleId="885">
    <w:name w:val="加点"/>
    <w:basedOn w:val="1"/>
    <w:uiPriority w:val="99"/>
    <w:pPr>
      <w:widowControl w:val="0"/>
      <w:spacing w:line="360" w:lineRule="auto"/>
      <w:jc w:val="both"/>
    </w:pPr>
    <w:rPr>
      <w:rFonts w:eastAsia="楷体_GB2312"/>
      <w:sz w:val="24"/>
    </w:rPr>
  </w:style>
  <w:style w:type="paragraph" w:customStyle="1" w:styleId="886">
    <w:name w:val="默认段落字体 Para Char Char Char Char Char Char Char Char Char Char1"/>
    <w:basedOn w:val="1"/>
    <w:uiPriority w:val="99"/>
    <w:pPr>
      <w:widowControl w:val="0"/>
      <w:jc w:val="both"/>
    </w:pPr>
    <w:rPr>
      <w:rFonts w:ascii="Tahoma" w:hAnsi="Tahoma"/>
      <w:sz w:val="24"/>
    </w:rPr>
  </w:style>
  <w:style w:type="paragraph" w:customStyle="1" w:styleId="887">
    <w:name w:val="样式3"/>
    <w:basedOn w:val="43"/>
    <w:uiPriority w:val="0"/>
    <w:pPr>
      <w:widowControl w:val="0"/>
      <w:pBdr>
        <w:top w:val="outset" w:color="auto" w:sz="6" w:space="1"/>
        <w:bottom w:val="none" w:color="auto" w:sz="0" w:space="0"/>
      </w:pBdr>
    </w:pPr>
    <w:rPr>
      <w:lang w:val="en-US" w:eastAsia="zh-CN"/>
    </w:rPr>
  </w:style>
  <w:style w:type="paragraph" w:customStyle="1" w:styleId="888">
    <w:name w:val="xl45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b/>
      <w:bCs/>
      <w:kern w:val="0"/>
      <w:sz w:val="20"/>
    </w:rPr>
  </w:style>
  <w:style w:type="paragraph" w:customStyle="1" w:styleId="889">
    <w:name w:val="_Style 3"/>
    <w:basedOn w:val="1"/>
    <w:qFormat/>
    <w:uiPriority w:val="0"/>
    <w:pPr>
      <w:widowControl w:val="0"/>
      <w:ind w:firstLine="420" w:firstLineChars="200"/>
      <w:jc w:val="both"/>
    </w:pPr>
  </w:style>
  <w:style w:type="paragraph" w:customStyle="1" w:styleId="890">
    <w:name w:val="小条目 Char"/>
    <w:basedOn w:val="1"/>
    <w:uiPriority w:val="99"/>
    <w:pPr>
      <w:widowControl w:val="0"/>
      <w:tabs>
        <w:tab w:val="left" w:pos="846"/>
      </w:tabs>
      <w:spacing w:line="360" w:lineRule="auto"/>
      <w:ind w:left="846" w:hanging="420"/>
      <w:jc w:val="both"/>
    </w:pPr>
    <w:rPr>
      <w:rFonts w:ascii="宋体" w:hAnsi="Arial" w:cs="Arial"/>
      <w:b/>
      <w:bCs/>
      <w:caps/>
      <w:kern w:val="44"/>
      <w:sz w:val="24"/>
      <w:szCs w:val="44"/>
    </w:rPr>
  </w:style>
  <w:style w:type="paragraph" w:customStyle="1" w:styleId="891">
    <w:name w:val="p15"/>
    <w:basedOn w:val="1"/>
    <w:uiPriority w:val="99"/>
    <w:pPr>
      <w:spacing w:before="100" w:after="100"/>
    </w:pPr>
    <w:rPr>
      <w:rFonts w:ascii="宋体" w:hAnsi="宋体" w:cs="宋体"/>
      <w:kern w:val="0"/>
      <w:sz w:val="24"/>
      <w:szCs w:val="24"/>
    </w:rPr>
  </w:style>
  <w:style w:type="paragraph" w:customStyle="1" w:styleId="892">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16"/>
      <w:szCs w:val="16"/>
    </w:rPr>
  </w:style>
  <w:style w:type="paragraph" w:customStyle="1" w:styleId="893">
    <w:name w:val="Char Char1 Char"/>
    <w:basedOn w:val="1"/>
    <w:uiPriority w:val="99"/>
    <w:rPr>
      <w:rFonts w:ascii="仿宋_GB2312" w:eastAsia="仿宋_GB2312"/>
      <w:b/>
      <w:sz w:val="32"/>
    </w:rPr>
  </w:style>
  <w:style w:type="paragraph" w:customStyle="1" w:styleId="894">
    <w:name w:val="MM Topic 2"/>
    <w:basedOn w:val="3"/>
    <w:qFormat/>
    <w:uiPriority w:val="0"/>
    <w:pPr>
      <w:keepLines/>
      <w:widowControl w:val="0"/>
      <w:numPr>
        <w:ilvl w:val="1"/>
        <w:numId w:val="3"/>
      </w:numPr>
      <w:adjustRightInd/>
      <w:spacing w:line="276" w:lineRule="auto"/>
      <w:jc w:val="both"/>
      <w:textAlignment w:val="auto"/>
    </w:pPr>
    <w:rPr>
      <w:rFonts w:ascii="Cambria" w:hAnsi="Cambria" w:eastAsia="宋体"/>
      <w:b/>
      <w:bCs/>
      <w:kern w:val="2"/>
      <w:sz w:val="30"/>
      <w:szCs w:val="32"/>
    </w:rPr>
  </w:style>
  <w:style w:type="paragraph" w:customStyle="1" w:styleId="895">
    <w:name w:val="as"/>
    <w:basedOn w:val="1"/>
    <w:uiPriority w:val="99"/>
    <w:pPr>
      <w:overflowPunct w:val="0"/>
      <w:autoSpaceDE w:val="0"/>
      <w:autoSpaceDN w:val="0"/>
      <w:adjustRightInd w:val="0"/>
      <w:spacing w:line="300" w:lineRule="atLeast"/>
      <w:jc w:val="both"/>
      <w:textAlignment w:val="baseline"/>
    </w:pPr>
    <w:rPr>
      <w:rFonts w:ascii="宋体" w:hAnsi="CG Times (W1)"/>
      <w:spacing w:val="5"/>
      <w:kern w:val="0"/>
      <w:sz w:val="24"/>
    </w:rPr>
  </w:style>
  <w:style w:type="paragraph" w:customStyle="1" w:styleId="896">
    <w:name w:val="xl43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rPr>
  </w:style>
  <w:style w:type="paragraph" w:customStyle="1" w:styleId="897">
    <w:name w:val="Char Char2 Char"/>
    <w:basedOn w:val="1"/>
    <w:uiPriority w:val="99"/>
    <w:pPr>
      <w:keepNext/>
      <w:keepLines/>
      <w:pageBreakBefore/>
      <w:tabs>
        <w:tab w:val="left" w:pos="845"/>
      </w:tabs>
      <w:spacing w:line="360" w:lineRule="auto"/>
      <w:ind w:left="845" w:hanging="420"/>
    </w:pPr>
    <w:rPr>
      <w:szCs w:val="24"/>
    </w:rPr>
  </w:style>
  <w:style w:type="paragraph" w:customStyle="1" w:styleId="898">
    <w:name w:val=" Char Char19"/>
    <w:basedOn w:val="1"/>
    <w:uiPriority w:val="0"/>
    <w:rPr>
      <w:rFonts w:ascii="Tahoma" w:hAnsi="Tahoma"/>
      <w:sz w:val="24"/>
    </w:rPr>
  </w:style>
  <w:style w:type="paragraph" w:customStyle="1" w:styleId="899">
    <w:name w:val="Default Text"/>
    <w:uiPriority w:val="99"/>
    <w:pPr>
      <w:widowControl w:val="0"/>
      <w:autoSpaceDE w:val="0"/>
      <w:autoSpaceDN w:val="0"/>
      <w:adjustRightInd w:val="0"/>
    </w:pPr>
    <w:rPr>
      <w:color w:val="000000"/>
      <w:sz w:val="24"/>
      <w:szCs w:val="24"/>
      <w:lang w:val="en-US" w:eastAsia="zh-CN" w:bidi="ar-SA"/>
    </w:rPr>
  </w:style>
  <w:style w:type="paragraph" w:customStyle="1" w:styleId="900">
    <w:name w:val="段落格式 Char"/>
    <w:basedOn w:val="1"/>
    <w:uiPriority w:val="99"/>
    <w:pPr>
      <w:widowControl w:val="0"/>
      <w:spacing w:before="240" w:line="360" w:lineRule="auto"/>
      <w:ind w:firstLine="418"/>
      <w:jc w:val="both"/>
    </w:pPr>
    <w:rPr>
      <w:kern w:val="44"/>
      <w:sz w:val="24"/>
      <w:szCs w:val="24"/>
    </w:rPr>
  </w:style>
  <w:style w:type="paragraph" w:customStyle="1" w:styleId="901">
    <w:name w:val="Char Char Char Char Char Char"/>
    <w:basedOn w:val="1"/>
    <w:uiPriority w:val="99"/>
    <w:pPr>
      <w:widowControl w:val="0"/>
      <w:jc w:val="center"/>
    </w:pPr>
    <w:rPr>
      <w:rFonts w:ascii="Tahoma" w:hAnsi="Tahoma"/>
      <w:sz w:val="24"/>
    </w:rPr>
  </w:style>
  <w:style w:type="paragraph" w:customStyle="1" w:styleId="902">
    <w:name w:val="表身"/>
    <w:basedOn w:val="1"/>
    <w:uiPriority w:val="0"/>
    <w:pPr>
      <w:widowControl w:val="0"/>
      <w:autoSpaceDE w:val="0"/>
      <w:autoSpaceDN w:val="0"/>
      <w:adjustRightInd w:val="0"/>
    </w:pPr>
    <w:rPr>
      <w:kern w:val="0"/>
      <w:sz w:val="18"/>
    </w:rPr>
  </w:style>
  <w:style w:type="paragraph" w:customStyle="1" w:styleId="903">
    <w:name w:val="表内文字"/>
    <w:basedOn w:val="1"/>
    <w:uiPriority w:val="0"/>
    <w:pPr>
      <w:widowControl/>
      <w:jc w:val="center"/>
    </w:pPr>
    <w:rPr>
      <w:rFonts w:ascii="宋体" w:hAnsi="宋体"/>
      <w:sz w:val="24"/>
      <w:szCs w:val="24"/>
    </w:rPr>
  </w:style>
  <w:style w:type="paragraph" w:customStyle="1" w:styleId="904">
    <w:name w:val="小标题 1"/>
    <w:basedOn w:val="1"/>
    <w:uiPriority w:val="99"/>
    <w:pPr>
      <w:autoSpaceDE w:val="0"/>
      <w:autoSpaceDN w:val="0"/>
      <w:adjustRightInd w:val="0"/>
      <w:spacing w:line="360" w:lineRule="atLeast"/>
    </w:pPr>
    <w:rPr>
      <w:rFonts w:ascii="文鼎粗黑" w:eastAsia="文鼎粗黑"/>
      <w:kern w:val="0"/>
      <w:sz w:val="22"/>
    </w:rPr>
  </w:style>
  <w:style w:type="paragraph" w:customStyle="1" w:styleId="905">
    <w:name w:val="列出段落 New New"/>
    <w:basedOn w:val="1"/>
    <w:uiPriority w:val="99"/>
    <w:pPr>
      <w:adjustRightInd w:val="0"/>
      <w:snapToGrid w:val="0"/>
      <w:spacing w:after="200"/>
      <w:ind w:firstLine="420" w:firstLineChars="200"/>
    </w:pPr>
    <w:rPr>
      <w:rFonts w:ascii="Tahoma" w:hAnsi="Tahoma" w:eastAsia="微软雅黑"/>
      <w:kern w:val="0"/>
      <w:sz w:val="22"/>
      <w:szCs w:val="22"/>
    </w:rPr>
  </w:style>
  <w:style w:type="paragraph" w:customStyle="1" w:styleId="906">
    <w:name w:val="样式 样式 标题 4H4PIM 4h4bulletblbb标题 4 Charsect 1.2.3.4Ref Head... + ..."/>
    <w:basedOn w:val="1"/>
    <w:uiPriority w:val="0"/>
    <w:pPr>
      <w:keepNext/>
      <w:keepLines/>
      <w:widowControl w:val="0"/>
      <w:spacing w:before="156" w:beforeLines="50" w:after="156" w:afterLines="50" w:line="360" w:lineRule="auto"/>
      <w:ind w:left="3011" w:hanging="851"/>
      <w:outlineLvl w:val="3"/>
    </w:pPr>
    <w:rPr>
      <w:rFonts w:hint="eastAsia" w:ascii="黑体" w:hAnsi="宋体" w:eastAsia="黑体"/>
      <w:b/>
      <w:spacing w:val="-5"/>
      <w:sz w:val="28"/>
    </w:rPr>
  </w:style>
  <w:style w:type="paragraph" w:customStyle="1" w:styleId="907">
    <w:name w:val="xl6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Lines="0" w:beforeAutospacing="1" w:after="100" w:afterLines="0" w:afterAutospacing="1"/>
      <w:jc w:val="left"/>
      <w:textAlignment w:val="center"/>
    </w:pPr>
    <w:rPr>
      <w:rFonts w:ascii="Arial Unicode MS" w:hAnsi="Arial Unicode MS" w:eastAsia="Arial Unicode MS"/>
      <w:kern w:val="0"/>
      <w:sz w:val="32"/>
      <w:szCs w:val="32"/>
    </w:rPr>
  </w:style>
  <w:style w:type="paragraph" w:customStyle="1" w:styleId="908">
    <w:name w:val="xl55"/>
    <w:basedOn w:val="1"/>
    <w:uiPriority w:val="99"/>
    <w:pPr>
      <w:widowControl/>
      <w:pBdr>
        <w:bottom w:val="single" w:color="auto" w:sz="8" w:space="0"/>
        <w:right w:val="single" w:color="auto" w:sz="8" w:space="0"/>
      </w:pBdr>
      <w:spacing w:before="100" w:beforeLines="0" w:beforeAutospacing="1" w:after="100" w:afterLines="0" w:afterAutospacing="1"/>
      <w:jc w:val="left"/>
    </w:pPr>
    <w:rPr>
      <w:rFonts w:ascii="Arial Unicode MS" w:hAnsi="Arial Unicode MS" w:eastAsia="Arial Unicode MS"/>
      <w:kern w:val="0"/>
      <w:sz w:val="24"/>
      <w:szCs w:val="24"/>
    </w:rPr>
  </w:style>
  <w:style w:type="paragraph" w:customStyle="1" w:styleId="909">
    <w:name w:val="样式 样式 标题3 + 段前: 6 磅 段后: 6 磅"/>
    <w:basedOn w:val="520"/>
    <w:uiPriority w:val="0"/>
    <w:pPr>
      <w:numPr>
        <w:ilvl w:val="0"/>
        <w:numId w:val="0"/>
      </w:numPr>
      <w:spacing w:before="156" w:beforeLines="50" w:after="156" w:afterLines="50" w:line="360" w:lineRule="auto"/>
      <w:jc w:val="left"/>
    </w:pPr>
    <w:rPr>
      <w:rFonts w:eastAsia="黑体"/>
      <w:sz w:val="28"/>
    </w:rPr>
  </w:style>
  <w:style w:type="paragraph" w:customStyle="1" w:styleId="910">
    <w:name w:val="xl49"/>
    <w:basedOn w:val="1"/>
    <w:uiPriority w:val="99"/>
    <w:pPr>
      <w:widowControl/>
      <w:pBdr>
        <w:top w:val="single" w:color="auto" w:sz="4" w:space="0"/>
        <w:bottom w:val="single" w:color="auto" w:sz="8" w:space="0"/>
        <w:right w:val="single" w:color="auto" w:sz="4" w:space="0"/>
      </w:pBdr>
      <w:spacing w:before="100" w:beforeLines="0" w:beforeAutospacing="1" w:after="100" w:afterLines="0" w:afterAutospacing="1"/>
      <w:jc w:val="center"/>
      <w:textAlignment w:val="center"/>
    </w:pPr>
    <w:rPr>
      <w:rFonts w:ascii="Arial Unicode MS" w:hAnsi="Arial Unicode MS" w:eastAsia="Arial Unicode MS"/>
      <w:b/>
      <w:bCs/>
      <w:kern w:val="0"/>
      <w:sz w:val="52"/>
      <w:szCs w:val="52"/>
    </w:rPr>
  </w:style>
  <w:style w:type="paragraph" w:customStyle="1" w:styleId="911">
    <w:name w:val="Item Step in Table"/>
    <w:qFormat/>
    <w:uiPriority w:val="0"/>
    <w:pPr>
      <w:numPr>
        <w:ilvl w:val="0"/>
        <w:numId w:val="4"/>
      </w:numPr>
      <w:spacing w:before="40" w:after="40"/>
      <w:jc w:val="both"/>
    </w:pPr>
    <w:rPr>
      <w:rFonts w:ascii="Arial" w:hAnsi="Arial" w:cs="Arial"/>
      <w:sz w:val="18"/>
      <w:szCs w:val="18"/>
      <w:lang w:val="en-US" w:eastAsia="zh-CN" w:bidi="ar-SA"/>
    </w:rPr>
  </w:style>
  <w:style w:type="paragraph" w:customStyle="1" w:styleId="912">
    <w:name w:val="表格文字"/>
    <w:basedOn w:val="1"/>
    <w:uiPriority w:val="99"/>
    <w:pPr>
      <w:spacing w:before="25" w:beforeLines="0" w:after="25" w:afterLines="0" w:line="300" w:lineRule="auto"/>
    </w:pPr>
    <w:rPr>
      <w:rFonts w:ascii="Times" w:hAnsi="Times"/>
      <w:spacing w:val="10"/>
      <w:kern w:val="0"/>
      <w:sz w:val="24"/>
    </w:rPr>
  </w:style>
  <w:style w:type="paragraph" w:customStyle="1" w:styleId="913">
    <w:name w:val="xl86"/>
    <w:basedOn w:val="1"/>
    <w:qFormat/>
    <w:uiPriority w:val="99"/>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16"/>
      <w:szCs w:val="16"/>
    </w:rPr>
  </w:style>
  <w:style w:type="paragraph" w:customStyle="1" w:styleId="914">
    <w:name w:val="_Style 76"/>
    <w:next w:val="1"/>
    <w:uiPriority w:val="0"/>
    <w:pPr>
      <w:widowControl w:val="0"/>
      <w:jc w:val="both"/>
    </w:pPr>
    <w:rPr>
      <w:kern w:val="2"/>
      <w:sz w:val="21"/>
      <w:lang w:val="en-US" w:eastAsia="zh-CN" w:bidi="ar-SA"/>
    </w:rPr>
  </w:style>
  <w:style w:type="paragraph" w:customStyle="1" w:styleId="915">
    <w:name w:val="Char Char Char Char Char Char Char Char Char Char Char Char Char Char Char Char Char Char Char Char Char Char Char Char Char Char Char Char Char Char"/>
    <w:basedOn w:val="1"/>
    <w:uiPriority w:val="99"/>
    <w:pPr>
      <w:spacing w:before="120" w:after="160" w:line="240" w:lineRule="exact"/>
    </w:pPr>
    <w:rPr>
      <w:sz w:val="24"/>
    </w:rPr>
  </w:style>
  <w:style w:type="paragraph" w:customStyle="1" w:styleId="916">
    <w:name w:val="样式 左侧:  1.69 厘米 首行缩进:  0.85 厘米"/>
    <w:basedOn w:val="1"/>
    <w:uiPriority w:val="99"/>
    <w:pPr>
      <w:widowControl w:val="0"/>
      <w:spacing w:line="360" w:lineRule="auto"/>
      <w:ind w:left="958" w:firstLine="482"/>
      <w:jc w:val="both"/>
    </w:pPr>
    <w:rPr>
      <w:rFonts w:eastAsia="楷体_GB2312" w:cs="宋体"/>
      <w:sz w:val="24"/>
    </w:rPr>
  </w:style>
  <w:style w:type="paragraph" w:customStyle="1" w:styleId="917">
    <w:name w:val="xl26"/>
    <w:basedOn w:val="1"/>
    <w:uiPriority w:val="99"/>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kern w:val="0"/>
      <w:sz w:val="24"/>
      <w:szCs w:val="24"/>
    </w:rPr>
  </w:style>
  <w:style w:type="paragraph" w:customStyle="1" w:styleId="918">
    <w:name w:val="F11-1"/>
    <w:basedOn w:val="1"/>
    <w:uiPriority w:val="0"/>
    <w:pPr>
      <w:tabs>
        <w:tab w:val="left" w:pos="240"/>
        <w:tab w:val="left" w:pos="4680"/>
      </w:tabs>
      <w:adjustRightInd w:val="0"/>
      <w:spacing w:after="120" w:afterLines="0"/>
      <w:textAlignment w:val="baseline"/>
    </w:pPr>
    <w:rPr>
      <w:rFonts w:eastAsia="華康細圓體"/>
      <w:kern w:val="0"/>
      <w:sz w:val="24"/>
      <w:lang w:eastAsia="zh-TW"/>
    </w:rPr>
  </w:style>
  <w:style w:type="paragraph" w:customStyle="1" w:styleId="919">
    <w:name w:val="附录"/>
    <w:basedOn w:val="1"/>
    <w:next w:val="17"/>
    <w:uiPriority w:val="99"/>
    <w:pPr>
      <w:widowControl w:val="0"/>
      <w:spacing w:before="320" w:after="200"/>
      <w:jc w:val="both"/>
    </w:pPr>
    <w:rPr>
      <w:rFonts w:ascii="Arial Narrow" w:hAnsi="Arial Narrow" w:eastAsia="华文新魏"/>
      <w:b/>
      <w:sz w:val="32"/>
    </w:rPr>
  </w:style>
  <w:style w:type="paragraph" w:customStyle="1" w:styleId="920">
    <w:name w:val="项目符号2号"/>
    <w:uiPriority w:val="99"/>
    <w:pPr>
      <w:tabs>
        <w:tab w:val="left" w:pos="0"/>
      </w:tabs>
      <w:spacing w:line="360" w:lineRule="auto"/>
      <w:ind w:left="284" w:hanging="284"/>
    </w:pPr>
    <w:rPr>
      <w:rFonts w:ascii="Arial" w:hAnsi="Arial" w:eastAsia="仿宋_GB2312" w:cs="宋体"/>
      <w:kern w:val="2"/>
      <w:sz w:val="24"/>
      <w:szCs w:val="24"/>
      <w:lang w:val="en-US" w:eastAsia="zh-CN" w:bidi="ar-SA"/>
    </w:rPr>
  </w:style>
  <w:style w:type="paragraph" w:customStyle="1" w:styleId="921">
    <w:name w:val="Normal_32"/>
    <w:qFormat/>
    <w:uiPriority w:val="0"/>
    <w:pPr>
      <w:widowControl w:val="0"/>
      <w:spacing w:before="120" w:after="240"/>
      <w:jc w:val="both"/>
    </w:pPr>
    <w:rPr>
      <w:rFonts w:ascii="Calibri" w:hAnsi="Calibri" w:eastAsia="Calibri" w:cs="Calibri"/>
      <w:color w:val="000000"/>
      <w:sz w:val="22"/>
      <w:szCs w:val="22"/>
      <w:lang w:val="ru-RU" w:eastAsia="zh-CN" w:bidi="ar-SA"/>
    </w:rPr>
  </w:style>
  <w:style w:type="paragraph" w:customStyle="1" w:styleId="922">
    <w:name w:val="EHPT"/>
    <w:basedOn w:val="1"/>
    <w:next w:val="26"/>
    <w:uiPriority w:val="99"/>
    <w:pPr>
      <w:widowControl w:val="0"/>
      <w:ind w:right="-694"/>
      <w:jc w:val="both"/>
    </w:pPr>
    <w:rPr>
      <w:sz w:val="24"/>
    </w:rPr>
  </w:style>
  <w:style w:type="paragraph" w:customStyle="1" w:styleId="923">
    <w:name w:val="rangedatasheetviewerheader1"/>
    <w:basedOn w:val="1"/>
    <w:uiPriority w:val="99"/>
    <w:pPr>
      <w:spacing w:before="100" w:beforeAutospacing="1" w:after="100" w:afterAutospacing="1"/>
    </w:pPr>
    <w:rPr>
      <w:rFonts w:ascii="宋体" w:hAnsi="宋体" w:cs="宋体"/>
      <w:kern w:val="0"/>
      <w:sz w:val="24"/>
      <w:szCs w:val="24"/>
    </w:rPr>
  </w:style>
  <w:style w:type="paragraph" w:customStyle="1" w:styleId="924">
    <w:name w:val=" Char Char Char 字元 字元"/>
    <w:basedOn w:val="1"/>
    <w:uiPriority w:val="0"/>
    <w:pPr>
      <w:spacing w:line="360" w:lineRule="auto"/>
      <w:ind w:firstLine="200" w:firstLineChars="200"/>
    </w:pPr>
  </w:style>
  <w:style w:type="paragraph" w:customStyle="1" w:styleId="925">
    <w:name w:val="表格正文"/>
    <w:basedOn w:val="1"/>
    <w:qFormat/>
    <w:uiPriority w:val="0"/>
    <w:pPr>
      <w:widowControl w:val="0"/>
      <w:spacing w:before="100" w:beforeAutospacing="1" w:after="100" w:afterAutospacing="1" w:line="240" w:lineRule="atLeast"/>
      <w:jc w:val="both"/>
    </w:pPr>
    <w:rPr>
      <w:rFonts w:eastAsia="楷体_GB2312"/>
      <w:sz w:val="24"/>
    </w:rPr>
  </w:style>
  <w:style w:type="paragraph" w:customStyle="1" w:styleId="926">
    <w:name w:val="T4"/>
    <w:basedOn w:val="1"/>
    <w:uiPriority w:val="99"/>
    <w:pPr>
      <w:widowControl w:val="0"/>
      <w:adjustRightInd w:val="0"/>
      <w:spacing w:line="360" w:lineRule="atLeast"/>
      <w:jc w:val="both"/>
      <w:textAlignment w:val="baseline"/>
    </w:pPr>
    <w:rPr>
      <w:rFonts w:ascii="宋体"/>
      <w:kern w:val="0"/>
      <w:sz w:val="22"/>
    </w:rPr>
  </w:style>
  <w:style w:type="paragraph" w:customStyle="1" w:styleId="927">
    <w:name w:val="样式 左侧:  0.74 厘米 首行缩进:  0.63 厘米"/>
    <w:basedOn w:val="1"/>
    <w:uiPriority w:val="0"/>
    <w:pPr>
      <w:widowControl w:val="0"/>
      <w:spacing w:line="360" w:lineRule="auto"/>
      <w:ind w:left="420" w:firstLine="357"/>
      <w:jc w:val="both"/>
    </w:pPr>
    <w:rPr>
      <w:rFonts w:cs="宋体"/>
    </w:rPr>
  </w:style>
  <w:style w:type="paragraph" w:customStyle="1" w:styleId="928">
    <w:name w:val="1.正文"/>
    <w:uiPriority w:val="0"/>
    <w:pPr>
      <w:widowControl w:val="0"/>
      <w:adjustRightInd w:val="0"/>
      <w:spacing w:line="360" w:lineRule="auto"/>
      <w:ind w:firstLine="397"/>
      <w:jc w:val="both"/>
      <w:textAlignment w:val="baseline"/>
    </w:pPr>
    <w:rPr>
      <w:spacing w:val="20"/>
      <w:sz w:val="24"/>
      <w:lang w:val="en-US" w:eastAsia="zh-CN" w:bidi="ar-SA"/>
    </w:rPr>
  </w:style>
  <w:style w:type="paragraph" w:customStyle="1" w:styleId="929">
    <w:name w:val="版权声明"/>
    <w:basedOn w:val="1"/>
    <w:uiPriority w:val="99"/>
    <w:pPr>
      <w:autoSpaceDE w:val="0"/>
      <w:autoSpaceDN w:val="0"/>
      <w:snapToGrid w:val="0"/>
      <w:spacing w:line="360" w:lineRule="auto"/>
      <w:ind w:left="1134"/>
      <w:jc w:val="both"/>
      <w:textAlignment w:val="bottom"/>
    </w:pPr>
  </w:style>
  <w:style w:type="paragraph" w:customStyle="1" w:styleId="930">
    <w:name w:val="目录3"/>
    <w:basedOn w:val="1"/>
    <w:uiPriority w:val="99"/>
    <w:pPr>
      <w:widowControl w:val="0"/>
      <w:autoSpaceDE w:val="0"/>
      <w:autoSpaceDN w:val="0"/>
      <w:adjustRightInd w:val="0"/>
      <w:ind w:left="833"/>
    </w:pPr>
    <w:rPr>
      <w:kern w:val="0"/>
      <w:szCs w:val="21"/>
    </w:rPr>
  </w:style>
  <w:style w:type="paragraph" w:customStyle="1" w:styleId="931">
    <w:name w:val="缺省文本"/>
    <w:basedOn w:val="1"/>
    <w:uiPriority w:val="99"/>
    <w:pPr>
      <w:widowControl w:val="0"/>
      <w:autoSpaceDE w:val="0"/>
      <w:autoSpaceDN w:val="0"/>
      <w:adjustRightInd w:val="0"/>
    </w:pPr>
    <w:rPr>
      <w:kern w:val="0"/>
      <w:sz w:val="24"/>
      <w:szCs w:val="24"/>
    </w:rPr>
  </w:style>
  <w:style w:type="paragraph" w:customStyle="1" w:styleId="932">
    <w:name w:val="表格格式"/>
    <w:basedOn w:val="1"/>
    <w:uiPriority w:val="99"/>
    <w:pPr>
      <w:widowControl w:val="0"/>
      <w:jc w:val="center"/>
    </w:pPr>
    <w:rPr>
      <w:rFonts w:ascii="Arial" w:hAnsi="Arial" w:eastAsia="仿宋_GB2312" w:cs="宋体"/>
      <w:kern w:val="0"/>
      <w:sz w:val="24"/>
      <w:szCs w:val="24"/>
    </w:rPr>
  </w:style>
  <w:style w:type="paragraph" w:customStyle="1" w:styleId="933">
    <w:name w:val="标题4"/>
    <w:basedOn w:val="1"/>
    <w:uiPriority w:val="0"/>
    <w:pPr>
      <w:spacing w:line="500" w:lineRule="exact"/>
      <w:ind w:firstLine="480"/>
    </w:pPr>
    <w:rPr>
      <w:rFonts w:ascii="宋体" w:hAnsi="宋体" w:cs="Arial"/>
      <w:b/>
      <w:bCs/>
      <w:color w:val="0000FF"/>
      <w:spacing w:val="20"/>
      <w:sz w:val="24"/>
      <w:szCs w:val="24"/>
    </w:rPr>
  </w:style>
  <w:style w:type="paragraph" w:customStyle="1" w:styleId="934">
    <w:name w:val="xl123"/>
    <w:basedOn w:val="1"/>
    <w:qFormat/>
    <w:uiPriority w:val="0"/>
    <w:pPr>
      <w:pBdr>
        <w:top w:val="single" w:color="auto" w:sz="4" w:space="0"/>
        <w:bottom w:val="single" w:color="auto" w:sz="4" w:space="0"/>
      </w:pBdr>
      <w:shd w:val="clear" w:color="000000" w:fill="FFFFFF"/>
      <w:spacing w:before="100" w:beforeAutospacing="1" w:after="100" w:afterAutospacing="1"/>
    </w:pPr>
    <w:rPr>
      <w:rFonts w:ascii="宋体" w:hAnsi="宋体" w:cs="宋体"/>
      <w:b/>
      <w:bCs/>
      <w:kern w:val="0"/>
      <w:sz w:val="18"/>
      <w:szCs w:val="18"/>
    </w:rPr>
  </w:style>
  <w:style w:type="paragraph" w:customStyle="1" w:styleId="935">
    <w:name w:val="标题 二"/>
    <w:basedOn w:val="6"/>
    <w:qFormat/>
    <w:uiPriority w:val="99"/>
    <w:pPr>
      <w:adjustRightInd w:val="0"/>
      <w:snapToGrid w:val="0"/>
      <w:spacing w:before="120" w:after="120" w:line="360" w:lineRule="auto"/>
      <w:outlineLvl w:val="1"/>
    </w:pPr>
    <w:rPr>
      <w:sz w:val="30"/>
    </w:rPr>
  </w:style>
  <w:style w:type="paragraph" w:customStyle="1" w:styleId="936">
    <w:name w:val="È¡ÀÊ¡ÎÄ¡À¾"/>
    <w:basedOn w:val="1"/>
    <w:uiPriority w:val="99"/>
    <w:pPr>
      <w:overflowPunct w:val="0"/>
      <w:autoSpaceDE w:val="0"/>
      <w:autoSpaceDN w:val="0"/>
      <w:adjustRightInd w:val="0"/>
      <w:spacing w:line="360" w:lineRule="auto"/>
      <w:jc w:val="both"/>
      <w:textAlignment w:val="baseline"/>
    </w:pPr>
    <w:rPr>
      <w:kern w:val="0"/>
    </w:rPr>
  </w:style>
  <w:style w:type="paragraph" w:customStyle="1" w:styleId="937">
    <w:name w:val="xl43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rPr>
  </w:style>
  <w:style w:type="paragraph" w:customStyle="1" w:styleId="938">
    <w:name w:val="样式 样式 标题 3 + 段后: 0.5 行 + 段后: 0.5 行"/>
    <w:basedOn w:val="1"/>
    <w:uiPriority w:val="99"/>
    <w:pPr>
      <w:keepNext/>
      <w:keepLines/>
      <w:widowControl w:val="0"/>
      <w:tabs>
        <w:tab w:val="left" w:pos="1260"/>
      </w:tabs>
      <w:spacing w:before="260" w:afterLines="50" w:line="413" w:lineRule="auto"/>
      <w:ind w:left="741" w:hanging="567"/>
      <w:jc w:val="both"/>
      <w:outlineLvl w:val="2"/>
    </w:pPr>
    <w:rPr>
      <w:rFonts w:eastAsia="楷体_GB2312"/>
      <w:b/>
      <w:bCs/>
      <w:sz w:val="32"/>
    </w:rPr>
  </w:style>
  <w:style w:type="paragraph" w:customStyle="1" w:styleId="939">
    <w:name w:val="二级缩进带符号正文"/>
    <w:uiPriority w:val="99"/>
    <w:pPr>
      <w:tabs>
        <w:tab w:val="left" w:pos="2040"/>
      </w:tabs>
      <w:spacing w:before="100" w:after="100" w:line="360" w:lineRule="auto"/>
      <w:ind w:left="720" w:hanging="420"/>
    </w:pPr>
    <w:rPr>
      <w:sz w:val="24"/>
      <w:lang w:val="en-US" w:eastAsia="zh-CN" w:bidi="ar-SA"/>
    </w:rPr>
  </w:style>
  <w:style w:type="paragraph" w:customStyle="1" w:styleId="940">
    <w:name w:val="xl128"/>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kern w:val="0"/>
      <w:sz w:val="20"/>
    </w:rPr>
  </w:style>
  <w:style w:type="paragraph" w:customStyle="1" w:styleId="941">
    <w:name w:val="带符号正文"/>
    <w:uiPriority w:val="99"/>
    <w:pPr>
      <w:tabs>
        <w:tab w:val="left" w:pos="420"/>
      </w:tabs>
      <w:spacing w:before="100" w:after="100" w:line="360" w:lineRule="auto"/>
      <w:ind w:left="720" w:hanging="420"/>
    </w:pPr>
    <w:rPr>
      <w:sz w:val="24"/>
      <w:lang w:val="en-US" w:eastAsia="zh-CN" w:bidi="ar-SA"/>
    </w:rPr>
  </w:style>
  <w:style w:type="paragraph" w:customStyle="1" w:styleId="942">
    <w:name w:val="MM Topic 3"/>
    <w:basedOn w:val="4"/>
    <w:uiPriority w:val="0"/>
    <w:pPr>
      <w:widowControl w:val="0"/>
      <w:numPr>
        <w:ilvl w:val="2"/>
        <w:numId w:val="3"/>
      </w:numPr>
      <w:jc w:val="both"/>
    </w:pPr>
    <w:rPr>
      <w:bCs/>
      <w:szCs w:val="32"/>
    </w:rPr>
  </w:style>
  <w:style w:type="paragraph" w:customStyle="1" w:styleId="943">
    <w:name w:val="title1"/>
    <w:basedOn w:val="2"/>
    <w:uiPriority w:val="99"/>
    <w:pPr>
      <w:keepNext w:val="0"/>
      <w:widowControl w:val="0"/>
      <w:autoSpaceDE w:val="0"/>
      <w:autoSpaceDN w:val="0"/>
      <w:adjustRightInd w:val="0"/>
      <w:spacing w:before="240" w:after="120" w:line="360" w:lineRule="auto"/>
      <w:ind w:left="247" w:hanging="247"/>
      <w:jc w:val="left"/>
    </w:pPr>
    <w:rPr>
      <w:rFonts w:ascii="Arial" w:hAnsi="Arial" w:eastAsia="宋体" w:cs="Arial"/>
      <w:bCs/>
      <w:color w:val="auto"/>
      <w:kern w:val="0"/>
      <w:sz w:val="24"/>
      <w:szCs w:val="24"/>
    </w:rPr>
  </w:style>
  <w:style w:type="paragraph" w:customStyle="1" w:styleId="944">
    <w:name w:val="样式 I.1 + 仿宋_GB2312 小三 自动设置 行距: 1.5 倍行距"/>
    <w:basedOn w:val="846"/>
    <w:uiPriority w:val="99"/>
    <w:pPr>
      <w:spacing w:line="360" w:lineRule="auto"/>
    </w:pPr>
    <w:rPr>
      <w:rFonts w:ascii="仿宋_GB2312" w:hAnsi="Times New Roman" w:eastAsia="楷体_GB2312" w:cs="宋体"/>
      <w:color w:val="auto"/>
      <w:spacing w:val="0"/>
      <w:kern w:val="2"/>
      <w:sz w:val="24"/>
    </w:rPr>
  </w:style>
  <w:style w:type="paragraph" w:customStyle="1" w:styleId="945">
    <w:name w:val="xl122"/>
    <w:basedOn w:val="1"/>
    <w:qFormat/>
    <w:uiPriority w:val="0"/>
    <w:pPr>
      <w:pBdr>
        <w:top w:val="single" w:color="auto" w:sz="4" w:space="0"/>
        <w:left w:val="single" w:color="auto" w:sz="4" w:space="0"/>
        <w:bottom w:val="single" w:color="auto" w:sz="4" w:space="0"/>
      </w:pBdr>
      <w:shd w:val="clear" w:color="000000" w:fill="FFFFFF"/>
      <w:spacing w:before="100" w:beforeAutospacing="1" w:after="100" w:afterAutospacing="1"/>
    </w:pPr>
    <w:rPr>
      <w:rFonts w:ascii="宋体" w:hAnsi="宋体" w:cs="宋体"/>
      <w:b/>
      <w:bCs/>
      <w:kern w:val="0"/>
      <w:sz w:val="18"/>
      <w:szCs w:val="18"/>
    </w:rPr>
  </w:style>
  <w:style w:type="paragraph" w:customStyle="1" w:styleId="946">
    <w:name w:val="Normal_30"/>
    <w:qFormat/>
    <w:uiPriority w:val="0"/>
    <w:pPr>
      <w:widowControl w:val="0"/>
      <w:spacing w:before="120" w:after="240"/>
      <w:jc w:val="both"/>
    </w:pPr>
    <w:rPr>
      <w:rFonts w:ascii="Calibri" w:hAnsi="Calibri" w:eastAsia="Calibri" w:cs="Calibri"/>
      <w:color w:val="000000"/>
      <w:sz w:val="22"/>
      <w:szCs w:val="22"/>
      <w:lang w:val="ru-RU" w:eastAsia="zh-CN" w:bidi="ar-SA"/>
    </w:rPr>
  </w:style>
  <w:style w:type="paragraph" w:customStyle="1" w:styleId="947">
    <w:name w:val="Normal_36"/>
    <w:qFormat/>
    <w:uiPriority w:val="0"/>
    <w:pPr>
      <w:widowControl w:val="0"/>
      <w:spacing w:before="120" w:after="240"/>
      <w:jc w:val="both"/>
    </w:pPr>
    <w:rPr>
      <w:rFonts w:ascii="Calibri" w:hAnsi="Calibri" w:eastAsia="Calibri" w:cs="Calibri"/>
      <w:color w:val="000000"/>
      <w:sz w:val="22"/>
      <w:szCs w:val="22"/>
      <w:lang w:val="ru-RU" w:eastAsia="zh-CN" w:bidi="ar-SA"/>
    </w:rPr>
  </w:style>
  <w:style w:type="paragraph" w:customStyle="1" w:styleId="948">
    <w:name w:val="样式 首行缩进:  0 字符"/>
    <w:basedOn w:val="1"/>
    <w:link w:val="1087"/>
    <w:qFormat/>
    <w:uiPriority w:val="0"/>
    <w:pPr>
      <w:widowControl w:val="0"/>
      <w:spacing w:line="360" w:lineRule="auto"/>
      <w:ind w:firstLine="200" w:firstLineChars="200"/>
      <w:jc w:val="both"/>
    </w:pPr>
    <w:rPr>
      <w:rFonts w:ascii="Arial" w:hAnsi="Arial" w:cs="宋体"/>
      <w:sz w:val="24"/>
    </w:rPr>
  </w:style>
  <w:style w:type="paragraph" w:customStyle="1" w:styleId="949">
    <w:name w:val="Normal_34"/>
    <w:qFormat/>
    <w:uiPriority w:val="0"/>
    <w:pPr>
      <w:widowControl w:val="0"/>
      <w:spacing w:before="120" w:after="240"/>
      <w:jc w:val="both"/>
    </w:pPr>
    <w:rPr>
      <w:rFonts w:ascii="Calibri" w:hAnsi="Calibri" w:eastAsia="Calibri" w:cs="Calibri"/>
      <w:color w:val="000000"/>
      <w:sz w:val="22"/>
      <w:szCs w:val="22"/>
      <w:lang w:val="ru-RU" w:eastAsia="zh-CN" w:bidi="ar-SA"/>
    </w:rPr>
  </w:style>
  <w:style w:type="paragraph" w:customStyle="1" w:styleId="950">
    <w:name w:val="Normal_28"/>
    <w:qFormat/>
    <w:uiPriority w:val="0"/>
    <w:pPr>
      <w:widowControl w:val="0"/>
      <w:spacing w:before="120" w:after="240"/>
      <w:jc w:val="both"/>
    </w:pPr>
    <w:rPr>
      <w:rFonts w:ascii="Calibri" w:hAnsi="Calibri" w:eastAsia="Calibri" w:cs="Calibri"/>
      <w:color w:val="000000"/>
      <w:sz w:val="22"/>
      <w:szCs w:val="22"/>
      <w:lang w:val="ru-RU" w:eastAsia="zh-CN" w:bidi="ar-SA"/>
    </w:rPr>
  </w:style>
  <w:style w:type="paragraph" w:customStyle="1" w:styleId="951">
    <w:name w:val="Normal_21"/>
    <w:qFormat/>
    <w:uiPriority w:val="0"/>
    <w:pPr>
      <w:widowControl w:val="0"/>
      <w:spacing w:before="120" w:after="240"/>
      <w:jc w:val="both"/>
    </w:pPr>
    <w:rPr>
      <w:rFonts w:ascii="Calibri" w:hAnsi="Calibri" w:eastAsia="Calibri" w:cs="Calibri"/>
      <w:color w:val="000000"/>
      <w:sz w:val="22"/>
      <w:szCs w:val="22"/>
      <w:lang w:val="ru-RU" w:eastAsia="zh-CN" w:bidi="ar-SA"/>
    </w:rPr>
  </w:style>
  <w:style w:type="paragraph" w:customStyle="1" w:styleId="952">
    <w:name w:val="样式 (西文) 宋体 小四 行距: 1.5 倍行距 首行缩进:  2 字符"/>
    <w:basedOn w:val="1"/>
    <w:qFormat/>
    <w:uiPriority w:val="0"/>
    <w:pPr>
      <w:widowControl w:val="0"/>
      <w:spacing w:line="360" w:lineRule="auto"/>
      <w:ind w:firstLine="480" w:firstLineChars="200"/>
      <w:jc w:val="both"/>
      <w:textAlignment w:val="baseline"/>
    </w:pPr>
    <w:rPr>
      <w:rFonts w:ascii="Arial" w:hAnsi="Arial" w:eastAsia="仿宋_GB2312"/>
      <w:sz w:val="24"/>
    </w:rPr>
  </w:style>
  <w:style w:type="paragraph" w:customStyle="1" w:styleId="953">
    <w:name w:val="Normal_33"/>
    <w:qFormat/>
    <w:uiPriority w:val="0"/>
    <w:pPr>
      <w:widowControl w:val="0"/>
      <w:spacing w:before="120" w:after="240"/>
      <w:jc w:val="both"/>
    </w:pPr>
    <w:rPr>
      <w:rFonts w:ascii="Calibri" w:hAnsi="Calibri" w:eastAsia="Calibri" w:cs="Calibri"/>
      <w:color w:val="000000"/>
      <w:sz w:val="22"/>
      <w:szCs w:val="22"/>
      <w:lang w:val="ru-RU" w:eastAsia="zh-CN" w:bidi="ar-SA"/>
    </w:rPr>
  </w:style>
  <w:style w:type="paragraph" w:customStyle="1" w:styleId="954">
    <w:name w:val="xl12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955">
    <w:name w:val="Normal_29"/>
    <w:qFormat/>
    <w:uiPriority w:val="0"/>
    <w:pPr>
      <w:widowControl w:val="0"/>
      <w:spacing w:before="120" w:after="240"/>
      <w:jc w:val="both"/>
    </w:pPr>
    <w:rPr>
      <w:rFonts w:ascii="Calibri" w:hAnsi="Calibri" w:eastAsia="Calibri" w:cs="Calibri"/>
      <w:color w:val="000000"/>
      <w:sz w:val="22"/>
      <w:szCs w:val="22"/>
      <w:lang w:val="ru-RU" w:eastAsia="zh-CN" w:bidi="ar-SA"/>
    </w:rPr>
  </w:style>
  <w:style w:type="paragraph" w:customStyle="1" w:styleId="956">
    <w:name w:val="xl12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0"/>
    </w:rPr>
  </w:style>
  <w:style w:type="paragraph" w:customStyle="1" w:styleId="957">
    <w:name w:val="Normal_31"/>
    <w:qFormat/>
    <w:uiPriority w:val="0"/>
    <w:pPr>
      <w:widowControl w:val="0"/>
      <w:spacing w:before="120" w:after="240"/>
      <w:jc w:val="both"/>
    </w:pPr>
    <w:rPr>
      <w:rFonts w:ascii="Calibri" w:hAnsi="Calibri" w:eastAsia="Calibri" w:cs="Calibri"/>
      <w:color w:val="000000"/>
      <w:sz w:val="22"/>
      <w:szCs w:val="22"/>
      <w:lang w:val="ru-RU" w:eastAsia="zh-CN" w:bidi="ar-SA"/>
    </w:rPr>
  </w:style>
  <w:style w:type="paragraph" w:customStyle="1" w:styleId="958">
    <w:name w:val="xl417"/>
    <w:basedOn w:val="1"/>
    <w:qFormat/>
    <w:uiPriority w:val="0"/>
    <w:pPr>
      <w:shd w:val="clear" w:color="000000" w:fill="FF0000"/>
      <w:spacing w:before="100" w:beforeAutospacing="1" w:after="100" w:afterAutospacing="1"/>
    </w:pPr>
    <w:rPr>
      <w:rFonts w:ascii="宋体" w:hAnsi="宋体" w:cs="宋体"/>
      <w:kern w:val="0"/>
      <w:sz w:val="24"/>
      <w:szCs w:val="24"/>
    </w:rPr>
  </w:style>
  <w:style w:type="paragraph" w:customStyle="1" w:styleId="959">
    <w:name w:val="xl413"/>
    <w:basedOn w:val="1"/>
    <w:qFormat/>
    <w:uiPriority w:val="0"/>
    <w:pPr>
      <w:spacing w:before="100" w:beforeAutospacing="1" w:after="100" w:afterAutospacing="1"/>
    </w:pPr>
    <w:rPr>
      <w:rFonts w:ascii="宋体" w:hAnsi="宋体" w:cs="宋体"/>
      <w:kern w:val="0"/>
      <w:sz w:val="20"/>
    </w:rPr>
  </w:style>
  <w:style w:type="paragraph" w:customStyle="1" w:styleId="960">
    <w:name w:val="xl41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0"/>
    </w:rPr>
  </w:style>
  <w:style w:type="paragraph" w:customStyle="1" w:styleId="961">
    <w:name w:val="xl446"/>
    <w:basedOn w:val="1"/>
    <w:qFormat/>
    <w:uiPriority w:val="0"/>
    <w:pPr>
      <w:shd w:val="clear" w:color="000000" w:fill="FFFFFF"/>
      <w:spacing w:before="100" w:beforeAutospacing="1" w:after="100" w:afterAutospacing="1"/>
    </w:pPr>
    <w:rPr>
      <w:rFonts w:ascii="宋体" w:hAnsi="宋体" w:cs="宋体"/>
      <w:kern w:val="0"/>
      <w:sz w:val="24"/>
      <w:szCs w:val="24"/>
    </w:rPr>
  </w:style>
  <w:style w:type="paragraph" w:customStyle="1" w:styleId="962">
    <w:name w:val="xl414"/>
    <w:basedOn w:val="1"/>
    <w:qFormat/>
    <w:uiPriority w:val="0"/>
    <w:pPr>
      <w:spacing w:before="100" w:beforeAutospacing="1" w:after="100" w:afterAutospacing="1"/>
    </w:pPr>
    <w:rPr>
      <w:rFonts w:ascii="宋体" w:hAnsi="宋体" w:cs="宋体"/>
      <w:kern w:val="0"/>
      <w:sz w:val="20"/>
    </w:rPr>
  </w:style>
  <w:style w:type="paragraph" w:customStyle="1" w:styleId="963">
    <w:name w:val="xl428"/>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b/>
      <w:bCs/>
      <w:kern w:val="0"/>
      <w:sz w:val="20"/>
    </w:rPr>
  </w:style>
  <w:style w:type="paragraph" w:customStyle="1" w:styleId="964">
    <w:name w:val="xl44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kern w:val="0"/>
      <w:sz w:val="20"/>
    </w:rPr>
  </w:style>
  <w:style w:type="paragraph" w:customStyle="1" w:styleId="965">
    <w:name w:val="xl450"/>
    <w:basedOn w:val="1"/>
    <w:qFormat/>
    <w:uiPriority w:val="0"/>
    <w:pPr>
      <w:pBdr>
        <w:top w:val="single" w:color="auto" w:sz="4" w:space="0"/>
        <w:bottom w:val="single" w:color="auto" w:sz="4" w:space="0"/>
        <w:right w:val="single" w:color="auto" w:sz="4" w:space="0"/>
      </w:pBdr>
      <w:spacing w:before="100" w:beforeAutospacing="1" w:after="100" w:afterAutospacing="1"/>
    </w:pPr>
    <w:rPr>
      <w:rFonts w:ascii="宋体" w:hAnsi="宋体" w:cs="宋体"/>
      <w:kern w:val="0"/>
      <w:sz w:val="20"/>
    </w:rPr>
  </w:style>
  <w:style w:type="paragraph" w:customStyle="1" w:styleId="966">
    <w:name w:val="xl412"/>
    <w:basedOn w:val="1"/>
    <w:qFormat/>
    <w:uiPriority w:val="0"/>
    <w:pPr>
      <w:spacing w:before="100" w:beforeAutospacing="1" w:after="100" w:afterAutospacing="1"/>
    </w:pPr>
    <w:rPr>
      <w:rFonts w:ascii="宋体" w:hAnsi="宋体" w:cs="宋体"/>
      <w:kern w:val="0"/>
      <w:sz w:val="24"/>
      <w:szCs w:val="24"/>
    </w:rPr>
  </w:style>
  <w:style w:type="paragraph" w:customStyle="1" w:styleId="967">
    <w:name w:val="msonormal"/>
    <w:basedOn w:val="1"/>
    <w:qFormat/>
    <w:uiPriority w:val="0"/>
    <w:pPr>
      <w:spacing w:before="100" w:beforeAutospacing="1" w:after="100" w:afterAutospacing="1"/>
    </w:pPr>
    <w:rPr>
      <w:rFonts w:ascii="宋体" w:hAnsi="宋体" w:cs="宋体"/>
      <w:kern w:val="0"/>
      <w:sz w:val="24"/>
      <w:szCs w:val="24"/>
    </w:rPr>
  </w:style>
  <w:style w:type="paragraph" w:customStyle="1" w:styleId="968">
    <w:name w:val="xl44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rPr>
  </w:style>
  <w:style w:type="paragraph" w:customStyle="1" w:styleId="969">
    <w:name w:val="xl43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kern w:val="0"/>
      <w:sz w:val="20"/>
    </w:rPr>
  </w:style>
  <w:style w:type="paragraph" w:customStyle="1" w:styleId="970">
    <w:name w:val="xl44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kern w:val="0"/>
      <w:sz w:val="20"/>
    </w:rPr>
  </w:style>
  <w:style w:type="paragraph" w:customStyle="1" w:styleId="971">
    <w:name w:val="msolistparagraph"/>
    <w:basedOn w:val="1"/>
    <w:uiPriority w:val="0"/>
    <w:pPr>
      <w:widowControl w:val="0"/>
      <w:ind w:firstLine="420" w:firstLineChars="200"/>
      <w:jc w:val="both"/>
    </w:pPr>
    <w:rPr>
      <w:rFonts w:ascii="Calibri" w:hAnsi="Calibri"/>
      <w:szCs w:val="22"/>
    </w:rPr>
  </w:style>
  <w:style w:type="paragraph" w:customStyle="1" w:styleId="972">
    <w:name w:val="xl416"/>
    <w:basedOn w:val="1"/>
    <w:qFormat/>
    <w:uiPriority w:val="0"/>
    <w:pPr>
      <w:spacing w:before="100" w:beforeAutospacing="1" w:after="100" w:afterAutospacing="1"/>
    </w:pPr>
    <w:rPr>
      <w:rFonts w:ascii="宋体" w:hAnsi="宋体" w:cs="宋体"/>
      <w:b/>
      <w:bCs/>
      <w:color w:val="FF0000"/>
      <w:kern w:val="0"/>
      <w:sz w:val="20"/>
    </w:rPr>
  </w:style>
  <w:style w:type="paragraph" w:customStyle="1" w:styleId="973">
    <w:name w:val="Sub Item List"/>
    <w:basedOn w:val="1"/>
    <w:qFormat/>
    <w:uiPriority w:val="0"/>
    <w:pPr>
      <w:topLinePunct/>
      <w:adjustRightInd w:val="0"/>
      <w:snapToGrid w:val="0"/>
      <w:spacing w:before="80" w:after="80" w:line="240" w:lineRule="atLeast"/>
    </w:pPr>
    <w:rPr>
      <w:rFonts w:cs="Arial"/>
      <w:szCs w:val="21"/>
    </w:rPr>
  </w:style>
  <w:style w:type="paragraph" w:customStyle="1" w:styleId="974">
    <w:name w:val="xl44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kern w:val="0"/>
      <w:sz w:val="20"/>
    </w:rPr>
  </w:style>
  <w:style w:type="paragraph" w:customStyle="1" w:styleId="975">
    <w:name w:val="TOC Heading"/>
    <w:basedOn w:val="2"/>
    <w:next w:val="1"/>
    <w:unhideWhenUsed/>
    <w:qFormat/>
    <w:uiPriority w:val="39"/>
    <w:pPr>
      <w:keepLines/>
      <w:spacing w:before="480" w:line="276" w:lineRule="auto"/>
      <w:jc w:val="left"/>
      <w:outlineLvl w:val="9"/>
    </w:pPr>
    <w:rPr>
      <w:rFonts w:ascii="Cambria" w:hAnsi="Cambria" w:eastAsia="宋体"/>
      <w:color w:val="366091"/>
      <w:kern w:val="0"/>
      <w:sz w:val="28"/>
      <w:szCs w:val="28"/>
    </w:rPr>
  </w:style>
  <w:style w:type="paragraph" w:customStyle="1" w:styleId="976">
    <w:name w:val="xl438"/>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kern w:val="0"/>
      <w:sz w:val="20"/>
    </w:rPr>
  </w:style>
  <w:style w:type="paragraph" w:customStyle="1" w:styleId="977">
    <w:name w:val="xl42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kern w:val="0"/>
      <w:sz w:val="20"/>
    </w:rPr>
  </w:style>
  <w:style w:type="paragraph" w:customStyle="1" w:styleId="978">
    <w:name w:val="xl42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0"/>
    </w:rPr>
  </w:style>
  <w:style w:type="paragraph" w:customStyle="1" w:styleId="979">
    <w:name w:val="Char Char Char Char Char Char Char Char Char Char Char Char Char Char Char Char"/>
    <w:basedOn w:val="1"/>
    <w:qFormat/>
    <w:uiPriority w:val="0"/>
    <w:pPr>
      <w:spacing w:before="100" w:beforeAutospacing="1" w:after="100" w:afterAutospacing="1" w:line="330" w:lineRule="atLeast"/>
      <w:ind w:left="360"/>
    </w:pPr>
    <w:rPr>
      <w:rFonts w:eastAsia="仿宋_GB2312"/>
      <w:color w:val="0000FF"/>
      <w:sz w:val="32"/>
      <w:szCs w:val="28"/>
    </w:rPr>
  </w:style>
  <w:style w:type="paragraph" w:customStyle="1" w:styleId="980">
    <w:name w:val="xl45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rPr>
  </w:style>
  <w:style w:type="paragraph" w:customStyle="1" w:styleId="981">
    <w:name w:val="xl418"/>
    <w:basedOn w:val="1"/>
    <w:qFormat/>
    <w:uiPriority w:val="0"/>
    <w:pPr>
      <w:shd w:val="clear" w:color="000000" w:fill="FFFF00"/>
      <w:spacing w:before="100" w:beforeAutospacing="1" w:after="100" w:afterAutospacing="1"/>
    </w:pPr>
    <w:rPr>
      <w:rFonts w:ascii="宋体" w:hAnsi="宋体" w:cs="宋体"/>
      <w:kern w:val="0"/>
      <w:sz w:val="24"/>
      <w:szCs w:val="24"/>
    </w:rPr>
  </w:style>
  <w:style w:type="paragraph" w:customStyle="1" w:styleId="982">
    <w:name w:val="xl415"/>
    <w:basedOn w:val="1"/>
    <w:qFormat/>
    <w:uiPriority w:val="0"/>
    <w:pPr>
      <w:spacing w:before="100" w:beforeAutospacing="1" w:after="100" w:afterAutospacing="1"/>
      <w:jc w:val="center"/>
    </w:pPr>
    <w:rPr>
      <w:rFonts w:ascii="宋体" w:hAnsi="宋体" w:cs="宋体"/>
      <w:kern w:val="0"/>
      <w:sz w:val="20"/>
    </w:rPr>
  </w:style>
  <w:style w:type="paragraph" w:customStyle="1" w:styleId="983">
    <w:name w:val="xl448"/>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kern w:val="0"/>
      <w:sz w:val="20"/>
    </w:rPr>
  </w:style>
  <w:style w:type="paragraph" w:customStyle="1" w:styleId="984">
    <w:name w:val="Table Description"/>
    <w:basedOn w:val="1"/>
    <w:next w:val="1"/>
    <w:qFormat/>
    <w:uiPriority w:val="0"/>
    <w:pPr>
      <w:keepNext/>
      <w:topLinePunct/>
      <w:adjustRightInd w:val="0"/>
      <w:snapToGrid w:val="0"/>
      <w:spacing w:before="320" w:after="80" w:line="240" w:lineRule="atLeast"/>
      <w:ind w:left="1701"/>
    </w:pPr>
    <w:rPr>
      <w:rFonts w:eastAsia="黑体" w:cs="Arial"/>
      <w:spacing w:val="-4"/>
      <w:szCs w:val="21"/>
    </w:rPr>
  </w:style>
  <w:style w:type="paragraph" w:customStyle="1" w:styleId="985">
    <w:name w:val="正文  首行缩进2个字符"/>
    <w:qFormat/>
    <w:uiPriority w:val="0"/>
    <w:pPr>
      <w:spacing w:line="60" w:lineRule="atLeast"/>
      <w:ind w:firstLine="200" w:firstLineChars="200"/>
    </w:pPr>
    <w:rPr>
      <w:sz w:val="16"/>
      <w:szCs w:val="22"/>
      <w:lang w:val="en-US" w:eastAsia="en-US" w:bidi="en-US"/>
    </w:rPr>
  </w:style>
  <w:style w:type="paragraph" w:customStyle="1" w:styleId="986">
    <w:name w:val="_Style 585"/>
    <w:next w:val="1"/>
    <w:qFormat/>
    <w:uiPriority w:val="99"/>
    <w:rPr>
      <w:kern w:val="2"/>
      <w:sz w:val="21"/>
      <w:lang w:val="en-US" w:eastAsia="zh-CN" w:bidi="ar-SA"/>
    </w:rPr>
  </w:style>
  <w:style w:type="paragraph" w:customStyle="1" w:styleId="987">
    <w:name w:val="_Style 2"/>
    <w:basedOn w:val="1"/>
    <w:qFormat/>
    <w:uiPriority w:val="34"/>
    <w:pPr>
      <w:widowControl w:val="0"/>
      <w:spacing w:line="360" w:lineRule="auto"/>
      <w:ind w:firstLine="420" w:firstLineChars="200"/>
    </w:pPr>
    <w:rPr>
      <w:rFonts w:ascii="Arial" w:hAnsi="Arial"/>
      <w:szCs w:val="24"/>
    </w:rPr>
  </w:style>
  <w:style w:type="paragraph" w:customStyle="1" w:styleId="988">
    <w:name w:val="xl16"/>
    <w:basedOn w:val="1"/>
    <w:uiPriority w:val="0"/>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pPr>
    <w:rPr>
      <w:rFonts w:ascii="仿宋" w:hAnsi="仿宋" w:eastAsia="仿宋" w:cs="宋体"/>
      <w:b/>
      <w:bCs/>
      <w:kern w:val="0"/>
      <w:sz w:val="24"/>
      <w:szCs w:val="24"/>
    </w:rPr>
  </w:style>
  <w:style w:type="paragraph" w:customStyle="1" w:styleId="989">
    <w:name w:val="xl20"/>
    <w:basedOn w:val="1"/>
    <w:uiPriority w:val="0"/>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textAlignment w:val="center"/>
    </w:pPr>
    <w:rPr>
      <w:rFonts w:ascii="仿宋" w:hAnsi="仿宋" w:eastAsia="仿宋" w:cs="宋体"/>
      <w:b/>
      <w:bCs/>
      <w:kern w:val="0"/>
      <w:sz w:val="24"/>
      <w:szCs w:val="24"/>
    </w:rPr>
  </w:style>
  <w:style w:type="paragraph" w:customStyle="1" w:styleId="990">
    <w:name w:val="xl27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 w:hAnsi="仿宋" w:eastAsia="仿宋" w:cs="宋体"/>
      <w:kern w:val="0"/>
      <w:sz w:val="24"/>
      <w:szCs w:val="24"/>
    </w:rPr>
  </w:style>
  <w:style w:type="paragraph" w:customStyle="1" w:styleId="991">
    <w:name w:val="xl27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仿宋" w:hAnsi="仿宋" w:eastAsia="仿宋" w:cs="宋体"/>
      <w:kern w:val="0"/>
      <w:sz w:val="24"/>
      <w:szCs w:val="24"/>
    </w:rPr>
  </w:style>
  <w:style w:type="paragraph" w:customStyle="1" w:styleId="992">
    <w:name w:val="xl276"/>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仿宋" w:hAnsi="仿宋" w:eastAsia="仿宋" w:cs="宋体"/>
      <w:kern w:val="0"/>
      <w:sz w:val="24"/>
      <w:szCs w:val="24"/>
    </w:rPr>
  </w:style>
  <w:style w:type="paragraph" w:customStyle="1" w:styleId="993">
    <w:name w:val="xl277"/>
    <w:basedOn w:val="1"/>
    <w:uiPriority w:val="0"/>
    <w:pPr>
      <w:pBdr>
        <w:left w:val="single" w:color="auto" w:sz="4" w:space="0"/>
        <w:right w:val="single" w:color="auto" w:sz="4" w:space="0"/>
      </w:pBdr>
      <w:spacing w:before="100" w:beforeAutospacing="1" w:after="100" w:afterAutospacing="1"/>
      <w:jc w:val="center"/>
      <w:textAlignment w:val="center"/>
    </w:pPr>
    <w:rPr>
      <w:rFonts w:ascii="仿宋" w:hAnsi="仿宋" w:eastAsia="仿宋" w:cs="宋体"/>
      <w:kern w:val="0"/>
      <w:sz w:val="24"/>
      <w:szCs w:val="24"/>
    </w:rPr>
  </w:style>
  <w:style w:type="paragraph" w:customStyle="1" w:styleId="994">
    <w:name w:val="xl28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 w:hAnsi="仿宋" w:eastAsia="仿宋" w:cs="宋体"/>
      <w:kern w:val="0"/>
      <w:sz w:val="24"/>
      <w:szCs w:val="24"/>
    </w:rPr>
  </w:style>
  <w:style w:type="paragraph" w:customStyle="1" w:styleId="995">
    <w:name w:val="xl31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仿宋" w:hAnsi="仿宋" w:eastAsia="仿宋" w:cs="宋体"/>
      <w:kern w:val="0"/>
      <w:sz w:val="24"/>
      <w:szCs w:val="24"/>
    </w:rPr>
  </w:style>
  <w:style w:type="paragraph" w:customStyle="1" w:styleId="996">
    <w:name w:val="xl31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 w:hAnsi="仿宋" w:eastAsia="仿宋" w:cs="宋体"/>
      <w:kern w:val="0"/>
      <w:sz w:val="24"/>
      <w:szCs w:val="24"/>
    </w:rPr>
  </w:style>
  <w:style w:type="paragraph" w:customStyle="1" w:styleId="997">
    <w:name w:val="xl32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 w:hAnsi="仿宋" w:eastAsia="仿宋" w:cs="宋体"/>
      <w:kern w:val="0"/>
      <w:sz w:val="24"/>
      <w:szCs w:val="24"/>
    </w:rPr>
  </w:style>
  <w:style w:type="table" w:customStyle="1" w:styleId="998">
    <w:name w:val="网格型131"/>
    <w:basedOn w:val="64"/>
    <w:uiPriority w:val="0"/>
    <w:pPr>
      <w:widowControl w:val="0"/>
      <w:jc w:val="both"/>
    </w:pPr>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9">
    <w:name w:val="网格型23"/>
    <w:basedOn w:val="64"/>
    <w:uiPriority w:val="59"/>
    <w:rPr>
      <w:rFonts w:ascii="Calibri" w:hAnsi="Calibri" w:eastAsia="宋体" w:cs="Times New Roman"/>
      <w:kern w:val="2"/>
      <w:sz w:val="21"/>
      <w:szCs w:val="22"/>
    </w:rPr>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0">
    <w:name w:val="网格型26"/>
    <w:basedOn w:val="64"/>
    <w:unhideWhenUsed/>
    <w:uiPriority w:val="59"/>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1">
    <w:name w:val="网格型35"/>
    <w:basedOn w:val="64"/>
    <w:uiPriority w:val="59"/>
    <w:rPr>
      <w:rFonts w:ascii="Calibri" w:hAnsi="Calibri"/>
    </w:rPr>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2">
    <w:name w:val="网格型36"/>
    <w:basedOn w:val="64"/>
    <w:uiPriority w:val="39"/>
    <w:rPr>
      <w:rFonts w:ascii="Calibri" w:hAnsi="Calibri" w:eastAsia="宋体" w:cs="Times New Roman"/>
      <w:kern w:val="2"/>
      <w:sz w:val="21"/>
      <w:szCs w:val="22"/>
    </w:rPr>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3">
    <w:name w:val="网格型39"/>
    <w:basedOn w:val="64"/>
    <w:uiPriority w:val="39"/>
    <w:rPr>
      <w:rFonts w:ascii="Calibri" w:hAnsi="Calibri" w:eastAsia="宋体" w:cs="Times New Roman"/>
      <w:kern w:val="2"/>
      <w:sz w:val="21"/>
      <w:szCs w:val="22"/>
    </w:rPr>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4">
    <w:name w:val="网格型4"/>
    <w:basedOn w:val="64"/>
    <w:uiPriority w:val="59"/>
    <w:rPr>
      <w:rFonts w:ascii="Calibri" w:hAnsi="Calibri" w:eastAsia="宋体" w:cs="Times New Roman"/>
      <w:kern w:val="2"/>
      <w:sz w:val="21"/>
      <w:szCs w:val="22"/>
    </w:rPr>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5">
    <w:name w:val="网格型42"/>
    <w:basedOn w:val="64"/>
    <w:uiPriority w:val="39"/>
    <w:rPr>
      <w:rFonts w:ascii="等线" w:hAnsi="等线" w:eastAsia="等线" w:cs="Times New Roman"/>
    </w:rPr>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网格型43"/>
    <w:basedOn w:val="64"/>
    <w:uiPriority w:val="59"/>
    <w:rPr>
      <w:rFonts w:ascii="Calibri" w:hAnsi="Calibri" w:eastAsia="宋体" w:cs="Times New Roman"/>
    </w:rPr>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网格型24"/>
    <w:basedOn w:val="64"/>
    <w:qFormat/>
    <w:uiPriority w:val="0"/>
    <w:pPr>
      <w:widowControl w:val="0"/>
      <w:jc w:val="both"/>
    </w:pPr>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22"/>
    <w:basedOn w:val="64"/>
    <w:uiPriority w:val="39"/>
    <w:rPr>
      <w:rFonts w:ascii="Calibri" w:hAnsi="Calibri" w:eastAsia="宋体" w:cs="Times New Roman"/>
      <w:kern w:val="2"/>
      <w:sz w:val="21"/>
      <w:szCs w:val="22"/>
    </w:rPr>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简明型 211"/>
    <w:basedOn w:val="64"/>
    <w:uiPriority w:val="0"/>
    <w:pPr>
      <w:widowControl w:val="0"/>
      <w:jc w:val="both"/>
    </w:pPr>
    <w:tblPr>
      <w:tblStyle w:val="64"/>
    </w:tblPr>
    <w:tblStylePr w:type="firstRow">
      <w:rPr>
        <w:b/>
        <w:bCs/>
      </w:rPr>
      <w:tblPr>
        <w:tblStyle w:val="64"/>
      </w:tblPr>
      <w:tcPr>
        <w:tcBorders>
          <w:top w:val="nil"/>
          <w:left w:val="single" w:color="000000" w:sz="12" w:space="0"/>
          <w:bottom w:val="nil"/>
          <w:right w:val="nil"/>
          <w:insideH w:val="nil"/>
          <w:insideV w:val="nil"/>
          <w:tl2br w:val="nil"/>
          <w:tr2bl w:val="nil"/>
        </w:tcBorders>
      </w:tcPr>
    </w:tblStylePr>
    <w:tblStylePr w:type="lastRow">
      <w:rPr>
        <w:b/>
        <w:bCs/>
        <w:color w:val="auto"/>
      </w:rPr>
      <w:tblPr>
        <w:tblStyle w:val="64"/>
      </w:tblPr>
      <w:tcPr>
        <w:tcBorders>
          <w:top w:val="single" w:color="000000" w:sz="6" w:space="0"/>
          <w:left w:val="nil"/>
          <w:bottom w:val="nil"/>
          <w:right w:val="nil"/>
          <w:insideH w:val="nil"/>
          <w:insideV w:val="nil"/>
          <w:tl2br w:val="nil"/>
          <w:tr2bl w:val="nil"/>
        </w:tcBorders>
      </w:tcPr>
    </w:tblStylePr>
    <w:tblStylePr w:type="firstCol">
      <w:rPr>
        <w:b/>
        <w:bCs/>
      </w:rPr>
      <w:tblPr>
        <w:tblStyle w:val="64"/>
      </w:tblPr>
      <w:tcPr>
        <w:tcBorders>
          <w:top w:val="nil"/>
          <w:left w:val="nil"/>
          <w:bottom w:val="nil"/>
          <w:right w:val="single" w:color="000000" w:sz="12" w:space="0"/>
          <w:insideH w:val="nil"/>
          <w:insideV w:val="nil"/>
          <w:tl2br w:val="nil"/>
          <w:tr2bl w:val="nil"/>
        </w:tcBorders>
      </w:tcPr>
    </w:tblStylePr>
    <w:tblStylePr w:type="lastCol">
      <w:rPr>
        <w:b/>
        <w:bCs/>
      </w:rPr>
      <w:tblPr>
        <w:tblStyle w:val="64"/>
      </w:tblPr>
      <w:tcPr>
        <w:tcBorders>
          <w:top w:val="nil"/>
          <w:left w:val="nil"/>
          <w:bottom w:val="single" w:color="000000" w:sz="6" w:space="0"/>
          <w:right w:val="nil"/>
          <w:insideH w:val="nil"/>
          <w:insideV w:val="nil"/>
          <w:tl2br w:val="nil"/>
          <w:tr2bl w:val="nil"/>
        </w:tcBorders>
      </w:tcPr>
    </w:tblStylePr>
    <w:tblStylePr w:type="neCell">
      <w:rPr>
        <w:b/>
        <w:bCs/>
      </w:rPr>
      <w:tblPr>
        <w:tblStyle w:val="64"/>
      </w:tblPr>
      <w:tcPr>
        <w:tcBorders>
          <w:top w:val="nil"/>
          <w:left w:val="nil"/>
          <w:bottom w:val="nil"/>
          <w:right w:val="nil"/>
          <w:insideH w:val="nil"/>
          <w:insideV w:val="nil"/>
          <w:tl2br w:val="nil"/>
          <w:tr2bl w:val="nil"/>
        </w:tcBorders>
      </w:tcPr>
    </w:tblStylePr>
    <w:tblStylePr w:type="swCell">
      <w:rPr>
        <w:b/>
        <w:bCs/>
      </w:rPr>
      <w:tblPr>
        <w:tblStyle w:val="64"/>
      </w:tblPr>
      <w:tcPr>
        <w:tcBorders>
          <w:top w:val="nil"/>
          <w:left w:val="nil"/>
          <w:bottom w:val="nil"/>
          <w:right w:val="nil"/>
          <w:insideH w:val="nil"/>
          <w:insideV w:val="nil"/>
          <w:tl2br w:val="nil"/>
          <w:tr2bl w:val="nil"/>
        </w:tcBorders>
      </w:tcPr>
    </w:tblStylePr>
  </w:style>
  <w:style w:type="table" w:customStyle="1" w:styleId="1010">
    <w:name w:val="网格型20"/>
    <w:basedOn w:val="64"/>
    <w:qFormat/>
    <w:uiPriority w:val="59"/>
    <w:rPr>
      <w:rFonts w:ascii="Calibri" w:hAnsi="Calibri"/>
      <w:kern w:val="2"/>
      <w:sz w:val="24"/>
      <w:szCs w:val="24"/>
    </w:rPr>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1">
    <w:name w:val="简明型 22"/>
    <w:basedOn w:val="64"/>
    <w:uiPriority w:val="0"/>
    <w:pPr>
      <w:widowControl w:val="0"/>
      <w:jc w:val="both"/>
    </w:pPr>
    <w:tblPr>
      <w:tblStyle w:val="64"/>
    </w:tblPr>
    <w:tblStylePr w:type="firstRow">
      <w:rPr>
        <w:b/>
        <w:bCs/>
      </w:rPr>
      <w:tblPr>
        <w:tblStyle w:val="64"/>
      </w:tblPr>
      <w:tcPr>
        <w:tcBorders>
          <w:top w:val="nil"/>
          <w:left w:val="single" w:color="000000" w:sz="12" w:space="0"/>
          <w:bottom w:val="nil"/>
          <w:right w:val="nil"/>
          <w:insideH w:val="nil"/>
          <w:insideV w:val="nil"/>
          <w:tl2br w:val="nil"/>
          <w:tr2bl w:val="nil"/>
        </w:tcBorders>
      </w:tcPr>
    </w:tblStylePr>
    <w:tblStylePr w:type="lastRow">
      <w:rPr>
        <w:b/>
        <w:bCs/>
        <w:color w:val="auto"/>
      </w:rPr>
      <w:tblPr>
        <w:tblStyle w:val="64"/>
      </w:tblPr>
      <w:tcPr>
        <w:tcBorders>
          <w:top w:val="single" w:color="000000" w:sz="6" w:space="0"/>
          <w:left w:val="nil"/>
          <w:bottom w:val="nil"/>
          <w:right w:val="nil"/>
          <w:insideH w:val="nil"/>
          <w:insideV w:val="nil"/>
          <w:tl2br w:val="nil"/>
          <w:tr2bl w:val="nil"/>
        </w:tcBorders>
      </w:tcPr>
    </w:tblStylePr>
    <w:tblStylePr w:type="firstCol">
      <w:rPr>
        <w:b/>
        <w:bCs/>
      </w:rPr>
      <w:tblPr>
        <w:tblStyle w:val="64"/>
      </w:tblPr>
      <w:tcPr>
        <w:tcBorders>
          <w:top w:val="nil"/>
          <w:left w:val="nil"/>
          <w:bottom w:val="nil"/>
          <w:right w:val="single" w:color="000000" w:sz="12" w:space="0"/>
          <w:insideH w:val="nil"/>
          <w:insideV w:val="nil"/>
          <w:tl2br w:val="nil"/>
          <w:tr2bl w:val="nil"/>
        </w:tcBorders>
      </w:tcPr>
    </w:tblStylePr>
    <w:tblStylePr w:type="lastCol">
      <w:rPr>
        <w:b/>
        <w:bCs/>
      </w:rPr>
      <w:tblPr>
        <w:tblStyle w:val="64"/>
      </w:tblPr>
      <w:tcPr>
        <w:tcBorders>
          <w:top w:val="nil"/>
          <w:left w:val="nil"/>
          <w:bottom w:val="single" w:color="000000" w:sz="6" w:space="0"/>
          <w:right w:val="nil"/>
          <w:insideH w:val="nil"/>
          <w:insideV w:val="nil"/>
          <w:tl2br w:val="nil"/>
          <w:tr2bl w:val="nil"/>
        </w:tcBorders>
      </w:tcPr>
    </w:tblStylePr>
    <w:tblStylePr w:type="neCell">
      <w:rPr>
        <w:b/>
        <w:bCs/>
      </w:rPr>
      <w:tblPr>
        <w:tblStyle w:val="64"/>
      </w:tblPr>
      <w:tcPr>
        <w:tcBorders>
          <w:top w:val="nil"/>
          <w:left w:val="nil"/>
          <w:bottom w:val="nil"/>
          <w:right w:val="nil"/>
          <w:insideH w:val="nil"/>
          <w:insideV w:val="nil"/>
          <w:tl2br w:val="nil"/>
          <w:tr2bl w:val="nil"/>
        </w:tcBorders>
      </w:tcPr>
    </w:tblStylePr>
    <w:tblStylePr w:type="swCell">
      <w:rPr>
        <w:b/>
        <w:bCs/>
      </w:rPr>
      <w:tblPr>
        <w:tblStyle w:val="64"/>
      </w:tblPr>
      <w:tcPr>
        <w:tcBorders>
          <w:top w:val="nil"/>
          <w:left w:val="nil"/>
          <w:bottom w:val="nil"/>
          <w:right w:val="nil"/>
          <w:insideH w:val="nil"/>
          <w:insideV w:val="nil"/>
          <w:tl2br w:val="nil"/>
          <w:tr2bl w:val="nil"/>
        </w:tcBorders>
      </w:tcPr>
    </w:tblStylePr>
  </w:style>
  <w:style w:type="table" w:customStyle="1" w:styleId="1012">
    <w:name w:val="网格型40"/>
    <w:basedOn w:val="64"/>
    <w:uiPriority w:val="39"/>
    <w:pPr>
      <w:widowControl w:val="0"/>
      <w:jc w:val="both"/>
    </w:pPr>
    <w:rPr>
      <w:rFonts w:ascii="Calibri" w:hAnsi="Calibri"/>
    </w:rPr>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3">
    <w:name w:val="网格型34"/>
    <w:basedOn w:val="64"/>
    <w:uiPriority w:val="59"/>
    <w:rPr>
      <w:rFonts w:ascii="Calibri" w:hAnsi="Calibri" w:eastAsia="宋体" w:cs="Times New Roman"/>
      <w:kern w:val="2"/>
      <w:sz w:val="21"/>
      <w:szCs w:val="22"/>
    </w:rPr>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4">
    <w:name w:val="网格型33"/>
    <w:basedOn w:val="64"/>
    <w:locked/>
    <w:uiPriority w:val="59"/>
    <w:rPr>
      <w:rFonts w:ascii="Calibri" w:hAnsi="Calibri"/>
      <w:kern w:val="2"/>
      <w:sz w:val="21"/>
      <w:szCs w:val="22"/>
    </w:rPr>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5">
    <w:name w:val="网格型30"/>
    <w:basedOn w:val="64"/>
    <w:uiPriority w:val="59"/>
    <w:rPr>
      <w:rFonts w:ascii="Calibri" w:hAnsi="Calibri"/>
    </w:rPr>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6">
    <w:name w:val="网格型28"/>
    <w:basedOn w:val="64"/>
    <w:uiPriority w:val="99"/>
    <w:pPr>
      <w:widowControl w:val="0"/>
      <w:jc w:val="both"/>
    </w:pPr>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7">
    <w:name w:val="网格型29"/>
    <w:basedOn w:val="64"/>
    <w:uiPriority w:val="59"/>
    <w:rPr>
      <w:rFonts w:ascii="Calibri" w:hAnsi="Calibri" w:eastAsia="宋体" w:cs="Times New Roman"/>
      <w:kern w:val="2"/>
      <w:sz w:val="21"/>
      <w:szCs w:val="22"/>
    </w:rPr>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8">
    <w:name w:val="网格型110"/>
    <w:basedOn w:val="64"/>
    <w:uiPriority w:val="59"/>
    <w:rPr>
      <w:rFonts w:ascii="Calibri" w:hAnsi="Calibri"/>
      <w:kern w:val="2"/>
      <w:sz w:val="21"/>
      <w:szCs w:val="22"/>
    </w:rPr>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9">
    <w:name w:val="网格型41"/>
    <w:basedOn w:val="64"/>
    <w:uiPriority w:val="59"/>
    <w:rPr>
      <w:rFonts w:ascii="Calibri" w:hAnsi="Calibri"/>
      <w:kern w:val="2"/>
      <w:sz w:val="21"/>
      <w:szCs w:val="22"/>
    </w:rPr>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0">
    <w:name w:val="网格型25"/>
    <w:basedOn w:val="64"/>
    <w:uiPriority w:val="0"/>
    <w:pPr>
      <w:widowControl w:val="0"/>
      <w:jc w:val="both"/>
    </w:pPr>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1">
    <w:name w:val="网格型27"/>
    <w:basedOn w:val="64"/>
    <w:uiPriority w:val="59"/>
    <w:rPr>
      <w:rFonts w:ascii="Calibri" w:hAnsi="Calibri"/>
      <w:kern w:val="2"/>
      <w:sz w:val="21"/>
      <w:szCs w:val="22"/>
    </w:rPr>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2">
    <w:name w:val="网格型37"/>
    <w:basedOn w:val="64"/>
    <w:uiPriority w:val="99"/>
    <w:rPr>
      <w:rFonts w:ascii="Calibri" w:hAnsi="Calibri"/>
    </w:rPr>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3">
    <w:name w:val="网格型38"/>
    <w:basedOn w:val="64"/>
    <w:uiPriority w:val="59"/>
    <w:pPr>
      <w:widowControl w:val="0"/>
      <w:jc w:val="both"/>
    </w:pPr>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4">
    <w:name w:val="网格型1"/>
    <w:basedOn w:val="64"/>
    <w:uiPriority w:val="59"/>
    <w:rPr>
      <w:rFonts w:ascii="Calibri" w:hAnsi="Calibri" w:eastAsia="宋体" w:cs="Times New Roman"/>
      <w:kern w:val="2"/>
      <w:sz w:val="21"/>
      <w:szCs w:val="22"/>
    </w:rPr>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5">
    <w:name w:val="网格型2"/>
    <w:basedOn w:val="64"/>
    <w:uiPriority w:val="59"/>
    <w:rPr>
      <w:rFonts w:ascii="Calibri" w:hAnsi="Calibri" w:eastAsia="宋体" w:cs="Times New Roman"/>
      <w:kern w:val="2"/>
      <w:sz w:val="21"/>
      <w:szCs w:val="22"/>
    </w:rPr>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6">
    <w:name w:val="网格型3"/>
    <w:basedOn w:val="64"/>
    <w:uiPriority w:val="59"/>
    <w:rPr>
      <w:rFonts w:ascii="Calibri" w:hAnsi="Calibri" w:eastAsia="宋体" w:cs="Times New Roman"/>
      <w:kern w:val="2"/>
      <w:sz w:val="21"/>
      <w:szCs w:val="22"/>
    </w:rPr>
    <w:tblPr>
      <w:tblStyle w:val="64"/>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027">
    <w:name w:val="网格型5"/>
    <w:basedOn w:val="64"/>
    <w:uiPriority w:val="59"/>
    <w:pPr>
      <w:widowControl w:val="0"/>
      <w:jc w:val="both"/>
    </w:pPr>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8">
    <w:name w:val="网格型6"/>
    <w:basedOn w:val="64"/>
    <w:uiPriority w:val="59"/>
    <w:rPr>
      <w:rFonts w:ascii="Calibri" w:hAnsi="Calibri" w:eastAsia="宋体" w:cs="Times New Roman"/>
      <w:kern w:val="2"/>
      <w:sz w:val="21"/>
      <w:szCs w:val="22"/>
    </w:rPr>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9">
    <w:name w:val="网格型7"/>
    <w:basedOn w:val="64"/>
    <w:uiPriority w:val="99"/>
    <w:pPr>
      <w:widowControl w:val="0"/>
      <w:jc w:val="both"/>
    </w:pPr>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0">
    <w:name w:val="网格型8"/>
    <w:basedOn w:val="64"/>
    <w:uiPriority w:val="59"/>
    <w:rPr>
      <w:rFonts w:ascii="Calibri" w:hAnsi="Calibri"/>
    </w:rPr>
    <w:tblPr>
      <w:tblStyle w:val="64"/>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031">
    <w:name w:val="网格型9"/>
    <w:basedOn w:val="64"/>
    <w:uiPriority w:val="99"/>
    <w:pPr>
      <w:widowControl w:val="0"/>
      <w:jc w:val="both"/>
    </w:pPr>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2">
    <w:name w:val="网格型10"/>
    <w:basedOn w:val="64"/>
    <w:uiPriority w:val="59"/>
    <w:rPr>
      <w:rFonts w:ascii="Calibri" w:hAnsi="Calibri"/>
    </w:rPr>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3">
    <w:name w:val="网格型11"/>
    <w:basedOn w:val="64"/>
    <w:uiPriority w:val="59"/>
    <w:rPr>
      <w:rFonts w:ascii="Calibri" w:hAnsi="Calibri" w:eastAsia="宋体" w:cs="Times New Roman"/>
      <w:kern w:val="2"/>
      <w:sz w:val="21"/>
      <w:szCs w:val="22"/>
    </w:rPr>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4">
    <w:name w:val="网格型12"/>
    <w:basedOn w:val="64"/>
    <w:qFormat/>
    <w:uiPriority w:val="0"/>
    <w:pPr>
      <w:widowControl w:val="0"/>
      <w:jc w:val="both"/>
    </w:pPr>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5">
    <w:name w:val="网格型13"/>
    <w:basedOn w:val="64"/>
    <w:uiPriority w:val="59"/>
    <w:pPr>
      <w:widowControl w:val="0"/>
      <w:jc w:val="both"/>
    </w:pPr>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6">
    <w:name w:val="网格型14"/>
    <w:basedOn w:val="64"/>
    <w:qFormat/>
    <w:uiPriority w:val="0"/>
    <w:rPr>
      <w:rFonts w:ascii="Calibri" w:hAnsi="Calibri"/>
    </w:rPr>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7">
    <w:name w:val="普通表格 11"/>
    <w:basedOn w:val="64"/>
    <w:uiPriority w:val="41"/>
    <w:rPr>
      <w:rFonts w:ascii="Calibri" w:hAnsi="Calibri"/>
    </w:rPr>
    <w:tblPr>
      <w:tblStyle w:val="64"/>
      <w:tblStyleRowBandSize w:val="1"/>
      <w:tblStyleColBandSize w:val="1"/>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tblStylePr w:type="firstRow">
      <w:rPr>
        <w:b/>
        <w:bCs/>
      </w:rPr>
    </w:tblStylePr>
    <w:tblStylePr w:type="lastRow">
      <w:rPr>
        <w:b/>
        <w:bCs/>
      </w:rPr>
      <w:tblPr>
        <w:tblStyle w:val="64"/>
      </w:tblPr>
      <w:tcPr>
        <w:tcBorders>
          <w:top w:val="double" w:color="BFBFBF"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64"/>
      </w:tblPr>
      <w:tcPr>
        <w:shd w:val="clear" w:color="auto" w:fill="F2F2F2"/>
      </w:tcPr>
    </w:tblStylePr>
    <w:tblStylePr w:type="band1Horz">
      <w:tblPr>
        <w:tblStyle w:val="64"/>
      </w:tblPr>
      <w:tcPr>
        <w:shd w:val="clear" w:color="auto" w:fill="F2F2F2"/>
      </w:tcPr>
    </w:tblStylePr>
  </w:style>
  <w:style w:type="table" w:customStyle="1" w:styleId="1038">
    <w:name w:val="浅色网格型1"/>
    <w:basedOn w:val="64"/>
    <w:uiPriority w:val="40"/>
    <w:rPr>
      <w:rFonts w:ascii="Calibri" w:hAnsi="Calibri"/>
    </w:rPr>
    <w:tblPr>
      <w:tblStyle w:val="64"/>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1039">
    <w:name w:val="网格型15"/>
    <w:basedOn w:val="64"/>
    <w:uiPriority w:val="0"/>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0">
    <w:name w:val="网格型16"/>
    <w:basedOn w:val="64"/>
    <w:qFormat/>
    <w:uiPriority w:val="0"/>
    <w:rPr>
      <w:rFonts w:ascii="Calibri" w:hAnsi="Calibri"/>
    </w:rPr>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1">
    <w:name w:val="网格型17"/>
    <w:basedOn w:val="64"/>
    <w:uiPriority w:val="0"/>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2">
    <w:name w:val="网格型18"/>
    <w:basedOn w:val="64"/>
    <w:uiPriority w:val="59"/>
    <w:pPr>
      <w:widowControl w:val="0"/>
      <w:jc w:val="both"/>
    </w:pPr>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3">
    <w:name w:val="网格型19"/>
    <w:basedOn w:val="64"/>
    <w:uiPriority w:val="0"/>
    <w:pPr>
      <w:widowControl w:val="0"/>
      <w:jc w:val="both"/>
    </w:pPr>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4">
    <w:name w:val="网格型21"/>
    <w:basedOn w:val="64"/>
    <w:uiPriority w:val="0"/>
    <w:pPr>
      <w:widowControl w:val="0"/>
      <w:jc w:val="both"/>
    </w:pPr>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5">
    <w:name w:val="简明型 21"/>
    <w:basedOn w:val="64"/>
    <w:uiPriority w:val="0"/>
    <w:pPr>
      <w:widowControl w:val="0"/>
      <w:jc w:val="both"/>
    </w:pPr>
    <w:tblPr>
      <w:tblStyle w:val="64"/>
    </w:tblPr>
    <w:tblStylePr w:type="firstRow">
      <w:rPr>
        <w:b/>
        <w:bCs/>
      </w:rPr>
      <w:tblPr>
        <w:tblStyle w:val="64"/>
      </w:tblPr>
      <w:tcPr>
        <w:tcBorders>
          <w:top w:val="nil"/>
          <w:left w:val="single" w:color="000000" w:sz="12" w:space="0"/>
          <w:bottom w:val="nil"/>
          <w:right w:val="nil"/>
          <w:insideH w:val="nil"/>
          <w:insideV w:val="nil"/>
          <w:tl2br w:val="nil"/>
          <w:tr2bl w:val="nil"/>
        </w:tcBorders>
      </w:tcPr>
    </w:tblStylePr>
    <w:tblStylePr w:type="lastRow">
      <w:rPr>
        <w:b/>
        <w:bCs/>
        <w:color w:val="auto"/>
      </w:rPr>
      <w:tblPr>
        <w:tblStyle w:val="64"/>
      </w:tblPr>
      <w:tcPr>
        <w:tcBorders>
          <w:top w:val="single" w:color="000000" w:sz="6" w:space="0"/>
          <w:left w:val="nil"/>
          <w:bottom w:val="nil"/>
          <w:right w:val="nil"/>
          <w:insideH w:val="nil"/>
          <w:insideV w:val="nil"/>
          <w:tl2br w:val="nil"/>
          <w:tr2bl w:val="nil"/>
        </w:tcBorders>
      </w:tcPr>
    </w:tblStylePr>
    <w:tblStylePr w:type="firstCol">
      <w:rPr>
        <w:b/>
        <w:bCs/>
      </w:rPr>
      <w:tblPr>
        <w:tblStyle w:val="64"/>
      </w:tblPr>
      <w:tcPr>
        <w:tcBorders>
          <w:top w:val="nil"/>
          <w:left w:val="nil"/>
          <w:bottom w:val="nil"/>
          <w:right w:val="single" w:color="000000" w:sz="12" w:space="0"/>
          <w:insideH w:val="nil"/>
          <w:insideV w:val="nil"/>
          <w:tl2br w:val="nil"/>
          <w:tr2bl w:val="nil"/>
        </w:tcBorders>
      </w:tcPr>
    </w:tblStylePr>
    <w:tblStylePr w:type="lastCol">
      <w:rPr>
        <w:b/>
        <w:bCs/>
      </w:rPr>
      <w:tblPr>
        <w:tblStyle w:val="64"/>
      </w:tblPr>
      <w:tcPr>
        <w:tcBorders>
          <w:top w:val="nil"/>
          <w:left w:val="nil"/>
          <w:bottom w:val="single" w:color="000000" w:sz="6" w:space="0"/>
          <w:right w:val="nil"/>
          <w:insideH w:val="nil"/>
          <w:insideV w:val="nil"/>
          <w:tl2br w:val="nil"/>
          <w:tr2bl w:val="nil"/>
        </w:tcBorders>
      </w:tcPr>
    </w:tblStylePr>
    <w:tblStylePr w:type="neCell">
      <w:rPr>
        <w:b/>
        <w:bCs/>
      </w:rPr>
      <w:tblPr>
        <w:tblStyle w:val="64"/>
      </w:tblPr>
      <w:tcPr>
        <w:tcBorders>
          <w:top w:val="nil"/>
          <w:left w:val="nil"/>
          <w:bottom w:val="nil"/>
          <w:right w:val="nil"/>
          <w:insideH w:val="nil"/>
          <w:insideV w:val="nil"/>
          <w:tl2br w:val="nil"/>
          <w:tr2bl w:val="nil"/>
        </w:tcBorders>
      </w:tcPr>
    </w:tblStylePr>
    <w:tblStylePr w:type="swCell">
      <w:rPr>
        <w:b/>
        <w:bCs/>
      </w:rPr>
      <w:tblPr>
        <w:tblStyle w:val="64"/>
      </w:tblPr>
      <w:tcPr>
        <w:tcBorders>
          <w:top w:val="nil"/>
          <w:left w:val="nil"/>
          <w:bottom w:val="nil"/>
          <w:right w:val="nil"/>
          <w:insideH w:val="nil"/>
          <w:insideV w:val="nil"/>
          <w:tl2br w:val="nil"/>
          <w:tr2bl w:val="nil"/>
        </w:tcBorders>
      </w:tcPr>
    </w:tblStylePr>
  </w:style>
  <w:style w:type="table" w:customStyle="1" w:styleId="1046">
    <w:name w:val="网格型111"/>
    <w:basedOn w:val="64"/>
    <w:uiPriority w:val="0"/>
    <w:pPr>
      <w:widowControl w:val="0"/>
      <w:jc w:val="both"/>
    </w:pPr>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7">
    <w:name w:val="网格型121"/>
    <w:basedOn w:val="64"/>
    <w:uiPriority w:val="0"/>
    <w:pPr>
      <w:widowControl w:val="0"/>
      <w:jc w:val="both"/>
    </w:pPr>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8">
    <w:name w:val="网格型31"/>
    <w:basedOn w:val="64"/>
    <w:uiPriority w:val="0"/>
    <w:pPr>
      <w:widowControl w:val="0"/>
      <w:jc w:val="both"/>
    </w:pPr>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9">
    <w:name w:val="网格型32"/>
    <w:basedOn w:val="64"/>
    <w:uiPriority w:val="59"/>
    <w:rPr>
      <w:rFonts w:ascii="Calibri" w:hAnsi="Calibri"/>
      <w:kern w:val="2"/>
      <w:sz w:val="21"/>
      <w:szCs w:val="22"/>
    </w:rPr>
    <w:tblPr>
      <w:tblStyle w:val="64"/>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050">
    <w:name w:val="网格型44"/>
    <w:basedOn w:val="64"/>
    <w:uiPriority w:val="59"/>
    <w:rPr>
      <w:rFonts w:ascii="Calibri" w:hAnsi="Calibri" w:eastAsia="宋体" w:cs="Times New Roman"/>
      <w:kern w:val="2"/>
      <w:sz w:val="21"/>
      <w:szCs w:val="22"/>
    </w:rPr>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wBefore w:w="0" w:type="dxa"/>
    </w:trPr>
  </w:style>
  <w:style w:type="table" w:customStyle="1" w:styleId="1051">
    <w:name w:val="网格型45"/>
    <w:basedOn w:val="64"/>
    <w:uiPriority w:val="59"/>
    <w:tblPr>
      <w:tblStyle w:val="6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wBefore w:w="0" w:type="dxa"/>
    </w:trPr>
  </w:style>
  <w:style w:type="paragraph" w:customStyle="1" w:styleId="1052">
    <w:name w:val="HIK项目标号"/>
    <w:basedOn w:val="1"/>
    <w:next w:val="1"/>
    <w:qFormat/>
    <w:uiPriority w:val="0"/>
    <w:pPr>
      <w:widowControl w:val="0"/>
      <w:numPr>
        <w:ilvl w:val="0"/>
        <w:numId w:val="9"/>
      </w:numPr>
      <w:spacing w:line="360" w:lineRule="auto"/>
      <w:ind w:left="0" w:firstLine="200" w:firstLineChars="200"/>
    </w:pPr>
    <w:rPr>
      <w:rFonts w:ascii="Arial" w:hAnsi="Arial" w:cs="宋体"/>
      <w:sz w:val="24"/>
    </w:rPr>
  </w:style>
  <w:style w:type="paragraph" w:customStyle="1" w:styleId="1053">
    <w:name w:val="HIK 段分 2"/>
    <w:basedOn w:val="3"/>
    <w:next w:val="1"/>
    <w:link w:val="1055"/>
    <w:qFormat/>
    <w:uiPriority w:val="0"/>
    <w:pPr>
      <w:pageBreakBefore/>
      <w:widowControl w:val="0"/>
      <w:adjustRightInd/>
      <w:spacing w:before="100" w:after="100"/>
      <w:ind w:left="576" w:hanging="576"/>
      <w:textAlignment w:val="auto"/>
    </w:pPr>
    <w:rPr>
      <w:rFonts w:ascii="宋体" w:hAnsi="Cambria" w:eastAsia="楷体"/>
      <w:b/>
      <w:bCs/>
      <w:kern w:val="2"/>
      <w:szCs w:val="32"/>
    </w:rPr>
  </w:style>
  <w:style w:type="paragraph" w:customStyle="1" w:styleId="1054">
    <w:name w:val="HIK 段分 3"/>
    <w:basedOn w:val="4"/>
    <w:next w:val="1"/>
    <w:link w:val="1057"/>
    <w:qFormat/>
    <w:uiPriority w:val="0"/>
    <w:pPr>
      <w:keepLines w:val="0"/>
      <w:pageBreakBefore/>
      <w:widowControl w:val="0"/>
      <w:spacing w:before="80" w:after="80" w:line="360" w:lineRule="auto"/>
      <w:ind w:left="720" w:hanging="720"/>
    </w:pPr>
    <w:rPr>
      <w:rFonts w:ascii="宋体" w:hAnsi="Calibri" w:eastAsia="楷体"/>
      <w:bCs/>
      <w:sz w:val="28"/>
      <w:szCs w:val="32"/>
    </w:rPr>
  </w:style>
  <w:style w:type="character" w:customStyle="1" w:styleId="1055">
    <w:name w:val="HIK 段分 2 Char"/>
    <w:link w:val="1053"/>
    <w:qFormat/>
    <w:uiPriority w:val="0"/>
    <w:rPr>
      <w:rFonts w:ascii="宋体" w:hAnsi="Cambria" w:eastAsia="楷体"/>
      <w:b/>
      <w:bCs/>
      <w:kern w:val="2"/>
      <w:sz w:val="28"/>
      <w:szCs w:val="32"/>
    </w:rPr>
  </w:style>
  <w:style w:type="paragraph" w:customStyle="1" w:styleId="1056">
    <w:name w:val="HIK 段分 4"/>
    <w:basedOn w:val="5"/>
    <w:next w:val="1"/>
    <w:link w:val="1059"/>
    <w:qFormat/>
    <w:uiPriority w:val="0"/>
    <w:pPr>
      <w:keepLines w:val="0"/>
      <w:pageBreakBefore/>
      <w:widowControl w:val="0"/>
      <w:spacing w:before="60" w:after="60" w:line="360" w:lineRule="auto"/>
      <w:ind w:left="864" w:hanging="864"/>
    </w:pPr>
    <w:rPr>
      <w:rFonts w:ascii="宋体" w:hAnsi="Cambria" w:eastAsia="楷体"/>
      <w:bCs/>
      <w:sz w:val="24"/>
      <w:szCs w:val="28"/>
    </w:rPr>
  </w:style>
  <w:style w:type="character" w:customStyle="1" w:styleId="1057">
    <w:name w:val="HIK 段分 3 Char"/>
    <w:link w:val="1054"/>
    <w:qFormat/>
    <w:uiPriority w:val="0"/>
    <w:rPr>
      <w:rFonts w:ascii="宋体" w:hAnsi="Calibri" w:eastAsia="楷体"/>
      <w:b/>
      <w:bCs/>
      <w:kern w:val="2"/>
      <w:sz w:val="28"/>
      <w:szCs w:val="32"/>
    </w:rPr>
  </w:style>
  <w:style w:type="paragraph" w:customStyle="1" w:styleId="1058">
    <w:name w:val="HIK 段分 5"/>
    <w:basedOn w:val="6"/>
    <w:next w:val="1"/>
    <w:link w:val="1060"/>
    <w:qFormat/>
    <w:uiPriority w:val="0"/>
    <w:pPr>
      <w:keepLines w:val="0"/>
      <w:pageBreakBefore/>
      <w:widowControl w:val="0"/>
      <w:tabs>
        <w:tab w:val="clear" w:pos="1008"/>
      </w:tabs>
      <w:spacing w:before="60" w:after="60" w:line="360" w:lineRule="auto"/>
      <w:ind w:left="1008" w:hanging="1008"/>
    </w:pPr>
    <w:rPr>
      <w:rFonts w:ascii="宋体" w:hAnsi="Calibri" w:eastAsia="楷体"/>
      <w:sz w:val="24"/>
    </w:rPr>
  </w:style>
  <w:style w:type="character" w:customStyle="1" w:styleId="1059">
    <w:name w:val="HIK 段分 4 Char"/>
    <w:link w:val="1056"/>
    <w:qFormat/>
    <w:uiPriority w:val="0"/>
    <w:rPr>
      <w:rFonts w:ascii="宋体" w:hAnsi="Cambria" w:eastAsia="楷体"/>
      <w:b/>
      <w:bCs/>
      <w:kern w:val="2"/>
      <w:sz w:val="24"/>
      <w:szCs w:val="28"/>
    </w:rPr>
  </w:style>
  <w:style w:type="character" w:customStyle="1" w:styleId="1060">
    <w:name w:val="HIK 段分 5 Char"/>
    <w:link w:val="1058"/>
    <w:qFormat/>
    <w:uiPriority w:val="0"/>
    <w:rPr>
      <w:rFonts w:ascii="宋体" w:hAnsi="Calibri" w:eastAsia="楷体"/>
      <w:b/>
      <w:bCs/>
      <w:kern w:val="2"/>
      <w:sz w:val="24"/>
      <w:szCs w:val="28"/>
    </w:rPr>
  </w:style>
  <w:style w:type="paragraph" w:customStyle="1" w:styleId="1061">
    <w:name w:val="HIK图文"/>
    <w:qFormat/>
    <w:uiPriority w:val="0"/>
    <w:pPr>
      <w:spacing w:line="360" w:lineRule="auto"/>
      <w:jc w:val="center"/>
    </w:pPr>
    <w:rPr>
      <w:rFonts w:ascii="宋体" w:hAnsi="Calibri"/>
      <w:kern w:val="2"/>
      <w:sz w:val="24"/>
      <w:szCs w:val="22"/>
      <w:lang w:val="en-US" w:eastAsia="zh-CN" w:bidi="ar-SA"/>
    </w:rPr>
  </w:style>
  <w:style w:type="paragraph" w:customStyle="1" w:styleId="1062">
    <w:name w:val="hik标题1"/>
    <w:next w:val="1063"/>
    <w:qFormat/>
    <w:uiPriority w:val="0"/>
    <w:pPr>
      <w:widowControl w:val="0"/>
      <w:numPr>
        <w:ilvl w:val="0"/>
        <w:numId w:val="10"/>
      </w:numPr>
      <w:spacing w:line="360" w:lineRule="auto"/>
      <w:outlineLvl w:val="0"/>
    </w:pPr>
    <w:rPr>
      <w:rFonts w:ascii="黑体" w:hAnsi="宋体" w:eastAsia="黑体"/>
      <w:b/>
      <w:kern w:val="2"/>
      <w:sz w:val="32"/>
      <w:szCs w:val="30"/>
      <w:lang w:val="en-US" w:eastAsia="zh-CN" w:bidi="ar-SA"/>
    </w:rPr>
  </w:style>
  <w:style w:type="paragraph" w:customStyle="1" w:styleId="1063">
    <w:name w:val="hik 正文"/>
    <w:basedOn w:val="1"/>
    <w:link w:val="1072"/>
    <w:qFormat/>
    <w:uiPriority w:val="0"/>
    <w:pPr>
      <w:widowControl w:val="0"/>
      <w:spacing w:line="360" w:lineRule="auto"/>
      <w:ind w:firstLine="480" w:firstLineChars="200"/>
      <w:jc w:val="both"/>
    </w:pPr>
    <w:rPr>
      <w:rFonts w:ascii="Calibri" w:hAnsi="Calibri"/>
      <w:sz w:val="24"/>
      <w:szCs w:val="24"/>
    </w:rPr>
  </w:style>
  <w:style w:type="paragraph" w:customStyle="1" w:styleId="1064">
    <w:name w:val="hik标题2"/>
    <w:next w:val="1063"/>
    <w:qFormat/>
    <w:uiPriority w:val="0"/>
    <w:pPr>
      <w:widowControl w:val="0"/>
      <w:numPr>
        <w:ilvl w:val="1"/>
        <w:numId w:val="10"/>
      </w:numPr>
      <w:spacing w:line="360" w:lineRule="auto"/>
      <w:ind w:left="576"/>
      <w:outlineLvl w:val="1"/>
    </w:pPr>
    <w:rPr>
      <w:rFonts w:ascii="黑体" w:hAnsi="宋体" w:eastAsia="仿宋"/>
      <w:b/>
      <w:color w:val="000000"/>
      <w:kern w:val="2"/>
      <w:sz w:val="28"/>
      <w:szCs w:val="30"/>
      <w:lang w:val="en-US" w:eastAsia="zh-CN" w:bidi="ar-SA"/>
    </w:rPr>
  </w:style>
  <w:style w:type="paragraph" w:customStyle="1" w:styleId="1065">
    <w:name w:val="hik标题3"/>
    <w:basedOn w:val="1064"/>
    <w:next w:val="1063"/>
    <w:link w:val="1073"/>
    <w:qFormat/>
    <w:uiPriority w:val="0"/>
    <w:pPr>
      <w:numPr>
        <w:ilvl w:val="2"/>
        <w:numId w:val="10"/>
      </w:numPr>
      <w:outlineLvl w:val="2"/>
    </w:pPr>
  </w:style>
  <w:style w:type="paragraph" w:customStyle="1" w:styleId="1066">
    <w:name w:val="hik标题4"/>
    <w:next w:val="1063"/>
    <w:qFormat/>
    <w:uiPriority w:val="0"/>
    <w:pPr>
      <w:widowControl w:val="0"/>
      <w:numPr>
        <w:ilvl w:val="3"/>
        <w:numId w:val="10"/>
      </w:numPr>
      <w:spacing w:line="360" w:lineRule="auto"/>
      <w:outlineLvl w:val="3"/>
    </w:pPr>
    <w:rPr>
      <w:rFonts w:ascii="黑体" w:hAnsi="宋体" w:eastAsia="黑体"/>
      <w:b/>
      <w:kern w:val="2"/>
      <w:sz w:val="24"/>
      <w:szCs w:val="28"/>
      <w:lang w:val="en-US" w:eastAsia="zh-CN" w:bidi="ar-SA"/>
    </w:rPr>
  </w:style>
  <w:style w:type="paragraph" w:customStyle="1" w:styleId="1067">
    <w:name w:val="hik标题5"/>
    <w:basedOn w:val="1"/>
    <w:next w:val="1063"/>
    <w:qFormat/>
    <w:uiPriority w:val="0"/>
    <w:pPr>
      <w:widowControl w:val="0"/>
      <w:numPr>
        <w:ilvl w:val="4"/>
        <w:numId w:val="10"/>
      </w:numPr>
      <w:spacing w:line="360" w:lineRule="auto"/>
      <w:ind w:left="1009" w:hanging="1009"/>
      <w:outlineLvl w:val="4"/>
    </w:pPr>
    <w:rPr>
      <w:rFonts w:ascii="宋体" w:hAnsi="黑体" w:cs="宋体"/>
      <w:b/>
      <w:sz w:val="24"/>
      <w:szCs w:val="28"/>
    </w:rPr>
  </w:style>
  <w:style w:type="paragraph" w:customStyle="1" w:styleId="1068">
    <w:name w:val="HIK-标题6"/>
    <w:qFormat/>
    <w:uiPriority w:val="0"/>
    <w:pPr>
      <w:numPr>
        <w:ilvl w:val="5"/>
        <w:numId w:val="10"/>
      </w:numPr>
    </w:pPr>
    <w:rPr>
      <w:rFonts w:ascii="黑体" w:hAnsi="黑体" w:eastAsia="黑体" w:cs="宋体"/>
      <w:kern w:val="2"/>
      <w:sz w:val="28"/>
      <w:szCs w:val="28"/>
      <w:lang w:val="en-US" w:eastAsia="zh-CN" w:bidi="ar-SA"/>
    </w:rPr>
  </w:style>
  <w:style w:type="paragraph" w:customStyle="1" w:styleId="1069">
    <w:name w:val="HIK-标题7"/>
    <w:qFormat/>
    <w:uiPriority w:val="0"/>
    <w:pPr>
      <w:numPr>
        <w:ilvl w:val="6"/>
        <w:numId w:val="10"/>
      </w:numPr>
    </w:pPr>
    <w:rPr>
      <w:rFonts w:ascii="黑体" w:hAnsi="黑体" w:eastAsia="黑体" w:cs="宋体"/>
      <w:kern w:val="2"/>
      <w:sz w:val="28"/>
      <w:szCs w:val="28"/>
      <w:lang w:val="en-US" w:eastAsia="zh-CN" w:bidi="ar-SA"/>
    </w:rPr>
  </w:style>
  <w:style w:type="paragraph" w:customStyle="1" w:styleId="1070">
    <w:name w:val="HIK-标题8"/>
    <w:qFormat/>
    <w:uiPriority w:val="0"/>
    <w:pPr>
      <w:numPr>
        <w:ilvl w:val="7"/>
        <w:numId w:val="10"/>
      </w:numPr>
    </w:pPr>
    <w:rPr>
      <w:rFonts w:ascii="黑体" w:hAnsi="黑体" w:eastAsia="黑体" w:cs="宋体"/>
      <w:kern w:val="2"/>
      <w:sz w:val="28"/>
      <w:szCs w:val="28"/>
      <w:lang w:val="en-US" w:eastAsia="zh-CN" w:bidi="ar-SA"/>
    </w:rPr>
  </w:style>
  <w:style w:type="paragraph" w:customStyle="1" w:styleId="1071">
    <w:name w:val="HIK-标题9"/>
    <w:qFormat/>
    <w:uiPriority w:val="0"/>
    <w:pPr>
      <w:numPr>
        <w:ilvl w:val="8"/>
        <w:numId w:val="10"/>
      </w:numPr>
    </w:pPr>
    <w:rPr>
      <w:rFonts w:ascii="黑体" w:hAnsi="黑体" w:eastAsia="黑体" w:cs="宋体"/>
      <w:kern w:val="2"/>
      <w:sz w:val="28"/>
      <w:szCs w:val="28"/>
      <w:lang w:val="en-US" w:eastAsia="zh-CN" w:bidi="ar-SA"/>
    </w:rPr>
  </w:style>
  <w:style w:type="character" w:customStyle="1" w:styleId="1072">
    <w:name w:val="hik 正文 Char"/>
    <w:link w:val="1063"/>
    <w:qFormat/>
    <w:uiPriority w:val="0"/>
    <w:rPr>
      <w:rFonts w:ascii="Calibri" w:hAnsi="Calibri"/>
      <w:kern w:val="2"/>
      <w:sz w:val="24"/>
      <w:szCs w:val="24"/>
    </w:rPr>
  </w:style>
  <w:style w:type="character" w:customStyle="1" w:styleId="1073">
    <w:name w:val="hik标题3 Char"/>
    <w:link w:val="1065"/>
    <w:qFormat/>
    <w:uiPriority w:val="0"/>
    <w:rPr>
      <w:rFonts w:ascii="黑体" w:hAnsi="宋体" w:eastAsia="仿宋"/>
      <w:b/>
      <w:color w:val="000000"/>
      <w:kern w:val="2"/>
      <w:sz w:val="28"/>
      <w:szCs w:val="30"/>
    </w:rPr>
  </w:style>
  <w:style w:type="paragraph" w:customStyle="1" w:styleId="1074">
    <w:name w:val="正文项目符"/>
    <w:basedOn w:val="1"/>
    <w:qFormat/>
    <w:uiPriority w:val="0"/>
    <w:pPr>
      <w:widowControl w:val="0"/>
      <w:tabs>
        <w:tab w:val="left" w:pos="420"/>
        <w:tab w:val="left" w:pos="840"/>
      </w:tabs>
      <w:ind w:left="420" w:hanging="420"/>
      <w:jc w:val="both"/>
    </w:pPr>
    <w:rPr>
      <w:rFonts w:ascii="宋体" w:hAnsi="宋体" w:eastAsia="宋体" w:cs="Arial"/>
      <w:sz w:val="16"/>
      <w:szCs w:val="16"/>
    </w:rPr>
  </w:style>
  <w:style w:type="character" w:customStyle="1" w:styleId="1075">
    <w:name w:val="题注 Char"/>
    <w:link w:val="18"/>
    <w:locked/>
    <w:uiPriority w:val="0"/>
    <w:rPr>
      <w:rFonts w:ascii="Cambria" w:hAnsi="Cambria" w:eastAsia="黑体"/>
      <w:kern w:val="2"/>
    </w:rPr>
  </w:style>
  <w:style w:type="paragraph" w:customStyle="1" w:styleId="1076">
    <w:name w:val="图片标题"/>
    <w:basedOn w:val="1"/>
    <w:link w:val="1077"/>
    <w:qFormat/>
    <w:uiPriority w:val="0"/>
    <w:pPr>
      <w:widowControl w:val="0"/>
      <w:numPr>
        <w:ilvl w:val="0"/>
        <w:numId w:val="11"/>
      </w:numPr>
      <w:spacing w:line="360" w:lineRule="auto"/>
      <w:ind w:firstLine="0"/>
      <w:jc w:val="center"/>
    </w:pPr>
    <w:rPr>
      <w:rFonts w:ascii="宋体" w:hAnsi="宋体" w:eastAsia="黑体"/>
      <w:sz w:val="24"/>
      <w:szCs w:val="21"/>
    </w:rPr>
  </w:style>
  <w:style w:type="character" w:customStyle="1" w:styleId="1077">
    <w:name w:val="图片标题 Char"/>
    <w:link w:val="1076"/>
    <w:uiPriority w:val="0"/>
    <w:rPr>
      <w:rFonts w:ascii="宋体" w:hAnsi="宋体" w:eastAsia="黑体"/>
      <w:kern w:val="2"/>
      <w:sz w:val="24"/>
      <w:szCs w:val="21"/>
    </w:rPr>
  </w:style>
  <w:style w:type="paragraph" w:customStyle="1" w:styleId="1078">
    <w:name w:val="列表格式"/>
    <w:basedOn w:val="13"/>
    <w:uiPriority w:val="0"/>
    <w:pPr>
      <w:widowControl w:val="0"/>
      <w:tabs>
        <w:tab w:val="left" w:pos="397"/>
        <w:tab w:val="clear" w:pos="360"/>
      </w:tabs>
      <w:snapToGrid/>
      <w:spacing w:line="360" w:lineRule="auto"/>
      <w:ind w:left="397" w:right="0" w:firstLine="0"/>
    </w:pPr>
    <w:rPr>
      <w:rFonts w:eastAsia="宋体"/>
      <w:spacing w:val="0"/>
      <w:kern w:val="2"/>
      <w:sz w:val="24"/>
      <w:szCs w:val="24"/>
      <w:lang w:eastAsia="zh-CN"/>
    </w:rPr>
  </w:style>
  <w:style w:type="paragraph" w:customStyle="1" w:styleId="1079">
    <w:name w:val="表1"/>
    <w:basedOn w:val="1"/>
    <w:qFormat/>
    <w:uiPriority w:val="99"/>
    <w:pPr>
      <w:widowControl w:val="0"/>
      <w:numPr>
        <w:ilvl w:val="0"/>
        <w:numId w:val="12"/>
      </w:numPr>
      <w:spacing w:line="360" w:lineRule="auto"/>
      <w:ind w:firstLine="0"/>
      <w:jc w:val="center"/>
    </w:pPr>
    <w:rPr>
      <w:rFonts w:ascii="Arial" w:hAnsi="Arial" w:cs="宋体"/>
    </w:rPr>
  </w:style>
  <w:style w:type="paragraph" w:customStyle="1" w:styleId="1080">
    <w:name w:val="正文 New"/>
    <w:uiPriority w:val="0"/>
    <w:pPr>
      <w:widowControl w:val="0"/>
      <w:jc w:val="both"/>
    </w:pPr>
    <w:rPr>
      <w:kern w:val="2"/>
      <w:sz w:val="21"/>
      <w:szCs w:val="24"/>
      <w:lang w:val="en-US" w:eastAsia="zh-CN" w:bidi="ar-SA"/>
    </w:rPr>
  </w:style>
  <w:style w:type="paragraph" w:customStyle="1" w:styleId="1081">
    <w:name w:val="*正文"/>
    <w:basedOn w:val="1"/>
    <w:link w:val="1082"/>
    <w:qFormat/>
    <w:uiPriority w:val="0"/>
    <w:pPr>
      <w:widowControl w:val="0"/>
      <w:spacing w:line="300" w:lineRule="auto"/>
      <w:jc w:val="both"/>
    </w:pPr>
    <w:rPr>
      <w:rFonts w:ascii="宋体" w:hAnsi="宋体" w:cs="仿宋_GB2312"/>
      <w:sz w:val="24"/>
      <w:szCs w:val="24"/>
    </w:rPr>
  </w:style>
  <w:style w:type="character" w:customStyle="1" w:styleId="1082">
    <w:name w:val="*正文 Char"/>
    <w:link w:val="1081"/>
    <w:uiPriority w:val="0"/>
    <w:rPr>
      <w:rFonts w:ascii="宋体" w:hAnsi="宋体" w:cs="仿宋_GB2312"/>
      <w:kern w:val="2"/>
      <w:sz w:val="24"/>
      <w:szCs w:val="24"/>
    </w:rPr>
  </w:style>
  <w:style w:type="paragraph" w:customStyle="1" w:styleId="1083">
    <w:name w:val="reader-word-layer"/>
    <w:basedOn w:val="1"/>
    <w:uiPriority w:val="99"/>
    <w:pPr>
      <w:spacing w:before="100" w:beforeAutospacing="1" w:after="100" w:afterAutospacing="1"/>
    </w:pPr>
    <w:rPr>
      <w:rFonts w:ascii="宋体" w:hAnsi="宋体" w:cs="宋体"/>
      <w:kern w:val="0"/>
      <w:sz w:val="24"/>
      <w:szCs w:val="24"/>
    </w:rPr>
  </w:style>
  <w:style w:type="paragraph" w:customStyle="1" w:styleId="1084">
    <w:name w:val="内容文本"/>
    <w:basedOn w:val="122"/>
    <w:link w:val="1085"/>
    <w:qFormat/>
    <w:uiPriority w:val="0"/>
    <w:pPr>
      <w:widowControl w:val="0"/>
      <w:spacing w:line="360" w:lineRule="auto"/>
      <w:ind w:firstLine="200"/>
      <w:contextualSpacing/>
    </w:pPr>
    <w:rPr>
      <w:rFonts w:ascii="宋体" w:hAnsi="宋体"/>
      <w:kern w:val="0"/>
      <w:sz w:val="24"/>
      <w:szCs w:val="24"/>
      <w:lang w:val="zh-CN" w:eastAsia="en-US" w:bidi="en-US"/>
    </w:rPr>
  </w:style>
  <w:style w:type="character" w:customStyle="1" w:styleId="1085">
    <w:name w:val="内容文本 Char"/>
    <w:link w:val="1084"/>
    <w:uiPriority w:val="0"/>
    <w:rPr>
      <w:rFonts w:ascii="宋体" w:hAnsi="宋体"/>
      <w:sz w:val="24"/>
      <w:szCs w:val="24"/>
      <w:lang w:val="zh-CN" w:eastAsia="en-US" w:bidi="en-US"/>
    </w:rPr>
  </w:style>
  <w:style w:type="paragraph" w:customStyle="1" w:styleId="1086">
    <w:name w:val="pstyle"/>
    <w:basedOn w:val="1"/>
    <w:uiPriority w:val="0"/>
    <w:pPr>
      <w:spacing w:before="15" w:line="345" w:lineRule="atLeast"/>
    </w:pPr>
    <w:rPr>
      <w:rFonts w:ascii="宋体" w:hAnsi="宋体" w:cs="宋体"/>
      <w:kern w:val="0"/>
      <w:sz w:val="24"/>
      <w:szCs w:val="24"/>
    </w:rPr>
  </w:style>
  <w:style w:type="character" w:customStyle="1" w:styleId="1087">
    <w:name w:val="样式 首行缩进:  0 字符 Char"/>
    <w:link w:val="948"/>
    <w:qFormat/>
    <w:locked/>
    <w:uiPriority w:val="0"/>
    <w:rPr>
      <w:rFonts w:ascii="Arial" w:hAnsi="Arial" w:cs="宋体"/>
      <w:kern w:val="2"/>
      <w:sz w:val="24"/>
    </w:rPr>
  </w:style>
  <w:style w:type="paragraph" w:customStyle="1" w:styleId="1088">
    <w:name w:val="图表批注"/>
    <w:basedOn w:val="1084"/>
    <w:link w:val="1089"/>
    <w:qFormat/>
    <w:uiPriority w:val="0"/>
    <w:pPr>
      <w:ind w:firstLine="0" w:firstLineChars="0"/>
      <w:jc w:val="center"/>
    </w:pPr>
    <w:rPr>
      <w:sz w:val="21"/>
    </w:rPr>
  </w:style>
  <w:style w:type="character" w:customStyle="1" w:styleId="1089">
    <w:name w:val="图表批注 Char"/>
    <w:link w:val="1088"/>
    <w:uiPriority w:val="0"/>
    <w:rPr>
      <w:rFonts w:ascii="宋体" w:hAnsi="宋体"/>
      <w:sz w:val="21"/>
      <w:szCs w:val="24"/>
      <w:lang w:val="zh-CN" w:eastAsia="en-US" w:bidi="en-US"/>
    </w:rPr>
  </w:style>
  <w:style w:type="paragraph" w:customStyle="1" w:styleId="1090">
    <w:name w:val="1级标题"/>
    <w:basedOn w:val="122"/>
    <w:link w:val="1091"/>
    <w:qFormat/>
    <w:uiPriority w:val="0"/>
    <w:pPr>
      <w:keepLines/>
      <w:pageBreakBefore/>
      <w:widowControl w:val="0"/>
      <w:numPr>
        <w:ilvl w:val="0"/>
        <w:numId w:val="13"/>
      </w:numPr>
      <w:spacing w:before="240" w:after="240" w:line="360" w:lineRule="auto"/>
      <w:ind w:firstLine="0" w:firstLineChars="0"/>
      <w:contextualSpacing/>
      <w:jc w:val="center"/>
      <w:outlineLvl w:val="0"/>
    </w:pPr>
    <w:rPr>
      <w:rFonts w:ascii="黑体" w:hAnsi="黑体" w:eastAsia="黑体"/>
      <w:kern w:val="0"/>
      <w:sz w:val="36"/>
      <w:szCs w:val="36"/>
      <w:lang w:eastAsia="en-US" w:bidi="en-US"/>
    </w:rPr>
  </w:style>
  <w:style w:type="character" w:customStyle="1" w:styleId="1091">
    <w:name w:val="1级标题 Char"/>
    <w:link w:val="1090"/>
    <w:uiPriority w:val="0"/>
    <w:rPr>
      <w:rFonts w:ascii="黑体" w:hAnsi="黑体" w:eastAsia="黑体"/>
      <w:sz w:val="36"/>
      <w:szCs w:val="36"/>
      <w:lang w:eastAsia="en-US" w:bidi="en-US"/>
    </w:rPr>
  </w:style>
  <w:style w:type="paragraph" w:customStyle="1" w:styleId="1092">
    <w:name w:val="2级标题"/>
    <w:basedOn w:val="122"/>
    <w:link w:val="1095"/>
    <w:qFormat/>
    <w:uiPriority w:val="0"/>
    <w:pPr>
      <w:keepLines/>
      <w:widowControl w:val="0"/>
      <w:numPr>
        <w:ilvl w:val="1"/>
        <w:numId w:val="13"/>
      </w:numPr>
      <w:spacing w:before="240" w:after="120" w:line="360" w:lineRule="auto"/>
      <w:ind w:firstLineChars="0"/>
      <w:contextualSpacing/>
      <w:outlineLvl w:val="1"/>
    </w:pPr>
    <w:rPr>
      <w:rFonts w:ascii="黑体" w:hAnsi="黑体" w:eastAsia="黑体"/>
      <w:kern w:val="0"/>
      <w:sz w:val="32"/>
      <w:szCs w:val="36"/>
      <w:lang w:eastAsia="en-US" w:bidi="en-US"/>
    </w:rPr>
  </w:style>
  <w:style w:type="paragraph" w:customStyle="1" w:styleId="1093">
    <w:name w:val="3级标题"/>
    <w:basedOn w:val="122"/>
    <w:qFormat/>
    <w:uiPriority w:val="0"/>
    <w:pPr>
      <w:keepLines/>
      <w:widowControl w:val="0"/>
      <w:numPr>
        <w:ilvl w:val="2"/>
        <w:numId w:val="13"/>
      </w:numPr>
      <w:spacing w:before="120" w:after="120" w:line="360" w:lineRule="auto"/>
      <w:ind w:firstLineChars="0"/>
      <w:contextualSpacing/>
      <w:outlineLvl w:val="2"/>
    </w:pPr>
    <w:rPr>
      <w:rFonts w:ascii="黑体" w:hAnsi="黑体" w:eastAsia="黑体"/>
      <w:kern w:val="0"/>
      <w:sz w:val="28"/>
      <w:szCs w:val="36"/>
      <w:lang w:eastAsia="en-US" w:bidi="en-US"/>
    </w:rPr>
  </w:style>
  <w:style w:type="paragraph" w:customStyle="1" w:styleId="1094">
    <w:name w:val="4级标题"/>
    <w:basedOn w:val="122"/>
    <w:qFormat/>
    <w:uiPriority w:val="0"/>
    <w:pPr>
      <w:keepLines/>
      <w:widowControl w:val="0"/>
      <w:numPr>
        <w:ilvl w:val="3"/>
        <w:numId w:val="13"/>
      </w:numPr>
      <w:spacing w:line="360" w:lineRule="auto"/>
      <w:ind w:firstLineChars="0"/>
      <w:contextualSpacing/>
      <w:outlineLvl w:val="3"/>
    </w:pPr>
    <w:rPr>
      <w:rFonts w:ascii="黑体" w:hAnsi="黑体" w:eastAsia="黑体"/>
      <w:kern w:val="0"/>
      <w:sz w:val="24"/>
      <w:szCs w:val="24"/>
      <w:lang w:eastAsia="en-US" w:bidi="en-US"/>
    </w:rPr>
  </w:style>
  <w:style w:type="character" w:customStyle="1" w:styleId="1095">
    <w:name w:val="2级标题 Char"/>
    <w:link w:val="1092"/>
    <w:uiPriority w:val="0"/>
    <w:rPr>
      <w:rFonts w:ascii="黑体" w:hAnsi="黑体" w:eastAsia="黑体"/>
      <w:sz w:val="32"/>
      <w:szCs w:val="36"/>
      <w:lang w:eastAsia="en-US" w:bidi="en-US"/>
    </w:rPr>
  </w:style>
  <w:style w:type="character" w:customStyle="1" w:styleId="1096">
    <w:name w:val="HIK*正文 字符"/>
    <w:link w:val="1097"/>
    <w:locked/>
    <w:uiPriority w:val="0"/>
    <w:rPr>
      <w:rFonts w:ascii="宋体" w:hAnsi="宋体" w:cs="仿宋_GB2312"/>
    </w:rPr>
  </w:style>
  <w:style w:type="paragraph" w:customStyle="1" w:styleId="1097">
    <w:name w:val="HIK*正文"/>
    <w:basedOn w:val="1"/>
    <w:link w:val="1096"/>
    <w:qFormat/>
    <w:uiPriority w:val="0"/>
    <w:pPr>
      <w:spacing w:line="360" w:lineRule="auto"/>
      <w:ind w:firstLine="480" w:firstLineChars="200"/>
    </w:pPr>
    <w:rPr>
      <w:rFonts w:ascii="宋体" w:hAnsi="宋体" w:cs="仿宋_GB2312"/>
      <w:kern w:val="0"/>
      <w:sz w:val="20"/>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footer4.xml" Type="http://schemas.openxmlformats.org/officeDocument/2006/relationships/footer"/><Relationship Id="rId11" Target="header5.xml" Type="http://schemas.openxmlformats.org/officeDocument/2006/relationships/header"/><Relationship Id="rId12" Target="footer5.xml" Type="http://schemas.openxmlformats.org/officeDocument/2006/relationships/footer"/><Relationship Id="rId13" Target="theme/theme1.xml" Type="http://schemas.openxmlformats.org/officeDocument/2006/relationships/theme"/><Relationship Id="rId14" Target="media/image1.png" Type="http://schemas.openxmlformats.org/officeDocument/2006/relationships/image"/><Relationship Id="rId15" Target="media/image2.jpeg" Type="http://schemas.openxmlformats.org/officeDocument/2006/relationships/image"/><Relationship Id="rId16" Target="media/image3.png" Type="http://schemas.openxmlformats.org/officeDocument/2006/relationships/image"/><Relationship Id="rId17" Target="media/image4.jpeg" Type="http://schemas.openxmlformats.org/officeDocument/2006/relationships/image"/><Relationship Id="rId18" Target="numbering.xml" Type="http://schemas.openxmlformats.org/officeDocument/2006/relationships/numbering"/><Relationship Id="rId19" Target="fontTable.xml" Type="http://schemas.openxmlformats.org/officeDocument/2006/relationships/fontTable"/><Relationship Id="rId2" Target="settings.xml" Type="http://schemas.openxmlformats.org/officeDocument/2006/relationships/settings"/><Relationship Id="rId3" Target="header1.xml" Type="http://schemas.openxmlformats.org/officeDocument/2006/relationships/header"/><Relationship Id="rId4" Target="header2.xml" Type="http://schemas.openxmlformats.org/officeDocument/2006/relationships/header"/><Relationship Id="rId5" Target="header3.xml" Type="http://schemas.openxmlformats.org/officeDocument/2006/relationships/header"/><Relationship Id="rId6" Target="footer1.xml" Type="http://schemas.openxmlformats.org/officeDocument/2006/relationships/footer"/><Relationship Id="rId7" Target="footer2.xml" Type="http://schemas.openxmlformats.org/officeDocument/2006/relationships/footer"/><Relationship Id="rId8" Target="footer3.xml" Type="http://schemas.openxmlformats.org/officeDocument/2006/relationships/footer"/><Relationship Id="rId9" Target="header4.xml" Type="http://schemas.openxmlformats.org/officeDocument/2006/relationships/header"/></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177</Pages>
  <Words>18477</Words>
  <Characters>105325</Characters>
  <Lines>877</Lines>
  <Paragraphs>247</Paragraphs>
  <TotalTime>0</TotalTime>
  <ScaleCrop>false</ScaleCrop>
  <LinksUpToDate>false</LinksUpToDate>
  <CharactersWithSpaces>123555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2016-06-07T04:33:00Z</dcterms:created>
  <dc:creator>黄</dc:creator>
  <cp:lastModifiedBy>WPS_1701756769</cp:lastModifiedBy>
  <cp:lastPrinted>2019-04-23T01:37:00Z</cp:lastPrinted>
  <dcterms:modified xsi:type="dcterms:W3CDTF">2024-01-31T04:18:38Z</dcterms:modified>
  <cp:revision>30</cp:revision>
  <dc:title>内部资料，注意保密</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36F01964E8304848A88C20E86BF12E93_13</vt:lpwstr>
  </property>
</Properties>
</file>