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jc w:val="center"/>
        <w:rPr>
          <w:rFonts w:ascii="宋体" w:hAnsi="宋体" w:cs="宋体"/>
          <w:b/>
          <w:color w:val="auto"/>
          <w:sz w:val="24"/>
          <w:highlight w:val="none"/>
        </w:rPr>
      </w:pPr>
    </w:p>
    <w:p>
      <w:pPr>
        <w:spacing w:line="360" w:lineRule="auto"/>
        <w:ind w:firstLine="482"/>
        <w:jc w:val="center"/>
        <w:rPr>
          <w:rFonts w:ascii="宋体" w:hAnsi="宋体" w:cs="宋体"/>
          <w:b/>
          <w:color w:val="auto"/>
          <w:sz w:val="24"/>
          <w:highlight w:val="none"/>
        </w:rPr>
      </w:pPr>
    </w:p>
    <w:p>
      <w:pPr>
        <w:adjustRightInd/>
        <w:spacing w:line="360" w:lineRule="auto"/>
        <w:ind w:firstLine="883"/>
        <w:jc w:val="center"/>
        <w:rPr>
          <w:rFonts w:ascii="宋体" w:hAnsi="宋体" w:cs="宋体"/>
          <w:b/>
          <w:color w:val="auto"/>
          <w:sz w:val="44"/>
          <w:szCs w:val="44"/>
          <w:highlight w:val="none"/>
        </w:rPr>
      </w:pPr>
    </w:p>
    <w:p>
      <w:pPr>
        <w:spacing w:line="360" w:lineRule="auto"/>
        <w:ind w:firstLine="883"/>
        <w:jc w:val="center"/>
        <w:rPr>
          <w:rFonts w:ascii="宋体" w:hAnsi="宋体" w:cs="宋体"/>
          <w:b/>
          <w:color w:val="auto"/>
          <w:sz w:val="44"/>
          <w:szCs w:val="44"/>
          <w:highlight w:val="none"/>
        </w:rPr>
      </w:pPr>
    </w:p>
    <w:p>
      <w:pPr>
        <w:adjustRightInd/>
        <w:spacing w:line="360" w:lineRule="auto"/>
        <w:ind w:firstLine="964"/>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rPr>
      </w:pPr>
      <w:r>
        <w:rPr>
          <w:rFonts w:hint="eastAsia" w:ascii="宋体" w:hAnsi="宋体" w:cs="宋体"/>
          <w:color w:val="auto"/>
          <w:sz w:val="48"/>
          <w:szCs w:val="48"/>
          <w:highlight w:val="none"/>
        </w:rPr>
        <w:t>杭州市交通运输行政执法队</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网络租赁项目</w:t>
      </w:r>
    </w:p>
    <w:p>
      <w:pPr>
        <w:adjustRightInd/>
        <w:spacing w:line="360" w:lineRule="auto"/>
        <w:ind w:firstLine="960"/>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ind w:firstLine="883"/>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ind w:firstLine="600"/>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HZZFCG-2024-091</w:t>
      </w:r>
    </w:p>
    <w:p>
      <w:pPr>
        <w:adjustRightInd/>
        <w:spacing w:line="360" w:lineRule="auto"/>
        <w:ind w:firstLine="560"/>
        <w:rPr>
          <w:rFonts w:ascii="宋体" w:hAnsi="宋体" w:cs="宋体"/>
          <w:color w:val="auto"/>
          <w:sz w:val="28"/>
          <w:szCs w:val="20"/>
          <w:highlight w:val="none"/>
        </w:rPr>
      </w:pPr>
    </w:p>
    <w:p>
      <w:pPr>
        <w:spacing w:line="360" w:lineRule="auto"/>
        <w:ind w:firstLine="883"/>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ind w:firstLine="883"/>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ind w:firstLine="640"/>
        <w:rPr>
          <w:rFonts w:ascii="宋体" w:hAnsi="宋体" w:cs="宋体"/>
          <w:color w:val="auto"/>
          <w:sz w:val="32"/>
          <w:szCs w:val="32"/>
          <w:highlight w:val="none"/>
        </w:rPr>
      </w:pPr>
    </w:p>
    <w:p>
      <w:pPr>
        <w:spacing w:line="360" w:lineRule="auto"/>
        <w:ind w:firstLine="640"/>
        <w:jc w:val="center"/>
        <w:rPr>
          <w:rFonts w:ascii="宋体" w:hAnsi="宋体" w:cs="宋体"/>
          <w:color w:val="auto"/>
          <w:sz w:val="32"/>
          <w:szCs w:val="32"/>
          <w:highlight w:val="none"/>
        </w:rPr>
      </w:pPr>
      <w:r>
        <w:rPr>
          <w:rFonts w:hint="eastAsia" w:ascii="宋体" w:hAnsi="宋体" w:cs="宋体"/>
          <w:color w:val="auto"/>
          <w:sz w:val="32"/>
          <w:szCs w:val="32"/>
          <w:highlight w:val="none"/>
        </w:rPr>
        <w:t>杭州市交通运输行政执法队</w:t>
      </w:r>
    </w:p>
    <w:p>
      <w:pPr>
        <w:spacing w:line="360" w:lineRule="auto"/>
        <w:ind w:firstLine="640"/>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w:t>
      </w:r>
    </w:p>
    <w:p>
      <w:pPr>
        <w:snapToGrid w:val="0"/>
        <w:spacing w:line="360" w:lineRule="auto"/>
        <w:ind w:firstLine="640"/>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二〇二四年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二十六</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6"/>
        <w:ind w:left="-420" w:firstLine="640"/>
        <w:rPr>
          <w:color w:val="auto"/>
          <w:highlight w:val="none"/>
        </w:rPr>
      </w:pPr>
    </w:p>
    <w:p>
      <w:pPr>
        <w:spacing w:line="360" w:lineRule="auto"/>
        <w:ind w:firstLine="964"/>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ind w:firstLine="640"/>
        <w:rPr>
          <w:rFonts w:ascii="宋体" w:hAnsi="宋体" w:cs="宋体"/>
          <w:color w:val="auto"/>
          <w:sz w:val="32"/>
          <w:szCs w:val="32"/>
          <w:highlight w:val="none"/>
        </w:rPr>
      </w:pPr>
    </w:p>
    <w:p>
      <w:pPr>
        <w:spacing w:line="360" w:lineRule="auto"/>
        <w:ind w:firstLine="640"/>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ind w:firstLine="723"/>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杭州市交通运输行政执法队网络租赁项目</w:t>
      </w:r>
      <w:r>
        <w:rPr>
          <w:rFonts w:hint="eastAsia" w:ascii="宋体" w:hAnsi="宋体" w:cs="宋体"/>
          <w:color w:val="auto"/>
          <w:sz w:val="24"/>
          <w:highlight w:val="none"/>
        </w:rPr>
        <w:t>招标项目的潜在投标人应在政采云平台（https://www.zcygov.cn/）获取（下载）招标文件，并于</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HZZFCG-2024-091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杭州市交通运输行政执法队网络租赁项目</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ascii="宋体" w:hAnsi="宋体" w:cs="宋体"/>
          <w:color w:val="auto"/>
          <w:sz w:val="24"/>
          <w:highlight w:val="none"/>
        </w:rPr>
        <w:t xml:space="preserve"> 7143500</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2024年度安排财政预算资金5000000元）</w:t>
      </w:r>
    </w:p>
    <w:p>
      <w:pPr>
        <w:spacing w:line="360" w:lineRule="auto"/>
        <w:ind w:firstLine="482"/>
        <w:rPr>
          <w:rFonts w:ascii="宋体" w:hAnsi="宋体" w:cs="宋体"/>
          <w:color w:val="auto"/>
          <w:sz w:val="24"/>
          <w:highlight w:val="none"/>
        </w:rPr>
      </w:pPr>
      <w:r>
        <w:rPr>
          <w:rFonts w:hint="eastAsia" w:ascii="宋体" w:hAnsi="宋体" w:cs="宋体"/>
          <w:b/>
          <w:color w:val="auto"/>
          <w:sz w:val="24"/>
          <w:highlight w:val="none"/>
        </w:rPr>
        <w:t>最高限价（元）：</w:t>
      </w:r>
      <w:r>
        <w:rPr>
          <w:rFonts w:ascii="宋体" w:hAnsi="宋体" w:cs="宋体"/>
          <w:color w:val="auto"/>
          <w:sz w:val="24"/>
          <w:highlight w:val="none"/>
        </w:rPr>
        <w:t xml:space="preserve"> 7143500</w:t>
      </w:r>
    </w:p>
    <w:p>
      <w:pPr>
        <w:keepNext w:val="0"/>
        <w:keepLines w:val="0"/>
        <w:pageBreakBefore w:val="0"/>
        <w:kinsoku/>
        <w:wordWrap/>
        <w:overflowPunct/>
        <w:topLinePunct w:val="0"/>
        <w:autoSpaceDE/>
        <w:autoSpaceDN/>
        <w:bidi w:val="0"/>
        <w:adjustRightInd w:val="0"/>
        <w:spacing w:line="360" w:lineRule="auto"/>
        <w:ind w:firstLine="482"/>
        <w:textAlignment w:val="auto"/>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sz w:val="24"/>
          <w:highlight w:val="none"/>
        </w:rPr>
        <w:t>杭州市交通运输行政执法队网络租赁项目主要内容：杭州市交通运输行政执法队网络租赁项目，共租赁网络线路(含互联网、交通内网、政务外网、视频专线等)627条，无线网卡(含物联网卡)1558张，服务期一年，移动执法终端流量卡811张，服务期3个月，用于交通运输行政执法队便捷办公、移动办公、现场执法等场景，提升交通执法和办公的标准化、规范化、数字化水平。</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val="0"/>
          <w:bCs/>
          <w:color w:val="auto"/>
          <w:highlight w:val="none"/>
          <w:lang w:val="en-US" w:eastAsia="zh-CN"/>
        </w:rPr>
        <w:t>合同签订之日起</w:t>
      </w:r>
      <w:r>
        <w:rPr>
          <w:rFonts w:hint="eastAsia" w:hAnsi="宋体" w:cs="宋体"/>
          <w:bCs/>
          <w:color w:val="auto"/>
          <w:szCs w:val="24"/>
          <w:highlight w:val="none"/>
        </w:rPr>
        <w:t>一年</w:t>
      </w:r>
      <w:r>
        <w:rPr>
          <w:rFonts w:hint="eastAsia" w:hAnsi="宋体" w:cs="宋体"/>
          <w:bCs/>
          <w:color w:val="auto"/>
          <w:szCs w:val="24"/>
          <w:highlight w:val="none"/>
          <w:lang w:eastAsia="zh-CN"/>
        </w:rPr>
        <w:t>。</w:t>
      </w:r>
    </w:p>
    <w:p>
      <w:pPr>
        <w:pStyle w:val="5"/>
        <w:spacing w:line="360" w:lineRule="auto"/>
        <w:ind w:firstLine="482"/>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ind w:firstLine="420"/>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ind w:firstLine="482"/>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称：杭州市交通运输行政执法队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址：浙江省杭州市拱墅区朝晖路122号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 吴泉</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ascii="宋体" w:hAnsi="宋体" w:cs="宋体"/>
          <w:color w:val="auto"/>
          <w:sz w:val="24"/>
          <w:highlight w:val="none"/>
        </w:rPr>
        <w:t xml:space="preserve"> </w:t>
      </w:r>
      <w:r>
        <w:rPr>
          <w:rFonts w:hint="eastAsia" w:ascii="宋体" w:hAnsi="宋体" w:cs="宋体"/>
          <w:color w:val="auto"/>
          <w:sz w:val="24"/>
          <w:highlight w:val="none"/>
        </w:rPr>
        <w:t>17300929803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樊强强</w:t>
      </w:r>
    </w:p>
    <w:p>
      <w:pPr>
        <w:spacing w:line="360" w:lineRule="auto"/>
        <w:ind w:left="0"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质疑联系方式： </w:t>
      </w:r>
      <w:r>
        <w:rPr>
          <w:rFonts w:ascii="宋体" w:hAnsi="宋体" w:cs="宋体"/>
          <w:color w:val="auto"/>
          <w:sz w:val="24"/>
          <w:highlight w:val="none"/>
        </w:rPr>
        <w:t>18958086176</w:t>
      </w:r>
      <w:r>
        <w:rPr>
          <w:rFonts w:hint="eastAsia" w:ascii="宋体" w:hAnsi="宋体" w:cs="宋体"/>
          <w:color w:val="auto"/>
          <w:sz w:val="24"/>
          <w:highlight w:val="none"/>
        </w:rPr>
        <w:t>（请</w:t>
      </w:r>
      <w:r>
        <w:rPr>
          <w:rFonts w:hint="eastAsia" w:ascii="宋体" w:hAnsi="宋体" w:cs="宋体"/>
          <w:color w:val="auto"/>
          <w:sz w:val="24"/>
          <w:highlight w:val="none"/>
        </w:rPr>
        <w:t>通过以下路径在线提起质疑：政采云-项目采购-询问质疑投诉-质疑列表</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址：杭州市上城区之江路925号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 曹工、张工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项目联系方式（询问）：0571-85085082、85085067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谢栋华</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质疑联系方式：0571-85085477（请通过以下路径在线提起质疑：政采云-项目采购-询问质疑投诉-质疑列表）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 0571-85252453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ind w:firstLine="723"/>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ind w:firstLine="723"/>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 网络租赁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租赁和商务服务   </w:t>
            </w:r>
            <w:r>
              <w:rPr>
                <w:rFonts w:hint="eastAsia" w:ascii="宋体" w:hAnsi="宋体" w:cs="宋体"/>
                <w:color w:val="auto"/>
                <w:kern w:val="0"/>
                <w:sz w:val="24"/>
                <w:highlight w:val="none"/>
              </w:rPr>
              <w:t>行业；</w:t>
            </w:r>
          </w:p>
          <w:p>
            <w:pPr>
              <w:pStyle w:val="3"/>
              <w:rPr>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线路铺设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2024年 5月8 日至2024年5 月9 日 进行现场踏勘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见各类光纤线路具体点位进行现场踏勘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吴泉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17300929803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highlight w:val="none"/>
              </w:rPr>
            </w:pPr>
            <w:sdt>
              <w:sdtPr>
                <w:rPr>
                  <w:rFonts w:hint="eastAsia" w:ascii="宋体" w:hAnsi="宋体" w:cs="宋体"/>
                  <w:color w:val="auto"/>
                  <w:kern w:val="0"/>
                  <w:sz w:val="24"/>
                  <w:highlight w:val="none"/>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ind w:firstLine="482"/>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2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杭州市之江路925号临江金座2号楼1010室（杭州市公共资源交易中心政府采购处）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0571-87008103</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lang w:val="en"/>
              </w:rPr>
            </w:pPr>
            <w:r>
              <w:rPr>
                <w:rFonts w:hint="eastAsia" w:ascii="宋体" w:hAnsi="宋体" w:cs="宋体"/>
                <w:color w:val="auto"/>
                <w:sz w:val="24"/>
                <w:highlight w:val="none"/>
              </w:rPr>
              <w:t>1</w:t>
            </w:r>
            <w:r>
              <w:rPr>
                <w:rFonts w:ascii="宋体" w:hAnsi="宋体" w:cs="宋体"/>
                <w:color w:val="auto"/>
                <w:sz w:val="24"/>
                <w:highlight w:val="none"/>
                <w:lang w:val="en"/>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color w:val="auto"/>
                <w:kern w:val="0"/>
                <w:sz w:val="24"/>
                <w:highlight w:val="none"/>
                <w:lang w:val="en"/>
              </w:rPr>
            </w:pPr>
            <w:r>
              <w:rPr>
                <w:rFonts w:hint="eastAsia" w:ascii="宋体" w:hAnsi="宋体" w:cs="宋体"/>
                <w:color w:val="auto"/>
                <w:kern w:val="0"/>
                <w:sz w:val="24"/>
                <w:highlight w:val="none"/>
                <w:lang w:val="en"/>
              </w:rPr>
              <w:t>本项目评审报告推荐的中标候选人数量：</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lang w:val="en"/>
              </w:rPr>
              <w:t>。</w:t>
            </w:r>
          </w:p>
        </w:tc>
      </w:tr>
    </w:tbl>
    <w:p>
      <w:pPr>
        <w:snapToGrid w:val="0"/>
        <w:spacing w:line="360" w:lineRule="auto"/>
        <w:ind w:firstLine="643"/>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ind w:firstLine="482"/>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w:t>
      </w:r>
      <w:r>
        <w:rPr>
          <w:rFonts w:ascii="宋体" w:hAnsi="宋体" w:cs="宋体"/>
          <w:color w:val="auto"/>
          <w:sz w:val="24"/>
          <w:highlight w:val="none"/>
        </w:rPr>
        <w:t>20</w:t>
      </w:r>
      <w:r>
        <w:rPr>
          <w:rFonts w:hint="eastAsia" w:ascii="宋体" w:hAnsi="宋体" w:cs="宋体"/>
          <w:color w:val="auto"/>
          <w:sz w:val="24"/>
          <w:highlight w:val="none"/>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highlight w:val="none"/>
        </w:rPr>
      </w:pPr>
      <w:r>
        <w:rPr>
          <w:rFonts w:hint="eastAsia" w:ascii="宋体" w:hAnsi="宋体" w:cs="仿宋"/>
          <w:color w:val="auto"/>
          <w:sz w:val="24"/>
          <w:highlight w:val="none"/>
        </w:rPr>
        <w:t>3.4.3 采购人应当贯彻落实知识产权保护相关法律法规，应当采购使用正版软件。</w:t>
      </w: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b/>
          <w:bCs/>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lang w:val="zh-CN"/>
        </w:rPr>
        <w:t>4.3</w:t>
      </w:r>
      <w:r>
        <w:rPr>
          <w:rFonts w:hint="eastAsia"/>
          <w:color w:val="auto"/>
          <w:highlight w:val="none"/>
        </w:rPr>
        <w:t>.5采购人或者采购机构应当根据</w:t>
      </w:r>
      <w:r>
        <w:rPr>
          <w:rFonts w:hint="eastAsia" w:asciiTheme="minorEastAsia" w:hAnsiTheme="minorEastAsia" w:eastAsiaTheme="minorEastAsia"/>
          <w:color w:val="auto"/>
          <w:highlight w:val="none"/>
        </w:rPr>
        <w:t>《杭州市集中采购委托协议》的约定，</w:t>
      </w:r>
      <w:r>
        <w:rPr>
          <w:rFonts w:hint="eastAsia"/>
          <w:color w:val="auto"/>
          <w:highlight w:val="none"/>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80"/>
        <w:contextualSpacing/>
        <w:rPr>
          <w:color w:val="auto"/>
          <w:highlight w:val="none"/>
        </w:rPr>
      </w:pPr>
      <w:r>
        <w:rPr>
          <w:rFonts w:hint="eastAsia"/>
          <w:color w:val="auto"/>
          <w:highlight w:val="none"/>
        </w:rPr>
        <w:t>根据采购人与采购机构签订的《杭州市集中采购委托协议》的约定，质疑答复责任主体如下：</w:t>
      </w:r>
    </w:p>
    <w:p>
      <w:pPr>
        <w:widowControl/>
        <w:adjustRightInd/>
        <w:ind w:firstLine="562"/>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2"/>
              <w:spacing w:line="360" w:lineRule="auto"/>
              <w:ind w:firstLine="482"/>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质疑内容</w:t>
            </w:r>
          </w:p>
        </w:tc>
        <w:tc>
          <w:tcPr>
            <w:tcW w:w="2232" w:type="dxa"/>
            <w:vAlign w:val="center"/>
          </w:tcPr>
          <w:p>
            <w:pPr>
              <w:pStyle w:val="32"/>
              <w:spacing w:line="360" w:lineRule="auto"/>
              <w:ind w:firstLine="482"/>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对采购文件中“申请人的资格要求”、“采购需求”、“评审办法”、“采购合同的主要条款”、“采购文件前附表内容”、“报价内容”的质疑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对采购过程、采购结果提出质疑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对“现场考察、答疑会”、 “甲方负责接收和保存的样品” 、“资格审查”等由采购人负责组织的环节的质疑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对采购过程、采购结果其他环节的质疑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bl>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8"/>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投诉书范本及制作说明详见附件3。</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4.5 补偿救济</w:t>
      </w:r>
    </w:p>
    <w:p>
      <w:pPr>
        <w:pStyle w:val="888"/>
        <w:shd w:val="clear" w:color="auto" w:fill="FFFFFF"/>
        <w:snapToGrid w:val="0"/>
        <w:spacing w:before="0" w:beforeAutospacing="0" w:after="240" w:afterAutospacing="0" w:line="360" w:lineRule="auto"/>
        <w:ind w:firstLine="480"/>
        <w:contextualSpacing/>
        <w:rPr>
          <w:color w:val="auto"/>
          <w:highlight w:val="none"/>
        </w:rPr>
      </w:pPr>
      <w:r>
        <w:rPr>
          <w:rFonts w:hint="eastAsia"/>
          <w:color w:val="auto"/>
          <w:highlight w:val="none"/>
        </w:rPr>
        <w:t>采购人（行政机关）因政策变化、规划调整而不履行政府采购合同的，供应商可依据《杭州市涉企补偿救济实施办法（试行）》向采购人（行政机关）提起补偿申请。</w:t>
      </w:r>
    </w:p>
    <w:p>
      <w:pPr>
        <w:pStyle w:val="130"/>
        <w:snapToGrid w:val="0"/>
        <w:spacing w:before="0"/>
        <w:ind w:firstLine="360"/>
        <w:rPr>
          <w:rFonts w:ascii="宋体" w:hAnsi="宋体" w:cs="宋体"/>
          <w:color w:val="auto"/>
          <w:sz w:val="18"/>
          <w:szCs w:val="18"/>
          <w:highlight w:val="none"/>
        </w:rPr>
      </w:pPr>
    </w:p>
    <w:p>
      <w:pPr>
        <w:adjustRightInd/>
        <w:spacing w:line="360" w:lineRule="auto"/>
        <w:ind w:firstLine="643"/>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ind w:firstLine="482"/>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ind w:firstLine="482"/>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ind w:firstLine="602"/>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ind w:firstLine="482"/>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ind w:firstLine="482"/>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ind w:firstLine="482"/>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ind w:firstLine="482"/>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ind w:firstLine="482"/>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11.3.3中小企业声明函。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ascii="宋体" w:hAnsi="宋体" w:cs="宋体"/>
          <w:b/>
          <w:color w:val="auto"/>
          <w:sz w:val="24"/>
          <w:szCs w:val="21"/>
          <w:highlight w:val="none"/>
        </w:rPr>
      </w:pPr>
      <w:r>
        <w:rPr>
          <w:rFonts w:hint="eastAsia"/>
          <w:b/>
          <w:bCs/>
          <w:color w:val="auto"/>
          <w:sz w:val="24"/>
          <w:highlight w:val="none"/>
          <w:shd w:val="clear" w:color="auto" w:fill="FFFFFF"/>
        </w:rPr>
        <w:t>投标人应对投标文件中材料的真实性、合法性负责。</w:t>
      </w:r>
    </w:p>
    <w:p>
      <w:pPr>
        <w:pStyle w:val="130"/>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ind w:firstLine="482"/>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30"/>
        <w:spacing w:before="0"/>
        <w:ind w:firstLine="643"/>
        <w:rPr>
          <w:rFonts w:ascii="宋体" w:hAnsi="宋体" w:cs="宋体"/>
          <w:b/>
          <w:color w:val="auto"/>
          <w:sz w:val="32"/>
          <w:highlight w:val="none"/>
        </w:rPr>
      </w:pPr>
    </w:p>
    <w:p>
      <w:pPr>
        <w:pStyle w:val="130"/>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ind w:firstLine="482"/>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ind w:firstLine="0" w:firstLineChars="0"/>
        <w:rPr>
          <w:rFonts w:ascii="宋体" w:hAnsi="宋体" w:cs="宋体"/>
          <w:color w:val="auto"/>
          <w:kern w:val="0"/>
          <w:szCs w:val="24"/>
          <w:highlight w:val="none"/>
        </w:rPr>
      </w:pPr>
    </w:p>
    <w:p>
      <w:pPr>
        <w:snapToGrid w:val="0"/>
        <w:spacing w:line="360" w:lineRule="auto"/>
        <w:ind w:firstLine="723"/>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ind w:firstLine="482"/>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ind w:firstLine="482"/>
        <w:rPr>
          <w:rFonts w:ascii="宋体" w:hAnsi="宋体" w:cs="宋体"/>
          <w:b/>
          <w:color w:val="auto"/>
          <w:sz w:val="24"/>
          <w:highlight w:val="none"/>
        </w:rPr>
      </w:pPr>
    </w:p>
    <w:p>
      <w:pPr>
        <w:snapToGrid w:val="0"/>
        <w:spacing w:line="360" w:lineRule="auto"/>
        <w:ind w:firstLine="723"/>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0"/>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42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ind w:left="-420" w:firstLine="482"/>
        <w:rPr>
          <w:color w:val="auto"/>
          <w:highlight w:val="none"/>
        </w:rPr>
      </w:pPr>
      <w:r>
        <w:rPr>
          <w:rFonts w:ascii="宋体" w:hAnsi="宋体" w:eastAsia="宋体"/>
          <w:color w:val="auto"/>
          <w:sz w:val="24"/>
          <w:highlight w:val="none"/>
          <w:lang w:val="en-US"/>
        </w:rPr>
        <w:t>27.预付款</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8.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ind w:firstLine="480"/>
        <w:rPr>
          <w:color w:val="auto"/>
          <w:highlight w:val="none"/>
        </w:rPr>
      </w:pPr>
      <w:r>
        <w:rPr>
          <w:rFonts w:hint="eastAsia" w:ascii="宋体" w:hAnsi="宋体" w:eastAsia="宋体" w:cs="宋体"/>
          <w:color w:val="auto"/>
          <w:kern w:val="0"/>
          <w:sz w:val="24"/>
          <w:szCs w:val="24"/>
          <w:highlight w:val="none"/>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68403820"/>
      <w:bookmarkEnd w:id="15"/>
      <w:bookmarkStart w:id="16" w:name="_Hlt74730295"/>
      <w:bookmarkEnd w:id="16"/>
      <w:bookmarkStart w:id="17" w:name="_Hlt68072998"/>
      <w:bookmarkEnd w:id="17"/>
      <w:bookmarkStart w:id="18" w:name="_Hlt68073093"/>
      <w:bookmarkEnd w:id="18"/>
      <w:bookmarkStart w:id="19" w:name="_Hlt75236101"/>
      <w:bookmarkEnd w:id="19"/>
      <w:bookmarkStart w:id="20" w:name="_Hlt74714665"/>
      <w:bookmarkEnd w:id="20"/>
      <w:bookmarkStart w:id="21" w:name="_Hlt68072990"/>
      <w:bookmarkEnd w:id="21"/>
      <w:bookmarkStart w:id="22" w:name="_Hlt74707468"/>
      <w:bookmarkEnd w:id="22"/>
      <w:bookmarkStart w:id="23" w:name="_Hlt75236011"/>
      <w:bookmarkEnd w:id="23"/>
      <w:bookmarkStart w:id="24" w:name="_Hlt68057669"/>
      <w:bookmarkEnd w:id="24"/>
      <w:bookmarkStart w:id="25" w:name="_Hlt75236290"/>
      <w:bookmarkEnd w:id="25"/>
      <w:bookmarkStart w:id="26" w:name="_Hlt74729768"/>
      <w:bookmarkEnd w:id="26"/>
    </w:p>
    <w:bookmarkEnd w:id="11"/>
    <w:bookmarkEnd w:id="12"/>
    <w:p>
      <w:pPr>
        <w:spacing w:line="360" w:lineRule="auto"/>
        <w:ind w:firstLine="643"/>
        <w:jc w:val="center"/>
        <w:outlineLvl w:val="0"/>
        <w:rPr>
          <w:rFonts w:ascii="宋体" w:hAnsi="宋体" w:cs="宋体"/>
          <w:b/>
          <w:color w:val="auto"/>
          <w:sz w:val="32"/>
          <w:szCs w:val="32"/>
          <w:highlight w:val="none"/>
        </w:rPr>
      </w:pPr>
      <w:bookmarkStart w:id="27" w:name="第四部分"/>
      <w:r>
        <w:rPr>
          <w:rFonts w:hint="eastAsia" w:ascii="宋体" w:hAnsi="宋体" w:cs="宋体"/>
          <w:b/>
          <w:color w:val="auto"/>
          <w:sz w:val="32"/>
          <w:szCs w:val="32"/>
          <w:highlight w:val="none"/>
        </w:rPr>
        <w:t>第三部分   采购需求</w:t>
      </w:r>
    </w:p>
    <w:p>
      <w:pPr>
        <w:pStyle w:val="3"/>
        <w:numPr>
          <w:ilvl w:val="0"/>
          <w:numId w:val="1"/>
        </w:numPr>
        <w:spacing w:before="312" w:after="312"/>
        <w:ind w:left="-420" w:firstLine="482"/>
        <w:rPr>
          <w:color w:val="auto"/>
          <w:sz w:val="24"/>
          <w:szCs w:val="24"/>
          <w:highlight w:val="none"/>
        </w:rPr>
      </w:pPr>
      <w:r>
        <w:rPr>
          <w:rFonts w:hint="eastAsia"/>
          <w:color w:val="auto"/>
          <w:sz w:val="24"/>
          <w:szCs w:val="24"/>
          <w:highlight w:val="none"/>
        </w:rPr>
        <w:t>项目背景</w:t>
      </w:r>
    </w:p>
    <w:p>
      <w:pPr>
        <w:spacing w:line="360" w:lineRule="auto"/>
        <w:ind w:firstLine="480" w:firstLineChars="200"/>
        <w:rPr>
          <w:color w:val="auto"/>
          <w:sz w:val="24"/>
          <w:highlight w:val="none"/>
        </w:rPr>
      </w:pPr>
      <w:r>
        <w:rPr>
          <w:rFonts w:hint="eastAsia"/>
          <w:color w:val="auto"/>
          <w:sz w:val="24"/>
          <w:highlight w:val="none"/>
        </w:rPr>
        <w:t>杭州市交通运输行政执法队网络租赁项目，共租赁网络线路</w:t>
      </w:r>
      <w:r>
        <w:rPr>
          <w:color w:val="auto"/>
          <w:sz w:val="24"/>
          <w:highlight w:val="none"/>
        </w:rPr>
        <w:t>(含互联网、交通内网、政务外网、视频专线等)</w:t>
      </w:r>
      <w:r>
        <w:rPr>
          <w:rFonts w:hint="eastAsia"/>
          <w:color w:val="auto"/>
          <w:sz w:val="24"/>
          <w:highlight w:val="none"/>
        </w:rPr>
        <w:t>627条，无线网卡</w:t>
      </w:r>
      <w:r>
        <w:rPr>
          <w:color w:val="auto"/>
          <w:sz w:val="24"/>
          <w:highlight w:val="none"/>
        </w:rPr>
        <w:t>(含物联网卡)</w:t>
      </w:r>
      <w:r>
        <w:rPr>
          <w:rFonts w:hint="eastAsia"/>
          <w:color w:val="auto"/>
          <w:sz w:val="24"/>
          <w:highlight w:val="none"/>
        </w:rPr>
        <w:t>1558张，服务期一年，移动执法终端流量卡811张，服务期3个月，用于交通运输行政执法队便捷办公、移动办公、现场执法等场景，提升交通执法和办公的标准化、规范化、数字化水平。</w:t>
      </w:r>
    </w:p>
    <w:p>
      <w:pPr>
        <w:spacing w:line="360" w:lineRule="auto"/>
        <w:ind w:firstLine="480" w:firstLineChars="200"/>
        <w:rPr>
          <w:color w:val="auto"/>
          <w:sz w:val="24"/>
          <w:highlight w:val="none"/>
        </w:rPr>
      </w:pPr>
      <w:r>
        <w:rPr>
          <w:color w:val="auto"/>
          <w:sz w:val="24"/>
          <w:highlight w:val="none"/>
        </w:rPr>
        <w:t>采购线路数量多，分布位置广，供应商获取采购文件后可以自行踏勘现场。采购人安排专人在2024年</w:t>
      </w:r>
      <w:r>
        <w:rPr>
          <w:rFonts w:hint="eastAsia"/>
          <w:color w:val="auto"/>
          <w:sz w:val="24"/>
          <w:highlight w:val="none"/>
        </w:rPr>
        <w:t>5</w:t>
      </w:r>
      <w:r>
        <w:rPr>
          <w:color w:val="auto"/>
          <w:sz w:val="24"/>
          <w:highlight w:val="none"/>
        </w:rPr>
        <w:t xml:space="preserve"> 月</w:t>
      </w:r>
      <w:r>
        <w:rPr>
          <w:rFonts w:hint="eastAsia"/>
          <w:color w:val="auto"/>
          <w:sz w:val="24"/>
          <w:highlight w:val="none"/>
        </w:rPr>
        <w:t>8</w:t>
      </w:r>
      <w:r>
        <w:rPr>
          <w:color w:val="auto"/>
          <w:sz w:val="24"/>
          <w:highlight w:val="none"/>
        </w:rPr>
        <w:t xml:space="preserve"> 日至2024年</w:t>
      </w:r>
      <w:r>
        <w:rPr>
          <w:rFonts w:hint="eastAsia"/>
          <w:color w:val="auto"/>
          <w:sz w:val="24"/>
          <w:highlight w:val="none"/>
        </w:rPr>
        <w:t>5</w:t>
      </w:r>
      <w:r>
        <w:rPr>
          <w:color w:val="auto"/>
          <w:sz w:val="24"/>
          <w:highlight w:val="none"/>
        </w:rPr>
        <w:t xml:space="preserve"> 月 </w:t>
      </w:r>
      <w:r>
        <w:rPr>
          <w:rFonts w:hint="eastAsia"/>
          <w:color w:val="auto"/>
          <w:sz w:val="24"/>
          <w:highlight w:val="none"/>
        </w:rPr>
        <w:t>9</w:t>
      </w:r>
      <w:r>
        <w:rPr>
          <w:color w:val="auto"/>
          <w:sz w:val="24"/>
          <w:highlight w:val="none"/>
        </w:rPr>
        <w:t>日接受供应商提</w:t>
      </w:r>
      <w:r>
        <w:rPr>
          <w:rFonts w:hint="eastAsia"/>
          <w:color w:val="auto"/>
          <w:sz w:val="24"/>
          <w:highlight w:val="none"/>
          <w:lang w:val="en-US" w:eastAsia="zh-CN"/>
        </w:rPr>
        <w:t>出</w:t>
      </w:r>
      <w:r>
        <w:rPr>
          <w:color w:val="auto"/>
          <w:sz w:val="24"/>
          <w:highlight w:val="none"/>
        </w:rPr>
        <w:t>的踏勘现场申请，</w:t>
      </w:r>
      <w:r>
        <w:rPr>
          <w:rFonts w:hint="eastAsia"/>
          <w:color w:val="auto"/>
          <w:sz w:val="24"/>
          <w:highlight w:val="none"/>
        </w:rPr>
        <w:t>地点：见各类光纤线路具体点位，</w:t>
      </w:r>
      <w:r>
        <w:rPr>
          <w:color w:val="auto"/>
          <w:sz w:val="24"/>
          <w:highlight w:val="none"/>
        </w:rPr>
        <w:t>联系人</w:t>
      </w:r>
      <w:r>
        <w:rPr>
          <w:rFonts w:hint="eastAsia"/>
          <w:color w:val="auto"/>
          <w:sz w:val="24"/>
          <w:highlight w:val="none"/>
          <w:lang w:eastAsia="zh-CN"/>
        </w:rPr>
        <w:t>：</w:t>
      </w:r>
      <w:r>
        <w:rPr>
          <w:color w:val="auto"/>
          <w:sz w:val="24"/>
          <w:highlight w:val="none"/>
        </w:rPr>
        <w:t xml:space="preserve"> 吴泉 ，联系电话：17300929803 。采购人仅提供踏勘现场的便利，不对供应商踏勘现场得出的技术商务结论承担责任。</w:t>
      </w:r>
    </w:p>
    <w:p>
      <w:pPr>
        <w:pStyle w:val="3"/>
        <w:spacing w:before="312" w:after="312"/>
        <w:ind w:left="425" w:firstLine="0"/>
        <w:rPr>
          <w:color w:val="auto"/>
          <w:sz w:val="24"/>
          <w:szCs w:val="24"/>
          <w:highlight w:val="none"/>
        </w:rPr>
      </w:pPr>
      <w:r>
        <w:rPr>
          <w:rFonts w:hint="eastAsia"/>
          <w:color w:val="auto"/>
          <w:sz w:val="24"/>
          <w:szCs w:val="24"/>
          <w:highlight w:val="none"/>
        </w:rPr>
        <w:t>二、服务内容</w:t>
      </w:r>
    </w:p>
    <w:p>
      <w:pPr>
        <w:spacing w:line="360" w:lineRule="auto"/>
        <w:rPr>
          <w:color w:val="auto"/>
          <w:sz w:val="24"/>
          <w:highlight w:val="none"/>
        </w:rPr>
      </w:pPr>
      <w:r>
        <w:rPr>
          <w:rFonts w:hint="eastAsia"/>
          <w:color w:val="auto"/>
          <w:sz w:val="24"/>
          <w:highlight w:val="none"/>
        </w:rPr>
        <w:t>杭州市交通运输行政执法队网络租赁项目主要内容包括：</w:t>
      </w:r>
    </w:p>
    <w:p>
      <w:pPr>
        <w:spacing w:line="360" w:lineRule="auto"/>
        <w:rPr>
          <w:color w:val="auto"/>
          <w:sz w:val="24"/>
          <w:highlight w:val="none"/>
        </w:rPr>
      </w:pPr>
      <w:r>
        <w:rPr>
          <w:rFonts w:hint="eastAsia"/>
          <w:color w:val="auto"/>
          <w:sz w:val="24"/>
          <w:highlight w:val="none"/>
        </w:rPr>
        <w:t>（1）线路清单</w:t>
      </w:r>
    </w:p>
    <w:tbl>
      <w:tblPr>
        <w:tblStyle w:val="62"/>
        <w:tblW w:w="9247" w:type="dxa"/>
        <w:tblInd w:w="0" w:type="dxa"/>
        <w:tblLayout w:type="autofit"/>
        <w:tblCellMar>
          <w:top w:w="0" w:type="dxa"/>
          <w:left w:w="108" w:type="dxa"/>
          <w:bottom w:w="0" w:type="dxa"/>
          <w:right w:w="108" w:type="dxa"/>
        </w:tblCellMar>
      </w:tblPr>
      <w:tblGrid>
        <w:gridCol w:w="1275"/>
        <w:gridCol w:w="2110"/>
        <w:gridCol w:w="1275"/>
        <w:gridCol w:w="2183"/>
        <w:gridCol w:w="2404"/>
      </w:tblGrid>
      <w:tr>
        <w:tblPrEx>
          <w:tblCellMar>
            <w:top w:w="0" w:type="dxa"/>
            <w:left w:w="108" w:type="dxa"/>
            <w:bottom w:w="0" w:type="dxa"/>
            <w:right w:w="108" w:type="dxa"/>
          </w:tblCellMar>
        </w:tblPrEx>
        <w:trPr>
          <w:trHeight w:val="511" w:hRule="atLeast"/>
        </w:trPr>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b/>
                <w:color w:val="auto"/>
                <w:sz w:val="24"/>
                <w:highlight w:val="none"/>
              </w:rPr>
              <w:t>序号</w:t>
            </w:r>
          </w:p>
        </w:tc>
        <w:tc>
          <w:tcPr>
            <w:tcW w:w="211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b/>
                <w:color w:val="auto"/>
                <w:sz w:val="24"/>
                <w:highlight w:val="none"/>
              </w:rPr>
              <w:t>线路类型</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ascii="宋体" w:hAnsi="宋体" w:eastAsia="宋体" w:cs="宋体"/>
                <w:color w:val="auto"/>
                <w:sz w:val="24"/>
                <w:highlight w:val="none"/>
              </w:rPr>
              <w:t>▲</w:t>
            </w:r>
            <w:r>
              <w:rPr>
                <w:rFonts w:hint="eastAsia"/>
                <w:b/>
                <w:color w:val="auto"/>
                <w:sz w:val="24"/>
                <w:highlight w:val="none"/>
              </w:rPr>
              <w:t>速率</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ascii="宋体" w:hAnsi="宋体" w:eastAsia="宋体" w:cs="宋体"/>
                <w:color w:val="auto"/>
                <w:sz w:val="24"/>
                <w:highlight w:val="none"/>
              </w:rPr>
              <w:t>▲</w:t>
            </w:r>
            <w:r>
              <w:rPr>
                <w:rFonts w:hint="eastAsia"/>
                <w:b/>
                <w:color w:val="auto"/>
                <w:sz w:val="24"/>
                <w:highlight w:val="none"/>
              </w:rPr>
              <w:t>数量</w:t>
            </w:r>
          </w:p>
        </w:tc>
        <w:tc>
          <w:tcPr>
            <w:tcW w:w="240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b/>
                <w:color w:val="auto"/>
                <w:sz w:val="24"/>
                <w:highlight w:val="none"/>
              </w:rPr>
              <w:t>线路属性</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VPN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300M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30</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52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7</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11</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51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153</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14</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MSTP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15</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16</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40M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17</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40M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18</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19</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物联网传输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21</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22</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24</w:t>
            </w:r>
          </w:p>
        </w:tc>
        <w:tc>
          <w:tcPr>
            <w:tcW w:w="2110" w:type="dxa"/>
            <w:vMerge w:val="restart"/>
            <w:tcBorders>
              <w:top w:val="nil"/>
              <w:left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25</w:t>
            </w:r>
          </w:p>
        </w:tc>
        <w:tc>
          <w:tcPr>
            <w:tcW w:w="2110" w:type="dxa"/>
            <w:vMerge w:val="continue"/>
            <w:tcBorders>
              <w:left w:val="single" w:color="auto" w:sz="4" w:space="0"/>
              <w:right w:val="single" w:color="auto" w:sz="4" w:space="0"/>
            </w:tcBorders>
            <w:vAlign w:val="center"/>
          </w:tcPr>
          <w:p>
            <w:pPr>
              <w:spacing w:line="360" w:lineRule="auto"/>
              <w:jc w:val="center"/>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127</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nil"/>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26</w:t>
            </w:r>
          </w:p>
        </w:tc>
        <w:tc>
          <w:tcPr>
            <w:tcW w:w="2110" w:type="dxa"/>
            <w:vMerge w:val="continue"/>
            <w:tcBorders>
              <w:left w:val="single" w:color="auto" w:sz="4" w:space="0"/>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精品光宽带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28</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78</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29</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互联网专线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100M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30</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光纤快线</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31</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互联网光纤专线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32</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专线宽带</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34</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互联网宽带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100M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35</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50M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36</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商务专线</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bl>
    <w:p>
      <w:pPr>
        <w:spacing w:line="360" w:lineRule="auto"/>
        <w:rPr>
          <w:color w:val="auto"/>
          <w:sz w:val="24"/>
          <w:highlight w:val="none"/>
        </w:rPr>
      </w:pPr>
      <w:r>
        <w:rPr>
          <w:rFonts w:hint="eastAsia"/>
          <w:color w:val="auto"/>
          <w:sz w:val="24"/>
          <w:highlight w:val="none"/>
        </w:rPr>
        <w:t>（2）无线网卡清单</w:t>
      </w:r>
    </w:p>
    <w:tbl>
      <w:tblPr>
        <w:tblStyle w:val="62"/>
        <w:tblW w:w="9458" w:type="dxa"/>
        <w:tblInd w:w="0" w:type="dxa"/>
        <w:tblLayout w:type="autofit"/>
        <w:tblCellMar>
          <w:top w:w="0" w:type="dxa"/>
          <w:left w:w="108" w:type="dxa"/>
          <w:bottom w:w="0" w:type="dxa"/>
          <w:right w:w="108" w:type="dxa"/>
        </w:tblCellMar>
      </w:tblPr>
      <w:tblGrid>
        <w:gridCol w:w="988"/>
        <w:gridCol w:w="2409"/>
        <w:gridCol w:w="993"/>
        <w:gridCol w:w="1921"/>
        <w:gridCol w:w="1638"/>
        <w:gridCol w:w="1509"/>
      </w:tblGrid>
      <w:tr>
        <w:tblPrEx>
          <w:tblCellMar>
            <w:top w:w="0" w:type="dxa"/>
            <w:left w:w="108" w:type="dxa"/>
            <w:bottom w:w="0" w:type="dxa"/>
            <w:right w:w="108" w:type="dxa"/>
          </w:tblCellMar>
        </w:tblPrEx>
        <w:trPr>
          <w:trHeight w:val="50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序号</w:t>
            </w:r>
          </w:p>
        </w:tc>
        <w:tc>
          <w:tcPr>
            <w:tcW w:w="240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类型</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ascii="宋体" w:hAnsi="宋体" w:eastAsia="宋体" w:cs="宋体"/>
                <w:color w:val="auto"/>
                <w:sz w:val="24"/>
                <w:highlight w:val="none"/>
              </w:rPr>
              <w:t>▲</w:t>
            </w:r>
            <w:r>
              <w:rPr>
                <w:rFonts w:hint="eastAsia"/>
                <w:color w:val="auto"/>
                <w:sz w:val="24"/>
                <w:highlight w:val="none"/>
              </w:rPr>
              <w:t>数量</w:t>
            </w:r>
          </w:p>
        </w:tc>
        <w:tc>
          <w:tcPr>
            <w:tcW w:w="192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ascii="宋体" w:hAnsi="宋体" w:eastAsia="宋体" w:cs="宋体"/>
                <w:color w:val="auto"/>
                <w:sz w:val="24"/>
                <w:highlight w:val="none"/>
              </w:rPr>
              <w:t>▲</w:t>
            </w:r>
            <w:r>
              <w:rPr>
                <w:rFonts w:hint="eastAsia"/>
                <w:color w:val="auto"/>
                <w:sz w:val="24"/>
                <w:highlight w:val="none"/>
              </w:rPr>
              <w:t>套餐内容</w:t>
            </w:r>
          </w:p>
        </w:tc>
        <w:tc>
          <w:tcPr>
            <w:tcW w:w="163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业务类型</w:t>
            </w:r>
          </w:p>
        </w:tc>
        <w:tc>
          <w:tcPr>
            <w:tcW w:w="150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服务期限</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海康执法记录仪专网卡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233</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布控球专网卡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对讲机专网卡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850</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指挥车专网卡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移动执法终端流量卡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811</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应急专网卡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45</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7</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执法艇设备数据服务卡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流量卡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执法记录仪物联网卡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400</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71"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VHF项目布控球物联网卡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bl>
    <w:p>
      <w:pPr>
        <w:spacing w:line="360" w:lineRule="auto"/>
        <w:rPr>
          <w:color w:val="auto"/>
          <w:sz w:val="24"/>
          <w:highlight w:val="none"/>
        </w:rPr>
      </w:pPr>
    </w:p>
    <w:p>
      <w:pPr>
        <w:spacing w:line="360" w:lineRule="auto"/>
        <w:rPr>
          <w:color w:val="auto"/>
          <w:sz w:val="24"/>
          <w:highlight w:val="none"/>
        </w:rPr>
      </w:pPr>
      <w:r>
        <w:rPr>
          <w:color w:val="auto"/>
          <w:sz w:val="24"/>
          <w:highlight w:val="none"/>
        </w:rPr>
        <w:br w:type="page"/>
      </w:r>
    </w:p>
    <w:p>
      <w:pPr>
        <w:pStyle w:val="3"/>
        <w:spacing w:before="312" w:after="312"/>
        <w:ind w:left="425" w:firstLine="0"/>
        <w:rPr>
          <w:color w:val="auto"/>
          <w:sz w:val="24"/>
          <w:szCs w:val="24"/>
          <w:highlight w:val="none"/>
        </w:rPr>
      </w:pPr>
      <w:r>
        <w:rPr>
          <w:rFonts w:hint="eastAsia"/>
          <w:color w:val="auto"/>
          <w:sz w:val="24"/>
          <w:szCs w:val="24"/>
          <w:highlight w:val="none"/>
        </w:rPr>
        <w:t>三、线路清单</w:t>
      </w:r>
    </w:p>
    <w:tbl>
      <w:tblPr>
        <w:tblStyle w:val="62"/>
        <w:tblW w:w="9209" w:type="dxa"/>
        <w:tblInd w:w="0" w:type="dxa"/>
        <w:tblLayout w:type="autofit"/>
        <w:tblCellMar>
          <w:top w:w="0" w:type="dxa"/>
          <w:left w:w="108" w:type="dxa"/>
          <w:bottom w:w="0" w:type="dxa"/>
          <w:right w:w="108" w:type="dxa"/>
        </w:tblCellMar>
      </w:tblPr>
      <w:tblGrid>
        <w:gridCol w:w="846"/>
        <w:gridCol w:w="1276"/>
        <w:gridCol w:w="1134"/>
        <w:gridCol w:w="4110"/>
        <w:gridCol w:w="1843"/>
      </w:tblGrid>
      <w:tr>
        <w:tblPrEx>
          <w:tblCellMar>
            <w:top w:w="0" w:type="dxa"/>
            <w:left w:w="108" w:type="dxa"/>
            <w:bottom w:w="0" w:type="dxa"/>
            <w:right w:w="108" w:type="dxa"/>
          </w:tblCellMar>
        </w:tblPrEx>
        <w:trPr>
          <w:trHeight w:val="28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center"/>
              <w:textAlignment w:val="auto"/>
              <w:rPr>
                <w:b/>
                <w:color w:val="auto"/>
                <w:sz w:val="24"/>
                <w:highlight w:val="none"/>
              </w:rPr>
            </w:pPr>
            <w:r>
              <w:rPr>
                <w:rFonts w:hint="eastAsia"/>
                <w:b/>
                <w:color w:val="auto"/>
                <w:sz w:val="24"/>
                <w:highlight w:val="none"/>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center"/>
              <w:textAlignment w:val="auto"/>
              <w:rPr>
                <w:b/>
                <w:color w:val="auto"/>
                <w:sz w:val="24"/>
                <w:highlight w:val="none"/>
              </w:rPr>
            </w:pPr>
            <w:r>
              <w:rPr>
                <w:rFonts w:hint="eastAsia"/>
                <w:b/>
                <w:color w:val="auto"/>
                <w:sz w:val="24"/>
                <w:highlight w:val="none"/>
              </w:rPr>
              <w:t>线路类型</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center"/>
              <w:textAlignment w:val="auto"/>
              <w:rPr>
                <w:b/>
                <w:color w:val="auto"/>
                <w:sz w:val="24"/>
                <w:highlight w:val="none"/>
              </w:rPr>
            </w:pPr>
            <w:r>
              <w:rPr>
                <w:rFonts w:hint="eastAsia"/>
                <w:b/>
                <w:color w:val="auto"/>
                <w:sz w:val="24"/>
                <w:highlight w:val="none"/>
              </w:rPr>
              <w:t>速率</w:t>
            </w:r>
          </w:p>
        </w:tc>
        <w:tc>
          <w:tcPr>
            <w:tcW w:w="41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center"/>
              <w:textAlignment w:val="auto"/>
              <w:rPr>
                <w:b/>
                <w:color w:val="auto"/>
                <w:sz w:val="24"/>
                <w:highlight w:val="none"/>
              </w:rPr>
            </w:pPr>
            <w:r>
              <w:rPr>
                <w:rFonts w:hint="eastAsia"/>
                <w:b/>
                <w:color w:val="auto"/>
                <w:sz w:val="24"/>
                <w:highlight w:val="none"/>
              </w:rPr>
              <w:t>安装地址</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center"/>
              <w:textAlignment w:val="auto"/>
              <w:rPr>
                <w:b/>
                <w:color w:val="auto"/>
                <w:sz w:val="24"/>
                <w:highlight w:val="none"/>
              </w:rPr>
            </w:pPr>
            <w:r>
              <w:rPr>
                <w:rFonts w:hint="eastAsia"/>
                <w:b/>
                <w:color w:val="auto"/>
                <w:sz w:val="24"/>
                <w:highlight w:val="none"/>
              </w:rPr>
              <w:t>线路属性</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杭州市饶城高速60K+700袁浦超限运输检测站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执法队一楼机房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执法队一楼机房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执法队一楼机房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执法队一楼机房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杭州市西湖区通益路1036号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文一西路769号2308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杭州市江干区机场路163号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杭州市江干区机场路163号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杭州市江干区机场路163号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秋涛北路328号百富时代中心3幢5楼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钱江路639号新城大楼三楼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三墩振华路206号西港新界5A203机房（现西湖执法队三中队）</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景区管委会线路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温州路71号南北商务港三楼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拱墅区湖州街567号北城天地写字楼9幢15A</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杭州市滨江区凯瑞金座24层</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西湖区洙泗路501号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麦岭沙杭州南收费站旁路政办公室</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杭新景高速杨村桥收费站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淳安市千岛湖镇千黄高速汪宅出口路政办公大楼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德胜东路2号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余杭区杭长高速公路径山收费站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萧山江东新城六工段/萧山区永红路3号党湾中心所交通执法大楼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萧山宁围镇高新开发区鸿兴路109号萧山跨境电子商务园办公楼北侧小三楼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萧山区临浦镇临北路90号宏源修理厂</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浙江省杭州市临安市, 临安市藻溪镇亭口村</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浙江省杭州市临安市，太阳镇高速公路收费所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余杭区绕城西复线老余杭北收费站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互联网专线</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执法队一楼机房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下城区朝晖路122号2号楼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执法队一楼机房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执法队一楼机房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杭州市江干区机场路163号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杭州市上城区秋涛北路328号佰富时代中心3幢5楼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三新北路中豪湘座B座6楼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九堡客运中心运管管理所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国货路9号（道路运政）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环站北路与新风路交叉口枢纽大厦5楼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城站浙江铁道大厦</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钱江路639号新城大楼东三楼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秋涛路汽车南站三楼运管处</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紫荆花路18号联合大厦A座205</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 xml:space="preserve">转塘凌家桥389号运管之江管理所 </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汽车西站运管管理所一楼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三墩振华路206号西港新界5A203机房（现西湖执法队三中队）</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 xml:space="preserve">上茅家埠226号 </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莫干山路汽车北站运管处值班室</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温州路71号南北商务港三楼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拱墅区湖州街567号北城天地写字楼9幢15A</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杭州市滨江区凯瑞金座24层</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建国北路707号星汇大厦2楼202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萧山机场</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西湖区洙泗路501号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西湖区杭新景高速公路杭州南收费站高速路政办公楼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杭新景高速杨村桥收费站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淳安市千岛湖镇千黄高速汪宅出口路政办公大楼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互联网专线</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巨州路高速公路路政管理大队楼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浙江省杭州市，杭州市西湖区绕城高速公路60K+700</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江干区德胜东路2号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余杭区杭长高速公路径山收费站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萧山前进园区钱江通道六工段收费站旁监控管理站/萧山区永红路3号党湾中心所交通执法大楼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萧山宁围镇高新开发区鸿兴路109号萧山跨境电子商务园办公楼北侧小三楼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萧山区临浦镇临北路90号宏源修理厂</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文一西路769号杭州市公路管理局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杭州市临安区天目山镇亭口村超限检测站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临安杭徽高速公路太阳收费站出口</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余杭区绕城西复线老余杭北收费站</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滨盛路1509号天恒大厦11楼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中河北路108号港航大楼6楼机房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中河北路108号港航大楼3楼机房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滨盛路1509号天恒大厦11楼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杭州市萧山区沪杭甬高速萧山收费站入口右侧交通执法大楼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杭州市萧山区沪杭甬高速萧山收费站入口右侧交通执法大楼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桐庐服务区</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淳安县千岛湖镇毛竹源所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紫花路110号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袁浦镇麦岭沙村东风造船厂前200米</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79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桐庐县城南街道瑶琳路667号。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桐庐县桐君街道开元街1号桐庐处东门所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中江中路74号海月所桥</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六堡海事码头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千岛湖镇阳光路108号四楼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东洲街道东洲码头中国海事楼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杭州市余杭区运河镇博陆大运河宾馆旁余杭港航管理处临平所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富阳市春江桥头港航大楼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富阳市春江桥头港航大楼旁春江所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衙前镇螺山村萧山水上指挥中心</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89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仁和镇东塘村杭州港航管理所宿舍楼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杭州市下城区朝晖七区70幢</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临安市河桥镇泥洛村柳溪江景区码头新大楼(办公室)</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青山镇岳山坞岭上</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杭海路577号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萧山区闻堰镇之江海事所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杭州市上城区四宜路11号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淳安千岛湖旅游码头二期</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衙前镇螺山村萧山水上指挥中心机房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河桥镇柳溪江景区码头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99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建德江东村靠（119.571439，29.309224）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建德小洋村靠江边(小大线边)（119.521071，29.469031）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建德严州大桥截面</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余杭区余杭塘河北面杭州绕城西面（120.050301，30.300223）</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富阳东洲港以东周浦港以西江边（应沙堤水文站）（120.086779，30.075678）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富阳中沙村对面码头江滨南大道旁</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淳安县姜家镇狮城路290号2单元</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富阳区春江街道建设村江滨南大道9号港航管理处</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淳安县姜家镇狮城路西南旅游码头海事所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千岛湖姜家所（118.660186428，29.477878479）</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千岛湖汾口百亩贩码头（118.612937，29.421473）</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千岛湖上江埠大桥（118.967307，29.535062）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千岛湖小金山大桥（118.937631，29.626719）</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康桥镇西杨村(康桥路上的)</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江干区三桥北岸下(景江城市花园附近)</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临安青山湖大坝处</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临安渔潭村拐角2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临安渔潭村拐角1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淳安千岛湖工作艇锚泊区综合执法中队</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淳安威坪货运码头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119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淳安威坪西线（118.775871，29.726558）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建德东铜官码头（118.612937，29.473437）</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富阳桐洲大桥（119.888703，29.952899）</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富阳王洲坞矿码头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富阳密涧泷航区（119.776597，29.882516）</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富阳五丰锚泊区（120.121783，30.085711）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富阳飞鹰游艇码头（119.958846，30.043528）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富阳钱航码头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富阳富春江第一大桥（119.902513，29.967256）</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滨江区滨江巴士码头（120.195811，30.214561）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129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余杭区九龙桥（120.065701，30.416001）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余杭区晨宇第一分公司码头对岸（120.268085，30.4934）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余杭区女子监狱外围堤岸（120.1142045，30.29567752）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余杭区塘栖新桥桥上通航孔（120.1802，30.4882）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余杭区新开河老市口（120.170123，30.476547）</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余杭区仁和军联沙场（120.121831，30.464992）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余杭区山后桥（120.0773，30.4362）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余杭区叶根沙场码头堤岸（120.099799，30.448484）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余杭区官塘漾口入口航标附近（120.115898，30.448437）</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余杭区八字桥（120.1852，30.4798）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139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余杭区跨塘桥边堤岸（120.205736，30.490484）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余杭区宦塘大桥下游基岸（120.07145，30.397884）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建德三都海市所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余杭区东塘大桥桥底（120.1108，30.458）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余杭区塘栖锚泊区下游堤岸（120.2157，30.4971）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余杭区龙光桥下游（120.243301，30.500501）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余杭区仁和良渚码头（120.056396，30.457552）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萧山区一桥通航孔</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萧山港航管理城厢所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萧山港航管理临浦所(义桥码头)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149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萧山港航管理新坝所(杭甬运河建设开发有限公司旁)</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萧山港航管理湘湖所(湘湖景区湘湖燕尔园)</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余杭武林头（120.144670753，30.46887654）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余杭港航管理局临平所（120.294884042,30.500312426）</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余杭区武林头港航管理处（120.144802，30.468902）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余杭港航管理局良渚所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临安鱼潭村靠码头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rPr>
          <w:trHeight w:val="56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裸纤</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　</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淳安港航-淳安公安</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56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裸纤</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　</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淳安县千岛湖镇阳光路108号海事局机房-淳安县新安东路493号4楼机房 </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56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裸纤</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　</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桐庐县瑶琳路667号-桐庐县迎春南路567号电信IDC机房 </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159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中河北路108号-德胜路353号林水局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 xml:space="preserve">富阳春江街道江滨南大道9号 </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青山湖泥山湾景区码头</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余杭仁和村五福路桥边上</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西湖区转塘之浦路（120.1066145，30.16761948）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萧山区下沙大桥南</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萧山区临浦临一村（120.232614，30.03750149）</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萧山区衙前草漾村</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富阳东洲红旗村东南（120.0304854，30.05011324）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富阳场口清江北（119.872046，29.94211544）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169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桐庐旅游局（119.6680841，29.80028693）</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建德水韵天城-2 （119.2879306，29.47689098）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建德下涯滩头（119.3787716，29.50693708）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建德三都松口村 （119.5473324，29.53956146）</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建德七里扬帆 （119.5817505，29.60656773）</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临安青山湖玫瑰园（119.7832079，30.2430499）</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千岛湖镇竹里村岙山单管塔（118.75984098，29.524011541）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千岛湖镇金竹牌大桥三管塔4（119.182896，29.563815）</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千岛湖镇南阜码头角钢塔（118.79801，29.68034）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千岛湖镇龙川湾景区仿生树1（118.670213，29.443125）</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179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千岛湖镇文昌高铁旁三管塔（119.164119，29.737541）</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千岛湖镇上江阜大桥孔雀岛单管塔5</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千岛湖镇安阳乡杨凤山角刚塔3（118.784281807，29.41798732）</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淳安县千岛湖镇姥山基站（119.066087，29.544488）</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淳安县千岛湖镇天屿基站（119.051933531，29.629920843）</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拱墅区登云路450号文化商城铁塔基站（女子监狱点）（120.06886，30.405444）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余杭区仓前街道灵源村委余杭仓前基站（梦想小镇北）（119.998145，30.292504）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56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之江中路74号海月桥处办公楼3楼-萧山区滨江路中国海事之江所2楼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浙江省杭州市, 建德市葫芦湾瀑布（119.624656，29.635624）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千岛湖镇城中湖码头朋友圈餐厅附近游客售票处（119.0494，29.6027）</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189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淳安县威坪镇南赋大桥港航监控（118.797971296，29.680161253）</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千岛湖镇梦姑塘路新旅游码头游客上船点港航监控（119.0078，29.5974）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千岛湖镇梦姑路梅地亚酒店入口港航监控（119.0076，29.5975）</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千岛湖镇阳光路819号狸猫岛港航监控（亿美健康）（119.0566，29.6434）</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千岛湖镇港口路6号客运西站对面加油船港航监控（119.0032，29.5906）</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杭州市下城区朝晖路122号2号楼2楼应急指挥中心</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富阳东洲街道东桥路58号东洲综合码头内鱼山海事所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余杭区仁和镇花园村义桥海事所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余杭区仁和镇花园村义桥海事所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仁和镇花园村林家斗组162号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199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余杭区仁和镇花园村杭州市港航管理局内河管理处义桥所1楼机房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杭州市上城区八堡路32号（八堡船闸）</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杭州市上城区八堡路33号（八堡船闸）</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杭州市萧山区萧然东路413-8西侧</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富阳市富阳市农村大塔村场口海事所,310000</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萧山港航管理瓜沥所(水印城东50米)</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杭州市上城区四季青水湘人家东苑3号楼底层4号商铺</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精品光宽带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萧山区闻堰镇江滨路310000</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杭州市萧山区萧然东路413-8西侧</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灵桥杭千高速大桥旁</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仁和镇花园村中国海事局内河义桥所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 淳安县姜家镇狮城路497号三楼</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淳安县千岛湖镇阳光路108号港航管理处(昊畅调测)</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九堡客运中心出租车候客区保安室对面</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九堡客运中心运管办公室机房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大江东物流中心出入口全球眼杆子旁边电信井道</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杭州市余杭区南庄兜东苑北门杭州绕城高速京杭运河特大桥右005墩</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大江东物流中心出入口监控杆附近</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 火车东站新风路天城路T字路口监控杆所在绿化带南边20m处电信井</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火车东站南2口出租车通道出租车候客处弱电机房距离半球70m</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219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杭州市上城区汽车南站客车出口</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 江干区东宁路新塘路口往西50米处</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杭州市西湖区汽车西站运管管理所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 汽车西站售票候客大厅楼梯旁设备机箱</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汽车南站售票大厅</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汽车西站运管管理所内</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九堡客运中心候客大厅安装位置附近平台上</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上城区汽车南站候客大厅</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上城区汽车南站停车场</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汽车北站售票大厅</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229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九堡客运中心售票大厅弱电井内</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城站广场汽车站客运站正对面</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铁道大厦城站广场8号南十七楼交通执法监控室</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汽车北站运管管理所,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杭州市上城区福缘巷（浙江大学眼科医院门口）</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新风路288号门口中间绿化带</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汽车南站运管处</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 汽车北站候客大厅自助存行李柜上方</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汽车北站门检监控杆西侧5m电信杆,</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auto" w:fill="auto"/>
            <w:vAlign w:val="bottom"/>
          </w:tcPr>
          <w:p>
            <w:pPr>
              <w:widowControl/>
              <w:adjustRightInd/>
              <w:spacing w:line="360" w:lineRule="auto"/>
              <w:jc w:val="left"/>
              <w:rPr>
                <w:bCs/>
                <w:color w:val="auto"/>
                <w:sz w:val="24"/>
                <w:highlight w:val="none"/>
              </w:rPr>
            </w:pPr>
            <w:r>
              <w:rPr>
                <w:rFonts w:hint="eastAsia"/>
                <w:color w:val="auto"/>
                <w:sz w:val="24"/>
                <w:highlight w:val="none"/>
              </w:rPr>
              <w:t>大江东物流中心物流信息交流中心楼上</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239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朝晖路122号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莫干山路汽车北站站所</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城站广场8号铁道大厦南17楼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婺江路455号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天目山路357号汽车西站内二楼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三新北路中豪湘座6楼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紫荆花路2号联合大厦A座</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钱江路637号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德胜路九堡镇九堡村</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国货路9号（解百东面）</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249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洙泗路501号2楼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灵隐路15号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环城北路与新凤路交叉口枢纽大厦5楼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建国北路707号星汇大厦2楼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温州路71号南北商务港3楼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航空货运海关大楼三楼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德胜东路3339号杭州客运中心</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莫干山路766号汽车北站监控中心（甲），汽车北站管理所（乙）（两芯）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汽车西站监控中心（甲），汽车西站门口（挪100米位置）（乙）（两芯）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汽车西站道路运管所，天目山路与紫金港路交叉口以西100米（两芯）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259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nil"/>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杭州市汽车北站管理所，杭州市汽车北站管理所外（两芯）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九堡客运中心站，九堡客运中心站外（两芯）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杭州市九堡客运中心站，杭州市九堡客运中心站大客车进出口（两芯）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杭州市九堡客运中心站，杭州市九堡客运中心站大客车进出口处（两芯）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杭州市九堡客运中心站，杭州市九堡客运中心站大客车进出口处（两芯）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九堡客运中心站，九堡客运中心站出租车进出口东面（两芯）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九堡客运中心站，九堡客运中心出租车进出口西面（两芯）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城站南面停车场铁路派出所右边，西湖大道建国中路南北角（两芯）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城站南面停车场铁路派出所右边，环城东路城站邮电局后面公交车站边（两芯）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城站南面停车场铁路派出所右边，环城东路清清泰立交桥下停车场（两芯）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269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九堡客运中心站运管办，九堡客运中心站东胜稼路（两芯）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杭州市公路运输管理局，紫荆港路西站门口和西溪路交叉路口（两芯）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杭州市汽车西站运管办公室，紫荆港路和天目山路交叉路口（两芯）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老城站运管所（城站火车站南侧），西湖大道建国南路城站管委会三楼（两芯）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汽车西站运管所，汽车西站临安公交车站红围墙外的公共自行车边北侧路灯杆上的白箱子（两芯）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九堡客运中心站道路运输管理所，九堡客运中心站内（两芯）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九堡客运中心站道路运输管理所，九堡客运中心站内2（两芯）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城站广场8号（铁道大厦南十七楼），城站火车站1（两芯）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城站广场8号（铁道大厦南十七楼），城站火车站2（两芯）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城站广场8号（铁道大厦南十七楼），城站火车站3（两芯）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279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城站广场8号（铁道大厦南十七楼），城站火车站4（两芯）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城站广场8号（铁道大厦南十七楼），城站火车站5（两芯）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城站广场8号（铁道大厦南十七楼），杭州市公路运输管理局（两芯）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中河北路108号杭州市港航管理局（甲），京杭运河危管所（乙）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中河北路108号杭州市港航管理局（甲），京杭运河北星桥丽水路北星公园新机房（乙）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中河北路108号杭州市港航管理局（甲），京杭运河内河处朝晖七区（乙）120.154408  30.286506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中河北路108号杭州市港航管理局（甲），京杭运河省港航管理局湖墅南路118号（乙）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中河北路108号杭州市港航管理局（甲），京杭运河项目运河广场西北角游艇码头管理房外（乙）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中河北路108号杭州市港航管理局（甲），小河口京杭运河小河路小河直街与康家桥东边空地（乙） 120.133027  30.308612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中河北路108号杭州市港航管理局（甲），京杭运河湖墅南路信义坊游艇码头管理房内（乙）120.141526   30.298394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289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中河北路108号杭州市港航管理局（甲），京杭运河富义仓公园靠河边空地正对岸（乙）120.145815  30.296042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中河北路108号杭州市港航管理局（甲），京杭运河富义仓公园靠河边空地正对岸（乙）120.145815  30.296042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中河北路108号杭州市港航管理局（甲），京杭运河文二路潮王桥西北（乙）120.149884  30.289499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中河北路108号杭州市港航管理局（甲），京杭运河文晖路叶青兜桥西南（乙）120.155773  30.281791</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中河北路108号杭州市港航管理局（甲），京杭运河武林门轮船码头边上500米（乙）120.1574  30.2766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中河北路108号杭州市港航管理局（甲），建国北路桥西南岸桥梁净高牌处（乙）120.170601  30.277701</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nil"/>
              <w:right w:val="nil"/>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single" w:color="auto" w:sz="4" w:space="0"/>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中河北路108号杭州市港航管理局（甲），京杭运河艮山门码头（乙）120.178445  30.27986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中河北路108号杭州市港航管理局（甲），京杭运河铁路桥东南侧（乙）120.182019  30.279493</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中河北路108号杭州市港航管理局（甲），京杭运河秋涛北路运河桥东北边上河堤旁（乙）120.187258  30.283032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中河北路108号杭州市港航管理局（甲），京杭运河濮家小区南濮家站码头（乙）120.196664  30.284711</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299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中河北路108号杭州市港航管理局（甲），京杭运河新塘路运河桥南老桥南100米向前10米（乙）120.206019  30.284268</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中河北路108号杭州市港航管理局（甲），京杭运河水湘路运河桥西北300米处往河道靠至码头北侧100米（乙）120.211958   30.277288</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 xml:space="preserve">中河北路108号6楼（甲），京杭运河水湘路运河桥西南200米（乙）120.214802  30.273526 </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中河北路108号（甲），余杭区雅雀漾（乙）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中河北路108号杭州市港航大楼（甲），养管所北侧码头 120.132043  30.342204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中河北路108号杭州市港航大楼（甲），三里洋码头边上10米（乙）120.130498   30.355422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中河北路108号杭州市港航大楼，粮库对岸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余杭港航局武林头所（甲），余杭09省道桥（乙）120.155837  30.471708</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余杭港航局武林头所（甲），余杭巴士码头（乙）120.176445  30.479618</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余杭港航局武林头所（甲），余杭大同桥（乙）120.1721   30.4832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309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余杭港航局武林头所（甲），余杭新市叉口（乙）120.185  30.4932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余杭港航局武林头所（甲），塘栖荣圣化工码头（乙）120.191196  30.505911</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余杭港航局武林头所（甲），余杭稽查中队（乙）120.215806  30.496938</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余杭港航局武林头所（甲），余杭龙光桥（乙）120.232894  30.503294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余杭港航局武林头所（甲），余杭海联热电对岸（乙）120.264082  30.501699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余杭港航局武林头所（甲），余杭五杭大桥西（乙）120.270557  30.500896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余杭港航局武林头所（甲），余杭兴昌码头对岸（乙）120.270458  30.497517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余杭港航局武林头所（甲），余杭临五线（乙）120.26871  30.492345</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余杭港航局武林头所（甲），临平区运河街道东新村金锁路东洋埭综合服务区（乙） 120.29505  30.501603</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余杭港航局武林头所（甲），余杭长寿桥东（乙）120.300649  30.503996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319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余杭港航局武林头所（甲），余杭临博线口（乙）120.30617  30.504359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余杭港航局武林头所（甲），余杭桐乡交界处（乙）120.3205  30.5046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中河北路108号杭州市港航大楼（甲），康桥镇义桥粮库（乙）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中河北路108号杭州市港航大楼4楼（甲），城东粮库港池（乙）120.212783  30.27716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中河北路108号杭州市港航大楼4楼（甲），皋塘桥（乙） 120.209183  30.281543</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中河北路108号杭州市港航大楼4楼（甲），濮家锚地对面（乙）120.202756  30.285052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 xml:space="preserve">中河北路108号杭州市港航大楼4楼（甲），文化广场人行桥和中北桥北岸之间（乙）120.159801 30.276601 </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中河北路108号杭州市港航大楼4楼（甲），老德胜桥东南（乙）120.147528  30.29286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中河北路108号杭州市港航大楼4楼（甲），大关桥（乙） 120.137313  30.303852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中河北路108号杭州市港航大楼4楼（甲），登云桥对岸（乙）120.134191  30.314433</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329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中河北路108号杭州市港航大楼4楼（甲），轻纺路桥（乙）120.135264  30.326587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中河北路108号杭州市港航大楼4楼（甲），省直属粮库（乙）120.130404  30.348745</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钱潮码头 120.126618  30.358887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余杭区塘康路252号 120.1339  30.4306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海月桥所洋泮路南段江边（甲），钱江二桥钱塘江上游（乙）120.2271  30.2656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海月桥所洋泮路南段江边（甲），钱江三桥钱塘江上游（乙） 120.2121  30.2254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海月桥所洋泮路南段江边（甲），钱江四桥（乙）120.174863  30.214884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海月桥所洋泮路南段江边（甲），袁浦渡口北岸（乙）120.1544  30.1249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海月桥所洋泮路南段江边（甲），钱江一桥下游（乙）120.1365  30.2009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海月桥所洋泮路南段江边（甲），钱江一桥上游（乙） 120.130473  30.198451</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339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海月桥所洋泮路南段江边（甲），之江所对岸（乙）120.166905  30.118741</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海月桥所洋泮路南段江边（甲），赤通浦桥附近（乙）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海月桥所洋泮路南段江边（甲），海月桥所洋泮路南段江边（乙）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衙前镇螺山村新螺路130号（甲），桥戴线附近（乙）120.255439  30.064212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衙前镇螺山村新螺路130号（甲），康家湖锚泊区（乙） 120.255439  30.064212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衙前镇螺山村新螺路130号（甲），所前作业区（乙）120.2842  30.1022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衙前镇螺山村新螺路130号，所前镇</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衙前镇螺山村新螺路134号，义钢码头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衙前镇螺山村新螺路130号.K47+260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衙前镇螺山村新螺路130号，K47+950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349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衙前镇螺山村新螺路138号，万安桥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衙前镇螺山村新螺路139号，王村桥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衙前镇螺山村新螺路140号，K34+970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衙前镇螺山村新螺路141号，K36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衙前镇螺山村新螺路142号，陆庄大桥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衙前镇螺山村新螺路143号，白槽桥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衙前镇螺山村新螺路144号，康湖桥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衙前镇螺山村新螺路145号，03省道复线桥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衙前镇螺山村新螺路146号，K41+900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衙前镇螺山村新螺路147号，K42+450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359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衙前镇螺山村新螺路148号，K43+500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衙前镇螺山村新螺路149号，鱼临关桥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衙前镇螺山村新螺路130号，K51+450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衙前镇螺山村新螺路130号，海事码头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衙前镇螺山村新螺路130号，城厢所（K56+850)</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衙前镇螺山村新螺路155号，杨汛桥服务区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衙前镇螺山村新螺路156号，山南坊桥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衙前镇螺山村新螺路130号，104国道桥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衙前镇螺山村新螺路158号，K58</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衙前镇螺山村新螺路159号（甲），杭州绍兴交界（铁路和公路桥之间的位置）（乙）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369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衙前镇螺山村新螺路160号，杨汛桥至瓦泥池段</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海月桥所洋泮路南段江边，钱江二桥钱塘江下游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海月桥所洋泮路南段江边(原址500米左右）（甲），三堡船闸进口（乙）120.2232 30.2617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海月桥所洋泮路南段江边（甲），钱江三桥钱塘江下游（乙）120.2203  30.2342</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衙前镇螺山村新螺路130号（甲），义桥镇新坝村杭甬运河新坝船闸（乙）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中河北路108号港航局大楼4楼指挥中心（甲），衙前镇螺山村新螺路130号（乙）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洋泮路海月桥所（甲），袁浦渡口南岸（之江所200米）（乙）120.1646 30.1279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洋泮路海月桥所（甲），萧山之江所（乙）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40M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大江东南侧上游约50米处堤坝上（甲）120.410507 30.318975 ,钱江分中心海月桥所（乙）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四桥上游南侧2公里位置（甲）120.162716  30.209317，钱江分中心海月桥所（乙）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379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之江路新业路路口堤坝位置（甲）120.214  30.2464，钱江分中心海月桥所（乙）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拉到三桥管理中心内三桥南侧（甲）120.212177   30.23082，钱江分中心海月桥所（乙）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通航孔位置（九堡大桥）（甲）120.2849  30.2942，钱江分中心海月桥所（乙）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钱江四桥下游南侧江边闸瓜沥海事所（甲），钱江分中心海月桥所（乙）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临浦三桥东侧下游航道堤坝处距桥10米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之江桥下游北岸位置（转塘那头）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马家溪口（甲），马家溪口就近光交（乙）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窄溪所上游锚地、港航东门所</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窄溪到唐川，厡冠逸码头一带</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航道水域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389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唐川到柴埠</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柴埠大桥下游，旅游规划</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柴埠到滩头 119.7294  29.8354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上下游航道</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滩头到梓芳坞</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梓芳坞到二桥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梓芳坞到二桥，旅游单位及麦地坞水域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一桥通航孔下游水域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一桥通航孔上游水域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码头附近</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399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排门山到渡济大桥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渡济大桥通航孔下游100米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渡济大桥通航孔上游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渡济大桥至上游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杭千大桥下游通航孔及附近水域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杭千大桥上游通航孔及附近水域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船闸下游出口位置水域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航道急弯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富春江船闸上游出口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规划旅游码头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409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长坑埠附近水域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老大桥下游弯道</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印染厂附近航道水域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祥和码头与华安码头之间水域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白沙大桥上游水域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白沙大桥与302国道桥之间航道水域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320国道桥通航孔</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省直属粮库</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北塘河桥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新凉亭</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419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兰头角</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浦阳江铁路桥航段</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新坝船闸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萧山电厂</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新坝船闸上游引航道对面</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浦阳江与黄桐江岔河口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浙东引枢纽出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四化桥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长山一号桥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三河渡口向前20米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429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麻车大桥向前5米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下涯渡口码头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马目大桥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大洋化工作业区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马目渡口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乾潭旅游渡口码头100米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子胥渡口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三江口北岸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洋安大桥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小洋水域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439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下塘码头作业区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分水江大桥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旧县点</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渌渚江富源码头向左移25米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南方三亚码头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东吴大桥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中埠大桥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洋浦沙口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新沙岛渡口南岸渡埠值班房</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杭千高速桥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449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五丰渡口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五丰锚地  120.15405  30.101944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后山边村江边</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蛇浦村北岸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富阳旅游集散中心</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新沙岛旅游码头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富阳锚泊区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大原江口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东洲综合码头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吴家渡口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459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钱江五桥 120.168  30.1086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新沙村 120.131658  30.137317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九溪水厂取水口 120.1106  30.1746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钱江二桥南侧</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六堡海事搜救点 120.256743  30.289187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七格污水处理厂</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五丰锚地补充1   120.1432   30.0949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萧山五丰岛对岸  120.1577  30.0956</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渌渚江3号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渌渚江5号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469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渌渚江7号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渌渚江9号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渌渚江10号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渌渚江11号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临安党政网</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40M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下城区中河北路108号港航局大楼3楼指挥中心（甲），桐庐镇瑶琳路667号（乙）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40M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下城区中河北路108号港航局大楼3楼指挥中心（甲），新安江街道严州大道西侧（乙）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40M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下城区中河北路108号港航局大楼3楼指挥中心（甲），洋泮路南段江边（乙）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40M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中河北路108号港航局大楼4楼指挥中心（甲）,武林头所（乙）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中河北路108号港航局大楼4楼指挥中心</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479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西溪湿地王家门区块三区3号建筑（原赛石园林租赁办公用房3号楼）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四宜路与蔡官巷交叉口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美政花苑1号楼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海月桥所洋泮路南段江边 120.162716  30.209317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之江中路74号（同址移机）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麦岭沙村 120.117015  30.150593</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武林头所</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余杭区白西线到底恒强码头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余杭区武林头所一楼指挥中心</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萧山衙前镇螺山村新螺路130号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489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风情大道2758号湘湖风景区内湘湖所</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萧山义桥镇富春村（同址移机）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四桥排水灌闸（水上公安分局边）</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衙前镇吟龙村新螺路</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桐庐县桐庐镇瑶琳路667号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建德三都镇春江源村</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桐庐窄溪大桥下游300米（江边独栋楼）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桐庐县桐庐镇开元街1号港监码头（老轮船码头边上）</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建德市新安江街道严州大道西侧</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建德市杨家村镇十里埠村梅城海事所工地</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499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富阳春江街道江滨南大道9号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渌禇江油库码头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渌禇江沿线教堂附近沿河岸边</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千岛湖镇泗渡洲路1号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梦姑塘旅游码头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淳安县东南旅游码头 119.07133  29.585575</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千岛湖污水上岸点</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千岛湖灯塔</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青山湖街道蒋杨村岳山坞小湾</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科海路云计算产业园转塘华通云机房ZF-3F-C的A02、B02机械</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仁和镇奉口村良诸港航检查站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港航管理局钱江处三堡站</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临平塘栖镇塘北村</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六堡海事码头工地</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临安高坪码头监控杆</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光纤快线</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塘栖镇西小河社区广济塘栖码头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萧山国际机场T4航站楼B2层2034房间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建德三河渡口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富阳里山渡口对岸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虎山坪渡渡口 118.8266  29.4239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519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富阳区东舒线东梓关村王家埠渡口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萧山衙前镇螺山村新螺路130号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桐庐县桐庐镇瑶琳路667号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新安江街道严州大道西侧</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春江街道江滨南大道9号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千岛湖镇阳光路108号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青山湖街道蒋杨村岳山坞小湾</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萧山衙前镇螺山村新螺路130号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淳安千岛湖搜救中心 119.02961  29.644084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春江街道江滨南大道9号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529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建德新安江街道严州大道西侧</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桐庐县桐庐镇瑶琳路667号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双浦镇海皇星乐园 120.0917  30.0839</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丽水路100号青莎公园</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祥符街道石祥路439号（北星桥北西岸90米处）120.133069  30.336937</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杭州市粮油市场西北侧运河边</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富阳郁达夫公园码头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桐洲岛头西（富阳）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五丰岛码头（萧山）</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海通管庄新桐程坟富阳采砂作业区（富阳）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539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新桐三江石料厂码头（富阳）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小沙渡（富阳）边15米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南苑街道藕花洲大街385号余杭港航管理处12楼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东洲街道东洲综合码头新所房</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平宅村港北港（宇杭石油储运有限公司）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西溪湿地王家门区块三区3号建筑（原赛石园林租赁办公用房3号楼）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唐富洲渡口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互联网光纤专线</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西溪湿地王家门区块三区3号建筑（原赛石园林租赁办公用房3号楼）</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仁和镇永泰村胡家角东平宅村港北港（粮食储运）另一个机房</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源富码头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549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吴家渡口（五丰岛侧）</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萧山三江口萧山侧 120.1794  30.1053</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九堡大桥上游500 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萧山三江花园大队 120.1667  30.1258</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 xml:space="preserve">钱江一桥下游1公里大队杭州岸 120.1443 30.1935 </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八堡船闸口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滨江公安码头 120.2195  30.2464</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东洲木桥头水域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富阳春江太平水域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富阳场口馒头山西复线大桥水域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559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富阳桐洲大桥下游水域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富阳老渔山所下游200米左右水域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建德溪西畈水域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建德下钱水域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建德三都溪水域后门右50米港航自己管道内</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建德南峰塔水域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建德十里埠锚泊区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建德岱头水域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建德华奕码头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建德坑坎水域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569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建德九龙湾水域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建德乾福码头水域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桐庐西武山大桥上游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桐庐西武山大桥下游200米处</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萧山新街镇桑圩村群建新桥向外20米</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顾扬路与康桥路交叉口（世纪华联右侧小路老桥）</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中河北路108号港航局大楼4楼指挥中心，衙前镇螺山村新螺路130号</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ind w:firstLine="482"/>
              <w:jc w:val="center"/>
              <w:rPr>
                <w:b/>
                <w:color w:val="auto"/>
                <w:sz w:val="24"/>
                <w:highlight w:val="none"/>
              </w:rPr>
            </w:pPr>
            <w:r>
              <w:rPr>
                <w:rFonts w:hint="eastAsia"/>
                <w:b/>
                <w:color w:val="auto"/>
                <w:sz w:val="24"/>
                <w:highlight w:val="none"/>
              </w:rPr>
              <w:t>　</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 xml:space="preserve">中河北路108号6楼（甲），京杭运河水湘路运河桥西南200米（乙）120.214802  30.273526 </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四桥排水灌闸（水上公安分局边）</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满庵渡渡口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579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金马热电码头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考虑旅游规划码头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天目山路518号西溪国家公园周家村主机房</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白鸟渡口</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袁浦渡口海皇星生态控险乐园</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萧山区会郎桥村-K51+45与K53之间弯曲航段</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桐庐宝心路桐庐综合码头洋洲临时停泊区</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萧山区渔临关村渔临关分界线与K47+260之间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建德新安江墅渡码头江春水</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桐庐殡仪馆门口的富春坝上龙门湾</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589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建德将军岩山洞旁水域杭州港金华港交界水域</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建德新安江乾福码头水域洋溪大桥下游</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富阳东洲港码头内海事救捞基地</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建德梅城严州大桥旁</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VPN</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富阳浙江澄宇环保码头场口江富春江汇合处</w:t>
            </w:r>
          </w:p>
        </w:tc>
        <w:tc>
          <w:tcPr>
            <w:tcW w:w="1843"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专线宽带</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北星桥管理所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专线宽带</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桐庐县桐君街道春江路金溪湾里上滩头村中交二航局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专线宽带</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淳安县千岛湖镇阳光路大桥头搜救中心057101874049</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杭州市交通运输行政执法队-谢村码头附近（Z端）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杭州市交通运输行政执法队-浙江石油杭州储运有限责任公司（Z端）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599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杭州市交通运输行政执法队-龙腾街附近（Z端）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杭州市交通运输行政执法队-杭州市农副产品物流中心码头（Z端）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杭州市交通运输行政执法队-杭钢河与京杭运河交叉口（Z端）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杭州市交通运输行政执法队-三堡船闸(Z端）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杭州市交通运输行政执法队-之江所(Z端）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20M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杭州市交通运输行政执法队-南京鼓楼区江东北路211号联通新时空大厦五楼物联网机房（Z端）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物联网传输</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杭州市交通运输行政执法队-行业网关机房（Z端）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606</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武林头（A端）-上签埠闸（Z端）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607</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武林头（A端）-莫家塘（Z端）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608</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武林头（A端）-分庄漾东口（Z端）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609</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武林头（A端）-仁和散杂区对岸（Z端）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610</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武林头（A端）-仁和石化区对岸（Z端）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611</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武林头（A端）-西岸墩（Z端）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612</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武林头（A端）-武林头（Z端）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613</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武林头（A端）-獐山叉口（Z端）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614</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朝晖路122号执法队1楼机房-南京南京鼓楼区江东北路211号联通新时空大厦五楼物联网机房（Z端）</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物联网传输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615</w:t>
            </w:r>
          </w:p>
        </w:tc>
        <w:tc>
          <w:tcPr>
            <w:tcW w:w="1276"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center"/>
              <w:rPr>
                <w:bCs/>
                <w:color w:val="auto"/>
                <w:sz w:val="24"/>
                <w:highlight w:val="none"/>
              </w:rPr>
            </w:pPr>
            <w:r>
              <w:rPr>
                <w:rFonts w:hint="eastAsia"/>
                <w:color w:val="auto"/>
                <w:sz w:val="24"/>
                <w:highlight w:val="none"/>
              </w:rPr>
              <w:t>MSTP</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000000" w:fill="FFFFFF"/>
            <w:vAlign w:val="center"/>
          </w:tcPr>
          <w:p>
            <w:pPr>
              <w:widowControl/>
              <w:adjustRightInd/>
              <w:spacing w:line="360" w:lineRule="auto"/>
              <w:jc w:val="left"/>
              <w:rPr>
                <w:bCs/>
                <w:color w:val="auto"/>
                <w:sz w:val="24"/>
                <w:highlight w:val="none"/>
              </w:rPr>
            </w:pPr>
            <w:r>
              <w:rPr>
                <w:rFonts w:hint="eastAsia"/>
                <w:color w:val="auto"/>
                <w:sz w:val="24"/>
                <w:highlight w:val="none"/>
              </w:rPr>
              <w:t>朝晖路122号执法队1楼机房-杭州市联通滨江2号楼6楼VPDN机房</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互联网宽带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浙江省杭州市富阳区场口镇东梓关村</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互联网宽带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浙江省杭州市淳安县千岛湖镇集贤路9号中国海事淳安千岛湖水上搜救中心</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618</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互联网宽带</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杭州市建德市新安江街道严州大道1327号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619</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中河北路108号港航大楼-杭州市富阳市春江街道江滨南大道9号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620</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中河北路108号港航大楼-浙江省杭州市建德市梅城镇严州大道1327号杭州市港航管理局建德管理处</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621</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color w:val="auto"/>
                <w:highlight w:val="none"/>
              </w:rPr>
              <w:fldChar w:fldCharType="begin"/>
            </w:r>
            <w:r>
              <w:rPr>
                <w:color w:val="auto"/>
                <w:highlight w:val="none"/>
              </w:rPr>
              <w:instrText xml:space="preserve"> HYPERLINK "mailto:浙江省@杭州市@建德市@梅城镇@严州大道1327号杭州市港航管理局建德管理处" </w:instrText>
            </w:r>
            <w:r>
              <w:rPr>
                <w:color w:val="auto"/>
                <w:highlight w:val="none"/>
              </w:rPr>
              <w:fldChar w:fldCharType="separate"/>
            </w:r>
            <w:r>
              <w:rPr>
                <w:rFonts w:hint="eastAsia"/>
                <w:color w:val="auto"/>
                <w:sz w:val="24"/>
                <w:highlight w:val="none"/>
              </w:rPr>
              <w:t>浙江省杭州市富阳市春江街道江滨南大道9号</w:t>
            </w:r>
            <w:r>
              <w:rPr>
                <w:rFonts w:hint="eastAsia"/>
                <w:color w:val="auto"/>
                <w:sz w:val="24"/>
                <w:highlight w:val="none"/>
              </w:rPr>
              <w:fldChar w:fldCharType="end"/>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622</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100M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浙江省杭州市建德市梅城镇严州大道1327号杭州市港航管理局建德管理处-浙江省杭州市建德市新安江街道彩虹桥桥底</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4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623</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50M</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中河北路108号港航大楼-浙江省杭州市拱墅区拱宸桥街道丽水路267号内河处北星桥所</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624</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商务专线</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1G</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朝晖路122号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625</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　</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朝晖路122号-中河北路106号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626</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　</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朝晖路122号-通益路1036号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627</w:t>
            </w:r>
          </w:p>
        </w:tc>
        <w:tc>
          <w:tcPr>
            <w:tcW w:w="1276"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center"/>
              <w:rPr>
                <w:bCs/>
                <w:color w:val="auto"/>
                <w:sz w:val="24"/>
                <w:highlight w:val="none"/>
              </w:rPr>
            </w:pPr>
            <w:r>
              <w:rPr>
                <w:rFonts w:hint="eastAsia"/>
                <w:color w:val="auto"/>
                <w:sz w:val="24"/>
                <w:highlight w:val="none"/>
              </w:rPr>
              <w:t>　</w:t>
            </w:r>
          </w:p>
        </w:tc>
        <w:tc>
          <w:tcPr>
            <w:tcW w:w="4110" w:type="dxa"/>
            <w:tcBorders>
              <w:top w:val="nil"/>
              <w:left w:val="nil"/>
              <w:bottom w:val="single" w:color="auto" w:sz="4" w:space="0"/>
              <w:right w:val="single" w:color="auto" w:sz="4" w:space="0"/>
            </w:tcBorders>
            <w:shd w:val="clear" w:color="auto" w:fill="auto"/>
            <w:vAlign w:val="center"/>
          </w:tcPr>
          <w:p>
            <w:pPr>
              <w:widowControl/>
              <w:adjustRightInd/>
              <w:spacing w:line="360" w:lineRule="auto"/>
              <w:jc w:val="left"/>
              <w:rPr>
                <w:bCs/>
                <w:color w:val="auto"/>
                <w:sz w:val="24"/>
                <w:highlight w:val="none"/>
              </w:rPr>
            </w:pPr>
            <w:r>
              <w:rPr>
                <w:rFonts w:hint="eastAsia"/>
                <w:color w:val="auto"/>
                <w:sz w:val="24"/>
                <w:highlight w:val="none"/>
              </w:rPr>
              <w:t>中河北路106号-通益路1036号</w:t>
            </w:r>
          </w:p>
        </w:tc>
        <w:tc>
          <w:tcPr>
            <w:tcW w:w="1843" w:type="dxa"/>
            <w:tcBorders>
              <w:top w:val="nil"/>
              <w:left w:val="nil"/>
              <w:bottom w:val="single" w:color="auto" w:sz="4" w:space="0"/>
              <w:right w:val="single" w:color="auto" w:sz="4" w:space="0"/>
            </w:tcBorders>
            <w:shd w:val="clear" w:color="auto" w:fill="auto"/>
            <w:vAlign w:val="center"/>
          </w:tcPr>
          <w:p>
            <w:pPr>
              <w:widowControl/>
              <w:adjustRightInd/>
              <w:spacing w:line="360" w:lineRule="auto"/>
              <w:ind w:right="281" w:rightChars="134"/>
              <w:jc w:val="center"/>
              <w:rPr>
                <w:bCs/>
                <w:color w:val="auto"/>
                <w:sz w:val="24"/>
                <w:highlight w:val="none"/>
              </w:rPr>
            </w:pPr>
            <w:r>
              <w:rPr>
                <w:rFonts w:hint="eastAsia"/>
                <w:color w:val="auto"/>
                <w:sz w:val="24"/>
                <w:highlight w:val="none"/>
              </w:rPr>
              <w:t>视频传输</w:t>
            </w:r>
          </w:p>
        </w:tc>
      </w:tr>
    </w:tbl>
    <w:p>
      <w:pPr>
        <w:spacing w:line="360" w:lineRule="auto"/>
        <w:rPr>
          <w:color w:val="auto"/>
          <w:sz w:val="24"/>
          <w:highlight w:val="none"/>
        </w:rPr>
      </w:pPr>
    </w:p>
    <w:p>
      <w:pPr>
        <w:pStyle w:val="3"/>
        <w:spacing w:before="312" w:after="312"/>
        <w:ind w:left="425" w:firstLine="0"/>
        <w:rPr>
          <w:color w:val="auto"/>
          <w:sz w:val="24"/>
          <w:szCs w:val="24"/>
          <w:highlight w:val="none"/>
        </w:rPr>
      </w:pPr>
      <w:r>
        <w:rPr>
          <w:rFonts w:hint="eastAsia"/>
          <w:color w:val="auto"/>
          <w:sz w:val="24"/>
          <w:szCs w:val="24"/>
          <w:highlight w:val="none"/>
        </w:rPr>
        <w:t>四、</w:t>
      </w:r>
      <w:r>
        <w:rPr>
          <w:color w:val="auto"/>
          <w:sz w:val="24"/>
          <w:szCs w:val="24"/>
          <w:highlight w:val="none"/>
        </w:rPr>
        <w:t>技术要求</w:t>
      </w:r>
    </w:p>
    <w:p>
      <w:pPr>
        <w:spacing w:line="360" w:lineRule="auto"/>
        <w:rPr>
          <w:color w:val="auto"/>
          <w:sz w:val="24"/>
          <w:highlight w:val="none"/>
        </w:rPr>
      </w:pPr>
      <w:r>
        <w:rPr>
          <w:rFonts w:hint="eastAsia"/>
          <w:color w:val="auto"/>
          <w:sz w:val="24"/>
          <w:highlight w:val="none"/>
        </w:rPr>
        <w:t>（1）供应商需保证线路类型及接入速率达到采购单位要求，提供的专线（电路）及服务通信质量达到国家信息产业部规定的质量标准，并负责所提供的通信数据线缆的维护。</w:t>
      </w:r>
    </w:p>
    <w:p>
      <w:pPr>
        <w:spacing w:line="360" w:lineRule="auto"/>
        <w:rPr>
          <w:color w:val="auto"/>
          <w:sz w:val="24"/>
          <w:highlight w:val="none"/>
        </w:rPr>
      </w:pPr>
      <w:r>
        <w:rPr>
          <w:rFonts w:hint="eastAsia"/>
          <w:color w:val="auto"/>
          <w:sz w:val="24"/>
          <w:highlight w:val="none"/>
        </w:rPr>
        <w:t>（2）供应商负责提供采购方所需的网络接口，接至采购单位提供的接入设备端口，在采购方的配合下，进行安装、调试和开通。</w:t>
      </w:r>
    </w:p>
    <w:p>
      <w:pPr>
        <w:spacing w:line="360" w:lineRule="auto"/>
        <w:rPr>
          <w:color w:val="auto"/>
          <w:sz w:val="24"/>
          <w:highlight w:val="none"/>
        </w:rPr>
      </w:pPr>
      <w:r>
        <w:rPr>
          <w:rFonts w:hint="eastAsia"/>
          <w:color w:val="auto"/>
          <w:sz w:val="24"/>
          <w:highlight w:val="none"/>
        </w:rPr>
        <w:t>（3）应按照国家电信服务标准进行故障排除。对故障响应、诊断、排除个环节实施严密质量管理，定期对运行网络进行优化，达到优质服务。</w:t>
      </w:r>
    </w:p>
    <w:p>
      <w:pPr>
        <w:spacing w:line="360" w:lineRule="auto"/>
        <w:rPr>
          <w:color w:val="auto"/>
          <w:sz w:val="24"/>
          <w:highlight w:val="none"/>
        </w:rPr>
      </w:pPr>
      <w:r>
        <w:rPr>
          <w:rFonts w:hint="eastAsia"/>
          <w:color w:val="auto"/>
          <w:sz w:val="24"/>
          <w:highlight w:val="none"/>
        </w:rPr>
        <w:t>（4）供应商承担租用电路的安全保护和防范义务，避免人为丢失、泄漏和扰乱正在使用的电路中的任何采购方信息，确保采购单位链路和信息传输的保密性、完整性、可用性。</w:t>
      </w:r>
    </w:p>
    <w:p>
      <w:pPr>
        <w:spacing w:line="360" w:lineRule="auto"/>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）供应商应严格按照采购文件采购需求数量响应，且在进行链路调试工作前必须做好规划工作，保证采购单位现有网络结构不变；</w:t>
      </w:r>
    </w:p>
    <w:p>
      <w:pPr>
        <w:spacing w:line="360" w:lineRule="auto"/>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）供应商提供线路和安装、调试和日常维护等方面的工作，对提供的所有端至端电路、线缆等进行巡检。</w:t>
      </w:r>
    </w:p>
    <w:p>
      <w:pPr>
        <w:spacing w:line="360" w:lineRule="auto"/>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）供应商提供7×24小时全天候无间断的技术咨询，协助故障申报、以及服务政策咨询等服务内容。</w:t>
      </w:r>
    </w:p>
    <w:p>
      <w:pPr>
        <w:spacing w:line="360" w:lineRule="auto"/>
        <w:rPr>
          <w:color w:val="auto"/>
          <w:sz w:val="24"/>
          <w:highlight w:val="none"/>
        </w:rPr>
      </w:pPr>
      <w:r>
        <w:rPr>
          <w:rFonts w:hint="eastAsia"/>
          <w:color w:val="auto"/>
          <w:sz w:val="24"/>
          <w:highlight w:val="none"/>
        </w:rPr>
        <w:t>（</w:t>
      </w:r>
      <w:r>
        <w:rPr>
          <w:color w:val="auto"/>
          <w:sz w:val="24"/>
          <w:highlight w:val="none"/>
        </w:rPr>
        <w:t>8</w:t>
      </w:r>
      <w:r>
        <w:rPr>
          <w:rFonts w:hint="eastAsia"/>
          <w:color w:val="auto"/>
          <w:sz w:val="24"/>
          <w:highlight w:val="none"/>
        </w:rPr>
        <w:t>）因工作需要调整接入层链路结构，供应商必须无条件配合，为保障接入层链路通畅和速率要求，产生的所有费用由供应商承担。</w:t>
      </w:r>
    </w:p>
    <w:p>
      <w:pPr>
        <w:spacing w:line="360" w:lineRule="auto"/>
        <w:rPr>
          <w:color w:val="auto"/>
          <w:sz w:val="24"/>
          <w:highlight w:val="none"/>
        </w:rPr>
      </w:pPr>
      <w:r>
        <w:rPr>
          <w:rFonts w:hint="eastAsia"/>
          <w:color w:val="auto"/>
          <w:sz w:val="24"/>
          <w:highlight w:val="none"/>
        </w:rPr>
        <w:t>（9）提供互联网链路配套可用公网IP地址数量不少于配套I</w:t>
      </w:r>
      <w:r>
        <w:rPr>
          <w:color w:val="auto"/>
          <w:sz w:val="24"/>
          <w:highlight w:val="none"/>
        </w:rPr>
        <w:t>P</w:t>
      </w:r>
      <w:r>
        <w:rPr>
          <w:rFonts w:hint="eastAsia"/>
          <w:color w:val="auto"/>
          <w:sz w:val="24"/>
          <w:highlight w:val="none"/>
        </w:rPr>
        <w:t>数，并负责IP地址规划及实施等工作。若供应商更换原有运营商链路，则供应商负责提供不少于上述配套的IP地址总数，并负责对IP地址的规划及</w:t>
      </w:r>
      <w:r>
        <w:rPr>
          <w:color w:val="auto"/>
          <w:sz w:val="24"/>
          <w:highlight w:val="none"/>
        </w:rPr>
        <w:t>IP</w:t>
      </w:r>
      <w:r>
        <w:rPr>
          <w:rFonts w:hint="eastAsia"/>
          <w:color w:val="auto"/>
          <w:sz w:val="24"/>
          <w:highlight w:val="none"/>
        </w:rPr>
        <w:t>的变更实施工作。</w:t>
      </w:r>
    </w:p>
    <w:p>
      <w:pPr>
        <w:spacing w:line="360" w:lineRule="auto"/>
        <w:rPr>
          <w:color w:val="auto"/>
          <w:sz w:val="24"/>
          <w:highlight w:val="none"/>
        </w:rPr>
      </w:pPr>
      <w:r>
        <w:rPr>
          <w:rFonts w:hint="eastAsia"/>
          <w:color w:val="auto"/>
          <w:sz w:val="24"/>
          <w:highlight w:val="none"/>
        </w:rPr>
        <w:t>（1</w:t>
      </w:r>
      <w:r>
        <w:rPr>
          <w:color w:val="auto"/>
          <w:sz w:val="24"/>
          <w:highlight w:val="none"/>
        </w:rPr>
        <w:t>0</w:t>
      </w:r>
      <w:r>
        <w:rPr>
          <w:rFonts w:hint="eastAsia"/>
          <w:color w:val="auto"/>
          <w:sz w:val="24"/>
          <w:highlight w:val="none"/>
        </w:rPr>
        <w:t>）</w:t>
      </w:r>
      <w:r>
        <w:rPr>
          <w:color w:val="auto"/>
          <w:sz w:val="24"/>
          <w:highlight w:val="none"/>
        </w:rPr>
        <w:t>供应商为采购人提供可靠稳定通信服务</w:t>
      </w:r>
      <w:r>
        <w:rPr>
          <w:rFonts w:hint="eastAsia"/>
          <w:color w:val="auto"/>
          <w:sz w:val="24"/>
          <w:highlight w:val="none"/>
        </w:rPr>
        <w:t>：</w:t>
      </w:r>
    </w:p>
    <w:p>
      <w:pPr>
        <w:pStyle w:val="257"/>
        <w:numPr>
          <w:ilvl w:val="0"/>
          <w:numId w:val="2"/>
        </w:numPr>
        <w:ind w:left="20" w:firstLineChars="0"/>
        <w:rPr>
          <w:color w:val="auto"/>
          <w:highlight w:val="none"/>
        </w:rPr>
      </w:pPr>
      <w:r>
        <w:rPr>
          <w:color w:val="auto"/>
          <w:highlight w:val="none"/>
        </w:rPr>
        <w:t>带宽可利用率</w:t>
      </w:r>
      <w:r>
        <w:rPr>
          <w:rFonts w:hint="eastAsia"/>
          <w:color w:val="auto"/>
          <w:highlight w:val="none"/>
        </w:rPr>
        <w:t>≧</w:t>
      </w:r>
      <w:r>
        <w:rPr>
          <w:color w:val="auto"/>
          <w:highlight w:val="none"/>
        </w:rPr>
        <w:t>99.95%</w:t>
      </w:r>
    </w:p>
    <w:p>
      <w:pPr>
        <w:pStyle w:val="257"/>
        <w:numPr>
          <w:ilvl w:val="0"/>
          <w:numId w:val="2"/>
        </w:numPr>
        <w:ind w:left="20" w:firstLineChars="0"/>
        <w:rPr>
          <w:color w:val="auto"/>
          <w:highlight w:val="none"/>
        </w:rPr>
      </w:pPr>
      <w:r>
        <w:rPr>
          <w:color w:val="auto"/>
          <w:highlight w:val="none"/>
        </w:rPr>
        <w:t>本地链路两端延时</w:t>
      </w:r>
      <w:r>
        <w:rPr>
          <w:rFonts w:hint="eastAsia"/>
          <w:color w:val="auto"/>
          <w:highlight w:val="none"/>
        </w:rPr>
        <w:t>≦</w:t>
      </w:r>
      <w:r>
        <w:rPr>
          <w:color w:val="auto"/>
          <w:highlight w:val="none"/>
        </w:rPr>
        <w:t>10ms</w:t>
      </w:r>
    </w:p>
    <w:p>
      <w:pPr>
        <w:pStyle w:val="257"/>
        <w:numPr>
          <w:ilvl w:val="0"/>
          <w:numId w:val="2"/>
        </w:numPr>
        <w:ind w:left="20" w:firstLineChars="0"/>
        <w:rPr>
          <w:color w:val="auto"/>
          <w:highlight w:val="none"/>
        </w:rPr>
      </w:pPr>
      <w:r>
        <w:rPr>
          <w:color w:val="auto"/>
          <w:highlight w:val="none"/>
        </w:rPr>
        <w:t>丢包率不超过1%（连续两次测试）</w:t>
      </w:r>
    </w:p>
    <w:p>
      <w:pPr>
        <w:pStyle w:val="257"/>
        <w:numPr>
          <w:ilvl w:val="0"/>
          <w:numId w:val="2"/>
        </w:numPr>
        <w:ind w:left="20" w:firstLineChars="0"/>
        <w:rPr>
          <w:color w:val="auto"/>
          <w:highlight w:val="none"/>
        </w:rPr>
      </w:pPr>
      <w:r>
        <w:rPr>
          <w:rFonts w:hint="eastAsia"/>
          <w:color w:val="auto"/>
          <w:highlight w:val="none"/>
        </w:rPr>
        <w:t>单条端到端线路可用率≥99.9%</w:t>
      </w:r>
    </w:p>
    <w:p>
      <w:pPr>
        <w:pStyle w:val="257"/>
        <w:numPr>
          <w:ilvl w:val="0"/>
          <w:numId w:val="2"/>
        </w:numPr>
        <w:ind w:left="20" w:firstLineChars="0"/>
        <w:rPr>
          <w:color w:val="auto"/>
          <w:highlight w:val="none"/>
        </w:rPr>
      </w:pPr>
      <w:r>
        <w:rPr>
          <w:rFonts w:hint="eastAsia"/>
          <w:color w:val="auto"/>
          <w:highlight w:val="none"/>
        </w:rPr>
        <w:t>单条端到端线路误码率≤10E-7</w:t>
      </w:r>
    </w:p>
    <w:p>
      <w:pPr>
        <w:pStyle w:val="257"/>
        <w:numPr>
          <w:ilvl w:val="0"/>
          <w:numId w:val="2"/>
        </w:numPr>
        <w:ind w:left="20" w:firstLineChars="0"/>
        <w:rPr>
          <w:color w:val="auto"/>
          <w:highlight w:val="none"/>
        </w:rPr>
      </w:pPr>
      <w:r>
        <w:rPr>
          <w:rFonts w:hint="eastAsia"/>
          <w:color w:val="auto"/>
          <w:highlight w:val="none"/>
        </w:rPr>
        <w:t>单条端到端线路故障率≤1次/4个月</w:t>
      </w:r>
    </w:p>
    <w:p>
      <w:pPr>
        <w:pStyle w:val="257"/>
        <w:numPr>
          <w:ilvl w:val="0"/>
          <w:numId w:val="2"/>
        </w:numPr>
        <w:ind w:left="20" w:firstLineChars="0"/>
        <w:rPr>
          <w:color w:val="auto"/>
          <w:highlight w:val="none"/>
        </w:rPr>
      </w:pPr>
      <w:r>
        <w:rPr>
          <w:rFonts w:hint="eastAsia"/>
          <w:color w:val="auto"/>
          <w:highlight w:val="none"/>
        </w:rPr>
        <w:t>所有端到端线路累计故障率≤4次/1个月</w:t>
      </w:r>
    </w:p>
    <w:p>
      <w:pPr>
        <w:pStyle w:val="257"/>
        <w:numPr>
          <w:ilvl w:val="0"/>
          <w:numId w:val="2"/>
        </w:numPr>
        <w:ind w:left="20" w:firstLineChars="0"/>
        <w:rPr>
          <w:color w:val="auto"/>
          <w:highlight w:val="none"/>
        </w:rPr>
      </w:pPr>
      <w:r>
        <w:rPr>
          <w:rFonts w:hint="eastAsia"/>
          <w:color w:val="auto"/>
          <w:highlight w:val="none"/>
        </w:rPr>
        <w:t>线路具备网络安全保障、日常维修保障服务等能力</w:t>
      </w:r>
    </w:p>
    <w:p>
      <w:pPr>
        <w:spacing w:line="360" w:lineRule="auto"/>
        <w:rPr>
          <w:color w:val="auto"/>
          <w:sz w:val="24"/>
          <w:highlight w:val="none"/>
        </w:rPr>
      </w:pPr>
      <w:r>
        <w:rPr>
          <w:rFonts w:hint="eastAsia"/>
          <w:color w:val="auto"/>
          <w:sz w:val="24"/>
          <w:highlight w:val="none"/>
        </w:rPr>
        <w:t>（1</w:t>
      </w:r>
      <w:r>
        <w:rPr>
          <w:color w:val="auto"/>
          <w:sz w:val="24"/>
          <w:highlight w:val="none"/>
        </w:rPr>
        <w:t>1</w:t>
      </w:r>
      <w:r>
        <w:rPr>
          <w:rFonts w:hint="eastAsia"/>
          <w:color w:val="auto"/>
          <w:sz w:val="24"/>
          <w:highlight w:val="none"/>
        </w:rPr>
        <w:t>）供应商负责链路的敷设及网络链路的割接工作，包括链路敷设、网络割接或者更换链路导致的相关I</w:t>
      </w:r>
      <w:r>
        <w:rPr>
          <w:color w:val="auto"/>
          <w:sz w:val="24"/>
          <w:highlight w:val="none"/>
        </w:rPr>
        <w:t>P</w:t>
      </w:r>
      <w:r>
        <w:rPr>
          <w:rFonts w:hint="eastAsia"/>
          <w:color w:val="auto"/>
          <w:sz w:val="24"/>
          <w:highlight w:val="none"/>
        </w:rPr>
        <w:t>地址更新，D</w:t>
      </w:r>
      <w:r>
        <w:rPr>
          <w:color w:val="auto"/>
          <w:sz w:val="24"/>
          <w:highlight w:val="none"/>
        </w:rPr>
        <w:t>NS</w:t>
      </w:r>
      <w:r>
        <w:rPr>
          <w:rFonts w:hint="eastAsia"/>
          <w:color w:val="auto"/>
          <w:sz w:val="24"/>
          <w:highlight w:val="none"/>
        </w:rPr>
        <w:t>记录更新，流量负载、防火墙配置修改等工作。</w:t>
      </w:r>
    </w:p>
    <w:p>
      <w:pPr>
        <w:spacing w:line="360" w:lineRule="auto"/>
        <w:rPr>
          <w:color w:val="auto"/>
          <w:sz w:val="24"/>
          <w:highlight w:val="none"/>
        </w:rPr>
      </w:pPr>
      <w:r>
        <w:rPr>
          <w:rFonts w:hint="eastAsia"/>
          <w:color w:val="auto"/>
          <w:sz w:val="24"/>
          <w:highlight w:val="none"/>
        </w:rPr>
        <w:t>（12）供应商负责所有线路及配套施工中的各类施工组织、交通组织等方案的制定，承担相关费用，并承担线路施工过程中安全责任。</w:t>
      </w:r>
    </w:p>
    <w:p>
      <w:pPr>
        <w:spacing w:line="360" w:lineRule="auto"/>
        <w:rPr>
          <w:rFonts w:hint="eastAsia"/>
          <w:color w:val="auto"/>
          <w:sz w:val="24"/>
          <w:highlight w:val="none"/>
        </w:rPr>
      </w:pPr>
      <w:r>
        <w:rPr>
          <w:rFonts w:hint="eastAsia"/>
          <w:color w:val="auto"/>
          <w:sz w:val="24"/>
          <w:highlight w:val="none"/>
        </w:rPr>
        <w:t>（13）供应商应按照采购人指定的地点，负责提供无线流量卡现场调试和更换服务。</w:t>
      </w:r>
    </w:p>
    <w:p>
      <w:pPr>
        <w:spacing w:line="360" w:lineRule="auto"/>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14</w:t>
      </w:r>
      <w:r>
        <w:rPr>
          <w:rFonts w:hint="eastAsia"/>
          <w:color w:val="auto"/>
          <w:sz w:val="24"/>
          <w:highlight w:val="none"/>
          <w:lang w:eastAsia="zh-CN"/>
        </w:rPr>
        <w:t>）</w:t>
      </w:r>
      <w:r>
        <w:rPr>
          <w:rFonts w:hint="eastAsia"/>
          <w:color w:val="auto"/>
          <w:sz w:val="24"/>
          <w:highlight w:val="none"/>
        </w:rPr>
        <w:t>供应商具有ISO9001、ISO14001、ISO20000、ISO27001、ISO45001，具有类似项目建设经验。</w:t>
      </w:r>
    </w:p>
    <w:p>
      <w:pPr>
        <w:spacing w:line="360" w:lineRule="auto"/>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15</w:t>
      </w:r>
      <w:r>
        <w:rPr>
          <w:rFonts w:hint="eastAsia"/>
          <w:color w:val="auto"/>
          <w:sz w:val="24"/>
          <w:highlight w:val="none"/>
          <w:lang w:eastAsia="zh-CN"/>
        </w:rPr>
        <w:t>）</w:t>
      </w:r>
      <w:r>
        <w:rPr>
          <w:rFonts w:hint="eastAsia"/>
          <w:color w:val="auto"/>
          <w:sz w:val="24"/>
          <w:highlight w:val="none"/>
        </w:rPr>
        <w:t>供应商对采购人现网和本项目建设的理解充分，对重点、难点技术环节有先进、合理的建议，解决方案完整、经济、安全、切实可行，措施得力。</w:t>
      </w:r>
    </w:p>
    <w:p>
      <w:pPr>
        <w:spacing w:line="360" w:lineRule="auto"/>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16</w:t>
      </w:r>
      <w:r>
        <w:rPr>
          <w:rFonts w:hint="eastAsia"/>
          <w:color w:val="auto"/>
          <w:sz w:val="24"/>
          <w:highlight w:val="none"/>
          <w:lang w:eastAsia="zh-CN"/>
        </w:rPr>
        <w:t>）</w:t>
      </w:r>
      <w:r>
        <w:rPr>
          <w:rFonts w:hint="eastAsia"/>
          <w:color w:val="auto"/>
          <w:sz w:val="24"/>
          <w:highlight w:val="none"/>
        </w:rPr>
        <w:t>供应商针对本项目提供专线巡检方案、应急方案等服务。</w:t>
      </w:r>
    </w:p>
    <w:p>
      <w:pPr>
        <w:spacing w:line="360" w:lineRule="auto"/>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17</w:t>
      </w:r>
      <w:r>
        <w:rPr>
          <w:rFonts w:hint="eastAsia"/>
          <w:color w:val="auto"/>
          <w:sz w:val="24"/>
          <w:highlight w:val="none"/>
          <w:lang w:eastAsia="zh-CN"/>
        </w:rPr>
        <w:t>）</w:t>
      </w:r>
      <w:r>
        <w:rPr>
          <w:rFonts w:hint="eastAsia"/>
          <w:color w:val="auto"/>
          <w:sz w:val="24"/>
          <w:highlight w:val="none"/>
        </w:rPr>
        <w:t>项目团队要求：供应商针对本项目投入不少于</w:t>
      </w:r>
      <w:r>
        <w:rPr>
          <w:rFonts w:hint="eastAsia"/>
          <w:color w:val="auto"/>
          <w:sz w:val="24"/>
          <w:highlight w:val="none"/>
          <w:lang w:val="en-US" w:eastAsia="zh-CN"/>
        </w:rPr>
        <w:t>6</w:t>
      </w:r>
      <w:r>
        <w:rPr>
          <w:rFonts w:hint="eastAsia"/>
          <w:color w:val="auto"/>
          <w:sz w:val="24"/>
          <w:highlight w:val="none"/>
        </w:rPr>
        <w:t>人的项目团队，其中项目经理需具备高级工程师职称证书、高级信息系统项目管理师证书、通信工程师（中级及以上）证书。项目技术负责人具有高级工程师职称证书、通信工程师（中级及以上）证书。</w:t>
      </w:r>
      <w:r>
        <w:rPr>
          <w:rFonts w:hint="eastAsia"/>
          <w:color w:val="auto"/>
          <w:sz w:val="24"/>
          <w:highlight w:val="none"/>
          <w:lang w:val="en-US" w:eastAsia="zh-CN"/>
        </w:rPr>
        <w:t>其他</w:t>
      </w:r>
      <w:r>
        <w:rPr>
          <w:rFonts w:hint="eastAsia"/>
          <w:color w:val="auto"/>
          <w:sz w:val="24"/>
          <w:highlight w:val="none"/>
        </w:rPr>
        <w:t>项目组成员人数不少于4人，具备网络工程师（中级及以上）证书。</w:t>
      </w:r>
    </w:p>
    <w:p>
      <w:pPr>
        <w:pStyle w:val="3"/>
        <w:spacing w:before="312" w:after="312"/>
        <w:ind w:left="425" w:firstLine="0"/>
        <w:rPr>
          <w:color w:val="auto"/>
          <w:sz w:val="24"/>
          <w:szCs w:val="24"/>
          <w:highlight w:val="none"/>
        </w:rPr>
      </w:pPr>
      <w:r>
        <w:rPr>
          <w:rFonts w:hint="eastAsia"/>
          <w:color w:val="auto"/>
          <w:sz w:val="24"/>
          <w:szCs w:val="24"/>
          <w:highlight w:val="none"/>
        </w:rPr>
        <w:t>五、</w:t>
      </w:r>
      <w:r>
        <w:rPr>
          <w:color w:val="auto"/>
          <w:sz w:val="24"/>
          <w:szCs w:val="24"/>
          <w:highlight w:val="none"/>
        </w:rPr>
        <w:t>服务要求</w:t>
      </w:r>
    </w:p>
    <w:p>
      <w:pPr>
        <w:spacing w:line="360" w:lineRule="auto"/>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线路</w:t>
      </w:r>
      <w:r>
        <w:rPr>
          <w:color w:val="auto"/>
          <w:sz w:val="24"/>
          <w:highlight w:val="none"/>
        </w:rPr>
        <w:t>服务期：一年。</w:t>
      </w:r>
    </w:p>
    <w:p>
      <w:pPr>
        <w:spacing w:line="360" w:lineRule="auto"/>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流量</w:t>
      </w:r>
      <w:r>
        <w:rPr>
          <w:color w:val="auto"/>
          <w:sz w:val="24"/>
          <w:highlight w:val="none"/>
        </w:rPr>
        <w:t>卡服务期：移动执法终端无线网络接入服务卡811张服务期3个月，其余1558张</w:t>
      </w:r>
      <w:r>
        <w:rPr>
          <w:rFonts w:hint="eastAsia"/>
          <w:color w:val="auto"/>
          <w:sz w:val="24"/>
          <w:highlight w:val="none"/>
        </w:rPr>
        <w:t>无线网卡</w:t>
      </w:r>
      <w:r>
        <w:rPr>
          <w:color w:val="auto"/>
          <w:sz w:val="24"/>
          <w:highlight w:val="none"/>
        </w:rPr>
        <w:t>服务期限一年。</w:t>
      </w:r>
    </w:p>
    <w:p>
      <w:pPr>
        <w:spacing w:line="360" w:lineRule="auto"/>
        <w:rPr>
          <w:color w:val="auto"/>
          <w:sz w:val="24"/>
          <w:highlight w:val="none"/>
        </w:rPr>
      </w:pPr>
      <w:r>
        <w:rPr>
          <w:rFonts w:hint="eastAsia"/>
          <w:color w:val="auto"/>
          <w:sz w:val="24"/>
          <w:highlight w:val="none"/>
        </w:rPr>
        <w:t>（3）对用户所反映的网络链路故障在15分钟之内得到及时有效响应，必须确保2小时之内赶到现场实地处理查找故障原因、提出解决方案，直至故障修复完全恢复正常服务为止；</w:t>
      </w:r>
    </w:p>
    <w:p>
      <w:pPr>
        <w:spacing w:line="360" w:lineRule="auto"/>
        <w:rPr>
          <w:color w:val="auto"/>
          <w:sz w:val="24"/>
          <w:highlight w:val="none"/>
        </w:rPr>
      </w:pPr>
      <w:r>
        <w:rPr>
          <w:rFonts w:hint="eastAsia"/>
          <w:color w:val="auto"/>
          <w:sz w:val="24"/>
          <w:highlight w:val="none"/>
        </w:rPr>
        <w:t>（4）供应商提供整体的运维服务，主要有网络链路的安装调试、维修更换、维护等服务，需明确故障的申报和处理流程；</w:t>
      </w:r>
    </w:p>
    <w:p>
      <w:pPr>
        <w:spacing w:line="360" w:lineRule="auto"/>
        <w:rPr>
          <w:color w:val="auto"/>
          <w:sz w:val="24"/>
          <w:highlight w:val="none"/>
        </w:rPr>
      </w:pPr>
      <w:r>
        <w:rPr>
          <w:rFonts w:hint="eastAsia"/>
          <w:color w:val="auto"/>
          <w:sz w:val="24"/>
          <w:highlight w:val="none"/>
        </w:rPr>
        <w:t>（5）供应商提供7×24小时的技术支持，必须配备专业队伍负责网络运维工作，并提出全面的技术支持方案，详细列出技术支持方式，需明确服务提供方名称、服务内容、服务方式、服务人员技术要求以及服务响应时间等；设立24小时热线电话和响应工作群：工程师随时响应采购单位发出的质询。</w:t>
      </w:r>
    </w:p>
    <w:p>
      <w:pPr>
        <w:spacing w:line="360" w:lineRule="auto"/>
        <w:rPr>
          <w:color w:val="auto"/>
          <w:sz w:val="24"/>
          <w:highlight w:val="none"/>
        </w:rPr>
      </w:pPr>
      <w:r>
        <w:rPr>
          <w:rFonts w:hint="eastAsia"/>
          <w:color w:val="auto"/>
          <w:sz w:val="24"/>
          <w:highlight w:val="none"/>
        </w:rPr>
        <w:t xml:space="preserve">（6）由于供应商自身原因，可能影响采购人使用的，应提前二十四小时通告所涉及的用户，并做好应急方案，由于电力故障、道路施工、交通事故等客观外力原因导致故障暂时无法修复的，应给出书面的情况说明。 </w:t>
      </w:r>
    </w:p>
    <w:p>
      <w:pPr>
        <w:spacing w:line="360" w:lineRule="auto"/>
        <w:rPr>
          <w:color w:val="auto"/>
          <w:sz w:val="24"/>
          <w:highlight w:val="none"/>
        </w:rPr>
      </w:pPr>
      <w:r>
        <w:rPr>
          <w:rFonts w:hint="eastAsia"/>
          <w:color w:val="auto"/>
          <w:sz w:val="24"/>
          <w:highlight w:val="none"/>
        </w:rPr>
        <w:t>（7）在重大节假日、活动前供应商应对线路进行排查，活动期间安排技术人员进行保障。</w:t>
      </w:r>
    </w:p>
    <w:p>
      <w:pPr>
        <w:spacing w:line="360" w:lineRule="auto"/>
        <w:rPr>
          <w:color w:val="auto"/>
          <w:sz w:val="24"/>
          <w:highlight w:val="none"/>
        </w:rPr>
      </w:pPr>
      <w:r>
        <w:rPr>
          <w:rFonts w:hint="eastAsia"/>
          <w:color w:val="auto"/>
          <w:sz w:val="24"/>
          <w:highlight w:val="none"/>
        </w:rPr>
        <w:t>（8）由链路、材料等本身质量或第三方原因造成的任何损坏导致网络中断的，供应商必须免费、及时负责维修或更换；</w:t>
      </w:r>
    </w:p>
    <w:p>
      <w:pPr>
        <w:spacing w:line="360" w:lineRule="auto"/>
        <w:rPr>
          <w:rFonts w:hint="eastAsia" w:eastAsia="宋体"/>
          <w:b/>
          <w:bCs/>
          <w:color w:val="auto"/>
          <w:sz w:val="24"/>
          <w:highlight w:val="none"/>
          <w:u w:val="single"/>
          <w:lang w:eastAsia="zh-CN"/>
        </w:rPr>
      </w:pPr>
      <w:r>
        <w:rPr>
          <w:rFonts w:hint="eastAsia"/>
          <w:color w:val="auto"/>
          <w:sz w:val="24"/>
          <w:highlight w:val="none"/>
        </w:rPr>
        <w:t>（9）时间节点要求：采购人要求线路、电路服务无中断。</w:t>
      </w:r>
      <w:r>
        <w:rPr>
          <w:rFonts w:hint="eastAsia"/>
          <w:b/>
          <w:bCs/>
          <w:color w:val="auto"/>
          <w:sz w:val="24"/>
          <w:highlight w:val="none"/>
          <w:u w:val="single"/>
        </w:rPr>
        <w:t>▲</w:t>
      </w:r>
      <w:r>
        <w:rPr>
          <w:rFonts w:hint="eastAsia"/>
          <w:b/>
          <w:bCs/>
          <w:color w:val="auto"/>
          <w:sz w:val="24"/>
          <w:highlight w:val="none"/>
          <w:u w:val="single"/>
        </w:rPr>
        <w:t>中标人需</w:t>
      </w:r>
      <w:r>
        <w:rPr>
          <w:rFonts w:hint="eastAsia"/>
          <w:b/>
          <w:bCs/>
          <w:color w:val="auto"/>
          <w:sz w:val="24"/>
          <w:highlight w:val="none"/>
          <w:u w:val="single"/>
          <w:lang w:val="en-US" w:eastAsia="zh-CN"/>
        </w:rPr>
        <w:t>在投标文件中</w:t>
      </w:r>
      <w:r>
        <w:rPr>
          <w:rFonts w:hint="eastAsia"/>
          <w:b/>
          <w:bCs/>
          <w:color w:val="auto"/>
          <w:sz w:val="24"/>
          <w:highlight w:val="none"/>
          <w:u w:val="single"/>
        </w:rPr>
        <w:t>承诺</w:t>
      </w:r>
      <w:r>
        <w:rPr>
          <w:rFonts w:hint="eastAsia"/>
          <w:b/>
          <w:bCs/>
          <w:color w:val="auto"/>
          <w:sz w:val="24"/>
          <w:highlight w:val="none"/>
          <w:u w:val="single"/>
          <w:lang w:eastAsia="zh-CN"/>
        </w:rPr>
        <w:t>：“</w:t>
      </w:r>
      <w:r>
        <w:rPr>
          <w:rFonts w:hint="eastAsia"/>
          <w:b/>
          <w:bCs/>
          <w:color w:val="auto"/>
          <w:sz w:val="24"/>
          <w:highlight w:val="none"/>
          <w:u w:val="single"/>
        </w:rPr>
        <w:t>新旧线路进行无缝衔接。中标人应在收到中标通知书</w:t>
      </w:r>
      <w:r>
        <w:rPr>
          <w:b/>
          <w:bCs/>
          <w:color w:val="auto"/>
          <w:sz w:val="24"/>
          <w:highlight w:val="none"/>
          <w:u w:val="single"/>
        </w:rPr>
        <w:t>10日内完成合同签订。合同签订后5日内，中标人应完成线路铺设割接且保障采购人能够正常使用。若不重新铺设线路，需要延续原服务提供商的线路的，中标人应自行与原服务提供商做好衔接工作，包括但不限于线路移交、费用结算等，中标人应在合同签订后5日内完成所有线路延续服务且保障采购人能够正常使用。</w:t>
      </w:r>
      <w:r>
        <w:rPr>
          <w:rFonts w:hint="eastAsia"/>
          <w:b/>
          <w:bCs/>
          <w:color w:val="auto"/>
          <w:sz w:val="24"/>
          <w:highlight w:val="none"/>
          <w:u w:val="single"/>
          <w:lang w:eastAsia="zh-CN"/>
        </w:rPr>
        <w:t>”</w:t>
      </w:r>
    </w:p>
    <w:p>
      <w:pPr>
        <w:spacing w:line="360" w:lineRule="auto"/>
        <w:rPr>
          <w:rFonts w:hint="eastAsia" w:eastAsia="宋体"/>
          <w:b/>
          <w:bCs/>
          <w:color w:val="auto"/>
          <w:sz w:val="24"/>
          <w:highlight w:val="none"/>
          <w:u w:val="single"/>
          <w:lang w:eastAsia="zh-CN"/>
        </w:rPr>
      </w:pPr>
      <w:r>
        <w:rPr>
          <w:rFonts w:hint="eastAsia"/>
          <w:b w:val="0"/>
          <w:bCs w:val="0"/>
          <w:color w:val="auto"/>
          <w:sz w:val="24"/>
          <w:highlight w:val="none"/>
          <w:u w:val="none"/>
        </w:rPr>
        <w:t>（10</w:t>
      </w:r>
      <w:r>
        <w:rPr>
          <w:b w:val="0"/>
          <w:bCs w:val="0"/>
          <w:color w:val="auto"/>
          <w:sz w:val="24"/>
          <w:highlight w:val="none"/>
          <w:u w:val="none"/>
        </w:rPr>
        <w:t>）若中标人在收到中标通知书10内日未与采购人签订合同的，则视为放弃。中标人应按照中标价格的20%向采购人承担缔约过失责任。</w:t>
      </w:r>
    </w:p>
    <w:p>
      <w:pPr>
        <w:spacing w:line="360" w:lineRule="auto"/>
        <w:rPr>
          <w:color w:val="auto"/>
          <w:sz w:val="24"/>
          <w:highlight w:val="none"/>
        </w:rPr>
      </w:pPr>
      <w:r>
        <w:rPr>
          <w:rFonts w:hint="eastAsia"/>
          <w:color w:val="auto"/>
          <w:sz w:val="24"/>
          <w:highlight w:val="none"/>
        </w:rPr>
        <w:t>（11</w:t>
      </w:r>
      <w:r>
        <w:rPr>
          <w:color w:val="auto"/>
          <w:sz w:val="24"/>
          <w:highlight w:val="none"/>
        </w:rPr>
        <w:t>）若中标人未能在上述时间节点内完成线路铺设或交接，导致采购人仍需使用原服务提供商线路的，在此期间所产生的费用，均由中标人承担；若原服务提供商因合同到期不再提供服务，而中标人未能按期完成并保证采购人正常使用的，采购人有权单方终止合同，并要求中标人按照合同总价的20%承担违约责任，违约金不足以弥补采购人损失的，中标人还应继续承担赔偿责任。</w:t>
      </w:r>
    </w:p>
    <w:p>
      <w:pPr>
        <w:spacing w:line="360" w:lineRule="auto"/>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2</w:t>
      </w:r>
      <w:r>
        <w:rPr>
          <w:color w:val="auto"/>
          <w:sz w:val="24"/>
          <w:highlight w:val="none"/>
        </w:rPr>
        <w:t>）上述中标人应承担的违约金或赔偿金，采购人有权从中标人的履约保证金或结算款中扣除。</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r>
        <w:rPr>
          <w:color w:val="auto"/>
          <w:sz w:val="24"/>
          <w:highlight w:val="none"/>
        </w:rPr>
        <w:br w:type="page"/>
      </w:r>
    </w:p>
    <w:p>
      <w:pPr>
        <w:spacing w:line="360" w:lineRule="auto"/>
        <w:ind w:firstLine="723"/>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2109"/>
      <w:bookmarkEnd w:id="28"/>
      <w:bookmarkStart w:id="29" w:name="_Toc184313284"/>
      <w:bookmarkEnd w:id="29"/>
      <w:bookmarkStart w:id="30" w:name="_Toc184312114"/>
      <w:bookmarkEnd w:id="30"/>
      <w:bookmarkStart w:id="31" w:name="_Toc184312089"/>
      <w:bookmarkEnd w:id="31"/>
      <w:bookmarkStart w:id="32" w:name="_Toc184313255"/>
      <w:bookmarkEnd w:id="32"/>
      <w:bookmarkStart w:id="33" w:name="_Toc184312075"/>
      <w:bookmarkEnd w:id="33"/>
      <w:bookmarkStart w:id="34" w:name="_Toc184313272"/>
      <w:bookmarkEnd w:id="34"/>
      <w:bookmarkStart w:id="35" w:name="_Toc184308037"/>
      <w:bookmarkEnd w:id="35"/>
      <w:bookmarkStart w:id="36" w:name="_Toc184308048"/>
      <w:bookmarkEnd w:id="36"/>
      <w:bookmarkStart w:id="37" w:name="_Toc184310291"/>
      <w:bookmarkEnd w:id="37"/>
      <w:bookmarkStart w:id="38" w:name="_Toc184314446"/>
      <w:bookmarkEnd w:id="38"/>
      <w:bookmarkStart w:id="39" w:name="_Toc184308040"/>
      <w:bookmarkEnd w:id="39"/>
      <w:bookmarkStart w:id="40" w:name="_Toc184310286"/>
      <w:bookmarkEnd w:id="40"/>
      <w:bookmarkStart w:id="41" w:name="_Toc184312077"/>
      <w:bookmarkEnd w:id="41"/>
      <w:bookmarkStart w:id="42" w:name="_Toc184313257"/>
      <w:bookmarkEnd w:id="42"/>
      <w:bookmarkStart w:id="43" w:name="_Toc184313256"/>
      <w:bookmarkEnd w:id="43"/>
      <w:bookmarkStart w:id="44" w:name="_Toc184314430"/>
      <w:bookmarkEnd w:id="44"/>
      <w:bookmarkStart w:id="45" w:name="_Toc184314412"/>
      <w:bookmarkEnd w:id="45"/>
      <w:bookmarkStart w:id="46" w:name="_Toc184313263"/>
      <w:bookmarkEnd w:id="46"/>
      <w:bookmarkStart w:id="47" w:name="_Toc184314456"/>
      <w:bookmarkEnd w:id="47"/>
      <w:bookmarkStart w:id="48" w:name="_Toc184312070"/>
      <w:bookmarkEnd w:id="48"/>
      <w:bookmarkStart w:id="49" w:name="_Toc184313271"/>
      <w:bookmarkEnd w:id="49"/>
      <w:bookmarkStart w:id="50" w:name="_Toc184313310"/>
      <w:bookmarkEnd w:id="50"/>
      <w:bookmarkStart w:id="51" w:name="_Toc184312134"/>
      <w:bookmarkEnd w:id="51"/>
      <w:bookmarkStart w:id="52" w:name="_Toc184312104"/>
      <w:bookmarkEnd w:id="52"/>
      <w:bookmarkStart w:id="53" w:name="_Toc184312100"/>
      <w:bookmarkEnd w:id="53"/>
      <w:bookmarkStart w:id="54" w:name="_Toc184314477"/>
      <w:bookmarkEnd w:id="54"/>
      <w:bookmarkStart w:id="55" w:name="_Toc184313309"/>
      <w:bookmarkEnd w:id="55"/>
      <w:bookmarkStart w:id="56" w:name="_Toc184314458"/>
      <w:bookmarkEnd w:id="56"/>
      <w:bookmarkStart w:id="57" w:name="_Toc184310277"/>
      <w:bookmarkEnd w:id="57"/>
      <w:bookmarkStart w:id="58" w:name="_Toc184312085"/>
      <w:bookmarkEnd w:id="58"/>
      <w:bookmarkStart w:id="59" w:name="_Toc184312139"/>
      <w:bookmarkEnd w:id="59"/>
      <w:bookmarkStart w:id="60" w:name="_Toc184310276"/>
      <w:bookmarkEnd w:id="60"/>
      <w:bookmarkStart w:id="61" w:name="_Toc184308054"/>
      <w:bookmarkEnd w:id="61"/>
      <w:bookmarkStart w:id="62" w:name="_Toc184314425"/>
      <w:bookmarkEnd w:id="62"/>
      <w:bookmarkStart w:id="63" w:name="_Toc184310332"/>
      <w:bookmarkEnd w:id="63"/>
      <w:bookmarkStart w:id="64" w:name="_Toc184308064"/>
      <w:bookmarkEnd w:id="64"/>
      <w:bookmarkStart w:id="65" w:name="_Toc184308071"/>
      <w:bookmarkEnd w:id="65"/>
      <w:bookmarkStart w:id="66" w:name="_Toc184312091"/>
      <w:bookmarkEnd w:id="66"/>
      <w:bookmarkStart w:id="67" w:name="_Toc184310334"/>
      <w:bookmarkEnd w:id="67"/>
      <w:bookmarkStart w:id="68" w:name="_Toc184314429"/>
      <w:bookmarkEnd w:id="68"/>
      <w:bookmarkStart w:id="69" w:name="_Toc184308087"/>
      <w:bookmarkEnd w:id="69"/>
      <w:bookmarkStart w:id="70" w:name="_Toc184310340"/>
      <w:bookmarkEnd w:id="70"/>
      <w:bookmarkStart w:id="71" w:name="_Toc184310329"/>
      <w:bookmarkEnd w:id="71"/>
      <w:bookmarkStart w:id="72" w:name="_Toc184310342"/>
      <w:bookmarkEnd w:id="72"/>
      <w:bookmarkStart w:id="73" w:name="_Toc184314447"/>
      <w:bookmarkEnd w:id="73"/>
      <w:bookmarkStart w:id="74" w:name="_Toc184310275"/>
      <w:bookmarkEnd w:id="74"/>
      <w:bookmarkStart w:id="75" w:name="_Toc184308104"/>
      <w:bookmarkEnd w:id="75"/>
      <w:bookmarkStart w:id="76" w:name="_Toc184313264"/>
      <w:bookmarkEnd w:id="76"/>
      <w:bookmarkStart w:id="77" w:name="_Toc184308086"/>
      <w:bookmarkEnd w:id="77"/>
      <w:bookmarkStart w:id="78" w:name="_Toc184313273"/>
      <w:bookmarkEnd w:id="78"/>
      <w:bookmarkStart w:id="79" w:name="_Toc184314416"/>
      <w:bookmarkEnd w:id="79"/>
      <w:bookmarkStart w:id="80" w:name="_Toc184308059"/>
      <w:bookmarkEnd w:id="80"/>
      <w:bookmarkStart w:id="81" w:name="_Toc184312069"/>
      <w:bookmarkEnd w:id="81"/>
      <w:bookmarkStart w:id="82" w:name="_Toc184314426"/>
      <w:bookmarkEnd w:id="82"/>
      <w:bookmarkStart w:id="83" w:name="_Toc184308076"/>
      <w:bookmarkEnd w:id="83"/>
      <w:bookmarkStart w:id="84" w:name="_Toc184308102"/>
      <w:bookmarkEnd w:id="84"/>
      <w:bookmarkStart w:id="85" w:name="_Toc184312108"/>
      <w:bookmarkEnd w:id="85"/>
      <w:bookmarkStart w:id="86" w:name="_Toc184308042"/>
      <w:bookmarkEnd w:id="86"/>
      <w:bookmarkStart w:id="87" w:name="_Toc184308090"/>
      <w:bookmarkEnd w:id="87"/>
      <w:bookmarkStart w:id="88" w:name="_Toc184314436"/>
      <w:bookmarkEnd w:id="88"/>
      <w:bookmarkStart w:id="89" w:name="_Toc184308093"/>
      <w:bookmarkEnd w:id="89"/>
      <w:bookmarkStart w:id="90" w:name="_Toc184313292"/>
      <w:bookmarkEnd w:id="90"/>
      <w:bookmarkStart w:id="91" w:name="_Toc184314472"/>
      <w:bookmarkEnd w:id="91"/>
      <w:bookmarkStart w:id="92" w:name="_Toc184308088"/>
      <w:bookmarkEnd w:id="92"/>
      <w:bookmarkStart w:id="93" w:name="_Toc184308057"/>
      <w:bookmarkEnd w:id="93"/>
      <w:bookmarkStart w:id="94" w:name="_Toc184313245"/>
      <w:bookmarkEnd w:id="94"/>
      <w:bookmarkStart w:id="95" w:name="_Toc184312087"/>
      <w:bookmarkEnd w:id="95"/>
      <w:bookmarkStart w:id="96" w:name="_Toc184308045"/>
      <w:bookmarkEnd w:id="96"/>
      <w:bookmarkStart w:id="97" w:name="_Toc184308062"/>
      <w:bookmarkEnd w:id="97"/>
      <w:bookmarkStart w:id="98" w:name="_Toc184308085"/>
      <w:bookmarkEnd w:id="98"/>
      <w:bookmarkStart w:id="99" w:name="_Toc184310282"/>
      <w:bookmarkEnd w:id="99"/>
      <w:bookmarkStart w:id="100" w:name="_Toc184308099"/>
      <w:bookmarkEnd w:id="100"/>
      <w:bookmarkStart w:id="101" w:name="_Toc184314459"/>
      <w:bookmarkEnd w:id="101"/>
      <w:bookmarkStart w:id="102" w:name="_Toc184308063"/>
      <w:bookmarkEnd w:id="102"/>
      <w:bookmarkStart w:id="103" w:name="_Toc184310274"/>
      <w:bookmarkEnd w:id="103"/>
      <w:bookmarkStart w:id="104" w:name="_Toc184314419"/>
      <w:bookmarkEnd w:id="104"/>
      <w:bookmarkStart w:id="105" w:name="_Toc184314424"/>
      <w:bookmarkEnd w:id="105"/>
      <w:bookmarkStart w:id="106" w:name="_Toc184308066"/>
      <w:bookmarkEnd w:id="106"/>
      <w:bookmarkStart w:id="107" w:name="_Toc184314468"/>
      <w:bookmarkEnd w:id="107"/>
      <w:bookmarkStart w:id="108" w:name="_Toc184313302"/>
      <w:bookmarkEnd w:id="108"/>
      <w:bookmarkStart w:id="109" w:name="_Toc184310292"/>
      <w:bookmarkEnd w:id="109"/>
      <w:bookmarkStart w:id="110" w:name="_Toc184312113"/>
      <w:bookmarkEnd w:id="110"/>
      <w:bookmarkStart w:id="111" w:name="_Toc184312082"/>
      <w:bookmarkEnd w:id="111"/>
      <w:bookmarkStart w:id="112" w:name="_Toc184314438"/>
      <w:bookmarkEnd w:id="112"/>
      <w:bookmarkStart w:id="113" w:name="_Toc184312125"/>
      <w:bookmarkEnd w:id="113"/>
      <w:bookmarkStart w:id="114" w:name="_Toc184312067"/>
      <w:bookmarkEnd w:id="114"/>
      <w:bookmarkStart w:id="115" w:name="_Toc184310308"/>
      <w:bookmarkEnd w:id="115"/>
      <w:bookmarkStart w:id="116" w:name="_Toc184313247"/>
      <w:bookmarkEnd w:id="116"/>
      <w:bookmarkStart w:id="117" w:name="_Toc184314479"/>
      <w:bookmarkEnd w:id="117"/>
      <w:bookmarkStart w:id="118" w:name="_Toc184312076"/>
      <w:bookmarkEnd w:id="118"/>
      <w:bookmarkStart w:id="119" w:name="_Toc184313294"/>
      <w:bookmarkEnd w:id="119"/>
      <w:bookmarkStart w:id="120" w:name="_Toc184312110"/>
      <w:bookmarkEnd w:id="120"/>
      <w:bookmarkStart w:id="121" w:name="_Toc184313268"/>
      <w:bookmarkEnd w:id="121"/>
      <w:bookmarkStart w:id="122" w:name="_Toc184312130"/>
      <w:bookmarkEnd w:id="122"/>
      <w:bookmarkStart w:id="123" w:name="_Toc184312111"/>
      <w:bookmarkEnd w:id="123"/>
      <w:bookmarkStart w:id="124" w:name="_Toc184310300"/>
      <w:bookmarkEnd w:id="124"/>
      <w:bookmarkStart w:id="125" w:name="_Toc184310311"/>
      <w:bookmarkEnd w:id="125"/>
      <w:bookmarkStart w:id="126" w:name="_Toc184308052"/>
      <w:bookmarkEnd w:id="126"/>
      <w:bookmarkStart w:id="127" w:name="_Toc184314457"/>
      <w:bookmarkEnd w:id="127"/>
      <w:bookmarkStart w:id="128" w:name="_Toc184310319"/>
      <w:bookmarkEnd w:id="128"/>
      <w:bookmarkStart w:id="129" w:name="_Toc184312095"/>
      <w:bookmarkEnd w:id="129"/>
      <w:bookmarkStart w:id="130" w:name="_Toc184310305"/>
      <w:bookmarkEnd w:id="130"/>
      <w:bookmarkStart w:id="131" w:name="_Toc184310344"/>
      <w:bookmarkEnd w:id="131"/>
      <w:bookmarkStart w:id="132" w:name="_Toc184312081"/>
      <w:bookmarkEnd w:id="132"/>
      <w:bookmarkStart w:id="133" w:name="_Toc184312103"/>
      <w:bookmarkEnd w:id="133"/>
      <w:bookmarkStart w:id="134" w:name="_Toc184312135"/>
      <w:bookmarkEnd w:id="134"/>
      <w:bookmarkStart w:id="135" w:name="_Toc184313298"/>
      <w:bookmarkEnd w:id="135"/>
      <w:bookmarkStart w:id="136" w:name="_Toc184313249"/>
      <w:bookmarkEnd w:id="136"/>
      <w:bookmarkStart w:id="137" w:name="_Toc184312105"/>
      <w:bookmarkEnd w:id="137"/>
      <w:bookmarkStart w:id="138" w:name="_Toc184310343"/>
      <w:bookmarkEnd w:id="138"/>
      <w:bookmarkStart w:id="139" w:name="_Toc184314473"/>
      <w:bookmarkEnd w:id="139"/>
      <w:bookmarkStart w:id="140" w:name="_Toc184310326"/>
      <w:bookmarkEnd w:id="140"/>
      <w:bookmarkStart w:id="141" w:name="_Toc184312093"/>
      <w:bookmarkEnd w:id="141"/>
      <w:bookmarkStart w:id="142" w:name="_Toc184310331"/>
      <w:bookmarkEnd w:id="142"/>
      <w:bookmarkStart w:id="143" w:name="_Toc184312129"/>
      <w:bookmarkEnd w:id="143"/>
      <w:bookmarkStart w:id="144" w:name="_Toc184310290"/>
      <w:bookmarkEnd w:id="144"/>
      <w:bookmarkStart w:id="145" w:name="_Toc184314443"/>
      <w:bookmarkEnd w:id="145"/>
      <w:bookmarkStart w:id="146" w:name="_Toc184313275"/>
      <w:bookmarkEnd w:id="146"/>
      <w:bookmarkStart w:id="147" w:name="_Toc184308050"/>
      <w:bookmarkEnd w:id="147"/>
      <w:bookmarkStart w:id="148" w:name="_Toc184310314"/>
      <w:bookmarkEnd w:id="148"/>
      <w:bookmarkStart w:id="149" w:name="_Toc184312120"/>
      <w:bookmarkEnd w:id="149"/>
      <w:bookmarkStart w:id="150" w:name="_Toc184310335"/>
      <w:bookmarkEnd w:id="150"/>
      <w:bookmarkStart w:id="151" w:name="_Toc184314440"/>
      <w:bookmarkEnd w:id="151"/>
      <w:bookmarkStart w:id="152" w:name="_Toc184308096"/>
      <w:bookmarkEnd w:id="152"/>
      <w:bookmarkStart w:id="153" w:name="_Toc184314428"/>
      <w:bookmarkEnd w:id="153"/>
      <w:bookmarkStart w:id="154" w:name="_Toc184310279"/>
      <w:bookmarkEnd w:id="154"/>
      <w:bookmarkStart w:id="155" w:name="_Toc184308068"/>
      <w:bookmarkEnd w:id="155"/>
      <w:bookmarkStart w:id="156" w:name="_Toc184314411"/>
      <w:bookmarkEnd w:id="156"/>
      <w:bookmarkStart w:id="157" w:name="_Toc184312116"/>
      <w:bookmarkEnd w:id="157"/>
      <w:bookmarkStart w:id="158" w:name="_Toc184312092"/>
      <w:bookmarkEnd w:id="158"/>
      <w:bookmarkStart w:id="159" w:name="_Toc184310337"/>
      <w:bookmarkEnd w:id="159"/>
      <w:bookmarkStart w:id="160" w:name="_Toc184312115"/>
      <w:bookmarkEnd w:id="160"/>
      <w:bookmarkStart w:id="161" w:name="_Toc184308082"/>
      <w:bookmarkEnd w:id="161"/>
      <w:bookmarkStart w:id="162" w:name="_Toc184313304"/>
      <w:bookmarkEnd w:id="162"/>
      <w:bookmarkStart w:id="163" w:name="_Toc184312080"/>
      <w:bookmarkEnd w:id="163"/>
      <w:bookmarkStart w:id="164" w:name="_Toc184312086"/>
      <w:bookmarkEnd w:id="164"/>
      <w:bookmarkStart w:id="165" w:name="_Toc184308098"/>
      <w:bookmarkEnd w:id="165"/>
      <w:bookmarkStart w:id="166" w:name="_Toc184310304"/>
      <w:bookmarkEnd w:id="166"/>
      <w:bookmarkStart w:id="167" w:name="_Toc184310312"/>
      <w:bookmarkEnd w:id="167"/>
      <w:bookmarkStart w:id="168" w:name="_Toc184313288"/>
      <w:bookmarkEnd w:id="168"/>
      <w:bookmarkStart w:id="169" w:name="_Toc184312132"/>
      <w:bookmarkEnd w:id="169"/>
      <w:bookmarkStart w:id="170" w:name="_Toc184310321"/>
      <w:bookmarkEnd w:id="170"/>
      <w:bookmarkStart w:id="171" w:name="_Toc184308072"/>
      <w:bookmarkEnd w:id="171"/>
      <w:bookmarkStart w:id="172" w:name="_Toc184310328"/>
      <w:bookmarkEnd w:id="172"/>
      <w:bookmarkStart w:id="173" w:name="_Toc184308053"/>
      <w:bookmarkEnd w:id="173"/>
      <w:bookmarkStart w:id="174" w:name="_Toc184308043"/>
      <w:bookmarkEnd w:id="174"/>
      <w:bookmarkStart w:id="175" w:name="_Toc184310283"/>
      <w:bookmarkEnd w:id="175"/>
      <w:bookmarkStart w:id="176" w:name="_Toc184310278"/>
      <w:bookmarkEnd w:id="176"/>
      <w:bookmarkStart w:id="177" w:name="_Toc184313265"/>
      <w:bookmarkEnd w:id="177"/>
      <w:bookmarkStart w:id="178" w:name="_Toc184308056"/>
      <w:bookmarkEnd w:id="178"/>
      <w:bookmarkStart w:id="179" w:name="_Toc184308073"/>
      <w:bookmarkEnd w:id="179"/>
      <w:bookmarkStart w:id="180" w:name="_Toc184312107"/>
      <w:bookmarkEnd w:id="180"/>
      <w:bookmarkStart w:id="181" w:name="_Toc184308077"/>
      <w:bookmarkEnd w:id="181"/>
      <w:bookmarkStart w:id="182" w:name="_Toc184314474"/>
      <w:bookmarkEnd w:id="182"/>
      <w:bookmarkStart w:id="183" w:name="_Toc184313262"/>
      <w:bookmarkEnd w:id="183"/>
      <w:bookmarkStart w:id="184" w:name="_Toc184314471"/>
      <w:bookmarkEnd w:id="184"/>
      <w:bookmarkStart w:id="185" w:name="_Toc184314460"/>
      <w:bookmarkEnd w:id="185"/>
      <w:bookmarkStart w:id="186" w:name="_Toc184314417"/>
      <w:bookmarkEnd w:id="186"/>
      <w:bookmarkStart w:id="187" w:name="_Toc184312117"/>
      <w:bookmarkEnd w:id="187"/>
      <w:bookmarkStart w:id="188" w:name="_Toc184314413"/>
      <w:bookmarkEnd w:id="188"/>
      <w:bookmarkStart w:id="189" w:name="_Toc184314432"/>
      <w:bookmarkEnd w:id="189"/>
      <w:bookmarkStart w:id="190" w:name="_Toc184313241"/>
      <w:bookmarkEnd w:id="190"/>
      <w:bookmarkStart w:id="191" w:name="_Toc184314465"/>
      <w:bookmarkEnd w:id="191"/>
      <w:bookmarkStart w:id="192" w:name="_Toc184314476"/>
      <w:bookmarkEnd w:id="192"/>
      <w:bookmarkStart w:id="193" w:name="_Toc184308060"/>
      <w:bookmarkEnd w:id="193"/>
      <w:bookmarkStart w:id="194" w:name="_Toc184314463"/>
      <w:bookmarkEnd w:id="194"/>
      <w:bookmarkStart w:id="195" w:name="_Toc184313305"/>
      <w:bookmarkEnd w:id="195"/>
      <w:bookmarkStart w:id="196" w:name="_Toc184312078"/>
      <w:bookmarkEnd w:id="196"/>
      <w:bookmarkStart w:id="197" w:name="_Toc184308039"/>
      <w:bookmarkEnd w:id="197"/>
      <w:bookmarkStart w:id="198" w:name="_Toc184310315"/>
      <w:bookmarkEnd w:id="198"/>
      <w:bookmarkStart w:id="199" w:name="_Toc184314451"/>
      <w:bookmarkEnd w:id="199"/>
      <w:bookmarkStart w:id="200" w:name="_Toc184308075"/>
      <w:bookmarkEnd w:id="200"/>
      <w:bookmarkStart w:id="201" w:name="_Toc184312128"/>
      <w:bookmarkEnd w:id="201"/>
      <w:bookmarkStart w:id="202" w:name="_Toc184310317"/>
      <w:bookmarkEnd w:id="202"/>
      <w:bookmarkStart w:id="203" w:name="_Toc184308105"/>
      <w:bookmarkEnd w:id="203"/>
      <w:bookmarkStart w:id="204" w:name="_Toc184310322"/>
      <w:bookmarkEnd w:id="204"/>
      <w:bookmarkStart w:id="205" w:name="_Toc184313240"/>
      <w:bookmarkEnd w:id="205"/>
      <w:bookmarkStart w:id="206" w:name="_Toc184314454"/>
      <w:bookmarkEnd w:id="206"/>
      <w:bookmarkStart w:id="207" w:name="_Toc184312096"/>
      <w:bookmarkEnd w:id="207"/>
      <w:bookmarkStart w:id="208" w:name="_Toc184308089"/>
      <w:bookmarkEnd w:id="208"/>
      <w:bookmarkStart w:id="209" w:name="_Toc184312083"/>
      <w:bookmarkEnd w:id="209"/>
      <w:bookmarkStart w:id="210" w:name="_Toc184314470"/>
      <w:bookmarkEnd w:id="210"/>
      <w:bookmarkStart w:id="211" w:name="_Toc184312122"/>
      <w:bookmarkEnd w:id="211"/>
      <w:bookmarkStart w:id="212" w:name="_Toc184310297"/>
      <w:bookmarkEnd w:id="212"/>
      <w:bookmarkStart w:id="213" w:name="_Toc184313243"/>
      <w:bookmarkEnd w:id="213"/>
      <w:bookmarkStart w:id="214" w:name="_Toc184310295"/>
      <w:bookmarkEnd w:id="214"/>
      <w:bookmarkStart w:id="215" w:name="_Toc184312119"/>
      <w:bookmarkEnd w:id="215"/>
      <w:bookmarkStart w:id="216" w:name="_Toc184308055"/>
      <w:bookmarkEnd w:id="216"/>
      <w:bookmarkStart w:id="217" w:name="_Toc184314466"/>
      <w:bookmarkEnd w:id="217"/>
      <w:bookmarkStart w:id="218" w:name="_Toc184312079"/>
      <w:bookmarkEnd w:id="218"/>
      <w:bookmarkStart w:id="219" w:name="_Toc184310338"/>
      <w:bookmarkEnd w:id="219"/>
      <w:bookmarkStart w:id="220" w:name="_Toc184314439"/>
      <w:bookmarkEnd w:id="220"/>
      <w:bookmarkStart w:id="221" w:name="_Toc184310294"/>
      <w:bookmarkEnd w:id="221"/>
      <w:bookmarkStart w:id="222" w:name="_Toc184308065"/>
      <w:bookmarkEnd w:id="222"/>
      <w:bookmarkStart w:id="223" w:name="_Toc184312112"/>
      <w:bookmarkEnd w:id="223"/>
      <w:bookmarkStart w:id="224" w:name="_Toc184312126"/>
      <w:bookmarkEnd w:id="224"/>
      <w:bookmarkStart w:id="225" w:name="_Toc184312101"/>
      <w:bookmarkEnd w:id="225"/>
      <w:bookmarkStart w:id="226" w:name="_Toc184312121"/>
      <w:bookmarkEnd w:id="226"/>
      <w:bookmarkStart w:id="227" w:name="_Toc184312102"/>
      <w:bookmarkEnd w:id="227"/>
      <w:bookmarkStart w:id="228" w:name="_Toc184313242"/>
      <w:bookmarkEnd w:id="228"/>
      <w:bookmarkStart w:id="229" w:name="_Toc184308080"/>
      <w:bookmarkEnd w:id="229"/>
      <w:bookmarkStart w:id="230" w:name="_Toc184313295"/>
      <w:bookmarkEnd w:id="230"/>
      <w:bookmarkStart w:id="231" w:name="_Toc184310272"/>
      <w:bookmarkEnd w:id="231"/>
      <w:bookmarkStart w:id="232" w:name="_Toc184314462"/>
      <w:bookmarkEnd w:id="232"/>
      <w:bookmarkStart w:id="233" w:name="_Toc184308058"/>
      <w:bookmarkEnd w:id="233"/>
      <w:bookmarkStart w:id="234" w:name="_Toc184308036"/>
      <w:bookmarkEnd w:id="234"/>
      <w:bookmarkStart w:id="235" w:name="_Toc184312118"/>
      <w:bookmarkEnd w:id="235"/>
      <w:bookmarkStart w:id="236" w:name="_Toc184313296"/>
      <w:bookmarkEnd w:id="236"/>
      <w:bookmarkStart w:id="237" w:name="_Toc184313254"/>
      <w:bookmarkEnd w:id="237"/>
      <w:bookmarkStart w:id="238" w:name="_Toc184314431"/>
      <w:bookmarkEnd w:id="238"/>
      <w:bookmarkStart w:id="239" w:name="_Toc184312138"/>
      <w:bookmarkEnd w:id="239"/>
      <w:bookmarkStart w:id="240" w:name="_Toc184308092"/>
      <w:bookmarkEnd w:id="240"/>
      <w:bookmarkStart w:id="241" w:name="_Toc184313297"/>
      <w:bookmarkEnd w:id="241"/>
      <w:bookmarkStart w:id="242" w:name="_Toc184314452"/>
      <w:bookmarkEnd w:id="242"/>
      <w:bookmarkStart w:id="243" w:name="_Toc184312137"/>
      <w:bookmarkEnd w:id="243"/>
      <w:bookmarkStart w:id="244" w:name="_Toc184312098"/>
      <w:bookmarkEnd w:id="244"/>
      <w:bookmarkStart w:id="245" w:name="_Toc184310323"/>
      <w:bookmarkEnd w:id="245"/>
      <w:bookmarkStart w:id="246" w:name="_Toc184310289"/>
      <w:bookmarkEnd w:id="246"/>
      <w:bookmarkStart w:id="247" w:name="_Toc184314445"/>
      <w:bookmarkEnd w:id="247"/>
      <w:bookmarkStart w:id="248" w:name="_Toc184314448"/>
      <w:bookmarkEnd w:id="248"/>
      <w:bookmarkStart w:id="249" w:name="_Toc184310281"/>
      <w:bookmarkEnd w:id="249"/>
      <w:bookmarkStart w:id="250" w:name="_Toc184310309"/>
      <w:bookmarkEnd w:id="250"/>
      <w:bookmarkStart w:id="251" w:name="_Toc184313269"/>
      <w:bookmarkEnd w:id="251"/>
      <w:bookmarkStart w:id="252" w:name="_Toc184313239"/>
      <w:bookmarkEnd w:id="252"/>
      <w:bookmarkStart w:id="253" w:name="_Toc184308079"/>
      <w:bookmarkEnd w:id="253"/>
      <w:bookmarkStart w:id="254" w:name="_Toc184308078"/>
      <w:bookmarkEnd w:id="254"/>
      <w:bookmarkStart w:id="255" w:name="_Toc184314455"/>
      <w:bookmarkEnd w:id="255"/>
      <w:bookmarkStart w:id="256" w:name="_Toc184313299"/>
      <w:bookmarkEnd w:id="256"/>
      <w:bookmarkStart w:id="257" w:name="_Toc184310293"/>
      <w:bookmarkEnd w:id="257"/>
      <w:bookmarkStart w:id="258" w:name="_Toc184313286"/>
      <w:bookmarkEnd w:id="258"/>
      <w:bookmarkStart w:id="259" w:name="_Toc184314453"/>
      <w:bookmarkEnd w:id="259"/>
      <w:bookmarkStart w:id="260" w:name="_Toc184314441"/>
      <w:bookmarkEnd w:id="260"/>
      <w:bookmarkStart w:id="261" w:name="_Toc184313238"/>
      <w:bookmarkEnd w:id="261"/>
      <w:bookmarkStart w:id="262" w:name="_Toc184310341"/>
      <w:bookmarkEnd w:id="262"/>
      <w:bookmarkStart w:id="263" w:name="_Toc184310299"/>
      <w:bookmarkEnd w:id="263"/>
      <w:bookmarkStart w:id="264" w:name="_Toc184308100"/>
      <w:bookmarkEnd w:id="264"/>
      <w:bookmarkStart w:id="265" w:name="_Toc184310302"/>
      <w:bookmarkEnd w:id="265"/>
      <w:bookmarkStart w:id="266" w:name="_Toc184310330"/>
      <w:bookmarkEnd w:id="266"/>
      <w:bookmarkStart w:id="267" w:name="_Toc184308069"/>
      <w:bookmarkEnd w:id="267"/>
      <w:bookmarkStart w:id="268" w:name="_Toc184308044"/>
      <w:bookmarkEnd w:id="268"/>
      <w:bookmarkStart w:id="269" w:name="_Toc184313300"/>
      <w:bookmarkEnd w:id="269"/>
      <w:bookmarkStart w:id="270" w:name="_Toc184308047"/>
      <w:bookmarkEnd w:id="270"/>
      <w:bookmarkStart w:id="271" w:name="_Toc184314437"/>
      <w:bookmarkEnd w:id="271"/>
      <w:bookmarkStart w:id="272" w:name="_Toc184310310"/>
      <w:bookmarkEnd w:id="272"/>
      <w:bookmarkStart w:id="273" w:name="_Toc184313285"/>
      <w:bookmarkEnd w:id="273"/>
      <w:bookmarkStart w:id="274" w:name="_Toc184314427"/>
      <w:bookmarkEnd w:id="274"/>
      <w:bookmarkStart w:id="275" w:name="_Toc184314444"/>
      <w:bookmarkEnd w:id="275"/>
      <w:bookmarkStart w:id="276" w:name="_Toc184313291"/>
      <w:bookmarkEnd w:id="276"/>
      <w:bookmarkStart w:id="277" w:name="_Toc184312084"/>
      <w:bookmarkEnd w:id="277"/>
      <w:bookmarkStart w:id="278" w:name="_Toc184313250"/>
      <w:bookmarkEnd w:id="278"/>
      <w:bookmarkStart w:id="279" w:name="_Toc184310336"/>
      <w:bookmarkEnd w:id="279"/>
      <w:bookmarkStart w:id="280" w:name="_Toc184308097"/>
      <w:bookmarkEnd w:id="280"/>
      <w:bookmarkStart w:id="281" w:name="_Toc184310284"/>
      <w:bookmarkEnd w:id="281"/>
      <w:bookmarkStart w:id="282" w:name="_Toc184308094"/>
      <w:bookmarkEnd w:id="282"/>
      <w:bookmarkStart w:id="283" w:name="_Toc184310298"/>
      <w:bookmarkEnd w:id="283"/>
      <w:bookmarkStart w:id="284" w:name="_Toc184314469"/>
      <w:bookmarkEnd w:id="284"/>
      <w:bookmarkStart w:id="285" w:name="_Toc184313307"/>
      <w:bookmarkEnd w:id="285"/>
      <w:bookmarkStart w:id="286" w:name="_Toc184313258"/>
      <w:bookmarkEnd w:id="286"/>
      <w:bookmarkStart w:id="287" w:name="_Toc184310307"/>
      <w:bookmarkEnd w:id="287"/>
      <w:bookmarkStart w:id="288" w:name="_Toc184310306"/>
      <w:bookmarkEnd w:id="288"/>
      <w:bookmarkStart w:id="289" w:name="_Toc184308051"/>
      <w:bookmarkEnd w:id="289"/>
      <w:bookmarkStart w:id="290" w:name="_Toc184312094"/>
      <w:bookmarkEnd w:id="290"/>
      <w:bookmarkStart w:id="291" w:name="_Toc184312097"/>
      <w:bookmarkEnd w:id="291"/>
      <w:bookmarkStart w:id="292" w:name="_Toc184313289"/>
      <w:bookmarkEnd w:id="292"/>
      <w:bookmarkStart w:id="293" w:name="_Toc184312099"/>
      <w:bookmarkEnd w:id="293"/>
      <w:bookmarkStart w:id="294" w:name="_Toc184313277"/>
      <w:bookmarkEnd w:id="294"/>
      <w:bookmarkStart w:id="295" w:name="_Toc184312127"/>
      <w:bookmarkEnd w:id="295"/>
      <w:bookmarkStart w:id="296" w:name="_Toc184308101"/>
      <w:bookmarkEnd w:id="296"/>
      <w:bookmarkStart w:id="297" w:name="_Toc184308084"/>
      <w:bookmarkEnd w:id="297"/>
      <w:bookmarkStart w:id="298" w:name="_Toc184312074"/>
      <w:bookmarkEnd w:id="298"/>
      <w:bookmarkStart w:id="299" w:name="_Toc184313251"/>
      <w:bookmarkEnd w:id="299"/>
      <w:bookmarkStart w:id="300" w:name="_Toc184308103"/>
      <w:bookmarkEnd w:id="300"/>
      <w:bookmarkStart w:id="301" w:name="_Toc184312090"/>
      <w:bookmarkEnd w:id="301"/>
      <w:bookmarkStart w:id="302" w:name="_Toc184313283"/>
      <w:bookmarkEnd w:id="302"/>
      <w:bookmarkStart w:id="303" w:name="_Toc184308070"/>
      <w:bookmarkEnd w:id="303"/>
      <w:bookmarkStart w:id="304" w:name="_Toc184314478"/>
      <w:bookmarkEnd w:id="304"/>
      <w:bookmarkStart w:id="305" w:name="_Toc184313306"/>
      <w:bookmarkEnd w:id="305"/>
      <w:bookmarkStart w:id="306" w:name="_Toc184314420"/>
      <w:bookmarkEnd w:id="306"/>
      <w:bookmarkStart w:id="307" w:name="_Toc184312123"/>
      <w:bookmarkEnd w:id="307"/>
      <w:bookmarkStart w:id="308" w:name="_Toc184313280"/>
      <w:bookmarkEnd w:id="308"/>
      <w:bookmarkStart w:id="309" w:name="_Toc184314435"/>
      <w:bookmarkEnd w:id="309"/>
      <w:bookmarkStart w:id="310" w:name="_Toc184314482"/>
      <w:bookmarkEnd w:id="310"/>
      <w:bookmarkStart w:id="311" w:name="_Toc184312124"/>
      <w:bookmarkEnd w:id="311"/>
      <w:bookmarkStart w:id="312" w:name="_Toc184314450"/>
      <w:bookmarkEnd w:id="312"/>
      <w:bookmarkStart w:id="313" w:name="_Toc184314414"/>
      <w:bookmarkEnd w:id="313"/>
      <w:bookmarkStart w:id="314" w:name="_Toc184314422"/>
      <w:bookmarkEnd w:id="314"/>
      <w:bookmarkStart w:id="315" w:name="_Toc184313246"/>
      <w:bookmarkEnd w:id="315"/>
      <w:bookmarkStart w:id="316" w:name="_Toc184314481"/>
      <w:bookmarkEnd w:id="316"/>
      <w:bookmarkStart w:id="317" w:name="_Toc184312073"/>
      <w:bookmarkEnd w:id="317"/>
      <w:bookmarkStart w:id="318" w:name="_Toc184314423"/>
      <w:bookmarkEnd w:id="318"/>
      <w:bookmarkStart w:id="319" w:name="_Toc184310320"/>
      <w:bookmarkEnd w:id="319"/>
      <w:bookmarkStart w:id="320" w:name="_Toc184312133"/>
      <w:bookmarkEnd w:id="320"/>
      <w:bookmarkStart w:id="321" w:name="_Toc184314475"/>
      <w:bookmarkEnd w:id="321"/>
      <w:bookmarkStart w:id="322" w:name="_Toc184313287"/>
      <w:bookmarkEnd w:id="322"/>
      <w:bookmarkStart w:id="323" w:name="_Toc184310313"/>
      <w:bookmarkEnd w:id="323"/>
      <w:bookmarkStart w:id="324" w:name="_Toc184310273"/>
      <w:bookmarkEnd w:id="324"/>
      <w:bookmarkStart w:id="325" w:name="_Toc184310339"/>
      <w:bookmarkEnd w:id="325"/>
      <w:bookmarkStart w:id="326" w:name="_Toc184312071"/>
      <w:bookmarkEnd w:id="326"/>
      <w:bookmarkStart w:id="327" w:name="_Toc184313293"/>
      <w:bookmarkEnd w:id="327"/>
      <w:bookmarkStart w:id="328" w:name="_Toc184314434"/>
      <w:bookmarkEnd w:id="328"/>
      <w:bookmarkStart w:id="329" w:name="_Toc184313274"/>
      <w:bookmarkEnd w:id="329"/>
      <w:bookmarkStart w:id="330" w:name="_Toc184310296"/>
      <w:bookmarkEnd w:id="330"/>
      <w:bookmarkStart w:id="331" w:name="_Toc184314467"/>
      <w:bookmarkEnd w:id="331"/>
      <w:bookmarkStart w:id="332" w:name="_Toc184313270"/>
      <w:bookmarkEnd w:id="332"/>
      <w:bookmarkStart w:id="333" w:name="_Toc184312068"/>
      <w:bookmarkEnd w:id="333"/>
      <w:bookmarkStart w:id="334" w:name="_Toc184308108"/>
      <w:bookmarkEnd w:id="334"/>
      <w:bookmarkStart w:id="335" w:name="_Toc184313244"/>
      <w:bookmarkEnd w:id="335"/>
      <w:bookmarkStart w:id="336" w:name="_Toc184308107"/>
      <w:bookmarkEnd w:id="336"/>
      <w:bookmarkStart w:id="337" w:name="_Toc184313278"/>
      <w:bookmarkEnd w:id="337"/>
      <w:bookmarkStart w:id="338" w:name="_Toc184314480"/>
      <w:bookmarkEnd w:id="338"/>
      <w:bookmarkStart w:id="339" w:name="_Toc184310318"/>
      <w:bookmarkEnd w:id="339"/>
      <w:bookmarkStart w:id="340" w:name="_Toc184312072"/>
      <w:bookmarkEnd w:id="340"/>
      <w:bookmarkStart w:id="341" w:name="_Toc184308095"/>
      <w:bookmarkEnd w:id="341"/>
      <w:bookmarkStart w:id="342" w:name="_Toc184313303"/>
      <w:bookmarkEnd w:id="342"/>
      <w:bookmarkStart w:id="343" w:name="_Toc184308038"/>
      <w:bookmarkEnd w:id="343"/>
      <w:bookmarkStart w:id="344" w:name="_Toc184313290"/>
      <w:bookmarkEnd w:id="344"/>
      <w:bookmarkStart w:id="345" w:name="_Toc184313267"/>
      <w:bookmarkEnd w:id="345"/>
      <w:bookmarkStart w:id="346" w:name="_Toc184313260"/>
      <w:bookmarkEnd w:id="346"/>
      <w:bookmarkStart w:id="347" w:name="_Toc184308074"/>
      <w:bookmarkEnd w:id="347"/>
      <w:bookmarkStart w:id="348" w:name="_Toc184308081"/>
      <w:bookmarkEnd w:id="348"/>
      <w:bookmarkStart w:id="349" w:name="_Toc184314410"/>
      <w:bookmarkEnd w:id="349"/>
      <w:bookmarkStart w:id="350" w:name="_Toc184313279"/>
      <w:bookmarkEnd w:id="350"/>
      <w:bookmarkStart w:id="351" w:name="_Toc184314461"/>
      <w:bookmarkEnd w:id="351"/>
      <w:bookmarkStart w:id="352" w:name="_Toc184310280"/>
      <w:bookmarkEnd w:id="352"/>
      <w:bookmarkStart w:id="353" w:name="_Toc184313282"/>
      <w:bookmarkEnd w:id="353"/>
      <w:bookmarkStart w:id="354" w:name="_Toc184314464"/>
      <w:bookmarkEnd w:id="354"/>
      <w:bookmarkStart w:id="355" w:name="_Toc184312106"/>
      <w:bookmarkEnd w:id="355"/>
      <w:bookmarkStart w:id="356" w:name="_Toc184313253"/>
      <w:bookmarkEnd w:id="356"/>
      <w:bookmarkStart w:id="357" w:name="_Toc184310327"/>
      <w:bookmarkEnd w:id="357"/>
      <w:bookmarkStart w:id="358" w:name="_Toc184308046"/>
      <w:bookmarkEnd w:id="358"/>
      <w:bookmarkStart w:id="359" w:name="_Toc184313281"/>
      <w:bookmarkEnd w:id="359"/>
      <w:bookmarkStart w:id="360" w:name="_Toc184314418"/>
      <w:bookmarkEnd w:id="360"/>
      <w:bookmarkStart w:id="361" w:name="_Toc184310333"/>
      <w:bookmarkEnd w:id="361"/>
      <w:bookmarkStart w:id="362" w:name="_Toc184308041"/>
      <w:bookmarkEnd w:id="362"/>
      <w:bookmarkStart w:id="363" w:name="_Toc184310324"/>
      <w:bookmarkEnd w:id="363"/>
      <w:bookmarkStart w:id="364" w:name="_Toc184310316"/>
      <w:bookmarkEnd w:id="364"/>
      <w:bookmarkStart w:id="365" w:name="_Toc184314449"/>
      <w:bookmarkEnd w:id="365"/>
      <w:bookmarkStart w:id="366" w:name="_Toc184313259"/>
      <w:bookmarkEnd w:id="366"/>
      <w:bookmarkStart w:id="367" w:name="_Toc184313252"/>
      <w:bookmarkEnd w:id="367"/>
      <w:bookmarkStart w:id="368" w:name="_Toc184313248"/>
      <w:bookmarkEnd w:id="368"/>
      <w:bookmarkStart w:id="369" w:name="_Toc184308106"/>
      <w:bookmarkEnd w:id="369"/>
      <w:bookmarkStart w:id="370" w:name="_Toc184314433"/>
      <w:bookmarkEnd w:id="370"/>
      <w:bookmarkStart w:id="371" w:name="_Toc184313261"/>
      <w:bookmarkEnd w:id="371"/>
      <w:bookmarkStart w:id="372" w:name="_Toc184313301"/>
      <w:bookmarkEnd w:id="372"/>
      <w:bookmarkStart w:id="373" w:name="_Toc184310287"/>
      <w:bookmarkEnd w:id="373"/>
      <w:bookmarkStart w:id="374" w:name="_Toc184310303"/>
      <w:bookmarkEnd w:id="374"/>
      <w:bookmarkStart w:id="375" w:name="_Toc184314421"/>
      <w:bookmarkEnd w:id="375"/>
      <w:bookmarkStart w:id="376" w:name="_Toc184312131"/>
      <w:bookmarkEnd w:id="376"/>
      <w:bookmarkStart w:id="377" w:name="_Toc184310325"/>
      <w:bookmarkEnd w:id="377"/>
      <w:bookmarkStart w:id="378" w:name="_Toc184308049"/>
      <w:bookmarkEnd w:id="378"/>
      <w:bookmarkStart w:id="379" w:name="_Toc184310285"/>
      <w:bookmarkEnd w:id="379"/>
      <w:bookmarkStart w:id="380" w:name="_Toc184308091"/>
      <w:bookmarkEnd w:id="380"/>
      <w:bookmarkStart w:id="381" w:name="_Toc184313308"/>
      <w:bookmarkEnd w:id="381"/>
      <w:bookmarkStart w:id="382" w:name="_Toc184308061"/>
      <w:bookmarkEnd w:id="382"/>
      <w:bookmarkStart w:id="383" w:name="_Toc184312088"/>
      <w:bookmarkEnd w:id="383"/>
      <w:bookmarkStart w:id="384" w:name="_Toc184313266"/>
      <w:bookmarkEnd w:id="384"/>
      <w:bookmarkStart w:id="385" w:name="_Toc184313276"/>
      <w:bookmarkEnd w:id="385"/>
      <w:bookmarkStart w:id="386" w:name="_Toc184314442"/>
      <w:bookmarkEnd w:id="386"/>
      <w:bookmarkStart w:id="387" w:name="_Toc184310288"/>
      <w:bookmarkEnd w:id="387"/>
      <w:bookmarkStart w:id="388" w:name="_Toc184312136"/>
      <w:bookmarkEnd w:id="388"/>
      <w:bookmarkStart w:id="389" w:name="_Toc184308083"/>
      <w:bookmarkEnd w:id="389"/>
      <w:bookmarkStart w:id="390" w:name="_Toc184308067"/>
      <w:bookmarkEnd w:id="390"/>
      <w:bookmarkStart w:id="391" w:name="_Toc184310301"/>
      <w:bookmarkEnd w:id="391"/>
      <w:bookmarkStart w:id="392" w:name="_Toc184314415"/>
      <w:bookmarkEnd w:id="392"/>
      <w:r>
        <w:rPr>
          <w:rFonts w:hint="eastAsia" w:ascii="宋体" w:hAnsi="宋体" w:cs="宋体"/>
          <w:b/>
          <w:color w:val="auto"/>
          <w:sz w:val="36"/>
          <w:szCs w:val="36"/>
          <w:highlight w:val="none"/>
        </w:rPr>
        <w:t>评标办法</w:t>
      </w:r>
    </w:p>
    <w:p>
      <w:pPr>
        <w:snapToGrid w:val="0"/>
        <w:spacing w:line="360" w:lineRule="auto"/>
        <w:ind w:firstLine="643"/>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W w:w="9498" w:type="dxa"/>
        <w:tblInd w:w="0" w:type="dxa"/>
        <w:tblLayout w:type="autofit"/>
        <w:tblCellMar>
          <w:top w:w="0" w:type="dxa"/>
          <w:left w:w="108" w:type="dxa"/>
          <w:bottom w:w="0" w:type="dxa"/>
          <w:right w:w="108" w:type="dxa"/>
        </w:tblCellMar>
      </w:tblPr>
      <w:tblGrid>
        <w:gridCol w:w="918"/>
        <w:gridCol w:w="4379"/>
        <w:gridCol w:w="812"/>
        <w:gridCol w:w="1200"/>
        <w:gridCol w:w="2189"/>
      </w:tblGrid>
      <w:tr>
        <w:tblPrEx>
          <w:tblCellMar>
            <w:top w:w="0" w:type="dxa"/>
            <w:left w:w="108" w:type="dxa"/>
            <w:bottom w:w="0" w:type="dxa"/>
            <w:right w:w="108" w:type="dxa"/>
          </w:tblCellMar>
        </w:tblPrEx>
        <w:trPr>
          <w:trHeight w:val="902" w:hRule="atLeast"/>
        </w:trPr>
        <w:tc>
          <w:tcPr>
            <w:tcW w:w="91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4379"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评标标准</w:t>
            </w:r>
          </w:p>
        </w:tc>
        <w:tc>
          <w:tcPr>
            <w:tcW w:w="812"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最高分值</w:t>
            </w:r>
          </w:p>
        </w:tc>
        <w:tc>
          <w:tcPr>
            <w:tcW w:w="1200"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主观分/客观分属性</w:t>
            </w:r>
          </w:p>
        </w:tc>
        <w:tc>
          <w:tcPr>
            <w:tcW w:w="2189"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投标文件中评标标准相应的商务技术资料目录*</w:t>
            </w:r>
          </w:p>
        </w:tc>
      </w:tr>
      <w:tr>
        <w:tblPrEx>
          <w:tblCellMar>
            <w:top w:w="0" w:type="dxa"/>
            <w:left w:w="108" w:type="dxa"/>
            <w:bottom w:w="0" w:type="dxa"/>
            <w:right w:w="108" w:type="dxa"/>
          </w:tblCellMar>
        </w:tblPrEx>
        <w:trPr>
          <w:trHeight w:val="1496"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服务方案：</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针对本项目服务期内项目服务方案情况，需在采购需求基础上对项目涉及专线进行详细介绍方案，内容科学合理、可靠且完全符合采购需求的得5分，部分符合得3分，不符合得0分。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（一）服务方案</w:t>
            </w:r>
          </w:p>
        </w:tc>
      </w:tr>
      <w:tr>
        <w:tblPrEx>
          <w:tblCellMar>
            <w:top w:w="0" w:type="dxa"/>
            <w:left w:w="108" w:type="dxa"/>
            <w:bottom w:w="0" w:type="dxa"/>
            <w:right w:w="108" w:type="dxa"/>
          </w:tblCellMar>
        </w:tblPrEx>
        <w:trPr>
          <w:trHeight w:val="1496"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2</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重点和难点解决方案：</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对本项目建设实施重点和难点进行阐述，并提出相关解决方案。阐述内容科学合理，解决方案全面、有效、有针对性，完全符合需求的得5分，部分符合得3分，不符合得0分。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(二)重点和难点解决方案</w:t>
            </w:r>
          </w:p>
        </w:tc>
      </w:tr>
      <w:tr>
        <w:tblPrEx>
          <w:tblCellMar>
            <w:top w:w="0" w:type="dxa"/>
            <w:left w:w="108" w:type="dxa"/>
            <w:bottom w:w="0" w:type="dxa"/>
            <w:right w:w="108" w:type="dxa"/>
          </w:tblCellMar>
        </w:tblPrEx>
        <w:trPr>
          <w:trHeight w:val="2198" w:hRule="atLeast"/>
        </w:trPr>
        <w:tc>
          <w:tcPr>
            <w:tcW w:w="918"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3</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应急方案：</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针对本项目应急方案情况，包括：①由供应商自身原因发生可能影响采购人使用的专线中断应急方案。②</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如出现重大过错应急方案。</w:t>
            </w:r>
          </w:p>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根据提供的方案内容进行评分，每一项方案内容完整且合理、可行、完全符合需求的得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5，部分符合得</w:t>
            </w:r>
            <w:r>
              <w:rPr>
                <w:rFonts w:hint="eastAsia" w:ascii="宋体" w:hAnsi="宋体" w:cs="宋体"/>
                <w:color w:val="auto"/>
                <w:kern w:val="0"/>
                <w:sz w:val="24"/>
                <w:highlight w:val="none"/>
                <w:lang w:val="en-US" w:eastAsia="zh-CN"/>
              </w:rPr>
              <w:t>1.5</w:t>
            </w:r>
            <w:r>
              <w:rPr>
                <w:rFonts w:hint="eastAsia" w:ascii="宋体" w:hAnsi="宋体" w:cs="宋体"/>
                <w:color w:val="auto"/>
                <w:kern w:val="0"/>
                <w:sz w:val="24"/>
                <w:highlight w:val="none"/>
              </w:rPr>
              <w:t>分，不符合得0分，最高得5分。</w:t>
            </w:r>
          </w:p>
        </w:tc>
        <w:tc>
          <w:tcPr>
            <w:tcW w:w="812"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（三）应急方案</w:t>
            </w:r>
          </w:p>
        </w:tc>
      </w:tr>
      <w:tr>
        <w:tblPrEx>
          <w:tblCellMar>
            <w:top w:w="0" w:type="dxa"/>
            <w:left w:w="108" w:type="dxa"/>
            <w:bottom w:w="0" w:type="dxa"/>
            <w:right w:w="108" w:type="dxa"/>
          </w:tblCellMar>
        </w:tblPrEx>
        <w:trPr>
          <w:trHeight w:val="2496" w:hRule="atLeast"/>
        </w:trPr>
        <w:tc>
          <w:tcPr>
            <w:tcW w:w="918"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4</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专线巡检方案：</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针对本项目巡检方案情况：包括：①线缆巡检方案。②专网线路巡检方案。</w:t>
            </w:r>
          </w:p>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根据提供的方案内容进行评分，每一项方案内容完整且合理、可行、完全符合需求的得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5分，部分符合得</w:t>
            </w:r>
            <w:r>
              <w:rPr>
                <w:rFonts w:hint="eastAsia" w:ascii="宋体" w:hAnsi="宋体" w:cs="宋体"/>
                <w:color w:val="auto"/>
                <w:kern w:val="0"/>
                <w:sz w:val="24"/>
                <w:highlight w:val="none"/>
                <w:lang w:val="en-US" w:eastAsia="zh-CN"/>
              </w:rPr>
              <w:t>1.5</w:t>
            </w:r>
            <w:r>
              <w:rPr>
                <w:rFonts w:hint="eastAsia" w:ascii="宋体" w:hAnsi="宋体" w:cs="宋体"/>
                <w:color w:val="auto"/>
                <w:kern w:val="0"/>
                <w:sz w:val="24"/>
                <w:highlight w:val="none"/>
              </w:rPr>
              <w:t>分，不符合得0分，最高得5分。</w:t>
            </w:r>
          </w:p>
        </w:tc>
        <w:tc>
          <w:tcPr>
            <w:tcW w:w="812"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（四）专线巡检方案</w:t>
            </w:r>
          </w:p>
        </w:tc>
      </w:tr>
      <w:tr>
        <w:tblPrEx>
          <w:tblCellMar>
            <w:top w:w="0" w:type="dxa"/>
            <w:left w:w="108" w:type="dxa"/>
            <w:bottom w:w="0" w:type="dxa"/>
            <w:right w:w="108" w:type="dxa"/>
          </w:tblCellMar>
        </w:tblPrEx>
        <w:trPr>
          <w:trHeight w:val="1496"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5</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网络安全保障方案：</w:t>
            </w:r>
            <w:r>
              <w:rPr>
                <w:rFonts w:hint="eastAsia" w:ascii="宋体" w:hAnsi="宋体" w:cs="宋体"/>
                <w:color w:val="auto"/>
                <w:kern w:val="0"/>
                <w:sz w:val="24"/>
                <w:highlight w:val="none"/>
              </w:rPr>
              <w:t>根据网络安全保障措施，对主流的网络攻击行为有主动/被动防御控制措施的详细完整度、合理性、可行性，完全符合得5分，部分符合得3分，不符合得0分 。</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（五）网络安全保障方案</w:t>
            </w:r>
          </w:p>
        </w:tc>
      </w:tr>
      <w:tr>
        <w:tblPrEx>
          <w:tblCellMar>
            <w:top w:w="0" w:type="dxa"/>
            <w:left w:w="108" w:type="dxa"/>
            <w:bottom w:w="0" w:type="dxa"/>
            <w:right w:w="108" w:type="dxa"/>
          </w:tblCellMar>
        </w:tblPrEx>
        <w:trPr>
          <w:trHeight w:val="1199" w:hRule="atLeast"/>
        </w:trPr>
        <w:tc>
          <w:tcPr>
            <w:tcW w:w="91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6</w:t>
            </w:r>
          </w:p>
        </w:tc>
        <w:tc>
          <w:tcPr>
            <w:tcW w:w="437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故障主动提醒方案：</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提供链路运行质量主动监控能力，实现即时链路故障提醒服务功能，完全符合该服务得5分，部分符合得3分，不符合得0分。</w:t>
            </w:r>
          </w:p>
        </w:tc>
        <w:tc>
          <w:tcPr>
            <w:tcW w:w="81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（六）故障主动提醒方案</w:t>
            </w:r>
          </w:p>
        </w:tc>
      </w:tr>
      <w:tr>
        <w:tblPrEx>
          <w:tblCellMar>
            <w:top w:w="0" w:type="dxa"/>
            <w:left w:w="108" w:type="dxa"/>
            <w:bottom w:w="0" w:type="dxa"/>
            <w:right w:w="108" w:type="dxa"/>
          </w:tblCellMar>
        </w:tblPrEx>
        <w:trPr>
          <w:trHeight w:val="1794" w:hRule="atLeast"/>
        </w:trPr>
        <w:tc>
          <w:tcPr>
            <w:tcW w:w="91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7</w:t>
            </w:r>
          </w:p>
        </w:tc>
        <w:tc>
          <w:tcPr>
            <w:tcW w:w="4379" w:type="dxa"/>
            <w:tcBorders>
              <w:top w:val="single" w:color="auto" w:sz="8" w:space="0"/>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保障力量安排方案：</w:t>
            </w:r>
            <w:r>
              <w:rPr>
                <w:rFonts w:hint="eastAsia" w:ascii="宋体" w:hAnsi="宋体" w:cs="宋体"/>
                <w:color w:val="auto"/>
                <w:kern w:val="0"/>
                <w:sz w:val="24"/>
                <w:highlight w:val="none"/>
              </w:rPr>
              <w:t>重大节假日、活动前对线路的排查，活动期间现场技术人员的安排，对重要线路进行备份处理的相关保障情况，方案内容完整、措施有效、符合采购需求的，视为合理。完全符合得5分，部分符合得3分，不符合得0分。</w:t>
            </w:r>
          </w:p>
        </w:tc>
        <w:tc>
          <w:tcPr>
            <w:tcW w:w="812"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（七）保障力量安排方案</w:t>
            </w:r>
          </w:p>
        </w:tc>
      </w:tr>
      <w:tr>
        <w:tblPrEx>
          <w:tblCellMar>
            <w:top w:w="0" w:type="dxa"/>
            <w:left w:w="108" w:type="dxa"/>
            <w:bottom w:w="0" w:type="dxa"/>
            <w:right w:w="108" w:type="dxa"/>
          </w:tblCellMar>
        </w:tblPrEx>
        <w:trPr>
          <w:trHeight w:val="902"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8</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lang w:val="en-US" w:eastAsia="zh-CN"/>
              </w:rPr>
              <w:t>投标人</w:t>
            </w:r>
            <w:r>
              <w:rPr>
                <w:rFonts w:hint="eastAsia" w:ascii="宋体" w:hAnsi="宋体" w:cs="宋体"/>
                <w:b/>
                <w:bCs/>
                <w:color w:val="auto"/>
                <w:kern w:val="0"/>
                <w:sz w:val="24"/>
                <w:highlight w:val="none"/>
              </w:rPr>
              <w:t>资信：</w:t>
            </w:r>
            <w:r>
              <w:rPr>
                <w:rFonts w:hint="eastAsia" w:ascii="宋体" w:hAnsi="宋体" w:cs="宋体"/>
                <w:color w:val="auto"/>
                <w:kern w:val="0"/>
                <w:sz w:val="24"/>
                <w:highlight w:val="none"/>
              </w:rPr>
              <w:t>具有ISO9001、ISO14001、ISO20000、ISO27001、</w:t>
            </w:r>
            <w:r>
              <w:rPr>
                <w:rFonts w:hint="eastAsia" w:ascii="宋体" w:hAnsi="宋体" w:cs="宋体"/>
                <w:color w:val="auto"/>
                <w:kern w:val="0"/>
                <w:sz w:val="24"/>
                <w:highlight w:val="none"/>
                <w:lang w:val="en-US" w:eastAsia="zh-CN"/>
              </w:rPr>
              <w:t>ISO45001</w:t>
            </w:r>
            <w:r>
              <w:rPr>
                <w:rFonts w:hint="eastAsia" w:ascii="宋体" w:hAnsi="宋体" w:cs="宋体"/>
                <w:color w:val="auto"/>
                <w:kern w:val="0"/>
                <w:sz w:val="24"/>
                <w:highlight w:val="none"/>
              </w:rPr>
              <w:t>每个证书给1分，最高5分。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（八）资信</w:t>
            </w:r>
          </w:p>
        </w:tc>
      </w:tr>
      <w:tr>
        <w:tblPrEx>
          <w:tblCellMar>
            <w:top w:w="0" w:type="dxa"/>
            <w:left w:w="108" w:type="dxa"/>
            <w:bottom w:w="0" w:type="dxa"/>
            <w:right w:w="108" w:type="dxa"/>
          </w:tblCellMar>
        </w:tblPrEx>
        <w:trPr>
          <w:trHeight w:val="902"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9</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专线物理隔离承诺：</w:t>
            </w:r>
            <w:r>
              <w:rPr>
                <w:rFonts w:hint="eastAsia" w:ascii="宋体" w:hAnsi="宋体" w:cs="宋体"/>
                <w:color w:val="auto"/>
                <w:kern w:val="0"/>
                <w:sz w:val="24"/>
                <w:highlight w:val="none"/>
              </w:rPr>
              <w:t>提供的专线需与其他网络物理隔离，</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得4分，不提供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4</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（九）服务承诺</w:t>
            </w:r>
          </w:p>
        </w:tc>
      </w:tr>
      <w:tr>
        <w:tblPrEx>
          <w:tblCellMar>
            <w:top w:w="0" w:type="dxa"/>
            <w:left w:w="108" w:type="dxa"/>
            <w:bottom w:w="0" w:type="dxa"/>
            <w:right w:w="108" w:type="dxa"/>
          </w:tblCellMar>
        </w:tblPrEx>
        <w:trPr>
          <w:trHeight w:val="1784" w:hRule="atLeast"/>
        </w:trPr>
        <w:tc>
          <w:tcPr>
            <w:tcW w:w="918"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10</w:t>
            </w:r>
          </w:p>
        </w:tc>
        <w:tc>
          <w:tcPr>
            <w:tcW w:w="4379" w:type="dxa"/>
            <w:tcBorders>
              <w:top w:val="nil"/>
              <w:left w:val="nil"/>
              <w:bottom w:val="nil"/>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售后保障服务承诺：</w:t>
            </w:r>
            <w:r>
              <w:rPr>
                <w:rFonts w:hint="eastAsia" w:ascii="宋体" w:hAnsi="宋体" w:cs="宋体"/>
                <w:color w:val="auto"/>
                <w:kern w:val="0"/>
                <w:sz w:val="24"/>
                <w:highlight w:val="none"/>
              </w:rPr>
              <w:t>①投标人承诺对采购人所反映的网络链路故障在15分钟之内得到及时有效响应，必须确保2小时之内赶到现场实地处理查找故障原因、提出解决方案，直至故障修复完全恢复正常服务为止。</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16</w:t>
            </w:r>
          </w:p>
        </w:tc>
        <w:tc>
          <w:tcPr>
            <w:tcW w:w="1200"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1487" w:hRule="atLeast"/>
        </w:trPr>
        <w:tc>
          <w:tcPr>
            <w:tcW w:w="918"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eastAsia="等线"/>
                <w:color w:val="auto"/>
                <w:kern w:val="0"/>
                <w:sz w:val="24"/>
                <w:szCs w:val="24"/>
                <w:highlight w:val="none"/>
              </w:rPr>
            </w:pPr>
          </w:p>
        </w:tc>
        <w:tc>
          <w:tcPr>
            <w:tcW w:w="4379" w:type="dxa"/>
            <w:tcBorders>
              <w:top w:val="nil"/>
              <w:left w:val="nil"/>
              <w:bottom w:val="nil"/>
              <w:right w:val="single" w:color="auto" w:sz="8" w:space="0"/>
            </w:tcBorders>
            <w:shd w:val="clear" w:color="auto" w:fill="auto"/>
            <w:vAlign w:val="center"/>
          </w:tcPr>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②投标人承诺提供7×24小时的技术支持，配备专业队伍负责网络运维工作，设立24小时热线电话和响应工作群，工程师随时响应采购单位发出的质询。</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1189" w:hRule="atLeast"/>
        </w:trPr>
        <w:tc>
          <w:tcPr>
            <w:tcW w:w="918"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eastAsia="等线"/>
                <w:color w:val="auto"/>
                <w:kern w:val="0"/>
                <w:sz w:val="24"/>
                <w:szCs w:val="24"/>
                <w:highlight w:val="none"/>
              </w:rPr>
            </w:pPr>
          </w:p>
        </w:tc>
        <w:tc>
          <w:tcPr>
            <w:tcW w:w="4379" w:type="dxa"/>
            <w:tcBorders>
              <w:top w:val="nil"/>
              <w:left w:val="nil"/>
              <w:bottom w:val="nil"/>
              <w:right w:val="single" w:color="auto" w:sz="8" w:space="0"/>
            </w:tcBorders>
            <w:shd w:val="clear" w:color="auto" w:fill="auto"/>
            <w:vAlign w:val="center"/>
          </w:tcPr>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③承诺重大安保活动前投标人应对线路进行排查，活动期间安排现场技术人员进行保障，并对重要线路进行备份处理。</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892" w:hRule="atLeast"/>
        </w:trPr>
        <w:tc>
          <w:tcPr>
            <w:tcW w:w="918"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eastAsia="等线"/>
                <w:color w:val="auto"/>
                <w:kern w:val="0"/>
                <w:sz w:val="24"/>
                <w:szCs w:val="24"/>
                <w:highlight w:val="none"/>
              </w:rPr>
            </w:pPr>
          </w:p>
        </w:tc>
        <w:tc>
          <w:tcPr>
            <w:tcW w:w="4379" w:type="dxa"/>
            <w:tcBorders>
              <w:top w:val="nil"/>
              <w:left w:val="nil"/>
              <w:bottom w:val="nil"/>
              <w:right w:val="single" w:color="auto" w:sz="8" w:space="0"/>
            </w:tcBorders>
            <w:shd w:val="clear" w:color="auto" w:fill="auto"/>
            <w:vAlign w:val="center"/>
          </w:tcPr>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④投标人承诺半年度到所有互联点对提供的所有端到端电路、线缆等进行巡检。</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892" w:hRule="atLeast"/>
        </w:trPr>
        <w:tc>
          <w:tcPr>
            <w:tcW w:w="918"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eastAsia="等线"/>
                <w:color w:val="auto"/>
                <w:kern w:val="0"/>
                <w:sz w:val="24"/>
                <w:szCs w:val="24"/>
                <w:highlight w:val="none"/>
              </w:rPr>
            </w:pPr>
          </w:p>
        </w:tc>
        <w:tc>
          <w:tcPr>
            <w:tcW w:w="4379" w:type="dxa"/>
            <w:tcBorders>
              <w:top w:val="nil"/>
              <w:left w:val="nil"/>
              <w:bottom w:val="nil"/>
              <w:right w:val="single" w:color="auto" w:sz="8" w:space="0"/>
            </w:tcBorders>
            <w:shd w:val="clear" w:color="auto" w:fill="auto"/>
            <w:vAlign w:val="center"/>
          </w:tcPr>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⑤投标人承诺线路不受欠费或其他原因影响导致停机。</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594" w:hRule="atLeast"/>
        </w:trPr>
        <w:tc>
          <w:tcPr>
            <w:tcW w:w="918"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eastAsia="等线"/>
                <w:color w:val="auto"/>
                <w:kern w:val="0"/>
                <w:sz w:val="24"/>
                <w:szCs w:val="24"/>
                <w:highlight w:val="none"/>
              </w:rPr>
            </w:pPr>
          </w:p>
        </w:tc>
        <w:tc>
          <w:tcPr>
            <w:tcW w:w="4379" w:type="dxa"/>
            <w:tcBorders>
              <w:top w:val="nil"/>
              <w:left w:val="nil"/>
              <w:bottom w:val="nil"/>
              <w:right w:val="single" w:color="auto" w:sz="8" w:space="0"/>
            </w:tcBorders>
            <w:shd w:val="clear" w:color="auto" w:fill="auto"/>
            <w:vAlign w:val="center"/>
          </w:tcPr>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⑥投标人承诺保密安全管理按采购人要求执行。</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594" w:hRule="atLeast"/>
        </w:trPr>
        <w:tc>
          <w:tcPr>
            <w:tcW w:w="918"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eastAsia="等线"/>
                <w:color w:val="auto"/>
                <w:kern w:val="0"/>
                <w:sz w:val="24"/>
                <w:szCs w:val="24"/>
                <w:highlight w:val="none"/>
              </w:rPr>
            </w:pPr>
          </w:p>
        </w:tc>
        <w:tc>
          <w:tcPr>
            <w:tcW w:w="4379" w:type="dxa"/>
            <w:tcBorders>
              <w:top w:val="nil"/>
              <w:left w:val="nil"/>
              <w:bottom w:val="nil"/>
              <w:right w:val="single" w:color="auto" w:sz="8" w:space="0"/>
            </w:tcBorders>
            <w:shd w:val="clear" w:color="auto" w:fill="auto"/>
            <w:vAlign w:val="center"/>
          </w:tcPr>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⑦投标人承诺网络安全管理按采购人要求执行。需提供承诺函，提供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614" w:hRule="atLeast"/>
        </w:trPr>
        <w:tc>
          <w:tcPr>
            <w:tcW w:w="918"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eastAsia="等线"/>
                <w:color w:val="auto"/>
                <w:kern w:val="0"/>
                <w:sz w:val="24"/>
                <w:szCs w:val="24"/>
                <w:highlight w:val="none"/>
              </w:rPr>
            </w:pP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hint="eastAsia" w:ascii="Wingdings" w:hAnsi="Wingdings" w:eastAsia="等线" w:cs="宋体"/>
                <w:color w:val="auto"/>
                <w:kern w:val="0"/>
                <w:sz w:val="24"/>
                <w:highlight w:val="none"/>
              </w:rPr>
            </w:pPr>
            <w:r>
              <w:rPr>
                <w:rFonts w:hint="eastAsia" w:ascii="宋体" w:hAnsi="宋体" w:eastAsia="宋体" w:cs="宋体"/>
                <w:color w:val="auto"/>
                <w:kern w:val="0"/>
                <w:sz w:val="24"/>
                <w:highlight w:val="none"/>
              </w:rPr>
              <w:t>⑧</w:t>
            </w:r>
            <w:r>
              <w:rPr>
                <w:rFonts w:hint="eastAsia" w:ascii="宋体" w:hAnsi="宋体" w:cs="宋体"/>
                <w:color w:val="auto"/>
                <w:kern w:val="0"/>
                <w:sz w:val="24"/>
                <w:highlight w:val="none"/>
              </w:rPr>
              <w:t>投标人承诺已完成线路点位勘探，</w:t>
            </w:r>
            <w:r>
              <w:rPr>
                <w:rFonts w:hint="eastAsia" w:ascii="宋体" w:hAnsi="宋体" w:cs="宋体"/>
                <w:color w:val="auto"/>
                <w:kern w:val="0"/>
                <w:sz w:val="24"/>
                <w:highlight w:val="none"/>
                <w:lang w:val="en-US" w:eastAsia="zh-CN"/>
              </w:rPr>
              <w:t>在投标文件中</w:t>
            </w:r>
            <w:r>
              <w:rPr>
                <w:rFonts w:hint="eastAsia" w:ascii="宋体" w:hAnsi="宋体" w:cs="宋体"/>
                <w:color w:val="auto"/>
                <w:kern w:val="0"/>
                <w:sz w:val="24"/>
                <w:highlight w:val="none"/>
              </w:rPr>
              <w:t>提供承诺函，提供</w:t>
            </w:r>
            <w:r>
              <w:rPr>
                <w:rFonts w:hint="eastAsia" w:ascii="宋体" w:hAnsi="宋体" w:cs="宋体"/>
                <w:color w:val="auto"/>
                <w:kern w:val="0"/>
                <w:sz w:val="24"/>
                <w:highlight w:val="none"/>
                <w:lang w:val="en-US" w:eastAsia="zh-CN"/>
              </w:rPr>
              <w:t>且内容符合的</w:t>
            </w:r>
            <w:r>
              <w:rPr>
                <w:rFonts w:hint="eastAsia" w:ascii="宋体" w:hAnsi="宋体" w:cs="宋体"/>
                <w:color w:val="auto"/>
                <w:kern w:val="0"/>
                <w:sz w:val="24"/>
                <w:highlight w:val="none"/>
              </w:rPr>
              <w:t>得2分，不提供</w:t>
            </w:r>
            <w:r>
              <w:rPr>
                <w:rFonts w:hint="eastAsia" w:ascii="宋体" w:hAnsi="宋体" w:cs="宋体"/>
                <w:color w:val="auto"/>
                <w:kern w:val="0"/>
                <w:sz w:val="24"/>
                <w:highlight w:val="none"/>
                <w:lang w:val="en-US" w:eastAsia="zh-CN"/>
              </w:rPr>
              <w:t>或承诺的内容不符合的</w:t>
            </w:r>
            <w:r>
              <w:rPr>
                <w:rFonts w:hint="eastAsia" w:ascii="宋体" w:hAnsi="宋体" w:cs="宋体"/>
                <w:color w:val="auto"/>
                <w:kern w:val="0"/>
                <w:sz w:val="24"/>
                <w:highlight w:val="none"/>
              </w:rPr>
              <w:t>得0分。</w:t>
            </w:r>
          </w:p>
        </w:tc>
        <w:tc>
          <w:tcPr>
            <w:tcW w:w="812"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c>
          <w:tcPr>
            <w:tcW w:w="2189"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2389"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eastAsia="等线"/>
                <w:color w:val="auto"/>
                <w:kern w:val="0"/>
                <w:sz w:val="24"/>
                <w:szCs w:val="24"/>
                <w:highlight w:val="none"/>
              </w:rPr>
            </w:pPr>
            <w:r>
              <w:rPr>
                <w:rFonts w:eastAsia="等线"/>
                <w:color w:val="auto"/>
                <w:kern w:val="0"/>
                <w:sz w:val="24"/>
                <w:szCs w:val="24"/>
                <w:highlight w:val="none"/>
              </w:rPr>
              <w:t>11</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服务方案与需求的吻合程度情况：</w:t>
            </w:r>
            <w:r>
              <w:rPr>
                <w:rFonts w:hint="eastAsia" w:ascii="宋体" w:hAnsi="宋体" w:cs="宋体"/>
                <w:color w:val="auto"/>
                <w:kern w:val="0"/>
                <w:sz w:val="24"/>
                <w:highlight w:val="none"/>
              </w:rPr>
              <w:t>投标人针对本项目提供的服务，制定的方案，包括组织机构、工作程序和步骤、管理和协调方法，根据方案的科学性、可行性，扩展性等，进行评</w:t>
            </w:r>
            <w:r>
              <w:rPr>
                <w:rFonts w:hint="eastAsia" w:ascii="宋体" w:hAnsi="宋体" w:cs="宋体"/>
                <w:color w:val="auto"/>
                <w:kern w:val="0"/>
                <w:sz w:val="24"/>
                <w:highlight w:val="none"/>
                <w:lang w:val="en-US" w:eastAsia="zh-CN"/>
              </w:rPr>
              <w:t>审</w:t>
            </w:r>
            <w:r>
              <w:rPr>
                <w:rFonts w:hint="eastAsia" w:ascii="宋体" w:hAnsi="宋体" w:cs="宋体"/>
                <w:color w:val="auto"/>
                <w:kern w:val="0"/>
                <w:sz w:val="24"/>
                <w:highlight w:val="none"/>
              </w:rPr>
              <w:t>，具有详细可行的实施方案，方案内容完整、措施有效、符合采购需求的，视为合理。完全符合得5分，部分符合得3分，不符合得0分。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（十）组织实施方案</w:t>
            </w:r>
          </w:p>
        </w:tc>
      </w:tr>
      <w:tr>
        <w:tblPrEx>
          <w:tblCellMar>
            <w:top w:w="0" w:type="dxa"/>
            <w:left w:w="108" w:type="dxa"/>
            <w:bottom w:w="0" w:type="dxa"/>
            <w:right w:w="108" w:type="dxa"/>
          </w:tblCellMar>
        </w:tblPrEx>
        <w:trPr>
          <w:trHeight w:val="2983"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12</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服务质量保障能力：</w:t>
            </w:r>
            <w:r>
              <w:rPr>
                <w:rFonts w:hint="eastAsia" w:ascii="宋体" w:hAnsi="宋体" w:cs="宋体"/>
                <w:color w:val="auto"/>
                <w:kern w:val="0"/>
                <w:sz w:val="24"/>
                <w:highlight w:val="none"/>
              </w:rPr>
              <w:t>投标人按采购人要求有明确的服务质量目标，针对及时修复率</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采购人指派的针对本项目的其它工作，包括基础信息排查、情况调查、资料提交</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链路的周故障率</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运维点位基础信息，合同范围内点位如光路编码等基础资料的准确率的服务质量保证措施，并具有详细可行的实施内容</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方案内容完整、措施有效、符合采购需求的，视为合理。完全符合得5分，部分符合得3分，不符合得0分。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（十一）服务方案</w:t>
            </w:r>
          </w:p>
        </w:tc>
      </w:tr>
      <w:tr>
        <w:tblPrEx>
          <w:tblCellMar>
            <w:top w:w="0" w:type="dxa"/>
            <w:left w:w="108" w:type="dxa"/>
            <w:bottom w:w="0" w:type="dxa"/>
            <w:right w:w="108" w:type="dxa"/>
          </w:tblCellMar>
        </w:tblPrEx>
        <w:trPr>
          <w:trHeight w:val="1794"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13</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公网线路安全保障能力：</w:t>
            </w:r>
            <w:r>
              <w:rPr>
                <w:rFonts w:hint="eastAsia" w:ascii="宋体" w:hAnsi="宋体" w:cs="宋体"/>
                <w:color w:val="auto"/>
                <w:kern w:val="0"/>
                <w:sz w:val="24"/>
                <w:highlight w:val="none"/>
              </w:rPr>
              <w:t>投标人具备核心网安全防护能力领域相关的发明专利，提供与核心网、IP城域网等国内网络安全防护相关的发明专利，每提供一项证书得0.5分，最高得4分。（需提供发明专利证书证明文件加盖投标人公章）</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4</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（十二）公网线路安全保障能力</w:t>
            </w:r>
          </w:p>
        </w:tc>
      </w:tr>
      <w:tr>
        <w:tblPrEx>
          <w:tblCellMar>
            <w:top w:w="0" w:type="dxa"/>
            <w:left w:w="108" w:type="dxa"/>
            <w:bottom w:w="0" w:type="dxa"/>
            <w:right w:w="108" w:type="dxa"/>
          </w:tblCellMar>
        </w:tblPrEx>
        <w:trPr>
          <w:trHeight w:val="5093" w:hRule="atLeast"/>
        </w:trPr>
        <w:tc>
          <w:tcPr>
            <w:tcW w:w="918"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14</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Wingdings" w:hAnsi="Wingdings" w:eastAsia="等线" w:cs="宋体"/>
                <w:color w:val="auto"/>
                <w:kern w:val="0"/>
                <w:sz w:val="24"/>
                <w:highlight w:val="none"/>
              </w:rPr>
            </w:pPr>
            <w:r>
              <w:rPr>
                <w:rFonts w:ascii="Wingdings" w:hAnsi="Wingdings" w:eastAsia="等线" w:cs="宋体"/>
                <w:color w:val="auto"/>
                <w:kern w:val="0"/>
                <w:sz w:val="24"/>
                <w:highlight w:val="none"/>
              </w:rPr>
              <w:t></w:t>
            </w:r>
            <w:r>
              <w:rPr>
                <w:rFonts w:hint="eastAsia" w:ascii="宋体" w:hAnsi="宋体" w:cs="宋体"/>
                <w:color w:val="auto"/>
                <w:kern w:val="0"/>
                <w:sz w:val="24"/>
                <w:highlight w:val="none"/>
              </w:rPr>
              <w:t>项目负责人同时具备：高级工程师职称证书、高级信息系统项目管理师证书认证证书</w:t>
            </w:r>
            <w:r>
              <w:rPr>
                <w:rFonts w:hint="eastAsia" w:ascii="宋体" w:hAnsi="宋体" w:cs="宋体"/>
                <w:color w:val="auto"/>
                <w:kern w:val="0"/>
                <w:sz w:val="24"/>
                <w:highlight w:val="none"/>
                <w:lang w:eastAsia="zh-CN"/>
              </w:rPr>
              <w:t>、通信工程师（中级及以上）</w:t>
            </w:r>
            <w:r>
              <w:rPr>
                <w:rFonts w:hint="eastAsia" w:ascii="宋体" w:hAnsi="宋体" w:cs="宋体"/>
                <w:color w:val="auto"/>
                <w:kern w:val="0"/>
                <w:sz w:val="24"/>
                <w:highlight w:val="none"/>
              </w:rPr>
              <w:t>。全部提供得3分，只提供部分得1分，其余不得分。（3分）</w:t>
            </w:r>
          </w:p>
          <w:p>
            <w:pPr>
              <w:widowControl/>
              <w:adjustRightInd/>
              <w:jc w:val="left"/>
              <w:rPr>
                <w:rFonts w:hint="eastAsia" w:ascii="Wingdings" w:hAnsi="Wingdings" w:eastAsia="等线" w:cs="宋体"/>
                <w:color w:val="auto"/>
                <w:kern w:val="0"/>
                <w:sz w:val="24"/>
                <w:highlight w:val="none"/>
              </w:rPr>
            </w:pPr>
            <w:r>
              <w:rPr>
                <w:rFonts w:ascii="Wingdings" w:hAnsi="Wingdings" w:eastAsia="等线" w:cs="宋体"/>
                <w:color w:val="auto"/>
                <w:kern w:val="0"/>
                <w:sz w:val="24"/>
                <w:highlight w:val="none"/>
              </w:rPr>
              <w:t></w:t>
            </w:r>
            <w:r>
              <w:rPr>
                <w:rFonts w:hint="eastAsia" w:ascii="宋体" w:hAnsi="宋体" w:cs="宋体"/>
                <w:color w:val="auto"/>
                <w:kern w:val="0"/>
                <w:sz w:val="24"/>
                <w:highlight w:val="none"/>
              </w:rPr>
              <w:t>技术负责人同时具备：高级工程师职称证书、通信工程师（中级及以上）证书。全部提供得3分，只提供部分得</w:t>
            </w:r>
            <w:r>
              <w:rPr>
                <w:rFonts w:hint="eastAsia" w:ascii="宋体" w:hAnsi="宋体" w:cs="宋体"/>
                <w:color w:val="auto"/>
                <w:kern w:val="0"/>
                <w:sz w:val="24"/>
                <w:highlight w:val="none"/>
                <w:lang w:val="en-US" w:eastAsia="zh-CN"/>
              </w:rPr>
              <w:t>1.5</w:t>
            </w:r>
            <w:r>
              <w:rPr>
                <w:rFonts w:hint="eastAsia" w:ascii="宋体" w:hAnsi="宋体" w:cs="宋体"/>
                <w:color w:val="auto"/>
                <w:kern w:val="0"/>
                <w:sz w:val="24"/>
                <w:highlight w:val="none"/>
              </w:rPr>
              <w:t>分，其余不得分。（3分）</w:t>
            </w:r>
          </w:p>
          <w:p>
            <w:pPr>
              <w:widowControl/>
              <w:adjustRightInd/>
              <w:jc w:val="left"/>
              <w:rPr>
                <w:rFonts w:ascii="Wingdings" w:hAnsi="Wingdings" w:eastAsia="等线" w:cs="宋体"/>
                <w:color w:val="auto"/>
                <w:kern w:val="0"/>
                <w:sz w:val="24"/>
                <w:highlight w:val="none"/>
              </w:rPr>
            </w:pPr>
            <w:r>
              <w:rPr>
                <w:rFonts w:ascii="Wingdings" w:hAnsi="Wingdings" w:eastAsia="等线" w:cs="宋体"/>
                <w:color w:val="auto"/>
                <w:kern w:val="0"/>
                <w:sz w:val="24"/>
                <w:highlight w:val="none"/>
              </w:rPr>
              <w:t></w:t>
            </w:r>
            <w:r>
              <w:rPr>
                <w:rFonts w:hint="eastAsia" w:ascii="宋体" w:hAnsi="宋体" w:cs="宋体"/>
                <w:color w:val="auto"/>
                <w:kern w:val="0"/>
                <w:sz w:val="24"/>
                <w:highlight w:val="none"/>
              </w:rPr>
              <w:t>项目组人员（除项目负责人、技术负责人和运维负责人外）：</w:t>
            </w:r>
          </w:p>
          <w:p>
            <w:pPr>
              <w:widowControl/>
              <w:adjustRightInd/>
              <w:jc w:val="left"/>
              <w:rPr>
                <w:rFonts w:ascii="宋体" w:hAnsi="宋体" w:cs="宋体"/>
                <w:color w:val="auto"/>
                <w:kern w:val="0"/>
                <w:sz w:val="24"/>
                <w:highlight w:val="none"/>
              </w:rPr>
            </w:pPr>
            <w:r>
              <w:rPr>
                <w:rFonts w:hint="eastAsia" w:ascii="宋体" w:hAnsi="宋体" w:cs="宋体"/>
                <w:color w:val="auto"/>
                <w:kern w:val="0"/>
                <w:sz w:val="24"/>
                <w:highlight w:val="none"/>
              </w:rPr>
              <w:t>具备网络工程师证的每提供两人得1分，最多得2分</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（2分）</w:t>
            </w:r>
          </w:p>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(证明材料:提供相关证书复印件、所涉及人员提供本单位社保证明材料都加盖投标人公章，材料不齐不得分)</w:t>
            </w:r>
          </w:p>
        </w:tc>
        <w:tc>
          <w:tcPr>
            <w:tcW w:w="812"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1200"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tcBorders>
              <w:top w:val="nil"/>
              <w:left w:val="single" w:color="auto" w:sz="8" w:space="0"/>
              <w:bottom w:val="single" w:color="000000"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（十三）项目团队成员</w:t>
            </w:r>
          </w:p>
        </w:tc>
      </w:tr>
      <w:tr>
        <w:tblPrEx>
          <w:tblCellMar>
            <w:top w:w="0" w:type="dxa"/>
            <w:left w:w="108" w:type="dxa"/>
            <w:bottom w:w="0" w:type="dxa"/>
            <w:right w:w="108" w:type="dxa"/>
          </w:tblCellMar>
        </w:tblPrEx>
        <w:trPr>
          <w:trHeight w:val="1360"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15</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eastAsia="宋体" w:cs="宋体"/>
                <w:b/>
                <w:bCs/>
                <w:i w:val="0"/>
                <w:iCs w:val="0"/>
                <w:caps w:val="0"/>
                <w:color w:val="auto"/>
                <w:spacing w:val="0"/>
                <w:kern w:val="0"/>
                <w:sz w:val="24"/>
                <w:szCs w:val="24"/>
                <w:highlight w:val="none"/>
                <w:shd w:val="clear"/>
              </w:rPr>
              <w:t>日常维修服务能力：</w:t>
            </w:r>
            <w:r>
              <w:rPr>
                <w:rFonts w:hint="eastAsia" w:ascii="宋体" w:hAnsi="宋体" w:eastAsia="宋体" w:cs="宋体"/>
                <w:b w:val="0"/>
                <w:bCs w:val="0"/>
                <w:i w:val="0"/>
                <w:iCs w:val="0"/>
                <w:caps w:val="0"/>
                <w:color w:val="auto"/>
                <w:spacing w:val="0"/>
                <w:kern w:val="0"/>
                <w:sz w:val="24"/>
                <w:szCs w:val="24"/>
                <w:highlight w:val="none"/>
                <w:shd w:val="clear"/>
              </w:rPr>
              <w:t>供应商承诺建立服务档案和解决方案资料库工作台帐，需提供承诺函，提供得4分，不提供得0分。（4分）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4</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（十四）</w:t>
            </w:r>
            <w:r>
              <w:rPr>
                <w:rFonts w:hint="eastAsia" w:ascii="宋体" w:hAnsi="宋体" w:cs="宋体"/>
                <w:color w:val="auto"/>
                <w:kern w:val="0"/>
                <w:sz w:val="24"/>
                <w:highlight w:val="none"/>
                <w:lang w:val="en-US" w:eastAsia="zh-CN"/>
              </w:rPr>
              <w:t>日常维修服务能力情况</w:t>
            </w:r>
          </w:p>
        </w:tc>
      </w:tr>
      <w:tr>
        <w:tblPrEx>
          <w:tblCellMar>
            <w:top w:w="0" w:type="dxa"/>
            <w:left w:w="108" w:type="dxa"/>
            <w:bottom w:w="0" w:type="dxa"/>
            <w:right w:w="108" w:type="dxa"/>
          </w:tblCellMar>
        </w:tblPrEx>
        <w:trPr>
          <w:trHeight w:val="1496"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16</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color w:val="auto"/>
                <w:kern w:val="0"/>
                <w:sz w:val="24"/>
                <w:highlight w:val="none"/>
              </w:rPr>
            </w:pPr>
            <w:r>
              <w:rPr>
                <w:rFonts w:hint="eastAsia" w:ascii="宋体" w:hAnsi="宋体" w:cs="宋体"/>
                <w:b/>
                <w:bCs/>
                <w:color w:val="auto"/>
                <w:kern w:val="0"/>
                <w:sz w:val="24"/>
                <w:highlight w:val="none"/>
              </w:rPr>
              <w:t>管理制度情况：</w:t>
            </w:r>
            <w:r>
              <w:rPr>
                <w:rFonts w:hint="eastAsia" w:ascii="宋体" w:hAnsi="宋体" w:cs="宋体"/>
                <w:color w:val="auto"/>
                <w:kern w:val="0"/>
                <w:sz w:val="24"/>
                <w:highlight w:val="none"/>
              </w:rPr>
              <w:t>投标人具有完备的管理组织、项目实施规范</w:t>
            </w:r>
            <w:bookmarkStart w:id="417" w:name="_GoBack"/>
            <w:bookmarkEnd w:id="417"/>
            <w:r>
              <w:rPr>
                <w:rFonts w:hint="eastAsia" w:ascii="宋体" w:hAnsi="宋体" w:cs="宋体"/>
                <w:color w:val="auto"/>
                <w:kern w:val="0"/>
                <w:sz w:val="24"/>
                <w:highlight w:val="none"/>
              </w:rPr>
              <w:t>和管理制度情况。根据提供的方案内容进行评分，方案内容完整、措施有效、</w:t>
            </w:r>
            <w:r>
              <w:rPr>
                <w:rFonts w:hint="eastAsia" w:ascii="宋体" w:hAnsi="宋体" w:cs="宋体"/>
                <w:color w:val="auto"/>
                <w:kern w:val="0"/>
                <w:sz w:val="24"/>
                <w:highlight w:val="none"/>
                <w:lang w:val="en-US" w:eastAsia="zh-CN"/>
              </w:rPr>
              <w:t>满足</w:t>
            </w:r>
            <w:r>
              <w:rPr>
                <w:rFonts w:hint="eastAsia" w:ascii="宋体" w:hAnsi="宋体" w:cs="宋体"/>
                <w:color w:val="auto"/>
                <w:kern w:val="0"/>
                <w:sz w:val="24"/>
                <w:highlight w:val="none"/>
              </w:rPr>
              <w:t>采购需求的，视为</w:t>
            </w:r>
            <w:r>
              <w:rPr>
                <w:rFonts w:hint="eastAsia" w:ascii="宋体" w:hAnsi="宋体" w:cs="宋体"/>
                <w:color w:val="auto"/>
                <w:kern w:val="0"/>
                <w:sz w:val="24"/>
                <w:highlight w:val="none"/>
                <w:lang w:val="en-US" w:eastAsia="zh-CN"/>
              </w:rPr>
              <w:t>符合</w:t>
            </w:r>
            <w:r>
              <w:rPr>
                <w:rFonts w:hint="eastAsia" w:ascii="宋体" w:hAnsi="宋体" w:cs="宋体"/>
                <w:color w:val="auto"/>
                <w:kern w:val="0"/>
                <w:sz w:val="24"/>
                <w:highlight w:val="none"/>
              </w:rPr>
              <w:t>，完全符合得3分，部分符合得1分，不符合得0分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3</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主观分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（十五）管理制度情况</w:t>
            </w:r>
          </w:p>
        </w:tc>
      </w:tr>
      <w:tr>
        <w:tblPrEx>
          <w:tblCellMar>
            <w:top w:w="0" w:type="dxa"/>
            <w:left w:w="108" w:type="dxa"/>
            <w:bottom w:w="0" w:type="dxa"/>
            <w:right w:w="108" w:type="dxa"/>
          </w:tblCellMar>
        </w:tblPrEx>
        <w:trPr>
          <w:trHeight w:val="1496" w:hRule="atLeast"/>
        </w:trPr>
        <w:tc>
          <w:tcPr>
            <w:tcW w:w="918" w:type="dxa"/>
            <w:tcBorders>
              <w:top w:val="nil"/>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17</w:t>
            </w:r>
          </w:p>
        </w:tc>
        <w:tc>
          <w:tcPr>
            <w:tcW w:w="4379" w:type="dxa"/>
            <w:tcBorders>
              <w:top w:val="nil"/>
              <w:left w:val="nil"/>
              <w:bottom w:val="single" w:color="auto" w:sz="8" w:space="0"/>
              <w:right w:val="single" w:color="auto" w:sz="8" w:space="0"/>
            </w:tcBorders>
            <w:shd w:val="clear" w:color="auto" w:fill="auto"/>
            <w:vAlign w:val="center"/>
          </w:tcPr>
          <w:p>
            <w:pPr>
              <w:widowControl/>
              <w:adjustRightInd/>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成功经验：</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类似项目建设的成功经验：自投标截止时间前3年内，</w:t>
            </w:r>
            <w:r>
              <w:rPr>
                <w:rFonts w:hint="eastAsia" w:ascii="宋体" w:hAnsi="宋体" w:cs="宋体"/>
                <w:color w:val="auto"/>
                <w:kern w:val="0"/>
                <w:sz w:val="24"/>
                <w:highlight w:val="none"/>
                <w:lang w:val="en-US" w:eastAsia="zh-CN"/>
              </w:rPr>
              <w:t>投标人</w:t>
            </w:r>
            <w:r>
              <w:rPr>
                <w:rFonts w:hint="eastAsia" w:ascii="宋体" w:hAnsi="宋体" w:cs="宋体"/>
                <w:color w:val="auto"/>
                <w:kern w:val="0"/>
                <w:sz w:val="24"/>
                <w:highlight w:val="none"/>
              </w:rPr>
              <w:t>承担</w:t>
            </w:r>
            <w:r>
              <w:rPr>
                <w:rFonts w:hint="eastAsia" w:ascii="宋体" w:hAnsi="宋体" w:cs="宋体"/>
                <w:color w:val="auto"/>
                <w:kern w:val="0"/>
                <w:sz w:val="24"/>
                <w:highlight w:val="none"/>
                <w:lang w:val="en-US" w:eastAsia="zh-CN"/>
              </w:rPr>
              <w:t>过</w:t>
            </w:r>
            <w:r>
              <w:rPr>
                <w:rFonts w:hint="eastAsia" w:ascii="宋体" w:hAnsi="宋体" w:cs="宋体"/>
                <w:color w:val="auto"/>
                <w:kern w:val="0"/>
                <w:sz w:val="24"/>
                <w:highlight w:val="none"/>
              </w:rPr>
              <w:t>类似专网线路租赁项目实施的成功经验情况</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以合同签订时间为准）</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有</w:t>
            </w:r>
            <w:r>
              <w:rPr>
                <w:rFonts w:hint="eastAsia" w:ascii="宋体" w:hAnsi="宋体" w:cs="宋体"/>
                <w:color w:val="auto"/>
                <w:kern w:val="0"/>
                <w:sz w:val="24"/>
                <w:highlight w:val="none"/>
              </w:rPr>
              <w:t>得1分，</w:t>
            </w:r>
            <w:r>
              <w:rPr>
                <w:rFonts w:hint="eastAsia" w:ascii="宋体" w:hAnsi="宋体" w:cs="宋体"/>
                <w:color w:val="auto"/>
                <w:kern w:val="0"/>
                <w:sz w:val="24"/>
                <w:highlight w:val="none"/>
                <w:lang w:val="en-US" w:eastAsia="zh-CN"/>
              </w:rPr>
              <w:t>没有不得分</w:t>
            </w:r>
            <w:r>
              <w:rPr>
                <w:rFonts w:hint="eastAsia" w:ascii="宋体" w:hAnsi="宋体" w:cs="宋体"/>
                <w:color w:val="auto"/>
                <w:kern w:val="0"/>
                <w:sz w:val="24"/>
                <w:highlight w:val="none"/>
              </w:rPr>
              <w:t>。（需提供合同证明，否则不得分）</w:t>
            </w:r>
          </w:p>
        </w:tc>
        <w:tc>
          <w:tcPr>
            <w:tcW w:w="812"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w:t>
            </w:r>
          </w:p>
        </w:tc>
        <w:tc>
          <w:tcPr>
            <w:tcW w:w="1200"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tcBorders>
              <w:top w:val="nil"/>
              <w:left w:val="nil"/>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（十六）成功经验</w:t>
            </w:r>
          </w:p>
        </w:tc>
      </w:tr>
      <w:tr>
        <w:tblPrEx>
          <w:tblCellMar>
            <w:top w:w="0" w:type="dxa"/>
            <w:left w:w="108" w:type="dxa"/>
            <w:bottom w:w="0" w:type="dxa"/>
            <w:right w:w="108" w:type="dxa"/>
          </w:tblCellMar>
        </w:tblPrEx>
        <w:trPr>
          <w:trHeight w:val="3755" w:hRule="atLeast"/>
        </w:trPr>
        <w:tc>
          <w:tcPr>
            <w:tcW w:w="91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eastAsia="等线"/>
                <w:color w:val="auto"/>
                <w:kern w:val="0"/>
                <w:sz w:val="24"/>
                <w:szCs w:val="24"/>
                <w:highlight w:val="none"/>
              </w:rPr>
            </w:pPr>
            <w:r>
              <w:rPr>
                <w:rFonts w:eastAsia="等线"/>
                <w:color w:val="auto"/>
                <w:kern w:val="0"/>
                <w:sz w:val="24"/>
                <w:szCs w:val="24"/>
                <w:highlight w:val="none"/>
              </w:rPr>
              <w:t>18</w:t>
            </w:r>
          </w:p>
        </w:tc>
        <w:tc>
          <w:tcPr>
            <w:tcW w:w="437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left"/>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有效投标报价的最低价作为评标基准价，其最低报价为满分；按［投标报价得分</w:t>
            </w:r>
            <w:r>
              <w:rPr>
                <w:rFonts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rPr>
              <w:t>最高分值</w:t>
            </w:r>
            <w:r>
              <w:rPr>
                <w:rFonts w:cs="仿宋_GB2312" w:asciiTheme="minorEastAsia" w:hAnsiTheme="minorEastAsia" w:eastAsiaTheme="minorEastAsia"/>
                <w:color w:val="auto"/>
                <w:sz w:val="24"/>
                <w:highlight w:val="none"/>
              </w:rPr>
              <w:t>］的计算公式计算。</w:t>
            </w:r>
          </w:p>
          <w:p>
            <w:pPr>
              <w:widowControl/>
              <w:adjustRightInd/>
              <w:jc w:val="left"/>
              <w:rPr>
                <w:rFonts w:hint="eastAsia" w:ascii="宋体" w:hAnsi="宋体" w:cs="宋体"/>
                <w:color w:val="auto"/>
                <w:kern w:val="0"/>
                <w:sz w:val="24"/>
                <w:highlight w:val="none"/>
              </w:rPr>
            </w:pPr>
            <w:r>
              <w:rPr>
                <w:rFonts w:cs="仿宋_GB2312" w:asciiTheme="minorEastAsia" w:hAnsiTheme="minorEastAsia" w:eastAsiaTheme="minorEastAsia"/>
                <w:color w:val="auto"/>
                <w:sz w:val="24"/>
                <w:highlight w:val="none"/>
              </w:rPr>
              <w:t>评标过程中，不得去掉报价中的最高报价和最低报价。</w:t>
            </w:r>
          </w:p>
          <w:p>
            <w:pPr>
              <w:widowControl/>
              <w:adjustRightInd/>
              <w:jc w:val="left"/>
              <w:rPr>
                <w:rFonts w:hint="eastAsia" w:ascii="宋体" w:hAnsi="宋体" w:cs="宋体"/>
                <w:color w:val="auto"/>
                <w:kern w:val="0"/>
                <w:sz w:val="24"/>
                <w:highlight w:val="none"/>
              </w:rPr>
            </w:pPr>
            <w:r>
              <w:rPr>
                <w:rFonts w:hint="eastAsia" w:ascii="宋体" w:hAnsi="宋体" w:cs="宋体"/>
                <w:color w:val="auto"/>
                <w:kern w:val="0"/>
                <w:sz w:val="24"/>
                <w:highlight w:val="none"/>
              </w:rPr>
              <w:t>对于未预留份额专门面向中小企业的政府采购货物项目，以及预留份额政府采购服务项目中的非预留部分标项，对小型和微型企业的投标报价给予</w:t>
            </w:r>
            <w:r>
              <w:rPr>
                <w:rFonts w:hint="eastAsia" w:ascii="宋体" w:hAnsi="宋体" w:cs="宋体"/>
                <w:color w:val="auto"/>
                <w:kern w:val="0"/>
                <w:sz w:val="24"/>
                <w:highlight w:val="none"/>
                <w:u w:val="single"/>
              </w:rPr>
              <w:t>10%</w:t>
            </w:r>
            <w:r>
              <w:rPr>
                <w:rFonts w:hint="eastAsia" w:ascii="宋体" w:hAnsi="宋体" w:cs="宋体"/>
                <w:color w:val="auto"/>
                <w:kern w:val="0"/>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kern w:val="0"/>
                <w:sz w:val="24"/>
                <w:highlight w:val="none"/>
                <w:u w:val="single"/>
              </w:rPr>
              <w:t>4%</w:t>
            </w:r>
            <w:r>
              <w:rPr>
                <w:rFonts w:hint="eastAsia" w:ascii="宋体" w:hAnsi="宋体" w:cs="宋体"/>
                <w:color w:val="auto"/>
                <w:kern w:val="0"/>
                <w:sz w:val="24"/>
                <w:highlight w:val="none"/>
              </w:rPr>
              <w:t>的扣除，用扣除后的价格参加评审。</w:t>
            </w:r>
          </w:p>
        </w:tc>
        <w:tc>
          <w:tcPr>
            <w:tcW w:w="81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10</w:t>
            </w:r>
          </w:p>
        </w:tc>
        <w:tc>
          <w:tcPr>
            <w:tcW w:w="12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客观分</w:t>
            </w:r>
          </w:p>
        </w:tc>
        <w:tc>
          <w:tcPr>
            <w:tcW w:w="218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w:t>
            </w:r>
          </w:p>
        </w:tc>
      </w:tr>
    </w:tbl>
    <w:p>
      <w:pPr>
        <w:ind w:firstLine="420"/>
        <w:rPr>
          <w:color w:val="auto"/>
          <w:highlight w:val="none"/>
        </w:rPr>
      </w:pPr>
    </w:p>
    <w:p>
      <w:pPr>
        <w:snapToGrid w:val="0"/>
        <w:spacing w:line="360" w:lineRule="auto"/>
        <w:ind w:firstLine="400"/>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ind w:firstLine="643"/>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ind w:firstLine="643"/>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ind w:firstLine="723"/>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firstLine="643"/>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3"/>
        <w:ind w:left="430" w:leftChars="205" w:firstLine="48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ind w:firstLine="723"/>
        <w:jc w:val="left"/>
        <w:rPr>
          <w:rFonts w:ascii="宋体" w:hAnsi="宋体" w:cs="宋体"/>
          <w:b/>
          <w:color w:val="auto"/>
          <w:sz w:val="36"/>
          <w:szCs w:val="36"/>
          <w:highlight w:val="none"/>
        </w:rPr>
      </w:pPr>
      <w:bookmarkStart w:id="393" w:name="第五部分"/>
      <w:bookmarkStart w:id="394" w:name="_Toc86217003"/>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ind w:firstLine="562"/>
        <w:jc w:val="center"/>
        <w:rPr>
          <w:rFonts w:ascii="宋体" w:hAnsi="宋体" w:cs="宋体"/>
          <w:b/>
          <w:color w:val="auto"/>
          <w:sz w:val="28"/>
          <w:szCs w:val="28"/>
          <w:highlight w:val="none"/>
        </w:rPr>
      </w:pPr>
    </w:p>
    <w:p>
      <w:pPr>
        <w:spacing w:line="480" w:lineRule="auto"/>
        <w:ind w:firstLine="482"/>
        <w:jc w:val="center"/>
        <w:rPr>
          <w:rFonts w:ascii="宋体" w:hAnsi="宋体" w:cs="宋体"/>
          <w:b/>
          <w:color w:val="auto"/>
          <w:sz w:val="24"/>
          <w:highlight w:val="none"/>
        </w:rPr>
      </w:pPr>
    </w:p>
    <w:p>
      <w:pPr>
        <w:spacing w:line="480" w:lineRule="auto"/>
        <w:ind w:firstLine="482"/>
        <w:jc w:val="center"/>
        <w:rPr>
          <w:rFonts w:ascii="宋体" w:hAnsi="宋体" w:cs="宋体"/>
          <w:b/>
          <w:color w:val="auto"/>
          <w:sz w:val="24"/>
          <w:highlight w:val="none"/>
        </w:rPr>
      </w:pPr>
    </w:p>
    <w:p>
      <w:pPr>
        <w:spacing w:line="480" w:lineRule="auto"/>
        <w:ind w:firstLine="723"/>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ind w:firstLine="723"/>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1"/>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3"/>
        <w:ind w:left="-420" w:firstLine="643"/>
        <w:rPr>
          <w:color w:val="auto"/>
          <w:highlight w:val="none"/>
        </w:rPr>
      </w:pPr>
    </w:p>
    <w:p>
      <w:pPr>
        <w:spacing w:before="120" w:line="22" w:lineRule="atLeast"/>
        <w:ind w:left="-42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8"/>
        <w:spacing w:before="120" w:line="22" w:lineRule="atLeast"/>
        <w:rPr>
          <w:rFonts w:ascii="宋体" w:hAnsi="宋体" w:eastAsia="宋体" w:cs="宋体"/>
          <w:color w:val="auto"/>
          <w:szCs w:val="24"/>
          <w:highlight w:val="none"/>
        </w:rPr>
      </w:pPr>
    </w:p>
    <w:p>
      <w:pPr>
        <w:pStyle w:val="598"/>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42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42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ind w:firstLine="482"/>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杭州市交通运输行政执法队</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olor w:val="auto"/>
          <w:sz w:val="24"/>
          <w:highlight w:val="none"/>
          <w:u w:val="single"/>
        </w:rPr>
        <w:t>杭州市交通运输行政执法队网络租赁项目</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HZZFCG-2024-091</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rPr>
        <w:t>杭州市交通运输行政执法队</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标或者成交</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r>
        <w:rPr>
          <w:rFonts w:ascii="宋体" w:hAnsi="宋体"/>
          <w:b/>
          <w:color w:val="auto"/>
          <w:sz w:val="24"/>
          <w:highlight w:val="none"/>
        </w:rPr>
        <w:t xml:space="preserve">1.1 </w:t>
      </w:r>
      <w:r>
        <w:rPr>
          <w:rFonts w:hint="eastAsia" w:ascii="宋体" w:hAnsi="宋体"/>
          <w:b/>
          <w:color w:val="auto"/>
          <w:sz w:val="24"/>
          <w:highlight w:val="none"/>
        </w:rPr>
        <w:t>合同组成部分</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标的</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 xml:space="preserve">合同专用条款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9"/>
              <w:spacing w:line="560" w:lineRule="exact"/>
              <w:ind w:firstLine="48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480"/>
              <w:jc w:val="center"/>
              <w:rPr>
                <w:rFonts w:hAnsi="宋体"/>
                <w:color w:val="auto"/>
                <w:sz w:val="24"/>
                <w:szCs w:val="24"/>
                <w:highlight w:val="none"/>
              </w:rPr>
            </w:pPr>
          </w:p>
        </w:tc>
        <w:tc>
          <w:tcPr>
            <w:tcW w:w="3402" w:type="dxa"/>
            <w:vAlign w:val="center"/>
          </w:tcPr>
          <w:p>
            <w:pPr>
              <w:pStyle w:val="319"/>
              <w:spacing w:line="560" w:lineRule="exact"/>
              <w:ind w:firstLine="480"/>
              <w:jc w:val="center"/>
              <w:rPr>
                <w:rFonts w:hAnsi="宋体"/>
                <w:color w:val="auto"/>
                <w:sz w:val="24"/>
                <w:szCs w:val="24"/>
                <w:highlight w:val="none"/>
              </w:rPr>
            </w:pPr>
          </w:p>
        </w:tc>
        <w:tc>
          <w:tcPr>
            <w:tcW w:w="2552" w:type="dxa"/>
            <w:vAlign w:val="center"/>
          </w:tcPr>
          <w:p>
            <w:pPr>
              <w:pStyle w:val="319"/>
              <w:spacing w:line="560" w:lineRule="exact"/>
              <w:ind w:firstLine="48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480"/>
              <w:jc w:val="center"/>
              <w:rPr>
                <w:rFonts w:hAnsi="宋体"/>
                <w:color w:val="auto"/>
                <w:sz w:val="24"/>
                <w:szCs w:val="24"/>
                <w:highlight w:val="none"/>
              </w:rPr>
            </w:pPr>
          </w:p>
        </w:tc>
        <w:tc>
          <w:tcPr>
            <w:tcW w:w="3402" w:type="dxa"/>
            <w:vAlign w:val="center"/>
          </w:tcPr>
          <w:p>
            <w:pPr>
              <w:pStyle w:val="319"/>
              <w:spacing w:line="560" w:lineRule="exact"/>
              <w:ind w:firstLine="480"/>
              <w:jc w:val="center"/>
              <w:rPr>
                <w:rFonts w:hAnsi="宋体"/>
                <w:color w:val="auto"/>
                <w:sz w:val="24"/>
                <w:szCs w:val="24"/>
                <w:highlight w:val="none"/>
              </w:rPr>
            </w:pPr>
          </w:p>
        </w:tc>
        <w:tc>
          <w:tcPr>
            <w:tcW w:w="2552" w:type="dxa"/>
            <w:vAlign w:val="center"/>
          </w:tcPr>
          <w:p>
            <w:pPr>
              <w:pStyle w:val="319"/>
              <w:spacing w:line="560" w:lineRule="exact"/>
              <w:ind w:firstLine="48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480"/>
              <w:jc w:val="center"/>
              <w:rPr>
                <w:rFonts w:hAnsi="宋体"/>
                <w:color w:val="auto"/>
                <w:sz w:val="24"/>
                <w:szCs w:val="24"/>
                <w:highlight w:val="none"/>
              </w:rPr>
            </w:pPr>
          </w:p>
        </w:tc>
        <w:tc>
          <w:tcPr>
            <w:tcW w:w="3402" w:type="dxa"/>
            <w:vAlign w:val="center"/>
          </w:tcPr>
          <w:p>
            <w:pPr>
              <w:pStyle w:val="319"/>
              <w:spacing w:line="560" w:lineRule="exact"/>
              <w:ind w:firstLine="480"/>
              <w:jc w:val="center"/>
              <w:rPr>
                <w:rFonts w:hAnsi="宋体"/>
                <w:color w:val="auto"/>
                <w:sz w:val="24"/>
                <w:szCs w:val="24"/>
                <w:highlight w:val="none"/>
              </w:rPr>
            </w:pPr>
          </w:p>
        </w:tc>
        <w:tc>
          <w:tcPr>
            <w:tcW w:w="2552" w:type="dxa"/>
            <w:vAlign w:val="center"/>
          </w:tcPr>
          <w:p>
            <w:pPr>
              <w:pStyle w:val="319"/>
              <w:spacing w:line="560" w:lineRule="exact"/>
              <w:ind w:firstLine="48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480"/>
              <w:jc w:val="center"/>
              <w:rPr>
                <w:rFonts w:hAnsi="宋体"/>
                <w:color w:val="auto"/>
                <w:sz w:val="24"/>
                <w:szCs w:val="24"/>
                <w:highlight w:val="none"/>
              </w:rPr>
            </w:pPr>
          </w:p>
        </w:tc>
        <w:tc>
          <w:tcPr>
            <w:tcW w:w="3402" w:type="dxa"/>
            <w:vAlign w:val="center"/>
          </w:tcPr>
          <w:p>
            <w:pPr>
              <w:pStyle w:val="319"/>
              <w:spacing w:line="560" w:lineRule="exact"/>
              <w:ind w:firstLine="480"/>
              <w:jc w:val="center"/>
              <w:rPr>
                <w:rFonts w:hAnsi="宋体"/>
                <w:color w:val="auto"/>
                <w:sz w:val="24"/>
                <w:szCs w:val="24"/>
                <w:highlight w:val="none"/>
              </w:rPr>
            </w:pPr>
          </w:p>
        </w:tc>
        <w:tc>
          <w:tcPr>
            <w:tcW w:w="2552" w:type="dxa"/>
            <w:vAlign w:val="center"/>
          </w:tcPr>
          <w:p>
            <w:pPr>
              <w:pStyle w:val="319"/>
              <w:spacing w:line="560" w:lineRule="exact"/>
              <w:ind w:firstLine="48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48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9"/>
              <w:spacing w:line="560" w:lineRule="exact"/>
              <w:ind w:firstLine="48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79"/>
        <w:spacing w:after="240" w:afterLines="100"/>
        <w:ind w:firstLine="480"/>
        <w:rPr>
          <w:color w:val="auto"/>
          <w:highlight w:val="none"/>
          <w:lang w:val="en-US"/>
        </w:rPr>
      </w:pPr>
      <w:r>
        <w:rPr>
          <w:rFonts w:hint="eastAsia" w:ascii="宋体" w:hAnsi="宋体" w:eastAsia="宋体" w:cs="宋体"/>
          <w:color w:val="auto"/>
          <w:sz w:val="24"/>
          <w:highlight w:val="none"/>
          <w:lang w:val="en-US"/>
        </w:rPr>
        <w:t>1.3.3其他计价方式：</w:t>
      </w:r>
      <w:r>
        <w:rPr>
          <w:rFonts w:hint="eastAsia" w:ascii="宋体" w:hAnsi="宋体" w:eastAsia="宋体" w:cs="宋体"/>
          <w:color w:val="auto"/>
          <w:sz w:val="24"/>
          <w:highlight w:val="none"/>
          <w:u w:val="single"/>
          <w:lang w:val="en-US"/>
        </w:rPr>
        <w:t xml:space="preserve">   </w:t>
      </w:r>
      <w:r>
        <w:rPr>
          <w:rFonts w:hint="eastAsia" w:ascii="宋体" w:hAnsi="宋体" w:eastAsia="宋体" w:cs="宋体"/>
          <w:b/>
          <w:i/>
          <w:color w:val="auto"/>
          <w:sz w:val="24"/>
          <w:szCs w:val="24"/>
          <w:highlight w:val="none"/>
          <w:u w:val="single"/>
          <w:lang w:val="en-US"/>
        </w:rPr>
        <w:t>合同专用条款</w:t>
      </w:r>
      <w:r>
        <w:rPr>
          <w:rFonts w:hint="eastAsia" w:ascii="宋体" w:hAnsi="宋体" w:eastAsia="宋体" w:cs="宋体"/>
          <w:color w:val="auto"/>
          <w:sz w:val="24"/>
          <w:highlight w:val="none"/>
          <w:u w:val="single"/>
          <w:lang w:val="en-US"/>
        </w:rPr>
        <w:t xml:space="preserve">     </w:t>
      </w:r>
      <w:r>
        <w:rPr>
          <w:rFonts w:hint="eastAsia" w:ascii="宋体" w:hAnsi="宋体" w:eastAsia="宋体" w:cs="宋体"/>
          <w:color w:val="auto"/>
          <w:sz w:val="24"/>
          <w:highlight w:val="none"/>
        </w:rPr>
        <w:t>。</w:t>
      </w:r>
    </w:p>
    <w:p>
      <w:pPr>
        <w:pStyle w:val="959"/>
        <w:spacing w:before="0" w:beforeAutospacing="0" w:after="240" w:afterLines="100" w:afterAutospacing="0" w:line="360" w:lineRule="auto"/>
        <w:ind w:firstLine="482"/>
        <w:rPr>
          <w:b/>
          <w:color w:val="auto"/>
          <w:highlight w:val="none"/>
        </w:rPr>
      </w:pPr>
      <w:bookmarkStart w:id="395" w:name="_Toc10340"/>
      <w:bookmarkStart w:id="396" w:name="_Toc1814"/>
      <w:bookmarkStart w:id="397" w:name="_Toc22618"/>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b/>
          <w:iCs/>
          <w:color w:val="auto"/>
          <w:sz w:val="24"/>
          <w:highlight w:val="none"/>
          <w:u w:val="single"/>
        </w:rPr>
        <w:t>1</w:t>
      </w:r>
      <w:r>
        <w:rPr>
          <w:rFonts w:hint="eastAsia" w:ascii="宋体" w:hAnsi="宋体" w:cs="宋体"/>
          <w:b/>
          <w:i/>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
        <w:tabs>
          <w:tab w:val="left" w:pos="0"/>
        </w:tabs>
        <w:spacing w:line="560" w:lineRule="exact"/>
        <w:ind w:left="-42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5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395"/>
      <w:bookmarkEnd w:id="396"/>
      <w:bookmarkEnd w:id="397"/>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2"/>
        <w:rPr>
          <w:b/>
          <w:bCs/>
          <w:color w:val="auto"/>
          <w:highlight w:val="none"/>
        </w:rPr>
      </w:pPr>
      <w:r>
        <w:rPr>
          <w:rFonts w:hint="eastAsia"/>
          <w:b/>
          <w:bCs/>
          <w:color w:val="auto"/>
          <w:highlight w:val="none"/>
        </w:rPr>
        <w:t>1.6资金支付</w:t>
      </w:r>
    </w:p>
    <w:p>
      <w:pPr>
        <w:pStyle w:val="95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left="-420"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ind w:left="-42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0.05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398" w:name="_Toc28375"/>
      <w:bookmarkStart w:id="399" w:name="_Toc15583"/>
      <w:bookmarkStart w:id="400" w:name="_Toc16021"/>
      <w:r>
        <w:rPr>
          <w:rFonts w:hint="eastAsia" w:ascii="宋体" w:hAnsi="宋体" w:cs="宋体"/>
          <w:b/>
          <w:color w:val="auto"/>
          <w:sz w:val="24"/>
          <w:highlight w:val="none"/>
        </w:rPr>
        <w:t>1.9合同争议的解决</w:t>
      </w:r>
      <w:bookmarkEnd w:id="398"/>
      <w:bookmarkEnd w:id="399"/>
      <w:bookmarkEnd w:id="400"/>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01" w:name="_Toc11173"/>
      <w:bookmarkStart w:id="402" w:name="_Toc7245"/>
      <w:bookmarkStart w:id="403" w:name="_Toc15322"/>
      <w:r>
        <w:rPr>
          <w:rFonts w:hint="eastAsia" w:ascii="宋体" w:hAnsi="宋体" w:cs="宋体"/>
          <w:b/>
          <w:color w:val="auto"/>
          <w:sz w:val="24"/>
          <w:highlight w:val="none"/>
        </w:rPr>
        <w:t>1.10 合同生效</w:t>
      </w:r>
      <w:bookmarkEnd w:id="401"/>
      <w:bookmarkEnd w:id="402"/>
      <w:bookmarkEnd w:id="403"/>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ind w:firstLine="482"/>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ind w:firstLine="482"/>
        <w:jc w:val="left"/>
        <w:rPr>
          <w:rFonts w:ascii="宋体" w:hAnsi="宋体"/>
          <w:b/>
          <w:color w:val="auto"/>
          <w:sz w:val="24"/>
          <w:highlight w:val="none"/>
        </w:rPr>
      </w:pPr>
    </w:p>
    <w:p>
      <w:pPr>
        <w:widowControl/>
        <w:adjustRightInd/>
        <w:ind w:firstLine="422"/>
        <w:jc w:val="left"/>
        <w:rPr>
          <w:rFonts w:ascii="宋体" w:hAnsi="宋体"/>
          <w:b/>
          <w:color w:val="auto"/>
          <w:sz w:val="24"/>
          <w:highlight w:val="none"/>
        </w:rPr>
      </w:pPr>
      <w:r>
        <w:rPr>
          <w:rFonts w:ascii="宋体" w:hAnsi="宋体"/>
          <w:b/>
          <w:color w:val="auto"/>
          <w:highlight w:val="none"/>
        </w:rPr>
        <w:br w:type="page"/>
      </w:r>
    </w:p>
    <w:p>
      <w:pPr>
        <w:pStyle w:val="701"/>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 定义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2.2 技术规范</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2.3 知识产权</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2.5 结算方式和付款条件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2.6 技术资料和保密义务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2.7 </w:t>
      </w:r>
      <w:r>
        <w:rPr>
          <w:rFonts w:hint="eastAsia" w:ascii="宋体" w:hAnsi="宋体"/>
          <w:b/>
          <w:color w:val="auto"/>
          <w:sz w:val="24"/>
          <w:highlight w:val="none"/>
        </w:rPr>
        <w:t>质量保证</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2.8 </w:t>
      </w:r>
      <w:r>
        <w:rPr>
          <w:rFonts w:hint="eastAsia" w:ascii="宋体" w:hAnsi="宋体"/>
          <w:b/>
          <w:color w:val="auto"/>
          <w:sz w:val="24"/>
          <w:highlight w:val="none"/>
        </w:rPr>
        <w:t>延迟履行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2.9 </w:t>
      </w:r>
      <w:r>
        <w:rPr>
          <w:rFonts w:hint="eastAsia" w:ascii="宋体" w:hAnsi="宋体"/>
          <w:b/>
          <w:color w:val="auto"/>
          <w:sz w:val="24"/>
          <w:highlight w:val="none"/>
        </w:rPr>
        <w:t>合同变更</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2.10 合同转让和分包</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书面同意，乙方可以依法采取分包方式履行合同，即：依法可以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2.11 不可抗力</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2.12 税费</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2.13 乙方破产</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2.14 合同中止、终止</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2.15 检验和验收</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2.16 通知和送达</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404" w:name="_Toc30599"/>
      <w:bookmarkStart w:id="405" w:name="_Toc18540"/>
      <w:bookmarkStart w:id="406" w:name="_Toc4355"/>
      <w:r>
        <w:rPr>
          <w:rFonts w:hint="eastAsia" w:ascii="宋体" w:hAnsi="宋体" w:cs="宋体"/>
          <w:b/>
          <w:color w:val="auto"/>
          <w:sz w:val="24"/>
          <w:highlight w:val="none"/>
        </w:rPr>
        <w:t>2.18 计量单位</w:t>
      </w:r>
      <w:bookmarkEnd w:id="404"/>
      <w:bookmarkEnd w:id="405"/>
      <w:bookmarkEnd w:id="4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ind w:firstLine="420"/>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5"/>
        <w:gridCol w:w="8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534" w:type="pct"/>
            <w:tcBorders>
              <w:left w:val="single" w:color="auto" w:sz="4" w:space="0"/>
            </w:tcBorders>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5" w:type="pct"/>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4" w:type="pct"/>
            <w:tcBorders>
              <w:left w:val="single" w:color="auto" w:sz="4" w:space="0"/>
            </w:tcBorders>
            <w:vAlign w:val="center"/>
          </w:tcPr>
          <w:p>
            <w:pPr>
              <w:spacing w:line="360" w:lineRule="auto"/>
              <w:rPr>
                <w:rFonts w:ascii="宋体" w:hAnsi="宋体" w:cs="宋体"/>
                <w:b/>
                <w:color w:val="auto"/>
                <w:sz w:val="24"/>
                <w:highlight w:val="none"/>
              </w:rPr>
            </w:pPr>
            <w:r>
              <w:rPr>
                <w:rFonts w:hint="eastAsia" w:ascii="宋体" w:hAnsi="宋体" w:cs="宋体"/>
                <w:bCs/>
                <w:color w:val="auto"/>
                <w:sz w:val="24"/>
                <w:highlight w:val="none"/>
              </w:rPr>
              <w:t>1.3</w:t>
            </w:r>
          </w:p>
        </w:tc>
        <w:tc>
          <w:tcPr>
            <w:tcW w:w="4465" w:type="pct"/>
            <w:vAlign w:val="center"/>
          </w:tcPr>
          <w:p>
            <w:pPr>
              <w:spacing w:line="560" w:lineRule="exact"/>
              <w:rPr>
                <w:rFonts w:ascii="宋体" w:hAnsi="宋体" w:cs="宋体"/>
                <w:b/>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1.3.1    </w:t>
            </w:r>
            <w:r>
              <w:rPr>
                <w:rFonts w:hint="eastAsia" w:ascii="宋体" w:hAnsi="宋体" w:cs="宋体"/>
                <w:color w:val="auto"/>
                <w:sz w:val="24"/>
                <w:highlight w:val="none"/>
              </w:rPr>
              <w:t>条款规定的计价方式计价。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1.3.3</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w:t>
            </w:r>
          </w:p>
        </w:tc>
        <w:tc>
          <w:tcPr>
            <w:tcW w:w="4465" w:type="pct"/>
            <w:vAlign w:val="center"/>
          </w:tcPr>
          <w:p>
            <w:pPr>
              <w:spacing w:line="360" w:lineRule="auto"/>
              <w:rPr>
                <w:rFonts w:ascii="宋体" w:hAnsi="宋体" w:cs="宋体"/>
                <w:color w:val="auto"/>
                <w:sz w:val="24"/>
                <w:highlight w:val="none"/>
              </w:rPr>
            </w:pPr>
            <w:r>
              <w:rPr>
                <w:rFonts w:hint="eastAsia"/>
                <w:color w:val="auto"/>
                <w:sz w:val="24"/>
                <w:highlight w:val="none"/>
              </w:rPr>
              <w:t>乙方</w:t>
            </w:r>
            <w:r>
              <w:rPr>
                <w:rFonts w:hint="eastAsia"/>
                <w:color w:val="auto"/>
                <w:sz w:val="24"/>
                <w:highlight w:val="none"/>
                <w:u w:val="single"/>
              </w:rPr>
              <w:t xml:space="preserve">   是  </w:t>
            </w:r>
            <w:r>
              <w:rPr>
                <w:rFonts w:hint="eastAsia"/>
                <w:color w:val="auto"/>
                <w:sz w:val="24"/>
                <w:highlight w:val="none"/>
              </w:rPr>
              <w:t>（是</w:t>
            </w:r>
            <w:r>
              <w:rPr>
                <w:rFonts w:hint="eastAsia" w:ascii="仿宋" w:hAnsi="仿宋" w:eastAsia="仿宋" w:cs="仿宋"/>
                <w:color w:val="auto"/>
                <w:sz w:val="24"/>
                <w:highlight w:val="none"/>
              </w:rPr>
              <w:t>/</w:t>
            </w:r>
            <w:r>
              <w:rPr>
                <w:rFonts w:hint="eastAsia"/>
                <w:color w:val="auto"/>
                <w:sz w:val="24"/>
                <w:highlight w:val="none"/>
              </w:rPr>
              <w:t>否）需要支付履约保证金。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1.4.1</w:t>
            </w:r>
          </w:p>
        </w:tc>
        <w:tc>
          <w:tcPr>
            <w:tcW w:w="4465" w:type="pct"/>
            <w:vAlign w:val="center"/>
          </w:tcPr>
          <w:p>
            <w:pPr>
              <w:spacing w:line="360" w:lineRule="auto"/>
              <w:rPr>
                <w:color w:val="auto"/>
                <w:sz w:val="24"/>
                <w:highlight w:val="none"/>
              </w:rPr>
            </w:pPr>
            <w:r>
              <w:rPr>
                <w:rFonts w:hint="eastAsia" w:ascii="宋体" w:hAnsi="宋体" w:cs="宋体"/>
                <w:color w:val="auto"/>
                <w:kern w:val="0"/>
                <w:sz w:val="24"/>
                <w:highlight w:val="none"/>
              </w:rPr>
              <w:t>履约保证金的比例为合同金额的</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履约保证金支付方式: 合同签订后5个工作日内，乙方应当以金融机构、担保机构出具的保函等非现金形式缴纳合同总价1%的履约保证金。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w:t>
            </w:r>
          </w:p>
        </w:tc>
        <w:tc>
          <w:tcPr>
            <w:tcW w:w="4465" w:type="pct"/>
            <w:vAlign w:val="center"/>
          </w:tcPr>
          <w:p>
            <w:pPr>
              <w:spacing w:line="360" w:lineRule="auto"/>
              <w:rPr>
                <w:rFonts w:ascii="宋体" w:hAnsi="宋体" w:cs="宋体"/>
                <w:color w:val="auto"/>
                <w:sz w:val="24"/>
                <w:highlight w:val="none"/>
              </w:rPr>
            </w:pPr>
            <w:r>
              <w:rPr>
                <w:rFonts w:hint="eastAsia"/>
                <w:color w:val="auto"/>
                <w:sz w:val="24"/>
                <w:highlight w:val="none"/>
              </w:rPr>
              <w:t>甲方</w:t>
            </w:r>
            <w:r>
              <w:rPr>
                <w:rFonts w:hint="eastAsia"/>
                <w:color w:val="auto"/>
                <w:sz w:val="24"/>
                <w:highlight w:val="none"/>
                <w:u w:val="single"/>
              </w:rPr>
              <w:t xml:space="preserve">  </w:t>
            </w:r>
            <w:r>
              <w:rPr>
                <w:rFonts w:hint="eastAsia"/>
                <w:color w:val="auto"/>
                <w:sz w:val="24"/>
                <w:highlight w:val="none"/>
                <w:u w:val="single"/>
                <w:lang w:val="en-US" w:eastAsia="zh-CN"/>
              </w:rPr>
              <w:t>是</w:t>
            </w:r>
            <w:r>
              <w:rPr>
                <w:rFonts w:hint="eastAsia"/>
                <w:color w:val="auto"/>
                <w:sz w:val="24"/>
                <w:highlight w:val="none"/>
                <w:u w:val="single"/>
              </w:rPr>
              <w:t xml:space="preserve">  </w:t>
            </w:r>
            <w:r>
              <w:rPr>
                <w:rFonts w:hint="eastAsia"/>
                <w:color w:val="auto"/>
                <w:sz w:val="24"/>
                <w:highlight w:val="none"/>
              </w:rPr>
              <w:t>（是</w:t>
            </w:r>
            <w:r>
              <w:rPr>
                <w:rFonts w:hint="eastAsia" w:ascii="仿宋" w:hAnsi="仿宋" w:eastAsia="仿宋" w:cs="仿宋"/>
                <w:color w:val="auto"/>
                <w:sz w:val="24"/>
                <w:highlight w:val="none"/>
              </w:rPr>
              <w:t>/</w:t>
            </w:r>
            <w:r>
              <w:rPr>
                <w:rFonts w:hint="eastAsia"/>
                <w:color w:val="auto"/>
                <w:sz w:val="24"/>
                <w:highlight w:val="none"/>
              </w:rPr>
              <w:t>否）需要支付预付款。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5" w:type="pct"/>
            <w:vAlign w:val="center"/>
          </w:tcPr>
          <w:p>
            <w:pPr>
              <w:spacing w:line="360" w:lineRule="auto"/>
              <w:rPr>
                <w:rFonts w:ascii="宋体" w:hAnsi="宋体" w:cs="宋体"/>
                <w:color w:val="auto"/>
                <w:sz w:val="24"/>
                <w:highlight w:val="none"/>
              </w:rPr>
            </w:pPr>
            <w:r>
              <w:rPr>
                <w:rFonts w:asciiTheme="minorEastAsia" w:hAnsiTheme="minorEastAsia" w:eastAsiaTheme="minorEastAsia"/>
                <w:color w:val="auto"/>
                <w:sz w:val="24"/>
                <w:highlight w:val="none"/>
              </w:rPr>
              <w:t>合同生效以及具备实施条件</w:t>
            </w:r>
            <w:r>
              <w:rPr>
                <w:rFonts w:hint="eastAsia" w:asciiTheme="minorEastAsia" w:hAnsiTheme="minorEastAsia" w:eastAsiaTheme="minorEastAsia"/>
                <w:color w:val="auto"/>
                <w:sz w:val="24"/>
                <w:highlight w:val="none"/>
                <w:lang w:eastAsia="zh-CN"/>
              </w:rPr>
              <w:t>（</w:t>
            </w:r>
            <w:r>
              <w:rPr>
                <w:rFonts w:hint="eastAsia" w:ascii="宋体" w:hAnsi="宋体" w:cs="宋体"/>
                <w:color w:val="auto"/>
                <w:sz w:val="24"/>
                <w:highlight w:val="none"/>
              </w:rPr>
              <w:t>财政预算下达</w:t>
            </w:r>
            <w:r>
              <w:rPr>
                <w:rFonts w:hint="eastAsia" w:asciiTheme="minorEastAsia" w:hAnsiTheme="minorEastAsia" w:eastAsiaTheme="minorEastAsia"/>
                <w:color w:val="auto"/>
                <w:sz w:val="24"/>
                <w:highlight w:val="none"/>
                <w:lang w:eastAsia="zh-CN"/>
              </w:rPr>
              <w:t>）</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个工作日内</w:t>
            </w:r>
            <w:r>
              <w:rPr>
                <w:rFonts w:hint="eastAsia" w:asciiTheme="minorEastAsia" w:hAnsiTheme="minorEastAsia" w:eastAsiaTheme="minorEastAsia"/>
                <w:color w:val="auto"/>
                <w:sz w:val="24"/>
                <w:highlight w:val="none"/>
                <w:lang w:eastAsia="zh-CN"/>
              </w:rPr>
              <w:t>，</w:t>
            </w:r>
            <w:r>
              <w:rPr>
                <w:rFonts w:hint="eastAsia" w:ascii="宋体" w:hAnsi="宋体" w:cs="宋体"/>
                <w:color w:val="auto"/>
                <w:sz w:val="24"/>
                <w:highlight w:val="none"/>
              </w:rPr>
              <w:t>甲方支付合同总</w:t>
            </w:r>
            <w:r>
              <w:rPr>
                <w:rFonts w:hint="eastAsia" w:ascii="宋体" w:hAnsi="宋体" w:cs="宋体"/>
                <w:color w:val="auto"/>
                <w:sz w:val="24"/>
                <w:highlight w:val="none"/>
                <w:lang w:val="en-US" w:eastAsia="zh-CN"/>
              </w:rPr>
              <w:t>价</w:t>
            </w:r>
            <w:r>
              <w:rPr>
                <w:rFonts w:hint="eastAsia" w:ascii="宋体" w:hAnsi="宋体" w:cs="宋体"/>
                <w:color w:val="auto"/>
                <w:sz w:val="24"/>
                <w:highlight w:val="none"/>
              </w:rPr>
              <w:t>的</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预付款。（若乙方明确表示不需要支付预付款，则直接合并第一笔款项支付）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5"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5"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合同签订后，乙方支付履约保证金（合同金额1%的，金融机构、担保机构出具的保函等非现金形式）,财政预算下达后</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个工作日内，甲方支付合同总</w:t>
            </w:r>
            <w:r>
              <w:rPr>
                <w:rFonts w:hint="eastAsia" w:ascii="宋体" w:hAnsi="宋体" w:cs="宋体"/>
                <w:color w:val="auto"/>
                <w:sz w:val="24"/>
                <w:highlight w:val="none"/>
                <w:lang w:val="en-US" w:eastAsia="zh-CN"/>
              </w:rPr>
              <w:t>价</w:t>
            </w:r>
            <w:r>
              <w:rPr>
                <w:rFonts w:hint="eastAsia" w:ascii="宋体" w:hAnsi="宋体" w:cs="宋体"/>
                <w:color w:val="auto"/>
                <w:sz w:val="24"/>
                <w:highlight w:val="none"/>
              </w:rPr>
              <w:t>的</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预付款</w:t>
            </w:r>
            <w:r>
              <w:rPr>
                <w:rFonts w:hint="eastAsia" w:ascii="宋体" w:hAnsi="宋体" w:cs="宋体"/>
                <w:color w:val="auto"/>
                <w:sz w:val="24"/>
                <w:highlight w:val="none"/>
              </w:rPr>
              <w:t>；合同签订后中标人完成线路铺设割接且保障采购人能够正常使用后支付</w:t>
            </w:r>
            <w:r>
              <w:rPr>
                <w:rFonts w:hint="eastAsia" w:ascii="宋体" w:hAnsi="宋体" w:cs="宋体"/>
                <w:color w:val="auto"/>
                <w:sz w:val="24"/>
                <w:highlight w:val="none"/>
                <w:lang w:eastAsia="zh-CN"/>
              </w:rPr>
              <w:t>至合同总价的</w:t>
            </w:r>
            <w:r>
              <w:rPr>
                <w:rFonts w:hint="eastAsia" w:ascii="宋体" w:hAnsi="宋体" w:cs="宋体"/>
                <w:color w:val="auto"/>
                <w:sz w:val="24"/>
                <w:highlight w:val="none"/>
              </w:rPr>
              <w:t>70%</w:t>
            </w:r>
            <w:r>
              <w:rPr>
                <w:rFonts w:hint="eastAsia" w:ascii="宋体" w:hAnsi="宋体" w:cs="宋体"/>
                <w:color w:val="auto"/>
                <w:sz w:val="24"/>
                <w:highlight w:val="none"/>
                <w:lang w:eastAsia="zh-CN"/>
              </w:rPr>
              <w:t>，</w:t>
            </w:r>
            <w:r>
              <w:rPr>
                <w:rFonts w:hint="eastAsia" w:ascii="宋体" w:hAnsi="宋体" w:cs="宋体"/>
                <w:color w:val="auto"/>
                <w:sz w:val="24"/>
                <w:highlight w:val="none"/>
              </w:rPr>
              <w:t>待服务期满并通过验收后，支付30%合同余款。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线路服务期：一年；流量卡服务期：移动执法终端无线网络接入服务卡811张服务期3个月，其余1558张无线网卡服务期限一年。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见各类光纤线路具体点位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服务交付（实施）的方式：采购标的的所有内容均由乙方负责，完成本项目各项服务可能发生的全部费用均包含在合同总价中。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时间节点要求：采购人要求线路、电路服务无中断。中标人需承诺新旧线路进行无缝衔接。中标人应在收到中标通知书10日内完成合同签订。合同签订后5日内，中标人应完成线路铺设割接且保障采购人能够正常使用。若不重新铺设线路，需要延续原服务提供商的线路的，中标人应自行与原服务提供商做好衔接工作，包括但不限于线路移交、费用结算等，中标人应在合同签订后5日内完成所有线路延续服务且保障采购人能够正常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见各类光纤线路具体点位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1、甲方违约责任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（1）甲方应当履行合同约定的义务，如有违反，甲方须承担相应的违约责任。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2）除不可抗力外，甲方没有按照约定的付款方式付款，乙方可要求甲方支付违约金，每延迟一日支付款项，违约金按合同总价的0.05%计算，最高限额为本合同总价的20%。违约金计算数额达到前述最高限额之日起，乙方有权要求甲方支付违约金的同时，书面通知甲方解除合同。</w:t>
            </w:r>
          </w:p>
          <w:p>
            <w:pPr>
              <w:spacing w:line="360" w:lineRule="auto"/>
              <w:rPr>
                <w:rFonts w:ascii="宋体" w:hAnsi="宋体" w:cs="宋体"/>
                <w:color w:val="auto"/>
                <w:sz w:val="24"/>
                <w:highlight w:val="none"/>
              </w:rPr>
            </w:pPr>
            <w:r>
              <w:rPr>
                <w:rFonts w:hint="eastAsia" w:ascii="宋体" w:hAnsi="宋体" w:cs="宋体"/>
                <w:color w:val="auto"/>
                <w:sz w:val="24"/>
                <w:highlight w:val="none"/>
              </w:rPr>
              <w:t>2、乙方的违约责任：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（1）乙方逾期提供服务或未按要求提供服务的，应向甲方支付每日/每次2000元的违约金。同时并不免除继续履行合同的义务。</w:t>
            </w:r>
          </w:p>
          <w:p>
            <w:pPr>
              <w:spacing w:line="360" w:lineRule="auto"/>
              <w:rPr>
                <w:rFonts w:ascii="宋体" w:hAnsi="宋体" w:cs="宋体"/>
                <w:color w:val="auto"/>
                <w:sz w:val="24"/>
                <w:highlight w:val="none"/>
              </w:rPr>
            </w:pPr>
            <w:r>
              <w:rPr>
                <w:rFonts w:hint="eastAsia" w:ascii="宋体" w:hAnsi="宋体" w:cs="宋体"/>
                <w:color w:val="auto"/>
                <w:sz w:val="24"/>
                <w:highlight w:val="none"/>
              </w:rPr>
              <w:t>（2）乙方所供服务与合同要求不符，甲方有权拒绝接受服务，并要求乙方整改。经整改后仍与合同约定不符的，甲方有权单方解除合同，没收全部履约保证金、收回预付款项，并有权要求乙方按照合同总价的20%承担违约责任。违约金不足以弥补甲方损失的，乙方仍应继续承担赔偿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（3）若中标人在收到中标通知书10内日未与采购人签订合同的，则视为放弃。中标人应按照中标价格的20%向采购人承担缔约过失责任。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4）若中标人未能在上述时间节点内完成线路铺设或交接，导致采购人仍需使用原服务提供商线路的，在此期间所产生的费用，均由中标人承担；若原服务提供商因合同到期不再提供服务，而中标人未能按期完成并保证采购人正常使用的，采购人有权单方终止合同，并要求中标人按照合同总价的20%承担违约责任，违约金不足以弥补采购人损失的，中标人还应继续承担赔偿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（5）上述中标人应承担的违约金或赔偿金，采购人有权从中标人的履约保证金或结算款中扣除。</w:t>
            </w:r>
          </w:p>
          <w:p>
            <w:pPr>
              <w:spacing w:line="360" w:lineRule="auto"/>
              <w:rPr>
                <w:rFonts w:ascii="宋体" w:hAnsi="宋体" w:cs="宋体"/>
                <w:color w:val="auto"/>
                <w:sz w:val="24"/>
                <w:highlight w:val="none"/>
              </w:rPr>
            </w:pPr>
            <w:r>
              <w:rPr>
                <w:rFonts w:hint="eastAsia" w:ascii="宋体" w:hAnsi="宋体" w:cs="宋体"/>
                <w:color w:val="auto"/>
                <w:sz w:val="24"/>
                <w:highlight w:val="none"/>
              </w:rPr>
              <w:t>（6）乙方不得将本合同的内容转包或分包，否则，甲方有权要求乙方返还已收取的全部款项，因此造成的一切损失由乙方负责赔偿。</w:t>
            </w:r>
          </w:p>
          <w:p>
            <w:pPr>
              <w:spacing w:line="360" w:lineRule="auto"/>
              <w:rPr>
                <w:rFonts w:ascii="宋体" w:hAnsi="宋体" w:cs="宋体"/>
                <w:color w:val="auto"/>
                <w:sz w:val="24"/>
                <w:highlight w:val="none"/>
              </w:rPr>
            </w:pPr>
            <w:r>
              <w:rPr>
                <w:rFonts w:hint="eastAsia" w:ascii="宋体" w:hAnsi="宋体" w:cs="宋体"/>
                <w:color w:val="auto"/>
                <w:sz w:val="24"/>
                <w:highlight w:val="none"/>
              </w:rPr>
              <w:t>（7）如果出现监督管理部门在处理投诉事项期间，书面通知甲方暂停采购活动的情形，或者询问或质疑事项可能影响成交结果的，导致甲方中止或终止履行合同的情形，均不视为甲方违约。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5" w:type="pc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知识产权归甲方所有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合同签订后，乙方支付履约保证金（合同金额1%的，金融机构、担保机构出具的保函等非现金形式）,财政预算下达后</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个工作日内，甲方支付合同总</w:t>
            </w:r>
            <w:r>
              <w:rPr>
                <w:rFonts w:hint="eastAsia" w:ascii="宋体" w:hAnsi="宋体" w:cs="宋体"/>
                <w:color w:val="auto"/>
                <w:sz w:val="24"/>
                <w:highlight w:val="none"/>
                <w:lang w:val="en-US" w:eastAsia="zh-CN"/>
              </w:rPr>
              <w:t>价</w:t>
            </w:r>
            <w:r>
              <w:rPr>
                <w:rFonts w:hint="eastAsia" w:ascii="宋体" w:hAnsi="宋体" w:cs="宋体"/>
                <w:color w:val="auto"/>
                <w:sz w:val="24"/>
                <w:highlight w:val="none"/>
              </w:rPr>
              <w:t>的</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预付款</w:t>
            </w:r>
            <w:r>
              <w:rPr>
                <w:rFonts w:hint="eastAsia" w:ascii="宋体" w:hAnsi="宋体" w:cs="宋体"/>
                <w:color w:val="auto"/>
                <w:sz w:val="24"/>
                <w:highlight w:val="none"/>
              </w:rPr>
              <w:t>；合同签订后中标人完成线路铺设割接且保障采购人能够正常使用后支付</w:t>
            </w:r>
            <w:r>
              <w:rPr>
                <w:rFonts w:hint="eastAsia" w:ascii="宋体" w:hAnsi="宋体" w:cs="宋体"/>
                <w:color w:val="auto"/>
                <w:sz w:val="24"/>
                <w:highlight w:val="none"/>
                <w:lang w:eastAsia="zh-CN"/>
              </w:rPr>
              <w:t>至合同总价的</w:t>
            </w:r>
            <w:r>
              <w:rPr>
                <w:rFonts w:hint="eastAsia" w:ascii="宋体" w:hAnsi="宋体" w:cs="宋体"/>
                <w:color w:val="auto"/>
                <w:sz w:val="24"/>
                <w:highlight w:val="none"/>
              </w:rPr>
              <w:t>70%</w:t>
            </w:r>
            <w:r>
              <w:rPr>
                <w:rFonts w:hint="eastAsia" w:ascii="宋体" w:hAnsi="宋体" w:cs="宋体"/>
                <w:color w:val="auto"/>
                <w:sz w:val="24"/>
                <w:highlight w:val="none"/>
                <w:lang w:eastAsia="zh-CN"/>
              </w:rPr>
              <w:t>，</w:t>
            </w:r>
            <w:r>
              <w:rPr>
                <w:rFonts w:hint="eastAsia" w:ascii="宋体" w:hAnsi="宋体" w:cs="宋体"/>
                <w:color w:val="auto"/>
                <w:sz w:val="24"/>
                <w:highlight w:val="none"/>
              </w:rPr>
              <w:t>待服务期满并通过验收后，支付30%合同余款。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65" w:type="pct"/>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不可抗力发送后14天内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65"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受不可抗力影响的一方在不可抗力发生后，应在不可抗力发送后14天内以书面形式通知对方当事人，并在不可抗力发送后14天内，将有关部门出具的证明文件送达对方当事人。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乙方按照甲方批准的维保方案，定期提交服务报告。甲方按照履约验收条款约定进行验收。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履约验收内容</w:t>
            </w:r>
          </w:p>
          <w:p>
            <w:pPr>
              <w:spacing w:line="360" w:lineRule="auto"/>
              <w:rPr>
                <w:rFonts w:ascii="宋体" w:hAnsi="宋体" w:cs="宋体"/>
                <w:color w:val="auto"/>
                <w:sz w:val="24"/>
                <w:highlight w:val="none"/>
              </w:rPr>
            </w:pPr>
            <w:r>
              <w:rPr>
                <w:rFonts w:hint="eastAsia" w:ascii="宋体" w:hAnsi="宋体" w:cs="宋体"/>
                <w:color w:val="auto"/>
                <w:sz w:val="24"/>
                <w:highlight w:val="none"/>
              </w:rPr>
              <w:t>序号</w:t>
            </w:r>
            <w:r>
              <w:rPr>
                <w:rFonts w:hint="eastAsia" w:ascii="宋体" w:hAnsi="宋体" w:cs="宋体"/>
                <w:color w:val="auto"/>
                <w:sz w:val="24"/>
                <w:highlight w:val="none"/>
              </w:rPr>
              <w:tab/>
            </w:r>
            <w:r>
              <w:rPr>
                <w:rFonts w:hint="eastAsia" w:ascii="宋体" w:hAnsi="宋体" w:cs="宋体"/>
                <w:color w:val="auto"/>
                <w:sz w:val="24"/>
                <w:highlight w:val="none"/>
              </w:rPr>
              <w:t>验收内容</w:t>
            </w:r>
            <w:r>
              <w:rPr>
                <w:rFonts w:hint="eastAsia" w:ascii="宋体" w:hAnsi="宋体" w:cs="宋体"/>
                <w:color w:val="auto"/>
                <w:sz w:val="24"/>
                <w:highlight w:val="none"/>
              </w:rPr>
              <w:tab/>
            </w:r>
            <w:r>
              <w:rPr>
                <w:rFonts w:hint="eastAsia" w:ascii="宋体" w:hAnsi="宋体" w:cs="宋体"/>
                <w:color w:val="auto"/>
                <w:sz w:val="24"/>
                <w:highlight w:val="none"/>
              </w:rPr>
              <w:t>验收标准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rPr>
              <w:tab/>
            </w:r>
            <w:r>
              <w:rPr>
                <w:rFonts w:hint="eastAsia" w:ascii="宋体" w:hAnsi="宋体" w:cs="宋体"/>
                <w:color w:val="auto"/>
                <w:sz w:val="24"/>
                <w:highlight w:val="none"/>
              </w:rPr>
              <w:t>服务范围</w:t>
            </w:r>
            <w:r>
              <w:rPr>
                <w:rFonts w:hint="eastAsia" w:ascii="宋体" w:hAnsi="宋体" w:cs="宋体"/>
                <w:color w:val="auto"/>
                <w:sz w:val="24"/>
                <w:highlight w:val="none"/>
              </w:rPr>
              <w:tab/>
            </w:r>
            <w:r>
              <w:rPr>
                <w:rFonts w:hint="eastAsia" w:ascii="宋体" w:hAnsi="宋体" w:cs="宋体"/>
                <w:color w:val="auto"/>
                <w:sz w:val="24"/>
                <w:highlight w:val="none"/>
              </w:rPr>
              <w:t>对服务范围进行验收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rPr>
              <w:tab/>
            </w:r>
            <w:r>
              <w:rPr>
                <w:rFonts w:hint="eastAsia" w:ascii="宋体" w:hAnsi="宋体" w:cs="宋体"/>
                <w:color w:val="auto"/>
                <w:sz w:val="24"/>
                <w:highlight w:val="none"/>
              </w:rPr>
              <w:t>服务内容</w:t>
            </w:r>
            <w:r>
              <w:rPr>
                <w:rFonts w:hint="eastAsia" w:ascii="宋体" w:hAnsi="宋体" w:cs="宋体"/>
                <w:color w:val="auto"/>
                <w:sz w:val="24"/>
                <w:highlight w:val="none"/>
              </w:rPr>
              <w:tab/>
            </w:r>
            <w:r>
              <w:rPr>
                <w:rFonts w:hint="eastAsia" w:ascii="宋体" w:hAnsi="宋体" w:cs="宋体"/>
                <w:color w:val="auto"/>
                <w:sz w:val="24"/>
                <w:highlight w:val="none"/>
              </w:rPr>
              <w:t>对服务内容进行验收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rPr>
              <w:tab/>
            </w:r>
            <w:r>
              <w:rPr>
                <w:rFonts w:hint="eastAsia" w:ascii="宋体" w:hAnsi="宋体" w:cs="宋体"/>
                <w:color w:val="auto"/>
                <w:sz w:val="24"/>
                <w:highlight w:val="none"/>
              </w:rPr>
              <w:t>服务质量</w:t>
            </w:r>
            <w:r>
              <w:rPr>
                <w:rFonts w:hint="eastAsia" w:ascii="宋体" w:hAnsi="宋体" w:cs="宋体"/>
                <w:color w:val="auto"/>
                <w:sz w:val="24"/>
                <w:highlight w:val="none"/>
              </w:rPr>
              <w:tab/>
            </w:r>
            <w:r>
              <w:rPr>
                <w:rFonts w:hint="eastAsia" w:ascii="宋体" w:hAnsi="宋体" w:cs="宋体"/>
                <w:color w:val="auto"/>
                <w:sz w:val="24"/>
                <w:highlight w:val="none"/>
              </w:rPr>
              <w:t>对服务进行满意度调查</w:t>
            </w:r>
          </w:p>
          <w:p>
            <w:pPr>
              <w:spacing w:line="360" w:lineRule="auto"/>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rPr>
              <w:tab/>
            </w:r>
            <w:r>
              <w:rPr>
                <w:rFonts w:hint="eastAsia" w:ascii="宋体" w:hAnsi="宋体" w:cs="宋体"/>
                <w:color w:val="auto"/>
                <w:sz w:val="24"/>
                <w:highlight w:val="none"/>
              </w:rPr>
              <w:t>考核、违约及处罚</w:t>
            </w:r>
            <w:r>
              <w:rPr>
                <w:rFonts w:hint="eastAsia" w:ascii="宋体" w:hAnsi="宋体" w:cs="宋体"/>
                <w:color w:val="auto"/>
                <w:sz w:val="24"/>
                <w:highlight w:val="none"/>
              </w:rPr>
              <w:tab/>
            </w:r>
            <w:r>
              <w:rPr>
                <w:rFonts w:hint="eastAsia" w:ascii="宋体" w:hAnsi="宋体" w:cs="宋体"/>
                <w:color w:val="auto"/>
                <w:sz w:val="24"/>
                <w:highlight w:val="none"/>
              </w:rPr>
              <w:t>按合同条款进行考核</w:t>
            </w:r>
          </w:p>
          <w:p>
            <w:pPr>
              <w:spacing w:line="360" w:lineRule="auto"/>
              <w:rPr>
                <w:rFonts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rPr>
              <w:tab/>
            </w:r>
            <w:r>
              <w:rPr>
                <w:rFonts w:hint="eastAsia" w:ascii="宋体" w:hAnsi="宋体" w:cs="宋体"/>
                <w:color w:val="auto"/>
                <w:sz w:val="24"/>
                <w:highlight w:val="none"/>
              </w:rPr>
              <w:t>其他工作</w:t>
            </w:r>
            <w:r>
              <w:rPr>
                <w:rFonts w:hint="eastAsia" w:ascii="宋体" w:hAnsi="宋体" w:cs="宋体"/>
                <w:color w:val="auto"/>
                <w:sz w:val="24"/>
                <w:highlight w:val="none"/>
              </w:rPr>
              <w:tab/>
            </w:r>
            <w:r>
              <w:rPr>
                <w:rFonts w:hint="eastAsia" w:ascii="宋体" w:hAnsi="宋体" w:cs="宋体"/>
                <w:color w:val="auto"/>
                <w:sz w:val="24"/>
                <w:highlight w:val="none"/>
              </w:rPr>
              <w:t>履行项目采购需求、投标文件、合同条款中涉及的其他承诺的情况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验收资料：</w:t>
            </w:r>
          </w:p>
          <w:p>
            <w:pPr>
              <w:spacing w:line="360" w:lineRule="auto"/>
              <w:rPr>
                <w:rFonts w:ascii="宋体" w:hAnsi="宋体" w:cs="宋体"/>
                <w:color w:val="auto"/>
                <w:sz w:val="24"/>
                <w:highlight w:val="none"/>
              </w:rPr>
            </w:pPr>
            <w:r>
              <w:rPr>
                <w:rFonts w:hint="eastAsia" w:ascii="宋体" w:hAnsi="宋体" w:cs="宋体"/>
                <w:color w:val="auto"/>
                <w:sz w:val="24"/>
                <w:highlight w:val="none"/>
              </w:rPr>
              <w:t>验收资料和文件是项目验收的重要依据，乙方从项目实施开始就应完整地积累和保管，验收时在职能部门的指导、配合下按照甲方有关要求编目建档。</w:t>
            </w:r>
          </w:p>
          <w:p>
            <w:pPr>
              <w:spacing w:line="360" w:lineRule="auto"/>
              <w:rPr>
                <w:rFonts w:ascii="宋体" w:hAnsi="宋体" w:cs="宋体"/>
                <w:color w:val="auto"/>
                <w:sz w:val="24"/>
                <w:highlight w:val="none"/>
              </w:rPr>
            </w:pPr>
            <w:r>
              <w:rPr>
                <w:rFonts w:hint="eastAsia" w:ascii="宋体" w:hAnsi="宋体" w:cs="宋体"/>
                <w:color w:val="auto"/>
                <w:sz w:val="24"/>
                <w:highlight w:val="none"/>
              </w:rPr>
              <w:t>验收资料要求包括（不限于）以下内容：</w:t>
            </w:r>
          </w:p>
          <w:p>
            <w:pPr>
              <w:spacing w:line="360" w:lineRule="auto"/>
              <w:rPr>
                <w:rFonts w:ascii="宋体" w:hAnsi="宋体" w:cs="宋体"/>
                <w:color w:val="auto"/>
                <w:sz w:val="24"/>
                <w:highlight w:val="none"/>
              </w:rPr>
            </w:pPr>
            <w:r>
              <w:rPr>
                <w:rFonts w:hint="eastAsia" w:ascii="宋体" w:hAnsi="宋体" w:cs="宋体"/>
                <w:color w:val="auto"/>
                <w:sz w:val="24"/>
                <w:highlight w:val="none"/>
              </w:rPr>
              <w:t>（1）采购需求</w:t>
            </w:r>
          </w:p>
          <w:p>
            <w:pPr>
              <w:spacing w:line="360" w:lineRule="auto"/>
              <w:rPr>
                <w:rFonts w:ascii="宋体" w:hAnsi="宋体" w:cs="宋体"/>
                <w:color w:val="auto"/>
                <w:sz w:val="24"/>
                <w:highlight w:val="none"/>
              </w:rPr>
            </w:pPr>
            <w:r>
              <w:rPr>
                <w:rFonts w:hint="eastAsia" w:ascii="宋体" w:hAnsi="宋体" w:cs="宋体"/>
                <w:color w:val="auto"/>
                <w:sz w:val="24"/>
                <w:highlight w:val="none"/>
              </w:rPr>
              <w:t>（2）投标文件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（3）采购合同</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（4）考核报告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（5）验收报告  </w:t>
            </w:r>
          </w:p>
          <w:p>
            <w:pPr>
              <w:spacing w:line="360" w:lineRule="auto"/>
              <w:rPr>
                <w:rFonts w:ascii="宋体" w:hAnsi="宋体" w:cs="宋体"/>
                <w:color w:val="auto"/>
                <w:sz w:val="24"/>
                <w:highlight w:val="none"/>
              </w:rPr>
            </w:pPr>
            <w:r>
              <w:rPr>
                <w:rFonts w:hint="eastAsia" w:ascii="宋体" w:hAnsi="宋体" w:cs="宋体"/>
                <w:color w:val="auto"/>
                <w:sz w:val="24"/>
                <w:highlight w:val="none"/>
              </w:rPr>
              <w:t>（6）其他需提供的相关材料。</w:t>
            </w:r>
          </w:p>
          <w:p>
            <w:pPr>
              <w:spacing w:line="360" w:lineRule="auto"/>
              <w:rPr>
                <w:rFonts w:ascii="宋体" w:hAnsi="宋体" w:cs="宋体"/>
                <w:color w:val="auto"/>
                <w:sz w:val="24"/>
                <w:highlight w:val="none"/>
              </w:rPr>
            </w:pPr>
            <w:r>
              <w:rPr>
                <w:rFonts w:hint="eastAsia" w:ascii="宋体" w:hAnsi="宋体" w:cs="宋体"/>
                <w:color w:val="auto"/>
                <w:sz w:val="24"/>
                <w:highlight w:val="none"/>
              </w:rPr>
              <w:t>（六）履约验收标准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1、甲方按照《杭州市政府采购履约验收暂行办法》（杭财采监[2019]10号）规定组织对乙方履约的验收。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（七）履约验收其他事项</w:t>
            </w:r>
          </w:p>
          <w:p>
            <w:pPr>
              <w:spacing w:line="360" w:lineRule="auto"/>
              <w:rPr>
                <w:rFonts w:ascii="宋体" w:hAnsi="宋体" w:cs="宋体"/>
                <w:color w:val="auto"/>
                <w:sz w:val="24"/>
                <w:highlight w:val="none"/>
              </w:rPr>
            </w:pPr>
            <w:r>
              <w:rPr>
                <w:rFonts w:hint="eastAsia" w:ascii="宋体" w:hAnsi="宋体" w:cs="宋体"/>
                <w:color w:val="auto"/>
                <w:sz w:val="24"/>
                <w:highlight w:val="none"/>
              </w:rPr>
              <w:t>1、甲方按照《杭州市政府采购履约验收暂行办法》（杭财采监[2019]10号）规定组织对乙方履约的验收。验收方成员应当在验收书上签字，并承担相应的法律责任。如果发现与合同中要求不符，乙方须承担由此发生的一切损失和费用，并接受相应的处理。</w:t>
            </w:r>
          </w:p>
          <w:p>
            <w:pPr>
              <w:spacing w:line="360" w:lineRule="auto"/>
              <w:rPr>
                <w:rFonts w:ascii="宋体" w:hAnsi="宋体" w:cs="宋体"/>
                <w:color w:val="auto"/>
                <w:sz w:val="24"/>
                <w:highlight w:val="none"/>
              </w:rPr>
            </w:pPr>
            <w:r>
              <w:rPr>
                <w:rFonts w:hint="eastAsia" w:ascii="宋体" w:hAnsi="宋体" w:cs="宋体"/>
                <w:color w:val="auto"/>
                <w:sz w:val="24"/>
                <w:highlight w:val="none"/>
              </w:rPr>
              <w:t>2、严格按照采购合同开展履约验收。甲方成立验收小组，按照采购合同的约定对乙方履约情况进行验收，验收时，按照采购合同的约定对每一项技术、服务、安全标准的履约情况进行确认，出具验收报告并经验收小组全体成员签字。甲方根据验收报告形成验收意见并经甲方与乙方签字盖章。验收结果与采购合同约定的资金支付及履约保证金返还条件挂钩。履约验收的各项资料应当存档备查。</w:t>
            </w:r>
          </w:p>
          <w:p>
            <w:pPr>
              <w:spacing w:line="360" w:lineRule="auto"/>
              <w:rPr>
                <w:rFonts w:ascii="宋体" w:hAnsi="宋体" w:cs="宋体"/>
                <w:color w:val="auto"/>
                <w:sz w:val="24"/>
                <w:highlight w:val="none"/>
              </w:rPr>
            </w:pPr>
            <w:r>
              <w:rPr>
                <w:rFonts w:hint="eastAsia" w:ascii="宋体" w:hAnsi="宋体" w:cs="宋体"/>
                <w:color w:val="auto"/>
                <w:sz w:val="24"/>
                <w:highlight w:val="none"/>
              </w:rPr>
              <w:t>3、验收合格的项目，甲方将根据采购合同的约定及时向乙方支付采购资金、退还履约保证金。验收不合格的项目，甲方将依法及时处理。采购合同的履行、违约责任和解决争议的方式等适用《中华人民共和国民法典》。</w:t>
            </w:r>
          </w:p>
          <w:p>
            <w:pPr>
              <w:spacing w:line="360" w:lineRule="auto"/>
              <w:rPr>
                <w:rFonts w:ascii="宋体" w:hAnsi="宋体" w:cs="宋体"/>
                <w:color w:val="auto"/>
                <w:sz w:val="24"/>
                <w:highlight w:val="none"/>
              </w:rPr>
            </w:pPr>
            <w:r>
              <w:rPr>
                <w:rFonts w:hint="eastAsia" w:ascii="宋体" w:hAnsi="宋体" w:cs="宋体"/>
                <w:color w:val="auto"/>
                <w:sz w:val="24"/>
                <w:highlight w:val="none"/>
              </w:rPr>
              <w:t>4、验收内容及资料要求：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根据采购需求确定的技术指标或者服务要求确定验收指标和标准。未进行相应约定的，应当符合国家强制性规定、政策要求、安全标准、行业或企业有关标准等。</w:t>
            </w:r>
          </w:p>
          <w:p>
            <w:pPr>
              <w:spacing w:line="360" w:lineRule="auto"/>
              <w:rPr>
                <w:rFonts w:ascii="宋体" w:hAnsi="宋体" w:cs="宋体"/>
                <w:color w:val="auto"/>
                <w:sz w:val="24"/>
                <w:highlight w:val="none"/>
              </w:rPr>
            </w:pPr>
            <w:r>
              <w:rPr>
                <w:rFonts w:hint="eastAsia" w:ascii="宋体" w:hAnsi="宋体" w:cs="宋体"/>
                <w:color w:val="auto"/>
                <w:sz w:val="24"/>
                <w:highlight w:val="none"/>
              </w:rPr>
              <w:t>5验收产生的费用首次验收费用由甲方承担，如首次验收不合格，后续验收费用由乙方支付。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4"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5"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本合同一式四份，甲乙双方各执二份；每份均具有同等法律效力。</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firstLine="723"/>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ind w:firstLine="723"/>
        <w:jc w:val="center"/>
        <w:outlineLvl w:val="0"/>
        <w:rPr>
          <w:rFonts w:ascii="宋体" w:hAnsi="宋体" w:cs="宋体"/>
          <w:b/>
          <w:color w:val="auto"/>
          <w:kern w:val="0"/>
          <w:sz w:val="36"/>
          <w:szCs w:val="36"/>
          <w:highlight w:val="none"/>
        </w:rPr>
      </w:pPr>
    </w:p>
    <w:p>
      <w:pPr>
        <w:spacing w:line="360" w:lineRule="auto"/>
        <w:ind w:firstLine="723"/>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ind w:firstLine="723"/>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ind w:firstLine="723"/>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2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杭州市交通运输行政执法队、杭州市公共资源交易中心：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我方参与杭州市交通运输行政执法队网络租赁项目【招标编号：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2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ind w:firstLine="643"/>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20" w:firstLine="643"/>
        <w:jc w:val="center"/>
        <w:rPr>
          <w:rFonts w:ascii="宋体" w:hAnsi="宋体" w:cs="宋体"/>
          <w:b/>
          <w:color w:val="auto"/>
          <w:kern w:val="0"/>
          <w:sz w:val="32"/>
          <w:szCs w:val="32"/>
          <w:highlight w:val="none"/>
        </w:rPr>
      </w:pPr>
    </w:p>
    <w:p>
      <w:pPr>
        <w:snapToGrid w:val="0"/>
        <w:spacing w:line="360" w:lineRule="auto"/>
        <w:ind w:right="-420" w:firstLine="643"/>
        <w:jc w:val="center"/>
        <w:rPr>
          <w:rFonts w:ascii="宋体" w:hAnsi="宋体" w:cs="宋体"/>
          <w:b/>
          <w:color w:val="auto"/>
          <w:kern w:val="0"/>
          <w:sz w:val="32"/>
          <w:szCs w:val="32"/>
          <w:highlight w:val="none"/>
        </w:rPr>
      </w:pPr>
    </w:p>
    <w:p>
      <w:pPr>
        <w:snapToGrid w:val="0"/>
        <w:spacing w:line="360" w:lineRule="auto"/>
        <w:ind w:right="-420"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pacing w:line="360" w:lineRule="auto"/>
        <w:ind w:firstLine="480" w:firstLineChars="200"/>
        <w:rPr>
          <w:rFonts w:ascii="宋体" w:hAnsi="宋体" w:cs="宋体"/>
          <w:color w:val="auto"/>
          <w:sz w:val="24"/>
          <w:highlight w:val="none"/>
        </w:rPr>
      </w:pPr>
    </w:p>
    <w:p>
      <w:pPr>
        <w:widowControl/>
        <w:spacing w:line="360" w:lineRule="auto"/>
        <w:ind w:left="-420" w:firstLine="643"/>
        <w:jc w:val="center"/>
        <w:rPr>
          <w:rFonts w:ascii="宋体" w:hAnsi="宋体" w:cs="宋体"/>
          <w:b/>
          <w:color w:val="auto"/>
          <w:kern w:val="0"/>
          <w:sz w:val="32"/>
          <w:szCs w:val="32"/>
          <w:highlight w:val="none"/>
        </w:rPr>
      </w:pPr>
    </w:p>
    <w:p>
      <w:pPr>
        <w:widowControl/>
        <w:spacing w:line="360" w:lineRule="auto"/>
        <w:ind w:left="-420"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ind w:firstLine="420"/>
        <w:rPr>
          <w:rFonts w:ascii="宋体" w:hAnsi="宋体" w:cs="宋体"/>
          <w:color w:val="auto"/>
          <w:highlight w:val="none"/>
        </w:rPr>
      </w:pPr>
    </w:p>
    <w:p>
      <w:pPr>
        <w:snapToGrid w:val="0"/>
        <w:spacing w:line="360" w:lineRule="auto"/>
        <w:ind w:right="-420" w:firstLine="643"/>
        <w:jc w:val="center"/>
        <w:rPr>
          <w:rFonts w:ascii="宋体" w:hAnsi="宋体" w:cs="宋体"/>
          <w:b/>
          <w:color w:val="auto"/>
          <w:kern w:val="0"/>
          <w:sz w:val="32"/>
          <w:szCs w:val="32"/>
          <w:highlight w:val="none"/>
        </w:rPr>
      </w:pPr>
    </w:p>
    <w:p>
      <w:pPr>
        <w:widowControl/>
        <w:adjustRightInd/>
        <w:ind w:firstLine="723"/>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ind w:firstLine="482"/>
        <w:jc w:val="center"/>
        <w:outlineLvl w:val="0"/>
        <w:rPr>
          <w:rFonts w:ascii="宋体" w:hAnsi="宋体" w:cs="宋体"/>
          <w:b/>
          <w:color w:val="auto"/>
          <w:kern w:val="0"/>
          <w:sz w:val="24"/>
          <w:highlight w:val="none"/>
        </w:rPr>
      </w:pPr>
    </w:p>
    <w:p>
      <w:pPr>
        <w:spacing w:line="360" w:lineRule="auto"/>
        <w:ind w:firstLine="562"/>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ind w:firstLine="643"/>
        <w:rPr>
          <w:rFonts w:ascii="宋体" w:hAnsi="宋体" w:cs="宋体"/>
          <w:b/>
          <w:color w:val="auto"/>
          <w:kern w:val="0"/>
          <w:sz w:val="32"/>
          <w:szCs w:val="32"/>
          <w:highlight w:val="none"/>
          <w:lang w:val="zh-CN"/>
        </w:rPr>
      </w:pPr>
    </w:p>
    <w:p>
      <w:pPr>
        <w:widowControl/>
        <w:adjustRightInd/>
        <w:ind w:firstLine="643"/>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643"/>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杭州市交通运输行政执法队、杭州市公共资源交易中心：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我方参加你方组织的杭州市交通运输行政执法队网络租赁项目【招标编号：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07" w:name="_Hlk101257010"/>
      <w:r>
        <w:rPr>
          <w:rFonts w:hint="eastAsia" w:ascii="宋体" w:hAnsi="宋体" w:cs="宋体"/>
          <w:color w:val="auto"/>
          <w:sz w:val="24"/>
          <w:highlight w:val="none"/>
        </w:rPr>
        <w:t>（如果有)</w:t>
      </w:r>
      <w:bookmarkEnd w:id="407"/>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2.3.3中小企业声明函（如果有）。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ind w:firstLine="643"/>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pStyle w:val="3"/>
        <w:ind w:left="-420" w:firstLine="643"/>
        <w:rPr>
          <w:color w:val="auto"/>
          <w:highlight w:val="none"/>
          <w:lang w:val="en-US"/>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widowControl/>
        <w:adjustRightInd/>
        <w:ind w:firstLine="643"/>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ind w:firstLine="643"/>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杭州市交通运输行政执法队、杭州市公共资源交易中心</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杭州市交通运输行政执法队网络租赁项目【招标编号：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ind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杭州市交通运输行政执法队、杭州市公共资源交易中心</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杭州市交通运输行政执法队网络租赁项目【招标编号：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ind w:firstLine="643"/>
        <w:jc w:val="center"/>
        <w:rPr>
          <w:rFonts w:ascii="宋体" w:hAnsi="宋体" w:cs="宋体"/>
          <w:b/>
          <w:color w:val="auto"/>
          <w:kern w:val="0"/>
          <w:sz w:val="32"/>
          <w:szCs w:val="32"/>
          <w:highlight w:val="none"/>
        </w:rPr>
      </w:pPr>
    </w:p>
    <w:p>
      <w:pPr>
        <w:ind w:firstLine="420"/>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ind w:firstLine="643"/>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48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48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snapToGrid w:val="0"/>
        <w:spacing w:line="360" w:lineRule="auto"/>
        <w:ind w:right="-420" w:firstLine="643"/>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ind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ind w:firstLine="643"/>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ind w:firstLine="482"/>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ind w:firstLine="482"/>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ind w:firstLine="482"/>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ind w:firstLine="482"/>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ind w:firstLine="482"/>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widowControl/>
        <w:adjustRightInd/>
        <w:ind w:firstLine="643"/>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ind w:firstLine="643"/>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ind w:firstLine="482"/>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numPr>
          <w:ilvl w:val="0"/>
          <w:numId w:val="3"/>
        </w:numPr>
        <w:ind w:firstLine="2891" w:firstLineChars="90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投标标的清单</w:t>
      </w:r>
    </w:p>
    <w:p>
      <w:pPr>
        <w:spacing w:line="360" w:lineRule="auto"/>
        <w:rPr>
          <w:b/>
          <w:bCs/>
          <w:color w:val="auto"/>
          <w:sz w:val="24"/>
          <w:highlight w:val="none"/>
        </w:rPr>
      </w:pPr>
      <w:r>
        <w:rPr>
          <w:rFonts w:hint="eastAsia"/>
          <w:b/>
          <w:bCs/>
          <w:color w:val="auto"/>
          <w:sz w:val="24"/>
          <w:highlight w:val="none"/>
        </w:rPr>
        <w:t>（1）线路清单</w:t>
      </w:r>
    </w:p>
    <w:tbl>
      <w:tblPr>
        <w:tblStyle w:val="62"/>
        <w:tblW w:w="9247" w:type="dxa"/>
        <w:tblInd w:w="0" w:type="dxa"/>
        <w:tblLayout w:type="autofit"/>
        <w:tblCellMar>
          <w:top w:w="0" w:type="dxa"/>
          <w:left w:w="108" w:type="dxa"/>
          <w:bottom w:w="0" w:type="dxa"/>
          <w:right w:w="108" w:type="dxa"/>
        </w:tblCellMar>
      </w:tblPr>
      <w:tblGrid>
        <w:gridCol w:w="1275"/>
        <w:gridCol w:w="2110"/>
        <w:gridCol w:w="1275"/>
        <w:gridCol w:w="2183"/>
        <w:gridCol w:w="2404"/>
      </w:tblGrid>
      <w:tr>
        <w:tblPrEx>
          <w:tblCellMar>
            <w:top w:w="0" w:type="dxa"/>
            <w:left w:w="108" w:type="dxa"/>
            <w:bottom w:w="0" w:type="dxa"/>
            <w:right w:w="108" w:type="dxa"/>
          </w:tblCellMar>
        </w:tblPrEx>
        <w:trPr>
          <w:trHeight w:val="511" w:hRule="atLeast"/>
        </w:trPr>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
                <w:color w:val="auto"/>
                <w:sz w:val="24"/>
                <w:highlight w:val="none"/>
              </w:rPr>
            </w:pPr>
            <w:r>
              <w:rPr>
                <w:rFonts w:hint="eastAsia"/>
                <w:b/>
                <w:color w:val="auto"/>
                <w:sz w:val="24"/>
                <w:highlight w:val="none"/>
              </w:rPr>
              <w:t>序号</w:t>
            </w:r>
          </w:p>
        </w:tc>
        <w:tc>
          <w:tcPr>
            <w:tcW w:w="211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color w:val="auto"/>
                <w:sz w:val="24"/>
                <w:highlight w:val="none"/>
              </w:rPr>
            </w:pPr>
            <w:r>
              <w:rPr>
                <w:rFonts w:hint="eastAsia"/>
                <w:b/>
                <w:color w:val="auto"/>
                <w:sz w:val="24"/>
                <w:highlight w:val="none"/>
              </w:rPr>
              <w:t>线路类型</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color w:val="auto"/>
                <w:sz w:val="24"/>
                <w:highlight w:val="none"/>
              </w:rPr>
            </w:pPr>
            <w:r>
              <w:rPr>
                <w:rFonts w:hint="eastAsia"/>
                <w:b/>
                <w:color w:val="auto"/>
                <w:sz w:val="24"/>
                <w:highlight w:val="none"/>
              </w:rPr>
              <w:t>速率</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color w:val="auto"/>
                <w:sz w:val="24"/>
                <w:highlight w:val="none"/>
              </w:rPr>
            </w:pPr>
            <w:r>
              <w:rPr>
                <w:rFonts w:hint="eastAsia"/>
                <w:b/>
                <w:color w:val="auto"/>
                <w:sz w:val="24"/>
                <w:highlight w:val="none"/>
              </w:rPr>
              <w:t>数量</w:t>
            </w:r>
          </w:p>
        </w:tc>
        <w:tc>
          <w:tcPr>
            <w:tcW w:w="240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color w:val="auto"/>
                <w:sz w:val="24"/>
                <w:highlight w:val="none"/>
              </w:rPr>
            </w:pPr>
            <w:r>
              <w:rPr>
                <w:rFonts w:hint="eastAsia"/>
                <w:b/>
                <w:color w:val="auto"/>
                <w:sz w:val="24"/>
                <w:highlight w:val="none"/>
              </w:rPr>
              <w:t>线路属性</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VPN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300M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7</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11</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14</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MSTP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15</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16</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40M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17</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40M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18</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19</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物联网传输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21</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22</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24</w:t>
            </w:r>
          </w:p>
        </w:tc>
        <w:tc>
          <w:tcPr>
            <w:tcW w:w="2110" w:type="dxa"/>
            <w:vMerge w:val="restart"/>
            <w:tcBorders>
              <w:top w:val="nil"/>
              <w:left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25</w:t>
            </w:r>
          </w:p>
        </w:tc>
        <w:tc>
          <w:tcPr>
            <w:tcW w:w="2110" w:type="dxa"/>
            <w:vMerge w:val="continue"/>
            <w:tcBorders>
              <w:left w:val="single" w:color="auto" w:sz="4" w:space="0"/>
              <w:right w:val="single" w:color="auto" w:sz="4" w:space="0"/>
            </w:tcBorders>
            <w:vAlign w:val="center"/>
          </w:tcPr>
          <w:p>
            <w:pPr>
              <w:spacing w:line="360" w:lineRule="auto"/>
              <w:jc w:val="center"/>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nil"/>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26</w:t>
            </w:r>
          </w:p>
        </w:tc>
        <w:tc>
          <w:tcPr>
            <w:tcW w:w="2110" w:type="dxa"/>
            <w:vMerge w:val="continue"/>
            <w:tcBorders>
              <w:left w:val="single" w:color="auto" w:sz="4" w:space="0"/>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精品光宽带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28</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29</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互联网专线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100M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30</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光纤快线</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31</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互联网光纤专线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32</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专线宽带</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33</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34</w:t>
            </w:r>
          </w:p>
        </w:tc>
        <w:tc>
          <w:tcPr>
            <w:tcW w:w="211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互联网宽带 </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100M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35</w:t>
            </w:r>
          </w:p>
        </w:tc>
        <w:tc>
          <w:tcPr>
            <w:tcW w:w="2110"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50M </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36</w:t>
            </w:r>
          </w:p>
        </w:tc>
        <w:tc>
          <w:tcPr>
            <w:tcW w:w="2110"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商务专线</w:t>
            </w:r>
          </w:p>
        </w:tc>
        <w:tc>
          <w:tcPr>
            <w:tcW w:w="1275"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218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2404"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bl>
    <w:p>
      <w:pPr>
        <w:spacing w:line="360" w:lineRule="auto"/>
        <w:rPr>
          <w:rFonts w:hint="eastAsia"/>
          <w:b/>
          <w:bCs/>
          <w:color w:val="auto"/>
          <w:sz w:val="24"/>
          <w:highlight w:val="none"/>
        </w:rPr>
      </w:pPr>
    </w:p>
    <w:p>
      <w:pPr>
        <w:spacing w:line="360" w:lineRule="auto"/>
        <w:rPr>
          <w:b/>
          <w:bCs/>
          <w:color w:val="auto"/>
          <w:sz w:val="24"/>
          <w:highlight w:val="none"/>
        </w:rPr>
      </w:pPr>
      <w:r>
        <w:rPr>
          <w:rFonts w:hint="eastAsia"/>
          <w:b/>
          <w:bCs/>
          <w:color w:val="auto"/>
          <w:sz w:val="24"/>
          <w:highlight w:val="none"/>
        </w:rPr>
        <w:t>（2）无线网卡清单</w:t>
      </w:r>
    </w:p>
    <w:tbl>
      <w:tblPr>
        <w:tblStyle w:val="62"/>
        <w:tblW w:w="9458" w:type="dxa"/>
        <w:tblInd w:w="0" w:type="dxa"/>
        <w:tblLayout w:type="autofit"/>
        <w:tblCellMar>
          <w:top w:w="0" w:type="dxa"/>
          <w:left w:w="108" w:type="dxa"/>
          <w:bottom w:w="0" w:type="dxa"/>
          <w:right w:w="108" w:type="dxa"/>
        </w:tblCellMar>
      </w:tblPr>
      <w:tblGrid>
        <w:gridCol w:w="988"/>
        <w:gridCol w:w="2409"/>
        <w:gridCol w:w="993"/>
        <w:gridCol w:w="1921"/>
        <w:gridCol w:w="1638"/>
        <w:gridCol w:w="1509"/>
      </w:tblGrid>
      <w:tr>
        <w:tblPrEx>
          <w:tblCellMar>
            <w:top w:w="0" w:type="dxa"/>
            <w:left w:w="108" w:type="dxa"/>
            <w:bottom w:w="0" w:type="dxa"/>
            <w:right w:w="108" w:type="dxa"/>
          </w:tblCellMar>
        </w:tblPrEx>
        <w:trPr>
          <w:trHeight w:val="50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
                <w:bCs/>
                <w:color w:val="auto"/>
                <w:sz w:val="24"/>
                <w:highlight w:val="none"/>
              </w:rPr>
            </w:pPr>
            <w:r>
              <w:rPr>
                <w:rFonts w:hint="eastAsia"/>
                <w:b/>
                <w:bCs/>
                <w:color w:val="auto"/>
                <w:sz w:val="24"/>
                <w:highlight w:val="none"/>
              </w:rPr>
              <w:t>序号</w:t>
            </w:r>
          </w:p>
        </w:tc>
        <w:tc>
          <w:tcPr>
            <w:tcW w:w="240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bCs/>
                <w:color w:val="auto"/>
                <w:sz w:val="24"/>
                <w:highlight w:val="none"/>
              </w:rPr>
            </w:pPr>
            <w:r>
              <w:rPr>
                <w:rFonts w:hint="eastAsia"/>
                <w:b/>
                <w:bCs/>
                <w:color w:val="auto"/>
                <w:sz w:val="24"/>
                <w:highlight w:val="none"/>
              </w:rPr>
              <w:t>类型</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bCs/>
                <w:color w:val="auto"/>
                <w:sz w:val="24"/>
                <w:highlight w:val="none"/>
              </w:rPr>
            </w:pPr>
            <w:r>
              <w:rPr>
                <w:rFonts w:hint="eastAsia"/>
                <w:b/>
                <w:bCs/>
                <w:color w:val="auto"/>
                <w:sz w:val="24"/>
                <w:highlight w:val="none"/>
              </w:rPr>
              <w:t>数量</w:t>
            </w:r>
          </w:p>
        </w:tc>
        <w:tc>
          <w:tcPr>
            <w:tcW w:w="192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bCs/>
                <w:color w:val="auto"/>
                <w:sz w:val="24"/>
                <w:highlight w:val="none"/>
              </w:rPr>
            </w:pPr>
            <w:r>
              <w:rPr>
                <w:rFonts w:hint="eastAsia"/>
                <w:b/>
                <w:bCs/>
                <w:color w:val="auto"/>
                <w:sz w:val="24"/>
                <w:highlight w:val="none"/>
              </w:rPr>
              <w:t>套餐内容</w:t>
            </w:r>
          </w:p>
        </w:tc>
        <w:tc>
          <w:tcPr>
            <w:tcW w:w="163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bCs/>
                <w:color w:val="auto"/>
                <w:sz w:val="24"/>
                <w:highlight w:val="none"/>
              </w:rPr>
            </w:pPr>
            <w:r>
              <w:rPr>
                <w:rFonts w:hint="eastAsia"/>
                <w:b/>
                <w:bCs/>
                <w:color w:val="auto"/>
                <w:sz w:val="24"/>
                <w:highlight w:val="none"/>
              </w:rPr>
              <w:t>业务类型</w:t>
            </w:r>
          </w:p>
        </w:tc>
        <w:tc>
          <w:tcPr>
            <w:tcW w:w="150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
                <w:bCs/>
                <w:color w:val="auto"/>
                <w:sz w:val="24"/>
                <w:highlight w:val="none"/>
              </w:rPr>
            </w:pPr>
            <w:r>
              <w:rPr>
                <w:rFonts w:hint="eastAsia"/>
                <w:b/>
                <w:bCs/>
                <w:color w:val="auto"/>
                <w:sz w:val="24"/>
                <w:highlight w:val="none"/>
              </w:rPr>
              <w:t>服务期限</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海康执法记录仪专网卡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布控球专网卡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对讲机专网卡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指挥车专网卡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移动执法终端流量卡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应急专网卡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7</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执法艇设备数据服务卡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流量卡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blPrEx>
          <w:tblCellMar>
            <w:top w:w="0" w:type="dxa"/>
            <w:left w:w="108" w:type="dxa"/>
            <w:bottom w:w="0" w:type="dxa"/>
            <w:right w:w="108" w:type="dxa"/>
          </w:tblCellMar>
        </w:tblPrEx>
        <w:trPr>
          <w:trHeight w:val="25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执法记录仪物联网卡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r>
        <w:trPr>
          <w:trHeight w:val="271"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24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VHF项目布控球物联网卡</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p>
        </w:tc>
        <w:tc>
          <w:tcPr>
            <w:tcW w:w="1921"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63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509"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ind w:firstLine="482"/>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ind w:firstLine="482"/>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ind w:firstLine="482"/>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ind w:firstLine="482"/>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ind w:firstLine="643"/>
              <w:jc w:val="center"/>
              <w:rPr>
                <w:rFonts w:ascii="宋体" w:hAnsi="宋体" w:cs="宋体"/>
                <w:b/>
                <w:color w:val="auto"/>
                <w:kern w:val="0"/>
                <w:sz w:val="32"/>
                <w:szCs w:val="32"/>
                <w:highlight w:val="none"/>
              </w:rPr>
            </w:pPr>
          </w:p>
        </w:tc>
        <w:tc>
          <w:tcPr>
            <w:tcW w:w="3546" w:type="dxa"/>
          </w:tcPr>
          <w:p>
            <w:pPr>
              <w:ind w:firstLine="643"/>
              <w:jc w:val="center"/>
              <w:rPr>
                <w:rFonts w:ascii="宋体" w:hAnsi="宋体" w:cs="宋体"/>
                <w:b/>
                <w:color w:val="auto"/>
                <w:kern w:val="0"/>
                <w:sz w:val="32"/>
                <w:szCs w:val="32"/>
                <w:highlight w:val="none"/>
              </w:rPr>
            </w:pPr>
          </w:p>
        </w:tc>
        <w:tc>
          <w:tcPr>
            <w:tcW w:w="1276" w:type="dxa"/>
          </w:tcPr>
          <w:p>
            <w:pPr>
              <w:ind w:firstLine="643"/>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ind w:firstLine="643"/>
              <w:jc w:val="center"/>
              <w:rPr>
                <w:rFonts w:ascii="宋体" w:hAnsi="宋体" w:cs="宋体"/>
                <w:b/>
                <w:color w:val="auto"/>
                <w:kern w:val="0"/>
                <w:sz w:val="32"/>
                <w:szCs w:val="32"/>
                <w:highlight w:val="none"/>
              </w:rPr>
            </w:pPr>
          </w:p>
        </w:tc>
        <w:tc>
          <w:tcPr>
            <w:tcW w:w="3546" w:type="dxa"/>
          </w:tcPr>
          <w:p>
            <w:pPr>
              <w:ind w:firstLine="643"/>
              <w:jc w:val="center"/>
              <w:rPr>
                <w:rFonts w:ascii="宋体" w:hAnsi="宋体" w:cs="宋体"/>
                <w:b/>
                <w:color w:val="auto"/>
                <w:kern w:val="0"/>
                <w:sz w:val="32"/>
                <w:szCs w:val="32"/>
                <w:highlight w:val="none"/>
              </w:rPr>
            </w:pPr>
          </w:p>
        </w:tc>
        <w:tc>
          <w:tcPr>
            <w:tcW w:w="1276" w:type="dxa"/>
          </w:tcPr>
          <w:p>
            <w:pPr>
              <w:ind w:firstLine="643"/>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ind w:firstLine="643"/>
              <w:jc w:val="center"/>
              <w:rPr>
                <w:rFonts w:ascii="宋体" w:hAnsi="宋体" w:cs="宋体"/>
                <w:b/>
                <w:color w:val="auto"/>
                <w:kern w:val="0"/>
                <w:sz w:val="32"/>
                <w:szCs w:val="32"/>
                <w:highlight w:val="none"/>
              </w:rPr>
            </w:pPr>
          </w:p>
        </w:tc>
        <w:tc>
          <w:tcPr>
            <w:tcW w:w="3546" w:type="dxa"/>
          </w:tcPr>
          <w:p>
            <w:pPr>
              <w:ind w:firstLine="643"/>
              <w:jc w:val="center"/>
              <w:rPr>
                <w:rFonts w:ascii="宋体" w:hAnsi="宋体" w:cs="宋体"/>
                <w:b/>
                <w:color w:val="auto"/>
                <w:kern w:val="0"/>
                <w:sz w:val="32"/>
                <w:szCs w:val="32"/>
                <w:highlight w:val="none"/>
              </w:rPr>
            </w:pPr>
          </w:p>
        </w:tc>
        <w:tc>
          <w:tcPr>
            <w:tcW w:w="1276" w:type="dxa"/>
          </w:tcPr>
          <w:p>
            <w:pPr>
              <w:ind w:firstLine="643"/>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ind w:firstLine="643"/>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ind w:firstLine="643"/>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杭州市交通运输行政执法队、杭州市公共资源交易中心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420"/>
        <w:jc w:val="left"/>
        <w:rPr>
          <w:rFonts w:ascii="宋体" w:hAnsi="宋体" w:cs="宋体"/>
          <w:color w:val="auto"/>
          <w:kern w:val="0"/>
          <w:sz w:val="24"/>
          <w:highlight w:val="none"/>
          <w:lang w:val="zh-CN"/>
        </w:rPr>
      </w:pPr>
    </w:p>
    <w:p>
      <w:pPr>
        <w:autoSpaceDE w:val="0"/>
        <w:autoSpaceDN w:val="0"/>
        <w:spacing w:line="360" w:lineRule="auto"/>
        <w:ind w:left="-420"/>
        <w:jc w:val="left"/>
        <w:rPr>
          <w:rFonts w:ascii="宋体" w:hAnsi="宋体" w:cs="宋体"/>
          <w:color w:val="auto"/>
          <w:kern w:val="0"/>
          <w:sz w:val="24"/>
          <w:highlight w:val="none"/>
          <w:lang w:val="zh-CN"/>
        </w:rPr>
      </w:pPr>
    </w:p>
    <w:p>
      <w:pPr>
        <w:autoSpaceDE w:val="0"/>
        <w:autoSpaceDN w:val="0"/>
        <w:spacing w:line="360" w:lineRule="auto"/>
        <w:ind w:left="-420"/>
        <w:jc w:val="left"/>
        <w:rPr>
          <w:rFonts w:ascii="宋体" w:hAnsi="宋体" w:cs="宋体"/>
          <w:color w:val="auto"/>
          <w:kern w:val="0"/>
          <w:sz w:val="24"/>
          <w:highlight w:val="none"/>
          <w:lang w:val="zh-CN"/>
        </w:rPr>
      </w:pPr>
    </w:p>
    <w:p>
      <w:pPr>
        <w:autoSpaceDE w:val="0"/>
        <w:autoSpaceDN w:val="0"/>
        <w:spacing w:line="360" w:lineRule="auto"/>
        <w:ind w:left="2" w:leftChars="1" w:right="-4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ind w:firstLine="482"/>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ind w:firstLine="482"/>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ind w:firstLine="723"/>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ind w:firstLine="723"/>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ind w:firstLine="723"/>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（3）中小企业声明函………………………………………………………………（页码）</w:t>
      </w:r>
    </w:p>
    <w:p>
      <w:pPr>
        <w:snapToGrid w:val="0"/>
        <w:spacing w:line="360" w:lineRule="auto"/>
        <w:ind w:right="-420" w:firstLine="643"/>
        <w:jc w:val="center"/>
        <w:rPr>
          <w:rFonts w:ascii="宋体" w:hAnsi="宋体" w:cs="宋体"/>
          <w:b/>
          <w:color w:val="auto"/>
          <w:kern w:val="0"/>
          <w:sz w:val="32"/>
          <w:szCs w:val="32"/>
          <w:highlight w:val="none"/>
        </w:rPr>
      </w:pPr>
    </w:p>
    <w:p>
      <w:pPr>
        <w:snapToGrid w:val="0"/>
        <w:spacing w:line="360" w:lineRule="auto"/>
        <w:ind w:right="-420" w:firstLine="643"/>
        <w:jc w:val="center"/>
        <w:rPr>
          <w:rFonts w:ascii="宋体" w:hAnsi="宋体" w:cs="宋体"/>
          <w:b/>
          <w:color w:val="auto"/>
          <w:kern w:val="0"/>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杭州市交通运输行政执法队、杭州市公共资源交易中心</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杭州市交通运输行政执法队网络租赁项目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ind w:firstLine="482"/>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02"/>
        <w:gridCol w:w="1877"/>
        <w:gridCol w:w="2323"/>
        <w:gridCol w:w="2008"/>
        <w:gridCol w:w="308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r>
              <w:rPr>
                <w:rFonts w:hint="eastAsia" w:ascii="宋体" w:hAnsi="宋体" w:cs="宋体"/>
                <w:b/>
                <w:color w:val="auto"/>
                <w:sz w:val="24"/>
                <w:highlight w:val="none"/>
              </w:rPr>
              <w:t>序号</w:t>
            </w:r>
          </w:p>
        </w:tc>
        <w:tc>
          <w:tcPr>
            <w:tcW w:w="2902"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r>
              <w:rPr>
                <w:rFonts w:hint="eastAsia" w:ascii="宋体" w:hAnsi="宋体" w:cs="宋体"/>
                <w:b/>
                <w:color w:val="auto"/>
                <w:sz w:val="24"/>
                <w:highlight w:val="none"/>
              </w:rPr>
              <w:t>名称</w:t>
            </w:r>
          </w:p>
        </w:tc>
        <w:tc>
          <w:tcPr>
            <w:tcW w:w="1877" w:type="dxa"/>
          </w:tcPr>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r>
              <w:rPr>
                <w:rFonts w:hint="eastAsia" w:ascii="宋体" w:hAnsi="宋体" w:cs="宋体"/>
                <w:b/>
                <w:color w:val="auto"/>
                <w:sz w:val="24"/>
                <w:highlight w:val="none"/>
              </w:rPr>
              <w:t>服务范围</w:t>
            </w:r>
          </w:p>
        </w:tc>
        <w:tc>
          <w:tcPr>
            <w:tcW w:w="2323"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r>
              <w:rPr>
                <w:rFonts w:hint="eastAsia" w:ascii="宋体" w:hAnsi="宋体" w:cs="宋体"/>
                <w:b/>
                <w:color w:val="auto"/>
                <w:sz w:val="24"/>
                <w:highlight w:val="none"/>
              </w:rPr>
              <w:t>服务要求</w:t>
            </w:r>
          </w:p>
        </w:tc>
        <w:tc>
          <w:tcPr>
            <w:tcW w:w="2008"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r>
              <w:rPr>
                <w:rFonts w:hint="eastAsia" w:ascii="宋体" w:hAnsi="宋体" w:cs="宋体"/>
                <w:b/>
                <w:color w:val="auto"/>
                <w:sz w:val="24"/>
                <w:highlight w:val="none"/>
              </w:rPr>
              <w:t>服务时间</w:t>
            </w:r>
          </w:p>
        </w:tc>
        <w:tc>
          <w:tcPr>
            <w:tcW w:w="3081"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r>
              <w:rPr>
                <w:rFonts w:hint="eastAsia" w:ascii="宋体" w:hAnsi="宋体" w:cs="宋体"/>
                <w:b/>
                <w:color w:val="auto"/>
                <w:sz w:val="24"/>
                <w:highlight w:val="none"/>
              </w:rPr>
              <w:t>服务标准</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r>
              <w:rPr>
                <w:rFonts w:hint="eastAsia" w:ascii="宋体" w:hAnsi="宋体" w:cs="宋体"/>
                <w:b/>
                <w:color w:val="auto"/>
                <w:sz w:val="24"/>
                <w:highlight w:val="none"/>
              </w:rPr>
              <w:t>备注（如果有）</w:t>
            </w:r>
          </w:p>
          <w:p>
            <w:pPr>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90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杭州市交通运输行政执法队网络租赁项目</w:t>
            </w:r>
          </w:p>
        </w:tc>
        <w:tc>
          <w:tcPr>
            <w:tcW w:w="1877" w:type="dxa"/>
            <w:vAlign w:val="center"/>
          </w:tcPr>
          <w:p>
            <w:pPr>
              <w:snapToGrid w:val="0"/>
              <w:spacing w:line="360" w:lineRule="auto"/>
              <w:jc w:val="center"/>
              <w:rPr>
                <w:rFonts w:ascii="宋体" w:hAnsi="宋体" w:cs="宋体"/>
                <w:color w:val="auto"/>
                <w:sz w:val="24"/>
                <w:highlight w:val="none"/>
              </w:rPr>
            </w:pPr>
          </w:p>
        </w:tc>
        <w:tc>
          <w:tcPr>
            <w:tcW w:w="2323" w:type="dxa"/>
            <w:vAlign w:val="center"/>
          </w:tcPr>
          <w:p>
            <w:pPr>
              <w:snapToGrid w:val="0"/>
              <w:spacing w:line="360" w:lineRule="auto"/>
              <w:jc w:val="center"/>
              <w:rPr>
                <w:rFonts w:ascii="宋体" w:hAnsi="宋体" w:cs="宋体"/>
                <w:color w:val="auto"/>
                <w:sz w:val="24"/>
                <w:highlight w:val="none"/>
              </w:rPr>
            </w:pPr>
          </w:p>
        </w:tc>
        <w:tc>
          <w:tcPr>
            <w:tcW w:w="2008"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按招标文件要求</w:t>
            </w:r>
          </w:p>
        </w:tc>
        <w:tc>
          <w:tcPr>
            <w:tcW w:w="3081" w:type="dxa"/>
            <w:vAlign w:val="center"/>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919" w:type="dxa"/>
            <w:gridSpan w:val="4"/>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215" w:type="dxa"/>
            <w:gridSpan w:val="3"/>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919" w:type="dxa"/>
            <w:gridSpan w:val="4"/>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215" w:type="dxa"/>
            <w:gridSpan w:val="3"/>
          </w:tcPr>
          <w:p>
            <w:pPr>
              <w:spacing w:line="360" w:lineRule="auto"/>
              <w:jc w:val="center"/>
              <w:rPr>
                <w:rFonts w:ascii="宋体" w:hAnsi="宋体" w:cs="宋体"/>
                <w:color w:val="auto"/>
                <w:sz w:val="24"/>
                <w:highlight w:val="none"/>
              </w:rPr>
            </w:pPr>
          </w:p>
        </w:tc>
      </w:tr>
    </w:tbl>
    <w:p>
      <w:pPr>
        <w:snapToGrid w:val="0"/>
        <w:spacing w:line="360" w:lineRule="auto"/>
        <w:ind w:left="-420" w:firstLine="482"/>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宋体" w:hAnsi="宋体" w:cs="宋体"/>
          <w:color w:val="auto"/>
          <w:kern w:val="0"/>
          <w:sz w:val="24"/>
          <w:highlight w:val="none"/>
          <w:lang w:val="zh-CN"/>
        </w:rPr>
      </w:pPr>
    </w:p>
    <w:p>
      <w:pPr>
        <w:snapToGrid w:val="0"/>
        <w:spacing w:line="360" w:lineRule="auto"/>
        <w:ind w:firstLine="480" w:firstLineChars="200"/>
        <w:jc w:val="left"/>
        <w:rPr>
          <w:rFonts w:hint="eastAsia" w:ascii="宋体" w:hAnsi="宋体" w:cs="宋体"/>
          <w:color w:val="auto"/>
          <w:kern w:val="0"/>
          <w:sz w:val="24"/>
          <w:highlight w:val="none"/>
          <w:lang w:val="zh-CN"/>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附：报价清单</w:t>
      </w:r>
    </w:p>
    <w:p>
      <w:pPr>
        <w:spacing w:line="360" w:lineRule="auto"/>
        <w:rPr>
          <w:b/>
          <w:bCs/>
          <w:color w:val="auto"/>
          <w:sz w:val="24"/>
          <w:highlight w:val="none"/>
        </w:rPr>
      </w:pPr>
      <w:r>
        <w:rPr>
          <w:rFonts w:hint="eastAsia"/>
          <w:b/>
          <w:bCs/>
          <w:color w:val="auto"/>
          <w:sz w:val="24"/>
          <w:highlight w:val="none"/>
        </w:rPr>
        <w:t>（1）线路清单</w:t>
      </w:r>
    </w:p>
    <w:tbl>
      <w:tblPr>
        <w:tblStyle w:val="62"/>
        <w:tblW w:w="9282" w:type="dxa"/>
        <w:tblInd w:w="0" w:type="dxa"/>
        <w:tblLayout w:type="autofit"/>
        <w:tblCellMar>
          <w:top w:w="0" w:type="dxa"/>
          <w:left w:w="108" w:type="dxa"/>
          <w:bottom w:w="0" w:type="dxa"/>
          <w:right w:w="108" w:type="dxa"/>
        </w:tblCellMar>
      </w:tblPr>
      <w:tblGrid>
        <w:gridCol w:w="837"/>
        <w:gridCol w:w="1383"/>
        <w:gridCol w:w="904"/>
        <w:gridCol w:w="1431"/>
        <w:gridCol w:w="1577"/>
        <w:gridCol w:w="1577"/>
        <w:gridCol w:w="1577"/>
      </w:tblGrid>
      <w:tr>
        <w:tblPrEx>
          <w:tblCellMar>
            <w:top w:w="0" w:type="dxa"/>
            <w:left w:w="108" w:type="dxa"/>
            <w:bottom w:w="0" w:type="dxa"/>
            <w:right w:w="108" w:type="dxa"/>
          </w:tblCellMar>
        </w:tblPrEx>
        <w:trPr>
          <w:trHeight w:val="511" w:hRule="atLeast"/>
        </w:trPr>
        <w:tc>
          <w:tcPr>
            <w:tcW w:w="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b/>
                <w:color w:val="auto"/>
                <w:sz w:val="24"/>
                <w:highlight w:val="none"/>
              </w:rPr>
              <w:t>序号</w:t>
            </w:r>
          </w:p>
        </w:tc>
        <w:tc>
          <w:tcPr>
            <w:tcW w:w="13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b/>
                <w:color w:val="auto"/>
                <w:sz w:val="24"/>
                <w:highlight w:val="none"/>
              </w:rPr>
              <w:t>线路类型</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b/>
                <w:color w:val="auto"/>
                <w:sz w:val="24"/>
                <w:highlight w:val="none"/>
              </w:rPr>
              <w:t>速率</w:t>
            </w:r>
          </w:p>
        </w:tc>
        <w:tc>
          <w:tcPr>
            <w:tcW w:w="144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rFonts w:hint="eastAsia"/>
                <w:b/>
                <w:color w:val="auto"/>
                <w:sz w:val="24"/>
                <w:highlight w:val="none"/>
              </w:rPr>
            </w:pPr>
            <w:r>
              <w:rPr>
                <w:rFonts w:hint="eastAsia"/>
                <w:b/>
                <w:color w:val="auto"/>
                <w:sz w:val="24"/>
                <w:highlight w:val="none"/>
              </w:rPr>
              <w:t>数量</w:t>
            </w:r>
          </w:p>
          <w:p>
            <w:pPr>
              <w:widowControl/>
              <w:adjustRightInd/>
              <w:spacing w:line="360" w:lineRule="auto"/>
              <w:ind w:firstLine="0"/>
              <w:jc w:val="center"/>
              <w:rPr>
                <w:rFonts w:hint="default" w:eastAsia="宋体"/>
                <w:b/>
                <w:color w:val="auto"/>
                <w:sz w:val="24"/>
                <w:highlight w:val="none"/>
                <w:lang w:val="en-US" w:eastAsia="zh-CN"/>
              </w:rPr>
            </w:pPr>
            <w:r>
              <w:rPr>
                <w:rFonts w:hint="eastAsia"/>
                <w:b/>
                <w:color w:val="auto"/>
                <w:sz w:val="24"/>
                <w:highlight w:val="none"/>
                <w:lang w:eastAsia="zh-CN"/>
              </w:rPr>
              <w:t>（</w:t>
            </w:r>
            <w:r>
              <w:rPr>
                <w:rFonts w:hint="eastAsia"/>
                <w:b/>
                <w:color w:val="auto"/>
                <w:sz w:val="24"/>
                <w:highlight w:val="none"/>
                <w:lang w:val="en-US" w:eastAsia="zh-CN"/>
              </w:rPr>
              <w:t>单位：条）</w:t>
            </w:r>
          </w:p>
        </w:tc>
        <w:tc>
          <w:tcPr>
            <w:tcW w:w="158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rFonts w:hint="default" w:eastAsia="宋体"/>
                <w:b/>
                <w:color w:val="auto"/>
                <w:sz w:val="24"/>
                <w:highlight w:val="none"/>
                <w:lang w:val="en-US" w:eastAsia="zh-CN"/>
              </w:rPr>
            </w:pPr>
            <w:r>
              <w:rPr>
                <w:rFonts w:hint="eastAsia"/>
                <w:b/>
                <w:color w:val="auto"/>
                <w:sz w:val="24"/>
                <w:highlight w:val="none"/>
                <w:lang w:val="en-US" w:eastAsia="zh-CN"/>
              </w:rPr>
              <w:t>服务时间</w:t>
            </w:r>
          </w:p>
        </w:tc>
        <w:tc>
          <w:tcPr>
            <w:tcW w:w="158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rFonts w:hint="eastAsia"/>
                <w:b/>
                <w:color w:val="auto"/>
                <w:sz w:val="24"/>
                <w:highlight w:val="none"/>
                <w:lang w:val="en-US" w:eastAsia="zh-CN"/>
              </w:rPr>
            </w:pPr>
            <w:r>
              <w:rPr>
                <w:rFonts w:hint="eastAsia"/>
                <w:b/>
                <w:color w:val="auto"/>
                <w:sz w:val="24"/>
                <w:highlight w:val="none"/>
                <w:lang w:val="en-US" w:eastAsia="zh-CN"/>
              </w:rPr>
              <w:t>每条线路每个月的单价</w:t>
            </w:r>
          </w:p>
          <w:p>
            <w:pPr>
              <w:widowControl/>
              <w:adjustRightInd/>
              <w:spacing w:line="360" w:lineRule="auto"/>
              <w:ind w:firstLine="0"/>
              <w:jc w:val="center"/>
              <w:rPr>
                <w:rFonts w:hint="default"/>
                <w:b/>
                <w:color w:val="auto"/>
                <w:sz w:val="24"/>
                <w:highlight w:val="none"/>
                <w:lang w:val="en-US" w:eastAsia="zh-CN"/>
              </w:rPr>
            </w:pPr>
            <w:r>
              <w:rPr>
                <w:rFonts w:hint="eastAsia"/>
                <w:b/>
                <w:color w:val="auto"/>
                <w:sz w:val="24"/>
                <w:highlight w:val="none"/>
                <w:lang w:val="en-US" w:eastAsia="zh-CN"/>
              </w:rPr>
              <w:t>（单位：元）</w:t>
            </w:r>
          </w:p>
        </w:tc>
        <w:tc>
          <w:tcPr>
            <w:tcW w:w="158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ind w:firstLine="0"/>
              <w:jc w:val="center"/>
              <w:rPr>
                <w:b/>
                <w:color w:val="auto"/>
                <w:sz w:val="24"/>
                <w:highlight w:val="none"/>
              </w:rPr>
            </w:pPr>
            <w:r>
              <w:rPr>
                <w:rFonts w:hint="eastAsia"/>
                <w:b/>
                <w:color w:val="auto"/>
                <w:sz w:val="24"/>
                <w:highlight w:val="none"/>
              </w:rPr>
              <w:t>线路属性</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393"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VPN </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default" w:eastAsia="宋体"/>
                <w:color w:val="auto"/>
                <w:sz w:val="24"/>
                <w:highlight w:val="none"/>
                <w:lang w:val="en-US" w:eastAsia="zh-CN"/>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300M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477" w:hRule="exac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30</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52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7</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AIS/VHF</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11</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51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13</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153</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14</w:t>
            </w:r>
          </w:p>
        </w:tc>
        <w:tc>
          <w:tcPr>
            <w:tcW w:w="1393"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MSTP </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15</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16</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40M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17</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40M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18</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19</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物联网传输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21</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河道监控</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22</w:t>
            </w:r>
          </w:p>
        </w:tc>
        <w:tc>
          <w:tcPr>
            <w:tcW w:w="1393"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数字电路</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23</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24</w:t>
            </w:r>
          </w:p>
        </w:tc>
        <w:tc>
          <w:tcPr>
            <w:tcW w:w="1393" w:type="dxa"/>
            <w:vMerge w:val="restart"/>
            <w:tcBorders>
              <w:top w:val="nil"/>
              <w:left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裸光纤</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25</w:t>
            </w:r>
          </w:p>
        </w:tc>
        <w:tc>
          <w:tcPr>
            <w:tcW w:w="1393" w:type="dxa"/>
            <w:vMerge w:val="continue"/>
            <w:tcBorders>
              <w:left w:val="single" w:color="auto" w:sz="4" w:space="0"/>
              <w:right w:val="single" w:color="auto" w:sz="4" w:space="0"/>
            </w:tcBorders>
            <w:vAlign w:val="center"/>
          </w:tcPr>
          <w:p>
            <w:pPr>
              <w:spacing w:line="360" w:lineRule="auto"/>
              <w:jc w:val="center"/>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127</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视频监控（含电）</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nil"/>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26</w:t>
            </w:r>
          </w:p>
        </w:tc>
        <w:tc>
          <w:tcPr>
            <w:tcW w:w="1393" w:type="dxa"/>
            <w:vMerge w:val="continue"/>
            <w:tcBorders>
              <w:left w:val="single" w:color="auto" w:sz="4" w:space="0"/>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27</w:t>
            </w:r>
          </w:p>
        </w:tc>
        <w:tc>
          <w:tcPr>
            <w:tcW w:w="1393"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精品光宽带 </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28</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78</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29</w:t>
            </w:r>
          </w:p>
        </w:tc>
        <w:tc>
          <w:tcPr>
            <w:tcW w:w="139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互联网专线 </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100M </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30</w:t>
            </w:r>
          </w:p>
        </w:tc>
        <w:tc>
          <w:tcPr>
            <w:tcW w:w="139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光纤快线</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31</w:t>
            </w:r>
          </w:p>
        </w:tc>
        <w:tc>
          <w:tcPr>
            <w:tcW w:w="139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互联网光纤专线 </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50M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32</w:t>
            </w:r>
          </w:p>
        </w:tc>
        <w:tc>
          <w:tcPr>
            <w:tcW w:w="1393"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专线宽带</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33</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20M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办公网络</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34</w:t>
            </w:r>
          </w:p>
        </w:tc>
        <w:tc>
          <w:tcPr>
            <w:tcW w:w="1393"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 xml:space="preserve">互联网宽带 </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100M </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35</w:t>
            </w:r>
          </w:p>
        </w:tc>
        <w:tc>
          <w:tcPr>
            <w:tcW w:w="1393" w:type="dxa"/>
            <w:vMerge w:val="continue"/>
            <w:tcBorders>
              <w:top w:val="nil"/>
              <w:left w:val="single" w:color="auto" w:sz="4" w:space="0"/>
              <w:bottom w:val="single" w:color="000000" w:sz="4" w:space="0"/>
              <w:right w:val="single" w:color="auto" w:sz="4" w:space="0"/>
            </w:tcBorders>
            <w:vAlign w:val="center"/>
          </w:tcPr>
          <w:p>
            <w:pPr>
              <w:widowControl/>
              <w:adjustRightInd/>
              <w:spacing w:line="360" w:lineRule="auto"/>
              <w:jc w:val="left"/>
              <w:rPr>
                <w:bCs/>
                <w:color w:val="auto"/>
                <w:sz w:val="24"/>
                <w:highlight w:val="none"/>
              </w:rPr>
            </w:pP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 xml:space="preserve">50M </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视频传输</w:t>
            </w:r>
          </w:p>
        </w:tc>
      </w:tr>
      <w:tr>
        <w:tblPrEx>
          <w:tblCellMar>
            <w:top w:w="0" w:type="dxa"/>
            <w:left w:w="108" w:type="dxa"/>
            <w:bottom w:w="0" w:type="dxa"/>
            <w:right w:w="108" w:type="dxa"/>
          </w:tblCellMar>
        </w:tblPrEx>
        <w:trPr>
          <w:trHeight w:val="280" w:hRule="atLeast"/>
        </w:trPr>
        <w:tc>
          <w:tcPr>
            <w:tcW w:w="84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36</w:t>
            </w:r>
          </w:p>
        </w:tc>
        <w:tc>
          <w:tcPr>
            <w:tcW w:w="1393"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商务专线</w:t>
            </w:r>
          </w:p>
        </w:tc>
        <w:tc>
          <w:tcPr>
            <w:tcW w:w="842"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left"/>
              <w:rPr>
                <w:bCs/>
                <w:color w:val="auto"/>
                <w:sz w:val="24"/>
                <w:highlight w:val="none"/>
              </w:rPr>
            </w:pPr>
            <w:r>
              <w:rPr>
                <w:rFonts w:hint="eastAsia"/>
                <w:color w:val="auto"/>
                <w:sz w:val="24"/>
                <w:highlight w:val="none"/>
              </w:rPr>
              <w:t>1000M</w:t>
            </w:r>
          </w:p>
        </w:tc>
        <w:tc>
          <w:tcPr>
            <w:tcW w:w="1441"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lang w:val="en-US" w:eastAsia="zh-CN"/>
              </w:rPr>
              <w:t>12个月</w:t>
            </w: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rFonts w:hint="eastAsia"/>
                <w:color w:val="auto"/>
                <w:sz w:val="24"/>
                <w:highlight w:val="none"/>
              </w:rPr>
            </w:pPr>
          </w:p>
        </w:tc>
        <w:tc>
          <w:tcPr>
            <w:tcW w:w="1588" w:type="dxa"/>
            <w:tcBorders>
              <w:top w:val="nil"/>
              <w:left w:val="nil"/>
              <w:bottom w:val="single" w:color="auto" w:sz="4" w:space="0"/>
              <w:right w:val="single" w:color="auto" w:sz="4" w:space="0"/>
            </w:tcBorders>
            <w:shd w:val="clear" w:color="000000" w:fill="FFFFFF"/>
            <w:noWrap/>
            <w:vAlign w:val="center"/>
          </w:tcPr>
          <w:p>
            <w:pPr>
              <w:widowControl/>
              <w:adjustRightInd/>
              <w:spacing w:line="360" w:lineRule="auto"/>
              <w:jc w:val="center"/>
              <w:rPr>
                <w:bCs/>
                <w:color w:val="auto"/>
                <w:sz w:val="24"/>
                <w:highlight w:val="none"/>
              </w:rPr>
            </w:pPr>
            <w:r>
              <w:rPr>
                <w:rFonts w:hint="eastAsia"/>
                <w:color w:val="auto"/>
                <w:sz w:val="24"/>
                <w:highlight w:val="none"/>
              </w:rPr>
              <w:t>业务传输</w:t>
            </w:r>
          </w:p>
        </w:tc>
      </w:tr>
    </w:tbl>
    <w:p>
      <w:pPr>
        <w:spacing w:line="360" w:lineRule="auto"/>
        <w:rPr>
          <w:rFonts w:hint="eastAsia"/>
          <w:color w:val="auto"/>
          <w:sz w:val="24"/>
          <w:highlight w:val="none"/>
        </w:rPr>
      </w:pPr>
    </w:p>
    <w:p>
      <w:pPr>
        <w:spacing w:line="360" w:lineRule="auto"/>
        <w:rPr>
          <w:b/>
          <w:bCs/>
          <w:color w:val="auto"/>
          <w:sz w:val="24"/>
          <w:highlight w:val="none"/>
        </w:rPr>
      </w:pPr>
      <w:r>
        <w:rPr>
          <w:rFonts w:hint="eastAsia"/>
          <w:b/>
          <w:bCs/>
          <w:color w:val="auto"/>
          <w:sz w:val="24"/>
          <w:highlight w:val="none"/>
        </w:rPr>
        <w:t>（2）无线网卡清单</w:t>
      </w:r>
    </w:p>
    <w:tbl>
      <w:tblPr>
        <w:tblStyle w:val="62"/>
        <w:tblW w:w="9675" w:type="dxa"/>
        <w:tblInd w:w="0" w:type="dxa"/>
        <w:tblLayout w:type="fixed"/>
        <w:tblCellMar>
          <w:top w:w="0" w:type="dxa"/>
          <w:left w:w="108" w:type="dxa"/>
          <w:bottom w:w="0" w:type="dxa"/>
          <w:right w:w="108" w:type="dxa"/>
        </w:tblCellMar>
      </w:tblPr>
      <w:tblGrid>
        <w:gridCol w:w="631"/>
        <w:gridCol w:w="2128"/>
        <w:gridCol w:w="1156"/>
        <w:gridCol w:w="1560"/>
        <w:gridCol w:w="1276"/>
        <w:gridCol w:w="1266"/>
        <w:gridCol w:w="1658"/>
      </w:tblGrid>
      <w:tr>
        <w:tblPrEx>
          <w:tblCellMar>
            <w:top w:w="0" w:type="dxa"/>
            <w:left w:w="108" w:type="dxa"/>
            <w:bottom w:w="0" w:type="dxa"/>
            <w:right w:w="108" w:type="dxa"/>
          </w:tblCellMar>
        </w:tblPrEx>
        <w:trPr>
          <w:trHeight w:val="505" w:hRule="atLeast"/>
        </w:trPr>
        <w:tc>
          <w:tcPr>
            <w:tcW w:w="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序号</w:t>
            </w:r>
          </w:p>
        </w:tc>
        <w:tc>
          <w:tcPr>
            <w:tcW w:w="212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类型</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r>
              <w:rPr>
                <w:rFonts w:hint="eastAsia"/>
                <w:color w:val="auto"/>
                <w:sz w:val="24"/>
                <w:highlight w:val="none"/>
              </w:rPr>
              <w:t>数量</w:t>
            </w:r>
          </w:p>
          <w:p>
            <w:pPr>
              <w:widowControl/>
              <w:adjustRightInd/>
              <w:spacing w:line="360" w:lineRule="auto"/>
              <w:jc w:val="center"/>
              <w:rPr>
                <w:rFonts w:hint="default" w:eastAsia="宋体"/>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单位：张）</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套餐内容</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业务类型</w:t>
            </w:r>
          </w:p>
        </w:tc>
        <w:tc>
          <w:tcPr>
            <w:tcW w:w="126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服务期限</w:t>
            </w:r>
          </w:p>
        </w:tc>
        <w:tc>
          <w:tcPr>
            <w:tcW w:w="165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default" w:eastAsia="宋体"/>
                <w:color w:val="auto"/>
                <w:sz w:val="24"/>
                <w:highlight w:val="none"/>
                <w:lang w:val="en-US" w:eastAsia="zh-CN"/>
              </w:rPr>
            </w:pPr>
            <w:r>
              <w:rPr>
                <w:rFonts w:hint="eastAsia"/>
                <w:color w:val="auto"/>
                <w:sz w:val="24"/>
                <w:highlight w:val="none"/>
                <w:lang w:val="en-US" w:eastAsia="zh-CN"/>
              </w:rPr>
              <w:t>套餐每个月的单价（单位：元）</w:t>
            </w: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海康执法记录仪专网卡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233</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布控球专网卡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对讲机专网卡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850</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指挥车专网卡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移动执法终端流量卡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811</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3个月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6</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应急专网卡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45</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7</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执法艇设备数据服务卡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流量卡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53"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8</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执法记录仪物联网卡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400</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50GB/月全国专网流量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r>
        <w:tblPrEx>
          <w:tblCellMar>
            <w:top w:w="0" w:type="dxa"/>
            <w:left w:w="108" w:type="dxa"/>
            <w:bottom w:w="0" w:type="dxa"/>
            <w:right w:w="108" w:type="dxa"/>
          </w:tblCellMar>
        </w:tblPrEx>
        <w:trPr>
          <w:trHeight w:val="271" w:hRule="atLeast"/>
        </w:trPr>
        <w:tc>
          <w:tcPr>
            <w:tcW w:w="63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9</w:t>
            </w:r>
          </w:p>
        </w:tc>
        <w:tc>
          <w:tcPr>
            <w:tcW w:w="212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VHF项目布控球物联网卡</w:t>
            </w:r>
          </w:p>
        </w:tc>
        <w:tc>
          <w:tcPr>
            <w:tcW w:w="115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20GB/月全国专网流量</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物联网卡</w:t>
            </w:r>
          </w:p>
        </w:tc>
        <w:tc>
          <w:tcPr>
            <w:tcW w:w="1266"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bCs/>
                <w:color w:val="auto"/>
                <w:sz w:val="24"/>
                <w:highlight w:val="none"/>
              </w:rPr>
            </w:pPr>
            <w:r>
              <w:rPr>
                <w:rFonts w:hint="eastAsia"/>
                <w:color w:val="auto"/>
                <w:sz w:val="24"/>
                <w:highlight w:val="none"/>
              </w:rPr>
              <w:t>12个月</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spacing w:line="360" w:lineRule="auto"/>
              <w:jc w:val="center"/>
              <w:rPr>
                <w:rFonts w:hint="eastAsia"/>
                <w:color w:val="auto"/>
                <w:sz w:val="24"/>
                <w:highlight w:val="none"/>
              </w:rPr>
            </w:pPr>
          </w:p>
        </w:tc>
      </w:tr>
    </w:tbl>
    <w:p>
      <w:pPr>
        <w:pStyle w:val="692"/>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p>
    <w:p>
      <w:pPr>
        <w:pStyle w:val="692"/>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二、报价情况说明（如果有）</w:t>
      </w:r>
    </w:p>
    <w:p>
      <w:pPr>
        <w:pStyle w:val="692"/>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color w:val="auto"/>
          <w:kern w:val="2"/>
          <w:sz w:val="24"/>
          <w:szCs w:val="24"/>
          <w:highlight w:val="none"/>
        </w:rPr>
        <w:t>，否则投标无效</w:t>
      </w:r>
      <w:r>
        <w:rPr>
          <w:rFonts w:hint="eastAsia" w:ascii="宋体" w:hAnsi="宋体" w:eastAsia="宋体" w:cs="宋体"/>
          <w:b/>
          <w:bCs w:val="0"/>
          <w:color w:val="auto"/>
          <w:kern w:val="2"/>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spacing w:line="360" w:lineRule="auto"/>
        <w:ind w:firstLine="482" w:firstLineChars="200"/>
        <w:rPr>
          <w:rFonts w:ascii="宋体" w:hAnsi="宋体" w:cs="宋体"/>
          <w:b/>
          <w:color w:val="auto"/>
          <w:sz w:val="24"/>
          <w:highlight w:val="none"/>
        </w:rPr>
      </w:pPr>
    </w:p>
    <w:p>
      <w:pPr>
        <w:pStyle w:val="692"/>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三、</w:t>
      </w:r>
      <w:r>
        <w:rPr>
          <w:rFonts w:hint="eastAsia" w:ascii="宋体" w:hAnsi="宋体" w:eastAsia="宋体" w:cs="宋体"/>
          <w:color w:val="auto"/>
          <w:sz w:val="32"/>
          <w:szCs w:val="32"/>
          <w:highlight w:val="none"/>
        </w:rPr>
        <w:t>中小企业声明函（如果有）</w:t>
      </w:r>
    </w:p>
    <w:p>
      <w:pPr>
        <w:spacing w:line="360" w:lineRule="auto"/>
        <w:ind w:right="420" w:firstLine="0" w:firstLineChars="0"/>
        <w:rPr>
          <w:rFonts w:ascii="宋体" w:hAnsi="宋体" w:cs="宋体"/>
          <w:b/>
          <w:color w:val="auto"/>
          <w:kern w:val="0"/>
          <w:sz w:val="36"/>
          <w:szCs w:val="36"/>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8" w:name="OLE_LINK14"/>
      <w:bookmarkStart w:id="409" w:name="OLE_LINK13"/>
      <w:r>
        <w:rPr>
          <w:rFonts w:hint="eastAsia" w:ascii="宋体" w:hAnsi="宋体" w:cs="宋体"/>
          <w:b/>
          <w:color w:val="auto"/>
          <w:spacing w:val="6"/>
          <w:sz w:val="32"/>
          <w:szCs w:val="32"/>
          <w:highlight w:val="none"/>
        </w:rPr>
        <w:t>残疾人福利性单位声明函</w:t>
      </w:r>
    </w:p>
    <w:bookmarkEnd w:id="408"/>
    <w:bookmarkEnd w:id="409"/>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杭州市交通运输行政执法队</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杭州市交通运输行政执法队网络租赁项目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杭州市交通运输行政执法队</w:t>
      </w:r>
      <w:r>
        <w:rPr>
          <w:rFonts w:hint="eastAsia" w:ascii="宋体" w:hAnsi="宋体" w:cs="宋体"/>
          <w:color w:val="auto"/>
          <w:sz w:val="24"/>
          <w:highlight w:val="none"/>
          <w:u w:val="single"/>
        </w:rPr>
        <w:t>、杭州市公共资源交易中心：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杭州市交通运输行政执法队网络租赁项目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杭州市交通运输行政执法队网络租赁项目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10"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10"/>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11"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11"/>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12"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12"/>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杭州市交通运输行政执法队网络租赁项目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HZZFCG-2024-091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杭州市交通运输行政执法队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杭州市交通运输行政执法队网络租赁项目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kern w:val="0"/>
          <w:sz w:val="24"/>
          <w:highlight w:val="none"/>
          <w:u w:val="single"/>
        </w:rPr>
        <w:t xml:space="preserve"> 网络租赁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租赁和商务服务   </w:t>
      </w:r>
      <w:r>
        <w:rPr>
          <w:rFonts w:hint="eastAsia" w:ascii="宋体" w:hAnsi="宋体" w:cs="宋体"/>
          <w:color w:val="auto"/>
          <w:kern w:val="0"/>
          <w:sz w:val="24"/>
          <w:highlight w:val="none"/>
        </w:rPr>
        <w:t>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napToGrid w:val="0"/>
        <w:spacing w:line="360" w:lineRule="auto"/>
        <w:ind w:right="-420" w:firstLine="643"/>
        <w:jc w:val="left"/>
        <w:rPr>
          <w:rFonts w:ascii="宋体" w:hAnsi="宋体" w:eastAsia="宋体" w:cs="宋体"/>
          <w:color w:val="auto"/>
          <w:kern w:val="2"/>
          <w:sz w:val="32"/>
          <w:szCs w:val="32"/>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color w:val="auto"/>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Times New Roman"/>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p>
    <w:pPr>
      <w:ind w:firstLine="420"/>
    </w:pPr>
  </w:p>
  <w:p>
    <w:pPr>
      <w:ind w:firstLine="420"/>
    </w:pPr>
  </w:p>
  <w:p>
    <w:pPr>
      <w:ind w:firstLine="420"/>
    </w:pPr>
  </w:p>
  <w:p>
    <w:pPr>
      <w:ind w:firstLine="420"/>
    </w:pPr>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ind w:firstLine="360"/>
      <w:rPr>
        <w:rStyle w:val="72"/>
      </w:rPr>
    </w:pPr>
    <w:r>
      <w:fldChar w:fldCharType="begin"/>
    </w:r>
    <w:r>
      <w:rPr>
        <w:rStyle w:val="72"/>
      </w:rPr>
      <w:instrText xml:space="preserve">PAGE  </w:instrText>
    </w:r>
    <w:r>
      <w:fldChar w:fldCharType="end"/>
    </w:r>
  </w:p>
  <w:p>
    <w:pPr>
      <w:pStyle w:val="39"/>
      <w:ind w:right="-420" w:firstLine="360"/>
    </w:pPr>
  </w:p>
  <w:p>
    <w:pPr>
      <w:ind w:firstLine="420"/>
    </w:pPr>
  </w:p>
  <w:p>
    <w:pPr>
      <w:ind w:firstLine="420"/>
    </w:pPr>
  </w:p>
  <w:p>
    <w:pPr>
      <w:ind w:firstLine="420"/>
    </w:pPr>
  </w:p>
  <w:p>
    <w:pPr>
      <w:ind w:firstLine="420"/>
    </w:pP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3" w:name="_Toc164085800"/>
    <w:bookmarkStart w:id="414" w:name="_Toc91899912"/>
    <w:bookmarkStart w:id="415" w:name="_Toc131845147"/>
    <w:bookmarkStart w:id="416" w:name="_Toc36110187"/>
    <w:r>
      <w:rPr>
        <w:rFonts w:hint="eastAsia" w:ascii="仿宋_GB2312" w:eastAsia="仿宋_GB2312"/>
        <w:kern w:val="0"/>
        <w:szCs w:val="21"/>
      </w:rPr>
      <w:t xml:space="preserve"> 页</w:t>
    </w:r>
    <w:bookmarkEnd w:id="413"/>
    <w:bookmarkEnd w:id="414"/>
    <w:bookmarkEnd w:id="415"/>
    <w:bookmarkEnd w:id="416"/>
  </w:p>
  <w:p>
    <w:pPr>
      <w:ind w:firstLine="420"/>
    </w:pPr>
  </w:p>
  <w:p>
    <w:pPr>
      <w:ind w:firstLine="420"/>
    </w:pPr>
  </w:p>
  <w:p>
    <w:pPr>
      <w:ind w:firstLine="420"/>
    </w:pPr>
  </w:p>
  <w:p>
    <w:pPr>
      <w:ind w:firstLine="42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r>
      <w:t></w:t>
    </w:r>
    <w:r>
      <w:rPr>
        <w:rFonts w:hint="eastAsia"/>
      </w:rPr>
      <w:t xml:space="preserve">                                        </w:t>
    </w:r>
    <w:r>
      <w:t>杭州市政府采购公开招标文件</w:t>
    </w:r>
  </w:p>
  <w:p>
    <w:pPr>
      <w:ind w:firstLine="420"/>
    </w:pPr>
  </w:p>
  <w:p>
    <w:pPr>
      <w:ind w:firstLine="420"/>
    </w:pPr>
  </w:p>
  <w:p>
    <w:pPr>
      <w:ind w:firstLine="420"/>
    </w:pPr>
  </w:p>
  <w:p>
    <w:pPr>
      <w:ind w:firstLine="42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right"/>
      <w:rPr>
        <w:rFonts w:ascii="仿宋_GB2312" w:eastAsia="仿宋_GB2312"/>
        <w:b/>
        <w:i/>
        <w:iCs/>
        <w:u w:val="single"/>
      </w:rPr>
    </w:pPr>
    <w:r>
      <w:t>杭州市政府采购公开招标文件</w:t>
    </w:r>
  </w:p>
  <w:p>
    <w:pPr>
      <w:ind w:firstLine="420"/>
    </w:pPr>
  </w:p>
  <w:p>
    <w:pPr>
      <w:ind w:firstLine="420"/>
    </w:pPr>
  </w:p>
  <w:p>
    <w:pPr>
      <w:ind w:firstLine="420"/>
    </w:pPr>
  </w:p>
  <w:p>
    <w:pPr>
      <w:ind w:firstLine="420"/>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EDB98"/>
    <w:multiLevelType w:val="singleLevel"/>
    <w:tmpl w:val="A69EDB98"/>
    <w:lvl w:ilvl="0" w:tentative="0">
      <w:start w:val="6"/>
      <w:numFmt w:val="chineseCounting"/>
      <w:suff w:val="nothing"/>
      <w:lvlText w:val="%1、"/>
      <w:lvlJc w:val="left"/>
      <w:rPr>
        <w:rFonts w:hint="eastAsia"/>
      </w:rPr>
    </w:lvl>
  </w:abstractNum>
  <w:abstractNum w:abstractNumId="1">
    <w:nsid w:val="15FC1AB4"/>
    <w:multiLevelType w:val="multilevel"/>
    <w:tmpl w:val="15FC1AB4"/>
    <w:lvl w:ilvl="0" w:tentative="0">
      <w:start w:val="1"/>
      <w:numFmt w:val="japaneseCounting"/>
      <w:lvlText w:val="%1、"/>
      <w:lvlJc w:val="left"/>
      <w:pPr>
        <w:ind w:left="1145" w:hanging="720"/>
      </w:pPr>
      <w:rPr>
        <w:rFonts w:hint="default"/>
      </w:rPr>
    </w:lvl>
    <w:lvl w:ilvl="1" w:tentative="0">
      <w:start w:val="1"/>
      <w:numFmt w:val="lowerLetter"/>
      <w:lvlText w:val="%2)"/>
      <w:lvlJc w:val="left"/>
      <w:pPr>
        <w:ind w:left="1305" w:hanging="440"/>
      </w:pPr>
    </w:lvl>
    <w:lvl w:ilvl="2" w:tentative="0">
      <w:start w:val="1"/>
      <w:numFmt w:val="lowerRoman"/>
      <w:lvlText w:val="%3."/>
      <w:lvlJc w:val="right"/>
      <w:pPr>
        <w:ind w:left="1745" w:hanging="440"/>
      </w:pPr>
    </w:lvl>
    <w:lvl w:ilvl="3" w:tentative="0">
      <w:start w:val="1"/>
      <w:numFmt w:val="decimal"/>
      <w:lvlText w:val="%4."/>
      <w:lvlJc w:val="left"/>
      <w:pPr>
        <w:ind w:left="2185" w:hanging="440"/>
      </w:pPr>
    </w:lvl>
    <w:lvl w:ilvl="4" w:tentative="0">
      <w:start w:val="1"/>
      <w:numFmt w:val="lowerLetter"/>
      <w:lvlText w:val="%5)"/>
      <w:lvlJc w:val="left"/>
      <w:pPr>
        <w:ind w:left="2625" w:hanging="440"/>
      </w:pPr>
    </w:lvl>
    <w:lvl w:ilvl="5" w:tentative="0">
      <w:start w:val="1"/>
      <w:numFmt w:val="lowerRoman"/>
      <w:lvlText w:val="%6."/>
      <w:lvlJc w:val="right"/>
      <w:pPr>
        <w:ind w:left="3065" w:hanging="440"/>
      </w:pPr>
    </w:lvl>
    <w:lvl w:ilvl="6" w:tentative="0">
      <w:start w:val="1"/>
      <w:numFmt w:val="decimal"/>
      <w:lvlText w:val="%7."/>
      <w:lvlJc w:val="left"/>
      <w:pPr>
        <w:ind w:left="3505" w:hanging="440"/>
      </w:pPr>
    </w:lvl>
    <w:lvl w:ilvl="7" w:tentative="0">
      <w:start w:val="1"/>
      <w:numFmt w:val="lowerLetter"/>
      <w:lvlText w:val="%8)"/>
      <w:lvlJc w:val="left"/>
      <w:pPr>
        <w:ind w:left="3945" w:hanging="440"/>
      </w:pPr>
    </w:lvl>
    <w:lvl w:ilvl="8" w:tentative="0">
      <w:start w:val="1"/>
      <w:numFmt w:val="lowerRoman"/>
      <w:lvlText w:val="%9."/>
      <w:lvlJc w:val="right"/>
      <w:pPr>
        <w:ind w:left="4385" w:hanging="440"/>
      </w:pPr>
    </w:lvl>
  </w:abstractNum>
  <w:abstractNum w:abstractNumId="2">
    <w:nsid w:val="24B4475F"/>
    <w:multiLevelType w:val="multilevel"/>
    <w:tmpl w:val="24B4475F"/>
    <w:lvl w:ilvl="0" w:tentative="0">
      <w:start w:val="1"/>
      <w:numFmt w:val="bullet"/>
      <w:lvlText w:val=""/>
      <w:lvlJc w:val="left"/>
      <w:pPr>
        <w:ind w:left="860" w:hanging="440"/>
      </w:pPr>
      <w:rPr>
        <w:rFonts w:hint="default" w:ascii="Wingdings" w:hAnsi="Wingdings"/>
      </w:rPr>
    </w:lvl>
    <w:lvl w:ilvl="1" w:tentative="0">
      <w:start w:val="1"/>
      <w:numFmt w:val="bullet"/>
      <w:lvlText w:val=""/>
      <w:lvlJc w:val="left"/>
      <w:pPr>
        <w:ind w:left="1300" w:hanging="440"/>
      </w:pPr>
      <w:rPr>
        <w:rFonts w:hint="default" w:ascii="Wingdings" w:hAnsi="Wingdings"/>
      </w:rPr>
    </w:lvl>
    <w:lvl w:ilvl="2" w:tentative="0">
      <w:start w:val="1"/>
      <w:numFmt w:val="bullet"/>
      <w:lvlText w:val=""/>
      <w:lvlJc w:val="left"/>
      <w:pPr>
        <w:ind w:left="1740" w:hanging="440"/>
      </w:pPr>
      <w:rPr>
        <w:rFonts w:hint="default" w:ascii="Wingdings" w:hAnsi="Wingdings"/>
      </w:rPr>
    </w:lvl>
    <w:lvl w:ilvl="3" w:tentative="0">
      <w:start w:val="1"/>
      <w:numFmt w:val="bullet"/>
      <w:lvlText w:val=""/>
      <w:lvlJc w:val="left"/>
      <w:pPr>
        <w:ind w:left="2180" w:hanging="440"/>
      </w:pPr>
      <w:rPr>
        <w:rFonts w:hint="default" w:ascii="Wingdings" w:hAnsi="Wingdings"/>
      </w:rPr>
    </w:lvl>
    <w:lvl w:ilvl="4" w:tentative="0">
      <w:start w:val="1"/>
      <w:numFmt w:val="bullet"/>
      <w:lvlText w:val=""/>
      <w:lvlJc w:val="left"/>
      <w:pPr>
        <w:ind w:left="2620" w:hanging="440"/>
      </w:pPr>
      <w:rPr>
        <w:rFonts w:hint="default" w:ascii="Wingdings" w:hAnsi="Wingdings"/>
      </w:rPr>
    </w:lvl>
    <w:lvl w:ilvl="5" w:tentative="0">
      <w:start w:val="1"/>
      <w:numFmt w:val="bullet"/>
      <w:lvlText w:val=""/>
      <w:lvlJc w:val="left"/>
      <w:pPr>
        <w:ind w:left="3060" w:hanging="440"/>
      </w:pPr>
      <w:rPr>
        <w:rFonts w:hint="default" w:ascii="Wingdings" w:hAnsi="Wingdings"/>
      </w:rPr>
    </w:lvl>
    <w:lvl w:ilvl="6" w:tentative="0">
      <w:start w:val="1"/>
      <w:numFmt w:val="bullet"/>
      <w:lvlText w:val=""/>
      <w:lvlJc w:val="left"/>
      <w:pPr>
        <w:ind w:left="3500" w:hanging="440"/>
      </w:pPr>
      <w:rPr>
        <w:rFonts w:hint="default" w:ascii="Wingdings" w:hAnsi="Wingdings"/>
      </w:rPr>
    </w:lvl>
    <w:lvl w:ilvl="7" w:tentative="0">
      <w:start w:val="1"/>
      <w:numFmt w:val="bullet"/>
      <w:lvlText w:val=""/>
      <w:lvlJc w:val="left"/>
      <w:pPr>
        <w:ind w:left="3940" w:hanging="440"/>
      </w:pPr>
      <w:rPr>
        <w:rFonts w:hint="default" w:ascii="Wingdings" w:hAnsi="Wingdings"/>
      </w:rPr>
    </w:lvl>
    <w:lvl w:ilvl="8" w:tentative="0">
      <w:start w:val="1"/>
      <w:numFmt w:val="bullet"/>
      <w:lvlText w:val=""/>
      <w:lvlJc w:val="left"/>
      <w:pPr>
        <w:ind w:left="4380" w:hanging="44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xZDI1ODlhNWRlYjkxN2VjODFmOWI0MTRiZWU2ZjU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A03"/>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3FFF"/>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4CE7"/>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4A1A"/>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BE0"/>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6350"/>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B54"/>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3E61"/>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894"/>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0B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6DD2"/>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212"/>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096"/>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695"/>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915"/>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38BA"/>
    <w:rsid w:val="00934C8E"/>
    <w:rsid w:val="00934FEC"/>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797"/>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136"/>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7785C"/>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477"/>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638"/>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6E67"/>
    <w:rsid w:val="00C972CE"/>
    <w:rsid w:val="00C97463"/>
    <w:rsid w:val="00CA0492"/>
    <w:rsid w:val="00CA05B0"/>
    <w:rsid w:val="00CA0632"/>
    <w:rsid w:val="00CA0A04"/>
    <w:rsid w:val="00CA2528"/>
    <w:rsid w:val="00CA2937"/>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1F0D"/>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BE9"/>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1C3"/>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A30"/>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3B42"/>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64C"/>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0DAC"/>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EA3"/>
    <w:rsid w:val="010651D9"/>
    <w:rsid w:val="011F6449"/>
    <w:rsid w:val="01236AFB"/>
    <w:rsid w:val="01735F23"/>
    <w:rsid w:val="019F7441"/>
    <w:rsid w:val="01B37585"/>
    <w:rsid w:val="01D55165"/>
    <w:rsid w:val="01DF6BF8"/>
    <w:rsid w:val="01EC2C57"/>
    <w:rsid w:val="021612E4"/>
    <w:rsid w:val="025F0711"/>
    <w:rsid w:val="026B2E25"/>
    <w:rsid w:val="02794AFC"/>
    <w:rsid w:val="02824D4D"/>
    <w:rsid w:val="02DC4B10"/>
    <w:rsid w:val="02DD76CE"/>
    <w:rsid w:val="02F36323"/>
    <w:rsid w:val="02F5619C"/>
    <w:rsid w:val="0326446A"/>
    <w:rsid w:val="032D5555"/>
    <w:rsid w:val="036634D2"/>
    <w:rsid w:val="03AF6E0E"/>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CF24F0"/>
    <w:rsid w:val="07245D42"/>
    <w:rsid w:val="07264C62"/>
    <w:rsid w:val="07496F61"/>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82C33"/>
    <w:rsid w:val="09E04166"/>
    <w:rsid w:val="0A1C0718"/>
    <w:rsid w:val="0A3E7710"/>
    <w:rsid w:val="0A5B7E63"/>
    <w:rsid w:val="0AA374A5"/>
    <w:rsid w:val="0AAB7649"/>
    <w:rsid w:val="0AB953BA"/>
    <w:rsid w:val="0ABC5606"/>
    <w:rsid w:val="0B30404E"/>
    <w:rsid w:val="0B4C6C14"/>
    <w:rsid w:val="0B547599"/>
    <w:rsid w:val="0B631A88"/>
    <w:rsid w:val="0B683D45"/>
    <w:rsid w:val="0B7F3F11"/>
    <w:rsid w:val="0B884417"/>
    <w:rsid w:val="0B9F6417"/>
    <w:rsid w:val="0BF6188C"/>
    <w:rsid w:val="0BF73C91"/>
    <w:rsid w:val="0C075B6C"/>
    <w:rsid w:val="0C170175"/>
    <w:rsid w:val="0C21780C"/>
    <w:rsid w:val="0C571A41"/>
    <w:rsid w:val="0C5C1171"/>
    <w:rsid w:val="0C5E1CBC"/>
    <w:rsid w:val="0C615B50"/>
    <w:rsid w:val="0C8445DA"/>
    <w:rsid w:val="0C87121B"/>
    <w:rsid w:val="0CBA4E1D"/>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192426"/>
    <w:rsid w:val="12255233"/>
    <w:rsid w:val="12530213"/>
    <w:rsid w:val="127723A9"/>
    <w:rsid w:val="12862074"/>
    <w:rsid w:val="12883966"/>
    <w:rsid w:val="129E45B4"/>
    <w:rsid w:val="12D81596"/>
    <w:rsid w:val="12F11F28"/>
    <w:rsid w:val="13072A44"/>
    <w:rsid w:val="135F4BE2"/>
    <w:rsid w:val="139B1A0A"/>
    <w:rsid w:val="139D25C7"/>
    <w:rsid w:val="13BF3CE4"/>
    <w:rsid w:val="141008D8"/>
    <w:rsid w:val="14125FE6"/>
    <w:rsid w:val="146D271E"/>
    <w:rsid w:val="14982588"/>
    <w:rsid w:val="149A5AD9"/>
    <w:rsid w:val="14A7619D"/>
    <w:rsid w:val="14BA7E1E"/>
    <w:rsid w:val="150536C3"/>
    <w:rsid w:val="150C1963"/>
    <w:rsid w:val="151447A0"/>
    <w:rsid w:val="154A6454"/>
    <w:rsid w:val="15762120"/>
    <w:rsid w:val="15C15C32"/>
    <w:rsid w:val="16A8729C"/>
    <w:rsid w:val="16B33777"/>
    <w:rsid w:val="16BC70A7"/>
    <w:rsid w:val="16C6339E"/>
    <w:rsid w:val="172F2D79"/>
    <w:rsid w:val="17557BEF"/>
    <w:rsid w:val="17D349C1"/>
    <w:rsid w:val="180A664B"/>
    <w:rsid w:val="1830729E"/>
    <w:rsid w:val="1870062C"/>
    <w:rsid w:val="18817102"/>
    <w:rsid w:val="1882653B"/>
    <w:rsid w:val="18830A15"/>
    <w:rsid w:val="18852B28"/>
    <w:rsid w:val="188B5321"/>
    <w:rsid w:val="193261D5"/>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96C46"/>
    <w:rsid w:val="1C0459C2"/>
    <w:rsid w:val="1C1B3B4A"/>
    <w:rsid w:val="1C88086E"/>
    <w:rsid w:val="1C9B033A"/>
    <w:rsid w:val="1D266CE1"/>
    <w:rsid w:val="1D3963AF"/>
    <w:rsid w:val="1D6A673C"/>
    <w:rsid w:val="1D9247AE"/>
    <w:rsid w:val="1DB567EC"/>
    <w:rsid w:val="1DF51A98"/>
    <w:rsid w:val="1E2F53D8"/>
    <w:rsid w:val="1E3D060F"/>
    <w:rsid w:val="1E3F7D2E"/>
    <w:rsid w:val="1E4134E4"/>
    <w:rsid w:val="1E5062B3"/>
    <w:rsid w:val="1E523514"/>
    <w:rsid w:val="1E714A66"/>
    <w:rsid w:val="1E802593"/>
    <w:rsid w:val="1E8B6156"/>
    <w:rsid w:val="1E8C6387"/>
    <w:rsid w:val="1EA703CC"/>
    <w:rsid w:val="1EB7330C"/>
    <w:rsid w:val="1F0A0FF3"/>
    <w:rsid w:val="1F5771FF"/>
    <w:rsid w:val="1FE868A9"/>
    <w:rsid w:val="20034907"/>
    <w:rsid w:val="20173E4B"/>
    <w:rsid w:val="204E48BC"/>
    <w:rsid w:val="208921B3"/>
    <w:rsid w:val="20973DEB"/>
    <w:rsid w:val="20B26522"/>
    <w:rsid w:val="20B44310"/>
    <w:rsid w:val="211116EB"/>
    <w:rsid w:val="216133FC"/>
    <w:rsid w:val="21B5B083"/>
    <w:rsid w:val="21D56769"/>
    <w:rsid w:val="21E52EF3"/>
    <w:rsid w:val="21FB5D7B"/>
    <w:rsid w:val="21FE332A"/>
    <w:rsid w:val="22015E94"/>
    <w:rsid w:val="220B1C3D"/>
    <w:rsid w:val="221B2723"/>
    <w:rsid w:val="221D1D20"/>
    <w:rsid w:val="22334A87"/>
    <w:rsid w:val="22BE6801"/>
    <w:rsid w:val="22F8366E"/>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27C17"/>
    <w:rsid w:val="26A53EF9"/>
    <w:rsid w:val="26A94201"/>
    <w:rsid w:val="26AC274F"/>
    <w:rsid w:val="26BD6D45"/>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9F71032"/>
    <w:rsid w:val="2A15033F"/>
    <w:rsid w:val="2A1662C1"/>
    <w:rsid w:val="2A1C7367"/>
    <w:rsid w:val="2A2815FA"/>
    <w:rsid w:val="2A6D6092"/>
    <w:rsid w:val="2A7D76B4"/>
    <w:rsid w:val="2B437463"/>
    <w:rsid w:val="2B6D12EE"/>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5B360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587748"/>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7D419D"/>
    <w:rsid w:val="38BC0149"/>
    <w:rsid w:val="38D87D1C"/>
    <w:rsid w:val="39463BE4"/>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031FF"/>
    <w:rsid w:val="3EAF4836"/>
    <w:rsid w:val="3EC33DFA"/>
    <w:rsid w:val="3F060E16"/>
    <w:rsid w:val="3F1D1096"/>
    <w:rsid w:val="3F2F0234"/>
    <w:rsid w:val="3F6363FE"/>
    <w:rsid w:val="3F756B8F"/>
    <w:rsid w:val="3F95482B"/>
    <w:rsid w:val="4019356B"/>
    <w:rsid w:val="40592157"/>
    <w:rsid w:val="406E1CAE"/>
    <w:rsid w:val="40A0133A"/>
    <w:rsid w:val="40C31A53"/>
    <w:rsid w:val="40F5154D"/>
    <w:rsid w:val="40FF545D"/>
    <w:rsid w:val="410067C8"/>
    <w:rsid w:val="41720570"/>
    <w:rsid w:val="418F0D2A"/>
    <w:rsid w:val="41D01505"/>
    <w:rsid w:val="42474939"/>
    <w:rsid w:val="424C3C57"/>
    <w:rsid w:val="42602511"/>
    <w:rsid w:val="42613FF3"/>
    <w:rsid w:val="42660D96"/>
    <w:rsid w:val="428667D2"/>
    <w:rsid w:val="42CD1CE0"/>
    <w:rsid w:val="42E1381E"/>
    <w:rsid w:val="42ED6459"/>
    <w:rsid w:val="42FE58DD"/>
    <w:rsid w:val="43174B3D"/>
    <w:rsid w:val="434B790E"/>
    <w:rsid w:val="4360274F"/>
    <w:rsid w:val="43977AB6"/>
    <w:rsid w:val="43A3342B"/>
    <w:rsid w:val="43AF44C4"/>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632FEA"/>
    <w:rsid w:val="4AB82D0F"/>
    <w:rsid w:val="4AEB7664"/>
    <w:rsid w:val="4AFD7C19"/>
    <w:rsid w:val="4B0567D1"/>
    <w:rsid w:val="4B236AAE"/>
    <w:rsid w:val="4B2D6A25"/>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2713F"/>
    <w:rsid w:val="518832C8"/>
    <w:rsid w:val="51917E20"/>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64205"/>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71CF5"/>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585E94"/>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022145"/>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4A722A"/>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90264"/>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6C5EBE"/>
    <w:rsid w:val="6F8331F1"/>
    <w:rsid w:val="6F8566E4"/>
    <w:rsid w:val="6FAE1A09"/>
    <w:rsid w:val="6FB86358"/>
    <w:rsid w:val="6FD75BF8"/>
    <w:rsid w:val="707723D0"/>
    <w:rsid w:val="707D6A8A"/>
    <w:rsid w:val="70F5661B"/>
    <w:rsid w:val="713142E7"/>
    <w:rsid w:val="71360107"/>
    <w:rsid w:val="713B688E"/>
    <w:rsid w:val="71D43752"/>
    <w:rsid w:val="71F1796A"/>
    <w:rsid w:val="72154626"/>
    <w:rsid w:val="72262B5D"/>
    <w:rsid w:val="72283FF7"/>
    <w:rsid w:val="722E7212"/>
    <w:rsid w:val="723A0474"/>
    <w:rsid w:val="725923E4"/>
    <w:rsid w:val="726E5CBB"/>
    <w:rsid w:val="72864BF7"/>
    <w:rsid w:val="729023FC"/>
    <w:rsid w:val="73C0646E"/>
    <w:rsid w:val="73D73977"/>
    <w:rsid w:val="742222F5"/>
    <w:rsid w:val="742D24D5"/>
    <w:rsid w:val="74476126"/>
    <w:rsid w:val="74706664"/>
    <w:rsid w:val="747F3682"/>
    <w:rsid w:val="749C4185"/>
    <w:rsid w:val="75067759"/>
    <w:rsid w:val="75125103"/>
    <w:rsid w:val="752E6DCD"/>
    <w:rsid w:val="7551380D"/>
    <w:rsid w:val="75600BE5"/>
    <w:rsid w:val="7564475C"/>
    <w:rsid w:val="7583797F"/>
    <w:rsid w:val="75D20F1D"/>
    <w:rsid w:val="75DA2C18"/>
    <w:rsid w:val="75F54412"/>
    <w:rsid w:val="76037A29"/>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BB6E67"/>
    <w:rsid w:val="78E172CC"/>
    <w:rsid w:val="78EA1D1F"/>
    <w:rsid w:val="7904172F"/>
    <w:rsid w:val="790F7E27"/>
    <w:rsid w:val="792A231A"/>
    <w:rsid w:val="79316829"/>
    <w:rsid w:val="79537342"/>
    <w:rsid w:val="797E66A9"/>
    <w:rsid w:val="798518A4"/>
    <w:rsid w:val="79A97383"/>
    <w:rsid w:val="79E27E8B"/>
    <w:rsid w:val="79F850CE"/>
    <w:rsid w:val="79FD443C"/>
    <w:rsid w:val="7A1D1975"/>
    <w:rsid w:val="7A3E5150"/>
    <w:rsid w:val="7A4670D6"/>
    <w:rsid w:val="7A534B63"/>
    <w:rsid w:val="7A615382"/>
    <w:rsid w:val="7A67303B"/>
    <w:rsid w:val="7A831D0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D52645"/>
    <w:rsid w:val="7EF56FBB"/>
    <w:rsid w:val="7F0768EB"/>
    <w:rsid w:val="7F143BEC"/>
    <w:rsid w:val="7F715AF2"/>
    <w:rsid w:val="7F772616"/>
    <w:rsid w:val="7F886E69"/>
    <w:rsid w:val="7FFE0F09"/>
    <w:rsid w:val="BB7FA927"/>
    <w:rsid w:val="D6DE5EB8"/>
    <w:rsid w:val="F5FFD31F"/>
    <w:rsid w:val="FB9C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9"/>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9"/>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99"/>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59"/>
    <w:autoRedefine/>
    <w:qFormat/>
    <w:uiPriority w:val="99"/>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8"/>
    <w:autoRedefine/>
    <w:qFormat/>
    <w:uiPriority w:val="9"/>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9"/>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5"/>
    <w:autoRedefine/>
    <w:qFormat/>
    <w:uiPriority w:val="0"/>
    <w:rPr>
      <w:rFonts w:ascii="宋体"/>
      <w:kern w:val="2"/>
      <w:sz w:val="24"/>
      <w:szCs w:val="21"/>
      <w:lang w:val="zh-CN"/>
    </w:rPr>
  </w:style>
  <w:style w:type="character" w:customStyle="1" w:styleId="181">
    <w:name w:val="标题 9 字符"/>
    <w:link w:val="11"/>
    <w:autoRedefine/>
    <w:qFormat/>
    <w:uiPriority w:val="9"/>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99"/>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6"/>
    <w:autoRedefine/>
    <w:qFormat/>
    <w:uiPriority w:val="0"/>
    <w:rPr>
      <w:rFonts w:ascii="黑体" w:hAnsi="Courier New" w:eastAsia="黑体"/>
    </w:rPr>
  </w:style>
  <w:style w:type="character" w:customStyle="1" w:styleId="301">
    <w:name w:val="正文文本 2 字符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9"/>
    <w:autoRedefine/>
    <w:qFormat/>
    <w:uiPriority w:val="9"/>
    <w:rPr>
      <w:b/>
      <w:bCs/>
      <w:kern w:val="2"/>
      <w:sz w:val="24"/>
      <w:szCs w:val="24"/>
    </w:rPr>
  </w:style>
  <w:style w:type="character" w:customStyle="1" w:styleId="307">
    <w:name w:val="正文文本缩进 2 字符"/>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autoRedefine/>
    <w:qFormat/>
    <w:uiPriority w:val="99"/>
    <w:rPr>
      <w:kern w:val="2"/>
      <w:sz w:val="21"/>
      <w:szCs w:val="24"/>
    </w:rPr>
  </w:style>
  <w:style w:type="character" w:customStyle="1" w:styleId="344">
    <w:name w:val="签名 字符"/>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autoRedefine/>
    <w:qFormat/>
    <w:uiPriority w:val="9"/>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99"/>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7"/>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Revision"/>
    <w:hidden/>
    <w:unhideWhenUsed/>
    <w:uiPriority w:val="99"/>
    <w:rPr>
      <w:rFonts w:ascii="Times New Roman" w:hAnsi="Times New Roman" w:eastAsia="宋体" w:cs="Times New Roman"/>
      <w:kern w:val="2"/>
      <w:sz w:val="21"/>
      <w:szCs w:val="24"/>
      <w:lang w:val="en-US" w:eastAsia="zh-CN" w:bidi="ar-SA"/>
    </w:rPr>
  </w:style>
  <w:style w:type="paragraph" w:customStyle="1" w:styleId="965">
    <w:name w:val="DX 图片"/>
    <w:basedOn w:val="1"/>
    <w:next w:val="1"/>
    <w:link w:val="966"/>
    <w:autoRedefine/>
    <w:qFormat/>
    <w:uiPriority w:val="0"/>
    <w:pPr>
      <w:spacing w:line="360" w:lineRule="auto"/>
      <w:jc w:val="center"/>
    </w:pPr>
    <w:rPr>
      <w:rFonts w:ascii="宋体" w:hAnsi="宋体" w:cs="宋体"/>
      <w:b/>
      <w:bCs/>
      <w:kern w:val="44"/>
      <w:sz w:val="44"/>
      <w:szCs w:val="44"/>
    </w:rPr>
  </w:style>
  <w:style w:type="character" w:customStyle="1" w:styleId="966">
    <w:name w:val="DX 图片 字符"/>
    <w:link w:val="965"/>
    <w:autoRedefine/>
    <w:qFormat/>
    <w:uiPriority w:val="0"/>
    <w:rPr>
      <w:rFonts w:ascii="宋体" w:hAnsi="宋体" w:cs="宋体"/>
      <w:b/>
      <w:bCs/>
      <w:kern w:val="44"/>
      <w:sz w:val="44"/>
      <w:szCs w:val="44"/>
    </w:rPr>
  </w:style>
  <w:style w:type="paragraph" w:customStyle="1" w:styleId="967">
    <w:name w:val="xl95"/>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bCs/>
      <w:color w:val="000000"/>
      <w:kern w:val="0"/>
      <w:sz w:val="24"/>
      <w:szCs w:val="21"/>
    </w:rPr>
  </w:style>
  <w:style w:type="paragraph" w:customStyle="1" w:styleId="968">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bCs/>
      <w:color w:val="000000"/>
      <w:kern w:val="0"/>
      <w:sz w:val="24"/>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128</Pages>
  <Words>11668</Words>
  <Characters>66509</Characters>
  <Lines>554</Lines>
  <Paragraphs>156</Paragraphs>
  <TotalTime>26</TotalTime>
  <ScaleCrop>false</ScaleCrop>
  <LinksUpToDate>false</LinksUpToDate>
  <CharactersWithSpaces>78021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2024-04-23T05:32:00Z</dcterms:created>
  <dc:creator>玥</dc:creator>
  <cp:lastModifiedBy>Administrator</cp:lastModifiedBy>
  <cp:lastPrinted>2021-12-27T19:06:00Z</cp:lastPrinted>
  <dcterms:modified xsi:type="dcterms:W3CDTF">2024-04-26T11:14:31Z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