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bookmarkStart w:id="417" w:name="_GoBack"/>
      <w:bookmarkEnd w:id="417"/>
    </w:p>
    <w:p>
      <w:pPr>
        <w:adjustRightInd/>
        <w:spacing w:line="360" w:lineRule="auto"/>
        <w:jc w:val="center"/>
        <w:rPr>
          <w:rFonts w:ascii="宋体" w:hAnsi="宋体" w:cs="宋体"/>
          <w:b/>
          <w:color w:val="auto"/>
          <w:sz w:val="48"/>
          <w:szCs w:val="48"/>
        </w:rPr>
      </w:pP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杭州市特种设备检验科学研究院</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（杭州市特种设备应急处置中心）</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2024年度检验业务车辆租赁项目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编号:HZZFCG-2024-054</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ascii="宋体" w:hAnsi="宋体" w:cs="宋体"/>
          <w:color w:val="auto"/>
          <w:sz w:val="32"/>
          <w:szCs w:val="32"/>
        </w:rPr>
      </w:pPr>
      <w:r>
        <w:rPr>
          <w:rFonts w:hint="eastAsia" w:ascii="宋体" w:hAnsi="宋体" w:cs="宋体"/>
          <w:color w:val="auto"/>
          <w:sz w:val="32"/>
          <w:szCs w:val="32"/>
        </w:rPr>
        <w:t>杭州市特种设备检验科学研究院（杭州市特种设备应急处置中心）</w:t>
      </w:r>
    </w:p>
    <w:p>
      <w:pPr>
        <w:spacing w:line="360" w:lineRule="auto"/>
        <w:jc w:val="center"/>
        <w:rPr>
          <w:rFonts w:ascii="宋体" w:hAnsi="宋体" w:cs="宋体"/>
          <w:bCs/>
          <w:color w:val="auto"/>
          <w:sz w:val="32"/>
          <w:szCs w:val="32"/>
        </w:rPr>
      </w:pPr>
      <w:r>
        <w:rPr>
          <w:rFonts w:hint="eastAsia" w:ascii="宋体" w:hAnsi="宋体" w:cs="宋体"/>
          <w:bCs/>
          <w:color w:val="auto"/>
          <w:sz w:val="32"/>
          <w:szCs w:val="32"/>
        </w:rPr>
        <w:t>杭州市公共资源交易中心</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二〇二四年</w:t>
      </w:r>
      <w:r>
        <w:rPr>
          <w:rFonts w:hint="eastAsia" w:ascii="宋体" w:hAnsi="宋体" w:cs="宋体"/>
          <w:bCs/>
          <w:color w:val="auto"/>
          <w:sz w:val="32"/>
          <w:szCs w:val="32"/>
          <w:lang w:val="en-US" w:eastAsia="zh-CN"/>
        </w:rPr>
        <w:t>四</w:t>
      </w:r>
      <w:r>
        <w:rPr>
          <w:rFonts w:hint="eastAsia" w:ascii="宋体" w:hAnsi="宋体" w:cs="宋体"/>
          <w:bCs/>
          <w:color w:val="auto"/>
          <w:sz w:val="32"/>
          <w:szCs w:val="32"/>
        </w:rPr>
        <w:t>月</w:t>
      </w:r>
      <w:r>
        <w:rPr>
          <w:rFonts w:hint="eastAsia" w:ascii="宋体" w:hAnsi="宋体" w:cs="宋体"/>
          <w:bCs/>
          <w:color w:val="auto"/>
          <w:sz w:val="32"/>
          <w:szCs w:val="32"/>
          <w:lang w:val="en-US" w:eastAsia="zh-CN"/>
        </w:rPr>
        <w:t>十六</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pStyle w:val="636"/>
        <w:rPr>
          <w:color w:val="auto"/>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rPr>
        <w:t>杭州市特种设备检验科学研究院（杭州市特种设备应急处置中心）2024年度检验业务车辆租赁项目</w:t>
      </w:r>
      <w:r>
        <w:rPr>
          <w:rFonts w:hint="eastAsia" w:ascii="宋体" w:hAnsi="宋体" w:cs="宋体"/>
          <w:color w:val="auto"/>
          <w:sz w:val="24"/>
        </w:rPr>
        <w:t>招标项目的潜在投标人应在政采云平台（https://www.zcygov.cn/）获取（下载）招标文件，并于</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11</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bCs/>
          <w:color w:val="auto"/>
          <w:sz w:val="24"/>
          <w:u w:val="single"/>
        </w:rPr>
        <w:t>00秒</w:t>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rPr>
        <w:t>HZZFCG-2024-054</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rPr>
        <w:t>杭州市特种设备检验科学研究院（杭州市特种设备应急处置中心）2024年度检验业务车辆租赁项目</w:t>
      </w:r>
    </w:p>
    <w:p>
      <w:pPr>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Style w:val="76"/>
          <w:rFonts w:hint="eastAsia" w:ascii="宋体" w:hAnsi="宋体" w:eastAsia="宋体" w:cs="宋体"/>
          <w:snapToGrid/>
          <w:color w:val="auto"/>
          <w:kern w:val="2"/>
          <w:sz w:val="24"/>
          <w:szCs w:val="24"/>
        </w:rPr>
        <w:t>2800000</w:t>
      </w:r>
      <w:r>
        <w:rPr>
          <w:rFonts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b/>
          <w:color w:val="auto"/>
          <w:sz w:val="24"/>
        </w:rPr>
        <w:t>最高限价（元）：</w:t>
      </w:r>
      <w:r>
        <w:rPr>
          <w:rStyle w:val="76"/>
          <w:rFonts w:hint="eastAsia" w:ascii="宋体" w:hAnsi="宋体" w:eastAsia="宋体" w:cs="宋体"/>
          <w:snapToGrid/>
          <w:color w:val="auto"/>
          <w:kern w:val="2"/>
          <w:sz w:val="24"/>
          <w:szCs w:val="24"/>
        </w:rPr>
        <w:t>2800000</w:t>
      </w:r>
      <w:r>
        <w:rPr>
          <w:rFonts w:ascii="宋体" w:hAnsi="宋体" w:cs="宋体"/>
          <w:color w:val="auto"/>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auto"/>
          <w:kern w:val="2"/>
          <w:sz w:val="24"/>
          <w:szCs w:val="24"/>
        </w:rPr>
        <w:t>杭州市特种设备检验科学研究院（杭州市特种设备应急处置中心）2024年度检验业务车辆租赁项目</w:t>
      </w:r>
      <w:r>
        <w:rPr>
          <w:rFonts w:hint="eastAsia" w:hAnsi="宋体" w:cs="宋体"/>
          <w:bCs/>
          <w:snapToGrid/>
          <w:color w:val="auto"/>
          <w:kern w:val="2"/>
          <w:sz w:val="24"/>
          <w:szCs w:val="24"/>
        </w:rPr>
        <w:t>主要内容：</w:t>
      </w:r>
      <w:r>
        <w:rPr>
          <w:rFonts w:hint="eastAsia" w:asciiTheme="minorEastAsia" w:hAnsiTheme="minorEastAsia" w:eastAsiaTheme="minorEastAsia"/>
          <w:bCs/>
          <w:snapToGrid/>
          <w:color w:val="auto"/>
          <w:kern w:val="2"/>
          <w:sz w:val="24"/>
          <w:szCs w:val="24"/>
        </w:rPr>
        <w:t>汽车租赁服务，其中满足招标文件车辆总数60辆（其中燃油或油电混动车数量不低于50辆，新能源纯电动车不多于10辆），其余必须符合国家规定。租赁车辆（不含司机），用于日常检验及应急保障用车等。具体费用包含租赁车辆12个月的全部费用，包括租赁费用、GPS安装与使用服务费用、车辆贴膜费用、轮胎修补及更换费用、行车记录仪、保险费用（覆盖全部险种，包括交强险、车损险、第三者责任保险（≥200万）、车上人员险）、维修及保养费用、汽油费用（含本单位外新能源车充电费用）、过路过桥费用、停车费用、年审费用、车辆折旧费、管理费、各种税费等一切费用</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0"/>
        <w:ind w:firstLine="482"/>
        <w:outlineLvl w:val="2"/>
        <w:rPr>
          <w:rFonts w:ascii="宋体" w:hAnsi="宋体" w:cs="宋体"/>
          <w:color w:val="auto"/>
        </w:rPr>
      </w:pPr>
      <w:r>
        <w:rPr>
          <w:rFonts w:hint="eastAsia" w:ascii="宋体" w:hAnsi="宋体" w:cs="宋体"/>
          <w:b/>
          <w:color w:val="auto"/>
        </w:rPr>
        <w:t>合同履约期限：</w:t>
      </w:r>
      <w:r>
        <w:rPr>
          <w:rFonts w:hint="eastAsia" w:asciiTheme="minorEastAsia" w:hAnsiTheme="minorEastAsia" w:eastAsiaTheme="minorEastAsia"/>
          <w:bCs/>
          <w:color w:val="auto"/>
          <w:szCs w:val="24"/>
        </w:rPr>
        <w:t>合同期限为1年（合同从车辆到位交接之日起算）。</w:t>
      </w:r>
      <w:r>
        <w:rPr>
          <w:rFonts w:hint="eastAsia" w:ascii="宋体" w:hAnsi="宋体" w:cs="宋体"/>
          <w:b/>
          <w:bCs/>
          <w:color w:val="auto"/>
        </w:rPr>
        <w:t>特别说明：</w:t>
      </w:r>
      <w:r>
        <w:rPr>
          <w:rFonts w:ascii="宋体" w:hAnsi="宋体" w:cs="宋体"/>
          <w:snapToGrid w:val="0"/>
          <w:color w:val="auto"/>
          <w:kern w:val="28"/>
          <w:szCs w:val="24"/>
        </w:rPr>
        <w:t>如中标人不是原供应商，</w:t>
      </w:r>
      <w:r>
        <w:rPr>
          <w:rFonts w:hint="eastAsia" w:ascii="宋体" w:hAnsi="宋体" w:cs="宋体"/>
          <w:snapToGrid w:val="0"/>
          <w:color w:val="auto"/>
          <w:kern w:val="28"/>
          <w:szCs w:val="24"/>
        </w:rPr>
        <w:t>原供应商202</w:t>
      </w:r>
      <w:r>
        <w:rPr>
          <w:rFonts w:ascii="宋体" w:hAnsi="宋体" w:cs="宋体"/>
          <w:snapToGrid w:val="0"/>
          <w:color w:val="auto"/>
          <w:kern w:val="28"/>
          <w:szCs w:val="24"/>
        </w:rPr>
        <w:t>4</w:t>
      </w:r>
      <w:r>
        <w:rPr>
          <w:rFonts w:hint="eastAsia" w:ascii="宋体" w:hAnsi="宋体" w:cs="宋体"/>
          <w:snapToGrid w:val="0"/>
          <w:color w:val="auto"/>
          <w:kern w:val="28"/>
          <w:szCs w:val="24"/>
        </w:rPr>
        <w:t>年</w:t>
      </w:r>
      <w:r>
        <w:rPr>
          <w:rFonts w:ascii="宋体" w:hAnsi="宋体" w:cs="宋体"/>
          <w:snapToGrid w:val="0"/>
          <w:color w:val="auto"/>
          <w:kern w:val="28"/>
          <w:szCs w:val="24"/>
        </w:rPr>
        <w:t>5</w:t>
      </w:r>
      <w:r>
        <w:rPr>
          <w:rFonts w:hint="eastAsia" w:ascii="宋体" w:hAnsi="宋体" w:cs="宋体"/>
          <w:snapToGrid w:val="0"/>
          <w:color w:val="auto"/>
          <w:kern w:val="28"/>
          <w:szCs w:val="24"/>
        </w:rPr>
        <w:t>月</w:t>
      </w:r>
      <w:r>
        <w:rPr>
          <w:rFonts w:ascii="宋体" w:hAnsi="宋体" w:cs="宋体"/>
          <w:snapToGrid w:val="0"/>
          <w:color w:val="auto"/>
          <w:kern w:val="28"/>
          <w:szCs w:val="24"/>
        </w:rPr>
        <w:t>1</w:t>
      </w:r>
      <w:r>
        <w:rPr>
          <w:rFonts w:hint="eastAsia" w:ascii="宋体" w:hAnsi="宋体" w:cs="宋体"/>
          <w:snapToGrid w:val="0"/>
          <w:color w:val="auto"/>
          <w:kern w:val="28"/>
          <w:szCs w:val="24"/>
        </w:rPr>
        <w:t>日至交接之日所产生的费用，由中标人支付，费用标准以本次项目中标报价的日均价计算。</w:t>
      </w:r>
    </w:p>
    <w:p>
      <w:pPr>
        <w:pStyle w:val="5"/>
        <w:spacing w:line="360" w:lineRule="auto"/>
        <w:ind w:firstLine="480"/>
        <w:rPr>
          <w:rFonts w:hAnsi="宋体" w:cs="宋体"/>
          <w:b/>
          <w:color w:val="auto"/>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w:t>
      </w:r>
      <w:r>
        <w:rPr>
          <w:rFonts w:hint="eastAsia" w:ascii="宋体" w:hAnsi="宋体" w:cs="宋体"/>
          <w:color w:val="auto"/>
          <w:sz w:val="24"/>
          <w:u w:val="single"/>
        </w:rPr>
        <w:t xml:space="preserve"> /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p>
    <w:p>
      <w:pPr>
        <w:snapToGrid w:val="0"/>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50898254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sz w:val="24"/>
        </w:rPr>
        <w:t>无。</w:t>
      </w:r>
    </w:p>
    <w:p>
      <w:pPr>
        <w:snapToGrid w:val="0"/>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60711229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sz w:val="24"/>
        </w:rPr>
        <w:t>有特定资格要求：</w:t>
      </w:r>
      <w:r>
        <w:rPr>
          <w:rFonts w:hint="eastAsia" w:ascii="宋体" w:hAnsi="宋体" w:cs="宋体"/>
          <w:color w:val="auto"/>
          <w:sz w:val="24"/>
          <w:u w:val="single"/>
        </w:rPr>
        <w:t xml:space="preserve">  </w:t>
      </w:r>
      <w:r>
        <w:rPr>
          <w:rFonts w:hint="eastAsia" w:cs="仿宋" w:asciiTheme="minorEastAsia" w:hAnsiTheme="minorEastAsia" w:eastAsiaTheme="minorEastAsia"/>
          <w:b/>
          <w:color w:val="auto"/>
          <w:sz w:val="24"/>
          <w:u w:val="single"/>
        </w:rPr>
        <w:t>取得汽车租赁经营备案证（有有效期的，在有效期内）</w:t>
      </w:r>
      <w:r>
        <w:rPr>
          <w:rFonts w:hint="eastAsia" w:ascii="宋体" w:hAnsi="宋体" w:cs="宋体"/>
          <w:color w:val="auto"/>
          <w:sz w:val="24"/>
          <w:u w:val="single"/>
        </w:rPr>
        <w:t xml:space="preserve"> </w:t>
      </w:r>
      <w:r>
        <w:rPr>
          <w:rFonts w:hint="eastAsia" w:ascii="宋体" w:hAnsi="宋体" w:cs="宋体"/>
          <w:color w:val="auto"/>
          <w:sz w:val="24"/>
        </w:rPr>
        <w:t>，该特定条件的法律法规依据：</w:t>
      </w:r>
      <w:r>
        <w:rPr>
          <w:rFonts w:hint="eastAsia" w:ascii="宋体" w:hAnsi="宋体" w:cs="宋体"/>
          <w:color w:val="auto"/>
          <w:sz w:val="24"/>
          <w:u w:val="single"/>
        </w:rPr>
        <w:t xml:space="preserve">   </w:t>
      </w:r>
      <w:r>
        <w:rPr>
          <w:rFonts w:hint="eastAsia" w:ascii="宋体" w:hAnsi="宋体" w:cs="宋体"/>
          <w:color w:val="auto"/>
          <w:sz w:val="24"/>
          <w:u w:val="single"/>
        </w:rPr>
        <w:t xml:space="preserve">《浙江省道路运输条例》第三章第四节五十七条 </w:t>
      </w:r>
      <w:r>
        <w:rPr>
          <w:rFonts w:hint="eastAsia" w:ascii="宋体" w:hAnsi="宋体" w:cs="宋体"/>
          <w:color w:val="auto"/>
          <w:sz w:val="24"/>
          <w:u w:val="single"/>
        </w:rPr>
        <w:t xml:space="preserve">   </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11</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11</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bCs/>
          <w:color w:val="auto"/>
          <w:sz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rPr>
        <w:t>2024年</w:t>
      </w:r>
      <w:r>
        <w:rPr>
          <w:rFonts w:hint="eastAsia" w:ascii="宋体" w:hAnsi="宋体" w:cs="宋体"/>
          <w:color w:val="auto"/>
          <w:sz w:val="24"/>
          <w:u w:val="single"/>
          <w:lang w:val="en-US" w:eastAsia="zh-CN"/>
        </w:rPr>
        <w:t>5</w:t>
      </w:r>
      <w:r>
        <w:rPr>
          <w:rFonts w:hint="eastAsia" w:ascii="宋体" w:hAnsi="宋体" w:cs="宋体"/>
          <w:color w:val="auto"/>
          <w:sz w:val="24"/>
          <w:u w:val="single"/>
        </w:rPr>
        <w:t>月</w:t>
      </w:r>
      <w:r>
        <w:rPr>
          <w:rFonts w:hint="eastAsia" w:ascii="宋体" w:hAnsi="宋体" w:cs="宋体"/>
          <w:color w:val="auto"/>
          <w:sz w:val="24"/>
          <w:u w:val="single"/>
          <w:lang w:val="en-US" w:eastAsia="zh-CN"/>
        </w:rPr>
        <w:t>11</w:t>
      </w:r>
      <w:r>
        <w:rPr>
          <w:rFonts w:hint="eastAsia" w:ascii="宋体" w:hAnsi="宋体" w:cs="宋体"/>
          <w:color w:val="auto"/>
          <w:sz w:val="24"/>
          <w:u w:val="single"/>
        </w:rPr>
        <w:t>日</w:t>
      </w:r>
      <w:r>
        <w:rPr>
          <w:rFonts w:hint="eastAsia" w:ascii="宋体" w:hAnsi="宋体" w:cs="宋体"/>
          <w:color w:val="auto"/>
          <w:sz w:val="24"/>
          <w:u w:val="single"/>
          <w:lang w:val="en-US" w:eastAsia="zh-CN"/>
        </w:rPr>
        <w:t>9</w:t>
      </w:r>
      <w:r>
        <w:rPr>
          <w:rFonts w:hint="eastAsia" w:ascii="宋体" w:hAnsi="宋体" w:cs="宋体"/>
          <w:color w:val="auto"/>
          <w:sz w:val="24"/>
          <w:u w:val="single"/>
        </w:rPr>
        <w:t>点</w:t>
      </w:r>
      <w:r>
        <w:rPr>
          <w:rFonts w:hint="eastAsia" w:ascii="宋体" w:hAnsi="宋体" w:cs="宋体"/>
          <w:color w:val="auto"/>
          <w:sz w:val="24"/>
          <w:u w:val="single"/>
          <w:lang w:val="en-US" w:eastAsia="zh-CN"/>
        </w:rPr>
        <w:t>30</w:t>
      </w:r>
      <w:r>
        <w:rPr>
          <w:rFonts w:hint="eastAsia" w:ascii="宋体" w:hAnsi="宋体" w:cs="宋体"/>
          <w:color w:val="auto"/>
          <w:sz w:val="24"/>
          <w:u w:val="single"/>
        </w:rPr>
        <w:t>分</w:t>
      </w:r>
      <w:r>
        <w:rPr>
          <w:rFonts w:hint="eastAsia" w:ascii="宋体" w:hAnsi="宋体" w:cs="宋体"/>
          <w:bCs/>
          <w:color w:val="auto"/>
          <w:sz w:val="24"/>
          <w:u w:val="single"/>
        </w:rPr>
        <w:t>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rPr>
          <w:rFonts w:ascii="宋体" w:hAnsi="宋体" w:cs="宋体"/>
          <w:color w:val="auto"/>
          <w:sz w:val="24"/>
        </w:rPr>
      </w:pPr>
      <w:r>
        <w:rPr>
          <w:rFonts w:hint="eastAsia" w:ascii="宋体" w:hAnsi="宋体" w:cs="宋体"/>
          <w:color w:val="auto"/>
          <w:sz w:val="24"/>
        </w:rPr>
        <w:t xml:space="preserve">    名    称：杭州市特种设备检验科学研究院（杭州市特种设备应急处置中心） </w:t>
      </w:r>
    </w:p>
    <w:p>
      <w:pPr>
        <w:spacing w:line="360" w:lineRule="auto"/>
        <w:rPr>
          <w:rFonts w:asciiTheme="minorEastAsia" w:hAnsiTheme="minorEastAsia" w:eastAsiaTheme="minorEastAsia"/>
          <w:color w:val="auto"/>
          <w:sz w:val="24"/>
        </w:rPr>
      </w:pPr>
      <w:r>
        <w:rPr>
          <w:rFonts w:hint="eastAsia" w:ascii="宋体" w:hAnsi="宋体" w:cs="宋体"/>
          <w:color w:val="auto"/>
          <w:sz w:val="24"/>
        </w:rPr>
        <w:t xml:space="preserve">    </w:t>
      </w:r>
      <w:r>
        <w:rPr>
          <w:rFonts w:asciiTheme="minorEastAsia" w:hAnsiTheme="minorEastAsia" w:eastAsiaTheme="minorEastAsia"/>
          <w:color w:val="auto"/>
          <w:sz w:val="24"/>
        </w:rPr>
        <w:t>地    址：</w:t>
      </w:r>
      <w:r>
        <w:rPr>
          <w:rFonts w:hint="eastAsia" w:asciiTheme="minorEastAsia" w:hAnsiTheme="minorEastAsia" w:eastAsiaTheme="minorEastAsia"/>
          <w:color w:val="auto"/>
          <w:sz w:val="24"/>
        </w:rPr>
        <w:t>浙江省杭州市</w:t>
      </w:r>
      <w:r>
        <w:rPr>
          <w:rFonts w:hint="eastAsia" w:cs="仿宋" w:asciiTheme="minorEastAsia" w:hAnsiTheme="minorEastAsia" w:eastAsiaTheme="minorEastAsia"/>
          <w:color w:val="auto"/>
          <w:sz w:val="24"/>
        </w:rPr>
        <w:t>滨江区滨文路3</w:t>
      </w:r>
      <w:r>
        <w:rPr>
          <w:rFonts w:cs="仿宋" w:asciiTheme="minorEastAsia" w:hAnsiTheme="minorEastAsia" w:eastAsiaTheme="minorEastAsia"/>
          <w:color w:val="auto"/>
          <w:sz w:val="24"/>
        </w:rPr>
        <w:t>2</w:t>
      </w:r>
      <w:r>
        <w:rPr>
          <w:rFonts w:hint="eastAsia" w:cs="仿宋" w:asciiTheme="minorEastAsia" w:hAnsiTheme="minorEastAsia" w:eastAsiaTheme="minorEastAsia"/>
          <w:color w:val="auto"/>
          <w:sz w:val="24"/>
        </w:rPr>
        <w:t>号</w:t>
      </w:r>
      <w:r>
        <w:rPr>
          <w:rFonts w:hint="eastAsia" w:cs="仿宋_GB2312" w:asciiTheme="minorEastAsia" w:hAnsiTheme="minorEastAsia" w:eastAsiaTheme="minorEastAsia"/>
          <w:color w:val="auto"/>
          <w:sz w:val="24"/>
        </w:rPr>
        <w:t xml:space="preserve"> </w:t>
      </w:r>
      <w:r>
        <w:rPr>
          <w:rFonts w:asciiTheme="minorEastAsia" w:hAnsiTheme="minorEastAsia" w:eastAsiaTheme="minorEastAsia"/>
          <w:color w:val="auto"/>
          <w:sz w:val="24"/>
        </w:rPr>
        <w:t xml:space="preserve">      </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传</w:t>
      </w:r>
      <w:r>
        <w:rPr>
          <w:rFonts w:asciiTheme="minorEastAsia" w:hAnsiTheme="minorEastAsia" w:eastAsiaTheme="minorEastAsia"/>
          <w:color w:val="auto"/>
          <w:sz w:val="24"/>
        </w:rPr>
        <w:t xml:space="preserve">    真： /</w:t>
      </w:r>
    </w:p>
    <w:p>
      <w:pPr>
        <w:spacing w:line="360" w:lineRule="auto"/>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项目联系人（询问）：阎定兵 </w:t>
      </w:r>
      <w:r>
        <w:rPr>
          <w:rFonts w:asciiTheme="minorEastAsia" w:hAnsiTheme="minorEastAsia" w:eastAsiaTheme="minorEastAsia"/>
          <w:color w:val="auto"/>
          <w:sz w:val="24"/>
        </w:rPr>
        <w:t xml:space="preserve"> </w:t>
      </w:r>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color w:val="auto"/>
          <w:sz w:val="24"/>
        </w:rPr>
      </w:pPr>
      <w:r>
        <w:rPr>
          <w:rFonts w:asciiTheme="minorEastAsia" w:hAnsiTheme="minorEastAsia" w:eastAsiaTheme="minorEastAsia"/>
          <w:color w:val="auto"/>
          <w:sz w:val="24"/>
        </w:rPr>
        <w:t xml:space="preserve">    项目联系方式（询问）：</w:t>
      </w:r>
      <w:r>
        <w:rPr>
          <w:rFonts w:hint="eastAsia" w:cs="仿宋" w:asciiTheme="minorEastAsia" w:hAnsiTheme="minorEastAsia" w:eastAsiaTheme="minorEastAsia"/>
          <w:color w:val="auto"/>
          <w:sz w:val="24"/>
        </w:rPr>
        <w:t>0571-</w:t>
      </w:r>
      <w:r>
        <w:rPr>
          <w:rFonts w:hint="eastAsia" w:cs="仿宋" w:asciiTheme="minorEastAsia" w:hAnsiTheme="minorEastAsia" w:eastAsiaTheme="minorEastAsia"/>
          <w:color w:val="auto"/>
          <w:kern w:val="0"/>
          <w:sz w:val="24"/>
        </w:rPr>
        <w:t>87656372</w:t>
      </w:r>
      <w:r>
        <w:rPr>
          <w:rFonts w:hint="eastAsia" w:asciiTheme="minorEastAsia" w:hAnsiTheme="minorEastAsia" w:eastAsiaTheme="minorEastAsia"/>
          <w:color w:val="auto"/>
          <w:sz w:val="24"/>
        </w:rPr>
        <w:t xml:space="preserve"> </w:t>
      </w:r>
    </w:p>
    <w:p>
      <w:pPr>
        <w:spacing w:line="360" w:lineRule="auto"/>
        <w:rPr>
          <w:rFonts w:asciiTheme="minorEastAsia" w:hAnsiTheme="minorEastAsia" w:eastAsiaTheme="minorEastAsia"/>
          <w:color w:val="auto"/>
          <w:sz w:val="24"/>
        </w:rPr>
      </w:pPr>
      <w:r>
        <w:rPr>
          <w:rFonts w:asciiTheme="minorEastAsia" w:hAnsiTheme="minorEastAsia" w:eastAsiaTheme="minorEastAsia"/>
          <w:color w:val="auto"/>
          <w:sz w:val="24"/>
        </w:rPr>
        <w:t xml:space="preserve">    质疑联系人：</w:t>
      </w:r>
      <w:r>
        <w:rPr>
          <w:rFonts w:hint="eastAsia" w:cs="仿宋" w:asciiTheme="minorEastAsia" w:hAnsiTheme="minorEastAsia" w:eastAsiaTheme="minorEastAsia"/>
          <w:color w:val="auto"/>
          <w:sz w:val="24"/>
        </w:rPr>
        <w:t>任玉标</w:t>
      </w:r>
    </w:p>
    <w:p>
      <w:pPr>
        <w:spacing w:line="360" w:lineRule="auto"/>
        <w:rPr>
          <w:rFonts w:ascii="宋体" w:hAnsi="宋体" w:cs="宋体"/>
          <w:color w:val="auto"/>
          <w:sz w:val="24"/>
        </w:rPr>
      </w:pPr>
      <w:r>
        <w:rPr>
          <w:rFonts w:asciiTheme="minorEastAsia" w:hAnsiTheme="minorEastAsia" w:eastAsiaTheme="minorEastAsia"/>
          <w:color w:val="auto"/>
          <w:sz w:val="24"/>
        </w:rPr>
        <w:t xml:space="preserve">    质疑联系方式：</w:t>
      </w:r>
      <w:r>
        <w:rPr>
          <w:rFonts w:hint="eastAsia" w:cs="仿宋" w:asciiTheme="minorEastAsia" w:hAnsiTheme="minorEastAsia" w:eastAsiaTheme="minorEastAsia"/>
          <w:color w:val="auto"/>
          <w:sz w:val="24"/>
        </w:rPr>
        <w:t>0571-</w:t>
      </w:r>
      <w:r>
        <w:rPr>
          <w:rFonts w:hint="eastAsia" w:cs="宋体" w:asciiTheme="minorEastAsia" w:hAnsiTheme="minorEastAsia" w:eastAsiaTheme="minorEastAsia"/>
          <w:bCs/>
          <w:color w:val="auto"/>
          <w:kern w:val="0"/>
          <w:sz w:val="24"/>
        </w:rPr>
        <w:t>81391484</w:t>
      </w:r>
      <w:r>
        <w:rPr>
          <w:rFonts w:hint="eastAsia" w:ascii="宋体" w:hAnsi="宋体" w:cs="宋体"/>
          <w:color w:val="auto"/>
          <w:sz w:val="24"/>
        </w:rPr>
        <w:t xml:space="preserve"> （请通过以下路径在线提起质疑：政采云-项目采购-询问质疑投诉-质疑列表）</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称：杭州市公共资源交易中心</w:t>
      </w:r>
    </w:p>
    <w:p>
      <w:pPr>
        <w:spacing w:line="360" w:lineRule="auto"/>
        <w:ind w:firstLine="480"/>
        <w:rPr>
          <w:rFonts w:ascii="宋体" w:hAnsi="宋体" w:cs="宋体"/>
          <w:color w:val="auto"/>
          <w:sz w:val="24"/>
        </w:rPr>
      </w:pPr>
      <w:r>
        <w:rPr>
          <w:rFonts w:hint="eastAsia" w:ascii="宋体" w:hAnsi="宋体" w:cs="宋体"/>
          <w:color w:val="auto"/>
          <w:sz w:val="24"/>
        </w:rPr>
        <w:t>地    址：杭州市上城区之江路925号</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项目联系人（询问）： 曹工、张工</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项目联系方式（询问）：0571-85085082、85085067</w:t>
      </w:r>
    </w:p>
    <w:p>
      <w:pPr>
        <w:spacing w:line="360" w:lineRule="auto"/>
        <w:rPr>
          <w:rFonts w:ascii="宋体" w:hAnsi="宋体" w:cs="宋体"/>
          <w:color w:val="auto"/>
          <w:sz w:val="24"/>
        </w:rPr>
      </w:pPr>
      <w:r>
        <w:rPr>
          <w:rFonts w:hint="eastAsia" w:ascii="宋体" w:hAnsi="宋体" w:cs="宋体"/>
          <w:color w:val="auto"/>
          <w:sz w:val="24"/>
        </w:rPr>
        <w:t xml:space="preserve">    质疑联系人： 谢栋华</w:t>
      </w:r>
    </w:p>
    <w:p>
      <w:pPr>
        <w:spacing w:line="360" w:lineRule="auto"/>
        <w:rPr>
          <w:rFonts w:ascii="宋体" w:hAnsi="宋体" w:cs="宋体"/>
          <w:color w:val="auto"/>
          <w:sz w:val="24"/>
        </w:rPr>
      </w:pPr>
      <w:r>
        <w:rPr>
          <w:rFonts w:hint="eastAsia" w:ascii="宋体" w:hAnsi="宋体" w:cs="宋体"/>
          <w:color w:val="auto"/>
          <w:sz w:val="24"/>
        </w:rPr>
        <w:t xml:space="preserve">    质疑联系方式：0571-85085477（请通过以下路径在线提起质疑：政采云-项目采购-询问质疑投诉-质疑列表）</w:t>
      </w:r>
    </w:p>
    <w:p>
      <w:pPr>
        <w:spacing w:line="360" w:lineRule="auto"/>
        <w:rPr>
          <w:rFonts w:ascii="宋体" w:hAnsi="宋体" w:cs="宋体"/>
          <w:color w:val="auto"/>
          <w:sz w:val="24"/>
        </w:rPr>
      </w:pPr>
      <w:r>
        <w:rPr>
          <w:rFonts w:hint="eastAsia" w:ascii="宋体" w:hAnsi="宋体" w:cs="宋体"/>
          <w:color w:val="auto"/>
          <w:sz w:val="24"/>
        </w:rPr>
        <w:t xml:space="preserve">    3.同级政府采购监督管理部门 </w:t>
      </w:r>
    </w:p>
    <w:p>
      <w:pPr>
        <w:spacing w:line="360" w:lineRule="auto"/>
        <w:rPr>
          <w:rFonts w:ascii="宋体" w:hAnsi="宋体" w:cs="宋体"/>
          <w:color w:val="auto"/>
          <w:sz w:val="24"/>
        </w:rPr>
      </w:pPr>
      <w:r>
        <w:rPr>
          <w:rFonts w:hint="eastAsia" w:ascii="宋体" w:hAnsi="宋体" w:cs="宋体"/>
          <w:color w:val="auto"/>
          <w:sz w:val="24"/>
        </w:rPr>
        <w:t xml:space="preserve">   名    称：杭州市财政局政府采购监管处 /浙江省政府采购行政裁决服务中心（杭州）</w:t>
      </w:r>
    </w:p>
    <w:p>
      <w:pPr>
        <w:spacing w:line="360" w:lineRule="auto"/>
        <w:rPr>
          <w:rFonts w:ascii="宋体" w:hAnsi="宋体" w:cs="宋体"/>
          <w:color w:val="auto"/>
          <w:sz w:val="24"/>
        </w:rPr>
      </w:pPr>
      <w:r>
        <w:rPr>
          <w:rFonts w:hint="eastAsia" w:ascii="宋体" w:hAnsi="宋体" w:cs="宋体"/>
          <w:color w:val="auto"/>
          <w:sz w:val="24"/>
        </w:rPr>
        <w:t xml:space="preserve">    地    址：杭州市上城区四季青街道新业路市民之家G03办公室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ascii="宋体" w:hAnsi="宋体" w:cs="宋体"/>
          <w:color w:val="auto"/>
          <w:sz w:val="24"/>
        </w:rPr>
      </w:pPr>
      <w:r>
        <w:rPr>
          <w:rFonts w:hint="eastAsia" w:ascii="宋体" w:hAnsi="宋体" w:cs="宋体"/>
          <w:color w:val="auto"/>
          <w:sz w:val="24"/>
        </w:rPr>
        <w:t xml:space="preserve">    联系人 ：朱女士、王女士</w:t>
      </w:r>
    </w:p>
    <w:p>
      <w:pPr>
        <w:spacing w:line="360" w:lineRule="auto"/>
        <w:ind w:firstLine="480"/>
        <w:rPr>
          <w:rFonts w:ascii="宋体" w:hAnsi="宋体" w:cs="宋体"/>
          <w:color w:val="auto"/>
          <w:sz w:val="24"/>
        </w:rPr>
      </w:pPr>
      <w:r>
        <w:rPr>
          <w:rFonts w:hint="eastAsia" w:ascii="宋体" w:hAnsi="宋体" w:cs="宋体"/>
          <w:color w:val="auto"/>
          <w:sz w:val="24"/>
        </w:rPr>
        <w:t xml:space="preserve">监督投诉电话： 0571-85252453   </w:t>
      </w:r>
    </w:p>
    <w:p>
      <w:pPr>
        <w:spacing w:line="360" w:lineRule="auto"/>
        <w:ind w:firstLine="480"/>
        <w:rPr>
          <w:rFonts w:ascii="宋体" w:hAnsi="宋体" w:cs="宋体"/>
          <w:color w:val="auto"/>
          <w:sz w:val="24"/>
        </w:rPr>
      </w:pPr>
      <w:r>
        <w:rPr>
          <w:rFonts w:hint="eastAsia" w:ascii="宋体" w:hAnsi="宋体" w:cs="宋体"/>
          <w:color w:val="auto"/>
          <w:sz w:val="24"/>
        </w:rPr>
        <w:t>政策咨询：陈先生、厉先生，0571-89580460、89580456</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rPr>
            </w:pPr>
            <w:r>
              <w:rPr>
                <w:rFonts w:hint="eastAsia" w:ascii="宋体" w:hAnsi="宋体" w:cs="宋体"/>
                <w:color w:val="auto"/>
                <w:kern w:val="0"/>
                <w:sz w:val="24"/>
              </w:rPr>
              <w:t>标的：</w:t>
            </w:r>
            <w:r>
              <w:rPr>
                <w:rFonts w:hint="eastAsia" w:cs="Arial" w:asciiTheme="minorEastAsia" w:hAnsiTheme="minorEastAsia" w:eastAsiaTheme="minorEastAsia"/>
                <w:color w:val="auto"/>
                <w:kern w:val="0"/>
                <w:sz w:val="24"/>
                <w:u w:val="single"/>
              </w:rPr>
              <w:t>汽车租赁服务</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，属于:</w:t>
            </w:r>
            <w:r>
              <w:rPr>
                <w:rFonts w:hint="eastAsia" w:cs="宋体" w:asciiTheme="minorEastAsia" w:hAnsiTheme="minorEastAsia" w:eastAsiaTheme="minorEastAsia"/>
                <w:color w:val="auto"/>
                <w:kern w:val="0"/>
                <w:sz w:val="24"/>
                <w:u w:val="single"/>
              </w:rPr>
              <w:t xml:space="preserve"> </w:t>
            </w:r>
            <w:r>
              <w:rPr>
                <w:rFonts w:hint="eastAsia" w:cs="Arial" w:asciiTheme="minorEastAsia" w:hAnsiTheme="minorEastAsia" w:eastAsiaTheme="minorEastAsia"/>
                <w:color w:val="auto"/>
                <w:kern w:val="0"/>
                <w:sz w:val="24"/>
                <w:u w:val="single"/>
              </w:rPr>
              <w:t>租赁和商务服务业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 </w:t>
            </w:r>
            <w:r>
              <w:rPr>
                <w:rFonts w:hint="eastAsia" w:ascii="宋体" w:hAnsi="宋体" w:cs="宋体"/>
                <w:color w:val="auto"/>
                <w:kern w:val="0"/>
                <w:sz w:val="24"/>
              </w:rPr>
              <w:t>采购进口产品。优先采购向我国企业转让技术、与我国企业签订消化吸收再创新方案的供应商的进口产品，详见</w:t>
            </w:r>
            <w:r>
              <w:rPr>
                <w:rFonts w:hint="eastAsia" w:ascii="宋体" w:hAnsi="宋体" w:cs="宋体"/>
                <w:color w:val="auto"/>
                <w:kern w:val="0"/>
                <w:sz w:val="24"/>
                <w:u w:val="single"/>
              </w:rPr>
              <w:t>评分标准</w:t>
            </w: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Theme="minorEastAsia" w:hAnsiTheme="minorEastAsia" w:eastAsiaTheme="minorEastAsia"/>
                <w:color w:val="auto"/>
                <w:sz w:val="24"/>
                <w:u w:val="single"/>
              </w:rPr>
              <w:t>维修及保养服务、车辆加油服务、车辆保险</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   </w:t>
            </w:r>
            <w:r>
              <w:rPr>
                <w:rFonts w:hint="eastAsia" w:ascii="宋体" w:hAnsi="宋体" w:cs="宋体"/>
                <w:color w:val="auto"/>
                <w:sz w:val="24"/>
              </w:rPr>
              <w:t>,地点：</w:t>
            </w:r>
            <w:r>
              <w:rPr>
                <w:rFonts w:hint="eastAsia" w:ascii="宋体" w:hAnsi="宋体" w:cs="宋体"/>
                <w:color w:val="auto"/>
                <w:sz w:val="24"/>
                <w:u w:val="single"/>
              </w:rPr>
              <w:t xml:space="preserve">   /   </w:t>
            </w:r>
            <w:r>
              <w:rPr>
                <w:rFonts w:hint="eastAsia" w:ascii="宋体" w:hAnsi="宋体" w:cs="宋体"/>
                <w:color w:val="auto"/>
                <w:sz w:val="24"/>
              </w:rPr>
              <w:t>，联系人：</w:t>
            </w:r>
            <w:r>
              <w:rPr>
                <w:rFonts w:hint="eastAsia" w:ascii="宋体" w:hAnsi="宋体" w:cs="宋体"/>
                <w:color w:val="auto"/>
                <w:sz w:val="24"/>
                <w:u w:val="single"/>
              </w:rPr>
              <w:t xml:space="preserve">   /   </w:t>
            </w:r>
            <w:r>
              <w:rPr>
                <w:rFonts w:hint="eastAsia" w:ascii="宋体" w:hAnsi="宋体" w:cs="宋体"/>
                <w:color w:val="auto"/>
                <w:sz w:val="24"/>
              </w:rPr>
              <w:t>，联系方式：</w:t>
            </w:r>
            <w:r>
              <w:rPr>
                <w:rFonts w:hint="eastAsia" w:ascii="宋体" w:hAnsi="宋体" w:cs="宋体"/>
                <w:color w:val="auto"/>
                <w:sz w:val="24"/>
                <w:u w:val="single"/>
              </w:rPr>
              <w:t xml:space="preserve">    /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B要求提供（未提供样品或提供样品不满足采购需求实质性条件的供应商，投标无效）：</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 </w:t>
            </w:r>
            <w:r>
              <w:rPr>
                <w:rFonts w:hint="eastAsia" w:ascii="宋体" w:hAnsi="宋体" w:cs="宋体"/>
                <w:color w:val="auto"/>
                <w:kern w:val="0"/>
                <w:sz w:val="24"/>
              </w:rPr>
              <w:t>；</w:t>
            </w:r>
          </w:p>
          <w:p>
            <w:pPr>
              <w:spacing w:line="360" w:lineRule="auto"/>
              <w:rPr>
                <w:rFonts w:ascii="宋体" w:hAnsi="宋体" w:cs="宋体"/>
                <w:snapToGrid w:val="0"/>
                <w:color w:val="auto"/>
                <w:kern w:val="28"/>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240" w:firstLineChars="100"/>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  </w:t>
            </w:r>
            <w:r>
              <w:rPr>
                <w:rFonts w:hint="eastAsia" w:ascii="宋体" w:hAnsi="宋体" w:cs="宋体"/>
                <w:color w:val="auto"/>
                <w:kern w:val="0"/>
                <w:sz w:val="24"/>
              </w:rPr>
              <w:t>；地点：</w:t>
            </w:r>
            <w:r>
              <w:rPr>
                <w:rFonts w:hint="eastAsia" w:ascii="宋体" w:hAnsi="宋体" w:cs="宋体"/>
                <w:color w:val="auto"/>
                <w:sz w:val="24"/>
                <w:u w:val="single"/>
              </w:rPr>
              <w:t xml:space="preserve">   /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sz w:val="24"/>
                <w:u w:val="single"/>
              </w:rPr>
              <w:t>杭州市公共资源交易中心4楼答疑室（讲标室）</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lang w:val="zh-CN"/>
              </w:rPr>
            </w:pPr>
            <w:sdt>
              <w:sdtPr>
                <w:rPr>
                  <w:rFonts w:hint="eastAsia" w:ascii="宋体" w:hAnsi="宋体" w:cs="宋体"/>
                  <w:color w:val="auto"/>
                  <w:kern w:val="0"/>
                  <w:sz w:val="24"/>
                </w:rPr>
                <w:id w:val="386232013"/>
                <w14:checkbox>
                  <w14:checked w14:val="0"/>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u w:val="single"/>
                <w:shd w:val="pct10" w:color="auto" w:fill="FFFFFF"/>
                <w:lang w:val="zh-CN"/>
              </w:rPr>
              <w:t>产品名称XXX</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r>
              <w:rPr>
                <w:rFonts w:hint="eastAsia" w:ascii="宋体" w:hAnsi="宋体" w:cs="宋体"/>
                <w:color w:val="auto"/>
                <w:sz w:val="24"/>
              </w:rPr>
              <w:t>▲</w:t>
            </w:r>
            <w:r>
              <w:rPr>
                <w:rFonts w:hint="eastAsia" w:ascii="宋体" w:hAnsi="宋体" w:cs="宋体"/>
                <w:color w:val="auto"/>
                <w:kern w:val="0"/>
                <w:sz w:val="24"/>
                <w:lang w:val="zh-CN"/>
              </w:rPr>
              <w:t>对</w:t>
            </w:r>
            <w:r>
              <w:rPr>
                <w:rFonts w:hint="eastAsia" w:ascii="宋体" w:hAnsi="宋体" w:cs="宋体"/>
                <w:color w:val="auto"/>
                <w:kern w:val="0"/>
                <w:sz w:val="24"/>
                <w:u w:val="single"/>
                <w:shd w:val="pct10" w:color="auto" w:fill="FFFFFF"/>
                <w:lang w:val="zh-CN"/>
              </w:rPr>
              <w:t>产品名称XXX</w:t>
            </w:r>
            <w:r>
              <w:rPr>
                <w:rFonts w:hint="eastAsia" w:ascii="宋体" w:hAnsi="宋体" w:cs="宋体"/>
                <w:color w:val="auto"/>
                <w:kern w:val="0"/>
                <w:sz w:val="24"/>
                <w:lang w:val="zh-CN"/>
              </w:rPr>
              <w:t>实施政府强制采购，</w:t>
            </w:r>
            <w:r>
              <w:rPr>
                <w:rFonts w:hint="eastAsia" w:ascii="宋体" w:hAnsi="宋体" w:cs="宋体"/>
                <w:b/>
                <w:bCs/>
                <w:color w:val="auto"/>
                <w:kern w:val="0"/>
                <w:sz w:val="24"/>
                <w:lang w:val="zh-CN"/>
              </w:rPr>
              <w:t>投标人</w:t>
            </w:r>
            <w:r>
              <w:rPr>
                <w:rFonts w:hint="eastAsia" w:ascii="宋体" w:hAnsi="宋体" w:cs="宋体"/>
                <w:b/>
                <w:bCs/>
                <w:color w:val="auto"/>
                <w:kern w:val="0"/>
                <w:sz w:val="24"/>
              </w:rPr>
              <w:t>就</w:t>
            </w:r>
            <w:r>
              <w:rPr>
                <w:rFonts w:hint="eastAsia" w:ascii="宋体" w:hAnsi="宋体" w:cs="宋体"/>
                <w:b/>
                <w:bCs/>
                <w:color w:val="auto"/>
                <w:kern w:val="0"/>
                <w:sz w:val="24"/>
                <w:lang w:val="zh-CN"/>
              </w:rPr>
              <w:t>相应的投标产品未</w:t>
            </w:r>
            <w:r>
              <w:rPr>
                <w:rFonts w:hint="eastAsia" w:ascii="宋体" w:hAnsi="宋体" w:cs="宋体"/>
                <w:b/>
                <w:bCs/>
                <w:color w:val="auto"/>
                <w:kern w:val="0"/>
                <w:sz w:val="24"/>
              </w:rPr>
              <w:t>提供</w:t>
            </w:r>
            <w:r>
              <w:rPr>
                <w:rFonts w:hint="eastAsia" w:ascii="宋体" w:hAnsi="宋体" w:cs="宋体"/>
                <w:b/>
                <w:bCs/>
                <w:color w:val="auto"/>
                <w:kern w:val="0"/>
                <w:sz w:val="24"/>
                <w:lang w:val="zh-CN"/>
              </w:rPr>
              <w:t>国家确定的认证机构出具的、处于有效期之内的节能产品认证证书的，投标无效</w:t>
            </w:r>
            <w:r>
              <w:rPr>
                <w:rFonts w:hint="eastAsia" w:ascii="宋体" w:hAnsi="宋体" w:cs="宋体"/>
                <w:color w:val="auto"/>
                <w:kern w:val="0"/>
                <w:sz w:val="24"/>
                <w:lang w:val="zh-CN"/>
              </w:rPr>
              <w:t>。</w:t>
            </w:r>
          </w:p>
          <w:p>
            <w:pPr>
              <w:spacing w:line="360" w:lineRule="auto"/>
              <w:rPr>
                <w:rFonts w:ascii="宋体" w:hAnsi="宋体" w:cs="宋体"/>
                <w:color w:val="auto"/>
                <w:kern w:val="0"/>
                <w:sz w:val="24"/>
                <w:lang w:val="zh-CN"/>
              </w:rPr>
            </w:pPr>
            <w:sdt>
              <w:sdtPr>
                <w:rPr>
                  <w:rFonts w:hint="eastAsia" w:ascii="宋体" w:hAnsi="宋体" w:cs="宋体"/>
                  <w:color w:val="auto"/>
                  <w:kern w:val="0"/>
                  <w:sz w:val="24"/>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lang w:val="zh-CN"/>
                </w:rPr>
              </w:sdtEndPr>
              <w:sdtContent>
                <w:r>
                  <w:rPr>
                    <w:rFonts w:hint="eastAsia" w:ascii="宋体" w:hAnsi="宋体" w:cs="宋体"/>
                    <w:color w:val="auto"/>
                    <w:kern w:val="0"/>
                    <w:sz w:val="24"/>
                    <w:lang w:val="zh-CN"/>
                  </w:rPr>
                  <w:t>☐</w:t>
                </w:r>
              </w:sdtContent>
            </w:sdt>
            <w:r>
              <w:rPr>
                <w:rFonts w:hint="eastAsia" w:ascii="宋体" w:hAnsi="宋体" w:cs="宋体"/>
                <w:color w:val="auto"/>
                <w:kern w:val="0"/>
                <w:sz w:val="24"/>
                <w:lang w:val="zh-CN"/>
              </w:rPr>
              <w:t>依据国家确定的认证机构出具的、处于有效期之内的环境标志产品认证证书，对获得证书的</w:t>
            </w:r>
            <w:r>
              <w:rPr>
                <w:rFonts w:hint="eastAsia" w:ascii="宋体" w:hAnsi="宋体" w:cs="宋体"/>
                <w:color w:val="auto"/>
                <w:kern w:val="0"/>
                <w:sz w:val="24"/>
                <w:u w:val="single"/>
                <w:shd w:val="pct10" w:color="auto" w:fill="FFFFFF"/>
                <w:lang w:val="zh-CN"/>
              </w:rPr>
              <w:t>产品名称XXX</w:t>
            </w:r>
            <w:r>
              <w:rPr>
                <w:rFonts w:hint="eastAsia" w:ascii="宋体" w:hAnsi="宋体" w:cs="宋体"/>
                <w:color w:val="auto"/>
                <w:kern w:val="0"/>
                <w:sz w:val="24"/>
                <w:lang w:val="zh-CN"/>
              </w:rPr>
              <w:t>实施政府优先采购，</w:t>
            </w:r>
            <w:r>
              <w:rPr>
                <w:rFonts w:hint="eastAsia" w:ascii="宋体" w:hAnsi="宋体" w:cs="宋体"/>
                <w:color w:val="auto"/>
                <w:kern w:val="0"/>
                <w:sz w:val="24"/>
              </w:rPr>
              <w:t>详</w:t>
            </w:r>
            <w:r>
              <w:rPr>
                <w:rFonts w:hint="eastAsia" w:ascii="宋体" w:hAnsi="宋体" w:cs="宋体"/>
                <w:color w:val="auto"/>
                <w:kern w:val="0"/>
                <w:sz w:val="24"/>
                <w:lang w:val="zh-CN"/>
              </w:rPr>
              <w:t>见</w:t>
            </w:r>
            <w:r>
              <w:rPr>
                <w:rFonts w:hint="eastAsia" w:ascii="宋体" w:hAnsi="宋体" w:cs="宋体"/>
                <w:color w:val="auto"/>
                <w:kern w:val="0"/>
                <w:sz w:val="24"/>
                <w:u w:val="single"/>
                <w:lang w:val="zh-CN"/>
              </w:rPr>
              <w:t>评分标准</w:t>
            </w:r>
            <w:r>
              <w:rPr>
                <w:rFonts w:hint="eastAsia" w:ascii="宋体" w:hAnsi="宋体" w:cs="宋体"/>
                <w:color w:val="auto"/>
                <w:kern w:val="0"/>
                <w:sz w:val="24"/>
                <w:lang w:val="zh-CN"/>
              </w:rPr>
              <w:t>。</w:t>
            </w:r>
          </w:p>
          <w:p>
            <w:pPr>
              <w:snapToGrid w:val="0"/>
              <w:spacing w:line="360" w:lineRule="auto"/>
              <w:rPr>
                <w:rFonts w:ascii="宋体" w:hAnsi="宋体" w:cs="宋体"/>
                <w:color w:val="auto"/>
              </w:rPr>
            </w:pPr>
            <w:sdt>
              <w:sdtPr>
                <w:rPr>
                  <w:rFonts w:hint="eastAsia" w:ascii="宋体" w:hAnsi="宋体" w:cs="宋体"/>
                  <w:color w:val="auto"/>
                  <w:kern w:val="0"/>
                  <w:sz w:val="24"/>
                </w:rPr>
                <w:id w:val="-37800363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3"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color w:val="auto"/>
                <w:sz w:val="24"/>
                <w:u w:val="single"/>
              </w:rPr>
              <w:t xml:space="preserve">杭州市之江路925号临江金座2号楼1010室（杭州市公共资源交易中心政府采购处）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0571-87008103</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lang w:val="en"/>
              </w:rPr>
            </w:pPr>
            <w:r>
              <w:rPr>
                <w:rFonts w:hint="eastAsia" w:ascii="宋体" w:hAnsi="宋体" w:cs="宋体"/>
                <w:color w:val="auto"/>
                <w:sz w:val="24"/>
              </w:rPr>
              <w:t>1</w:t>
            </w:r>
            <w:r>
              <w:rPr>
                <w:rFonts w:ascii="宋体" w:hAnsi="宋体" w:cs="宋体"/>
                <w:color w:val="auto"/>
                <w:sz w:val="24"/>
                <w:lang w:val="en"/>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rPr>
            </w:pPr>
            <w:r>
              <w:rPr>
                <w:rFonts w:hint="eastAsia" w:ascii="宋体" w:hAnsi="宋体" w:cs="Arial"/>
                <w:color w:val="auto"/>
                <w:kern w:val="0"/>
                <w:sz w:val="24"/>
              </w:rPr>
              <w:t>招标文件第四部分</w:t>
            </w:r>
            <w:r>
              <w:rPr>
                <w:rFonts w:hint="eastAsia" w:cs="Arial" w:asciiTheme="minorEastAsia" w:hAnsiTheme="minorEastAsia" w:eastAsiaTheme="minorEastAsia"/>
                <w:color w:val="auto"/>
                <w:kern w:val="0"/>
                <w:sz w:val="24"/>
              </w:rPr>
              <w:t>评审因素对应的要求</w:t>
            </w:r>
            <w:r>
              <w:rPr>
                <w:rFonts w:hint="eastAsia" w:ascii="宋体" w:hAnsi="宋体" w:cs="Arial"/>
                <w:color w:val="auto"/>
                <w:kern w:val="0"/>
                <w:sz w:val="24"/>
              </w:rPr>
              <w:t>及第五部分采购合同的内容</w:t>
            </w:r>
            <w:r>
              <w:rPr>
                <w:rFonts w:hint="eastAsia" w:cs="Arial" w:asciiTheme="minorEastAsia" w:hAnsiTheme="minorEastAsia" w:eastAsiaTheme="minorEastAsia"/>
                <w:color w:val="auto"/>
                <w:kern w:val="0"/>
                <w:sz w:val="24"/>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Arial"/>
                <w:color w:val="auto"/>
                <w:kern w:val="0"/>
                <w:sz w:val="24"/>
                <w:lang w:val="en"/>
              </w:rPr>
            </w:pPr>
            <w:r>
              <w:rPr>
                <w:rFonts w:hint="eastAsia" w:ascii="宋体" w:hAnsi="宋体" w:cs="宋体"/>
                <w:color w:val="auto"/>
                <w:kern w:val="0"/>
                <w:sz w:val="24"/>
                <w:lang w:val="en"/>
              </w:rPr>
              <w:t>本项目评审报告推荐的中标候选人数量：</w:t>
            </w:r>
            <w:r>
              <w:rPr>
                <w:rFonts w:hint="eastAsia" w:ascii="宋体" w:hAnsi="宋体" w:cs="宋体"/>
                <w:color w:val="auto"/>
                <w:kern w:val="0"/>
                <w:sz w:val="24"/>
                <w:u w:val="single"/>
              </w:rPr>
              <w:t xml:space="preserve">  1 </w:t>
            </w:r>
            <w:r>
              <w:rPr>
                <w:rFonts w:hint="eastAsia" w:ascii="宋体" w:hAnsi="宋体" w:cs="宋体"/>
                <w:color w:val="auto"/>
                <w:kern w:val="0"/>
                <w:sz w:val="24"/>
                <w:lang w:val="en"/>
              </w:rPr>
              <w:t>。</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_Toc164416483"/>
      <w:bookmarkStart w:id="12" w:name="第三部分"/>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w:t>
      </w:r>
      <w:r>
        <w:rPr>
          <w:rFonts w:hint="eastAsia" w:ascii="宋体" w:hAnsi="宋体" w:cs="宋体"/>
          <w:snapToGrid w:val="0"/>
          <w:color w:val="auto"/>
          <w:kern w:val="28"/>
          <w:sz w:val="24"/>
        </w:rPr>
        <w:t>招标文件第四部分</w:t>
      </w:r>
      <w:r>
        <w:rPr>
          <w:rFonts w:hint="eastAsia" w:ascii="宋体" w:hAnsi="宋体" w:cs="宋体"/>
          <w:color w:val="auto"/>
          <w:sz w:val="24"/>
        </w:rPr>
        <w:t>评标办法明确具体的扣除比例，未明确的，给予</w:t>
      </w:r>
      <w:r>
        <w:rPr>
          <w:rFonts w:ascii="宋体" w:hAnsi="宋体" w:cs="宋体"/>
          <w:color w:val="auto"/>
          <w:sz w:val="24"/>
        </w:rPr>
        <w:t>20</w:t>
      </w:r>
      <w:r>
        <w:rPr>
          <w:rFonts w:hint="eastAsia" w:ascii="宋体" w:hAnsi="宋体" w:cs="宋体"/>
          <w:color w:val="auto"/>
          <w:sz w:val="24"/>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w:t>
      </w:r>
      <w:r>
        <w:rPr>
          <w:rFonts w:hint="eastAsia" w:ascii="宋体" w:hAnsi="宋体" w:cs="宋体"/>
          <w:snapToGrid w:val="0"/>
          <w:color w:val="auto"/>
          <w:kern w:val="28"/>
          <w:sz w:val="24"/>
        </w:rPr>
        <w:t>招标文件第四部分</w:t>
      </w:r>
      <w:r>
        <w:rPr>
          <w:rFonts w:hint="eastAsia" w:ascii="宋体" w:hAnsi="宋体" w:cs="宋体"/>
          <w:color w:val="auto"/>
          <w:sz w:val="24"/>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rPr>
      </w:pPr>
      <w:r>
        <w:rPr>
          <w:rFonts w:hint="eastAsia" w:ascii="宋体" w:hAnsi="宋体" w:cs="仿宋"/>
          <w:color w:val="auto"/>
          <w:sz w:val="24"/>
        </w:rPr>
        <w:t>3.4.3 采购人应当贯彻落实知识产权保护相关法律法规，应当采购使用正版软件。</w:t>
      </w: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r>
        <w:rPr>
          <w:rFonts w:hint="eastAsia" w:ascii="宋体" w:hAnsi="宋体" w:cs="仿宋"/>
          <w:b/>
          <w:bCs/>
          <w:color w:val="auto"/>
          <w:sz w:val="24"/>
        </w:rPr>
        <w:t>、补偿救济</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2"/>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2"/>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8"/>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8"/>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w:t>
      </w:r>
      <w:r>
        <w:rPr>
          <w:rFonts w:hint="eastAsia"/>
          <w:color w:val="auto"/>
        </w:rPr>
        <w:t>根据</w:t>
      </w:r>
      <w:r>
        <w:rPr>
          <w:rFonts w:hint="eastAsia" w:asciiTheme="minorEastAsia" w:hAnsiTheme="minorEastAsia" w:eastAsiaTheme="minorEastAsia"/>
          <w:color w:val="auto"/>
        </w:rPr>
        <w:t>《杭州市集中采购委托协议》的约定，</w:t>
      </w:r>
      <w:r>
        <w:rPr>
          <w:rFonts w:hint="eastAsia"/>
          <w:color w:val="auto"/>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color w:val="auto"/>
        </w:rPr>
      </w:pPr>
      <w:r>
        <w:rPr>
          <w:rFonts w:hint="eastAsia"/>
          <w:color w:val="auto"/>
        </w:rPr>
        <w:t>根据采购人与采购机构签订的《杭州市集中采购委托协议》的约定，质疑答复责任主体如下：</w:t>
      </w:r>
    </w:p>
    <w:p>
      <w:pPr>
        <w:widowControl/>
        <w:adjustRightInd/>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质疑内容</w:t>
            </w:r>
          </w:p>
        </w:tc>
        <w:tc>
          <w:tcPr>
            <w:tcW w:w="2232" w:type="dxa"/>
            <w:vAlign w:val="center"/>
          </w:tcPr>
          <w:p>
            <w:pPr>
              <w:pStyle w:val="32"/>
              <w:spacing w:line="360" w:lineRule="auto"/>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对采购文件中“申请人的资格要求”、“采购需求”、“评审办法”、“采购合同的主要条款”、“采购文件前附表内容”、“报价内容”的质疑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rPr>
            </w:pP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对采购过程、采购结果提出质疑</w:t>
            </w: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对“现场考察、答疑会”、 “甲方负责接收和保存的样品” 、“资格审查”等由采购人负责组织的环节的质疑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color w:val="auto"/>
                <w:sz w:val="24"/>
              </w:rPr>
            </w:pPr>
          </w:p>
        </w:tc>
        <w:tc>
          <w:tcPr>
            <w:tcW w:w="4536" w:type="dxa"/>
            <w:vAlign w:val="center"/>
          </w:tcPr>
          <w:p>
            <w:pPr>
              <w:pStyle w:val="32"/>
              <w:spacing w:line="360" w:lineRule="auto"/>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对采购过程、采购结果其他环节的质疑</w:t>
            </w:r>
          </w:p>
        </w:tc>
        <w:tc>
          <w:tcPr>
            <w:tcW w:w="2232" w:type="dxa"/>
            <w:vAlign w:val="center"/>
          </w:tcPr>
          <w:p>
            <w:pPr>
              <w:pStyle w:val="32"/>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采购机构</w:t>
            </w:r>
          </w:p>
        </w:tc>
      </w:tr>
    </w:tbl>
    <w:p>
      <w:pPr>
        <w:pStyle w:val="888"/>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rPr>
      </w:pPr>
      <w:r>
        <w:rPr>
          <w:rFonts w:hint="eastAsia"/>
          <w:color w:val="auto"/>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snapToGrid w:val="0"/>
        <w:spacing w:line="360" w:lineRule="auto"/>
        <w:ind w:firstLine="480" w:firstLineChars="200"/>
        <w:rPr>
          <w:rFonts w:ascii="宋体" w:hAnsi="宋体" w:cs="仿宋"/>
          <w:color w:val="auto"/>
          <w:sz w:val="24"/>
        </w:rPr>
      </w:pPr>
      <w:r>
        <w:rPr>
          <w:rFonts w:hint="eastAsia" w:ascii="宋体" w:hAnsi="宋体" w:cs="仿宋"/>
          <w:color w:val="auto"/>
          <w:sz w:val="24"/>
        </w:rPr>
        <w:t>4.5 补偿救济</w:t>
      </w:r>
    </w:p>
    <w:p>
      <w:pPr>
        <w:pStyle w:val="888"/>
        <w:shd w:val="clear" w:color="auto" w:fill="FFFFFF"/>
        <w:snapToGrid w:val="0"/>
        <w:spacing w:before="0" w:beforeAutospacing="0" w:after="240" w:afterAutospacing="0" w:line="360" w:lineRule="auto"/>
        <w:ind w:firstLine="400"/>
        <w:contextualSpacing/>
        <w:rPr>
          <w:color w:val="auto"/>
        </w:rPr>
      </w:pPr>
      <w:r>
        <w:rPr>
          <w:rFonts w:hint="eastAsia"/>
          <w:color w:val="auto"/>
        </w:rPr>
        <w:t>采购人（行政机关）因政策变化、规划调整而不履行政府采购合同的，供应商可依据《杭州市涉企补偿救济实施办法（试行）》向采购人（行政机关）提起补偿申请。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2"/>
        <w:spacing w:line="360" w:lineRule="auto"/>
        <w:rPr>
          <w:rFonts w:hAnsi="宋体" w:cs="宋体"/>
          <w:b/>
          <w:color w:val="auto"/>
          <w:sz w:val="24"/>
          <w:szCs w:val="24"/>
        </w:rPr>
      </w:pPr>
      <w:r>
        <w:rPr>
          <w:rFonts w:hint="eastAsia" w:hAnsi="宋体" w:cs="宋体"/>
          <w:b/>
          <w:color w:val="auto"/>
          <w:sz w:val="24"/>
          <w:szCs w:val="24"/>
        </w:rPr>
        <w:t>5．招标文件的构成</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2"/>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2"/>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0"/>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2"/>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2"/>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rPr>
      </w:pPr>
      <w:r>
        <w:rPr>
          <w:rFonts w:hint="eastAsia" w:hAnsi="宋体" w:cs="宋体"/>
          <w:b/>
          <w:color w:val="auto"/>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2"/>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w:t>
      </w:r>
      <w:r>
        <w:rPr>
          <w:rFonts w:hint="eastAsia" w:ascii="宋体" w:hAnsi="宋体" w:cs="宋体"/>
          <w:color w:val="auto"/>
          <w:sz w:val="24"/>
        </w:rPr>
        <w:t>3</w:t>
      </w:r>
      <w:r>
        <w:rPr>
          <w:rFonts w:hint="eastAsia" w:ascii="宋体" w:hAnsi="宋体" w:cs="宋体"/>
          <w:color w:val="auto"/>
          <w:sz w:val="24"/>
        </w:rPr>
        <w:t>中小企业声明函。</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投标人提供虚假材料投标的，投标无效。</w:t>
      </w:r>
    </w:p>
    <w:p>
      <w:pPr>
        <w:spacing w:line="360" w:lineRule="auto"/>
        <w:ind w:firstLine="723" w:firstLineChars="300"/>
        <w:rPr>
          <w:rFonts w:ascii="宋体" w:hAnsi="宋体" w:cs="宋体"/>
          <w:b/>
          <w:color w:val="auto"/>
          <w:sz w:val="24"/>
          <w:szCs w:val="21"/>
        </w:rPr>
      </w:pPr>
      <w:r>
        <w:rPr>
          <w:rFonts w:hint="eastAsia"/>
          <w:b/>
          <w:bCs/>
          <w:color w:val="auto"/>
          <w:sz w:val="24"/>
          <w:shd w:val="clear" w:color="auto" w:fill="FFFFFF"/>
        </w:rPr>
        <w:t>投标人应对投标文件中材料的真实性、合法性负责。</w:t>
      </w:r>
    </w:p>
    <w:p>
      <w:pPr>
        <w:pStyle w:val="130"/>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0"/>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0"/>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0"/>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rPr>
      </w:pPr>
      <w:r>
        <w:rPr>
          <w:rFonts w:hint="eastAsia" w:hAnsi="宋体" w:cs="宋体"/>
          <w:b/>
          <w:color w:val="auto"/>
          <w:sz w:val="24"/>
          <w:szCs w:val="24"/>
        </w:rPr>
        <w:t>15.备份投标文件</w:t>
      </w:r>
    </w:p>
    <w:p>
      <w:pPr>
        <w:pStyle w:val="32"/>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2"/>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4"/>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0"/>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0"/>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rPr>
      </w:pPr>
      <w:r>
        <w:rPr>
          <w:rFonts w:hint="eastAsia" w:ascii="宋体" w:hAnsi="宋体" w:cs="宋体"/>
          <w:color w:val="auto"/>
        </w:rPr>
        <w:t>17.4在投标截止时间起至投标有效期届满，供应商投标文件不可撤销。</w:t>
      </w:r>
    </w:p>
    <w:p>
      <w:pPr>
        <w:pStyle w:val="130"/>
        <w:spacing w:before="0"/>
        <w:ind w:firstLine="643"/>
        <w:rPr>
          <w:rFonts w:ascii="宋体" w:hAnsi="宋体" w:cs="宋体"/>
          <w:b/>
          <w:color w:val="auto"/>
          <w:sz w:val="32"/>
        </w:rPr>
      </w:pPr>
    </w:p>
    <w:p>
      <w:pPr>
        <w:pStyle w:val="130"/>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6"/>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6"/>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19.1开标后，采购人将依据法律法规和招标文件的规定，对投标人的资格进行审查。</w:t>
      </w:r>
    </w:p>
    <w:p>
      <w:pPr>
        <w:pStyle w:val="130"/>
        <w:spacing w:before="0"/>
        <w:ind w:firstLine="480"/>
        <w:rPr>
          <w:rFonts w:ascii="宋体" w:hAnsi="宋体" w:cs="宋体"/>
          <w:color w:val="auto"/>
        </w:rPr>
      </w:pPr>
      <w:r>
        <w:rPr>
          <w:rFonts w:hint="eastAsia" w:ascii="宋体" w:hAnsi="宋体" w:cs="宋体"/>
          <w:color w:val="auto"/>
          <w:kern w:val="0"/>
          <w:szCs w:val="24"/>
        </w:rPr>
        <w:t>19.2投标人未按照招标文件要求提供与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3对未通过资格审查的投标人，告知其未通过的原因。</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4合格投标人不足3家的，不再评标。</w:t>
      </w:r>
    </w:p>
    <w:p>
      <w:pPr>
        <w:pStyle w:val="130"/>
        <w:spacing w:before="0"/>
        <w:ind w:firstLine="480"/>
        <w:rPr>
          <w:rFonts w:ascii="宋体" w:hAnsi="宋体" w:cs="宋体"/>
          <w:color w:val="auto"/>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rPr>
      </w:pPr>
      <w:r>
        <w:rPr>
          <w:rFonts w:hint="eastAsia" w:ascii="宋体" w:hAnsi="宋体" w:cs="宋体"/>
          <w:b/>
          <w:color w:val="auto"/>
          <w:sz w:val="24"/>
        </w:rPr>
        <w:t>20、信用信息查询</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0"/>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4"/>
        <w:spacing w:line="360" w:lineRule="auto"/>
        <w:ind w:left="479" w:hanging="479" w:hangingChars="199"/>
        <w:rPr>
          <w:rFonts w:cs="宋体"/>
          <w:b/>
          <w:color w:val="auto"/>
        </w:rPr>
      </w:pPr>
      <w:r>
        <w:rPr>
          <w:rFonts w:hint="eastAsia" w:cs="宋体"/>
          <w:b/>
          <w:color w:val="auto"/>
        </w:rPr>
        <w:t>22. 确定中标供应商</w:t>
      </w:r>
    </w:p>
    <w:p>
      <w:pPr>
        <w:pStyle w:val="130"/>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rPr>
        <w:t>，为提高政府采购效率，鼓励在收到评审报告当天在线确定中标或者成交供应商</w:t>
      </w:r>
      <w:r>
        <w:rPr>
          <w:rFonts w:hint="eastAsia" w:ascii="宋体" w:hAnsi="宋体" w:cs="宋体"/>
          <w:color w:val="auto"/>
          <w:szCs w:val="24"/>
        </w:rPr>
        <w:t>。在采购结果确认环节，中标候选人撤销投标文件不能成为采购人不确认采购结果的正当理由。中标、成交通知书和中标、成交结果公告应当在规定时间内同时发出。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4"/>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4"/>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2"/>
        <w:ind w:left="0" w:firstLine="480" w:firstLineChars="200"/>
        <w:rPr>
          <w:rFonts w:ascii="宋体" w:hAnsi="宋体" w:eastAsia="宋体" w:cs="宋体"/>
          <w:b w:val="0"/>
          <w:bCs w:val="0"/>
          <w:snapToGrid w:val="0"/>
          <w:color w:val="auto"/>
          <w:kern w:val="28"/>
          <w:sz w:val="24"/>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color w:val="auto"/>
        </w:rPr>
      </w:pPr>
      <w:r>
        <w:rPr>
          <w:rFonts w:ascii="宋体" w:hAnsi="宋体" w:eastAsia="宋体"/>
          <w:color w:val="auto"/>
          <w:sz w:val="24"/>
          <w:lang w:val="en-US"/>
        </w:rPr>
        <w:t>27.预付款</w:t>
      </w:r>
    </w:p>
    <w:p>
      <w:pPr>
        <w:tabs>
          <w:tab w:val="left" w:pos="0"/>
        </w:tabs>
        <w:spacing w:line="360" w:lineRule="auto"/>
        <w:ind w:firstLine="482"/>
        <w:rPr>
          <w:rFonts w:ascii="宋体" w:hAnsi="宋体" w:cs="宋体"/>
          <w:color w:val="auto"/>
          <w:kern w:val="0"/>
          <w:sz w:val="24"/>
        </w:rPr>
      </w:pPr>
      <w:r>
        <w:rPr>
          <w:rFonts w:hint="eastAsia" w:ascii="宋体" w:hAnsi="宋体" w:cs="宋体"/>
          <w:color w:val="auto"/>
          <w:kern w:val="0"/>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0"/>
        <w:snapToGrid w:val="0"/>
        <w:spacing w:before="0"/>
        <w:ind w:firstLine="0" w:firstLineChars="0"/>
        <w:rPr>
          <w:rFonts w:ascii="宋体" w:hAnsi="宋体" w:cs="宋体"/>
          <w:color w:val="auto"/>
        </w:rPr>
      </w:pPr>
      <w:r>
        <w:rPr>
          <w:rFonts w:hint="eastAsia" w:ascii="宋体" w:hAnsi="宋体" w:cs="宋体"/>
          <w:color w:val="auto"/>
        </w:rPr>
        <w:t>2</w:t>
      </w:r>
      <w:r>
        <w:rPr>
          <w:rFonts w:hint="eastAsia" w:ascii="宋体" w:hAnsi="宋体" w:cs="宋体"/>
          <w:b/>
          <w:color w:val="auto"/>
          <w:szCs w:val="24"/>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rPr>
      </w:pPr>
      <w:r>
        <w:rPr>
          <w:rFonts w:hint="eastAsia" w:ascii="宋体" w:hAnsi="宋体" w:cs="宋体"/>
          <w:color w:val="auto"/>
        </w:rPr>
        <w:t>2</w:t>
      </w:r>
      <w:r>
        <w:rPr>
          <w:rFonts w:hint="eastAsia" w:ascii="宋体" w:hAnsi="宋体" w:cs="宋体"/>
          <w:color w:val="auto"/>
        </w:rPr>
        <w:t>8</w:t>
      </w:r>
      <w:r>
        <w:rPr>
          <w:rFonts w:hint="eastAsia" w:ascii="宋体" w:hAnsi="宋体" w:cs="宋体"/>
          <w:color w:val="auto"/>
        </w:rPr>
        <w:t xml:space="preserve">.1电子交易平台发生故障而无法登录访问的； </w:t>
      </w:r>
    </w:p>
    <w:p>
      <w:pPr>
        <w:pStyle w:val="130"/>
        <w:snapToGrid w:val="0"/>
        <w:spacing w:before="0"/>
        <w:ind w:firstLine="480"/>
        <w:rPr>
          <w:rFonts w:ascii="宋体" w:hAnsi="宋体" w:cs="宋体"/>
          <w:color w:val="auto"/>
        </w:rPr>
      </w:pPr>
      <w:r>
        <w:rPr>
          <w:rFonts w:hint="eastAsia" w:ascii="宋体" w:hAnsi="宋体" w:cs="宋体"/>
          <w:color w:val="auto"/>
        </w:rPr>
        <w:t>2</w:t>
      </w:r>
      <w:r>
        <w:rPr>
          <w:rFonts w:hint="eastAsia" w:ascii="宋体" w:hAnsi="宋体" w:cs="宋体"/>
          <w:color w:val="auto"/>
        </w:rPr>
        <w:t>8</w:t>
      </w:r>
      <w:r>
        <w:rPr>
          <w:rFonts w:hint="eastAsia" w:ascii="宋体" w:hAnsi="宋体" w:cs="宋体"/>
          <w:color w:val="auto"/>
        </w:rPr>
        <w:t>.2电子交易平台应用或数据库出现错误，不能进行正常操作的；</w:t>
      </w:r>
    </w:p>
    <w:p>
      <w:pPr>
        <w:pStyle w:val="130"/>
        <w:snapToGrid w:val="0"/>
        <w:spacing w:before="0"/>
        <w:ind w:firstLine="480"/>
        <w:rPr>
          <w:rFonts w:ascii="宋体" w:hAnsi="宋体" w:cs="宋体"/>
          <w:color w:val="auto"/>
        </w:rPr>
      </w:pPr>
      <w:r>
        <w:rPr>
          <w:rFonts w:hint="eastAsia" w:ascii="宋体" w:hAnsi="宋体" w:cs="宋体"/>
          <w:color w:val="auto"/>
        </w:rPr>
        <w:t>2</w:t>
      </w:r>
      <w:r>
        <w:rPr>
          <w:rFonts w:hint="eastAsia" w:ascii="宋体" w:hAnsi="宋体" w:cs="宋体"/>
          <w:color w:val="auto"/>
        </w:rPr>
        <w:t>8</w:t>
      </w:r>
      <w:r>
        <w:rPr>
          <w:rFonts w:hint="eastAsia" w:ascii="宋体" w:hAnsi="宋体" w:cs="宋体"/>
          <w:color w:val="auto"/>
        </w:rPr>
        <w:t>.3电子交易平台发现严重安全漏洞，有潜在泄密危险的；</w:t>
      </w:r>
    </w:p>
    <w:p>
      <w:pPr>
        <w:pStyle w:val="130"/>
        <w:snapToGrid w:val="0"/>
        <w:spacing w:before="0"/>
        <w:ind w:firstLine="480"/>
        <w:rPr>
          <w:rFonts w:ascii="宋体" w:hAnsi="宋体" w:cs="宋体"/>
          <w:color w:val="auto"/>
        </w:rPr>
      </w:pPr>
      <w:r>
        <w:rPr>
          <w:rFonts w:hint="eastAsia" w:ascii="宋体" w:hAnsi="宋体" w:cs="宋体"/>
          <w:color w:val="auto"/>
        </w:rPr>
        <w:t>2</w:t>
      </w:r>
      <w:r>
        <w:rPr>
          <w:rFonts w:hint="eastAsia" w:ascii="宋体" w:hAnsi="宋体" w:cs="宋体"/>
          <w:color w:val="auto"/>
        </w:rPr>
        <w:t>8</w:t>
      </w:r>
      <w:r>
        <w:rPr>
          <w:rFonts w:hint="eastAsia" w:ascii="宋体" w:hAnsi="宋体" w:cs="宋体"/>
          <w:color w:val="auto"/>
        </w:rPr>
        <w:t xml:space="preserve">.4病毒发作导致不能进行正常操作的； </w:t>
      </w:r>
    </w:p>
    <w:p>
      <w:pPr>
        <w:pStyle w:val="130"/>
        <w:snapToGrid w:val="0"/>
        <w:spacing w:before="0"/>
        <w:ind w:firstLine="480"/>
        <w:rPr>
          <w:rFonts w:ascii="宋体" w:hAnsi="宋体" w:cs="宋体"/>
          <w:color w:val="auto"/>
        </w:rPr>
      </w:pPr>
      <w:r>
        <w:rPr>
          <w:rFonts w:hint="eastAsia" w:ascii="宋体" w:hAnsi="宋体" w:cs="宋体"/>
          <w:color w:val="auto"/>
        </w:rPr>
        <w:t>2</w:t>
      </w:r>
      <w:r>
        <w:rPr>
          <w:rFonts w:hint="eastAsia" w:ascii="宋体" w:hAnsi="宋体" w:cs="宋体"/>
          <w:color w:val="auto"/>
        </w:rPr>
        <w:t>8</w:t>
      </w:r>
      <w:r>
        <w:rPr>
          <w:rFonts w:hint="eastAsia" w:ascii="宋体" w:hAnsi="宋体" w:cs="宋体"/>
          <w:color w:val="auto"/>
        </w:rPr>
        <w:t>.5其他无法保证电子交易的公平、公正和安全的情况。</w:t>
      </w:r>
    </w:p>
    <w:p>
      <w:pPr>
        <w:pStyle w:val="130"/>
        <w:snapToGrid w:val="0"/>
        <w:spacing w:before="0"/>
        <w:ind w:firstLine="0" w:firstLineChars="0"/>
        <w:rPr>
          <w:rFonts w:ascii="宋体" w:hAnsi="宋体" w:cs="宋体"/>
          <w:color w:val="auto"/>
        </w:rPr>
      </w:pPr>
      <w:r>
        <w:rPr>
          <w:rFonts w:hint="eastAsia" w:ascii="宋体" w:hAnsi="宋体" w:cs="宋体"/>
          <w:color w:val="auto"/>
        </w:rPr>
        <w:t xml:space="preserve"> 2</w:t>
      </w:r>
      <w:r>
        <w:rPr>
          <w:rFonts w:hint="eastAsia" w:ascii="宋体" w:hAnsi="宋体" w:cs="宋体"/>
          <w:color w:val="auto"/>
        </w:rPr>
        <w:t>9</w:t>
      </w:r>
      <w:r>
        <w:rPr>
          <w:rFonts w:hint="eastAsia" w:ascii="宋体" w:hAnsi="宋体" w:cs="宋体"/>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4"/>
        <w:spacing w:line="360" w:lineRule="auto"/>
        <w:ind w:firstLine="0" w:firstLineChars="0"/>
        <w:rPr>
          <w:rFonts w:cs="宋体"/>
          <w:b/>
          <w:color w:val="auto"/>
        </w:rPr>
      </w:pPr>
      <w:r>
        <w:rPr>
          <w:rFonts w:hint="eastAsia" w:cs="宋体"/>
          <w:b/>
          <w:color w:val="auto"/>
        </w:rPr>
        <w:t>30</w:t>
      </w:r>
      <w:r>
        <w:rPr>
          <w:rFonts w:hint="eastAsia" w:cs="宋体"/>
          <w:b/>
          <w:color w:val="auto"/>
        </w:rPr>
        <w:t>.验收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w:t>
      </w:r>
      <w:r>
        <w:rPr>
          <w:rFonts w:hint="eastAsia" w:ascii="宋体" w:hAnsi="宋体" w:cs="宋体"/>
          <w:color w:val="auto"/>
          <w:kern w:val="0"/>
          <w:sz w:val="24"/>
        </w:rPr>
        <w:t>.1</w:t>
      </w:r>
      <w:r>
        <w:rPr>
          <w:rFonts w:hint="eastAsia" w:ascii="宋体" w:hAnsi="宋体" w:cs="宋体"/>
          <w:color w:val="auto"/>
          <w:kern w:val="0"/>
          <w:sz w:val="24"/>
        </w:rPr>
        <w:t>采购人应当根据采购项目的具体情况，自行组织项目验收或者委托采购代理机构验收。</w:t>
      </w:r>
      <w:r>
        <w:rPr>
          <w:rFonts w:hint="eastAsia" w:ascii="宋体" w:hAnsi="宋体" w:cs="宋体"/>
          <w:color w:val="auto"/>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w:t>
      </w:r>
      <w:r>
        <w:rPr>
          <w:rFonts w:hint="eastAsia" w:ascii="宋体" w:hAnsi="宋体" w:cs="宋体"/>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w:t>
      </w:r>
      <w:r>
        <w:rPr>
          <w:rFonts w:hint="eastAsia" w:ascii="宋体" w:hAnsi="宋体" w:cs="宋体"/>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30</w:t>
      </w:r>
      <w:r>
        <w:rPr>
          <w:rFonts w:hint="eastAsia" w:ascii="宋体" w:hAnsi="宋体" w:cs="宋体"/>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ind w:firstLine="480"/>
        <w:rPr>
          <w:color w:val="auto"/>
        </w:rPr>
      </w:pPr>
      <w:r>
        <w:rPr>
          <w:rFonts w:hint="eastAsia" w:ascii="宋体" w:hAnsi="宋体" w:eastAsia="宋体" w:cs="宋体"/>
          <w:color w:val="auto"/>
          <w:kern w:val="0"/>
          <w:sz w:val="24"/>
          <w:szCs w:val="24"/>
          <w:lang w:val="en-US"/>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74730295"/>
      <w:bookmarkEnd w:id="16"/>
      <w:bookmarkStart w:id="17" w:name="_Hlt75236290"/>
      <w:bookmarkEnd w:id="17"/>
      <w:bookmarkStart w:id="18" w:name="_Hlt68072990"/>
      <w:bookmarkEnd w:id="18"/>
      <w:bookmarkStart w:id="19" w:name="_Hlt68403820"/>
      <w:bookmarkEnd w:id="19"/>
      <w:bookmarkStart w:id="20" w:name="_Hlt74714665"/>
      <w:bookmarkEnd w:id="20"/>
      <w:bookmarkStart w:id="21" w:name="_Hlt74707468"/>
      <w:bookmarkEnd w:id="21"/>
      <w:bookmarkStart w:id="22" w:name="_Hlt68073093"/>
      <w:bookmarkEnd w:id="22"/>
      <w:bookmarkStart w:id="23" w:name="_Hlt68057669"/>
      <w:bookmarkEnd w:id="23"/>
      <w:bookmarkStart w:id="24" w:name="_Hlt74729768"/>
      <w:bookmarkEnd w:id="24"/>
      <w:bookmarkStart w:id="25" w:name="_Hlt75236011"/>
      <w:bookmarkEnd w:id="25"/>
      <w:bookmarkStart w:id="26" w:name="_Hlt68072998"/>
      <w:bookmarkEnd w:id="26"/>
    </w:p>
    <w:bookmarkEnd w:id="11"/>
    <w:bookmarkEnd w:id="12"/>
    <w:p>
      <w:pPr>
        <w:spacing w:line="360" w:lineRule="auto"/>
        <w:jc w:val="center"/>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snapToGrid w:val="0"/>
        <w:spacing w:line="360" w:lineRule="auto"/>
        <w:jc w:val="left"/>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属于实质性要求条款的，已用符号“▲”标明，否则属于非实质性要求。</w:t>
      </w:r>
    </w:p>
    <w:p>
      <w:pPr>
        <w:tabs>
          <w:tab w:val="left" w:pos="567"/>
        </w:tabs>
        <w:spacing w:line="440" w:lineRule="exact"/>
        <w:rPr>
          <w:rFonts w:cs="华文仿宋" w:asciiTheme="minorEastAsia" w:hAnsiTheme="minorEastAsia" w:eastAsiaTheme="minorEastAsia"/>
          <w:b/>
          <w:bCs/>
          <w:color w:val="auto"/>
          <w:sz w:val="24"/>
        </w:rPr>
      </w:pPr>
      <w:r>
        <w:rPr>
          <w:rFonts w:hint="eastAsia" w:cs="华文仿宋" w:asciiTheme="minorEastAsia" w:hAnsiTheme="minorEastAsia" w:eastAsiaTheme="minorEastAsia"/>
          <w:b/>
          <w:color w:val="auto"/>
          <w:sz w:val="24"/>
        </w:rPr>
        <w:t>一、招标项目概况（</w:t>
      </w:r>
      <w:r>
        <w:rPr>
          <w:rFonts w:hint="eastAsia" w:cs="华文仿宋" w:asciiTheme="minorEastAsia" w:hAnsiTheme="minorEastAsia" w:eastAsiaTheme="minorEastAsia"/>
          <w:b/>
          <w:bCs/>
          <w:color w:val="auto"/>
          <w:sz w:val="24"/>
        </w:rPr>
        <w:t>车型、出厂指导价、排量、汽车等级、预算金额、</w:t>
      </w:r>
      <w:r>
        <w:rPr>
          <w:rFonts w:hint="eastAsia" w:cs="华文仿宋" w:asciiTheme="minorEastAsia" w:hAnsiTheme="minorEastAsia" w:eastAsiaTheme="minorEastAsia"/>
          <w:b/>
          <w:color w:val="auto"/>
          <w:sz w:val="24"/>
        </w:rPr>
        <w:t>数量、服务范围、服务期限等）</w:t>
      </w:r>
    </w:p>
    <w:tbl>
      <w:tblPr>
        <w:tblStyle w:val="62"/>
        <w:tblpPr w:leftFromText="180" w:rightFromText="180" w:vertAnchor="text" w:horzAnchor="page" w:tblpX="721" w:tblpY="25"/>
        <w:tblOverlap w:val="never"/>
        <w:tblW w:w="9866"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fixed"/>
        <w:tblCellMar>
          <w:top w:w="0" w:type="dxa"/>
          <w:left w:w="108" w:type="dxa"/>
          <w:bottom w:w="0" w:type="dxa"/>
          <w:right w:w="108" w:type="dxa"/>
        </w:tblCellMar>
      </w:tblPr>
      <w:tblGrid>
        <w:gridCol w:w="709"/>
        <w:gridCol w:w="993"/>
        <w:gridCol w:w="1417"/>
        <w:gridCol w:w="447"/>
        <w:gridCol w:w="720"/>
        <w:gridCol w:w="890"/>
        <w:gridCol w:w="1380"/>
        <w:gridCol w:w="920"/>
        <w:gridCol w:w="1230"/>
        <w:gridCol w:w="1160"/>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42" w:hRule="atLeast"/>
        </w:trPr>
        <w:tc>
          <w:tcPr>
            <w:tcW w:w="709" w:type="dxa"/>
            <w:tcBorders>
              <w:top w:val="single" w:color="auto" w:sz="4" w:space="0"/>
            </w:tcBorders>
            <w:vAlign w:val="center"/>
          </w:tcPr>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序号</w:t>
            </w:r>
          </w:p>
        </w:tc>
        <w:tc>
          <w:tcPr>
            <w:tcW w:w="993" w:type="dxa"/>
            <w:tcBorders>
              <w:top w:val="single" w:color="auto" w:sz="4" w:space="0"/>
            </w:tcBorders>
            <w:vAlign w:val="center"/>
          </w:tcPr>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车型</w:t>
            </w:r>
          </w:p>
        </w:tc>
        <w:tc>
          <w:tcPr>
            <w:tcW w:w="1417" w:type="dxa"/>
            <w:tcBorders>
              <w:top w:val="single" w:color="auto" w:sz="4" w:space="0"/>
            </w:tcBorders>
            <w:vAlign w:val="center"/>
          </w:tcPr>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出厂指导价</w:t>
            </w:r>
          </w:p>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（万元）</w:t>
            </w:r>
          </w:p>
        </w:tc>
        <w:tc>
          <w:tcPr>
            <w:tcW w:w="447" w:type="dxa"/>
            <w:tcBorders>
              <w:top w:val="single" w:color="auto" w:sz="4" w:space="0"/>
            </w:tcBorders>
            <w:vAlign w:val="center"/>
          </w:tcPr>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排量</w:t>
            </w:r>
          </w:p>
        </w:tc>
        <w:tc>
          <w:tcPr>
            <w:tcW w:w="720" w:type="dxa"/>
            <w:tcBorders>
              <w:top w:val="single" w:color="auto" w:sz="4" w:space="0"/>
            </w:tcBorders>
            <w:vAlign w:val="center"/>
          </w:tcPr>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汽车</w:t>
            </w:r>
          </w:p>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等级</w:t>
            </w:r>
          </w:p>
        </w:tc>
        <w:tc>
          <w:tcPr>
            <w:tcW w:w="890" w:type="dxa"/>
            <w:tcBorders>
              <w:top w:val="single" w:color="auto" w:sz="4" w:space="0"/>
            </w:tcBorders>
            <w:vAlign w:val="center"/>
          </w:tcPr>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预算</w:t>
            </w:r>
          </w:p>
          <w:p>
            <w:pPr>
              <w:spacing w:line="360" w:lineRule="auto"/>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（万元）</w:t>
            </w:r>
          </w:p>
        </w:tc>
        <w:tc>
          <w:tcPr>
            <w:tcW w:w="1380" w:type="dxa"/>
            <w:tcBorders>
              <w:top w:val="single" w:color="auto" w:sz="4" w:space="0"/>
            </w:tcBorders>
            <w:vAlign w:val="center"/>
          </w:tcPr>
          <w:p>
            <w:pPr>
              <w:snapToGrid w:val="0"/>
              <w:spacing w:line="360" w:lineRule="auto"/>
              <w:ind w:left="30" w:hanging="30" w:hangingChars="14"/>
              <w:jc w:val="center"/>
              <w:rPr>
                <w:rFonts w:cs="华文仿宋" w:asciiTheme="minorEastAsia" w:hAnsiTheme="minorEastAsia" w:eastAsiaTheme="minorEastAsia"/>
                <w:b/>
                <w:color w:val="auto"/>
                <w:szCs w:val="21"/>
              </w:rPr>
            </w:pPr>
            <w:r>
              <w:rPr>
                <w:rFonts w:hint="eastAsia" w:cs="华文仿宋" w:asciiTheme="minorEastAsia" w:hAnsiTheme="minorEastAsia" w:eastAsiaTheme="minorEastAsia"/>
                <w:b/>
                <w:color w:val="auto"/>
                <w:szCs w:val="21"/>
              </w:rPr>
              <w:t>数量（辆）</w:t>
            </w:r>
          </w:p>
        </w:tc>
        <w:tc>
          <w:tcPr>
            <w:tcW w:w="920" w:type="dxa"/>
            <w:tcBorders>
              <w:top w:val="single" w:color="auto" w:sz="4" w:space="0"/>
            </w:tcBorders>
            <w:vAlign w:val="center"/>
          </w:tcPr>
          <w:p>
            <w:pPr>
              <w:snapToGrid w:val="0"/>
              <w:spacing w:line="360" w:lineRule="auto"/>
              <w:jc w:val="center"/>
              <w:rPr>
                <w:rFonts w:cs="华文仿宋" w:asciiTheme="minorEastAsia" w:hAnsiTheme="minorEastAsia" w:eastAsiaTheme="minorEastAsia"/>
                <w:b/>
                <w:bCs/>
                <w:color w:val="auto"/>
                <w:szCs w:val="21"/>
              </w:rPr>
            </w:pPr>
            <w:r>
              <w:rPr>
                <w:rFonts w:hint="eastAsia" w:cs="华文仿宋" w:asciiTheme="minorEastAsia" w:hAnsiTheme="minorEastAsia" w:eastAsiaTheme="minorEastAsia"/>
                <w:b/>
                <w:bCs/>
                <w:color w:val="auto"/>
                <w:szCs w:val="21"/>
              </w:rPr>
              <w:t>中标人</w:t>
            </w:r>
          </w:p>
          <w:p>
            <w:pPr>
              <w:snapToGrid w:val="0"/>
              <w:spacing w:line="360" w:lineRule="auto"/>
              <w:jc w:val="center"/>
              <w:rPr>
                <w:rFonts w:cs="华文仿宋" w:asciiTheme="minorEastAsia" w:hAnsiTheme="minorEastAsia" w:eastAsiaTheme="minorEastAsia"/>
                <w:b/>
                <w:bCs/>
                <w:color w:val="auto"/>
                <w:szCs w:val="21"/>
              </w:rPr>
            </w:pPr>
            <w:r>
              <w:rPr>
                <w:rFonts w:hint="eastAsia" w:cs="华文仿宋" w:asciiTheme="minorEastAsia" w:hAnsiTheme="minorEastAsia" w:eastAsiaTheme="minorEastAsia"/>
                <w:b/>
                <w:bCs/>
                <w:color w:val="auto"/>
                <w:szCs w:val="21"/>
              </w:rPr>
              <w:t>数量</w:t>
            </w:r>
          </w:p>
        </w:tc>
        <w:tc>
          <w:tcPr>
            <w:tcW w:w="1230" w:type="dxa"/>
            <w:tcBorders>
              <w:top w:val="single" w:color="auto" w:sz="4" w:space="0"/>
            </w:tcBorders>
            <w:vAlign w:val="center"/>
          </w:tcPr>
          <w:p>
            <w:pPr>
              <w:snapToGrid w:val="0"/>
              <w:spacing w:line="360" w:lineRule="auto"/>
              <w:jc w:val="center"/>
              <w:rPr>
                <w:rFonts w:cs="华文仿宋" w:asciiTheme="minorEastAsia" w:hAnsiTheme="minorEastAsia" w:eastAsiaTheme="minorEastAsia"/>
                <w:b/>
                <w:bCs/>
                <w:color w:val="auto"/>
                <w:szCs w:val="21"/>
              </w:rPr>
            </w:pPr>
            <w:r>
              <w:rPr>
                <w:rFonts w:hint="eastAsia" w:cs="华文仿宋" w:asciiTheme="minorEastAsia" w:hAnsiTheme="minorEastAsia" w:eastAsiaTheme="minorEastAsia"/>
                <w:b/>
                <w:color w:val="auto"/>
                <w:kern w:val="0"/>
                <w:szCs w:val="21"/>
              </w:rPr>
              <w:t>服务范围</w:t>
            </w:r>
          </w:p>
        </w:tc>
        <w:tc>
          <w:tcPr>
            <w:tcW w:w="1160" w:type="dxa"/>
            <w:tcBorders>
              <w:top w:val="single" w:color="auto" w:sz="4" w:space="0"/>
            </w:tcBorders>
            <w:vAlign w:val="center"/>
          </w:tcPr>
          <w:p>
            <w:pPr>
              <w:snapToGrid w:val="0"/>
              <w:spacing w:line="360" w:lineRule="auto"/>
              <w:jc w:val="center"/>
              <w:rPr>
                <w:rFonts w:cs="华文仿宋" w:asciiTheme="minorEastAsia" w:hAnsiTheme="minorEastAsia" w:eastAsiaTheme="minorEastAsia"/>
                <w:b/>
                <w:bCs/>
                <w:color w:val="auto"/>
                <w:szCs w:val="21"/>
              </w:rPr>
            </w:pPr>
            <w:r>
              <w:rPr>
                <w:rFonts w:hint="eastAsia" w:cs="华文仿宋" w:asciiTheme="minorEastAsia" w:hAnsiTheme="minorEastAsia" w:eastAsiaTheme="minorEastAsia"/>
                <w:b/>
                <w:bCs/>
                <w:color w:val="auto"/>
                <w:szCs w:val="21"/>
              </w:rPr>
              <w:t>服务期限</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148" w:hRule="atLeast"/>
        </w:trPr>
        <w:tc>
          <w:tcPr>
            <w:tcW w:w="709" w:type="dxa"/>
            <w:tcBorders>
              <w:top w:val="single" w:color="auto" w:sz="4" w:space="0"/>
              <w:bottom w:val="single" w:color="auto" w:sz="4" w:space="0"/>
            </w:tcBorders>
            <w:vAlign w:val="center"/>
          </w:tcPr>
          <w:p>
            <w:pPr>
              <w:spacing w:after="120" w:afterLines="50" w:line="360" w:lineRule="auto"/>
              <w:jc w:val="center"/>
              <w:rPr>
                <w:rFonts w:cs="华文仿宋" w:asciiTheme="minorEastAsia" w:hAnsiTheme="minorEastAsia" w:eastAsiaTheme="minorEastAsia"/>
                <w:color w:val="auto"/>
                <w:szCs w:val="21"/>
              </w:rPr>
            </w:pPr>
            <w:r>
              <w:rPr>
                <w:rFonts w:hint="eastAsia" w:cs="华文仿宋" w:asciiTheme="minorEastAsia" w:hAnsiTheme="minorEastAsia" w:eastAsiaTheme="minorEastAsia"/>
                <w:color w:val="auto"/>
                <w:szCs w:val="21"/>
              </w:rPr>
              <w:t xml:space="preserve">1 </w:t>
            </w:r>
          </w:p>
        </w:tc>
        <w:tc>
          <w:tcPr>
            <w:tcW w:w="993" w:type="dxa"/>
          </w:tcPr>
          <w:p>
            <w:pPr>
              <w:spacing w:before="120" w:beforeLines="50" w:line="360" w:lineRule="auto"/>
              <w:rPr>
                <w:rFonts w:cs="华文仿宋" w:asciiTheme="minorEastAsia" w:hAnsiTheme="minorEastAsia" w:eastAsiaTheme="minorEastAsia"/>
                <w:color w:val="auto"/>
                <w:szCs w:val="21"/>
              </w:rPr>
            </w:pPr>
          </w:p>
          <w:p>
            <w:pPr>
              <w:spacing w:before="120" w:beforeLines="50" w:line="360" w:lineRule="auto"/>
              <w:rPr>
                <w:rFonts w:cs="华文仿宋" w:asciiTheme="minorEastAsia" w:hAnsiTheme="minorEastAsia" w:eastAsiaTheme="minorEastAsia"/>
                <w:color w:val="auto"/>
                <w:szCs w:val="21"/>
              </w:rPr>
            </w:pPr>
            <w:r>
              <w:rPr>
                <w:rFonts w:hint="eastAsia" w:cs="华文仿宋" w:asciiTheme="minorEastAsia" w:hAnsiTheme="minorEastAsia" w:eastAsiaTheme="minorEastAsia"/>
                <w:color w:val="auto"/>
                <w:szCs w:val="21"/>
              </w:rPr>
              <w:t>5座自动挡三厢轿车（燃油或油电混动、纯电）</w:t>
            </w:r>
          </w:p>
        </w:tc>
        <w:tc>
          <w:tcPr>
            <w:tcW w:w="1417"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color w:val="auto"/>
                <w:szCs w:val="21"/>
              </w:rPr>
              <w:t>燃油或油电混动车</w:t>
            </w:r>
            <w:r>
              <w:rPr>
                <w:rFonts w:hint="eastAsia" w:cs="华文仿宋" w:asciiTheme="minorEastAsia" w:hAnsiTheme="minorEastAsia" w:eastAsiaTheme="minorEastAsia"/>
                <w:bCs/>
                <w:color w:val="auto"/>
                <w:szCs w:val="21"/>
              </w:rPr>
              <w:t>≥6万</w:t>
            </w:r>
          </w:p>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color w:val="auto"/>
                <w:szCs w:val="21"/>
              </w:rPr>
              <w:t>,纯电动车</w:t>
            </w:r>
            <w:r>
              <w:rPr>
                <w:rFonts w:hint="eastAsia" w:cs="华文仿宋" w:asciiTheme="minorEastAsia" w:hAnsiTheme="minorEastAsia" w:eastAsiaTheme="minorEastAsia"/>
                <w:bCs/>
                <w:color w:val="auto"/>
                <w:szCs w:val="21"/>
              </w:rPr>
              <w:t>≥10万</w:t>
            </w:r>
          </w:p>
        </w:tc>
        <w:tc>
          <w:tcPr>
            <w:tcW w:w="447"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bCs/>
                <w:color w:val="auto"/>
                <w:szCs w:val="21"/>
              </w:rPr>
              <w:t>≥1.5</w:t>
            </w:r>
          </w:p>
        </w:tc>
        <w:tc>
          <w:tcPr>
            <w:tcW w:w="720"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bCs/>
                <w:color w:val="auto"/>
                <w:szCs w:val="21"/>
              </w:rPr>
              <w:t>A级(紧凑型车)及以上</w:t>
            </w:r>
          </w:p>
        </w:tc>
        <w:tc>
          <w:tcPr>
            <w:tcW w:w="890"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color w:val="auto"/>
                <w:szCs w:val="21"/>
              </w:rPr>
              <w:t>本项目最高限价 280万</w:t>
            </w:r>
            <w:r>
              <w:rPr>
                <w:rFonts w:hint="eastAsia" w:cs="华文仿宋" w:asciiTheme="minorEastAsia" w:hAnsiTheme="minorEastAsia" w:eastAsiaTheme="minorEastAsia"/>
                <w:color w:val="auto"/>
                <w:kern w:val="0"/>
                <w:szCs w:val="21"/>
              </w:rPr>
              <w:t>元</w:t>
            </w:r>
          </w:p>
        </w:tc>
        <w:tc>
          <w:tcPr>
            <w:tcW w:w="1380"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bCs/>
                <w:color w:val="auto"/>
                <w:szCs w:val="21"/>
              </w:rPr>
              <w:t>60辆：</w:t>
            </w:r>
            <w:r>
              <w:rPr>
                <w:rFonts w:hint="eastAsia" w:cs="华文仿宋" w:asciiTheme="minorEastAsia" w:hAnsiTheme="minorEastAsia" w:eastAsiaTheme="minorEastAsia"/>
                <w:color w:val="auto"/>
                <w:szCs w:val="21"/>
              </w:rPr>
              <w:t>燃油或油电混动车辆总数</w:t>
            </w:r>
            <w:r>
              <w:rPr>
                <w:rFonts w:hint="eastAsia" w:cs="华文仿宋" w:asciiTheme="minorEastAsia" w:hAnsiTheme="minorEastAsia" w:eastAsiaTheme="minorEastAsia"/>
                <w:bCs/>
                <w:color w:val="auto"/>
                <w:szCs w:val="21"/>
              </w:rPr>
              <w:t>≥</w:t>
            </w:r>
            <w:r>
              <w:rPr>
                <w:rFonts w:hint="eastAsia" w:cs="华文仿宋" w:asciiTheme="minorEastAsia" w:hAnsiTheme="minorEastAsia" w:eastAsiaTheme="minorEastAsia"/>
                <w:color w:val="auto"/>
                <w:szCs w:val="21"/>
              </w:rPr>
              <w:t>50辆，</w:t>
            </w:r>
            <w:r>
              <w:rPr>
                <w:rFonts w:hint="eastAsia" w:cs="华文仿宋" w:asciiTheme="minorEastAsia" w:hAnsiTheme="minorEastAsia" w:eastAsiaTheme="minorEastAsia"/>
                <w:bCs/>
                <w:color w:val="auto"/>
                <w:szCs w:val="21"/>
              </w:rPr>
              <w:t>新能源纯电动汽车数量≤10辆；新能源纯电动汽车续航里程≥400公里）</w:t>
            </w:r>
          </w:p>
        </w:tc>
        <w:tc>
          <w:tcPr>
            <w:tcW w:w="920"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bCs/>
                <w:color w:val="auto"/>
                <w:szCs w:val="21"/>
              </w:rPr>
              <w:t>1家</w:t>
            </w:r>
          </w:p>
        </w:tc>
        <w:tc>
          <w:tcPr>
            <w:tcW w:w="1230" w:type="dxa"/>
            <w:vAlign w:val="center"/>
          </w:tcPr>
          <w:p>
            <w:pPr>
              <w:snapToGrid w:val="0"/>
              <w:spacing w:line="360" w:lineRule="auto"/>
              <w:jc w:val="center"/>
              <w:rPr>
                <w:rFonts w:cs="华文仿宋" w:asciiTheme="minorEastAsia" w:hAnsiTheme="minorEastAsia" w:eastAsiaTheme="minorEastAsia"/>
                <w:bCs/>
                <w:color w:val="auto"/>
                <w:szCs w:val="21"/>
              </w:rPr>
            </w:pPr>
            <w:r>
              <w:rPr>
                <w:rFonts w:hint="eastAsia" w:cs="华文仿宋" w:asciiTheme="minorEastAsia" w:hAnsiTheme="minorEastAsia" w:eastAsiaTheme="minorEastAsia"/>
                <w:bCs/>
                <w:color w:val="auto"/>
                <w:szCs w:val="21"/>
              </w:rPr>
              <w:t>特种设备检验业务用车服务事项（</w:t>
            </w:r>
            <w:r>
              <w:rPr>
                <w:rFonts w:hint="eastAsia" w:cs="华文仿宋" w:asciiTheme="minorEastAsia" w:hAnsiTheme="minorEastAsia" w:eastAsiaTheme="minorEastAsia"/>
                <w:color w:val="auto"/>
                <w:szCs w:val="21"/>
              </w:rPr>
              <w:t>年行驶总公里数≤180万公里，且用车范围仅限于杭州地区）</w:t>
            </w:r>
          </w:p>
        </w:tc>
        <w:tc>
          <w:tcPr>
            <w:tcW w:w="1160" w:type="dxa"/>
            <w:vAlign w:val="center"/>
          </w:tcPr>
          <w:p>
            <w:pPr>
              <w:snapToGrid w:val="0"/>
              <w:spacing w:line="360" w:lineRule="auto"/>
              <w:jc w:val="left"/>
              <w:rPr>
                <w:rFonts w:cs="华文仿宋" w:asciiTheme="minorEastAsia" w:hAnsiTheme="minorEastAsia" w:eastAsiaTheme="minorEastAsia"/>
                <w:bCs/>
                <w:color w:val="auto"/>
                <w:szCs w:val="21"/>
              </w:rPr>
            </w:pPr>
            <w:r>
              <w:rPr>
                <w:rFonts w:hint="eastAsia" w:cs="华文仿宋" w:asciiTheme="minorEastAsia" w:hAnsiTheme="minorEastAsia" w:eastAsiaTheme="minorEastAsia"/>
                <w:bCs/>
                <w:color w:val="auto"/>
                <w:szCs w:val="21"/>
              </w:rPr>
              <w:t>本合同期限为1年。合作期内任何一方不得擅自停止协议，否则应负担所造成的一切损失。</w:t>
            </w:r>
          </w:p>
        </w:tc>
      </w:tr>
    </w:tbl>
    <w:p>
      <w:pPr>
        <w:spacing w:line="360" w:lineRule="auto"/>
        <w:jc w:val="left"/>
        <w:rPr>
          <w:rFonts w:cs="华文仿宋" w:asciiTheme="minorEastAsia" w:hAnsiTheme="minorEastAsia" w:eastAsiaTheme="minorEastAsia"/>
          <w:bCs/>
          <w:color w:val="auto"/>
          <w:sz w:val="24"/>
        </w:rPr>
      </w:pPr>
      <w:r>
        <w:rPr>
          <w:rFonts w:hint="eastAsia" w:cs="仿宋" w:asciiTheme="minorEastAsia" w:hAnsiTheme="minorEastAsia" w:eastAsiaTheme="minorEastAsia"/>
          <w:color w:val="auto"/>
          <w:sz w:val="24"/>
        </w:rPr>
        <w:t>▲</w:t>
      </w:r>
      <w:r>
        <w:rPr>
          <w:rFonts w:hint="eastAsia" w:cs="华文仿宋" w:asciiTheme="minorEastAsia" w:hAnsiTheme="minorEastAsia" w:eastAsiaTheme="minorEastAsia"/>
          <w:bCs/>
          <w:color w:val="auto"/>
          <w:sz w:val="24"/>
        </w:rPr>
        <w:t>1.1承诺投标报价是指所租赁车辆12个月的全部费用，包括租赁费用、</w:t>
      </w:r>
      <w:r>
        <w:rPr>
          <w:rFonts w:hint="eastAsia" w:cs="华文仿宋" w:asciiTheme="minorEastAsia" w:hAnsiTheme="minorEastAsia" w:eastAsiaTheme="minorEastAsia"/>
          <w:color w:val="auto"/>
          <w:sz w:val="24"/>
        </w:rPr>
        <w:t>GPS安装与使用服务费用、车辆贴膜费用、轮胎修补及更换费用、行车记录仪、</w:t>
      </w:r>
      <w:r>
        <w:rPr>
          <w:rFonts w:hint="eastAsia" w:cs="华文仿宋" w:asciiTheme="minorEastAsia" w:hAnsiTheme="minorEastAsia" w:eastAsiaTheme="minorEastAsia"/>
          <w:bCs/>
          <w:color w:val="auto"/>
          <w:sz w:val="24"/>
        </w:rPr>
        <w:t>保险费用（覆盖全部险种，包括交强险、车损险、第三者责任保险（</w:t>
      </w:r>
      <w:r>
        <w:rPr>
          <w:rFonts w:hint="eastAsia" w:cs="华文仿宋" w:asciiTheme="minorEastAsia" w:hAnsiTheme="minorEastAsia" w:eastAsiaTheme="minorEastAsia"/>
          <w:color w:val="auto"/>
          <w:sz w:val="24"/>
        </w:rPr>
        <w:t>≥200万</w:t>
      </w:r>
      <w:r>
        <w:rPr>
          <w:rFonts w:hint="eastAsia" w:cs="华文仿宋" w:asciiTheme="minorEastAsia" w:hAnsiTheme="minorEastAsia" w:eastAsiaTheme="minorEastAsia"/>
          <w:bCs/>
          <w:color w:val="auto"/>
          <w:sz w:val="24"/>
        </w:rPr>
        <w:t>）、车上人员险）、维修及保养费用、汽油费用（含本单位外新能源车充电费用）、过路过桥费用、停车费用、年审费用、</w:t>
      </w:r>
      <w:r>
        <w:rPr>
          <w:rFonts w:hint="eastAsia" w:cs="华文仿宋" w:asciiTheme="minorEastAsia" w:hAnsiTheme="minorEastAsia" w:eastAsiaTheme="minorEastAsia"/>
          <w:color w:val="auto"/>
          <w:sz w:val="24"/>
        </w:rPr>
        <w:t>车辆折旧费、管理费、各种税费等一切费用。</w:t>
      </w:r>
    </w:p>
    <w:p>
      <w:pPr>
        <w:snapToGrid w:val="0"/>
        <w:spacing w:line="360" w:lineRule="auto"/>
        <w:ind w:firstLine="480" w:firstLineChars="200"/>
        <w:jc w:val="left"/>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1.2车辆基本要求（提供配置清单）：</w:t>
      </w:r>
    </w:p>
    <w:p>
      <w:pPr>
        <w:snapToGrid w:val="0"/>
        <w:spacing w:line="360" w:lineRule="auto"/>
        <w:ind w:firstLine="240" w:firstLineChars="100"/>
        <w:jc w:val="left"/>
        <w:rPr>
          <w:rFonts w:cs="华文仿宋" w:asciiTheme="minorEastAsia" w:hAnsiTheme="minorEastAsia" w:eastAsiaTheme="minorEastAsia"/>
          <w:bCs/>
          <w:color w:val="auto"/>
          <w:szCs w:val="21"/>
        </w:rPr>
      </w:pPr>
      <w:r>
        <w:rPr>
          <w:rFonts w:hint="eastAsia" w:cs="仿宋" w:asciiTheme="minorEastAsia" w:hAnsiTheme="minorEastAsia" w:eastAsiaTheme="minorEastAsia"/>
          <w:color w:val="auto"/>
          <w:sz w:val="24"/>
        </w:rPr>
        <w:t>▲</w:t>
      </w:r>
      <w:r>
        <w:rPr>
          <w:rFonts w:hint="eastAsia" w:cs="华文仿宋" w:asciiTheme="minorEastAsia" w:hAnsiTheme="minorEastAsia" w:eastAsiaTheme="minorEastAsia"/>
          <w:color w:val="auto"/>
          <w:sz w:val="24"/>
        </w:rPr>
        <w:t>① 车辆总数量必须达到60辆：燃油或油电混动车辆总数</w:t>
      </w:r>
      <w:r>
        <w:rPr>
          <w:rFonts w:hint="eastAsia" w:cs="华文仿宋" w:asciiTheme="minorEastAsia" w:hAnsiTheme="minorEastAsia" w:eastAsiaTheme="minorEastAsia"/>
          <w:bCs/>
          <w:color w:val="auto"/>
          <w:sz w:val="24"/>
        </w:rPr>
        <w:t>≥</w:t>
      </w:r>
      <w:r>
        <w:rPr>
          <w:rFonts w:hint="eastAsia" w:cs="华文仿宋" w:asciiTheme="minorEastAsia" w:hAnsiTheme="minorEastAsia" w:eastAsiaTheme="minorEastAsia"/>
          <w:color w:val="auto"/>
          <w:sz w:val="24"/>
        </w:rPr>
        <w:t>50辆</w:t>
      </w:r>
      <w:r>
        <w:rPr>
          <w:rFonts w:hint="eastAsia" w:cs="华文仿宋" w:asciiTheme="minorEastAsia" w:hAnsiTheme="minorEastAsia" w:eastAsiaTheme="minorEastAsia"/>
          <w:color w:val="auto"/>
          <w:szCs w:val="21"/>
        </w:rPr>
        <w:t>，</w:t>
      </w:r>
      <w:r>
        <w:rPr>
          <w:rFonts w:hint="eastAsia" w:cs="华文仿宋" w:asciiTheme="minorEastAsia" w:hAnsiTheme="minorEastAsia" w:eastAsiaTheme="minorEastAsia"/>
          <w:color w:val="auto"/>
          <w:sz w:val="24"/>
        </w:rPr>
        <w:t>且新能源纯电动汽车数量≤10辆；燃油或油电混动、纯电全部自动挡；新能源纯电动汽车续航里程≥400公里。</w:t>
      </w:r>
    </w:p>
    <w:p>
      <w:pPr>
        <w:snapToGrid w:val="0"/>
        <w:spacing w:line="360" w:lineRule="auto"/>
        <w:ind w:firstLine="480" w:firstLineChars="200"/>
        <w:jc w:val="left"/>
        <w:rPr>
          <w:rFonts w:cs="华文仿宋" w:asciiTheme="minorEastAsia" w:hAnsiTheme="minorEastAsia" w:eastAsiaTheme="minorEastAsia"/>
          <w:bCs/>
          <w:color w:val="auto"/>
          <w:szCs w:val="21"/>
        </w:rPr>
      </w:pPr>
      <w:r>
        <w:rPr>
          <w:rFonts w:hint="eastAsia" w:cs="华文仿宋" w:asciiTheme="minorEastAsia" w:hAnsiTheme="minorEastAsia" w:eastAsiaTheme="minorEastAsia"/>
          <w:color w:val="auto"/>
          <w:sz w:val="24"/>
        </w:rPr>
        <w:t>② 汽车等级、排量、轴距、制动器类型要求：5座自动挡三厢轿车</w:t>
      </w:r>
      <w:r>
        <w:rPr>
          <w:rFonts w:hint="eastAsia" w:cs="华文仿宋" w:asciiTheme="minorEastAsia" w:hAnsiTheme="minorEastAsia" w:eastAsiaTheme="minorEastAsia"/>
          <w:color w:val="auto"/>
          <w:szCs w:val="21"/>
        </w:rPr>
        <w:t>（燃油或油电混动、纯电）</w:t>
      </w:r>
      <w:r>
        <w:rPr>
          <w:rFonts w:hint="eastAsia" w:cs="华文仿宋" w:asciiTheme="minorEastAsia" w:hAnsiTheme="minorEastAsia" w:eastAsiaTheme="minorEastAsia"/>
          <w:color w:val="auto"/>
          <w:sz w:val="24"/>
        </w:rPr>
        <w:t>必须达到A级(紧凑型车)及以上。5座自动挡三厢轿车（燃油或油电混动、纯电）轴距(mm)≥2700,排量≥1.5；5座自动挡三厢轿车（燃油或油电混动、纯电）制动器类型：前后全部盘式（碟刹）。其中新能源纯电动车续航里程（KM）≥</w:t>
      </w:r>
      <w:r>
        <w:rPr>
          <w:rFonts w:cs="华文仿宋" w:asciiTheme="minorEastAsia" w:hAnsiTheme="minorEastAsia" w:eastAsiaTheme="minorEastAsia"/>
          <w:color w:val="auto"/>
          <w:sz w:val="24"/>
        </w:rPr>
        <w:t>4</w:t>
      </w:r>
      <w:r>
        <w:rPr>
          <w:rFonts w:hint="eastAsia" w:cs="华文仿宋" w:asciiTheme="minorEastAsia" w:hAnsiTheme="minorEastAsia" w:eastAsiaTheme="minorEastAsia"/>
          <w:color w:val="auto"/>
          <w:sz w:val="24"/>
        </w:rPr>
        <w:t>00。制动器类型：前后全部盘式（碟刹）。</w:t>
      </w:r>
    </w:p>
    <w:p>
      <w:pPr>
        <w:pStyle w:val="712"/>
        <w:ind w:firstLine="480"/>
        <w:rPr>
          <w:rFonts w:cs="华文仿宋" w:asciiTheme="minorEastAsia" w:hAnsiTheme="minorEastAsia" w:eastAsiaTheme="minorEastAsia"/>
          <w:color w:val="auto"/>
          <w:szCs w:val="24"/>
        </w:rPr>
      </w:pPr>
      <w:r>
        <w:rPr>
          <w:rFonts w:hint="eastAsia" w:cs="华文仿宋" w:asciiTheme="minorEastAsia" w:hAnsiTheme="minorEastAsia" w:eastAsiaTheme="minorEastAsia"/>
          <w:color w:val="auto"/>
          <w:szCs w:val="24"/>
        </w:rPr>
        <w:t>▲③ 承诺提供租赁的车辆使用期限不超过</w:t>
      </w:r>
      <w:r>
        <w:rPr>
          <w:rFonts w:cs="华文仿宋" w:asciiTheme="minorEastAsia" w:hAnsiTheme="minorEastAsia" w:eastAsiaTheme="minorEastAsia"/>
          <w:color w:val="auto"/>
          <w:szCs w:val="24"/>
        </w:rPr>
        <w:t>42</w:t>
      </w:r>
      <w:r>
        <w:rPr>
          <w:rFonts w:hint="eastAsia" w:cs="华文仿宋" w:asciiTheme="minorEastAsia" w:hAnsiTheme="minorEastAsia" w:eastAsiaTheme="minorEastAsia"/>
          <w:color w:val="auto"/>
          <w:szCs w:val="24"/>
        </w:rPr>
        <w:t>个月（按行驶证登记日期开</w:t>
      </w:r>
    </w:p>
    <w:p>
      <w:pPr>
        <w:pStyle w:val="712"/>
        <w:ind w:firstLine="0" w:firstLineChars="0"/>
        <w:rPr>
          <w:rFonts w:cs="华文仿宋" w:asciiTheme="minorEastAsia" w:hAnsiTheme="minorEastAsia" w:eastAsiaTheme="minorEastAsia"/>
          <w:color w:val="auto"/>
          <w:szCs w:val="24"/>
        </w:rPr>
      </w:pPr>
      <w:r>
        <w:rPr>
          <w:rFonts w:hint="eastAsia" w:cs="华文仿宋" w:asciiTheme="minorEastAsia" w:hAnsiTheme="minorEastAsia" w:eastAsiaTheme="minorEastAsia"/>
          <w:color w:val="auto"/>
          <w:szCs w:val="24"/>
        </w:rPr>
        <w:t>始至投标截止时间≤</w:t>
      </w:r>
      <w:r>
        <w:rPr>
          <w:rFonts w:cs="华文仿宋" w:asciiTheme="minorEastAsia" w:hAnsiTheme="minorEastAsia" w:eastAsiaTheme="minorEastAsia"/>
          <w:color w:val="auto"/>
          <w:szCs w:val="24"/>
        </w:rPr>
        <w:t>42</w:t>
      </w:r>
      <w:r>
        <w:rPr>
          <w:rFonts w:hint="eastAsia" w:cs="华文仿宋" w:asciiTheme="minorEastAsia" w:hAnsiTheme="minorEastAsia" w:eastAsiaTheme="minorEastAsia"/>
          <w:color w:val="auto"/>
          <w:szCs w:val="24"/>
        </w:rPr>
        <w:t>个月）且公里数不超过</w:t>
      </w:r>
      <w:r>
        <w:rPr>
          <w:rFonts w:cs="华文仿宋" w:asciiTheme="minorEastAsia" w:hAnsiTheme="minorEastAsia" w:eastAsiaTheme="minorEastAsia"/>
          <w:color w:val="auto"/>
          <w:szCs w:val="24"/>
        </w:rPr>
        <w:t>60</w:t>
      </w:r>
      <w:r>
        <w:rPr>
          <w:rFonts w:hint="eastAsia" w:cs="华文仿宋" w:asciiTheme="minorEastAsia" w:hAnsiTheme="minorEastAsia" w:eastAsiaTheme="minorEastAsia"/>
          <w:color w:val="auto"/>
          <w:szCs w:val="24"/>
        </w:rPr>
        <w:t>000公里(截止到采购公告发布之日，截止时间以后提供的公里数不超过</w:t>
      </w:r>
      <w:r>
        <w:rPr>
          <w:rFonts w:cs="华文仿宋" w:asciiTheme="minorEastAsia" w:hAnsiTheme="minorEastAsia" w:eastAsiaTheme="minorEastAsia"/>
          <w:color w:val="auto"/>
          <w:szCs w:val="24"/>
        </w:rPr>
        <w:t>60</w:t>
      </w:r>
      <w:r>
        <w:rPr>
          <w:rFonts w:hint="eastAsia" w:cs="华文仿宋" w:asciiTheme="minorEastAsia" w:hAnsiTheme="minorEastAsia" w:eastAsiaTheme="minorEastAsia"/>
          <w:color w:val="auto"/>
          <w:szCs w:val="24"/>
        </w:rPr>
        <w:t>000公里也符合要求)；投标文件中需提供行驶证复印件、里程表图片且拍摄的图片有日期显示（交车后采购人有权委托第三方检测机构对交付的车辆进行相关检测。如有弄虚作假行为，采购人将上报至同级</w:t>
      </w:r>
      <w:r>
        <w:rPr>
          <w:rFonts w:cs="华文仿宋" w:asciiTheme="minorEastAsia" w:hAnsiTheme="minorEastAsia" w:eastAsiaTheme="minorEastAsia"/>
          <w:color w:val="auto"/>
          <w:szCs w:val="24"/>
        </w:rPr>
        <w:t>政府采购监督管理部门</w:t>
      </w:r>
      <w:r>
        <w:rPr>
          <w:rFonts w:hint="eastAsia" w:cs="华文仿宋" w:asciiTheme="minorEastAsia" w:hAnsiTheme="minorEastAsia" w:eastAsiaTheme="minorEastAsia"/>
          <w:color w:val="auto"/>
          <w:szCs w:val="24"/>
        </w:rPr>
        <w:t>。）；租赁的车辆要求全为杭州本地牌照，车辆没有重大维修记录和事故记录。交车时提供租赁车辆有效的随车证件（行驶证、随车标志、使用说明书、维修保养手册等）。</w:t>
      </w:r>
      <w:r>
        <w:rPr>
          <w:rFonts w:hint="eastAsia"/>
          <w:color w:val="auto"/>
        </w:rPr>
        <w:t xml:space="preserve"> </w:t>
      </w:r>
    </w:p>
    <w:p>
      <w:pPr>
        <w:snapToGrid w:val="0"/>
        <w:spacing w:line="360" w:lineRule="auto"/>
        <w:ind w:firstLine="480" w:firstLineChars="200"/>
        <w:jc w:val="left"/>
        <w:rPr>
          <w:rFonts w:cs="华文仿宋" w:asciiTheme="minorEastAsia" w:hAnsiTheme="minorEastAsia" w:eastAsiaTheme="minorEastAsia"/>
          <w:color w:val="auto"/>
          <w:sz w:val="24"/>
        </w:rPr>
      </w:pPr>
      <w:r>
        <w:rPr>
          <w:rFonts w:hint="eastAsia" w:cs="仿宋" w:asciiTheme="minorEastAsia" w:hAnsiTheme="minorEastAsia" w:eastAsiaTheme="minorEastAsia"/>
          <w:color w:val="auto"/>
          <w:sz w:val="24"/>
        </w:rPr>
        <w:t>▲</w:t>
      </w:r>
      <w:r>
        <w:rPr>
          <w:rFonts w:hint="eastAsia" w:cs="华文仿宋" w:asciiTheme="minorEastAsia" w:hAnsiTheme="minorEastAsia" w:eastAsiaTheme="minorEastAsia"/>
          <w:color w:val="auto"/>
          <w:sz w:val="24"/>
        </w:rPr>
        <w:t>④提供的租赁车辆必须为同一品牌、</w:t>
      </w:r>
      <w:r>
        <w:rPr>
          <w:rFonts w:cs="Arial" w:asciiTheme="minorEastAsia" w:hAnsiTheme="minorEastAsia" w:eastAsiaTheme="minorEastAsia"/>
          <w:color w:val="auto"/>
          <w:sz w:val="24"/>
          <w:shd w:val="clear" w:color="auto" w:fill="FFFFFF"/>
        </w:rPr>
        <w:t>同一规格</w:t>
      </w:r>
      <w:r>
        <w:rPr>
          <w:rFonts w:hint="eastAsia" w:cs="Arial" w:asciiTheme="minorEastAsia" w:hAnsiTheme="minorEastAsia" w:eastAsiaTheme="minorEastAsia"/>
          <w:color w:val="auto"/>
          <w:sz w:val="24"/>
          <w:shd w:val="clear" w:color="auto" w:fill="FFFFFF"/>
        </w:rPr>
        <w:t>车型</w:t>
      </w:r>
      <w:r>
        <w:rPr>
          <w:rFonts w:hint="eastAsia" w:cs="华文仿宋" w:asciiTheme="minorEastAsia" w:hAnsiTheme="minorEastAsia" w:eastAsiaTheme="minorEastAsia"/>
          <w:color w:val="auto"/>
          <w:sz w:val="24"/>
        </w:rPr>
        <w:t xml:space="preserve">。 </w:t>
      </w:r>
    </w:p>
    <w:p>
      <w:pPr>
        <w:pStyle w:val="84"/>
        <w:ind w:firstLine="720" w:firstLineChars="300"/>
        <w:rPr>
          <w:rFonts w:asciiTheme="minorEastAsia" w:hAnsiTheme="minorEastAsia" w:eastAsiaTheme="minorEastAsia"/>
          <w:color w:val="auto"/>
        </w:rPr>
      </w:pPr>
      <w:r>
        <w:rPr>
          <w:rFonts w:hint="eastAsia" w:asciiTheme="minorEastAsia" w:hAnsiTheme="minorEastAsia" w:eastAsiaTheme="minorEastAsia"/>
          <w:color w:val="auto"/>
        </w:rPr>
        <w:t>⑤燃油或油电混动车辆出厂指导价≥6万元，</w:t>
      </w:r>
      <w:r>
        <w:rPr>
          <w:rFonts w:hint="eastAsia" w:cs="华文仿宋" w:asciiTheme="minorEastAsia" w:hAnsiTheme="minorEastAsia" w:eastAsiaTheme="minorEastAsia"/>
          <w:color w:val="auto"/>
          <w:szCs w:val="21"/>
        </w:rPr>
        <w:t>纯电动车</w:t>
      </w:r>
      <w:r>
        <w:rPr>
          <w:rFonts w:hint="eastAsia" w:cs="华文仿宋" w:asciiTheme="minorEastAsia" w:hAnsiTheme="minorEastAsia" w:eastAsiaTheme="minorEastAsia"/>
          <w:bCs/>
          <w:color w:val="auto"/>
          <w:szCs w:val="21"/>
        </w:rPr>
        <w:t>≥10</w:t>
      </w:r>
      <w:r>
        <w:rPr>
          <w:rFonts w:hint="eastAsia" w:asciiTheme="minorEastAsia" w:hAnsiTheme="minorEastAsia" w:eastAsiaTheme="minorEastAsia"/>
          <w:color w:val="auto"/>
        </w:rPr>
        <w:t>万元；</w:t>
      </w:r>
    </w:p>
    <w:p>
      <w:pPr>
        <w:widowControl/>
        <w:spacing w:line="360" w:lineRule="auto"/>
        <w:ind w:firstLine="480" w:firstLineChars="200"/>
        <w:jc w:val="left"/>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标“</w:t>
      </w:r>
      <w:r>
        <w:rPr>
          <w:rFonts w:hint="eastAsia" w:cs="仿宋" w:asciiTheme="minorEastAsia" w:hAnsiTheme="minorEastAsia" w:eastAsiaTheme="minorEastAsia"/>
          <w:color w:val="auto"/>
          <w:sz w:val="24"/>
        </w:rPr>
        <w:t>▲</w:t>
      </w:r>
      <w:r>
        <w:rPr>
          <w:rFonts w:hint="eastAsia" w:cs="华文仿宋" w:asciiTheme="minorEastAsia" w:hAnsiTheme="minorEastAsia" w:eastAsiaTheme="minorEastAsia"/>
          <w:color w:val="auto"/>
          <w:sz w:val="24"/>
        </w:rPr>
        <w:t>”的为采购人对车辆基本要求，未满足要求的作无效标处理。</w:t>
      </w:r>
    </w:p>
    <w:p>
      <w:pPr>
        <w:spacing w:line="360" w:lineRule="auto"/>
        <w:ind w:firstLine="480" w:firstLineChars="200"/>
        <w:jc w:val="left"/>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注：本招标服务内容中的服务车型作为最低标准，中标供应商可选择优于本项目技术要求的车型车辆。</w:t>
      </w:r>
    </w:p>
    <w:p>
      <w:pPr>
        <w:spacing w:line="360" w:lineRule="auto"/>
        <w:rPr>
          <w:rFonts w:cs="华文仿宋" w:asciiTheme="minorEastAsia" w:hAnsiTheme="minorEastAsia" w:eastAsiaTheme="minorEastAsia"/>
          <w:b/>
          <w:color w:val="auto"/>
          <w:sz w:val="24"/>
        </w:rPr>
      </w:pPr>
      <w:r>
        <w:rPr>
          <w:rFonts w:hint="eastAsia" w:cs="华文仿宋" w:asciiTheme="minorEastAsia" w:hAnsiTheme="minorEastAsia" w:eastAsiaTheme="minorEastAsia"/>
          <w:b/>
          <w:color w:val="auto"/>
          <w:sz w:val="24"/>
        </w:rPr>
        <w:t>二、项目</w:t>
      </w:r>
      <w:r>
        <w:rPr>
          <w:rFonts w:hint="eastAsia" w:cs="华文仿宋" w:asciiTheme="minorEastAsia" w:hAnsiTheme="minorEastAsia" w:eastAsiaTheme="minorEastAsia"/>
          <w:b/>
          <w:bCs/>
          <w:color w:val="auto"/>
          <w:sz w:val="24"/>
        </w:rPr>
        <w:t>采购要求</w:t>
      </w:r>
    </w:p>
    <w:p>
      <w:pPr>
        <w:spacing w:line="360" w:lineRule="auto"/>
        <w:ind w:firstLine="482" w:firstLineChars="200"/>
        <w:jc w:val="left"/>
        <w:rPr>
          <w:rFonts w:cs="华文仿宋" w:asciiTheme="minorEastAsia" w:hAnsiTheme="minorEastAsia" w:eastAsiaTheme="minorEastAsia"/>
          <w:b/>
          <w:color w:val="auto"/>
          <w:sz w:val="24"/>
        </w:rPr>
      </w:pPr>
      <w:r>
        <w:rPr>
          <w:rFonts w:hint="eastAsia" w:cs="华文仿宋" w:asciiTheme="minorEastAsia" w:hAnsiTheme="minorEastAsia" w:eastAsiaTheme="minorEastAsia"/>
          <w:b/>
          <w:color w:val="auto"/>
          <w:sz w:val="24"/>
        </w:rPr>
        <w:t>2.1总体要求：</w:t>
      </w:r>
    </w:p>
    <w:p>
      <w:pPr>
        <w:spacing w:line="360" w:lineRule="auto"/>
        <w:ind w:firstLine="480" w:firstLineChars="200"/>
        <w:jc w:val="left"/>
        <w:rPr>
          <w:rFonts w:cs="华文仿宋" w:asciiTheme="minorEastAsia" w:hAnsiTheme="minorEastAsia" w:eastAsiaTheme="minorEastAsia"/>
          <w:b/>
          <w:color w:val="auto"/>
          <w:sz w:val="24"/>
          <w:u w:val="single"/>
        </w:rPr>
      </w:pPr>
      <w:r>
        <w:rPr>
          <w:rFonts w:hint="eastAsia" w:cs="华文仿宋" w:asciiTheme="minorEastAsia" w:hAnsiTheme="minorEastAsia" w:eastAsiaTheme="minorEastAsia"/>
          <w:bCs/>
          <w:color w:val="auto"/>
          <w:sz w:val="24"/>
        </w:rPr>
        <w:t>为杭州市特种设备检验科学研究院（杭州市特种设备应急处置中心）检验事项服务。提供汽车租赁服务必须符合国家规定。租赁车辆（不含司机），用于日常检验及应急保障用车等。投标报价是指所租赁车辆12个月的全部费用，包括租赁费用、</w:t>
      </w:r>
      <w:r>
        <w:rPr>
          <w:rFonts w:hint="eastAsia" w:cs="华文仿宋" w:asciiTheme="minorEastAsia" w:hAnsiTheme="minorEastAsia" w:eastAsiaTheme="minorEastAsia"/>
          <w:color w:val="auto"/>
          <w:sz w:val="24"/>
        </w:rPr>
        <w:t>GPS安装与使用服务费用、车辆贴膜费用、轮胎修补及更换费用、行车记录仪、</w:t>
      </w:r>
      <w:r>
        <w:rPr>
          <w:rFonts w:hint="eastAsia" w:cs="华文仿宋" w:asciiTheme="minorEastAsia" w:hAnsiTheme="minorEastAsia" w:eastAsiaTheme="minorEastAsia"/>
          <w:bCs/>
          <w:color w:val="auto"/>
          <w:sz w:val="24"/>
        </w:rPr>
        <w:t>保险费用（覆盖全部险种，包括交强险、车损险、第三者责任保险（</w:t>
      </w:r>
      <w:r>
        <w:rPr>
          <w:rFonts w:hint="eastAsia" w:asciiTheme="minorEastAsia" w:hAnsiTheme="minorEastAsia" w:eastAsiaTheme="minorEastAsia"/>
          <w:color w:val="auto"/>
          <w:kern w:val="0"/>
          <w:sz w:val="24"/>
          <w:szCs w:val="20"/>
        </w:rPr>
        <w:t>≥200万</w:t>
      </w:r>
      <w:r>
        <w:rPr>
          <w:rFonts w:hint="eastAsia" w:cs="华文仿宋" w:asciiTheme="minorEastAsia" w:hAnsiTheme="minorEastAsia" w:eastAsiaTheme="minorEastAsia"/>
          <w:bCs/>
          <w:color w:val="auto"/>
          <w:sz w:val="24"/>
        </w:rPr>
        <w:t>）、车上人员险）、维修及保养费用、汽油费用（含本单位外新能源车充电费用）、过路过桥费用、停车费用、年审费用、</w:t>
      </w:r>
      <w:r>
        <w:rPr>
          <w:rFonts w:hint="eastAsia" w:cs="华文仿宋" w:asciiTheme="minorEastAsia" w:hAnsiTheme="minorEastAsia" w:eastAsiaTheme="minorEastAsia"/>
          <w:color w:val="auto"/>
          <w:sz w:val="24"/>
        </w:rPr>
        <w:t>车辆折旧费、管理费、各种税费等一切费用。</w:t>
      </w:r>
    </w:p>
    <w:p>
      <w:pPr>
        <w:spacing w:line="360" w:lineRule="auto"/>
        <w:ind w:firstLine="361" w:firstLineChars="150"/>
        <w:jc w:val="left"/>
        <w:rPr>
          <w:rFonts w:cs="华文仿宋" w:asciiTheme="minorEastAsia" w:hAnsiTheme="minorEastAsia" w:eastAsiaTheme="minorEastAsia"/>
          <w:color w:val="auto"/>
          <w:sz w:val="24"/>
        </w:rPr>
      </w:pPr>
      <w:r>
        <w:rPr>
          <w:rFonts w:hint="eastAsia" w:cs="华文仿宋" w:asciiTheme="minorEastAsia" w:hAnsiTheme="minorEastAsia" w:eastAsiaTheme="minorEastAsia"/>
          <w:b/>
          <w:color w:val="auto"/>
          <w:sz w:val="24"/>
        </w:rPr>
        <w:t>2.2车辆服务要求</w:t>
      </w:r>
    </w:p>
    <w:p>
      <w:pPr>
        <w:widowControl/>
        <w:autoSpaceDE w:val="0"/>
        <w:autoSpaceDN w:val="0"/>
        <w:snapToGrid w:val="0"/>
        <w:spacing w:line="360" w:lineRule="auto"/>
        <w:ind w:right="-53" w:rightChars="-25" w:firstLine="360" w:firstLineChars="15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（1）中标供应商须按照需求内容提供符合要求的车型数量并提供所要求的相关服务。汽车租赁服务必须符合国家规定。</w:t>
      </w:r>
    </w:p>
    <w:p>
      <w:pPr>
        <w:spacing w:line="360" w:lineRule="auto"/>
        <w:ind w:firstLine="360" w:firstLineChars="150"/>
        <w:jc w:val="left"/>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（2）中标供应商提供的租赁车辆技术性能必须良好状态，各种证照及规费缴讫证齐全，无违章记录。车辆符合安全国家标准，取得机动车检验合格证明，并已经在公安机关交通管理部门办理注册登记。</w:t>
      </w:r>
    </w:p>
    <w:p>
      <w:pPr>
        <w:widowControl/>
        <w:autoSpaceDE w:val="0"/>
        <w:autoSpaceDN w:val="0"/>
        <w:snapToGrid w:val="0"/>
        <w:spacing w:line="360" w:lineRule="auto"/>
        <w:ind w:right="-53" w:rightChars="-25" w:firstLine="360" w:firstLineChars="15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（3）当出现交通事故或者意外发生，中标供应商应赶往现场或者通知相关部门，协助租赁方处理。</w:t>
      </w:r>
    </w:p>
    <w:p>
      <w:pPr>
        <w:widowControl/>
        <w:autoSpaceDE w:val="0"/>
        <w:autoSpaceDN w:val="0"/>
        <w:snapToGrid w:val="0"/>
        <w:spacing w:line="360" w:lineRule="auto"/>
        <w:ind w:right="-53" w:rightChars="-25" w:firstLine="360" w:firstLineChars="15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（4）中标供应商负责租赁期间车辆的正常维护、保养和年审。</w:t>
      </w:r>
    </w:p>
    <w:p>
      <w:pPr>
        <w:widowControl/>
        <w:autoSpaceDE w:val="0"/>
        <w:autoSpaceDN w:val="0"/>
        <w:snapToGrid w:val="0"/>
        <w:spacing w:line="360" w:lineRule="auto"/>
        <w:ind w:right="-53" w:rightChars="-25" w:firstLine="360" w:firstLineChars="15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（5）因意外导致车辆的维修，中标供应商负责协调保险公司核实赔偿。</w:t>
      </w:r>
    </w:p>
    <w:p>
      <w:pPr>
        <w:widowControl/>
        <w:spacing w:line="360" w:lineRule="auto"/>
        <w:ind w:firstLine="360" w:firstLineChars="150"/>
        <w:jc w:val="left"/>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（6）中标供应商承担车辆</w:t>
      </w:r>
      <w:r>
        <w:rPr>
          <w:rFonts w:hint="eastAsia" w:cs="华文仿宋" w:asciiTheme="minorEastAsia" w:hAnsiTheme="minorEastAsia" w:eastAsiaTheme="minorEastAsia"/>
          <w:bCs/>
          <w:color w:val="auto"/>
          <w:sz w:val="24"/>
        </w:rPr>
        <w:t>12个月的全部费用，包括</w:t>
      </w:r>
      <w:r>
        <w:rPr>
          <w:rFonts w:hint="eastAsia" w:cs="华文仿宋" w:asciiTheme="minorEastAsia" w:hAnsiTheme="minorEastAsia" w:eastAsiaTheme="minorEastAsia"/>
          <w:color w:val="auto"/>
          <w:sz w:val="24"/>
        </w:rPr>
        <w:t>租赁费用、GPS安装与使用服务费用、车辆贴膜费用、轮胎修补及更换费用、行车记录仪、</w:t>
      </w:r>
      <w:r>
        <w:rPr>
          <w:rFonts w:hint="eastAsia" w:cs="华文仿宋" w:asciiTheme="minorEastAsia" w:hAnsiTheme="minorEastAsia" w:eastAsiaTheme="minorEastAsia"/>
          <w:bCs/>
          <w:color w:val="auto"/>
          <w:sz w:val="24"/>
        </w:rPr>
        <w:t>保险费用（覆盖全部险种，包括交强险、车损险、第三者责任保险（</w:t>
      </w:r>
      <w:r>
        <w:rPr>
          <w:rFonts w:hint="eastAsia" w:asciiTheme="minorEastAsia" w:hAnsiTheme="minorEastAsia" w:eastAsiaTheme="minorEastAsia"/>
          <w:color w:val="auto"/>
          <w:kern w:val="0"/>
          <w:sz w:val="24"/>
          <w:szCs w:val="20"/>
        </w:rPr>
        <w:t>≥200万</w:t>
      </w:r>
      <w:r>
        <w:rPr>
          <w:rFonts w:hint="eastAsia" w:cs="华文仿宋" w:asciiTheme="minorEastAsia" w:hAnsiTheme="minorEastAsia" w:eastAsiaTheme="minorEastAsia"/>
          <w:bCs/>
          <w:color w:val="auto"/>
          <w:sz w:val="24"/>
        </w:rPr>
        <w:t>）、车上人员险）、维修及保养费用、汽油费用（含本单位外新能源车充电费用）、过路过桥费用、停车费用、年审费用、</w:t>
      </w:r>
      <w:r>
        <w:rPr>
          <w:rFonts w:hint="eastAsia" w:cs="华文仿宋" w:asciiTheme="minorEastAsia" w:hAnsiTheme="minorEastAsia" w:eastAsiaTheme="minorEastAsia"/>
          <w:color w:val="auto"/>
          <w:sz w:val="24"/>
        </w:rPr>
        <w:t>车辆折旧费、管理费、各种税费等一切费用。</w:t>
      </w:r>
    </w:p>
    <w:p>
      <w:pPr>
        <w:widowControl/>
        <w:autoSpaceDE w:val="0"/>
        <w:autoSpaceDN w:val="0"/>
        <w:snapToGrid w:val="0"/>
        <w:spacing w:line="360" w:lineRule="auto"/>
        <w:ind w:right="-53" w:rightChars="-25" w:firstLine="360" w:firstLineChars="15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（7）租赁期间，车辆因故障不能正常使用时，中标供应商应及时修理并提供不低于原租赁车辆档次的替代车辆，确保采购人正常用车。</w:t>
      </w:r>
    </w:p>
    <w:p>
      <w:pPr>
        <w:widowControl/>
        <w:autoSpaceDE w:val="0"/>
        <w:autoSpaceDN w:val="0"/>
        <w:snapToGrid w:val="0"/>
        <w:spacing w:line="360" w:lineRule="auto"/>
        <w:ind w:right="-53" w:rightChars="-25" w:firstLine="360" w:firstLineChars="15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（8）须配备灭火器等安全设备；安全设备应当放置在便于取用的位置，并确保性能良好、有效适用。</w:t>
      </w:r>
    </w:p>
    <w:p>
      <w:pPr>
        <w:spacing w:line="360" w:lineRule="auto"/>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(9) 拟提供的车辆，需配备行车记录仪，配备具有行驶记录功能的卫星定位装置,全车中高档贴膜，中标供应商承担采购人每台车辆的临时补胎费用。</w:t>
      </w:r>
    </w:p>
    <w:p>
      <w:pPr>
        <w:spacing w:line="360" w:lineRule="auto"/>
        <w:ind w:firstLine="360" w:firstLineChars="15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10）租赁期间因国家政策或上级主管部门要求，导致采购人需求变更，采购人有权就租赁时间段进行调整，采购人需至少提前1个月书面向中标供应商提出并附上相关文件说明，且不承担由此产生的后续租车费用。</w:t>
      </w:r>
    </w:p>
    <w:p>
      <w:pPr>
        <w:spacing w:line="360" w:lineRule="auto"/>
        <w:ind w:firstLine="360" w:firstLineChars="15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（11）其他：</w:t>
      </w:r>
    </w:p>
    <w:p>
      <w:pPr>
        <w:spacing w:line="360" w:lineRule="auto"/>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11.1需提供本市范围内维修保养服务的自有（含合作）网点。</w:t>
      </w:r>
    </w:p>
    <w:p>
      <w:pPr>
        <w:spacing w:line="360" w:lineRule="auto"/>
        <w:ind w:right="-239" w:rightChars="-114"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11.2租赁期间，由中标供应商负责租赁车辆的年检，如时间超过一个工作日，中标供应商需提供同等保险同级别替代车。</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11.3租赁期间，中标供应商应负责车辆维修及配件更换，以保证采购人的正常使用。修理超过两天时，中标供应商需免费提供同等保险同级别替代车。车辆连续出现2次重大故障，影响采购人使用的，采购人有权要求中标供应商更换车辆。</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11.4租赁期间中标供应商提供租赁车辆的免费维修及保养服务（含机油及配件等更换，轮胎按车辆使用的磨损程度或保养手册要求的更换）。保养周期为3个月或5000公里，以哪个先到为准。保养应分批进行，不影响采购人的使用。如保养超过两天，需提供同等保险同级别替代车。</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11.5保险理赔范围内的非伤人事故，费用由中标供应商先行垫付（第三者、伤人费用除外）。有责事故，中标供应商需安排人员上门一对一协助事故处理，并免费提供同等保险同级别替代车。</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11.6因车辆本身原因导致采购人无法用车，中标供应商免费提供同等保险同级别的替代车。</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11.7租赁期间，中标供应商按要求喷涂单位名称和监督电话（必须符合车改要求）。</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11.8中标供应商给采购人免费开放所租车辆 GPS 查询权限。</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11.9中标供应商每月向采购人提供在租车辆的月度管报，内容包括但不限于：维保记录、未处理违章记录、事故记录、巡检记录。中标供应商每月安排给采购人进行一次现场巡检，检查及汇报内容包括但不限于：车辆外观、灯管、刹车、水箱、仪表盘、制动，等等。</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11.10中标供应商需根据采购人要求每台车配置专属油卡，费用含在投标价中。若在车辆使用过程中因无法使用油卡支付或者无专属油卡的加油站，加油费用由采购人先行垫付并开具发票，发票交给中标供应商后，由中标供应商按开票金额进行报销，报销后汇入采购人代为支付人员账户。</w:t>
      </w:r>
    </w:p>
    <w:p>
      <w:pPr>
        <w:pStyle w:val="84"/>
        <w:spacing w:line="440" w:lineRule="exact"/>
        <w:rPr>
          <w:rFonts w:cs="华文仿宋" w:asciiTheme="minorEastAsia" w:hAnsiTheme="minorEastAsia" w:eastAsiaTheme="minorEastAsia"/>
          <w:color w:val="auto"/>
          <w:kern w:val="2"/>
          <w:szCs w:val="24"/>
        </w:rPr>
      </w:pPr>
      <w:r>
        <w:rPr>
          <w:rFonts w:hint="eastAsia" w:asciiTheme="minorEastAsia" w:hAnsiTheme="minorEastAsia" w:eastAsiaTheme="minorEastAsia"/>
          <w:color w:val="auto"/>
        </w:rPr>
        <w:t>1</w:t>
      </w:r>
      <w:r>
        <w:rPr>
          <w:rFonts w:cs="华文仿宋" w:asciiTheme="minorEastAsia" w:hAnsiTheme="minorEastAsia" w:eastAsiaTheme="minorEastAsia"/>
          <w:color w:val="auto"/>
          <w:kern w:val="2"/>
          <w:szCs w:val="24"/>
        </w:rPr>
        <w:t>1.11</w:t>
      </w:r>
      <w:r>
        <w:rPr>
          <w:rFonts w:hint="eastAsia" w:cs="华文仿宋" w:asciiTheme="minorEastAsia" w:hAnsiTheme="minorEastAsia" w:eastAsiaTheme="minorEastAsia"/>
          <w:color w:val="auto"/>
          <w:szCs w:val="24"/>
        </w:rPr>
        <w:t>中标供应商</w:t>
      </w:r>
      <w:r>
        <w:rPr>
          <w:rFonts w:hint="eastAsia" w:cs="华文仿宋" w:asciiTheme="minorEastAsia" w:hAnsiTheme="minorEastAsia" w:eastAsiaTheme="minorEastAsia"/>
          <w:color w:val="auto"/>
          <w:kern w:val="2"/>
          <w:szCs w:val="24"/>
        </w:rPr>
        <w:t xml:space="preserve">至少提供1辆备用车（停放在采购人单位）。 </w:t>
      </w:r>
    </w:p>
    <w:p>
      <w:pPr>
        <w:spacing w:line="440" w:lineRule="exact"/>
        <w:ind w:firstLine="480" w:firstLineChars="200"/>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(12) 中标通知书发出且完成合同签订后，中标供应商应当在30天内车辆提供到位。（交车时，车辆需满油。）</w:t>
      </w:r>
    </w:p>
    <w:p>
      <w:pPr>
        <w:pStyle w:val="2"/>
        <w:ind w:left="210" w:leftChars="100" w:firstLine="240" w:firstLineChars="100"/>
        <w:rPr>
          <w:color w:val="auto"/>
        </w:rPr>
      </w:pPr>
      <w:r>
        <w:rPr>
          <w:rFonts w:cs="华文仿宋" w:asciiTheme="minorEastAsia" w:hAnsiTheme="minorEastAsia" w:eastAsiaTheme="minorEastAsia"/>
          <w:b w:val="0"/>
          <w:bCs w:val="0"/>
          <w:color w:val="auto"/>
          <w:sz w:val="24"/>
        </w:rPr>
        <w:t xml:space="preserve">(13) </w:t>
      </w:r>
      <w:r>
        <w:rPr>
          <w:rFonts w:hint="eastAsia" w:cs="华文仿宋" w:asciiTheme="minorEastAsia" w:hAnsiTheme="minorEastAsia" w:eastAsiaTheme="minorEastAsia"/>
          <w:b w:val="0"/>
          <w:bCs w:val="0"/>
          <w:color w:val="auto"/>
          <w:sz w:val="24"/>
        </w:rPr>
        <w:t>租赁期内，除甲方故意或重大过失导致标的物毁损灭失外，标的物的毁损灭失风险由乙方自行承担。</w:t>
      </w:r>
    </w:p>
    <w:p>
      <w:pPr>
        <w:spacing w:line="360" w:lineRule="auto"/>
        <w:ind w:firstLine="361" w:firstLineChars="150"/>
        <w:jc w:val="left"/>
        <w:rPr>
          <w:rFonts w:cs="华文仿宋" w:asciiTheme="minorEastAsia" w:hAnsiTheme="minorEastAsia" w:eastAsiaTheme="minorEastAsia"/>
          <w:b/>
          <w:color w:val="auto"/>
          <w:sz w:val="24"/>
        </w:rPr>
      </w:pPr>
      <w:r>
        <w:rPr>
          <w:rFonts w:hint="eastAsia" w:cs="华文仿宋" w:asciiTheme="minorEastAsia" w:hAnsiTheme="minorEastAsia" w:eastAsiaTheme="minorEastAsia"/>
          <w:b/>
          <w:color w:val="auto"/>
          <w:sz w:val="24"/>
        </w:rPr>
        <w:t>2.</w:t>
      </w:r>
      <w:r>
        <w:rPr>
          <w:rFonts w:cs="华文仿宋" w:asciiTheme="minorEastAsia" w:hAnsiTheme="minorEastAsia" w:eastAsiaTheme="minorEastAsia"/>
          <w:b/>
          <w:color w:val="auto"/>
          <w:sz w:val="24"/>
        </w:rPr>
        <w:t>3</w:t>
      </w:r>
      <w:r>
        <w:rPr>
          <w:rFonts w:hint="eastAsia" w:cs="华文仿宋" w:asciiTheme="minorEastAsia" w:hAnsiTheme="minorEastAsia" w:eastAsiaTheme="minorEastAsia"/>
          <w:b/>
          <w:color w:val="auto"/>
          <w:sz w:val="24"/>
        </w:rPr>
        <w:t>服务方案</w:t>
      </w:r>
    </w:p>
    <w:p>
      <w:pPr>
        <w:pStyle w:val="84"/>
        <w:ind w:firstLine="283" w:firstLineChars="118"/>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.3.1</w:t>
      </w:r>
      <w:r>
        <w:rPr>
          <w:rFonts w:hint="eastAsia" w:asciiTheme="minorEastAsia" w:hAnsiTheme="minorEastAsia" w:eastAsiaTheme="minorEastAsia"/>
          <w:color w:val="auto"/>
        </w:rPr>
        <w:t>提供车辆配备方案：至少包括①拟投入车辆清单、②根据采购要求制定的配备方案、③车辆年检管理与车辆违章管理等，④满足车辆使用要求等。</w:t>
      </w:r>
    </w:p>
    <w:p>
      <w:pPr>
        <w:pStyle w:val="84"/>
        <w:ind w:firstLine="283" w:firstLineChars="118"/>
        <w:rPr>
          <w:rFonts w:asciiTheme="minorEastAsia" w:hAnsiTheme="minorEastAsia" w:eastAsiaTheme="minorEastAsia"/>
          <w:color w:val="auto"/>
          <w:szCs w:val="24"/>
        </w:rPr>
      </w:pPr>
      <w:r>
        <w:rPr>
          <w:rFonts w:hint="eastAsia" w:asciiTheme="minorEastAsia" w:hAnsiTheme="minorEastAsia" w:eastAsiaTheme="minorEastAsia"/>
          <w:color w:val="auto"/>
        </w:rPr>
        <w:t>2</w:t>
      </w:r>
      <w:r>
        <w:rPr>
          <w:rFonts w:asciiTheme="minorEastAsia" w:hAnsiTheme="minorEastAsia" w:eastAsiaTheme="minorEastAsia"/>
          <w:color w:val="auto"/>
        </w:rPr>
        <w:t>.3.2</w:t>
      </w:r>
      <w:r>
        <w:rPr>
          <w:rFonts w:hint="eastAsia" w:asciiTheme="minorEastAsia" w:hAnsiTheme="minorEastAsia" w:eastAsiaTheme="minorEastAsia"/>
          <w:color w:val="auto"/>
          <w:szCs w:val="24"/>
        </w:rPr>
        <w:t>项目团队及车辆管理方案：至少包括①本项目的管理人员的组织架构、②人员配置、③岗位职责、④车辆巡检、⑤车辆信息建档管理⑥及月度管报等内容。</w:t>
      </w:r>
    </w:p>
    <w:p>
      <w:pPr>
        <w:pStyle w:val="84"/>
        <w:ind w:firstLine="283" w:firstLineChars="118"/>
        <w:rPr>
          <w:rFonts w:asciiTheme="minorEastAsia" w:hAnsiTheme="minorEastAsia" w:eastAsiaTheme="minorEastAsia"/>
          <w:color w:val="auto"/>
          <w:kern w:val="2"/>
          <w:szCs w:val="24"/>
        </w:rPr>
      </w:pPr>
      <w:r>
        <w:rPr>
          <w:rFonts w:hint="eastAsia" w:asciiTheme="minorEastAsia" w:hAnsiTheme="minorEastAsia" w:eastAsiaTheme="minorEastAsia"/>
          <w:color w:val="auto"/>
        </w:rPr>
        <w:t>2</w:t>
      </w:r>
      <w:r>
        <w:rPr>
          <w:rFonts w:asciiTheme="minorEastAsia" w:hAnsiTheme="minorEastAsia" w:eastAsiaTheme="minorEastAsia"/>
          <w:color w:val="auto"/>
        </w:rPr>
        <w:t>.3.3</w:t>
      </w:r>
      <w:r>
        <w:rPr>
          <w:rFonts w:hint="eastAsia" w:asciiTheme="minorEastAsia" w:hAnsiTheme="minorEastAsia" w:eastAsiaTheme="minorEastAsia"/>
          <w:color w:val="auto"/>
          <w:kern w:val="2"/>
          <w:szCs w:val="24"/>
        </w:rPr>
        <w:t>车辆维保方案：至少包括</w:t>
      </w:r>
      <w:r>
        <w:rPr>
          <w:rFonts w:hint="eastAsia" w:asciiTheme="minorEastAsia" w:hAnsiTheme="minorEastAsia" w:eastAsiaTheme="minorEastAsia"/>
          <w:color w:val="auto"/>
          <w:szCs w:val="24"/>
        </w:rPr>
        <w:t>①</w:t>
      </w:r>
      <w:r>
        <w:rPr>
          <w:rFonts w:hint="eastAsia" w:asciiTheme="minorEastAsia" w:hAnsiTheme="minorEastAsia" w:eastAsiaTheme="minorEastAsia"/>
          <w:color w:val="auto"/>
          <w:kern w:val="2"/>
          <w:szCs w:val="24"/>
        </w:rPr>
        <w:t>拟投入本项目车辆的维修保养制度、</w:t>
      </w:r>
      <w:r>
        <w:rPr>
          <w:rFonts w:hint="eastAsia" w:asciiTheme="minorEastAsia" w:hAnsiTheme="minorEastAsia" w:eastAsiaTheme="minorEastAsia"/>
          <w:color w:val="auto"/>
          <w:szCs w:val="24"/>
        </w:rPr>
        <w:t>②</w:t>
      </w:r>
      <w:r>
        <w:rPr>
          <w:rFonts w:hint="eastAsia" w:asciiTheme="minorEastAsia" w:hAnsiTheme="minorEastAsia" w:eastAsiaTheme="minorEastAsia"/>
          <w:color w:val="auto"/>
          <w:kern w:val="2"/>
          <w:szCs w:val="24"/>
        </w:rPr>
        <w:t>具体维修方案及</w:t>
      </w:r>
      <w:r>
        <w:rPr>
          <w:rFonts w:hint="eastAsia" w:asciiTheme="minorEastAsia" w:hAnsiTheme="minorEastAsia" w:eastAsiaTheme="minorEastAsia"/>
          <w:color w:val="auto"/>
          <w:szCs w:val="24"/>
        </w:rPr>
        <w:t>③</w:t>
      </w:r>
      <w:r>
        <w:rPr>
          <w:rFonts w:hint="eastAsia" w:asciiTheme="minorEastAsia" w:hAnsiTheme="minorEastAsia" w:eastAsiaTheme="minorEastAsia"/>
          <w:color w:val="auto"/>
          <w:kern w:val="2"/>
          <w:szCs w:val="24"/>
        </w:rPr>
        <w:t>相关维保地点的基本情况介绍等。</w:t>
      </w:r>
    </w:p>
    <w:p>
      <w:pPr>
        <w:pStyle w:val="84"/>
        <w:ind w:firstLine="283" w:firstLineChars="118"/>
        <w:rPr>
          <w:rFonts w:asciiTheme="minorEastAsia" w:hAnsiTheme="minorEastAsia" w:eastAsiaTheme="minorEastAsia"/>
          <w:color w:val="auto"/>
          <w:szCs w:val="24"/>
        </w:rPr>
      </w:pPr>
      <w:r>
        <w:rPr>
          <w:rFonts w:hint="eastAsia" w:asciiTheme="minorEastAsia" w:hAnsiTheme="minorEastAsia" w:eastAsiaTheme="minorEastAsia"/>
          <w:color w:val="auto"/>
        </w:rPr>
        <w:t>2</w:t>
      </w:r>
      <w:r>
        <w:rPr>
          <w:rFonts w:asciiTheme="minorEastAsia" w:hAnsiTheme="minorEastAsia" w:eastAsiaTheme="minorEastAsia"/>
          <w:color w:val="auto"/>
        </w:rPr>
        <w:t>.3.4</w:t>
      </w:r>
      <w:r>
        <w:rPr>
          <w:rFonts w:asciiTheme="minorEastAsia" w:hAnsiTheme="minorEastAsia" w:eastAsiaTheme="minorEastAsia"/>
          <w:color w:val="auto"/>
          <w:szCs w:val="24"/>
        </w:rPr>
        <w:t>应急预案</w:t>
      </w:r>
      <w:r>
        <w:rPr>
          <w:rFonts w:hint="eastAsia" w:asciiTheme="minorEastAsia" w:hAnsiTheme="minorEastAsia" w:eastAsiaTheme="minorEastAsia"/>
          <w:color w:val="auto"/>
          <w:szCs w:val="24"/>
        </w:rPr>
        <w:t>：</w:t>
      </w:r>
      <w:r>
        <w:rPr>
          <w:rFonts w:asciiTheme="minorEastAsia" w:hAnsiTheme="minorEastAsia" w:eastAsiaTheme="minorEastAsia"/>
          <w:color w:val="auto"/>
          <w:szCs w:val="24"/>
        </w:rPr>
        <w:t>至少包括</w:t>
      </w:r>
      <w:r>
        <w:rPr>
          <w:rFonts w:hint="eastAsia" w:asciiTheme="minorEastAsia" w:hAnsiTheme="minorEastAsia" w:eastAsiaTheme="minorEastAsia"/>
          <w:color w:val="auto"/>
          <w:szCs w:val="24"/>
        </w:rPr>
        <w:t>①</w:t>
      </w:r>
      <w:r>
        <w:rPr>
          <w:rFonts w:asciiTheme="minorEastAsia" w:hAnsiTheme="minorEastAsia" w:eastAsiaTheme="minorEastAsia"/>
          <w:color w:val="auto"/>
          <w:szCs w:val="24"/>
        </w:rPr>
        <w:t>服务期间道路救援、</w:t>
      </w:r>
      <w:r>
        <w:rPr>
          <w:rFonts w:hint="eastAsia" w:asciiTheme="minorEastAsia" w:hAnsiTheme="minorEastAsia" w:eastAsiaTheme="minorEastAsia"/>
          <w:color w:val="auto"/>
          <w:szCs w:val="24"/>
        </w:rPr>
        <w:t>②</w:t>
      </w:r>
      <w:r>
        <w:rPr>
          <w:rFonts w:asciiTheme="minorEastAsia" w:hAnsiTheme="minorEastAsia" w:eastAsiaTheme="minorEastAsia"/>
          <w:color w:val="auto"/>
          <w:szCs w:val="24"/>
        </w:rPr>
        <w:t>替代车、</w:t>
      </w:r>
      <w:r>
        <w:rPr>
          <w:rFonts w:hint="eastAsia" w:asciiTheme="minorEastAsia" w:hAnsiTheme="minorEastAsia" w:eastAsiaTheme="minorEastAsia"/>
          <w:color w:val="auto"/>
          <w:szCs w:val="24"/>
        </w:rPr>
        <w:t>③</w:t>
      </w:r>
      <w:r>
        <w:rPr>
          <w:rFonts w:asciiTheme="minorEastAsia" w:hAnsiTheme="minorEastAsia" w:eastAsiaTheme="minorEastAsia"/>
          <w:color w:val="auto"/>
          <w:szCs w:val="24"/>
        </w:rPr>
        <w:t>事故处理、</w:t>
      </w:r>
      <w:r>
        <w:rPr>
          <w:rFonts w:hint="eastAsia" w:asciiTheme="minorEastAsia" w:hAnsiTheme="minorEastAsia" w:eastAsiaTheme="minorEastAsia"/>
          <w:color w:val="auto"/>
          <w:szCs w:val="24"/>
        </w:rPr>
        <w:t>④</w:t>
      </w:r>
      <w:r>
        <w:rPr>
          <w:rFonts w:asciiTheme="minorEastAsia" w:hAnsiTheme="minorEastAsia" w:eastAsiaTheme="minorEastAsia"/>
          <w:color w:val="auto"/>
          <w:szCs w:val="24"/>
        </w:rPr>
        <w:t>临时用车等方案</w:t>
      </w:r>
      <w:r>
        <w:rPr>
          <w:rFonts w:hint="eastAsia" w:asciiTheme="minorEastAsia" w:hAnsiTheme="minorEastAsia" w:eastAsiaTheme="minorEastAsia"/>
          <w:color w:val="auto"/>
          <w:szCs w:val="24"/>
        </w:rPr>
        <w:t>。</w:t>
      </w:r>
    </w:p>
    <w:p>
      <w:pPr>
        <w:pStyle w:val="964"/>
        <w:spacing w:line="360" w:lineRule="auto"/>
        <w:ind w:firstLine="260" w:firstLineChars="100"/>
        <w:rPr>
          <w:rFonts w:asciiTheme="minorEastAsia" w:hAnsiTheme="minorEastAsia" w:eastAsiaTheme="minorEastAsia"/>
          <w:color w:val="auto"/>
          <w:sz w:val="24"/>
          <w:szCs w:val="24"/>
        </w:rPr>
      </w:pPr>
      <w:r>
        <w:rPr>
          <w:rFonts w:asciiTheme="minorEastAsia" w:hAnsiTheme="minorEastAsia" w:eastAsiaTheme="minorEastAsia"/>
          <w:color w:val="auto"/>
        </w:rPr>
        <w:t>2.3.5</w:t>
      </w:r>
      <w:r>
        <w:rPr>
          <w:rFonts w:hint="eastAsia" w:asciiTheme="minorEastAsia" w:hAnsiTheme="minorEastAsia" w:eastAsiaTheme="minorEastAsia"/>
          <w:color w:val="auto"/>
          <w:sz w:val="24"/>
          <w:szCs w:val="24"/>
        </w:rPr>
        <w:t>内部运营管理制度及相关配套服务</w:t>
      </w:r>
      <w:r>
        <w:rPr>
          <w:rFonts w:hint="eastAsia" w:asciiTheme="minorEastAsia" w:hAnsiTheme="minorEastAsia" w:eastAsiaTheme="minorEastAsia"/>
          <w:color w:val="auto"/>
          <w:szCs w:val="24"/>
        </w:rPr>
        <w:t>：</w:t>
      </w:r>
      <w:r>
        <w:rPr>
          <w:rFonts w:asciiTheme="minorEastAsia" w:hAnsiTheme="minorEastAsia" w:eastAsiaTheme="minorEastAsia"/>
          <w:color w:val="auto"/>
          <w:sz w:val="24"/>
          <w:szCs w:val="24"/>
        </w:rPr>
        <w:t>至少包括：</w:t>
      </w:r>
      <w:r>
        <w:rPr>
          <w:rFonts w:hint="eastAsia" w:asciiTheme="minorEastAsia" w:hAnsiTheme="minorEastAsia" w:eastAsiaTheme="minorEastAsia"/>
          <w:color w:val="auto"/>
          <w:sz w:val="24"/>
          <w:szCs w:val="24"/>
        </w:rPr>
        <w:t>①</w:t>
      </w:r>
      <w:r>
        <w:rPr>
          <w:rFonts w:asciiTheme="minorEastAsia" w:hAnsiTheme="minorEastAsia" w:eastAsiaTheme="minorEastAsia"/>
          <w:color w:val="auto"/>
          <w:sz w:val="24"/>
          <w:szCs w:val="24"/>
        </w:rPr>
        <w:t>安全经营管理制度、</w:t>
      </w:r>
      <w:r>
        <w:rPr>
          <w:rFonts w:hint="eastAsia" w:asciiTheme="minorEastAsia" w:hAnsiTheme="minorEastAsia" w:eastAsiaTheme="minorEastAsia"/>
          <w:color w:val="auto"/>
          <w:sz w:val="24"/>
          <w:szCs w:val="24"/>
        </w:rPr>
        <w:t>②</w:t>
      </w:r>
      <w:r>
        <w:rPr>
          <w:rFonts w:asciiTheme="minorEastAsia" w:hAnsiTheme="minorEastAsia" w:eastAsiaTheme="minorEastAsia"/>
          <w:color w:val="auto"/>
          <w:sz w:val="24"/>
          <w:szCs w:val="24"/>
        </w:rPr>
        <w:t>事故预防管理制度</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相关配套服务包括：</w:t>
      </w:r>
      <w:r>
        <w:rPr>
          <w:rFonts w:hint="eastAsia" w:asciiTheme="minorEastAsia" w:hAnsiTheme="minorEastAsia" w:eastAsiaTheme="minorEastAsia"/>
          <w:color w:val="auto"/>
          <w:sz w:val="24"/>
          <w:szCs w:val="24"/>
        </w:rPr>
        <w:t>③</w:t>
      </w:r>
      <w:r>
        <w:rPr>
          <w:rFonts w:asciiTheme="minorEastAsia" w:hAnsiTheme="minorEastAsia" w:eastAsiaTheme="minorEastAsia"/>
          <w:color w:val="auto"/>
          <w:sz w:val="24"/>
          <w:szCs w:val="24"/>
        </w:rPr>
        <w:t>安全培训、</w:t>
      </w:r>
      <w:r>
        <w:rPr>
          <w:rFonts w:hint="eastAsia" w:asciiTheme="minorEastAsia" w:hAnsiTheme="minorEastAsia" w:eastAsiaTheme="minorEastAsia"/>
          <w:color w:val="auto"/>
          <w:sz w:val="24"/>
          <w:szCs w:val="24"/>
        </w:rPr>
        <w:t>④</w:t>
      </w:r>
      <w:r>
        <w:rPr>
          <w:rFonts w:asciiTheme="minorEastAsia" w:hAnsiTheme="minorEastAsia" w:eastAsiaTheme="minorEastAsia"/>
          <w:color w:val="auto"/>
          <w:sz w:val="24"/>
          <w:szCs w:val="24"/>
        </w:rPr>
        <w:t>油卡管理流程等内容</w:t>
      </w:r>
      <w:r>
        <w:rPr>
          <w:rFonts w:hint="eastAsia" w:asciiTheme="minorEastAsia" w:hAnsiTheme="minorEastAsia" w:eastAsiaTheme="minorEastAsia"/>
          <w:color w:val="auto"/>
          <w:sz w:val="24"/>
          <w:szCs w:val="24"/>
        </w:rPr>
        <w:t>；</w:t>
      </w:r>
    </w:p>
    <w:p>
      <w:pPr>
        <w:pStyle w:val="84"/>
        <w:ind w:firstLine="283" w:firstLineChars="118"/>
        <w:rPr>
          <w:rFonts w:cs="华文仿宋" w:asciiTheme="minorEastAsia" w:hAnsiTheme="minorEastAsia" w:eastAsiaTheme="minorEastAsia"/>
          <w:b/>
          <w:color w:val="auto"/>
        </w:rPr>
      </w:pPr>
      <w:r>
        <w:rPr>
          <w:rFonts w:asciiTheme="minorEastAsia" w:hAnsiTheme="minorEastAsia" w:eastAsiaTheme="minorEastAsia"/>
          <w:color w:val="auto"/>
        </w:rPr>
        <w:t>2.3.6</w:t>
      </w:r>
      <w:r>
        <w:rPr>
          <w:rFonts w:hint="eastAsia" w:asciiTheme="minorEastAsia" w:hAnsiTheme="minorEastAsia" w:eastAsiaTheme="minorEastAsia"/>
          <w:color w:val="auto"/>
          <w:szCs w:val="24"/>
        </w:rPr>
        <w:t>中标供应商承诺若采购人所租赁的车辆年使用总公里数未超180万公里，若中标供应商第二年度再中标，则剩余未使用的公里数可以累加到第二年度中标的总公里数中；</w:t>
      </w:r>
      <w:r>
        <w:rPr>
          <w:rFonts w:cs="华文仿宋" w:asciiTheme="minorEastAsia" w:hAnsiTheme="minorEastAsia" w:eastAsiaTheme="minorEastAsia"/>
          <w:b/>
          <w:color w:val="auto"/>
        </w:rPr>
        <w:t xml:space="preserve"> </w:t>
      </w:r>
    </w:p>
    <w:p>
      <w:pPr>
        <w:widowControl/>
        <w:autoSpaceDE w:val="0"/>
        <w:autoSpaceDN w:val="0"/>
        <w:snapToGrid w:val="0"/>
        <w:spacing w:line="440" w:lineRule="exact"/>
        <w:ind w:right="-53" w:rightChars="-25" w:firstLine="480" w:firstLineChars="20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本合同期限为1年（合同从车辆到位交接之日起算）。</w:t>
      </w:r>
      <w:r>
        <w:rPr>
          <w:rFonts w:asciiTheme="minorEastAsia" w:hAnsiTheme="minorEastAsia" w:eastAsiaTheme="minorEastAsia"/>
          <w:color w:val="auto"/>
          <w:sz w:val="24"/>
        </w:rPr>
        <w:t>合同期内，</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能严格履行合同</w:t>
      </w:r>
      <w:r>
        <w:rPr>
          <w:rFonts w:hint="eastAsia" w:asciiTheme="minorEastAsia" w:hAnsiTheme="minorEastAsia" w:eastAsiaTheme="minorEastAsia"/>
          <w:color w:val="auto"/>
          <w:sz w:val="24"/>
        </w:rPr>
        <w:t>约定内容。合作期内任何一方不得擅自停止协议（采购人</w:t>
      </w:r>
      <w:r>
        <w:rPr>
          <w:rFonts w:hint="eastAsia" w:cs="华文仿宋" w:asciiTheme="minorEastAsia" w:hAnsiTheme="minorEastAsia" w:eastAsiaTheme="minorEastAsia"/>
          <w:color w:val="auto"/>
          <w:sz w:val="24"/>
        </w:rPr>
        <w:t>在租赁期间因国家政策或上级主管部门要求，导致采购人需求变更除外），否则应负担所造成的一切损失。</w:t>
      </w:r>
    </w:p>
    <w:p>
      <w:pPr>
        <w:widowControl/>
        <w:autoSpaceDE w:val="0"/>
        <w:autoSpaceDN w:val="0"/>
        <w:snapToGrid w:val="0"/>
        <w:spacing w:line="440" w:lineRule="exact"/>
        <w:ind w:right="-53" w:rightChars="-25"/>
        <w:textAlignment w:val="bottom"/>
        <w:rPr>
          <w:rFonts w:cs="华文仿宋" w:asciiTheme="minorEastAsia" w:hAnsiTheme="minorEastAsia" w:eastAsiaTheme="minorEastAsia"/>
          <w:b/>
          <w:color w:val="auto"/>
          <w:sz w:val="24"/>
        </w:rPr>
      </w:pPr>
      <w:r>
        <w:rPr>
          <w:rFonts w:hint="eastAsia" w:cs="华文仿宋" w:asciiTheme="minorEastAsia" w:hAnsiTheme="minorEastAsia" w:eastAsiaTheme="minorEastAsia"/>
          <w:b/>
          <w:color w:val="auto"/>
          <w:sz w:val="24"/>
        </w:rPr>
        <w:t>三、付款方式</w:t>
      </w:r>
    </w:p>
    <w:p>
      <w:pPr>
        <w:widowControl/>
        <w:autoSpaceDE w:val="0"/>
        <w:autoSpaceDN w:val="0"/>
        <w:snapToGrid w:val="0"/>
        <w:spacing w:line="440" w:lineRule="exact"/>
        <w:ind w:right="-53" w:rightChars="-25"/>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（1）合同签订后，先预付合同总额的40%；（2）剩余金额在正式交车当月及合同执行中期（即合同执行第7个月）分两次支付，分别为合同金额的30%和30%。</w:t>
      </w:r>
    </w:p>
    <w:p>
      <w:pPr>
        <w:widowControl/>
        <w:autoSpaceDE w:val="0"/>
        <w:autoSpaceDN w:val="0"/>
        <w:snapToGrid w:val="0"/>
        <w:spacing w:line="440" w:lineRule="exact"/>
        <w:ind w:right="-53" w:rightChars="-25"/>
        <w:textAlignment w:val="bottom"/>
        <w:rPr>
          <w:rFonts w:cs="华文仿宋" w:asciiTheme="minorEastAsia" w:hAnsiTheme="minorEastAsia" w:eastAsiaTheme="minorEastAsia"/>
          <w:b/>
          <w:color w:val="auto"/>
          <w:sz w:val="24"/>
        </w:rPr>
      </w:pPr>
      <w:r>
        <w:rPr>
          <w:rFonts w:hint="eastAsia" w:cs="华文仿宋" w:asciiTheme="minorEastAsia" w:hAnsiTheme="minorEastAsia" w:eastAsiaTheme="minorEastAsia"/>
          <w:b/>
          <w:color w:val="auto"/>
          <w:sz w:val="24"/>
        </w:rPr>
        <w:t>四、报价要求</w:t>
      </w:r>
    </w:p>
    <w:p>
      <w:pPr>
        <w:widowControl/>
        <w:autoSpaceDE w:val="0"/>
        <w:autoSpaceDN w:val="0"/>
        <w:spacing w:line="440" w:lineRule="exact"/>
        <w:ind w:right="-53" w:rightChars="-25" w:firstLine="480" w:firstLineChars="20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1、中标供应商应根据招标文件报出合同总价。合同总价一旦核实确认，不得再做更改（采购人在租赁期间因国家政策或上级主管部门要求，导致采购人需求变更除外）。对中标供应商漏报致使未能达到需求的功能和效果，其费用和后果由中标供应商自行负责。</w:t>
      </w:r>
    </w:p>
    <w:p>
      <w:pPr>
        <w:widowControl/>
        <w:autoSpaceDE w:val="0"/>
        <w:autoSpaceDN w:val="0"/>
        <w:spacing w:line="440" w:lineRule="exact"/>
        <w:ind w:right="-53" w:rightChars="-25" w:firstLine="475" w:firstLineChars="198"/>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2</w:t>
      </w:r>
      <w:r>
        <w:rPr>
          <w:rFonts w:hint="eastAsia" w:cs="华文仿宋" w:asciiTheme="minorEastAsia" w:hAnsiTheme="minorEastAsia" w:eastAsiaTheme="minorEastAsia"/>
          <w:b/>
          <w:color w:val="auto"/>
          <w:sz w:val="24"/>
        </w:rPr>
        <w:t>、中标供应商对每种服务的报价必须是唯一的。招标人不接受有任何选择的报价。</w:t>
      </w:r>
    </w:p>
    <w:p>
      <w:pPr>
        <w:widowControl/>
        <w:autoSpaceDE w:val="0"/>
        <w:autoSpaceDN w:val="0"/>
        <w:spacing w:line="440" w:lineRule="exact"/>
        <w:ind w:right="-53" w:rightChars="-25" w:firstLine="480" w:firstLineChars="200"/>
        <w:textAlignment w:val="bottom"/>
        <w:rPr>
          <w:rFonts w:cs="华文仿宋" w:asciiTheme="minorEastAsia" w:hAnsiTheme="minorEastAsia" w:eastAsiaTheme="minorEastAsia"/>
          <w:color w:val="auto"/>
          <w:sz w:val="24"/>
        </w:rPr>
      </w:pPr>
      <w:r>
        <w:rPr>
          <w:rFonts w:hint="eastAsia" w:cs="华文仿宋" w:asciiTheme="minorEastAsia" w:hAnsiTheme="minorEastAsia" w:eastAsiaTheme="minorEastAsia"/>
          <w:color w:val="auto"/>
          <w:sz w:val="24"/>
        </w:rPr>
        <w:t>3、所有报价均应已包含国家规定的所有税费。</w:t>
      </w:r>
    </w:p>
    <w:p>
      <w:pPr>
        <w:widowControl/>
        <w:spacing w:line="440" w:lineRule="exact"/>
        <w:ind w:firstLine="480" w:firstLineChars="200"/>
        <w:jc w:val="left"/>
        <w:rPr>
          <w:rFonts w:asciiTheme="minorEastAsia" w:hAnsiTheme="minorEastAsia" w:eastAsiaTheme="minorEastAsia"/>
          <w:bCs/>
          <w:color w:val="auto"/>
          <w:sz w:val="24"/>
        </w:rPr>
      </w:pPr>
      <w:r>
        <w:rPr>
          <w:rFonts w:hint="eastAsia" w:cs="华文仿宋" w:asciiTheme="minorEastAsia" w:hAnsiTheme="minorEastAsia" w:eastAsiaTheme="minorEastAsia"/>
          <w:color w:val="auto"/>
          <w:sz w:val="24"/>
        </w:rPr>
        <w:t>4、</w:t>
      </w:r>
      <w:r>
        <w:rPr>
          <w:rFonts w:hint="eastAsia" w:cs="华文仿宋" w:asciiTheme="minorEastAsia" w:hAnsiTheme="minorEastAsia" w:eastAsiaTheme="minorEastAsia"/>
          <w:bCs/>
          <w:color w:val="auto"/>
          <w:sz w:val="24"/>
        </w:rPr>
        <w:t>投标报价是指所租赁车辆12个月的全部费用，包括</w:t>
      </w:r>
      <w:r>
        <w:rPr>
          <w:rFonts w:hint="eastAsia" w:cs="华文仿宋" w:asciiTheme="minorEastAsia" w:hAnsiTheme="minorEastAsia" w:eastAsiaTheme="minorEastAsia"/>
          <w:color w:val="auto"/>
          <w:sz w:val="24"/>
        </w:rPr>
        <w:t>租赁费用、GPS安装与使用服务费用、车辆贴膜费用、轮胎修补及更换费用、行车记录仪、</w:t>
      </w:r>
      <w:r>
        <w:rPr>
          <w:rFonts w:hint="eastAsia" w:cs="华文仿宋" w:asciiTheme="minorEastAsia" w:hAnsiTheme="minorEastAsia" w:eastAsiaTheme="minorEastAsia"/>
          <w:bCs/>
          <w:color w:val="auto"/>
          <w:sz w:val="24"/>
        </w:rPr>
        <w:t>保险费用（覆盖全部险种，包括交强险、车损险、第三者责任保险（</w:t>
      </w:r>
      <w:r>
        <w:rPr>
          <w:rFonts w:hint="eastAsia" w:asciiTheme="minorEastAsia" w:hAnsiTheme="minorEastAsia" w:eastAsiaTheme="minorEastAsia"/>
          <w:color w:val="auto"/>
          <w:kern w:val="0"/>
          <w:sz w:val="24"/>
          <w:szCs w:val="20"/>
        </w:rPr>
        <w:t>≥200万</w:t>
      </w:r>
      <w:r>
        <w:rPr>
          <w:rFonts w:hint="eastAsia" w:cs="华文仿宋" w:asciiTheme="minorEastAsia" w:hAnsiTheme="minorEastAsia" w:eastAsiaTheme="minorEastAsia"/>
          <w:bCs/>
          <w:color w:val="auto"/>
          <w:sz w:val="24"/>
        </w:rPr>
        <w:t>）、车上人员险）、维修及保养费用、汽油费用（含本单位外新能源车充电费用）、过路过桥费用、停车费用、年审费用、</w:t>
      </w:r>
      <w:r>
        <w:rPr>
          <w:rFonts w:hint="eastAsia" w:cs="华文仿宋" w:asciiTheme="minorEastAsia" w:hAnsiTheme="minorEastAsia" w:eastAsiaTheme="minorEastAsia"/>
          <w:color w:val="auto"/>
          <w:sz w:val="24"/>
        </w:rPr>
        <w:t>车辆折旧费、管理费、各种税费等一切费用。</w:t>
      </w:r>
    </w:p>
    <w:p>
      <w:pPr>
        <w:spacing w:line="360" w:lineRule="auto"/>
        <w:rPr>
          <w:rFonts w:ascii="宋体" w:hAnsi="宋体" w:cs="宋体"/>
          <w:color w:val="auto"/>
          <w:sz w:val="24"/>
        </w:rPr>
      </w:pPr>
      <w:r>
        <w:rPr>
          <w:rFonts w:hint="eastAsia" w:cs="华文仿宋" w:asciiTheme="minorEastAsia" w:hAnsiTheme="minorEastAsia" w:eastAsiaTheme="minorEastAsia"/>
          <w:b/>
          <w:color w:val="auto"/>
          <w:sz w:val="24"/>
        </w:rPr>
        <w:t>四、</w:t>
      </w:r>
      <w:r>
        <w:rPr>
          <w:rFonts w:hint="eastAsia" w:cs="华文仿宋" w:asciiTheme="minorEastAsia" w:hAnsiTheme="minorEastAsia" w:eastAsiaTheme="minorEastAsia"/>
          <w:b/>
          <w:color w:val="auto"/>
          <w:sz w:val="24"/>
        </w:rPr>
        <w:t>其它：</w:t>
      </w:r>
      <w:r>
        <w:rPr>
          <w:rFonts w:hint="eastAsia" w:ascii="宋体" w:hAnsi="宋体" w:cs="宋体"/>
          <w:color w:val="auto"/>
          <w:sz w:val="24"/>
        </w:rPr>
        <w:t>招标文件第四部分评分办法中评审因素相应的其它要求及第五部分采购合同中相应的其他要求。</w:t>
      </w:r>
    </w:p>
    <w:p>
      <w:pPr>
        <w:spacing w:line="360" w:lineRule="auto"/>
        <w:jc w:val="center"/>
        <w:outlineLvl w:val="0"/>
        <w:rPr>
          <w:rFonts w:ascii="宋体" w:hAnsi="宋体" w:cs="宋体"/>
          <w:b/>
          <w:color w:val="auto"/>
          <w:sz w:val="36"/>
          <w:szCs w:val="36"/>
        </w:rPr>
      </w:pPr>
      <w:r>
        <w:rPr>
          <w:rFonts w:hint="eastAsia" w:ascii="宋体" w:hAnsi="宋体" w:cs="宋体"/>
          <w:b/>
          <w:color w:val="auto"/>
          <w:sz w:val="24"/>
        </w:rPr>
        <w:br w:type="page"/>
      </w:r>
      <w:r>
        <w:rPr>
          <w:rFonts w:hint="eastAsia" w:ascii="宋体" w:hAnsi="宋体" w:cs="宋体"/>
          <w:b/>
          <w:color w:val="auto"/>
          <w:sz w:val="36"/>
          <w:szCs w:val="36"/>
        </w:rPr>
        <w:t xml:space="preserve">第四部分   </w:t>
      </w:r>
      <w:bookmarkStart w:id="28" w:name="_Toc184313276"/>
      <w:bookmarkEnd w:id="28"/>
      <w:bookmarkStart w:id="29" w:name="_Toc184313280"/>
      <w:bookmarkEnd w:id="29"/>
      <w:bookmarkStart w:id="30" w:name="_Toc184314456"/>
      <w:bookmarkEnd w:id="30"/>
      <w:bookmarkStart w:id="31" w:name="_Toc184308047"/>
      <w:bookmarkEnd w:id="31"/>
      <w:bookmarkStart w:id="32" w:name="_Toc184310323"/>
      <w:bookmarkEnd w:id="32"/>
      <w:bookmarkStart w:id="33" w:name="_Toc184308108"/>
      <w:bookmarkEnd w:id="33"/>
      <w:bookmarkStart w:id="34" w:name="_Toc184312133"/>
      <w:bookmarkEnd w:id="34"/>
      <w:bookmarkStart w:id="35" w:name="_Toc184313251"/>
      <w:bookmarkEnd w:id="35"/>
      <w:bookmarkStart w:id="36" w:name="_Toc184313244"/>
      <w:bookmarkEnd w:id="36"/>
      <w:bookmarkStart w:id="37" w:name="_Toc184308036"/>
      <w:bookmarkEnd w:id="37"/>
      <w:bookmarkStart w:id="38" w:name="_Toc184310289"/>
      <w:bookmarkEnd w:id="38"/>
      <w:bookmarkStart w:id="39" w:name="_Toc184310336"/>
      <w:bookmarkEnd w:id="39"/>
      <w:bookmarkStart w:id="40" w:name="_Toc184310293"/>
      <w:bookmarkEnd w:id="40"/>
      <w:bookmarkStart w:id="41" w:name="_Toc184313295"/>
      <w:bookmarkEnd w:id="41"/>
      <w:bookmarkStart w:id="42" w:name="_Toc184313250"/>
      <w:bookmarkEnd w:id="42"/>
      <w:bookmarkStart w:id="43" w:name="_Toc184310280"/>
      <w:bookmarkEnd w:id="43"/>
      <w:bookmarkStart w:id="44" w:name="_Toc184312098"/>
      <w:bookmarkEnd w:id="44"/>
      <w:bookmarkStart w:id="45" w:name="_Toc184314464"/>
      <w:bookmarkEnd w:id="45"/>
      <w:bookmarkStart w:id="46" w:name="_Toc184310298"/>
      <w:bookmarkEnd w:id="46"/>
      <w:bookmarkStart w:id="47" w:name="_Toc184308051"/>
      <w:bookmarkEnd w:id="47"/>
      <w:bookmarkStart w:id="48" w:name="_Toc184308070"/>
      <w:bookmarkEnd w:id="48"/>
      <w:bookmarkStart w:id="49" w:name="_Toc184308084"/>
      <w:bookmarkEnd w:id="49"/>
      <w:bookmarkStart w:id="50" w:name="_Toc184308097"/>
      <w:bookmarkEnd w:id="50"/>
      <w:bookmarkStart w:id="51" w:name="_Toc184312099"/>
      <w:bookmarkEnd w:id="51"/>
      <w:bookmarkStart w:id="52" w:name="_Toc184310310"/>
      <w:bookmarkEnd w:id="52"/>
      <w:bookmarkStart w:id="53" w:name="_Toc184312124"/>
      <w:bookmarkEnd w:id="53"/>
      <w:bookmarkStart w:id="54" w:name="_Toc184314475"/>
      <w:bookmarkEnd w:id="54"/>
      <w:bookmarkStart w:id="55" w:name="_Toc184308107"/>
      <w:bookmarkEnd w:id="55"/>
      <w:bookmarkStart w:id="56" w:name="_Toc184310313"/>
      <w:bookmarkEnd w:id="56"/>
      <w:bookmarkStart w:id="57" w:name="_Toc184314478"/>
      <w:bookmarkEnd w:id="57"/>
      <w:bookmarkStart w:id="58" w:name="_Toc184312128"/>
      <w:bookmarkEnd w:id="58"/>
      <w:bookmarkStart w:id="59" w:name="_Toc184308100"/>
      <w:bookmarkEnd w:id="59"/>
      <w:bookmarkStart w:id="60" w:name="_Toc184314423"/>
      <w:bookmarkEnd w:id="60"/>
      <w:bookmarkStart w:id="61" w:name="_Toc184310315"/>
      <w:bookmarkEnd w:id="61"/>
      <w:bookmarkStart w:id="62" w:name="_Toc184308078"/>
      <w:bookmarkEnd w:id="62"/>
      <w:bookmarkStart w:id="63" w:name="_Toc184313296"/>
      <w:bookmarkEnd w:id="63"/>
      <w:bookmarkStart w:id="64" w:name="_Toc184313269"/>
      <w:bookmarkEnd w:id="64"/>
      <w:bookmarkStart w:id="65" w:name="_Toc184312112"/>
      <w:bookmarkEnd w:id="65"/>
      <w:bookmarkStart w:id="66" w:name="_Toc184312138"/>
      <w:bookmarkEnd w:id="66"/>
      <w:bookmarkStart w:id="67" w:name="_Toc184310338"/>
      <w:bookmarkEnd w:id="67"/>
      <w:bookmarkStart w:id="68" w:name="_Toc184310322"/>
      <w:bookmarkEnd w:id="68"/>
      <w:bookmarkStart w:id="69" w:name="_Toc184312074"/>
      <w:bookmarkEnd w:id="69"/>
      <w:bookmarkStart w:id="70" w:name="_Toc184312107"/>
      <w:bookmarkEnd w:id="70"/>
      <w:bookmarkStart w:id="71" w:name="_Toc184313241"/>
      <w:bookmarkEnd w:id="71"/>
      <w:bookmarkStart w:id="72" w:name="_Toc184310272"/>
      <w:bookmarkEnd w:id="72"/>
      <w:bookmarkStart w:id="73" w:name="_Toc184313287"/>
      <w:bookmarkEnd w:id="73"/>
      <w:bookmarkStart w:id="74" w:name="_Toc184313306"/>
      <w:bookmarkEnd w:id="74"/>
      <w:bookmarkStart w:id="75" w:name="_Toc184313305"/>
      <w:bookmarkEnd w:id="75"/>
      <w:bookmarkStart w:id="76" w:name="_Toc184310307"/>
      <w:bookmarkEnd w:id="76"/>
      <w:bookmarkStart w:id="77" w:name="_Toc184310309"/>
      <w:bookmarkEnd w:id="77"/>
      <w:bookmarkStart w:id="78" w:name="_Toc184314455"/>
      <w:bookmarkEnd w:id="78"/>
      <w:bookmarkStart w:id="79" w:name="_Toc184312137"/>
      <w:bookmarkEnd w:id="79"/>
      <w:bookmarkStart w:id="80" w:name="_Toc184308039"/>
      <w:bookmarkEnd w:id="80"/>
      <w:bookmarkStart w:id="81" w:name="_Toc184312121"/>
      <w:bookmarkEnd w:id="81"/>
      <w:bookmarkStart w:id="82" w:name="_Toc184312122"/>
      <w:bookmarkEnd w:id="82"/>
      <w:bookmarkStart w:id="83" w:name="_Toc184312135"/>
      <w:bookmarkEnd w:id="83"/>
      <w:bookmarkStart w:id="84" w:name="_Toc184308069"/>
      <w:bookmarkEnd w:id="84"/>
      <w:bookmarkStart w:id="85" w:name="_Toc184312131"/>
      <w:bookmarkEnd w:id="85"/>
      <w:bookmarkStart w:id="86" w:name="_Toc184313299"/>
      <w:bookmarkEnd w:id="86"/>
      <w:bookmarkStart w:id="87" w:name="_Toc184314445"/>
      <w:bookmarkEnd w:id="87"/>
      <w:bookmarkStart w:id="88" w:name="_Toc184313286"/>
      <w:bookmarkEnd w:id="88"/>
      <w:bookmarkStart w:id="89" w:name="_Toc184313242"/>
      <w:bookmarkEnd w:id="89"/>
      <w:bookmarkStart w:id="90" w:name="_Toc184313283"/>
      <w:bookmarkEnd w:id="90"/>
      <w:bookmarkStart w:id="91" w:name="_Toc184313293"/>
      <w:bookmarkEnd w:id="91"/>
      <w:bookmarkStart w:id="92" w:name="_Toc184313278"/>
      <w:bookmarkEnd w:id="92"/>
      <w:bookmarkStart w:id="93" w:name="_Toc184308101"/>
      <w:bookmarkEnd w:id="93"/>
      <w:bookmarkStart w:id="94" w:name="_Toc184312094"/>
      <w:bookmarkEnd w:id="94"/>
      <w:bookmarkStart w:id="95" w:name="_Toc184310317"/>
      <w:bookmarkEnd w:id="95"/>
      <w:bookmarkStart w:id="96" w:name="_Toc184313284"/>
      <w:bookmarkEnd w:id="96"/>
      <w:bookmarkStart w:id="97" w:name="_Toc184308044"/>
      <w:bookmarkEnd w:id="97"/>
      <w:bookmarkStart w:id="98" w:name="_Toc184314469"/>
      <w:bookmarkEnd w:id="98"/>
      <w:bookmarkStart w:id="99" w:name="_Toc184313254"/>
      <w:bookmarkEnd w:id="99"/>
      <w:bookmarkStart w:id="100" w:name="_Toc184313307"/>
      <w:bookmarkEnd w:id="100"/>
      <w:bookmarkStart w:id="101" w:name="_Toc184314414"/>
      <w:bookmarkEnd w:id="101"/>
      <w:bookmarkStart w:id="102" w:name="_Toc184314420"/>
      <w:bookmarkEnd w:id="102"/>
      <w:bookmarkStart w:id="103" w:name="_Toc184310284"/>
      <w:bookmarkEnd w:id="103"/>
      <w:bookmarkStart w:id="104" w:name="_Toc184312126"/>
      <w:bookmarkEnd w:id="104"/>
      <w:bookmarkStart w:id="105" w:name="_Toc184313303"/>
      <w:bookmarkEnd w:id="105"/>
      <w:bookmarkStart w:id="106" w:name="_Toc184310299"/>
      <w:bookmarkEnd w:id="106"/>
      <w:bookmarkStart w:id="107" w:name="_Toc184314437"/>
      <w:bookmarkEnd w:id="107"/>
      <w:bookmarkStart w:id="108" w:name="_Toc184310306"/>
      <w:bookmarkEnd w:id="108"/>
      <w:bookmarkStart w:id="109" w:name="_Toc184310327"/>
      <w:bookmarkEnd w:id="109"/>
      <w:bookmarkStart w:id="110" w:name="_Toc184312067"/>
      <w:bookmarkEnd w:id="110"/>
      <w:bookmarkStart w:id="111" w:name="_Toc184313297"/>
      <w:bookmarkEnd w:id="111"/>
      <w:bookmarkStart w:id="112" w:name="_Toc184310340"/>
      <w:bookmarkEnd w:id="112"/>
      <w:bookmarkStart w:id="113" w:name="_Toc184314435"/>
      <w:bookmarkEnd w:id="113"/>
      <w:bookmarkStart w:id="114" w:name="_Toc184314415"/>
      <w:bookmarkEnd w:id="114"/>
      <w:bookmarkStart w:id="115" w:name="_Toc184308074"/>
      <w:bookmarkEnd w:id="115"/>
      <w:bookmarkStart w:id="116" w:name="_Toc184314427"/>
      <w:bookmarkEnd w:id="116"/>
      <w:bookmarkStart w:id="117" w:name="_Toc184310330"/>
      <w:bookmarkEnd w:id="117"/>
      <w:bookmarkStart w:id="118" w:name="_Toc184314482"/>
      <w:bookmarkEnd w:id="118"/>
      <w:bookmarkStart w:id="119" w:name="_Toc184310318"/>
      <w:bookmarkEnd w:id="119"/>
      <w:bookmarkStart w:id="120" w:name="_Toc184313238"/>
      <w:bookmarkEnd w:id="120"/>
      <w:bookmarkStart w:id="121" w:name="_Toc184308080"/>
      <w:bookmarkEnd w:id="121"/>
      <w:bookmarkStart w:id="122" w:name="_Toc184314422"/>
      <w:bookmarkEnd w:id="122"/>
      <w:bookmarkStart w:id="123" w:name="_Toc184314472"/>
      <w:bookmarkEnd w:id="123"/>
      <w:bookmarkStart w:id="124" w:name="_Toc184312090"/>
      <w:bookmarkEnd w:id="124"/>
      <w:bookmarkStart w:id="125" w:name="_Toc184310312"/>
      <w:bookmarkEnd w:id="125"/>
      <w:bookmarkStart w:id="126" w:name="_Toc184313253"/>
      <w:bookmarkEnd w:id="126"/>
      <w:bookmarkStart w:id="127" w:name="_Toc184313277"/>
      <w:bookmarkEnd w:id="127"/>
      <w:bookmarkStart w:id="128" w:name="_Toc184313282"/>
      <w:bookmarkEnd w:id="128"/>
      <w:bookmarkStart w:id="129" w:name="_Toc184313290"/>
      <w:bookmarkEnd w:id="129"/>
      <w:bookmarkStart w:id="130" w:name="_Toc184313279"/>
      <w:bookmarkEnd w:id="130"/>
      <w:bookmarkStart w:id="131" w:name="_Toc184313274"/>
      <w:bookmarkEnd w:id="131"/>
      <w:bookmarkStart w:id="132" w:name="_Toc184314481"/>
      <w:bookmarkEnd w:id="132"/>
      <w:bookmarkStart w:id="133" w:name="_Toc184310296"/>
      <w:bookmarkEnd w:id="133"/>
      <w:bookmarkStart w:id="134" w:name="_Toc184314410"/>
      <w:bookmarkEnd w:id="134"/>
      <w:bookmarkStart w:id="135" w:name="_Toc184313289"/>
      <w:bookmarkEnd w:id="135"/>
      <w:bookmarkStart w:id="136" w:name="_Toc184312075"/>
      <w:bookmarkEnd w:id="136"/>
      <w:bookmarkStart w:id="137" w:name="_Toc184314421"/>
      <w:bookmarkEnd w:id="137"/>
      <w:bookmarkStart w:id="138" w:name="_Toc184308053"/>
      <w:bookmarkEnd w:id="138"/>
      <w:bookmarkStart w:id="139" w:name="_Toc184314428"/>
      <w:bookmarkEnd w:id="139"/>
      <w:bookmarkStart w:id="140" w:name="_Toc184308060"/>
      <w:bookmarkEnd w:id="140"/>
      <w:bookmarkStart w:id="141" w:name="_Toc184314448"/>
      <w:bookmarkEnd w:id="141"/>
      <w:bookmarkStart w:id="142" w:name="_Toc184310319"/>
      <w:bookmarkEnd w:id="142"/>
      <w:bookmarkStart w:id="143" w:name="_Toc184310329"/>
      <w:bookmarkEnd w:id="143"/>
      <w:bookmarkStart w:id="144" w:name="_Toc184308099"/>
      <w:bookmarkEnd w:id="144"/>
      <w:bookmarkStart w:id="145" w:name="_Toc184314419"/>
      <w:bookmarkEnd w:id="145"/>
      <w:bookmarkStart w:id="146" w:name="_Toc184313304"/>
      <w:bookmarkEnd w:id="146"/>
      <w:bookmarkStart w:id="147" w:name="_Toc184312085"/>
      <w:bookmarkEnd w:id="147"/>
      <w:bookmarkStart w:id="148" w:name="_Toc184313302"/>
      <w:bookmarkEnd w:id="148"/>
      <w:bookmarkStart w:id="149" w:name="_Toc184312115"/>
      <w:bookmarkEnd w:id="149"/>
      <w:bookmarkStart w:id="150" w:name="_Toc184313292"/>
      <w:bookmarkEnd w:id="150"/>
      <w:bookmarkStart w:id="151" w:name="_Toc184313247"/>
      <w:bookmarkEnd w:id="151"/>
      <w:bookmarkStart w:id="152" w:name="_Toc184310282"/>
      <w:bookmarkEnd w:id="152"/>
      <w:bookmarkStart w:id="153" w:name="_Toc184308045"/>
      <w:bookmarkEnd w:id="153"/>
      <w:bookmarkStart w:id="154" w:name="_Toc184308041"/>
      <w:bookmarkEnd w:id="154"/>
      <w:bookmarkStart w:id="155" w:name="_Toc184313309"/>
      <w:bookmarkEnd w:id="155"/>
      <w:bookmarkStart w:id="156" w:name="_Toc184314430"/>
      <w:bookmarkEnd w:id="156"/>
      <w:bookmarkStart w:id="157" w:name="_Toc184310283"/>
      <w:bookmarkEnd w:id="157"/>
      <w:bookmarkStart w:id="158" w:name="_Toc184312101"/>
      <w:bookmarkEnd w:id="158"/>
      <w:bookmarkStart w:id="159" w:name="_Toc184312076"/>
      <w:bookmarkEnd w:id="159"/>
      <w:bookmarkStart w:id="160" w:name="_Toc184312095"/>
      <w:bookmarkEnd w:id="160"/>
      <w:bookmarkStart w:id="161" w:name="_Toc184308098"/>
      <w:bookmarkEnd w:id="161"/>
      <w:bookmarkStart w:id="162" w:name="_Toc184312113"/>
      <w:bookmarkEnd w:id="162"/>
      <w:bookmarkStart w:id="163" w:name="_Toc184308095"/>
      <w:bookmarkEnd w:id="163"/>
      <w:bookmarkStart w:id="164" w:name="_Toc184310274"/>
      <w:bookmarkEnd w:id="164"/>
      <w:bookmarkStart w:id="165" w:name="_Toc184313273"/>
      <w:bookmarkEnd w:id="165"/>
      <w:bookmarkStart w:id="166" w:name="_Toc184314450"/>
      <w:bookmarkEnd w:id="166"/>
      <w:bookmarkStart w:id="167" w:name="_Toc184313262"/>
      <w:bookmarkEnd w:id="167"/>
      <w:bookmarkStart w:id="168" w:name="_Toc184313252"/>
      <w:bookmarkEnd w:id="168"/>
      <w:bookmarkStart w:id="169" w:name="_Toc184308076"/>
      <w:bookmarkEnd w:id="169"/>
      <w:bookmarkStart w:id="170" w:name="_Toc184314449"/>
      <w:bookmarkEnd w:id="170"/>
      <w:bookmarkStart w:id="171" w:name="_Toc184310343"/>
      <w:bookmarkEnd w:id="171"/>
      <w:bookmarkStart w:id="172" w:name="_Toc184313271"/>
      <w:bookmarkEnd w:id="172"/>
      <w:bookmarkStart w:id="173" w:name="_Toc184312103"/>
      <w:bookmarkEnd w:id="173"/>
      <w:bookmarkStart w:id="174" w:name="_Toc184310304"/>
      <w:bookmarkEnd w:id="174"/>
      <w:bookmarkStart w:id="175" w:name="_Toc184312069"/>
      <w:bookmarkEnd w:id="175"/>
      <w:bookmarkStart w:id="176" w:name="_Toc184310279"/>
      <w:bookmarkEnd w:id="176"/>
      <w:bookmarkStart w:id="177" w:name="_Toc184312091"/>
      <w:bookmarkEnd w:id="177"/>
      <w:bookmarkStart w:id="178" w:name="_Toc184308064"/>
      <w:bookmarkEnd w:id="178"/>
      <w:bookmarkStart w:id="179" w:name="_Toc184308052"/>
      <w:bookmarkEnd w:id="179"/>
      <w:bookmarkStart w:id="180" w:name="_Toc184308082"/>
      <w:bookmarkEnd w:id="180"/>
      <w:bookmarkStart w:id="181" w:name="_Toc184310286"/>
      <w:bookmarkEnd w:id="181"/>
      <w:bookmarkStart w:id="182" w:name="_Toc184308093"/>
      <w:bookmarkEnd w:id="182"/>
      <w:bookmarkStart w:id="183" w:name="_Toc184310308"/>
      <w:bookmarkEnd w:id="183"/>
      <w:bookmarkStart w:id="184" w:name="_Toc184310278"/>
      <w:bookmarkEnd w:id="184"/>
      <w:bookmarkStart w:id="185" w:name="_Toc184312092"/>
      <w:bookmarkEnd w:id="185"/>
      <w:bookmarkStart w:id="186" w:name="_Toc184312132"/>
      <w:bookmarkEnd w:id="186"/>
      <w:bookmarkStart w:id="187" w:name="_Toc184314459"/>
      <w:bookmarkEnd w:id="187"/>
      <w:bookmarkStart w:id="188" w:name="_Toc184312117"/>
      <w:bookmarkEnd w:id="188"/>
      <w:bookmarkStart w:id="189" w:name="_Toc184312080"/>
      <w:bookmarkEnd w:id="189"/>
      <w:bookmarkStart w:id="190" w:name="_Toc184308096"/>
      <w:bookmarkEnd w:id="190"/>
      <w:bookmarkStart w:id="191" w:name="_Toc184313294"/>
      <w:bookmarkEnd w:id="191"/>
      <w:bookmarkStart w:id="192" w:name="_Toc184308068"/>
      <w:bookmarkEnd w:id="192"/>
      <w:bookmarkStart w:id="193" w:name="_Toc184312139"/>
      <w:bookmarkEnd w:id="193"/>
      <w:bookmarkStart w:id="194" w:name="_Toc184312070"/>
      <w:bookmarkEnd w:id="194"/>
      <w:bookmarkStart w:id="195" w:name="_Toc184310300"/>
      <w:bookmarkEnd w:id="195"/>
      <w:bookmarkStart w:id="196" w:name="_Toc184310321"/>
      <w:bookmarkEnd w:id="196"/>
      <w:bookmarkStart w:id="197" w:name="_Toc184314426"/>
      <w:bookmarkEnd w:id="197"/>
      <w:bookmarkStart w:id="198" w:name="_Toc184312108"/>
      <w:bookmarkEnd w:id="198"/>
      <w:bookmarkStart w:id="199" w:name="_Toc184314411"/>
      <w:bookmarkEnd w:id="199"/>
      <w:bookmarkStart w:id="200" w:name="_Toc184312114"/>
      <w:bookmarkEnd w:id="200"/>
      <w:bookmarkStart w:id="201" w:name="_Toc184308050"/>
      <w:bookmarkEnd w:id="201"/>
      <w:bookmarkStart w:id="202" w:name="_Toc184313243"/>
      <w:bookmarkEnd w:id="202"/>
      <w:bookmarkStart w:id="203" w:name="_Toc184308063"/>
      <w:bookmarkEnd w:id="203"/>
      <w:bookmarkStart w:id="204" w:name="_Toc184312105"/>
      <w:bookmarkEnd w:id="204"/>
      <w:bookmarkStart w:id="205" w:name="_Toc184312125"/>
      <w:bookmarkEnd w:id="205"/>
      <w:bookmarkStart w:id="206" w:name="_Toc184312096"/>
      <w:bookmarkEnd w:id="206"/>
      <w:bookmarkStart w:id="207" w:name="_Toc184308072"/>
      <w:bookmarkEnd w:id="207"/>
      <w:bookmarkStart w:id="208" w:name="_Toc184313298"/>
      <w:bookmarkEnd w:id="208"/>
      <w:bookmarkStart w:id="209" w:name="_Toc184314465"/>
      <w:bookmarkEnd w:id="209"/>
      <w:bookmarkStart w:id="210" w:name="_Toc184312116"/>
      <w:bookmarkEnd w:id="210"/>
      <w:bookmarkStart w:id="211" w:name="_Toc184313275"/>
      <w:bookmarkEnd w:id="211"/>
      <w:bookmarkStart w:id="212" w:name="_Toc184308066"/>
      <w:bookmarkEnd w:id="212"/>
      <w:bookmarkStart w:id="213" w:name="_Toc184308049"/>
      <w:bookmarkEnd w:id="213"/>
      <w:bookmarkStart w:id="214" w:name="_Toc184310324"/>
      <w:bookmarkEnd w:id="214"/>
      <w:bookmarkStart w:id="215" w:name="_Toc184313288"/>
      <w:bookmarkEnd w:id="215"/>
      <w:bookmarkStart w:id="216" w:name="_Toc184310335"/>
      <w:bookmarkEnd w:id="216"/>
      <w:bookmarkStart w:id="217" w:name="_Toc184314471"/>
      <w:bookmarkEnd w:id="217"/>
      <w:bookmarkStart w:id="218" w:name="_Toc184312086"/>
      <w:bookmarkEnd w:id="218"/>
      <w:bookmarkStart w:id="219" w:name="_Toc184314442"/>
      <w:bookmarkEnd w:id="219"/>
      <w:bookmarkStart w:id="220" w:name="_Toc184310328"/>
      <w:bookmarkEnd w:id="220"/>
      <w:bookmarkStart w:id="221" w:name="_Toc184310287"/>
      <w:bookmarkEnd w:id="221"/>
      <w:bookmarkStart w:id="222" w:name="_Toc184313260"/>
      <w:bookmarkEnd w:id="222"/>
      <w:bookmarkStart w:id="223" w:name="_Toc184313267"/>
      <w:bookmarkEnd w:id="223"/>
      <w:bookmarkStart w:id="224" w:name="_Toc184310305"/>
      <w:bookmarkEnd w:id="224"/>
      <w:bookmarkStart w:id="225" w:name="_Toc184308085"/>
      <w:bookmarkEnd w:id="225"/>
      <w:bookmarkStart w:id="226" w:name="_Toc184310331"/>
      <w:bookmarkEnd w:id="226"/>
      <w:bookmarkStart w:id="227" w:name="_Toc184314434"/>
      <w:bookmarkEnd w:id="227"/>
      <w:bookmarkStart w:id="228" w:name="_Toc184314473"/>
      <w:bookmarkEnd w:id="228"/>
      <w:bookmarkStart w:id="229" w:name="_Toc184312087"/>
      <w:bookmarkEnd w:id="229"/>
      <w:bookmarkStart w:id="230" w:name="_Toc184314477"/>
      <w:bookmarkEnd w:id="230"/>
      <w:bookmarkStart w:id="231" w:name="_Toc184314447"/>
      <w:bookmarkEnd w:id="231"/>
      <w:bookmarkStart w:id="232" w:name="_Toc184313301"/>
      <w:bookmarkEnd w:id="232"/>
      <w:bookmarkStart w:id="233" w:name="_Toc184312130"/>
      <w:bookmarkEnd w:id="233"/>
      <w:bookmarkStart w:id="234" w:name="_Toc184308043"/>
      <w:bookmarkEnd w:id="234"/>
      <w:bookmarkStart w:id="235" w:name="_Toc184312081"/>
      <w:bookmarkEnd w:id="235"/>
      <w:bookmarkStart w:id="236" w:name="_Toc184312093"/>
      <w:bookmarkEnd w:id="236"/>
      <w:bookmarkStart w:id="237" w:name="_Toc184310294"/>
      <w:bookmarkEnd w:id="237"/>
      <w:bookmarkStart w:id="238" w:name="_Toc184312136"/>
      <w:bookmarkEnd w:id="238"/>
      <w:bookmarkStart w:id="239" w:name="_Toc184312119"/>
      <w:bookmarkEnd w:id="239"/>
      <w:bookmarkStart w:id="240" w:name="_Toc184314468"/>
      <w:bookmarkEnd w:id="240"/>
      <w:bookmarkStart w:id="241" w:name="_Toc184308059"/>
      <w:bookmarkEnd w:id="241"/>
      <w:bookmarkStart w:id="242" w:name="_Toc184312134"/>
      <w:bookmarkEnd w:id="242"/>
      <w:bookmarkStart w:id="243" w:name="_Toc184310277"/>
      <w:bookmarkEnd w:id="243"/>
      <w:bookmarkStart w:id="244" w:name="_Toc184310273"/>
      <w:bookmarkEnd w:id="244"/>
      <w:bookmarkStart w:id="245" w:name="_Toc184308037"/>
      <w:bookmarkEnd w:id="245"/>
      <w:bookmarkStart w:id="246" w:name="_Toc184308088"/>
      <w:bookmarkEnd w:id="246"/>
      <w:bookmarkStart w:id="247" w:name="_Toc184312073"/>
      <w:bookmarkEnd w:id="247"/>
      <w:bookmarkStart w:id="248" w:name="_Toc184314451"/>
      <w:bookmarkEnd w:id="248"/>
      <w:bookmarkStart w:id="249" w:name="_Toc184314417"/>
      <w:bookmarkEnd w:id="249"/>
      <w:bookmarkStart w:id="250" w:name="_Toc184308038"/>
      <w:bookmarkEnd w:id="250"/>
      <w:bookmarkStart w:id="251" w:name="_Toc184313281"/>
      <w:bookmarkEnd w:id="251"/>
      <w:bookmarkStart w:id="252" w:name="_Toc184314418"/>
      <w:bookmarkEnd w:id="252"/>
      <w:bookmarkStart w:id="253" w:name="_Toc184308090"/>
      <w:bookmarkEnd w:id="253"/>
      <w:bookmarkStart w:id="254" w:name="_Toc184310333"/>
      <w:bookmarkEnd w:id="254"/>
      <w:bookmarkStart w:id="255" w:name="_Toc184310325"/>
      <w:bookmarkEnd w:id="255"/>
      <w:bookmarkStart w:id="256" w:name="_Toc184312111"/>
      <w:bookmarkEnd w:id="256"/>
      <w:bookmarkStart w:id="257" w:name="_Toc184310314"/>
      <w:bookmarkEnd w:id="257"/>
      <w:bookmarkStart w:id="258" w:name="_Toc184313268"/>
      <w:bookmarkEnd w:id="258"/>
      <w:bookmarkStart w:id="259" w:name="_Toc184314429"/>
      <w:bookmarkEnd w:id="259"/>
      <w:bookmarkStart w:id="260" w:name="_Toc184312127"/>
      <w:bookmarkEnd w:id="260"/>
      <w:bookmarkStart w:id="261" w:name="_Toc184314467"/>
      <w:bookmarkEnd w:id="261"/>
      <w:bookmarkStart w:id="262" w:name="_Toc184310311"/>
      <w:bookmarkEnd w:id="262"/>
      <w:bookmarkStart w:id="263" w:name="_Toc184310301"/>
      <w:bookmarkEnd w:id="263"/>
      <w:bookmarkStart w:id="264" w:name="_Toc184313264"/>
      <w:bookmarkEnd w:id="264"/>
      <w:bookmarkStart w:id="265" w:name="_Toc184308061"/>
      <w:bookmarkEnd w:id="265"/>
      <w:bookmarkStart w:id="266" w:name="_Toc184308083"/>
      <w:bookmarkEnd w:id="266"/>
      <w:bookmarkStart w:id="267" w:name="_Toc184312110"/>
      <w:bookmarkEnd w:id="267"/>
      <w:bookmarkStart w:id="268" w:name="_Toc184312088"/>
      <w:bookmarkEnd w:id="268"/>
      <w:bookmarkStart w:id="269" w:name="_Toc184308046"/>
      <w:bookmarkEnd w:id="269"/>
      <w:bookmarkStart w:id="270" w:name="_Toc184312106"/>
      <w:bookmarkEnd w:id="270"/>
      <w:bookmarkStart w:id="271" w:name="_Toc184310285"/>
      <w:bookmarkEnd w:id="271"/>
      <w:bookmarkStart w:id="272" w:name="_Toc184314463"/>
      <w:bookmarkEnd w:id="272"/>
      <w:bookmarkStart w:id="273" w:name="_Toc184308086"/>
      <w:bookmarkEnd w:id="273"/>
      <w:bookmarkStart w:id="274" w:name="_Toc184312077"/>
      <w:bookmarkEnd w:id="274"/>
      <w:bookmarkStart w:id="275" w:name="_Toc184314457"/>
      <w:bookmarkEnd w:id="275"/>
      <w:bookmarkStart w:id="276" w:name="_Toc184310342"/>
      <w:bookmarkEnd w:id="276"/>
      <w:bookmarkStart w:id="277" w:name="_Toc184310332"/>
      <w:bookmarkEnd w:id="277"/>
      <w:bookmarkStart w:id="278" w:name="_Toc184313245"/>
      <w:bookmarkEnd w:id="278"/>
      <w:bookmarkStart w:id="279" w:name="_Toc184313256"/>
      <w:bookmarkEnd w:id="279"/>
      <w:bookmarkStart w:id="280" w:name="_Toc184314416"/>
      <w:bookmarkEnd w:id="280"/>
      <w:bookmarkStart w:id="281" w:name="_Toc184308103"/>
      <w:bookmarkEnd w:id="281"/>
      <w:bookmarkStart w:id="282" w:name="_Toc184313246"/>
      <w:bookmarkEnd w:id="282"/>
      <w:bookmarkStart w:id="283" w:name="_Toc184312068"/>
      <w:bookmarkEnd w:id="283"/>
      <w:bookmarkStart w:id="284" w:name="_Toc184313266"/>
      <w:bookmarkEnd w:id="284"/>
      <w:bookmarkStart w:id="285" w:name="_Toc184308042"/>
      <w:bookmarkEnd w:id="285"/>
      <w:bookmarkStart w:id="286" w:name="_Toc184314412"/>
      <w:bookmarkEnd w:id="286"/>
      <w:bookmarkStart w:id="287" w:name="_Toc184313249"/>
      <w:bookmarkEnd w:id="287"/>
      <w:bookmarkStart w:id="288" w:name="_Toc184310292"/>
      <w:bookmarkEnd w:id="288"/>
      <w:bookmarkStart w:id="289" w:name="_Toc184312072"/>
      <w:bookmarkEnd w:id="289"/>
      <w:bookmarkStart w:id="290" w:name="_Toc184313265"/>
      <w:bookmarkEnd w:id="290"/>
      <w:bookmarkStart w:id="291" w:name="_Toc184312097"/>
      <w:bookmarkEnd w:id="291"/>
      <w:bookmarkStart w:id="292" w:name="_Toc184308054"/>
      <w:bookmarkEnd w:id="292"/>
      <w:bookmarkStart w:id="293" w:name="_Toc184314458"/>
      <w:bookmarkEnd w:id="293"/>
      <w:bookmarkStart w:id="294" w:name="_Toc184310339"/>
      <w:bookmarkEnd w:id="294"/>
      <w:bookmarkStart w:id="295" w:name="_Toc184314462"/>
      <w:bookmarkEnd w:id="295"/>
      <w:bookmarkStart w:id="296" w:name="_Toc184308104"/>
      <w:bookmarkEnd w:id="296"/>
      <w:bookmarkStart w:id="297" w:name="_Toc184308106"/>
      <w:bookmarkEnd w:id="297"/>
      <w:bookmarkStart w:id="298" w:name="_Toc184314438"/>
      <w:bookmarkEnd w:id="298"/>
      <w:bookmarkStart w:id="299" w:name="_Toc184308067"/>
      <w:bookmarkEnd w:id="299"/>
      <w:bookmarkStart w:id="300" w:name="_Toc184313248"/>
      <w:bookmarkEnd w:id="300"/>
      <w:bookmarkStart w:id="301" w:name="_Toc184310275"/>
      <w:bookmarkEnd w:id="301"/>
      <w:bookmarkStart w:id="302" w:name="_Toc184312089"/>
      <w:bookmarkEnd w:id="302"/>
      <w:bookmarkStart w:id="303" w:name="_Toc184314431"/>
      <w:bookmarkEnd w:id="303"/>
      <w:bookmarkStart w:id="304" w:name="_Toc184314446"/>
      <w:bookmarkEnd w:id="304"/>
      <w:bookmarkStart w:id="305" w:name="_Toc184314425"/>
      <w:bookmarkEnd w:id="305"/>
      <w:bookmarkStart w:id="306" w:name="_Toc184310334"/>
      <w:bookmarkEnd w:id="306"/>
      <w:bookmarkStart w:id="307" w:name="_Toc184308102"/>
      <w:bookmarkEnd w:id="307"/>
      <w:bookmarkStart w:id="308" w:name="_Toc184314432"/>
      <w:bookmarkEnd w:id="308"/>
      <w:bookmarkStart w:id="309" w:name="_Toc184314413"/>
      <w:bookmarkEnd w:id="309"/>
      <w:bookmarkStart w:id="310" w:name="_Toc184313259"/>
      <w:bookmarkEnd w:id="310"/>
      <w:bookmarkStart w:id="311" w:name="_Toc184312078"/>
      <w:bookmarkEnd w:id="311"/>
      <w:bookmarkStart w:id="312" w:name="_Toc184313270"/>
      <w:bookmarkEnd w:id="312"/>
      <w:bookmarkStart w:id="313" w:name="_Toc184314433"/>
      <w:bookmarkEnd w:id="313"/>
      <w:bookmarkStart w:id="314" w:name="_Toc184308057"/>
      <w:bookmarkEnd w:id="314"/>
      <w:bookmarkStart w:id="315" w:name="_Toc184312129"/>
      <w:bookmarkEnd w:id="315"/>
      <w:bookmarkStart w:id="316" w:name="_Toc184313261"/>
      <w:bookmarkEnd w:id="316"/>
      <w:bookmarkStart w:id="317" w:name="_Toc184308071"/>
      <w:bookmarkEnd w:id="317"/>
      <w:bookmarkStart w:id="318" w:name="_Toc184308091"/>
      <w:bookmarkEnd w:id="318"/>
      <w:bookmarkStart w:id="319" w:name="_Toc184310316"/>
      <w:bookmarkEnd w:id="319"/>
      <w:bookmarkStart w:id="320" w:name="_Toc184314479"/>
      <w:bookmarkEnd w:id="320"/>
      <w:bookmarkStart w:id="321" w:name="_Toc184313257"/>
      <w:bookmarkEnd w:id="321"/>
      <w:bookmarkStart w:id="322" w:name="_Toc184308056"/>
      <w:bookmarkEnd w:id="322"/>
      <w:bookmarkStart w:id="323" w:name="_Toc184310344"/>
      <w:bookmarkEnd w:id="323"/>
      <w:bookmarkStart w:id="324" w:name="_Toc184313239"/>
      <w:bookmarkEnd w:id="324"/>
      <w:bookmarkStart w:id="325" w:name="_Toc184310291"/>
      <w:bookmarkEnd w:id="325"/>
      <w:bookmarkStart w:id="326" w:name="_Toc184310290"/>
      <w:bookmarkEnd w:id="326"/>
      <w:bookmarkStart w:id="327" w:name="_Toc184308081"/>
      <w:bookmarkEnd w:id="327"/>
      <w:bookmarkStart w:id="328" w:name="_Toc184314461"/>
      <w:bookmarkEnd w:id="328"/>
      <w:bookmarkStart w:id="329" w:name="_Toc184312120"/>
      <w:bookmarkEnd w:id="329"/>
      <w:bookmarkStart w:id="330" w:name="_Toc184308089"/>
      <w:bookmarkEnd w:id="330"/>
      <w:bookmarkStart w:id="331" w:name="_Toc184310288"/>
      <w:bookmarkEnd w:id="331"/>
      <w:bookmarkStart w:id="332" w:name="_Toc184314466"/>
      <w:bookmarkEnd w:id="332"/>
      <w:bookmarkStart w:id="333" w:name="_Toc184314480"/>
      <w:bookmarkEnd w:id="333"/>
      <w:bookmarkStart w:id="334" w:name="_Toc184308087"/>
      <w:bookmarkEnd w:id="334"/>
      <w:bookmarkStart w:id="335" w:name="_Toc184314440"/>
      <w:bookmarkEnd w:id="335"/>
      <w:bookmarkStart w:id="336" w:name="_Toc184313272"/>
      <w:bookmarkEnd w:id="336"/>
      <w:bookmarkStart w:id="337" w:name="_Toc184314441"/>
      <w:bookmarkEnd w:id="337"/>
      <w:bookmarkStart w:id="338" w:name="_Toc184314453"/>
      <w:bookmarkEnd w:id="338"/>
      <w:bookmarkStart w:id="339" w:name="_Toc184308077"/>
      <w:bookmarkEnd w:id="339"/>
      <w:bookmarkStart w:id="340" w:name="_Toc184313308"/>
      <w:bookmarkEnd w:id="340"/>
      <w:bookmarkStart w:id="341" w:name="_Toc184308065"/>
      <w:bookmarkEnd w:id="341"/>
      <w:bookmarkStart w:id="342" w:name="_Toc184314474"/>
      <w:bookmarkEnd w:id="342"/>
      <w:bookmarkStart w:id="343" w:name="_Toc184312118"/>
      <w:bookmarkEnd w:id="343"/>
      <w:bookmarkStart w:id="344" w:name="_Toc184314443"/>
      <w:bookmarkEnd w:id="344"/>
      <w:bookmarkStart w:id="345" w:name="_Toc184314460"/>
      <w:bookmarkEnd w:id="345"/>
      <w:bookmarkStart w:id="346" w:name="_Toc184313263"/>
      <w:bookmarkEnd w:id="346"/>
      <w:bookmarkStart w:id="347" w:name="_Toc184312079"/>
      <w:bookmarkEnd w:id="347"/>
      <w:bookmarkStart w:id="348" w:name="_Toc184312082"/>
      <w:bookmarkEnd w:id="348"/>
      <w:bookmarkStart w:id="349" w:name="_Toc184313240"/>
      <w:bookmarkEnd w:id="349"/>
      <w:bookmarkStart w:id="350" w:name="_Toc184313310"/>
      <w:bookmarkEnd w:id="350"/>
      <w:bookmarkStart w:id="351" w:name="_Toc184312100"/>
      <w:bookmarkEnd w:id="351"/>
      <w:bookmarkStart w:id="352" w:name="_Toc184313285"/>
      <w:bookmarkEnd w:id="352"/>
      <w:bookmarkStart w:id="353" w:name="_Toc184310303"/>
      <w:bookmarkEnd w:id="353"/>
      <w:bookmarkStart w:id="354" w:name="_Toc184308062"/>
      <w:bookmarkEnd w:id="354"/>
      <w:bookmarkStart w:id="355" w:name="_Toc184310326"/>
      <w:bookmarkEnd w:id="355"/>
      <w:bookmarkStart w:id="356" w:name="_Toc184314470"/>
      <w:bookmarkEnd w:id="356"/>
      <w:bookmarkStart w:id="357" w:name="_Toc184308040"/>
      <w:bookmarkEnd w:id="357"/>
      <w:bookmarkStart w:id="358" w:name="_Toc184312102"/>
      <w:bookmarkEnd w:id="358"/>
      <w:bookmarkStart w:id="359" w:name="_Toc184312071"/>
      <w:bookmarkEnd w:id="359"/>
      <w:bookmarkStart w:id="360" w:name="_Toc184312083"/>
      <w:bookmarkEnd w:id="360"/>
      <w:bookmarkStart w:id="361" w:name="_Toc184314476"/>
      <w:bookmarkEnd w:id="361"/>
      <w:bookmarkStart w:id="362" w:name="_Toc184308075"/>
      <w:bookmarkEnd w:id="362"/>
      <w:bookmarkStart w:id="363" w:name="_Toc184308055"/>
      <w:bookmarkEnd w:id="363"/>
      <w:bookmarkStart w:id="364" w:name="_Toc184314436"/>
      <w:bookmarkEnd w:id="364"/>
      <w:bookmarkStart w:id="365" w:name="_Toc184312104"/>
      <w:bookmarkEnd w:id="365"/>
      <w:bookmarkStart w:id="366" w:name="_Toc184308094"/>
      <w:bookmarkEnd w:id="366"/>
      <w:bookmarkStart w:id="367" w:name="_Toc184310341"/>
      <w:bookmarkEnd w:id="367"/>
      <w:bookmarkStart w:id="368" w:name="_Toc184308048"/>
      <w:bookmarkEnd w:id="368"/>
      <w:bookmarkStart w:id="369" w:name="_Toc184310320"/>
      <w:bookmarkEnd w:id="369"/>
      <w:bookmarkStart w:id="370" w:name="_Toc184310337"/>
      <w:bookmarkEnd w:id="370"/>
      <w:bookmarkStart w:id="371" w:name="_Toc184308105"/>
      <w:bookmarkEnd w:id="371"/>
      <w:bookmarkStart w:id="372" w:name="_Toc184312123"/>
      <w:bookmarkEnd w:id="372"/>
      <w:bookmarkStart w:id="373" w:name="_Toc184313258"/>
      <w:bookmarkEnd w:id="373"/>
      <w:bookmarkStart w:id="374" w:name="_Toc184310295"/>
      <w:bookmarkEnd w:id="374"/>
      <w:bookmarkStart w:id="375" w:name="_Toc184310297"/>
      <w:bookmarkEnd w:id="375"/>
      <w:bookmarkStart w:id="376" w:name="_Toc184308058"/>
      <w:bookmarkEnd w:id="376"/>
      <w:bookmarkStart w:id="377" w:name="_Toc184310302"/>
      <w:bookmarkEnd w:id="377"/>
      <w:bookmarkStart w:id="378" w:name="_Toc184310276"/>
      <w:bookmarkEnd w:id="378"/>
      <w:bookmarkStart w:id="379" w:name="_Toc184308079"/>
      <w:bookmarkEnd w:id="379"/>
      <w:bookmarkStart w:id="380" w:name="_Toc184310281"/>
      <w:bookmarkEnd w:id="380"/>
      <w:bookmarkStart w:id="381" w:name="_Toc184312084"/>
      <w:bookmarkEnd w:id="381"/>
      <w:bookmarkStart w:id="382" w:name="_Toc184313300"/>
      <w:bookmarkEnd w:id="382"/>
      <w:bookmarkStart w:id="383" w:name="_Toc184314444"/>
      <w:bookmarkEnd w:id="383"/>
      <w:bookmarkStart w:id="384" w:name="_Toc184314454"/>
      <w:bookmarkEnd w:id="384"/>
      <w:bookmarkStart w:id="385" w:name="_Toc184314424"/>
      <w:bookmarkEnd w:id="385"/>
      <w:bookmarkStart w:id="386" w:name="_Toc184313255"/>
      <w:bookmarkEnd w:id="386"/>
      <w:bookmarkStart w:id="387" w:name="_Toc184313291"/>
      <w:bookmarkEnd w:id="387"/>
      <w:bookmarkStart w:id="388" w:name="_Toc184308092"/>
      <w:bookmarkEnd w:id="388"/>
      <w:bookmarkStart w:id="389" w:name="_Toc184314439"/>
      <w:bookmarkEnd w:id="389"/>
      <w:bookmarkStart w:id="390" w:name="_Toc184314452"/>
      <w:bookmarkEnd w:id="390"/>
      <w:bookmarkStart w:id="391" w:name="_Toc184308073"/>
      <w:bookmarkEnd w:id="391"/>
      <w:bookmarkStart w:id="392" w:name="_Toc184312109"/>
      <w:bookmarkEnd w:id="392"/>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2"/>
        <w:tblpPr w:leftFromText="180" w:rightFromText="180" w:vertAnchor="text" w:horzAnchor="page" w:tblpX="485" w:tblpY="748"/>
        <w:tblW w:w="60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6864"/>
        <w:gridCol w:w="628"/>
        <w:gridCol w:w="96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252" w:type="pct"/>
            <w:vAlign w:val="center"/>
          </w:tcPr>
          <w:p>
            <w:pPr>
              <w:spacing w:line="400" w:lineRule="exact"/>
              <w:jc w:val="center"/>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序号</w:t>
            </w:r>
          </w:p>
        </w:tc>
        <w:tc>
          <w:tcPr>
            <w:tcW w:w="3319" w:type="pct"/>
            <w:vAlign w:val="center"/>
          </w:tcPr>
          <w:p>
            <w:pPr>
              <w:spacing w:line="400" w:lineRule="exact"/>
              <w:jc w:val="center"/>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评标标准</w:t>
            </w:r>
          </w:p>
        </w:tc>
        <w:tc>
          <w:tcPr>
            <w:tcW w:w="304" w:type="pct"/>
            <w:vAlign w:val="center"/>
          </w:tcPr>
          <w:p>
            <w:pPr>
              <w:spacing w:line="400" w:lineRule="exact"/>
              <w:jc w:val="center"/>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最高</w:t>
            </w:r>
          </w:p>
          <w:p>
            <w:pPr>
              <w:spacing w:line="400" w:lineRule="exact"/>
              <w:jc w:val="center"/>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分值</w:t>
            </w:r>
          </w:p>
        </w:tc>
        <w:tc>
          <w:tcPr>
            <w:tcW w:w="469" w:type="pct"/>
          </w:tcPr>
          <w:p>
            <w:pPr>
              <w:spacing w:line="400" w:lineRule="exact"/>
              <w:jc w:val="center"/>
              <w:outlineLvl w:val="0"/>
              <w:rPr>
                <w:rFonts w:cs="仿宋_GB2312" w:asciiTheme="minorEastAsia" w:hAnsiTheme="minorEastAsia" w:eastAsiaTheme="minorEastAsia"/>
                <w:bCs/>
                <w:color w:val="auto"/>
                <w:sz w:val="24"/>
              </w:rPr>
            </w:pPr>
          </w:p>
          <w:p>
            <w:pPr>
              <w:spacing w:line="400" w:lineRule="exact"/>
              <w:jc w:val="center"/>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主观分/客观分属性</w:t>
            </w:r>
          </w:p>
        </w:tc>
        <w:tc>
          <w:tcPr>
            <w:tcW w:w="653" w:type="pct"/>
          </w:tcPr>
          <w:p>
            <w:pPr>
              <w:spacing w:line="400" w:lineRule="exact"/>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投标文件中评标标准相应的商务技术资料目录</w:t>
            </w:r>
            <w:r>
              <w:rPr>
                <w:rFonts w:cs="Calibri" w:asciiTheme="minorEastAsia" w:hAnsiTheme="minorEastAsia" w:eastAsiaTheme="minorEastAsia"/>
                <w:color w:val="auto"/>
                <w:sz w:val="24"/>
                <w:shd w:val="clear" w:color="auto" w:fill="FFFFFF"/>
              </w:rPr>
              <w:t> </w:t>
            </w:r>
            <w:r>
              <w:rPr>
                <w:rFonts w:cs="Arial" w:asciiTheme="minorEastAsia" w:hAnsiTheme="minorEastAsia" w:eastAsiaTheme="minorEastAsia"/>
                <w:color w:val="auto"/>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52" w:type="pct"/>
            <w:vAlign w:val="center"/>
          </w:tcPr>
          <w:p>
            <w:pPr>
              <w:spacing w:line="440" w:lineRule="exact"/>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w:t>
            </w:r>
          </w:p>
        </w:tc>
        <w:tc>
          <w:tcPr>
            <w:tcW w:w="3319" w:type="pct"/>
            <w:vAlign w:val="center"/>
          </w:tcPr>
          <w:p>
            <w:pPr>
              <w:spacing w:line="440" w:lineRule="exact"/>
              <w:outlineLvl w:val="0"/>
              <w:rPr>
                <w:rFonts w:cs="仿宋_GB2312" w:asciiTheme="minorEastAsia" w:hAnsiTheme="minorEastAsia" w:eastAsiaTheme="minorEastAsia"/>
                <w:color w:val="auto"/>
                <w:sz w:val="24"/>
              </w:rPr>
            </w:pPr>
            <w:r>
              <w:rPr>
                <w:rFonts w:hint="eastAsia" w:asciiTheme="minorEastAsia" w:hAnsiTheme="minorEastAsia" w:eastAsiaTheme="minorEastAsia"/>
                <w:color w:val="auto"/>
                <w:sz w:val="24"/>
              </w:rPr>
              <w:t>拟投入车辆配置清单要求是否满足(</w:t>
            </w:r>
            <w:r>
              <w:rPr>
                <w:rFonts w:hint="eastAsia" w:asciiTheme="minorEastAsia" w:hAnsiTheme="minorEastAsia" w:eastAsiaTheme="minorEastAsia"/>
                <w:b/>
                <w:color w:val="auto"/>
                <w:sz w:val="24"/>
              </w:rPr>
              <w:t>提供车辆技术参数证明等文件</w:t>
            </w:r>
            <w:r>
              <w:rPr>
                <w:rFonts w:hint="eastAsia" w:asciiTheme="minorEastAsia" w:hAnsiTheme="minorEastAsia" w:eastAsiaTheme="minorEastAsia"/>
                <w:color w:val="auto"/>
                <w:sz w:val="24"/>
              </w:rPr>
              <w:t>)：包括①车型等级：</w:t>
            </w:r>
            <w:r>
              <w:rPr>
                <w:rFonts w:hint="eastAsia" w:cs="华文仿宋" w:asciiTheme="minorEastAsia" w:hAnsiTheme="minorEastAsia" w:eastAsiaTheme="minorEastAsia"/>
                <w:color w:val="auto"/>
                <w:sz w:val="24"/>
              </w:rPr>
              <w:t>5座自动挡三厢轿车</w:t>
            </w:r>
            <w:r>
              <w:rPr>
                <w:rFonts w:hint="eastAsia" w:asciiTheme="minorEastAsia" w:hAnsiTheme="minorEastAsia" w:eastAsiaTheme="minorEastAsia"/>
                <w:color w:val="auto"/>
                <w:sz w:val="24"/>
              </w:rPr>
              <w:t>且汽车等级</w:t>
            </w:r>
            <w:r>
              <w:rPr>
                <w:rFonts w:hint="eastAsia" w:cs="华文仿宋" w:asciiTheme="minorEastAsia" w:hAnsiTheme="minorEastAsia" w:eastAsiaTheme="minorEastAsia"/>
                <w:color w:val="auto"/>
                <w:sz w:val="24"/>
              </w:rPr>
              <w:t>达到A级(紧凑型车)及以上</w:t>
            </w:r>
            <w:r>
              <w:rPr>
                <w:rFonts w:hint="eastAsia" w:asciiTheme="minorEastAsia" w:hAnsiTheme="minorEastAsia" w:eastAsiaTheme="minorEastAsia"/>
                <w:color w:val="auto"/>
                <w:sz w:val="24"/>
              </w:rPr>
              <w:t>；②</w:t>
            </w:r>
            <w:r>
              <w:rPr>
                <w:rFonts w:hint="eastAsia" w:cs="华文仿宋" w:asciiTheme="minorEastAsia" w:hAnsiTheme="minorEastAsia" w:eastAsiaTheme="minorEastAsia"/>
                <w:color w:val="auto"/>
                <w:sz w:val="24"/>
              </w:rPr>
              <w:t>轴距(mm)≥2700</w:t>
            </w:r>
            <w:r>
              <w:rPr>
                <w:rFonts w:hint="eastAsia" w:asciiTheme="minorEastAsia" w:hAnsiTheme="minorEastAsia" w:eastAsiaTheme="minorEastAsia"/>
                <w:color w:val="auto"/>
                <w:sz w:val="24"/>
              </w:rPr>
              <w:t>；③排量</w:t>
            </w:r>
            <w:r>
              <w:rPr>
                <w:rFonts w:hint="eastAsia" w:cs="华文仿宋" w:asciiTheme="minorEastAsia" w:hAnsiTheme="minorEastAsia" w:eastAsiaTheme="minorEastAsia"/>
                <w:color w:val="auto"/>
                <w:sz w:val="24"/>
              </w:rPr>
              <w:t>≥1.5</w:t>
            </w:r>
            <w:r>
              <w:rPr>
                <w:rFonts w:hint="eastAsia" w:asciiTheme="minorEastAsia" w:hAnsiTheme="minorEastAsia" w:eastAsiaTheme="minorEastAsia"/>
                <w:color w:val="auto"/>
                <w:sz w:val="24"/>
              </w:rPr>
              <w:t>；④</w:t>
            </w:r>
            <w:r>
              <w:rPr>
                <w:rFonts w:hint="eastAsia" w:cs="华文仿宋" w:asciiTheme="minorEastAsia" w:hAnsiTheme="minorEastAsia" w:eastAsiaTheme="minorEastAsia"/>
                <w:color w:val="auto"/>
                <w:sz w:val="24"/>
              </w:rPr>
              <w:t>制动器类型要求前后全部盘式（碟刹）</w:t>
            </w:r>
            <w:r>
              <w:rPr>
                <w:rFonts w:hint="eastAsia" w:asciiTheme="minorEastAsia" w:hAnsiTheme="minorEastAsia" w:eastAsiaTheme="minorEastAsia"/>
                <w:color w:val="auto"/>
                <w:sz w:val="24"/>
              </w:rPr>
              <w:t>。每满足一项得1.5分，不满足不得分，总计6分。</w:t>
            </w:r>
          </w:p>
        </w:tc>
        <w:tc>
          <w:tcPr>
            <w:tcW w:w="304" w:type="pct"/>
          </w:tcPr>
          <w:p>
            <w:pPr>
              <w:spacing w:line="440" w:lineRule="exact"/>
              <w:jc w:val="center"/>
              <w:rPr>
                <w:rFonts w:asciiTheme="minorEastAsia" w:hAnsiTheme="minorEastAsia" w:eastAsiaTheme="minorEastAsia"/>
                <w:color w:val="auto"/>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6</w:t>
            </w:r>
          </w:p>
        </w:tc>
        <w:tc>
          <w:tcPr>
            <w:tcW w:w="469" w:type="pct"/>
            <w:vAlign w:val="center"/>
          </w:tcPr>
          <w:p>
            <w:pPr>
              <w:spacing w:line="440" w:lineRule="exact"/>
              <w:jc w:val="center"/>
              <w:outlineLvl w:val="0"/>
              <w:rPr>
                <w:rFonts w:cs="仿宋_GB2312"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客观</w:t>
            </w:r>
          </w:p>
        </w:tc>
        <w:tc>
          <w:tcPr>
            <w:tcW w:w="653" w:type="pct"/>
            <w:vAlign w:val="center"/>
          </w:tcPr>
          <w:p>
            <w:pPr>
              <w:spacing w:line="440" w:lineRule="exact"/>
              <w:jc w:val="center"/>
              <w:outlineLvl w:val="0"/>
              <w:rPr>
                <w:rFonts w:cs="仿宋_GB2312" w:asciiTheme="minorEastAsia" w:hAnsiTheme="minorEastAsia" w:eastAsiaTheme="minorEastAsia"/>
                <w:bCs/>
                <w:color w:val="auto"/>
                <w:sz w:val="24"/>
              </w:rPr>
            </w:pPr>
            <w:r>
              <w:rPr>
                <w:rFonts w:hint="eastAsia" w:asciiTheme="minorEastAsia" w:hAnsiTheme="minorEastAsia" w:eastAsiaTheme="minorEastAsia"/>
                <w:bCs/>
                <w:color w:val="auto"/>
                <w:sz w:val="24"/>
              </w:rPr>
              <w:t>车辆配备方案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52" w:type="pct"/>
            <w:vAlign w:val="center"/>
          </w:tcPr>
          <w:p>
            <w:pPr>
              <w:spacing w:line="440" w:lineRule="exact"/>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2</w:t>
            </w:r>
          </w:p>
        </w:tc>
        <w:tc>
          <w:tcPr>
            <w:tcW w:w="3319" w:type="pct"/>
            <w:vAlign w:val="center"/>
          </w:tcPr>
          <w:p>
            <w:pPr>
              <w:adjustRightInd/>
              <w:snapToGrid w:val="0"/>
              <w:spacing w:line="44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根据采购人的服务要求承诺满足：①车辆技术性能必须良好状态，各种证照及规费缴讫证齐全，无违章记录、②车辆出现交通事故或者意外发生，中标供应商应赶往现场或者通知相关部门，协助租赁方处理、③中标供应商负责租赁期间车辆的正常维护、保养和年审、④因意外导致车辆的维修，中标供应商负责协调保险公司核实赔偿、⑤租赁期间，车辆因故障不能正常使用时，中标供应商应及时修理并提供不低于原租赁车辆档次的替代车辆，确保采购人正常用车、⑥租赁车辆配备灭火器、行车记录仪等、⑦租赁期间因国家政策或上级主管部门要求，导致采购人需求变更，采购人有权就租赁时间段进行调整，采购人需至少提前1个月书面向中标供应商提出并附上相关文件说明，且不承担由此产生的后续租车费用；</w:t>
            </w:r>
          </w:p>
          <w:p>
            <w:pPr>
              <w:adjustRightInd/>
              <w:snapToGrid w:val="0"/>
              <w:spacing w:line="440" w:lineRule="exact"/>
              <w:rPr>
                <w:rFonts w:asciiTheme="minorEastAsia" w:hAnsiTheme="minorEastAsia" w:eastAsiaTheme="minorEastAsia"/>
                <w:b/>
                <w:color w:val="auto"/>
                <w:sz w:val="24"/>
              </w:rPr>
            </w:pPr>
            <w:r>
              <w:rPr>
                <w:rFonts w:hint="eastAsia" w:asciiTheme="minorEastAsia" w:hAnsiTheme="minorEastAsia" w:eastAsiaTheme="minorEastAsia"/>
                <w:b/>
                <w:color w:val="auto"/>
                <w:sz w:val="24"/>
              </w:rPr>
              <w:t>每满足一项得2分，不满足不得分，总计14分。</w:t>
            </w:r>
          </w:p>
        </w:tc>
        <w:tc>
          <w:tcPr>
            <w:tcW w:w="304" w:type="pct"/>
          </w:tcPr>
          <w:p>
            <w:pPr>
              <w:spacing w:line="440" w:lineRule="exact"/>
              <w:jc w:val="center"/>
              <w:rPr>
                <w:rFonts w:asciiTheme="minorEastAsia" w:hAnsiTheme="minorEastAsia" w:eastAsiaTheme="minorEastAsia"/>
                <w:color w:val="auto"/>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ind w:firstLine="240" w:firstLineChars="100"/>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1</w:t>
            </w:r>
            <w:r>
              <w:rPr>
                <w:rFonts w:cs="仿宋_GB2312" w:asciiTheme="minorEastAsia" w:hAnsiTheme="minorEastAsia" w:eastAsiaTheme="minorEastAsia"/>
                <w:color w:val="auto"/>
                <w:sz w:val="24"/>
              </w:rPr>
              <w:t>4</w:t>
            </w:r>
          </w:p>
        </w:tc>
        <w:tc>
          <w:tcPr>
            <w:tcW w:w="469" w:type="pct"/>
          </w:tcPr>
          <w:p>
            <w:pPr>
              <w:spacing w:line="440" w:lineRule="exact"/>
              <w:jc w:val="center"/>
              <w:outlineLvl w:val="0"/>
              <w:rPr>
                <w:rFonts w:asciiTheme="minorEastAsia" w:hAnsiTheme="minorEastAsia" w:eastAsiaTheme="minorEastAsia"/>
                <w:bCs/>
                <w:color w:val="auto"/>
                <w:sz w:val="24"/>
              </w:rPr>
            </w:pPr>
          </w:p>
          <w:p>
            <w:pPr>
              <w:spacing w:line="440" w:lineRule="exact"/>
              <w:jc w:val="center"/>
              <w:outlineLvl w:val="0"/>
              <w:rPr>
                <w:rFonts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客观</w:t>
            </w:r>
          </w:p>
          <w:p>
            <w:pPr>
              <w:spacing w:line="440" w:lineRule="exact"/>
              <w:jc w:val="center"/>
              <w:outlineLvl w:val="0"/>
              <w:rPr>
                <w:rFonts w:asciiTheme="minorEastAsia" w:hAnsiTheme="minorEastAsia" w:eastAsiaTheme="minorEastAsia"/>
                <w:bCs/>
                <w:color w:val="auto"/>
                <w:sz w:val="24"/>
              </w:rPr>
            </w:pPr>
          </w:p>
        </w:tc>
        <w:tc>
          <w:tcPr>
            <w:tcW w:w="653" w:type="pct"/>
          </w:tcPr>
          <w:p>
            <w:pPr>
              <w:spacing w:line="440" w:lineRule="exact"/>
              <w:outlineLvl w:val="0"/>
              <w:rPr>
                <w:rFonts w:asciiTheme="minorEastAsia" w:hAnsiTheme="minorEastAsia" w:eastAsiaTheme="minorEastAsia"/>
                <w:bCs/>
                <w:color w:val="auto"/>
                <w:sz w:val="24"/>
              </w:rPr>
            </w:pPr>
          </w:p>
          <w:p>
            <w:pPr>
              <w:spacing w:line="440" w:lineRule="exact"/>
              <w:outlineLvl w:val="0"/>
              <w:rPr>
                <w:rFonts w:asciiTheme="minorEastAsia" w:hAnsiTheme="minorEastAsia" w:eastAsiaTheme="minorEastAsia"/>
                <w:bCs/>
                <w:color w:val="auto"/>
                <w:sz w:val="24"/>
              </w:rPr>
            </w:pPr>
          </w:p>
          <w:p>
            <w:pPr>
              <w:spacing w:line="440" w:lineRule="exact"/>
              <w:outlineLvl w:val="0"/>
              <w:rPr>
                <w:rFonts w:asciiTheme="minorEastAsia" w:hAnsiTheme="minorEastAsia" w:eastAsiaTheme="minorEastAsia"/>
                <w:bCs/>
                <w:color w:val="auto"/>
                <w:sz w:val="24"/>
              </w:rPr>
            </w:pPr>
          </w:p>
          <w:p>
            <w:pPr>
              <w:spacing w:line="440" w:lineRule="exact"/>
              <w:outlineLvl w:val="0"/>
              <w:rPr>
                <w:rFonts w:asciiTheme="minorEastAsia" w:hAnsiTheme="minorEastAsia" w:eastAsiaTheme="minorEastAsia"/>
                <w:bCs/>
                <w:color w:val="auto"/>
                <w:sz w:val="24"/>
              </w:rPr>
            </w:pPr>
          </w:p>
          <w:p>
            <w:pPr>
              <w:spacing w:line="440" w:lineRule="exact"/>
              <w:outlineLvl w:val="0"/>
              <w:rPr>
                <w:rFonts w:asciiTheme="minorEastAsia" w:hAnsiTheme="minorEastAsia" w:eastAsiaTheme="minorEastAsia"/>
                <w:bCs/>
                <w:color w:val="auto"/>
                <w:sz w:val="24"/>
              </w:rPr>
            </w:pPr>
          </w:p>
          <w:p>
            <w:pPr>
              <w:spacing w:line="440" w:lineRule="exact"/>
              <w:outlineLvl w:val="0"/>
              <w:rPr>
                <w:rFonts w:cs="仿宋_GB2312" w:asciiTheme="minorEastAsia" w:hAnsiTheme="minorEastAsia" w:eastAsiaTheme="minorEastAsia"/>
                <w:bCs/>
                <w:color w:val="auto"/>
                <w:sz w:val="24"/>
              </w:rPr>
            </w:pPr>
            <w:r>
              <w:rPr>
                <w:rFonts w:hint="eastAsia" w:asciiTheme="minorEastAsia" w:hAnsiTheme="minorEastAsia" w:eastAsiaTheme="minorEastAsia"/>
                <w:bCs/>
                <w:color w:val="auto"/>
                <w:sz w:val="24"/>
              </w:rPr>
              <w:t>承诺满足服务要求情况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52" w:type="pct"/>
            <w:vAlign w:val="center"/>
          </w:tcPr>
          <w:p>
            <w:pPr>
              <w:spacing w:line="440" w:lineRule="exact"/>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3</w:t>
            </w:r>
          </w:p>
        </w:tc>
        <w:tc>
          <w:tcPr>
            <w:tcW w:w="3319" w:type="pct"/>
            <w:vAlign w:val="center"/>
          </w:tcPr>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1.提供本市范围内维修保养服务的自有（含合作）网点</w:t>
            </w:r>
            <w:r>
              <w:rPr>
                <w:rFonts w:hint="eastAsia" w:asciiTheme="minorEastAsia" w:hAnsiTheme="minorEastAsia" w:eastAsiaTheme="minorEastAsia"/>
                <w:b/>
                <w:color w:val="auto"/>
              </w:rPr>
              <w:t>(提供相关证明材料)</w:t>
            </w:r>
            <w:r>
              <w:rPr>
                <w:rFonts w:hint="eastAsia" w:asciiTheme="minorEastAsia" w:hAnsiTheme="minorEastAsia" w:eastAsiaTheme="minorEastAsia"/>
                <w:color w:val="auto"/>
              </w:rPr>
              <w:t>。</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2</w:t>
            </w:r>
            <w:r>
              <w:rPr>
                <w:rFonts w:asciiTheme="minorEastAsia" w:hAnsiTheme="minorEastAsia" w:eastAsiaTheme="minorEastAsia"/>
                <w:color w:val="auto"/>
              </w:rPr>
              <w:t>.</w:t>
            </w:r>
            <w:r>
              <w:rPr>
                <w:rFonts w:hint="eastAsia" w:asciiTheme="minorEastAsia" w:hAnsiTheme="minorEastAsia" w:eastAsiaTheme="minorEastAsia"/>
                <w:color w:val="auto"/>
              </w:rPr>
              <w:t>承诺：租赁期间，由中标供应商负责租赁车辆的年检，如时间超过一个工作日，中标供应商需提供同等保险同级别替代车。</w:t>
            </w:r>
          </w:p>
          <w:p>
            <w:pPr>
              <w:pStyle w:val="799"/>
              <w:spacing w:line="440" w:lineRule="exact"/>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t>3.</w:t>
            </w:r>
            <w:r>
              <w:rPr>
                <w:rFonts w:hint="eastAsia" w:asciiTheme="minorEastAsia" w:hAnsiTheme="minorEastAsia" w:eastAsiaTheme="minorEastAsia"/>
                <w:color w:val="auto"/>
              </w:rPr>
              <w:t>承诺：租赁期间，中标供应商应负责车辆维修及配件更换，以保证采购人的正常使用。修理超过两天时，中标供应商需免费提供同等保险同级别替代车。车辆连续出现2次重大故障，影响采购人使用的，采购人有权要求中标供应商更换车辆。</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4</w:t>
            </w:r>
            <w:r>
              <w:rPr>
                <w:rFonts w:asciiTheme="minorEastAsia" w:hAnsiTheme="minorEastAsia" w:eastAsiaTheme="minorEastAsia"/>
                <w:color w:val="auto"/>
              </w:rPr>
              <w:t>.</w:t>
            </w:r>
            <w:r>
              <w:rPr>
                <w:rFonts w:hint="eastAsia" w:asciiTheme="minorEastAsia" w:hAnsiTheme="minorEastAsia" w:eastAsiaTheme="minorEastAsia"/>
                <w:color w:val="auto"/>
              </w:rPr>
              <w:t>承诺：租赁期间中标供应商提供租赁车辆的免费维修及保养服务（含机油及配件等更换，轮胎按车辆使用的磨损程度或保养手册要求的更换）。保养周期为3个月或5000公里，以哪个先到为准。保养应分批进行，不影响采购人的使用。如保养超过两天，需提供同等保险同级别替代车。</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5</w:t>
            </w:r>
            <w:r>
              <w:rPr>
                <w:rFonts w:asciiTheme="minorEastAsia" w:hAnsiTheme="minorEastAsia" w:eastAsiaTheme="minorEastAsia"/>
                <w:color w:val="auto"/>
              </w:rPr>
              <w:t>.</w:t>
            </w:r>
            <w:r>
              <w:rPr>
                <w:rFonts w:hint="eastAsia" w:asciiTheme="minorEastAsia" w:hAnsiTheme="minorEastAsia" w:eastAsiaTheme="minorEastAsia"/>
                <w:color w:val="auto"/>
              </w:rPr>
              <w:t>承诺：保险理赔范围内的非伤人事故，费用由中标供应商先行垫付（第三者、伤人费用除外）。有责事故，中标供应商需安排人员上门一对一协助事故处理，并免费提供同等保险同级别替代车。</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6</w:t>
            </w:r>
            <w:r>
              <w:rPr>
                <w:rFonts w:asciiTheme="minorEastAsia" w:hAnsiTheme="minorEastAsia" w:eastAsiaTheme="minorEastAsia"/>
                <w:color w:val="auto"/>
              </w:rPr>
              <w:t>.</w:t>
            </w:r>
            <w:r>
              <w:rPr>
                <w:rFonts w:hint="eastAsia" w:asciiTheme="minorEastAsia" w:hAnsiTheme="minorEastAsia" w:eastAsiaTheme="minorEastAsia"/>
                <w:color w:val="auto"/>
              </w:rPr>
              <w:t>承诺：车辆本身原因导致采购人无法用车，中标供应商免费提供同等保险同级别的替代车。</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7</w:t>
            </w:r>
            <w:r>
              <w:rPr>
                <w:rFonts w:asciiTheme="minorEastAsia" w:hAnsiTheme="minorEastAsia" w:eastAsiaTheme="minorEastAsia"/>
                <w:color w:val="auto"/>
              </w:rPr>
              <w:t>.</w:t>
            </w:r>
            <w:r>
              <w:rPr>
                <w:rFonts w:hint="eastAsia" w:asciiTheme="minorEastAsia" w:hAnsiTheme="minorEastAsia" w:eastAsiaTheme="minorEastAsia"/>
                <w:color w:val="auto"/>
              </w:rPr>
              <w:t>承诺：租赁期间，中标供应商按要求喷涂单位名称和监督电话（必须符合车改要求）。</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8.承诺：给采购人免费开放所租车辆 GPS 查询权限。</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9</w:t>
            </w:r>
            <w:r>
              <w:rPr>
                <w:rFonts w:asciiTheme="minorEastAsia" w:hAnsiTheme="minorEastAsia" w:eastAsiaTheme="minorEastAsia"/>
                <w:color w:val="auto"/>
              </w:rPr>
              <w:t>.</w:t>
            </w:r>
            <w:r>
              <w:rPr>
                <w:rFonts w:hint="eastAsia" w:asciiTheme="minorEastAsia" w:hAnsiTheme="minorEastAsia" w:eastAsiaTheme="minorEastAsia"/>
                <w:color w:val="auto"/>
              </w:rPr>
              <w:t>承诺：每月向采购人提供在租车辆的月度管报，内容包括但不限于：维保记录、未处理违章记录、事故记录、巡检记录。中标供应商每月安排给采购人方进行一次现场巡检，检查及汇报内容包括但不限于：车辆外观、灯管、刹车、水箱、仪表盘、制动，等等。</w:t>
            </w:r>
          </w:p>
          <w:p>
            <w:pPr>
              <w:pStyle w:val="799"/>
              <w:spacing w:line="440" w:lineRule="exact"/>
              <w:ind w:firstLine="0" w:firstLineChars="0"/>
              <w:jc w:val="left"/>
              <w:rPr>
                <w:rFonts w:asciiTheme="minorEastAsia" w:hAnsiTheme="minorEastAsia" w:eastAsiaTheme="minorEastAsia"/>
                <w:color w:val="auto"/>
              </w:rPr>
            </w:pPr>
            <w:r>
              <w:rPr>
                <w:rFonts w:hint="eastAsia" w:asciiTheme="minorEastAsia" w:hAnsiTheme="minorEastAsia" w:eastAsiaTheme="minorEastAsia"/>
                <w:color w:val="auto"/>
              </w:rPr>
              <w:t>10</w:t>
            </w:r>
            <w:r>
              <w:rPr>
                <w:rFonts w:asciiTheme="minorEastAsia" w:hAnsiTheme="minorEastAsia" w:eastAsiaTheme="minorEastAsia"/>
                <w:color w:val="auto"/>
              </w:rPr>
              <w:t>.</w:t>
            </w:r>
            <w:r>
              <w:rPr>
                <w:rFonts w:hint="eastAsia" w:asciiTheme="minorEastAsia" w:hAnsiTheme="minorEastAsia" w:eastAsiaTheme="minorEastAsia"/>
                <w:color w:val="auto"/>
              </w:rPr>
              <w:t>承诺：</w:t>
            </w:r>
            <w:r>
              <w:rPr>
                <w:rFonts w:hint="eastAsia" w:asciiTheme="minorEastAsia" w:hAnsiTheme="minorEastAsia" w:eastAsiaTheme="minorEastAsia"/>
                <w:color w:val="auto"/>
                <w:szCs w:val="24"/>
              </w:rPr>
              <w:t>投标人</w:t>
            </w:r>
            <w:r>
              <w:rPr>
                <w:rFonts w:hint="eastAsia" w:asciiTheme="minorEastAsia" w:hAnsiTheme="minorEastAsia" w:eastAsiaTheme="minorEastAsia"/>
                <w:color w:val="auto"/>
              </w:rPr>
              <w:t>根据采购人要求每台车配置专属油卡，费用含在投标价中。若在车辆使用过程中因无法使用油卡支付或者无专属油卡的加油站，加油费用由采购人先行垫付并开具发票，发票交给中标供应商后，由中标供应商按开票金额进行报销，报销后汇入采购人代为支付人员账户。</w:t>
            </w:r>
          </w:p>
          <w:p>
            <w:pPr>
              <w:adjustRightInd/>
              <w:snapToGrid w:val="0"/>
              <w:spacing w:line="440" w:lineRule="exact"/>
              <w:jc w:val="left"/>
              <w:rPr>
                <w:rFonts w:asciiTheme="minorEastAsia" w:hAnsiTheme="minorEastAsia" w:eastAsiaTheme="minorEastAsia"/>
                <w:b/>
                <w:color w:val="auto"/>
                <w:sz w:val="24"/>
              </w:rPr>
            </w:pPr>
            <w:r>
              <w:rPr>
                <w:rFonts w:hint="eastAsia" w:asciiTheme="minorEastAsia" w:hAnsiTheme="minorEastAsia" w:eastAsiaTheme="minorEastAsia"/>
                <w:b/>
                <w:color w:val="auto"/>
                <w:sz w:val="24"/>
              </w:rPr>
              <w:t>每满足一项得2分，不满足不得分，总计20分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p>
          <w:p>
            <w:pPr>
              <w:spacing w:line="440" w:lineRule="exact"/>
              <w:jc w:val="center"/>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2</w:t>
            </w:r>
            <w:r>
              <w:rPr>
                <w:rFonts w:cs="仿宋_GB2312" w:asciiTheme="minorEastAsia" w:hAnsiTheme="minorEastAsia" w:eastAsiaTheme="minorEastAsia"/>
                <w:color w:val="auto"/>
                <w:sz w:val="24"/>
              </w:rPr>
              <w:t>0</w:t>
            </w:r>
          </w:p>
        </w:tc>
        <w:tc>
          <w:tcPr>
            <w:tcW w:w="469" w:type="pct"/>
          </w:tcPr>
          <w:p>
            <w:pPr>
              <w:spacing w:line="440" w:lineRule="exact"/>
              <w:jc w:val="center"/>
              <w:outlineLvl w:val="0"/>
              <w:rPr>
                <w:rFonts w:asciiTheme="minorEastAsia" w:hAnsiTheme="minorEastAsia" w:eastAsiaTheme="minorEastAsia"/>
                <w:bCs/>
                <w:color w:val="auto"/>
              </w:rPr>
            </w:pPr>
          </w:p>
          <w:p>
            <w:pPr>
              <w:spacing w:line="440" w:lineRule="exact"/>
              <w:jc w:val="center"/>
              <w:outlineLvl w:val="0"/>
              <w:rPr>
                <w:rFonts w:asciiTheme="minorEastAsia" w:hAnsiTheme="minorEastAsia" w:eastAsiaTheme="minorEastAsia"/>
                <w:bCs/>
                <w:color w:val="auto"/>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客观</w:t>
            </w:r>
          </w:p>
          <w:p>
            <w:pPr>
              <w:spacing w:line="440" w:lineRule="exact"/>
              <w:jc w:val="center"/>
              <w:outlineLvl w:val="0"/>
              <w:rPr>
                <w:rFonts w:asciiTheme="minorEastAsia" w:hAnsiTheme="minorEastAsia" w:eastAsiaTheme="minorEastAsia"/>
                <w:bCs/>
                <w:color w:val="auto"/>
              </w:rPr>
            </w:pPr>
          </w:p>
        </w:tc>
        <w:tc>
          <w:tcPr>
            <w:tcW w:w="653" w:type="pct"/>
          </w:tcPr>
          <w:p>
            <w:pPr>
              <w:spacing w:line="440" w:lineRule="exact"/>
              <w:outlineLvl w:val="0"/>
              <w:rPr>
                <w:rFonts w:asciiTheme="minorEastAsia" w:hAnsiTheme="minorEastAsia" w:eastAsiaTheme="minorEastAsia"/>
                <w:bCs/>
                <w:color w:val="auto"/>
              </w:rPr>
            </w:pPr>
          </w:p>
          <w:p>
            <w:pPr>
              <w:spacing w:line="440" w:lineRule="exact"/>
              <w:outlineLvl w:val="0"/>
              <w:rPr>
                <w:rFonts w:asciiTheme="minorEastAsia" w:hAnsiTheme="minorEastAsia" w:eastAsiaTheme="minorEastAsia"/>
                <w:color w:val="auto"/>
                <w:sz w:val="24"/>
                <w:szCs w:val="20"/>
              </w:rPr>
            </w:pPr>
          </w:p>
          <w:p>
            <w:pPr>
              <w:spacing w:line="440" w:lineRule="exact"/>
              <w:outlineLvl w:val="0"/>
              <w:rPr>
                <w:rFonts w:asciiTheme="minorEastAsia" w:hAnsiTheme="minorEastAsia" w:eastAsiaTheme="minorEastAsia"/>
                <w:color w:val="auto"/>
                <w:sz w:val="24"/>
                <w:szCs w:val="20"/>
              </w:rPr>
            </w:pPr>
          </w:p>
          <w:p>
            <w:pPr>
              <w:spacing w:line="440" w:lineRule="exact"/>
              <w:outlineLvl w:val="0"/>
              <w:rPr>
                <w:rFonts w:asciiTheme="minorEastAsia" w:hAnsiTheme="minorEastAsia" w:eastAsiaTheme="minorEastAsia"/>
                <w:color w:val="auto"/>
                <w:sz w:val="24"/>
                <w:szCs w:val="20"/>
              </w:rPr>
            </w:pPr>
          </w:p>
          <w:p>
            <w:pPr>
              <w:spacing w:line="440" w:lineRule="exact"/>
              <w:outlineLvl w:val="0"/>
              <w:rPr>
                <w:rFonts w:cs="仿宋_GB2312" w:asciiTheme="minorEastAsia" w:hAnsiTheme="minorEastAsia" w:eastAsiaTheme="minorEastAsia"/>
                <w:bCs/>
                <w:color w:val="auto"/>
                <w:sz w:val="24"/>
              </w:rPr>
            </w:pPr>
            <w:r>
              <w:rPr>
                <w:rFonts w:hint="eastAsia" w:asciiTheme="minorEastAsia" w:hAnsiTheme="minorEastAsia" w:eastAsiaTheme="minorEastAsia"/>
                <w:color w:val="auto"/>
                <w:sz w:val="24"/>
                <w:szCs w:val="20"/>
              </w:rPr>
              <w:t>维修保养服务的自有（含合作）网点情况和其他要求承诺情况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52" w:type="pct"/>
            <w:vAlign w:val="center"/>
          </w:tcPr>
          <w:p>
            <w:pPr>
              <w:spacing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3319" w:type="pct"/>
            <w:vAlign w:val="center"/>
          </w:tcPr>
          <w:p>
            <w:pPr>
              <w:spacing w:line="400" w:lineRule="exact"/>
              <w:rPr>
                <w:rFonts w:asciiTheme="minorEastAsia" w:hAnsiTheme="minorEastAsia" w:eastAsiaTheme="minorEastAsia"/>
                <w:color w:val="auto"/>
              </w:rPr>
            </w:pPr>
            <w:r>
              <w:rPr>
                <w:rFonts w:hint="eastAsia" w:asciiTheme="minorEastAsia" w:hAnsiTheme="minorEastAsia" w:eastAsiaTheme="minorEastAsia"/>
                <w:color w:val="auto"/>
                <w:sz w:val="24"/>
              </w:rPr>
              <w:t>投标人</w:t>
            </w:r>
            <w:r>
              <w:rPr>
                <w:rFonts w:hint="eastAsia" w:asciiTheme="minorEastAsia" w:hAnsiTheme="minorEastAsia" w:eastAsiaTheme="minorEastAsia"/>
                <w:color w:val="auto"/>
                <w:sz w:val="24"/>
                <w:szCs w:val="20"/>
              </w:rPr>
              <w:t>承诺每增加1辆备用车（停放在采购人单位）加2分，最高得6分。</w:t>
            </w:r>
          </w:p>
        </w:tc>
        <w:tc>
          <w:tcPr>
            <w:tcW w:w="304" w:type="pct"/>
          </w:tcPr>
          <w:p>
            <w:pPr>
              <w:spacing w:line="400" w:lineRule="exact"/>
              <w:jc w:val="center"/>
              <w:rPr>
                <w:rFonts w:asciiTheme="minorEastAsia" w:hAnsiTheme="minorEastAsia" w:eastAsiaTheme="minorEastAsia"/>
                <w:color w:val="auto"/>
              </w:rPr>
            </w:pPr>
          </w:p>
          <w:p>
            <w:pPr>
              <w:spacing w:line="400" w:lineRule="exact"/>
              <w:jc w:val="center"/>
              <w:rPr>
                <w:rFonts w:asciiTheme="minorEastAsia" w:hAnsiTheme="minorEastAsia" w:eastAsiaTheme="minorEastAsia"/>
                <w:color w:val="auto"/>
              </w:rPr>
            </w:pPr>
            <w:r>
              <w:rPr>
                <w:rFonts w:asciiTheme="minorEastAsia" w:hAnsiTheme="minorEastAsia" w:eastAsiaTheme="minorEastAsia"/>
                <w:color w:val="auto"/>
              </w:rPr>
              <w:t>6</w:t>
            </w:r>
          </w:p>
        </w:tc>
        <w:tc>
          <w:tcPr>
            <w:tcW w:w="469" w:type="pct"/>
          </w:tcPr>
          <w:p>
            <w:pPr>
              <w:spacing w:line="400" w:lineRule="exact"/>
              <w:jc w:val="center"/>
              <w:outlineLvl w:val="0"/>
              <w:rPr>
                <w:rFonts w:cs="仿宋_GB2312" w:asciiTheme="minorEastAsia" w:hAnsiTheme="minorEastAsia" w:eastAsiaTheme="minorEastAsia"/>
                <w:bCs/>
                <w:color w:val="auto"/>
                <w:sz w:val="24"/>
              </w:rPr>
            </w:pPr>
          </w:p>
          <w:p>
            <w:pPr>
              <w:spacing w:line="400" w:lineRule="exact"/>
              <w:jc w:val="center"/>
              <w:outlineLvl w:val="0"/>
              <w:rPr>
                <w:rFonts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客观</w:t>
            </w:r>
          </w:p>
          <w:p>
            <w:pPr>
              <w:spacing w:line="400" w:lineRule="exact"/>
              <w:jc w:val="center"/>
              <w:rPr>
                <w:rFonts w:asciiTheme="minorEastAsia" w:hAnsiTheme="minorEastAsia" w:eastAsiaTheme="minorEastAsia"/>
                <w:bCs/>
                <w:color w:val="auto"/>
                <w:sz w:val="24"/>
              </w:rPr>
            </w:pPr>
          </w:p>
        </w:tc>
        <w:tc>
          <w:tcPr>
            <w:tcW w:w="653" w:type="pct"/>
          </w:tcPr>
          <w:p>
            <w:pPr>
              <w:spacing w:line="40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备用车提供情况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sz w:val="24"/>
                <w:szCs w:val="20"/>
              </w:rPr>
            </w:pPr>
            <w:r>
              <w:rPr>
                <w:rFonts w:hint="eastAsia" w:asciiTheme="minorEastAsia" w:hAnsiTheme="minorEastAsia" w:eastAsiaTheme="minorEastAsia"/>
                <w:color w:val="auto"/>
                <w:sz w:val="24"/>
                <w:szCs w:val="20"/>
              </w:rPr>
              <w:t>5</w:t>
            </w:r>
          </w:p>
        </w:tc>
        <w:tc>
          <w:tcPr>
            <w:tcW w:w="3319" w:type="pct"/>
            <w:vAlign w:val="center"/>
          </w:tcPr>
          <w:p>
            <w:pPr>
              <w:pStyle w:val="799"/>
              <w:spacing w:after="120" w:line="440" w:lineRule="exact"/>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本市范围内自有（含合作）机动车维修点比较：（9分）投标人应提供在本市范围内的自有（含合作）机动车维修点的网上查询定位截图，每个得2分，最高不超过6分；自营（含合作）网点达到一类标准的（投标文件中需提供证明材料），每个加1分，最高不超过3分。自有（含合作）网点需在投标文件中提供证明材料，否则不得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9</w:t>
            </w:r>
          </w:p>
        </w:tc>
        <w:tc>
          <w:tcPr>
            <w:tcW w:w="469" w:type="pct"/>
          </w:tcPr>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cs="仿宋_GB2312" w:asciiTheme="minorEastAsia" w:hAnsiTheme="minorEastAsia" w:eastAsiaTheme="minorEastAsia"/>
                <w:bCs/>
                <w:color w:val="auto"/>
                <w:sz w:val="24"/>
              </w:rPr>
            </w:pPr>
          </w:p>
          <w:p>
            <w:pPr>
              <w:spacing w:line="440" w:lineRule="exact"/>
              <w:jc w:val="center"/>
              <w:outlineLvl w:val="0"/>
              <w:rPr>
                <w:rFonts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客观</w:t>
            </w:r>
          </w:p>
          <w:p>
            <w:pPr>
              <w:spacing w:line="440" w:lineRule="exact"/>
              <w:jc w:val="center"/>
              <w:rPr>
                <w:rFonts w:asciiTheme="minorEastAsia" w:hAnsiTheme="minorEastAsia" w:eastAsiaTheme="minorEastAsia"/>
                <w:bCs/>
                <w:color w:val="auto"/>
                <w:sz w:val="24"/>
              </w:rPr>
            </w:pPr>
          </w:p>
        </w:tc>
        <w:tc>
          <w:tcPr>
            <w:tcW w:w="653" w:type="pct"/>
          </w:tcPr>
          <w:p>
            <w:pPr>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本市范围内自有（含合作）维修点情况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3319" w:type="pct"/>
            <w:vAlign w:val="center"/>
          </w:tcPr>
          <w:p>
            <w:pPr>
              <w:pStyle w:val="799"/>
              <w:tabs>
                <w:tab w:val="left" w:pos="1428"/>
              </w:tabs>
              <w:spacing w:line="420" w:lineRule="exact"/>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燃油或油电混动车辆出厂指导价：6万≤出厂指导价＜7万，不得分；7万≤出厂指导价＜9万，得1分；9万≤出厂指导价＜11万，得2分；11万≤出厂指导价＜13万，得3分；13万≤出厂指导价＜15万，得4分；出厂指导价≥15万，得6分。（投标文件中需提供车辆出厂指导价证明材料：所投品牌生产厂家官方网站截图或生产厂家出具证明文件）</w:t>
            </w:r>
          </w:p>
        </w:tc>
        <w:tc>
          <w:tcPr>
            <w:tcW w:w="304" w:type="pct"/>
          </w:tcPr>
          <w:p>
            <w:pPr>
              <w:tabs>
                <w:tab w:val="left" w:pos="1428"/>
              </w:tabs>
              <w:spacing w:line="420" w:lineRule="exact"/>
              <w:jc w:val="center"/>
              <w:rPr>
                <w:rFonts w:asciiTheme="minorEastAsia" w:hAnsiTheme="minorEastAsia" w:eastAsiaTheme="minorEastAsia"/>
                <w:color w:val="auto"/>
              </w:rPr>
            </w:pPr>
          </w:p>
          <w:p>
            <w:pPr>
              <w:tabs>
                <w:tab w:val="left" w:pos="1428"/>
              </w:tabs>
              <w:spacing w:line="420" w:lineRule="exact"/>
              <w:jc w:val="center"/>
              <w:rPr>
                <w:rFonts w:asciiTheme="minorEastAsia" w:hAnsiTheme="minorEastAsia" w:eastAsiaTheme="minorEastAsia"/>
                <w:color w:val="auto"/>
              </w:rPr>
            </w:pPr>
          </w:p>
          <w:p>
            <w:pPr>
              <w:tabs>
                <w:tab w:val="left" w:pos="1428"/>
              </w:tabs>
              <w:spacing w:line="42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469" w:type="pct"/>
          </w:tcPr>
          <w:p>
            <w:pPr>
              <w:tabs>
                <w:tab w:val="left" w:pos="1428"/>
              </w:tabs>
              <w:spacing w:line="420" w:lineRule="exact"/>
              <w:jc w:val="center"/>
              <w:outlineLvl w:val="0"/>
              <w:rPr>
                <w:rFonts w:cs="仿宋_GB2312" w:asciiTheme="minorEastAsia" w:hAnsiTheme="minorEastAsia" w:eastAsiaTheme="minorEastAsia"/>
                <w:bCs/>
                <w:color w:val="auto"/>
                <w:sz w:val="24"/>
              </w:rPr>
            </w:pPr>
          </w:p>
          <w:p>
            <w:pPr>
              <w:tabs>
                <w:tab w:val="left" w:pos="1428"/>
              </w:tabs>
              <w:spacing w:line="420" w:lineRule="exact"/>
              <w:jc w:val="center"/>
              <w:outlineLvl w:val="0"/>
              <w:rPr>
                <w:rFonts w:cs="仿宋_GB2312" w:asciiTheme="minorEastAsia" w:hAnsiTheme="minorEastAsia" w:eastAsiaTheme="minorEastAsia"/>
                <w:bCs/>
                <w:color w:val="auto"/>
                <w:sz w:val="24"/>
              </w:rPr>
            </w:pPr>
          </w:p>
          <w:p>
            <w:pPr>
              <w:tabs>
                <w:tab w:val="left" w:pos="1428"/>
              </w:tabs>
              <w:spacing w:line="420" w:lineRule="exact"/>
              <w:jc w:val="center"/>
              <w:outlineLvl w:val="0"/>
              <w:rPr>
                <w:rFonts w:asciiTheme="minorEastAsia" w:hAnsiTheme="minorEastAsia" w:eastAsiaTheme="minorEastAsia"/>
                <w:bCs/>
                <w:color w:val="auto"/>
                <w:sz w:val="24"/>
              </w:rPr>
            </w:pPr>
            <w:r>
              <w:rPr>
                <w:rFonts w:hint="eastAsia" w:cs="仿宋_GB2312" w:asciiTheme="minorEastAsia" w:hAnsiTheme="minorEastAsia" w:eastAsiaTheme="minorEastAsia"/>
                <w:bCs/>
                <w:color w:val="auto"/>
                <w:sz w:val="24"/>
              </w:rPr>
              <w:t>客观</w:t>
            </w:r>
          </w:p>
          <w:p>
            <w:pPr>
              <w:tabs>
                <w:tab w:val="left" w:pos="1428"/>
              </w:tabs>
              <w:spacing w:line="420" w:lineRule="exact"/>
              <w:jc w:val="center"/>
              <w:rPr>
                <w:rFonts w:asciiTheme="minorEastAsia" w:hAnsiTheme="minorEastAsia" w:eastAsiaTheme="minorEastAsia"/>
                <w:bCs/>
                <w:color w:val="auto"/>
              </w:rPr>
            </w:pPr>
          </w:p>
        </w:tc>
        <w:tc>
          <w:tcPr>
            <w:tcW w:w="653" w:type="pct"/>
          </w:tcPr>
          <w:p>
            <w:pPr>
              <w:tabs>
                <w:tab w:val="left" w:pos="1428"/>
              </w:tabs>
              <w:spacing w:line="420" w:lineRule="exact"/>
              <w:rPr>
                <w:rFonts w:asciiTheme="minorEastAsia" w:hAnsiTheme="minorEastAsia" w:eastAsiaTheme="minorEastAsia"/>
                <w:bCs/>
                <w:color w:val="auto"/>
              </w:rPr>
            </w:pPr>
            <w:r>
              <w:rPr>
                <w:rFonts w:hint="eastAsia" w:asciiTheme="minorEastAsia" w:hAnsiTheme="minorEastAsia" w:eastAsiaTheme="minorEastAsia"/>
                <w:bCs/>
                <w:color w:val="auto"/>
              </w:rPr>
              <w:t>燃油或油电混动车辆出厂指导价情况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7</w:t>
            </w:r>
          </w:p>
        </w:tc>
        <w:tc>
          <w:tcPr>
            <w:tcW w:w="3319" w:type="pct"/>
            <w:vAlign w:val="center"/>
          </w:tcPr>
          <w:p>
            <w:pPr>
              <w:pStyle w:val="799"/>
              <w:spacing w:after="120" w:line="440" w:lineRule="exact"/>
              <w:ind w:firstLine="0" w:firstLineChars="0"/>
              <w:rPr>
                <w:rFonts w:asciiTheme="minorEastAsia" w:hAnsiTheme="minorEastAsia" w:eastAsiaTheme="minorEastAsia"/>
                <w:color w:val="auto"/>
                <w:szCs w:val="24"/>
              </w:rPr>
            </w:pPr>
            <w:r>
              <w:rPr>
                <w:rFonts w:hint="eastAsia" w:asciiTheme="minorEastAsia" w:hAnsiTheme="minorEastAsia" w:eastAsiaTheme="minorEastAsia"/>
                <w:color w:val="auto"/>
              </w:rPr>
              <w:t>提供车辆配备方案（8分）：至少包括①拟投入车辆清单（如车牌号、行驶证信息、车型、里程数、排量、轴距、品牌、指导价）；②根据采购要求制定的配备方案（</w:t>
            </w:r>
            <w:r>
              <w:rPr>
                <w:rFonts w:hint="eastAsia" w:cs="华文仿宋" w:asciiTheme="minorEastAsia" w:hAnsiTheme="minorEastAsia" w:eastAsiaTheme="minorEastAsia"/>
                <w:color w:val="auto"/>
              </w:rPr>
              <w:t>燃油或油电混动车辆数量与新能源纯电动汽车数量配比是否符合要求）</w:t>
            </w:r>
            <w:r>
              <w:rPr>
                <w:rFonts w:hint="eastAsia" w:cs="华文仿宋" w:asciiTheme="minorEastAsia" w:hAnsiTheme="minorEastAsia" w:eastAsiaTheme="minorEastAsia"/>
                <w:color w:val="auto"/>
              </w:rPr>
              <w:t>；</w:t>
            </w:r>
            <w:r>
              <w:rPr>
                <w:rFonts w:hint="eastAsia" w:asciiTheme="minorEastAsia" w:hAnsiTheme="minorEastAsia" w:eastAsiaTheme="minorEastAsia"/>
                <w:color w:val="auto"/>
              </w:rPr>
              <w:t>③提供车辆的年检信息、车辆</w:t>
            </w:r>
            <w:r>
              <w:rPr>
                <w:rFonts w:hint="eastAsia" w:cs="华文仿宋" w:asciiTheme="minorEastAsia" w:hAnsiTheme="minorEastAsia" w:eastAsiaTheme="minorEastAsia"/>
                <w:color w:val="auto"/>
              </w:rPr>
              <w:t>无违章记录</w:t>
            </w:r>
            <w:r>
              <w:rPr>
                <w:rFonts w:hint="eastAsia" w:asciiTheme="minorEastAsia" w:hAnsiTheme="minorEastAsia" w:eastAsiaTheme="minorEastAsia"/>
                <w:color w:val="auto"/>
              </w:rPr>
              <w:t>证明；④其它需满足车辆使用要求（如</w:t>
            </w:r>
            <w:r>
              <w:rPr>
                <w:rFonts w:hint="eastAsia" w:cs="华文仿宋" w:asciiTheme="minorEastAsia" w:hAnsiTheme="minorEastAsia" w:eastAsiaTheme="minorEastAsia"/>
                <w:color w:val="auto"/>
              </w:rPr>
              <w:t>配备行车记录仪、行驶记录功能的卫星定位装置、须配备灭火器等安全设备）</w:t>
            </w:r>
            <w:r>
              <w:rPr>
                <w:rFonts w:hint="eastAsia" w:asciiTheme="minorEastAsia" w:hAnsiTheme="minorEastAsia" w:eastAsiaTheme="minorEastAsia"/>
                <w:color w:val="auto"/>
              </w:rPr>
              <w:t>。方案内容包含一项的</w:t>
            </w:r>
            <w:r>
              <w:rPr>
                <w:rFonts w:hint="eastAsia" w:asciiTheme="minorEastAsia" w:hAnsiTheme="minorEastAsia" w:eastAsiaTheme="minorEastAsia"/>
                <w:color w:val="auto"/>
                <w:szCs w:val="24"/>
              </w:rPr>
              <w:t>得2分，内容不合理或缺失不得分，总计8分。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469" w:type="pct"/>
          </w:tcPr>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主观</w:t>
            </w:r>
          </w:p>
        </w:tc>
        <w:tc>
          <w:tcPr>
            <w:tcW w:w="653" w:type="pct"/>
          </w:tcPr>
          <w:p>
            <w:pPr>
              <w:spacing w:line="440" w:lineRule="exact"/>
              <w:rPr>
                <w:rFonts w:asciiTheme="minorEastAsia" w:hAnsiTheme="minorEastAsia" w:eastAsiaTheme="minorEastAsia"/>
                <w:bCs/>
                <w:color w:val="auto"/>
                <w:sz w:val="24"/>
              </w:rPr>
            </w:pPr>
          </w:p>
          <w:p>
            <w:pPr>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8</w:t>
            </w:r>
          </w:p>
        </w:tc>
        <w:tc>
          <w:tcPr>
            <w:tcW w:w="3319" w:type="pct"/>
            <w:vAlign w:val="center"/>
          </w:tcPr>
          <w:p>
            <w:pPr>
              <w:pStyle w:val="799"/>
              <w:spacing w:after="120" w:line="440" w:lineRule="exact"/>
              <w:ind w:firstLine="0" w:firstLineChars="0"/>
              <w:rPr>
                <w:rFonts w:asciiTheme="minorEastAsia" w:hAnsiTheme="minorEastAsia" w:eastAsiaTheme="minorEastAsia"/>
                <w:color w:val="auto"/>
              </w:rPr>
            </w:pPr>
            <w:r>
              <w:rPr>
                <w:rFonts w:hint="eastAsia" w:asciiTheme="minorEastAsia" w:hAnsiTheme="minorEastAsia" w:eastAsiaTheme="minorEastAsia"/>
                <w:color w:val="auto"/>
              </w:rPr>
              <w:t>项目团队及车辆管理方案（6分）：至少包括①本项目的管理人员的组织架构</w:t>
            </w:r>
            <w:r>
              <w:rPr>
                <w:rFonts w:hint="eastAsia" w:asciiTheme="minorEastAsia" w:hAnsiTheme="minorEastAsia" w:eastAsiaTheme="minorEastAsia"/>
                <w:color w:val="auto"/>
              </w:rPr>
              <w:t>，</w:t>
            </w:r>
            <w:r>
              <w:rPr>
                <w:rFonts w:hint="eastAsia" w:asciiTheme="minorEastAsia" w:hAnsiTheme="minorEastAsia" w:eastAsiaTheme="minorEastAsia"/>
                <w:color w:val="auto"/>
              </w:rPr>
              <w:t>②人员配置方案（至少包括项目负责人、技术负责人、车辆专官员、事故处理联络员、商务专员等）</w:t>
            </w:r>
            <w:r>
              <w:rPr>
                <w:rFonts w:hint="eastAsia" w:asciiTheme="minorEastAsia" w:hAnsiTheme="minorEastAsia" w:eastAsiaTheme="minorEastAsia"/>
                <w:color w:val="auto"/>
              </w:rPr>
              <w:t>，</w:t>
            </w:r>
            <w:r>
              <w:rPr>
                <w:rFonts w:hint="eastAsia" w:asciiTheme="minorEastAsia" w:hAnsiTheme="minorEastAsia" w:eastAsiaTheme="minorEastAsia"/>
                <w:color w:val="auto"/>
              </w:rPr>
              <w:t>③岗位职责方案（明确项目负责人、技术负责人、车辆专官员、事故处理联络员、商务专员等责任）</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④车辆巡检制度的制定方案</w:t>
            </w:r>
            <w:r>
              <w:rPr>
                <w:rFonts w:hint="eastAsia" w:asciiTheme="minorEastAsia" w:hAnsiTheme="minorEastAsia" w:eastAsiaTheme="minorEastAsia"/>
                <w:color w:val="auto"/>
              </w:rPr>
              <w:t>，</w:t>
            </w:r>
            <w:r>
              <w:rPr>
                <w:rFonts w:hint="eastAsia" w:asciiTheme="minorEastAsia" w:hAnsiTheme="minorEastAsia" w:eastAsiaTheme="minorEastAsia"/>
                <w:color w:val="auto"/>
              </w:rPr>
              <w:t>⑤车辆信息建档管理方案</w:t>
            </w:r>
            <w:r>
              <w:rPr>
                <w:rFonts w:hint="eastAsia" w:asciiTheme="minorEastAsia" w:hAnsiTheme="minorEastAsia" w:eastAsiaTheme="minorEastAsia"/>
                <w:color w:val="auto"/>
              </w:rPr>
              <w:t>，</w:t>
            </w:r>
            <w:r>
              <w:rPr>
                <w:rFonts w:hint="eastAsia" w:asciiTheme="minorEastAsia" w:hAnsiTheme="minorEastAsia" w:eastAsiaTheme="minorEastAsia"/>
                <w:color w:val="auto"/>
              </w:rPr>
              <w:t>⑥月度管报制订方案。方案内容包含一项的得1分，内容不合理或缺失不得分，总计6分。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469" w:type="pct"/>
          </w:tcPr>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主观</w:t>
            </w:r>
          </w:p>
        </w:tc>
        <w:tc>
          <w:tcPr>
            <w:tcW w:w="653" w:type="pct"/>
          </w:tcPr>
          <w:p>
            <w:pPr>
              <w:spacing w:line="440" w:lineRule="exact"/>
              <w:rPr>
                <w:rFonts w:asciiTheme="minorEastAsia" w:hAnsiTheme="minorEastAsia" w:eastAsiaTheme="minorEastAsia"/>
                <w:bCs/>
                <w:color w:val="auto"/>
                <w:sz w:val="24"/>
              </w:rPr>
            </w:pPr>
          </w:p>
          <w:p>
            <w:pPr>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项目团队及车辆管理方案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9</w:t>
            </w:r>
          </w:p>
        </w:tc>
        <w:tc>
          <w:tcPr>
            <w:tcW w:w="3319" w:type="pct"/>
            <w:vAlign w:val="center"/>
          </w:tcPr>
          <w:p>
            <w:pPr>
              <w:pStyle w:val="964"/>
              <w:spacing w:after="120" w:line="4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kern w:val="2"/>
                <w:sz w:val="24"/>
                <w:szCs w:val="24"/>
              </w:rPr>
              <w:t>车辆维保方案（6分）：至少包括</w:t>
            </w:r>
            <w:r>
              <w:rPr>
                <w:rFonts w:hint="eastAsia" w:asciiTheme="minorEastAsia" w:hAnsiTheme="minorEastAsia" w:eastAsiaTheme="minorEastAsia"/>
                <w:color w:val="auto"/>
                <w:sz w:val="24"/>
                <w:szCs w:val="24"/>
              </w:rPr>
              <w:t>①</w:t>
            </w:r>
            <w:r>
              <w:rPr>
                <w:rFonts w:hint="eastAsia" w:asciiTheme="minorEastAsia" w:hAnsiTheme="minorEastAsia" w:eastAsiaTheme="minorEastAsia"/>
                <w:color w:val="auto"/>
                <w:kern w:val="2"/>
                <w:sz w:val="24"/>
                <w:szCs w:val="24"/>
              </w:rPr>
              <w:t>拟投入本项目车辆的维修保养制度、</w:t>
            </w:r>
            <w:r>
              <w:rPr>
                <w:rFonts w:hint="eastAsia" w:asciiTheme="minorEastAsia" w:hAnsiTheme="minorEastAsia" w:eastAsiaTheme="minorEastAsia"/>
                <w:color w:val="auto"/>
                <w:sz w:val="24"/>
                <w:szCs w:val="24"/>
              </w:rPr>
              <w:t>②</w:t>
            </w:r>
            <w:r>
              <w:rPr>
                <w:rFonts w:hint="eastAsia" w:asciiTheme="minorEastAsia" w:hAnsiTheme="minorEastAsia" w:eastAsiaTheme="minorEastAsia"/>
                <w:color w:val="auto"/>
                <w:kern w:val="2"/>
                <w:sz w:val="24"/>
                <w:szCs w:val="24"/>
              </w:rPr>
              <w:t>具体维修方案及</w:t>
            </w:r>
            <w:r>
              <w:rPr>
                <w:rFonts w:hint="eastAsia" w:asciiTheme="minorEastAsia" w:hAnsiTheme="minorEastAsia" w:eastAsiaTheme="minorEastAsia"/>
                <w:color w:val="auto"/>
                <w:sz w:val="24"/>
                <w:szCs w:val="24"/>
              </w:rPr>
              <w:t>③</w:t>
            </w:r>
            <w:r>
              <w:rPr>
                <w:rFonts w:hint="eastAsia" w:asciiTheme="minorEastAsia" w:hAnsiTheme="minorEastAsia" w:eastAsiaTheme="minorEastAsia"/>
                <w:color w:val="auto"/>
                <w:kern w:val="2"/>
                <w:sz w:val="24"/>
                <w:szCs w:val="24"/>
              </w:rPr>
              <w:t>相关维保地点的基本情况介绍等，</w:t>
            </w:r>
            <w:r>
              <w:rPr>
                <w:rFonts w:hint="eastAsia" w:asciiTheme="minorEastAsia" w:hAnsiTheme="minorEastAsia" w:eastAsiaTheme="minorEastAsia"/>
                <w:color w:val="auto"/>
                <w:sz w:val="24"/>
                <w:szCs w:val="24"/>
              </w:rPr>
              <w:t>方案内容包含一项的得2分，内容不合理或缺失不得分，总计6分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6</w:t>
            </w:r>
          </w:p>
        </w:tc>
        <w:tc>
          <w:tcPr>
            <w:tcW w:w="469" w:type="pct"/>
          </w:tcPr>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主观</w:t>
            </w:r>
          </w:p>
        </w:tc>
        <w:tc>
          <w:tcPr>
            <w:tcW w:w="653" w:type="pct"/>
          </w:tcPr>
          <w:p>
            <w:pPr>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车辆维保方案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0</w:t>
            </w:r>
          </w:p>
        </w:tc>
        <w:tc>
          <w:tcPr>
            <w:tcW w:w="3319" w:type="pct"/>
            <w:vAlign w:val="center"/>
          </w:tcPr>
          <w:p>
            <w:pPr>
              <w:pStyle w:val="964"/>
              <w:spacing w:after="120" w:line="440" w:lineRule="exac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应急预案</w:t>
            </w:r>
            <w:r>
              <w:rPr>
                <w:rFonts w:hint="eastAsia" w:asciiTheme="minorEastAsia" w:hAnsiTheme="minorEastAsia" w:eastAsiaTheme="minorEastAsia"/>
                <w:color w:val="auto"/>
                <w:sz w:val="24"/>
                <w:szCs w:val="24"/>
              </w:rPr>
              <w:t>（2分）</w:t>
            </w:r>
            <w:r>
              <w:rPr>
                <w:rFonts w:asciiTheme="minorEastAsia" w:hAnsiTheme="minorEastAsia" w:eastAsiaTheme="minorEastAsia"/>
                <w:color w:val="auto"/>
                <w:sz w:val="24"/>
                <w:szCs w:val="24"/>
              </w:rPr>
              <w:t>：至少包括</w:t>
            </w:r>
            <w:r>
              <w:rPr>
                <w:rFonts w:hint="eastAsia" w:asciiTheme="minorEastAsia" w:hAnsiTheme="minorEastAsia" w:eastAsiaTheme="minorEastAsia"/>
                <w:color w:val="auto"/>
                <w:sz w:val="24"/>
                <w:szCs w:val="24"/>
              </w:rPr>
              <w:t>①</w:t>
            </w:r>
            <w:r>
              <w:rPr>
                <w:rFonts w:asciiTheme="minorEastAsia" w:hAnsiTheme="minorEastAsia" w:eastAsiaTheme="minorEastAsia"/>
                <w:color w:val="auto"/>
                <w:sz w:val="24"/>
                <w:szCs w:val="24"/>
              </w:rPr>
              <w:t>服务期间道路救援、</w:t>
            </w:r>
            <w:r>
              <w:rPr>
                <w:rFonts w:hint="eastAsia" w:asciiTheme="minorEastAsia" w:hAnsiTheme="minorEastAsia" w:eastAsiaTheme="minorEastAsia"/>
                <w:color w:val="auto"/>
                <w:sz w:val="24"/>
                <w:szCs w:val="24"/>
              </w:rPr>
              <w:t>②</w:t>
            </w:r>
            <w:r>
              <w:rPr>
                <w:rFonts w:asciiTheme="minorEastAsia" w:hAnsiTheme="minorEastAsia" w:eastAsiaTheme="minorEastAsia"/>
                <w:color w:val="auto"/>
                <w:sz w:val="24"/>
                <w:szCs w:val="24"/>
              </w:rPr>
              <w:t>替代车、</w:t>
            </w:r>
            <w:r>
              <w:rPr>
                <w:rFonts w:hint="eastAsia" w:asciiTheme="minorEastAsia" w:hAnsiTheme="minorEastAsia" w:eastAsiaTheme="minorEastAsia"/>
                <w:color w:val="auto"/>
                <w:sz w:val="24"/>
                <w:szCs w:val="24"/>
              </w:rPr>
              <w:t>③</w:t>
            </w:r>
            <w:r>
              <w:rPr>
                <w:rFonts w:asciiTheme="minorEastAsia" w:hAnsiTheme="minorEastAsia" w:eastAsiaTheme="minorEastAsia"/>
                <w:color w:val="auto"/>
                <w:sz w:val="24"/>
                <w:szCs w:val="24"/>
              </w:rPr>
              <w:t>事故处理、</w:t>
            </w:r>
            <w:r>
              <w:rPr>
                <w:rFonts w:hint="eastAsia" w:asciiTheme="minorEastAsia" w:hAnsiTheme="minorEastAsia" w:eastAsiaTheme="minorEastAsia"/>
                <w:color w:val="auto"/>
                <w:sz w:val="24"/>
                <w:szCs w:val="24"/>
              </w:rPr>
              <w:t>④</w:t>
            </w:r>
            <w:r>
              <w:rPr>
                <w:rFonts w:asciiTheme="minorEastAsia" w:hAnsiTheme="minorEastAsia" w:eastAsiaTheme="minorEastAsia"/>
                <w:color w:val="auto"/>
                <w:sz w:val="24"/>
                <w:szCs w:val="24"/>
              </w:rPr>
              <w:t>临时用车等方案</w:t>
            </w:r>
            <w:r>
              <w:rPr>
                <w:rFonts w:hint="eastAsia" w:asciiTheme="minorEastAsia" w:hAnsiTheme="minorEastAsia" w:eastAsiaTheme="minorEastAsia"/>
                <w:color w:val="auto"/>
                <w:sz w:val="24"/>
                <w:szCs w:val="24"/>
              </w:rPr>
              <w:t>，方案内容包含一项的得0.5分，内容不合理或缺失不得分，总计2分。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469" w:type="pct"/>
          </w:tcPr>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主观</w:t>
            </w:r>
          </w:p>
        </w:tc>
        <w:tc>
          <w:tcPr>
            <w:tcW w:w="653" w:type="pct"/>
          </w:tcPr>
          <w:p>
            <w:pPr>
              <w:spacing w:line="440" w:lineRule="exact"/>
              <w:rPr>
                <w:rFonts w:asciiTheme="minorEastAsia" w:hAnsiTheme="minorEastAsia" w:eastAsiaTheme="minorEastAsia"/>
                <w:bCs/>
                <w:color w:val="auto"/>
                <w:sz w:val="24"/>
              </w:rPr>
            </w:pPr>
          </w:p>
          <w:p>
            <w:pPr>
              <w:spacing w:line="440" w:lineRule="exact"/>
              <w:rPr>
                <w:rFonts w:asciiTheme="minorEastAsia" w:hAnsiTheme="minorEastAsia" w:eastAsiaTheme="minorEastAsia"/>
                <w:bCs/>
                <w:color w:val="auto"/>
              </w:rPr>
            </w:pPr>
            <w:r>
              <w:rPr>
                <w:rFonts w:asciiTheme="minorEastAsia" w:hAnsiTheme="minorEastAsia" w:eastAsiaTheme="minorEastAsia"/>
                <w:bCs/>
                <w:color w:val="auto"/>
                <w:sz w:val="24"/>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1</w:t>
            </w:r>
          </w:p>
        </w:tc>
        <w:tc>
          <w:tcPr>
            <w:tcW w:w="3319" w:type="pct"/>
            <w:vAlign w:val="center"/>
          </w:tcPr>
          <w:p>
            <w:pPr>
              <w:pStyle w:val="964"/>
              <w:spacing w:after="120" w:line="4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内部运营管理制度及相关配套服务（4分）：内部运营管理制度至少包括：①安全经营管理制度、②事故预防管理制度；相关配套服务包括：③安全培训、④油卡管理流程等内容。方案内容包含一项的得1分，内容不合理或缺失不得分，总计4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4</w:t>
            </w:r>
          </w:p>
        </w:tc>
        <w:tc>
          <w:tcPr>
            <w:tcW w:w="469" w:type="pct"/>
          </w:tcPr>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主观</w:t>
            </w:r>
          </w:p>
        </w:tc>
        <w:tc>
          <w:tcPr>
            <w:tcW w:w="653" w:type="pct"/>
          </w:tcPr>
          <w:p>
            <w:pPr>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内部运营管理制度及相关配套服务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2</w:t>
            </w:r>
          </w:p>
        </w:tc>
        <w:tc>
          <w:tcPr>
            <w:tcW w:w="3319" w:type="pct"/>
            <w:vAlign w:val="center"/>
          </w:tcPr>
          <w:p>
            <w:pPr>
              <w:pStyle w:val="964"/>
              <w:spacing w:after="120" w:line="4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投标人承诺若采购人所租赁的车辆年使用总公里数未超180万公里，若中投标人第二年度再中标，则剩余未使用的公里数可以累加到第二年度中标的总公里数中；满足得2分，不满足不得分，总计2分。（2分）</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2</w:t>
            </w:r>
          </w:p>
        </w:tc>
        <w:tc>
          <w:tcPr>
            <w:tcW w:w="469" w:type="pct"/>
          </w:tcPr>
          <w:p>
            <w:pPr>
              <w:spacing w:line="440" w:lineRule="exact"/>
              <w:jc w:val="center"/>
              <w:rPr>
                <w:rFonts w:asciiTheme="minorEastAsia" w:hAnsiTheme="minorEastAsia" w:eastAsiaTheme="minorEastAsia"/>
                <w:bCs/>
                <w:color w:val="auto"/>
                <w:sz w:val="24"/>
              </w:rPr>
            </w:pPr>
          </w:p>
          <w:p>
            <w:pPr>
              <w:spacing w:line="440" w:lineRule="exact"/>
              <w:jc w:val="center"/>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客观</w:t>
            </w:r>
          </w:p>
        </w:tc>
        <w:tc>
          <w:tcPr>
            <w:tcW w:w="653" w:type="pct"/>
          </w:tcPr>
          <w:p>
            <w:pPr>
              <w:spacing w:line="440" w:lineRule="exact"/>
              <w:rPr>
                <w:rFonts w:asciiTheme="minorEastAsia" w:hAnsiTheme="minorEastAsia" w:eastAsiaTheme="minorEastAsia"/>
                <w:bCs/>
                <w:color w:val="auto"/>
              </w:rPr>
            </w:pPr>
            <w:r>
              <w:rPr>
                <w:rFonts w:hint="eastAsia" w:asciiTheme="minorEastAsia" w:hAnsiTheme="minorEastAsia" w:eastAsiaTheme="minorEastAsia"/>
                <w:bCs/>
                <w:color w:val="auto"/>
                <w:sz w:val="24"/>
              </w:rPr>
              <w:t>总公里数承诺情况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252" w:type="pct"/>
            <w:vAlign w:val="center"/>
          </w:tcPr>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3</w:t>
            </w:r>
          </w:p>
        </w:tc>
        <w:tc>
          <w:tcPr>
            <w:tcW w:w="3319" w:type="pct"/>
            <w:vAlign w:val="center"/>
          </w:tcPr>
          <w:p>
            <w:pPr>
              <w:snapToGrid w:val="0"/>
              <w:spacing w:line="440" w:lineRule="exact"/>
              <w:rPr>
                <w:rFonts w:asciiTheme="minorEastAsia" w:hAnsiTheme="minorEastAsia" w:eastAsiaTheme="minorEastAsia"/>
                <w:b/>
                <w:color w:val="auto"/>
                <w:sz w:val="24"/>
              </w:rPr>
            </w:pPr>
            <w:r>
              <w:rPr>
                <w:rFonts w:hint="eastAsia" w:asciiTheme="minorEastAsia" w:hAnsiTheme="minorEastAsia" w:eastAsiaTheme="minorEastAsia"/>
                <w:color w:val="auto"/>
                <w:kern w:val="0"/>
                <w:sz w:val="24"/>
              </w:rPr>
              <w:t>投标人类似项目建设的成功经验（1分）： 投标截止时间前三年内，投标人承担类似项目实施的成功经验情况，每个成功案例得0.5分，本项最高得1分。结合已完成的项目案例和用户反应情况，依照投标人同时提供的合同和用户验收报告（以验收报告时间为准，原件备查，采购机构在项目评审直至合同签订、履约期间，有权要求投标人出具投标文件中的合同和用户验收报告，予以确认其的真实性和有效性，如出现与事实不符等情况，将根据有关规定以“提供虚假材料谋取中标”予以处理）；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304" w:type="pct"/>
          </w:tcPr>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p>
          <w:p>
            <w:pPr>
              <w:spacing w:line="44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469" w:type="pct"/>
          </w:tcPr>
          <w:p>
            <w:pPr>
              <w:spacing w:line="440" w:lineRule="exact"/>
              <w:jc w:val="center"/>
              <w:rPr>
                <w:rFonts w:cs="仿宋_GB2312" w:asciiTheme="minorEastAsia" w:hAnsiTheme="minorEastAsia" w:eastAsiaTheme="minorEastAsia"/>
                <w:bCs/>
                <w:color w:val="auto"/>
                <w:sz w:val="24"/>
              </w:rPr>
            </w:pPr>
          </w:p>
          <w:p>
            <w:pPr>
              <w:spacing w:line="440" w:lineRule="exact"/>
              <w:jc w:val="center"/>
              <w:rPr>
                <w:rFonts w:cs="仿宋_GB2312" w:asciiTheme="minorEastAsia" w:hAnsiTheme="minorEastAsia" w:eastAsiaTheme="minorEastAsia"/>
                <w:bCs/>
                <w:color w:val="auto"/>
                <w:sz w:val="24"/>
              </w:rPr>
            </w:pPr>
          </w:p>
          <w:p>
            <w:pPr>
              <w:spacing w:line="440" w:lineRule="exact"/>
              <w:jc w:val="center"/>
              <w:rPr>
                <w:rFonts w:cs="仿宋_GB2312" w:asciiTheme="minorEastAsia" w:hAnsiTheme="minorEastAsia" w:eastAsiaTheme="minorEastAsia"/>
                <w:bCs/>
                <w:color w:val="auto"/>
                <w:sz w:val="24"/>
              </w:rPr>
            </w:pPr>
          </w:p>
          <w:p>
            <w:pPr>
              <w:pStyle w:val="2"/>
              <w:jc w:val="center"/>
              <w:rPr>
                <w:color w:val="auto"/>
                <w:lang w:val="en-US"/>
              </w:rPr>
            </w:pPr>
          </w:p>
          <w:p>
            <w:pPr>
              <w:pStyle w:val="2"/>
              <w:jc w:val="center"/>
              <w:rPr>
                <w:rFonts w:cs="仿宋_GB2312" w:asciiTheme="minorEastAsia" w:hAnsiTheme="minorEastAsia" w:eastAsiaTheme="minorEastAsia"/>
                <w:b w:val="0"/>
                <w:color w:val="auto"/>
                <w:sz w:val="24"/>
                <w:szCs w:val="24"/>
                <w:lang w:val="en-US"/>
              </w:rPr>
            </w:pPr>
          </w:p>
          <w:p>
            <w:pPr>
              <w:pStyle w:val="2"/>
              <w:jc w:val="center"/>
              <w:rPr>
                <w:color w:val="auto"/>
                <w:lang w:val="en-US"/>
              </w:rPr>
            </w:pPr>
            <w:r>
              <w:rPr>
                <w:rFonts w:hint="eastAsia" w:cs="仿宋_GB2312" w:asciiTheme="minorEastAsia" w:hAnsiTheme="minorEastAsia" w:eastAsiaTheme="minorEastAsia"/>
                <w:b w:val="0"/>
                <w:color w:val="auto"/>
                <w:sz w:val="24"/>
                <w:szCs w:val="24"/>
                <w:lang w:val="en-US"/>
              </w:rPr>
              <w:t>客观</w:t>
            </w:r>
          </w:p>
        </w:tc>
        <w:tc>
          <w:tcPr>
            <w:tcW w:w="653" w:type="pct"/>
          </w:tcPr>
          <w:p>
            <w:pPr>
              <w:spacing w:line="440" w:lineRule="exact"/>
              <w:rPr>
                <w:rFonts w:cs="仿宋_GB2312" w:asciiTheme="minorEastAsia" w:hAnsiTheme="minorEastAsia" w:eastAsiaTheme="minorEastAsia"/>
                <w:bCs/>
                <w:color w:val="auto"/>
                <w:sz w:val="24"/>
              </w:rPr>
            </w:pPr>
          </w:p>
          <w:p>
            <w:pPr>
              <w:spacing w:line="440" w:lineRule="exact"/>
              <w:rPr>
                <w:rFonts w:cs="仿宋_GB2312" w:asciiTheme="minorEastAsia" w:hAnsiTheme="minorEastAsia" w:eastAsiaTheme="minorEastAsia"/>
                <w:bCs/>
                <w:color w:val="auto"/>
                <w:sz w:val="24"/>
              </w:rPr>
            </w:pPr>
          </w:p>
          <w:p>
            <w:pPr>
              <w:spacing w:line="440" w:lineRule="exact"/>
              <w:rPr>
                <w:rFonts w:cs="仿宋_GB2312" w:asciiTheme="minorEastAsia" w:hAnsiTheme="minorEastAsia" w:eastAsiaTheme="minorEastAsia"/>
                <w:bCs/>
                <w:color w:val="auto"/>
                <w:sz w:val="24"/>
              </w:rPr>
            </w:pPr>
          </w:p>
          <w:p>
            <w:pPr>
              <w:spacing w:line="440" w:lineRule="exact"/>
              <w:rPr>
                <w:rFonts w:asciiTheme="minorEastAsia" w:hAnsiTheme="minorEastAsia" w:eastAsiaTheme="minorEastAsia"/>
                <w:bCs/>
                <w:color w:val="auto"/>
              </w:rPr>
            </w:pPr>
            <w:r>
              <w:rPr>
                <w:rFonts w:hint="eastAsia" w:cs="仿宋_GB2312" w:asciiTheme="minorEastAsia" w:hAnsiTheme="minorEastAsia" w:eastAsiaTheme="minorEastAsia"/>
                <w:bCs/>
                <w:color w:val="auto"/>
                <w:sz w:val="24"/>
              </w:rPr>
              <w:t>投标人类似项目建设的成功经验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252" w:type="pct"/>
            <w:vAlign w:val="center"/>
          </w:tcPr>
          <w:p>
            <w:pPr>
              <w:spacing w:line="440" w:lineRule="exact"/>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14</w:t>
            </w:r>
          </w:p>
        </w:tc>
        <w:tc>
          <w:tcPr>
            <w:tcW w:w="3319" w:type="pct"/>
          </w:tcPr>
          <w:p>
            <w:pPr>
              <w:spacing w:line="360" w:lineRule="auto"/>
              <w:outlineLvl w:val="0"/>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有效投标报价的最低价作为评标基准价，其最低报价为满分；按［投标报价得分</w:t>
            </w:r>
            <w:r>
              <w:rPr>
                <w:rFonts w:cs="仿宋_GB2312" w:asciiTheme="minorEastAsia" w:hAnsiTheme="minorEastAsia" w:eastAsiaTheme="minorEastAsia"/>
                <w:color w:val="auto"/>
                <w:sz w:val="24"/>
              </w:rPr>
              <w:t>=（评标基准价/投标报价）*</w:t>
            </w:r>
            <w:r>
              <w:rPr>
                <w:rFonts w:hint="eastAsia" w:cs="仿宋_GB2312" w:asciiTheme="minorEastAsia" w:hAnsiTheme="minorEastAsia" w:eastAsiaTheme="minorEastAsia"/>
                <w:color w:val="auto"/>
                <w:sz w:val="24"/>
              </w:rPr>
              <w:t>本项最高分值</w:t>
            </w:r>
            <w:r>
              <w:rPr>
                <w:rFonts w:cs="仿宋_GB2312" w:asciiTheme="minorEastAsia" w:hAnsiTheme="minorEastAsia" w:eastAsiaTheme="minorEastAsia"/>
                <w:color w:val="auto"/>
                <w:sz w:val="24"/>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评标过程中，不得去掉报价中的最高报价和最低报价。</w:t>
            </w:r>
          </w:p>
          <w:p>
            <w:pPr>
              <w:widowControl/>
              <w:shd w:val="clear" w:color="auto" w:fill="FFFFFF"/>
              <w:adjustRightInd/>
              <w:spacing w:line="440" w:lineRule="exact"/>
              <w:jc w:val="left"/>
              <w:rPr>
                <w:rFonts w:asciiTheme="minorEastAsia" w:hAnsiTheme="minorEastAsia" w:eastAsiaTheme="minorEastAsia"/>
                <w:color w:val="auto"/>
                <w:sz w:val="24"/>
              </w:rPr>
            </w:pPr>
            <w:r>
              <w:rPr>
                <w:rFonts w:hint="eastAsia" w:cs="仿宋_GB2312" w:asciiTheme="minorEastAsia" w:hAnsiTheme="minorEastAsia" w:eastAsiaTheme="minorEastAsia"/>
                <w:color w:val="auto"/>
                <w:sz w:val="24"/>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b/>
                <w:bCs/>
                <w:color w:val="auto"/>
                <w:sz w:val="24"/>
                <w:u w:val="single"/>
              </w:rPr>
              <w:t>10%</w:t>
            </w:r>
            <w:r>
              <w:rPr>
                <w:rFonts w:hint="eastAsia" w:cs="仿宋_GB2312" w:asciiTheme="minorEastAsia" w:hAnsiTheme="minorEastAsia" w:eastAsiaTheme="minorEastAsia"/>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b/>
                <w:bCs/>
                <w:color w:val="auto"/>
                <w:sz w:val="24"/>
                <w:u w:val="single"/>
              </w:rPr>
              <w:t>4%</w:t>
            </w:r>
            <w:r>
              <w:rPr>
                <w:rFonts w:hint="eastAsia" w:cs="仿宋_GB2312" w:asciiTheme="minorEastAsia" w:hAnsiTheme="minorEastAsia" w:eastAsiaTheme="minorEastAsia"/>
                <w:color w:val="auto"/>
                <w:sz w:val="24"/>
              </w:rPr>
              <w:t>的扣除，用扣除后的价格参加评审</w:t>
            </w:r>
            <w:r>
              <w:rPr>
                <w:rFonts w:cs="仿宋_GB2312" w:asciiTheme="minorEastAsia" w:hAnsiTheme="minorEastAsia" w:eastAsiaTheme="minorEastAsia"/>
                <w:color w:val="auto"/>
                <w:sz w:val="24"/>
              </w:rPr>
              <w:t>。</w:t>
            </w:r>
          </w:p>
        </w:tc>
        <w:tc>
          <w:tcPr>
            <w:tcW w:w="304" w:type="pct"/>
            <w:vAlign w:val="center"/>
          </w:tcPr>
          <w:p>
            <w:pPr>
              <w:spacing w:line="440" w:lineRule="exact"/>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10</w:t>
            </w:r>
          </w:p>
        </w:tc>
        <w:tc>
          <w:tcPr>
            <w:tcW w:w="469" w:type="pct"/>
            <w:vAlign w:val="center"/>
          </w:tcPr>
          <w:p>
            <w:pPr>
              <w:spacing w:line="440" w:lineRule="exact"/>
              <w:jc w:val="center"/>
              <w:outlineLvl w:val="0"/>
              <w:rPr>
                <w:rFonts w:cs="仿宋_GB2312" w:asciiTheme="minorEastAsia" w:hAnsiTheme="minorEastAsia" w:eastAsiaTheme="minorEastAsia"/>
                <w:color w:val="auto"/>
                <w:sz w:val="24"/>
              </w:rPr>
            </w:pPr>
          </w:p>
        </w:tc>
        <w:tc>
          <w:tcPr>
            <w:tcW w:w="653" w:type="pct"/>
            <w:vAlign w:val="center"/>
          </w:tcPr>
          <w:p>
            <w:pPr>
              <w:spacing w:line="440" w:lineRule="exact"/>
              <w:jc w:val="center"/>
              <w:outlineLvl w:val="0"/>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0"/>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0"/>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4.2.14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4.2.15法律、法规、规章（适用本市的）及省级以上规范性文件（适用本市的）规定的其他无效情形。</w:t>
      </w:r>
    </w:p>
    <w:p>
      <w:pPr>
        <w:pStyle w:val="24"/>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4"/>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4"/>
        <w:snapToGrid w:val="0"/>
        <w:spacing w:line="360" w:lineRule="auto"/>
        <w:rPr>
          <w:rFonts w:cs="宋体"/>
          <w:color w:val="auto"/>
        </w:rPr>
      </w:pPr>
      <w:r>
        <w:rPr>
          <w:rFonts w:hint="eastAsia" w:cs="宋体"/>
          <w:color w:val="auto"/>
        </w:rPr>
        <w:t>5.2出现影响采购公正的违法、违规行为的；</w:t>
      </w:r>
    </w:p>
    <w:p>
      <w:pPr>
        <w:pStyle w:val="24"/>
        <w:snapToGrid w:val="0"/>
        <w:spacing w:line="360" w:lineRule="auto"/>
        <w:rPr>
          <w:rFonts w:cs="宋体"/>
          <w:color w:val="auto"/>
        </w:rPr>
      </w:pPr>
      <w:r>
        <w:rPr>
          <w:rFonts w:hint="eastAsia" w:cs="宋体"/>
          <w:color w:val="auto"/>
        </w:rPr>
        <w:t>5.3投标人的报价均超过了采购预算，采购人不能支付的；</w:t>
      </w:r>
    </w:p>
    <w:p>
      <w:pPr>
        <w:pStyle w:val="24"/>
        <w:snapToGrid w:val="0"/>
        <w:spacing w:line="360" w:lineRule="auto"/>
        <w:rPr>
          <w:rFonts w:cs="宋体"/>
          <w:color w:val="auto"/>
        </w:rPr>
      </w:pPr>
      <w:r>
        <w:rPr>
          <w:rFonts w:hint="eastAsia" w:cs="宋体"/>
          <w:color w:val="auto"/>
        </w:rPr>
        <w:t>5.4因重大变故，采购任务取消的。</w:t>
      </w:r>
    </w:p>
    <w:p>
      <w:pPr>
        <w:pStyle w:val="24"/>
        <w:snapToGrid w:val="0"/>
        <w:spacing w:line="360" w:lineRule="auto"/>
        <w:rPr>
          <w:rFonts w:cs="宋体"/>
          <w:color w:val="auto"/>
        </w:rPr>
      </w:pPr>
      <w:r>
        <w:rPr>
          <w:rFonts w:hint="eastAsia" w:cs="宋体"/>
          <w:color w:val="auto"/>
        </w:rPr>
        <w:t>废标后，采购机构应当将废标理由通知所有投标人。</w:t>
      </w:r>
    </w:p>
    <w:p>
      <w:pPr>
        <w:pStyle w:val="24"/>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4"/>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4"/>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4"/>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color w:val="auto"/>
          <w:sz w:val="36"/>
          <w:szCs w:val="36"/>
        </w:rPr>
      </w:pPr>
      <w:bookmarkStart w:id="393" w:name="第五部分"/>
      <w:bookmarkStart w:id="394" w:name="_Toc86217003"/>
      <w:r>
        <w:rPr>
          <w:rFonts w:ascii="宋体" w:hAnsi="宋体" w:cs="宋体"/>
          <w:b/>
          <w:color w:val="auto"/>
          <w:sz w:val="36"/>
          <w:szCs w:val="36"/>
        </w:rPr>
        <w:br w:type="page"/>
      </w: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1"/>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2"/>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8"/>
        <w:spacing w:before="120" w:line="22" w:lineRule="atLeast"/>
        <w:rPr>
          <w:rFonts w:ascii="宋体" w:hAnsi="宋体" w:eastAsia="宋体" w:cs="宋体"/>
          <w:color w:val="auto"/>
          <w:szCs w:val="24"/>
        </w:rPr>
      </w:pPr>
    </w:p>
    <w:p>
      <w:pPr>
        <w:pStyle w:val="598"/>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rPr>
          <w:rFonts w:ascii="宋体" w:hAnsi="宋体" w:cs="宋体"/>
          <w:b/>
          <w:color w:val="auto"/>
          <w:sz w:val="24"/>
        </w:rPr>
      </w:pPr>
    </w:p>
    <w:p>
      <w:pPr>
        <w:spacing w:line="560" w:lineRule="exact"/>
        <w:ind w:firstLine="480" w:firstLineChars="200"/>
        <w:rPr>
          <w:rFonts w:ascii="宋体" w:hAnsi="宋体"/>
          <w:color w:val="auto"/>
          <w:sz w:val="24"/>
        </w:rPr>
      </w:pPr>
      <w:r>
        <w:rPr>
          <w:rFonts w:ascii="宋体" w:hAnsi="宋体"/>
          <w:color w:val="auto"/>
          <w:sz w:val="24"/>
          <w:u w:val="single"/>
          <w:lang w:val="zh-CN"/>
        </w:rPr>
        <w:t xml:space="preserve">        </w:t>
      </w:r>
      <w:r>
        <w:rPr>
          <w:rFonts w:hint="eastAsia" w:ascii="宋体" w:hAnsi="宋体"/>
          <w:color w:val="auto"/>
          <w:sz w:val="24"/>
          <w:lang w:val="zh-CN"/>
        </w:rPr>
        <w:t>年</w:t>
      </w:r>
      <w:r>
        <w:rPr>
          <w:rFonts w:ascii="宋体" w:hAnsi="宋体"/>
          <w:color w:val="auto"/>
          <w:sz w:val="24"/>
          <w:u w:val="single"/>
          <w:lang w:val="zh-CN"/>
        </w:rPr>
        <w:t xml:space="preserve">    </w:t>
      </w:r>
      <w:r>
        <w:rPr>
          <w:rFonts w:hint="eastAsia" w:ascii="宋体" w:hAnsi="宋体"/>
          <w:color w:val="auto"/>
          <w:sz w:val="24"/>
          <w:lang w:val="zh-CN"/>
        </w:rPr>
        <w:t>月</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rPr>
        <w:t>杭州市特种设备检验科学研究院（杭州市特种设备应急处置中心）</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rPr>
        <w:t>杭州市特种设备检验科学研究院（杭州市特种设备应急处置中心）2024年度检验业务车辆租赁项目</w:t>
      </w:r>
      <w:r>
        <w:rPr>
          <w:rFonts w:hint="eastAsia" w:ascii="宋体" w:hAnsi="宋体" w:cs="宋体"/>
          <w:color w:val="auto"/>
          <w:sz w:val="24"/>
        </w:rPr>
        <w:t>HZZFCG-2024-054</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color w:val="auto"/>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rPr>
        <w:t>杭州市特种设备检验科学研究院（杭州市特种设备应急处置中心）</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rPr>
        <w:t>标或者成交</w:t>
      </w:r>
      <w:r>
        <w:rPr>
          <w:rFonts w:ascii="宋体" w:hAnsi="宋体"/>
          <w:color w:val="auto"/>
          <w:sz w:val="24"/>
          <w:u w:val="single"/>
        </w:rPr>
        <w:t xml:space="preserve">供应商名称）   </w:t>
      </w:r>
      <w:r>
        <w:rPr>
          <w:rFonts w:ascii="宋体" w:hAnsi="宋体"/>
          <w:color w:val="auto"/>
          <w:sz w:val="24"/>
          <w:lang w:val="zh-CN"/>
        </w:rPr>
        <w:t>(以下简称：乙方)协商一致，约定以下合同</w:t>
      </w:r>
      <w:r>
        <w:rPr>
          <w:rFonts w:hint="eastAsia" w:ascii="宋体" w:hAnsi="宋体"/>
          <w:color w:val="auto"/>
          <w:sz w:val="24"/>
        </w:rPr>
        <w:t>条款，以兹共同遵守、全面履行。</w:t>
      </w:r>
    </w:p>
    <w:p>
      <w:pPr>
        <w:spacing w:line="560" w:lineRule="exact"/>
        <w:ind w:firstLine="482" w:firstLineChars="200"/>
        <w:outlineLvl w:val="0"/>
        <w:rPr>
          <w:rFonts w:ascii="宋体" w:hAnsi="宋体"/>
          <w:color w:val="auto"/>
          <w:sz w:val="24"/>
        </w:rPr>
      </w:pPr>
      <w:r>
        <w:rPr>
          <w:rFonts w:ascii="宋体" w:hAnsi="宋体"/>
          <w:b/>
          <w:color w:val="auto"/>
          <w:sz w:val="24"/>
        </w:rPr>
        <w:t xml:space="preserve">1.1 </w:t>
      </w:r>
      <w:r>
        <w:rPr>
          <w:rFonts w:hint="eastAsia" w:ascii="宋体" w:hAnsi="宋体"/>
          <w:b/>
          <w:color w:val="auto"/>
          <w:sz w:val="24"/>
        </w:rPr>
        <w:t>合同组成部分</w:t>
      </w:r>
    </w:p>
    <w:p>
      <w:pPr>
        <w:spacing w:line="560" w:lineRule="exact"/>
        <w:ind w:firstLine="480" w:firstLineChars="200"/>
        <w:rPr>
          <w:rFonts w:ascii="宋体" w:hAnsi="宋体"/>
          <w:color w:val="auto"/>
          <w:sz w:val="24"/>
        </w:rPr>
      </w:pPr>
      <w:r>
        <w:rPr>
          <w:rFonts w:hint="eastAsia" w:ascii="宋体" w:hAnsi="宋体"/>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rPr>
      </w:pPr>
      <w:r>
        <w:rPr>
          <w:rFonts w:ascii="宋体" w:hAnsi="宋体"/>
          <w:color w:val="auto"/>
          <w:sz w:val="24"/>
        </w:rPr>
        <w:t xml:space="preserve">1.1.1 </w:t>
      </w:r>
      <w:r>
        <w:rPr>
          <w:rFonts w:hint="eastAsia" w:ascii="宋体" w:hAnsi="宋体"/>
          <w:color w:val="auto"/>
          <w:sz w:val="24"/>
        </w:rPr>
        <w:t>本合同及其补充合同、变更协议；</w:t>
      </w:r>
    </w:p>
    <w:p>
      <w:pPr>
        <w:spacing w:line="560" w:lineRule="exact"/>
        <w:ind w:firstLine="480" w:firstLineChars="200"/>
        <w:rPr>
          <w:rFonts w:ascii="宋体" w:hAnsi="宋体"/>
          <w:color w:val="auto"/>
          <w:sz w:val="24"/>
        </w:rPr>
      </w:pPr>
      <w:r>
        <w:rPr>
          <w:rFonts w:ascii="宋体" w:hAnsi="宋体"/>
          <w:color w:val="auto"/>
          <w:sz w:val="24"/>
        </w:rPr>
        <w:t xml:space="preserve">1.1.2 </w:t>
      </w:r>
      <w:r>
        <w:rPr>
          <w:rFonts w:hint="eastAsia" w:ascii="宋体" w:hAnsi="宋体"/>
          <w:color w:val="auto"/>
          <w:sz w:val="24"/>
        </w:rPr>
        <w:t>中标或者成交通知书；</w:t>
      </w:r>
    </w:p>
    <w:p>
      <w:pPr>
        <w:spacing w:line="560" w:lineRule="exact"/>
        <w:ind w:firstLine="480" w:firstLineChars="200"/>
        <w:rPr>
          <w:rFonts w:ascii="宋体" w:hAnsi="宋体"/>
          <w:color w:val="auto"/>
          <w:sz w:val="24"/>
        </w:rPr>
      </w:pPr>
      <w:r>
        <w:rPr>
          <w:rFonts w:ascii="宋体" w:hAnsi="宋体"/>
          <w:color w:val="auto"/>
          <w:sz w:val="24"/>
        </w:rPr>
        <w:t xml:space="preserve">1.1.3 </w:t>
      </w:r>
      <w:r>
        <w:rPr>
          <w:rFonts w:hint="eastAsia" w:ascii="宋体" w:hAnsi="宋体"/>
          <w:color w:val="auto"/>
          <w:sz w:val="24"/>
        </w:rPr>
        <w:t>投标或者响应文件（含澄清或者说明文件）；</w:t>
      </w:r>
    </w:p>
    <w:p>
      <w:pPr>
        <w:spacing w:line="560" w:lineRule="exact"/>
        <w:ind w:firstLine="480" w:firstLineChars="200"/>
        <w:rPr>
          <w:rFonts w:ascii="宋体" w:hAnsi="宋体"/>
          <w:color w:val="auto"/>
          <w:sz w:val="24"/>
        </w:rPr>
      </w:pPr>
      <w:r>
        <w:rPr>
          <w:rFonts w:ascii="宋体" w:hAnsi="宋体"/>
          <w:color w:val="auto"/>
          <w:sz w:val="24"/>
        </w:rPr>
        <w:t xml:space="preserve">1.1.4 </w:t>
      </w:r>
      <w:r>
        <w:rPr>
          <w:rFonts w:hint="eastAsia" w:ascii="宋体" w:hAnsi="宋体"/>
          <w:color w:val="auto"/>
          <w:sz w:val="24"/>
        </w:rPr>
        <w:t>采购文件（含澄清或者修改文件）；</w:t>
      </w:r>
    </w:p>
    <w:p>
      <w:pPr>
        <w:spacing w:line="560" w:lineRule="exact"/>
        <w:ind w:firstLine="480" w:firstLineChars="200"/>
        <w:rPr>
          <w:rFonts w:ascii="宋体" w:hAnsi="宋体"/>
          <w:color w:val="auto"/>
          <w:sz w:val="24"/>
        </w:rPr>
      </w:pPr>
      <w:r>
        <w:rPr>
          <w:rFonts w:ascii="宋体" w:hAnsi="宋体"/>
          <w:color w:val="auto"/>
          <w:sz w:val="24"/>
        </w:rPr>
        <w:t xml:space="preserve">1.1.5 </w:t>
      </w:r>
      <w:r>
        <w:rPr>
          <w:rFonts w:hint="eastAsia" w:ascii="宋体" w:hAnsi="宋体"/>
          <w:color w:val="auto"/>
          <w:sz w:val="24"/>
        </w:rPr>
        <w:t>其他相关采购文件。</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1.2 </w:t>
      </w:r>
      <w:r>
        <w:rPr>
          <w:rFonts w:hint="eastAsia" w:ascii="宋体" w:hAnsi="宋体"/>
          <w:b/>
          <w:color w:val="auto"/>
          <w:sz w:val="24"/>
        </w:rPr>
        <w:t>标的</w:t>
      </w:r>
    </w:p>
    <w:p>
      <w:pPr>
        <w:spacing w:line="360" w:lineRule="auto"/>
        <w:ind w:firstLine="480" w:firstLineChars="200"/>
        <w:rPr>
          <w:rFonts w:ascii="宋体" w:hAnsi="宋体"/>
          <w:color w:val="auto"/>
          <w:sz w:val="24"/>
          <w:u w:val="single"/>
        </w:rPr>
      </w:pPr>
      <w:r>
        <w:rPr>
          <w:rFonts w:ascii="宋体" w:hAnsi="宋体"/>
          <w:color w:val="auto"/>
          <w:sz w:val="24"/>
        </w:rPr>
        <w:t xml:space="preserve">1.2.1 </w:t>
      </w:r>
      <w:r>
        <w:rPr>
          <w:rFonts w:hint="eastAsia" w:ascii="宋体" w:hAnsi="宋体"/>
          <w:color w:val="auto"/>
          <w:sz w:val="24"/>
        </w:rPr>
        <w:t>服务内容</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u w:val="single"/>
        </w:rPr>
      </w:pPr>
      <w:r>
        <w:rPr>
          <w:rFonts w:ascii="宋体" w:hAnsi="宋体"/>
          <w:color w:val="auto"/>
          <w:sz w:val="24"/>
        </w:rPr>
        <w:t xml:space="preserve">1.2.2 </w:t>
      </w:r>
      <w:r>
        <w:rPr>
          <w:rFonts w:hint="eastAsia" w:ascii="宋体" w:hAnsi="宋体"/>
          <w:color w:val="auto"/>
          <w:sz w:val="24"/>
        </w:rPr>
        <w:t>服务标准</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rPr>
        <w:t>；</w:t>
      </w:r>
    </w:p>
    <w:p>
      <w:pPr>
        <w:spacing w:line="360" w:lineRule="auto"/>
        <w:ind w:firstLine="480" w:firstLineChars="200"/>
        <w:rPr>
          <w:rFonts w:ascii="宋体" w:hAnsi="宋体"/>
          <w:color w:val="auto"/>
          <w:sz w:val="24"/>
          <w:u w:val="single"/>
        </w:rPr>
      </w:pPr>
      <w:r>
        <w:rPr>
          <w:rFonts w:ascii="宋体" w:hAnsi="宋体"/>
          <w:color w:val="auto"/>
          <w:sz w:val="24"/>
        </w:rPr>
        <w:t xml:space="preserve">1.2.3 </w:t>
      </w:r>
      <w:r>
        <w:rPr>
          <w:rFonts w:hint="eastAsia" w:ascii="宋体" w:hAnsi="宋体"/>
          <w:color w:val="auto"/>
          <w:sz w:val="24"/>
        </w:rPr>
        <w:t>技术保障：</w:t>
      </w:r>
      <w:r>
        <w:rPr>
          <w:rFonts w:ascii="宋体" w:hAnsi="宋体"/>
          <w:color w:val="auto"/>
          <w:sz w:val="24"/>
          <w:u w:val="single"/>
        </w:rPr>
        <w:t xml:space="preserve">　　　　　　　　　                      　      </w:t>
      </w:r>
      <w:r>
        <w:rPr>
          <w:rFonts w:hint="eastAsia" w:ascii="宋体" w:hAnsi="宋体"/>
          <w:color w:val="auto"/>
          <w:sz w:val="24"/>
          <w:u w:val="single"/>
        </w:rPr>
        <w:t>；</w:t>
      </w:r>
    </w:p>
    <w:p>
      <w:pPr>
        <w:spacing w:line="360" w:lineRule="auto"/>
        <w:ind w:firstLine="480" w:firstLineChars="200"/>
        <w:jc w:val="left"/>
        <w:rPr>
          <w:rFonts w:ascii="宋体" w:hAnsi="宋体"/>
          <w:color w:val="auto"/>
          <w:sz w:val="24"/>
        </w:rPr>
      </w:pPr>
      <w:r>
        <w:rPr>
          <w:rFonts w:hint="eastAsia" w:ascii="宋体" w:hAnsi="宋体"/>
          <w:color w:val="auto"/>
          <w:sz w:val="24"/>
        </w:rPr>
        <w:t>1.2.4 服务人员组成：</w:t>
      </w:r>
      <w:r>
        <w:rPr>
          <w:rFonts w:ascii="宋体" w:hAnsi="宋体"/>
          <w:color w:val="auto"/>
          <w:sz w:val="24"/>
          <w:u w:val="single"/>
        </w:rPr>
        <w:t xml:space="preserve">　　             　      </w:t>
      </w:r>
      <w:r>
        <w:rPr>
          <w:rFonts w:hint="eastAsia" w:ascii="宋体" w:hAnsi="宋体"/>
          <w:color w:val="auto"/>
          <w:sz w:val="24"/>
        </w:rPr>
        <w:t>；</w:t>
      </w:r>
    </w:p>
    <w:p>
      <w:pPr>
        <w:pStyle w:val="959"/>
        <w:spacing w:before="0" w:beforeAutospacing="0" w:after="0" w:afterAutospacing="0" w:line="360" w:lineRule="auto"/>
        <w:ind w:firstLine="480"/>
        <w:rPr>
          <w:color w:val="auto"/>
        </w:rPr>
      </w:pPr>
      <w:r>
        <w:rPr>
          <w:rFonts w:hint="eastAsia"/>
          <w:color w:val="auto"/>
        </w:rPr>
        <w:t>1.2.5合同</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否）涉及货物。若涉及货物的，则：</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1.2.5.1 货物名称、品牌、规格型号、花色：</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1.2.5.2 货物数量：</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480" w:firstLineChars="200"/>
        <w:rPr>
          <w:rFonts w:ascii="宋体" w:hAnsi="宋体" w:cs="宋体"/>
          <w:color w:val="auto"/>
          <w:sz w:val="24"/>
          <w:u w:val="single"/>
        </w:rPr>
      </w:pPr>
      <w:r>
        <w:rPr>
          <w:rFonts w:hint="eastAsia" w:ascii="宋体" w:hAnsi="宋体" w:cs="宋体"/>
          <w:color w:val="auto"/>
          <w:sz w:val="24"/>
        </w:rPr>
        <w:t>1.2.5.3 货物质量：</w:t>
      </w:r>
      <w:r>
        <w:rPr>
          <w:rFonts w:hint="eastAsia" w:ascii="宋体" w:hAnsi="宋体" w:cs="宋体"/>
          <w:color w:val="auto"/>
          <w:sz w:val="24"/>
          <w:u w:val="single"/>
        </w:rPr>
        <w:t xml:space="preserve">　　　　　　　　　                      　 </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1.3 价款</w:t>
      </w:r>
    </w:p>
    <w:p>
      <w:pPr>
        <w:spacing w:line="560" w:lineRule="exact"/>
        <w:ind w:firstLine="480" w:firstLineChars="200"/>
        <w:rPr>
          <w:rFonts w:ascii="宋体" w:hAnsi="宋体"/>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p>
      <w:pPr>
        <w:spacing w:line="560" w:lineRule="exact"/>
        <w:ind w:firstLine="480" w:firstLineChars="200"/>
        <w:rPr>
          <w:rFonts w:ascii="宋体" w:hAnsi="宋体"/>
          <w:color w:val="auto"/>
          <w:sz w:val="24"/>
        </w:rPr>
      </w:pPr>
      <w:r>
        <w:rPr>
          <w:rFonts w:hint="eastAsia" w:ascii="宋体" w:hAnsi="宋体"/>
          <w:color w:val="auto"/>
          <w:sz w:val="24"/>
        </w:rPr>
        <w:t>1.3.1总价合同，</w:t>
      </w:r>
      <w:r>
        <w:rPr>
          <w:rFonts w:ascii="宋体" w:hAnsi="宋体"/>
          <w:color w:val="auto"/>
          <w:sz w:val="24"/>
        </w:rPr>
        <w:t>本合同总价</w:t>
      </w:r>
      <w:r>
        <w:rPr>
          <w:rFonts w:hint="eastAsia" w:ascii="宋体" w:hAnsi="宋体"/>
          <w:color w:val="auto"/>
          <w:sz w:val="24"/>
        </w:rPr>
        <w:t>（含税）</w:t>
      </w:r>
      <w:r>
        <w:rPr>
          <w:rFonts w:ascii="宋体" w:hAnsi="宋体"/>
          <w:color w:val="auto"/>
          <w:sz w:val="24"/>
        </w:rPr>
        <w:t>为</w:t>
      </w:r>
      <w:r>
        <w:rPr>
          <w:rFonts w:hint="eastAsia" w:ascii="宋体" w:hAnsi="宋体"/>
          <w:color w:val="auto"/>
          <w:sz w:val="24"/>
        </w:rPr>
        <w:t>：￥</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r>
        <w:rPr>
          <w:rFonts w:ascii="宋体" w:hAnsi="宋体"/>
          <w:color w:val="auto"/>
          <w:sz w:val="24"/>
        </w:rPr>
        <w:t>。</w:t>
      </w:r>
    </w:p>
    <w:p>
      <w:pPr>
        <w:spacing w:line="560" w:lineRule="exact"/>
        <w:ind w:firstLine="480" w:firstLineChars="200"/>
        <w:rPr>
          <w:rFonts w:ascii="宋体" w:hAnsi="宋体"/>
          <w:color w:val="auto"/>
          <w:sz w:val="24"/>
          <w:u w:val="single"/>
        </w:rPr>
      </w:pPr>
      <w:r>
        <w:rPr>
          <w:rFonts w:ascii="宋体" w:hAnsi="宋体"/>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rPr>
            </w:pPr>
            <w:r>
              <w:rPr>
                <w:rFonts w:hAnsi="宋体"/>
                <w:color w:val="auto"/>
                <w:sz w:val="24"/>
                <w:szCs w:val="24"/>
              </w:rPr>
              <w:t>序号</w:t>
            </w:r>
          </w:p>
        </w:tc>
        <w:tc>
          <w:tcPr>
            <w:tcW w:w="3402" w:type="dxa"/>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分项名称</w:t>
            </w:r>
          </w:p>
        </w:tc>
        <w:tc>
          <w:tcPr>
            <w:tcW w:w="2552" w:type="dxa"/>
            <w:vAlign w:val="center"/>
          </w:tcPr>
          <w:p>
            <w:pPr>
              <w:pStyle w:val="319"/>
              <w:spacing w:line="560" w:lineRule="exact"/>
              <w:jc w:val="center"/>
              <w:rPr>
                <w:rFonts w:hAnsi="宋体"/>
                <w:color w:val="auto"/>
                <w:sz w:val="24"/>
                <w:szCs w:val="24"/>
              </w:rPr>
            </w:pPr>
            <w:r>
              <w:rPr>
                <w:rFonts w:hAnsi="宋体"/>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rPr>
            </w:pPr>
          </w:p>
        </w:tc>
        <w:tc>
          <w:tcPr>
            <w:tcW w:w="3402" w:type="dxa"/>
            <w:vAlign w:val="center"/>
          </w:tcPr>
          <w:p>
            <w:pPr>
              <w:pStyle w:val="319"/>
              <w:spacing w:line="560" w:lineRule="exact"/>
              <w:ind w:firstLine="200"/>
              <w:jc w:val="center"/>
              <w:rPr>
                <w:rFonts w:hAnsi="宋体"/>
                <w:color w:val="auto"/>
                <w:sz w:val="24"/>
                <w:szCs w:val="24"/>
              </w:rPr>
            </w:pPr>
          </w:p>
        </w:tc>
        <w:tc>
          <w:tcPr>
            <w:tcW w:w="2552" w:type="dxa"/>
            <w:vAlign w:val="center"/>
          </w:tcPr>
          <w:p>
            <w:pPr>
              <w:pStyle w:val="319"/>
              <w:spacing w:line="560" w:lineRule="exact"/>
              <w:ind w:firstLine="200"/>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rPr>
            </w:pPr>
            <w:r>
              <w:rPr>
                <w:rFonts w:hint="eastAsia" w:hAnsi="宋体"/>
                <w:color w:val="auto"/>
                <w:sz w:val="24"/>
                <w:szCs w:val="24"/>
              </w:rPr>
              <w:t>总价</w:t>
            </w:r>
          </w:p>
        </w:tc>
        <w:tc>
          <w:tcPr>
            <w:tcW w:w="2552" w:type="dxa"/>
            <w:vAlign w:val="center"/>
          </w:tcPr>
          <w:p>
            <w:pPr>
              <w:pStyle w:val="319"/>
              <w:spacing w:line="560" w:lineRule="exact"/>
              <w:ind w:firstLine="200"/>
              <w:jc w:val="center"/>
              <w:rPr>
                <w:rFonts w:hAnsi="宋体"/>
                <w:color w:val="auto"/>
                <w:sz w:val="24"/>
                <w:szCs w:val="24"/>
              </w:rPr>
            </w:pPr>
          </w:p>
        </w:tc>
      </w:tr>
    </w:tbl>
    <w:p>
      <w:pPr>
        <w:spacing w:line="560" w:lineRule="exact"/>
        <w:ind w:firstLine="480" w:firstLineChars="200"/>
        <w:rPr>
          <w:rFonts w:ascii="宋体" w:hAnsi="宋体"/>
          <w:color w:val="auto"/>
          <w:sz w:val="24"/>
        </w:rPr>
      </w:pPr>
      <w:r>
        <w:rPr>
          <w:rFonts w:hint="eastAsia" w:ascii="宋体" w:hAnsi="宋体"/>
          <w:bCs/>
          <w:color w:val="auto"/>
          <w:sz w:val="24"/>
        </w:rPr>
        <w:t>1.3.2单价合同，本合同单价（含税）标准为：</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服务工作量的计量方式为：</w:t>
      </w:r>
      <w:r>
        <w:rPr>
          <w:rFonts w:hint="eastAsia" w:ascii="宋体" w:hAnsi="宋体"/>
          <w:bCs/>
          <w:color w:val="auto"/>
          <w:sz w:val="24"/>
          <w:u w:val="single"/>
        </w:rPr>
        <w:t xml:space="preserve">       </w:t>
      </w:r>
      <w:r>
        <w:rPr>
          <w:rFonts w:hint="eastAsia" w:ascii="宋体" w:hAnsi="宋体" w:cs="宋体"/>
          <w:b/>
          <w:i/>
          <w:color w:val="auto"/>
          <w:sz w:val="24"/>
          <w:u w:val="single"/>
        </w:rPr>
        <w:t>合同专用条款</w:t>
      </w:r>
      <w:r>
        <w:rPr>
          <w:rFonts w:hint="eastAsia" w:ascii="宋体" w:hAnsi="宋体"/>
          <w:bCs/>
          <w:color w:val="auto"/>
          <w:sz w:val="24"/>
          <w:u w:val="single"/>
        </w:rPr>
        <w:t xml:space="preserve">     </w:t>
      </w:r>
      <w:r>
        <w:rPr>
          <w:rFonts w:ascii="宋体" w:hAnsi="宋体"/>
          <w:color w:val="auto"/>
          <w:sz w:val="24"/>
        </w:rPr>
        <w:t>。</w:t>
      </w:r>
      <w:r>
        <w:rPr>
          <w:rFonts w:hint="eastAsia" w:ascii="宋体" w:hAnsi="宋体"/>
          <w:color w:val="auto"/>
          <w:sz w:val="24"/>
        </w:rPr>
        <w:t>单价合同，在合同履行期间内，根据实际完成的工作量据实结算，但结算总价上限不得超过预算金额或者双方确定的金额￥</w:t>
      </w:r>
      <w:r>
        <w:rPr>
          <w:rFonts w:ascii="宋体" w:hAnsi="宋体"/>
          <w:color w:val="auto"/>
          <w:sz w:val="24"/>
          <w:u w:val="single"/>
        </w:rPr>
        <w:t xml:space="preserve">           </w:t>
      </w:r>
      <w:r>
        <w:rPr>
          <w:rFonts w:ascii="宋体" w:hAnsi="宋体"/>
          <w:color w:val="auto"/>
          <w:sz w:val="24"/>
        </w:rPr>
        <w:t>元</w:t>
      </w:r>
      <w:r>
        <w:rPr>
          <w:rFonts w:hint="eastAsia" w:ascii="宋体" w:hAnsi="宋体"/>
          <w:color w:val="auto"/>
          <w:sz w:val="24"/>
        </w:rPr>
        <w:t>（大写：</w:t>
      </w:r>
      <w:r>
        <w:rPr>
          <w:rFonts w:ascii="宋体" w:hAnsi="宋体"/>
          <w:color w:val="auto"/>
          <w:sz w:val="24"/>
          <w:u w:val="single"/>
        </w:rPr>
        <w:t xml:space="preserve">                 </w:t>
      </w:r>
      <w:r>
        <w:rPr>
          <w:rFonts w:hint="eastAsia" w:ascii="宋体" w:hAnsi="宋体"/>
          <w:color w:val="auto"/>
          <w:sz w:val="24"/>
        </w:rPr>
        <w:t>元人民币）。</w:t>
      </w:r>
    </w:p>
    <w:p>
      <w:pPr>
        <w:pStyle w:val="79"/>
        <w:spacing w:after="240" w:afterLines="100"/>
        <w:ind w:firstLine="480"/>
        <w:rPr>
          <w:color w:val="auto"/>
          <w:lang w:val="en-US"/>
        </w:rPr>
      </w:pPr>
      <w:r>
        <w:rPr>
          <w:rFonts w:hint="eastAsia" w:ascii="宋体" w:hAnsi="宋体" w:eastAsia="宋体" w:cs="宋体"/>
          <w:color w:val="auto"/>
          <w:sz w:val="24"/>
          <w:lang w:val="en-US"/>
        </w:rPr>
        <w:t>1.3.3其他计价方式：</w:t>
      </w:r>
      <w:r>
        <w:rPr>
          <w:rFonts w:hint="eastAsia" w:ascii="宋体" w:hAnsi="宋体" w:eastAsia="宋体" w:cs="宋体"/>
          <w:color w:val="auto"/>
          <w:sz w:val="24"/>
          <w:u w:val="single"/>
          <w:lang w:val="en-US"/>
        </w:rPr>
        <w:t xml:space="preserve">     </w:t>
      </w:r>
      <w:r>
        <w:rPr>
          <w:rFonts w:hint="eastAsia" w:ascii="宋体" w:hAnsi="宋体" w:eastAsia="宋体" w:cs="宋体"/>
          <w:b/>
          <w:i/>
          <w:color w:val="auto"/>
          <w:sz w:val="24"/>
          <w:szCs w:val="24"/>
          <w:u w:val="single"/>
          <w:lang w:val="en-US"/>
        </w:rPr>
        <w:t>合同专用条款</w:t>
      </w:r>
      <w:r>
        <w:rPr>
          <w:rFonts w:hint="eastAsia" w:ascii="宋体" w:hAnsi="宋体" w:eastAsia="宋体" w:cs="宋体"/>
          <w:color w:val="auto"/>
          <w:sz w:val="24"/>
          <w:u w:val="single"/>
          <w:lang w:val="en-US"/>
        </w:rPr>
        <w:t xml:space="preserve">              </w:t>
      </w:r>
      <w:r>
        <w:rPr>
          <w:rFonts w:hint="eastAsia" w:ascii="宋体" w:hAnsi="宋体" w:eastAsia="宋体" w:cs="宋体"/>
          <w:color w:val="auto"/>
          <w:sz w:val="24"/>
        </w:rPr>
        <w:t>。</w:t>
      </w:r>
    </w:p>
    <w:p>
      <w:pPr>
        <w:pStyle w:val="959"/>
        <w:spacing w:before="0" w:beforeAutospacing="0" w:after="240" w:afterLines="100" w:afterAutospacing="0" w:line="360" w:lineRule="auto"/>
        <w:ind w:firstLine="480"/>
        <w:rPr>
          <w:b/>
          <w:color w:val="auto"/>
        </w:rPr>
      </w:pPr>
      <w:bookmarkStart w:id="395" w:name="_Toc22618"/>
      <w:bookmarkStart w:id="396" w:name="_Toc1814"/>
      <w:bookmarkStart w:id="397" w:name="_Toc10340"/>
      <w:r>
        <w:rPr>
          <w:rFonts w:hint="eastAsia"/>
          <w:b/>
          <w:color w:val="auto"/>
        </w:rPr>
        <w:t>1.4履约保证金</w:t>
      </w:r>
    </w:p>
    <w:p>
      <w:pPr>
        <w:pStyle w:val="959"/>
        <w:spacing w:before="0" w:beforeAutospacing="0" w:after="0" w:afterAutospacing="0" w:line="360" w:lineRule="auto"/>
        <w:ind w:firstLine="480"/>
        <w:rPr>
          <w:color w:val="auto"/>
        </w:rPr>
      </w:pPr>
      <w:r>
        <w:rPr>
          <w:rFonts w:hint="eastAsia"/>
          <w:color w:val="auto"/>
        </w:rPr>
        <w:t>乙方</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否）需要支付履约保证金。若需要支付履约保证金的，则：</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1.4.1履约保证金的比例为合同金额的</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1.4.2履约保证金支付方式详见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2"/>
        <w:tabs>
          <w:tab w:val="left" w:pos="0"/>
        </w:tabs>
        <w:spacing w:line="560" w:lineRule="exact"/>
        <w:ind w:left="0" w:firstLine="480" w:firstLineChars="200"/>
        <w:rPr>
          <w:color w:val="auto"/>
          <w:lang w:val="en-US"/>
        </w:rPr>
      </w:pPr>
      <w:r>
        <w:rPr>
          <w:rFonts w:hint="eastAsia" w:ascii="宋体" w:hAnsi="宋体" w:eastAsia="宋体" w:cs="宋体"/>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rPr>
      </w:pPr>
      <w:r>
        <w:rPr>
          <w:rFonts w:hint="eastAsia" w:ascii="宋体" w:hAnsi="宋体" w:cs="宋体"/>
          <w:color w:val="auto"/>
          <w:kern w:val="0"/>
          <w:sz w:val="24"/>
        </w:rPr>
        <w:t>1.4.4甲方在项目验收结束后及时退还履约保证金。甲方在项目通过验收之日起</w:t>
      </w:r>
      <w:r>
        <w:rPr>
          <w:rFonts w:hint="eastAsia" w:ascii="宋体" w:hAnsi="宋体" w:cs="宋体"/>
          <w:color w:val="auto"/>
          <w:kern w:val="0"/>
          <w:sz w:val="24"/>
          <w:u w:val="single"/>
        </w:rPr>
        <w:t>5</w:t>
      </w:r>
      <w:r>
        <w:rPr>
          <w:rFonts w:hint="eastAsia" w:ascii="宋体" w:hAnsi="宋体" w:cs="宋体"/>
          <w:color w:val="auto"/>
          <w:kern w:val="0"/>
          <w:sz w:val="24"/>
          <w:u w:val="single"/>
        </w:rPr>
        <w:t xml:space="preserve">       </w:t>
      </w:r>
      <w:r>
        <w:rPr>
          <w:rFonts w:hint="eastAsia" w:ascii="宋体" w:hAnsi="宋体" w:cs="宋体"/>
          <w:color w:val="auto"/>
          <w:kern w:val="0"/>
          <w:sz w:val="24"/>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u w:val="single"/>
        </w:rPr>
        <w:t xml:space="preserve">  0.05（可根据情况修改）  </w:t>
      </w:r>
      <w:r>
        <w:rPr>
          <w:rFonts w:hint="eastAsia" w:ascii="宋体" w:hAnsi="宋体" w:cs="宋体"/>
          <w:color w:val="auto"/>
          <w:kern w:val="0"/>
          <w:sz w:val="24"/>
        </w:rPr>
        <w:t>%计算，最高限额为本合同履约保证金的</w:t>
      </w:r>
      <w:r>
        <w:rPr>
          <w:rFonts w:hint="eastAsia" w:ascii="宋体" w:hAnsi="宋体" w:cs="宋体"/>
          <w:color w:val="auto"/>
          <w:kern w:val="0"/>
          <w:sz w:val="24"/>
          <w:u w:val="single"/>
        </w:rPr>
        <w:t xml:space="preserve">  20  </w:t>
      </w:r>
      <w:r>
        <w:rPr>
          <w:rFonts w:hint="eastAsia" w:ascii="宋体" w:hAnsi="宋体" w:cs="宋体"/>
          <w:color w:val="auto"/>
          <w:kern w:val="0"/>
          <w:sz w:val="24"/>
        </w:rPr>
        <w:t xml:space="preserve"> %。</w:t>
      </w:r>
    </w:p>
    <w:p>
      <w:pPr>
        <w:spacing w:line="560" w:lineRule="exact"/>
        <w:ind w:firstLine="482" w:firstLineChars="200"/>
        <w:outlineLvl w:val="0"/>
        <w:rPr>
          <w:rFonts w:ascii="宋体" w:hAnsi="宋体" w:cs="宋体"/>
          <w:b/>
          <w:color w:val="auto"/>
          <w:sz w:val="24"/>
        </w:rPr>
      </w:pPr>
      <w:r>
        <w:rPr>
          <w:rFonts w:hint="eastAsia" w:ascii="宋体" w:hAnsi="宋体" w:cs="宋体"/>
          <w:b/>
          <w:color w:val="auto"/>
          <w:sz w:val="24"/>
        </w:rPr>
        <w:t>1.5</w:t>
      </w:r>
      <w:bookmarkEnd w:id="395"/>
      <w:bookmarkEnd w:id="396"/>
      <w:bookmarkEnd w:id="397"/>
      <w:r>
        <w:rPr>
          <w:rFonts w:hint="eastAsia" w:ascii="宋体" w:hAnsi="宋体" w:cs="宋体"/>
          <w:b/>
          <w:color w:val="auto"/>
          <w:sz w:val="24"/>
        </w:rPr>
        <w:t>预付款</w:t>
      </w:r>
    </w:p>
    <w:p>
      <w:pPr>
        <w:pStyle w:val="959"/>
        <w:spacing w:before="0" w:beforeAutospacing="0" w:after="0" w:afterAutospacing="0" w:line="360" w:lineRule="auto"/>
        <w:ind w:firstLine="480"/>
        <w:rPr>
          <w:color w:val="auto"/>
        </w:rPr>
      </w:pPr>
      <w:r>
        <w:rPr>
          <w:rFonts w:hint="eastAsia"/>
          <w:color w:val="auto"/>
        </w:rPr>
        <w:t>甲方</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（是</w:t>
      </w:r>
      <w:r>
        <w:rPr>
          <w:rFonts w:hint="eastAsia" w:ascii="仿宋" w:hAnsi="仿宋" w:eastAsia="仿宋" w:cs="仿宋"/>
          <w:color w:val="auto"/>
        </w:rPr>
        <w:t>/</w:t>
      </w:r>
      <w:r>
        <w:rPr>
          <w:rFonts w:hint="eastAsia"/>
          <w:color w:val="auto"/>
        </w:rPr>
        <w:t>否）需要支付预付款。若需要支付预付款的，则：</w:t>
      </w:r>
    </w:p>
    <w:p>
      <w:pPr>
        <w:spacing w:line="560" w:lineRule="exact"/>
        <w:ind w:firstLine="480" w:firstLineChars="200"/>
        <w:rPr>
          <w:rFonts w:ascii="宋体" w:hAnsi="宋体" w:cs="宋体"/>
          <w:color w:val="auto"/>
          <w:kern w:val="0"/>
          <w:sz w:val="24"/>
        </w:rPr>
      </w:pPr>
      <w:r>
        <w:rPr>
          <w:rFonts w:hint="eastAsia" w:ascii="宋体" w:hAnsi="宋体" w:cs="宋体"/>
          <w:color w:val="auto"/>
          <w:kern w:val="0"/>
          <w:sz w:val="24"/>
        </w:rPr>
        <w:t>1.5.1预付款比例、支付方式、时间详见</w:t>
      </w:r>
      <w:r>
        <w:rPr>
          <w:rFonts w:hint="eastAsia" w:ascii="宋体" w:hAnsi="宋体" w:cs="宋体"/>
          <w:color w:val="auto"/>
          <w:kern w:val="0"/>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Style w:val="959"/>
        <w:spacing w:before="0" w:beforeAutospacing="0" w:after="0" w:afterAutospacing="0" w:line="360" w:lineRule="auto"/>
        <w:ind w:firstLine="480"/>
        <w:rPr>
          <w:color w:val="auto"/>
        </w:rPr>
      </w:pPr>
      <w:r>
        <w:rPr>
          <w:rFonts w:hint="eastAsia"/>
          <w:color w:val="auto"/>
        </w:rPr>
        <w:t>1.5.2预付款的扣回方式详见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9"/>
        <w:spacing w:before="0" w:beforeAutospacing="0" w:after="0" w:afterAutospacing="0" w:line="360" w:lineRule="auto"/>
        <w:ind w:firstLine="480"/>
        <w:rPr>
          <w:color w:val="auto"/>
          <w:u w:val="single"/>
        </w:rPr>
      </w:pPr>
      <w:r>
        <w:rPr>
          <w:rFonts w:hint="eastAsia"/>
          <w:color w:val="auto"/>
        </w:rPr>
        <w:t>1.5.3预付款的担保措施详见</w:t>
      </w:r>
      <w:r>
        <w:rPr>
          <w:rFonts w:hint="eastAsia"/>
          <w:color w:val="auto"/>
          <w:u w:val="single"/>
        </w:rPr>
        <w:t xml:space="preserve">    </w:t>
      </w:r>
      <w:r>
        <w:rPr>
          <w:rFonts w:hint="eastAsia"/>
          <w:b/>
          <w:i/>
          <w:color w:val="auto"/>
          <w:u w:val="single"/>
        </w:rPr>
        <w:t>合同专用条款</w:t>
      </w:r>
      <w:r>
        <w:rPr>
          <w:rFonts w:hint="eastAsia"/>
          <w:color w:val="auto"/>
          <w:u w:val="single"/>
        </w:rPr>
        <w:t xml:space="preserve">          </w:t>
      </w:r>
      <w:r>
        <w:rPr>
          <w:rFonts w:hint="eastAsia"/>
          <w:color w:val="auto"/>
        </w:rPr>
        <w:t>。</w:t>
      </w:r>
    </w:p>
    <w:p>
      <w:pPr>
        <w:pStyle w:val="959"/>
        <w:spacing w:before="0" w:beforeAutospacing="0" w:after="0" w:afterAutospacing="0" w:line="360" w:lineRule="auto"/>
        <w:ind w:firstLine="480"/>
        <w:rPr>
          <w:b/>
          <w:bCs/>
          <w:color w:val="auto"/>
        </w:rPr>
      </w:pPr>
      <w:r>
        <w:rPr>
          <w:rFonts w:hint="eastAsia"/>
          <w:b/>
          <w:bCs/>
          <w:color w:val="auto"/>
        </w:rPr>
        <w:t>1.6资金支付</w:t>
      </w:r>
    </w:p>
    <w:p>
      <w:pPr>
        <w:pStyle w:val="959"/>
        <w:spacing w:before="0" w:beforeAutospacing="0" w:after="0" w:afterAutospacing="0" w:line="360" w:lineRule="auto"/>
        <w:ind w:firstLine="480"/>
        <w:rPr>
          <w:color w:val="auto"/>
        </w:rPr>
      </w:pPr>
      <w:r>
        <w:rPr>
          <w:rFonts w:hint="eastAsia"/>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rPr>
      </w:pPr>
      <w:r>
        <w:rPr>
          <w:rFonts w:hint="eastAsia" w:ascii="宋体" w:hAnsi="宋体" w:cs="宋体"/>
          <w:color w:val="auto"/>
          <w:sz w:val="24"/>
        </w:rPr>
        <w:t>1.6.2资金支付的方式、时间和条件详见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1.</w:t>
      </w:r>
      <w:r>
        <w:rPr>
          <w:rFonts w:hint="eastAsia" w:ascii="宋体" w:hAnsi="宋体"/>
          <w:b/>
          <w:color w:val="auto"/>
          <w:sz w:val="24"/>
        </w:rPr>
        <w:t>7</w:t>
      </w:r>
      <w:r>
        <w:rPr>
          <w:rFonts w:ascii="宋体" w:hAnsi="宋体"/>
          <w:b/>
          <w:color w:val="auto"/>
          <w:sz w:val="24"/>
        </w:rPr>
        <w:t xml:space="preserve"> 履行期限</w:t>
      </w:r>
      <w:r>
        <w:rPr>
          <w:rFonts w:hint="eastAsia" w:ascii="宋体" w:hAnsi="宋体"/>
          <w:b/>
          <w:color w:val="auto"/>
          <w:sz w:val="24"/>
        </w:rPr>
        <w:t>、地点和方式</w:t>
      </w:r>
    </w:p>
    <w:p>
      <w:pPr>
        <w:spacing w:line="560" w:lineRule="exact"/>
        <w:ind w:firstLine="480" w:firstLineChars="200"/>
        <w:rPr>
          <w:rFonts w:ascii="宋体" w:hAnsi="宋体"/>
          <w:color w:val="auto"/>
          <w:sz w:val="24"/>
          <w:u w:val="single"/>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.1 </w:t>
      </w:r>
      <w:r>
        <w:rPr>
          <w:rFonts w:hint="eastAsia" w:ascii="宋体" w:hAnsi="宋体"/>
          <w:color w:val="auto"/>
          <w:sz w:val="24"/>
        </w:rPr>
        <w:t>服务交付（实施）的时间（期限）</w:t>
      </w:r>
      <w:r>
        <w:rPr>
          <w:rFonts w:ascii="宋体" w:hAnsi="宋体"/>
          <w:color w:val="auto"/>
          <w:sz w:val="24"/>
        </w:rPr>
        <w:t>：</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.2 </w:t>
      </w:r>
      <w:r>
        <w:rPr>
          <w:rFonts w:hint="eastAsia" w:ascii="宋体" w:hAnsi="宋体"/>
          <w:color w:val="auto"/>
          <w:sz w:val="24"/>
        </w:rPr>
        <w:t>服</w:t>
      </w:r>
      <w:r>
        <w:rPr>
          <w:rFonts w:hint="eastAsia" w:ascii="宋体" w:hAnsi="宋体" w:cs="宋体"/>
          <w:color w:val="auto"/>
          <w:sz w:val="24"/>
        </w:rPr>
        <w:t>务交付（实施）的地点（地域范围）：</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7</w:t>
      </w:r>
      <w:r>
        <w:rPr>
          <w:rFonts w:ascii="宋体" w:hAnsi="宋体"/>
          <w:color w:val="auto"/>
          <w:sz w:val="24"/>
        </w:rPr>
        <w:t xml:space="preserve">.3 </w:t>
      </w:r>
      <w:r>
        <w:rPr>
          <w:rFonts w:hint="eastAsia" w:ascii="宋体" w:hAnsi="宋体"/>
          <w:color w:val="auto"/>
          <w:sz w:val="24"/>
        </w:rPr>
        <w:t>服务交付（实施）的方式：</w:t>
      </w:r>
      <w:r>
        <w:rPr>
          <w:rFonts w:hint="eastAsia" w:ascii="宋体" w:hAnsi="宋体"/>
          <w:b/>
          <w:i/>
          <w:color w:val="auto"/>
          <w:sz w:val="24"/>
          <w:u w:val="single"/>
        </w:rPr>
        <w:t>合同专用条款</w:t>
      </w:r>
      <w:r>
        <w:rPr>
          <w:rFonts w:hint="eastAsia" w:ascii="宋体" w:hAnsi="宋体"/>
          <w:color w:val="auto"/>
          <w:sz w:val="24"/>
        </w:rPr>
        <w:t>。</w:t>
      </w:r>
    </w:p>
    <w:p>
      <w:pPr>
        <w:spacing w:line="560" w:lineRule="exact"/>
        <w:ind w:firstLine="480" w:firstLineChars="200"/>
        <w:outlineLvl w:val="0"/>
        <w:rPr>
          <w:rFonts w:ascii="宋体" w:hAnsi="宋体"/>
          <w:bCs/>
          <w:color w:val="auto"/>
          <w:sz w:val="24"/>
        </w:rPr>
      </w:pPr>
      <w:r>
        <w:rPr>
          <w:rFonts w:hint="eastAsia" w:ascii="宋体" w:hAnsi="宋体"/>
          <w:bCs/>
          <w:color w:val="auto"/>
          <w:sz w:val="24"/>
        </w:rPr>
        <w:t>1.7.4若服务</w:t>
      </w:r>
      <w:r>
        <w:rPr>
          <w:rFonts w:hint="eastAsia"/>
          <w:bCs/>
          <w:color w:val="auto"/>
          <w:sz w:val="24"/>
        </w:rPr>
        <w:t>涉及货物的，则货物的：</w:t>
      </w:r>
    </w:p>
    <w:p>
      <w:pPr>
        <w:spacing w:line="560" w:lineRule="exact"/>
        <w:ind w:firstLine="480" w:firstLineChars="200"/>
        <w:rPr>
          <w:rFonts w:ascii="宋体" w:hAnsi="宋体" w:cs="宋体"/>
          <w:color w:val="auto"/>
          <w:sz w:val="24"/>
          <w:u w:val="single"/>
        </w:rPr>
      </w:pPr>
      <w:r>
        <w:rPr>
          <w:rFonts w:hint="eastAsia" w:ascii="宋体" w:hAnsi="宋体" w:cs="宋体"/>
          <w:color w:val="auto"/>
          <w:sz w:val="24"/>
        </w:rPr>
        <w:t>1.7.4.1 交付期限：详见</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1.7.4.2 交付地点：</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1.7.4.3 交付方式：</w:t>
      </w:r>
      <w:r>
        <w:rPr>
          <w:rFonts w:hint="eastAsia" w:ascii="宋体" w:hAnsi="宋体" w:cs="宋体"/>
          <w:b/>
          <w:i/>
          <w:color w:val="auto"/>
          <w:sz w:val="24"/>
          <w:u w:val="single"/>
        </w:rPr>
        <w:t>合同专用条款</w:t>
      </w:r>
      <w:r>
        <w:rPr>
          <w:rFonts w:hint="eastAsia" w:ascii="宋体" w:hAnsi="宋体" w:cs="宋体"/>
          <w:color w:val="auto"/>
          <w:sz w:val="24"/>
        </w:rPr>
        <w:t>。</w:t>
      </w:r>
    </w:p>
    <w:p>
      <w:pPr>
        <w:spacing w:line="560" w:lineRule="exact"/>
        <w:ind w:firstLine="482" w:firstLineChars="200"/>
        <w:outlineLvl w:val="0"/>
        <w:rPr>
          <w:rFonts w:ascii="宋体" w:hAnsi="宋体"/>
          <w:color w:val="auto"/>
          <w:sz w:val="24"/>
          <w:u w:val="single"/>
        </w:rPr>
      </w:pPr>
      <w:r>
        <w:rPr>
          <w:rFonts w:ascii="宋体" w:hAnsi="宋体"/>
          <w:b/>
          <w:color w:val="auto"/>
          <w:sz w:val="24"/>
        </w:rPr>
        <w:t>1.</w:t>
      </w:r>
      <w:r>
        <w:rPr>
          <w:rFonts w:hint="eastAsia" w:ascii="宋体" w:hAnsi="宋体"/>
          <w:b/>
          <w:color w:val="auto"/>
          <w:sz w:val="24"/>
        </w:rPr>
        <w:t>8违约责任</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.1 除不可抗力外，如果乙方没有按照本合同约定的期限</w:t>
      </w:r>
      <w:r>
        <w:rPr>
          <w:rFonts w:hint="eastAsia" w:ascii="宋体" w:hAnsi="宋体"/>
          <w:color w:val="auto"/>
          <w:sz w:val="24"/>
        </w:rPr>
        <w:t>、</w:t>
      </w:r>
      <w:r>
        <w:rPr>
          <w:rFonts w:ascii="宋体" w:hAnsi="宋体"/>
          <w:color w:val="auto"/>
          <w:sz w:val="24"/>
        </w:rPr>
        <w:t>地点和方式</w:t>
      </w:r>
      <w:r>
        <w:rPr>
          <w:rFonts w:hint="eastAsia" w:ascii="宋体" w:hAnsi="宋体"/>
          <w:color w:val="auto"/>
          <w:sz w:val="24"/>
        </w:rPr>
        <w:t>交付服务成果或者实施服务</w:t>
      </w:r>
      <w:r>
        <w:rPr>
          <w:rFonts w:ascii="宋体" w:hAnsi="宋体"/>
          <w:color w:val="auto"/>
          <w:sz w:val="24"/>
        </w:rPr>
        <w:t>，那么甲方可要求乙方支付违约金</w:t>
      </w:r>
      <w:r>
        <w:rPr>
          <w:rFonts w:hint="eastAsia" w:ascii="宋体" w:hAnsi="宋体"/>
          <w:color w:val="auto"/>
          <w:sz w:val="24"/>
        </w:rPr>
        <w:t>，迟延履行</w:t>
      </w:r>
      <w:r>
        <w:rPr>
          <w:rFonts w:ascii="宋体" w:hAnsi="宋体"/>
          <w:color w:val="auto"/>
          <w:sz w:val="24"/>
        </w:rPr>
        <w:t>违约金按每迟延</w:t>
      </w:r>
      <w:r>
        <w:rPr>
          <w:rFonts w:hint="eastAsia" w:ascii="宋体" w:hAnsi="宋体"/>
          <w:color w:val="auto"/>
          <w:sz w:val="24"/>
        </w:rPr>
        <w:t>履行</w:t>
      </w:r>
      <w:r>
        <w:rPr>
          <w:rFonts w:ascii="宋体" w:hAnsi="宋体"/>
          <w:color w:val="auto"/>
          <w:sz w:val="24"/>
        </w:rPr>
        <w:t>一日的应提供而未</w:t>
      </w:r>
      <w:r>
        <w:rPr>
          <w:rFonts w:hint="eastAsia" w:ascii="宋体" w:hAnsi="宋体"/>
          <w:color w:val="auto"/>
          <w:sz w:val="24"/>
        </w:rPr>
        <w:t>提供</w:t>
      </w:r>
      <w:r>
        <w:rPr>
          <w:rFonts w:ascii="宋体" w:hAnsi="宋体"/>
          <w:color w:val="auto"/>
          <w:sz w:val="24"/>
        </w:rPr>
        <w:t>服务价格的</w:t>
      </w:r>
      <w:r>
        <w:rPr>
          <w:rFonts w:hint="eastAsia" w:ascii="宋体" w:hAnsi="宋体"/>
          <w:color w:val="auto"/>
          <w:sz w:val="24"/>
          <w:u w:val="single"/>
        </w:rPr>
        <w:t>0.05</w:t>
      </w:r>
      <w:r>
        <w:rPr>
          <w:rFonts w:ascii="宋体" w:hAnsi="宋体"/>
          <w:color w:val="auto"/>
          <w:sz w:val="24"/>
          <w:u w:val="single"/>
        </w:rPr>
        <w:t xml:space="preserve"> </w:t>
      </w:r>
      <w:r>
        <w:rPr>
          <w:rFonts w:hint="eastAsia" w:ascii="宋体" w:hAnsi="宋体" w:cs="宋体"/>
          <w:color w:val="auto"/>
          <w:kern w:val="0"/>
          <w:sz w:val="24"/>
          <w:u w:val="single"/>
        </w:rPr>
        <w:t xml:space="preserve"> </w:t>
      </w:r>
      <w:r>
        <w:rPr>
          <w:rFonts w:ascii="宋体" w:hAnsi="宋体"/>
          <w:color w:val="auto"/>
          <w:sz w:val="24"/>
        </w:rPr>
        <w:t>%计算</w:t>
      </w:r>
      <w:r>
        <w:rPr>
          <w:rFonts w:hint="eastAsia" w:ascii="宋体" w:hAnsi="宋体"/>
          <w:color w:val="auto"/>
          <w:sz w:val="24"/>
        </w:rPr>
        <w:t>，</w:t>
      </w:r>
      <w:r>
        <w:rPr>
          <w:rFonts w:ascii="宋体" w:hAnsi="宋体"/>
          <w:color w:val="auto"/>
          <w:sz w:val="24"/>
        </w:rPr>
        <w:t>最高限额为</w:t>
      </w:r>
      <w:r>
        <w:rPr>
          <w:rFonts w:hint="eastAsia" w:ascii="宋体" w:hAnsi="宋体"/>
          <w:color w:val="auto"/>
          <w:sz w:val="24"/>
        </w:rPr>
        <w:t>本</w:t>
      </w:r>
      <w:r>
        <w:rPr>
          <w:rFonts w:ascii="宋体" w:hAnsi="宋体"/>
          <w:color w:val="auto"/>
          <w:sz w:val="24"/>
        </w:rPr>
        <w:t>合同总价的</w:t>
      </w:r>
      <w:r>
        <w:rPr>
          <w:rFonts w:ascii="宋体" w:hAnsi="宋体"/>
          <w:color w:val="auto"/>
          <w:sz w:val="24"/>
          <w:u w:val="single"/>
        </w:rPr>
        <w:t xml:space="preserve">  20   </w:t>
      </w:r>
      <w:r>
        <w:rPr>
          <w:rFonts w:ascii="宋体" w:hAnsi="宋体"/>
          <w:color w:val="auto"/>
          <w:sz w:val="24"/>
        </w:rPr>
        <w:t>%</w:t>
      </w:r>
      <w:r>
        <w:rPr>
          <w:rFonts w:hint="eastAsia" w:ascii="宋体" w:hAnsi="宋体"/>
          <w:color w:val="auto"/>
          <w:sz w:val="24"/>
        </w:rPr>
        <w:t>；</w:t>
      </w:r>
      <w:r>
        <w:rPr>
          <w:rFonts w:ascii="宋体" w:hAnsi="宋体"/>
          <w:color w:val="auto"/>
          <w:sz w:val="24"/>
        </w:rPr>
        <w:t>迟延</w:t>
      </w:r>
      <w:r>
        <w:rPr>
          <w:rFonts w:hint="eastAsia" w:ascii="宋体" w:hAnsi="宋体"/>
          <w:color w:val="auto"/>
          <w:sz w:val="24"/>
        </w:rPr>
        <w:t>履行</w:t>
      </w:r>
      <w:r>
        <w:rPr>
          <w:rFonts w:ascii="宋体" w:hAnsi="宋体"/>
          <w:color w:val="auto"/>
          <w:sz w:val="24"/>
        </w:rPr>
        <w:t>的违约金计算数额达到前述最高限额之日起</w:t>
      </w:r>
      <w:r>
        <w:rPr>
          <w:rFonts w:hint="eastAsia" w:ascii="宋体" w:hAnsi="宋体"/>
          <w:color w:val="auto"/>
          <w:sz w:val="24"/>
        </w:rPr>
        <w:t>，</w:t>
      </w:r>
      <w:r>
        <w:rPr>
          <w:rFonts w:ascii="宋体" w:hAnsi="宋体"/>
          <w:color w:val="auto"/>
          <w:sz w:val="24"/>
        </w:rPr>
        <w:t>甲方有权在要求乙方支付违约金的同时</w:t>
      </w:r>
      <w:r>
        <w:rPr>
          <w:rFonts w:hint="eastAsia" w:ascii="宋体" w:hAnsi="宋体"/>
          <w:color w:val="auto"/>
          <w:sz w:val="24"/>
        </w:rPr>
        <w:t>，书面通知乙方</w:t>
      </w:r>
      <w:r>
        <w:rPr>
          <w:rFonts w:ascii="宋体" w:hAnsi="宋体"/>
          <w:color w:val="auto"/>
          <w:sz w:val="24"/>
        </w:rPr>
        <w:t>解除本合同</w:t>
      </w:r>
      <w:r>
        <w:rPr>
          <w:rFonts w:hint="eastAsia" w:ascii="宋体" w:hAnsi="宋体"/>
          <w:color w:val="auto"/>
          <w:sz w:val="24"/>
        </w:rPr>
        <w:t>；</w:t>
      </w:r>
    </w:p>
    <w:p>
      <w:pPr>
        <w:pStyle w:val="2"/>
        <w:ind w:left="0" w:firstLine="480" w:firstLineChars="200"/>
        <w:rPr>
          <w:rFonts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u w:val="single"/>
          <w:lang w:val="en-US"/>
        </w:rPr>
        <w:t xml:space="preserve">  0.05  </w:t>
      </w:r>
      <w:r>
        <w:rPr>
          <w:rFonts w:hint="eastAsia" w:ascii="宋体" w:hAnsi="宋体" w:eastAsia="宋体" w:cs="宋体"/>
          <w:b w:val="0"/>
          <w:bCs w:val="0"/>
          <w:color w:val="auto"/>
          <w:sz w:val="24"/>
          <w:szCs w:val="24"/>
          <w:lang w:val="en-US"/>
        </w:rPr>
        <w:t>%计算，最高限额为本合同总价的</w:t>
      </w:r>
      <w:r>
        <w:rPr>
          <w:rFonts w:hint="eastAsia" w:ascii="宋体" w:hAnsi="宋体" w:eastAsia="宋体" w:cs="宋体"/>
          <w:b w:val="0"/>
          <w:bCs w:val="0"/>
          <w:color w:val="auto"/>
          <w:sz w:val="24"/>
          <w:szCs w:val="24"/>
          <w:u w:val="single"/>
          <w:lang w:val="en-US"/>
        </w:rPr>
        <w:t xml:space="preserve">  20  </w:t>
      </w:r>
      <w:r>
        <w:rPr>
          <w:rFonts w:hint="eastAsia" w:ascii="宋体" w:hAnsi="宋体" w:eastAsia="宋体" w:cs="宋体"/>
          <w:b w:val="0"/>
          <w:bCs w:val="0"/>
          <w:color w:val="auto"/>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8</w:t>
      </w:r>
      <w:r>
        <w:rPr>
          <w:rFonts w:ascii="宋体" w:hAnsi="宋体"/>
          <w:color w:val="auto"/>
          <w:sz w:val="24"/>
        </w:rPr>
        <w:t>.</w:t>
      </w:r>
      <w:r>
        <w:rPr>
          <w:rFonts w:hint="eastAsia" w:ascii="宋体" w:hAnsi="宋体"/>
          <w:color w:val="auto"/>
          <w:sz w:val="24"/>
        </w:rPr>
        <w:t>3</w:t>
      </w:r>
      <w:r>
        <w:rPr>
          <w:rFonts w:hint="eastAsia" w:ascii="宋体" w:hAnsi="宋体" w:cs="宋体"/>
          <w:color w:val="auto"/>
          <w:sz w:val="24"/>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u w:val="single"/>
        </w:rPr>
        <w:t xml:space="preserve">   0.05 </w:t>
      </w:r>
      <w:r>
        <w:rPr>
          <w:rFonts w:hint="eastAsia" w:ascii="宋体" w:hAnsi="宋体" w:cs="宋体"/>
          <w:color w:val="auto"/>
          <w:sz w:val="24"/>
        </w:rPr>
        <w:t>%计算，最高限额为本合同总价的</w:t>
      </w:r>
      <w:r>
        <w:rPr>
          <w:rFonts w:hint="eastAsia" w:ascii="宋体" w:hAnsi="宋体" w:cs="宋体"/>
          <w:color w:val="auto"/>
          <w:sz w:val="24"/>
          <w:u w:val="single"/>
        </w:rPr>
        <w:t xml:space="preserve">   20  </w:t>
      </w:r>
      <w:r>
        <w:rPr>
          <w:rFonts w:hint="eastAsia" w:ascii="宋体" w:hAnsi="宋体" w:cs="宋体"/>
          <w:color w:val="auto"/>
          <w:sz w:val="24"/>
        </w:rPr>
        <w:t>%；迟延付款的违约金计算数额达到前述最高限额之日起，乙方有权在要求甲方支付违约金的同时，书面通知甲方解除本合同</w:t>
      </w:r>
      <w:r>
        <w:rPr>
          <w:rFonts w:hint="eastAsia" w:ascii="宋体" w:hAnsi="宋体"/>
          <w:color w:val="auto"/>
          <w:sz w:val="24"/>
        </w:rPr>
        <w:t>；</w:t>
      </w:r>
    </w:p>
    <w:p>
      <w:pPr>
        <w:spacing w:line="560" w:lineRule="exact"/>
        <w:ind w:firstLine="480" w:firstLineChars="200"/>
        <w:rPr>
          <w:rFonts w:ascii="宋体" w:hAnsi="宋体" w:cs="宋体"/>
          <w:color w:val="auto"/>
          <w:sz w:val="24"/>
        </w:rPr>
      </w:pPr>
      <w:r>
        <w:rPr>
          <w:rFonts w:hint="eastAsia" w:ascii="宋体" w:hAnsi="宋体" w:cs="宋体"/>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rPr>
      </w:pPr>
      <w:r>
        <w:rPr>
          <w:rFonts w:hint="eastAsia" w:ascii="宋体" w:hAnsi="宋体" w:cs="宋体"/>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rPr>
      </w:pPr>
      <w:r>
        <w:rPr>
          <w:rFonts w:hint="eastAsia" w:ascii="宋体" w:hAnsi="宋体" w:cs="宋体"/>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rPr>
      </w:pPr>
      <w:r>
        <w:rPr>
          <w:rFonts w:hint="eastAsia" w:ascii="宋体" w:hAnsi="宋体" w:cs="宋体"/>
          <w:color w:val="auto"/>
          <w:sz w:val="24"/>
        </w:rPr>
        <w:t>1.8.7违约责任</w:t>
      </w:r>
      <w:r>
        <w:rPr>
          <w:rFonts w:hint="eastAsia" w:ascii="宋体" w:hAnsi="宋体" w:cs="宋体"/>
          <w:b/>
          <w:i/>
          <w:color w:val="auto"/>
          <w:sz w:val="24"/>
          <w:u w:val="single"/>
        </w:rPr>
        <w:t>合同专用条款</w:t>
      </w:r>
      <w:r>
        <w:rPr>
          <w:rFonts w:hint="eastAsia" w:ascii="宋体" w:hAnsi="宋体" w:cs="宋体"/>
          <w:color w:val="auto"/>
          <w:sz w:val="24"/>
        </w:rPr>
        <w:t>另有约定的，从其约定。</w:t>
      </w:r>
    </w:p>
    <w:p>
      <w:pPr>
        <w:spacing w:line="560" w:lineRule="exact"/>
        <w:ind w:firstLine="482" w:firstLineChars="200"/>
        <w:outlineLvl w:val="0"/>
        <w:rPr>
          <w:rFonts w:ascii="宋体" w:hAnsi="宋体" w:cs="宋体"/>
          <w:b/>
          <w:color w:val="auto"/>
          <w:sz w:val="24"/>
        </w:rPr>
      </w:pPr>
      <w:bookmarkStart w:id="398" w:name="_Toc16021"/>
      <w:bookmarkStart w:id="399" w:name="_Toc28375"/>
      <w:bookmarkStart w:id="400" w:name="_Toc15583"/>
      <w:r>
        <w:rPr>
          <w:rFonts w:hint="eastAsia" w:ascii="宋体" w:hAnsi="宋体" w:cs="宋体"/>
          <w:b/>
          <w:color w:val="auto"/>
          <w:sz w:val="24"/>
        </w:rPr>
        <w:t>1.9合同争议的解决</w:t>
      </w:r>
      <w:bookmarkEnd w:id="398"/>
      <w:bookmarkEnd w:id="399"/>
      <w:bookmarkEnd w:id="400"/>
    </w:p>
    <w:p>
      <w:pPr>
        <w:spacing w:line="560" w:lineRule="exact"/>
        <w:ind w:left="-61" w:leftChars="-29" w:right="-420" w:rightChars="-200" w:firstLine="240" w:firstLineChars="100"/>
        <w:rPr>
          <w:rFonts w:ascii="宋体" w:hAnsi="宋体" w:cs="宋体"/>
          <w:color w:val="auto"/>
          <w:sz w:val="24"/>
        </w:rPr>
      </w:pPr>
      <w:r>
        <w:rPr>
          <w:rFonts w:hint="eastAsia" w:ascii="宋体" w:hAnsi="宋体" w:cs="宋体"/>
          <w:color w:val="auto"/>
          <w:sz w:val="24"/>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u w:val="single"/>
        </w:rPr>
        <w:t xml:space="preserve">   </w:t>
      </w:r>
      <w:r>
        <w:rPr>
          <w:rFonts w:hint="eastAsia" w:ascii="宋体" w:hAnsi="宋体" w:cs="宋体"/>
          <w:b/>
          <w:i/>
          <w:color w:val="auto"/>
          <w:sz w:val="24"/>
          <w:u w:val="single"/>
        </w:rPr>
        <w:t>合同专用条款</w:t>
      </w:r>
      <w:r>
        <w:rPr>
          <w:rFonts w:hint="eastAsia" w:ascii="宋体" w:hAnsi="宋体" w:cs="宋体"/>
          <w:b/>
          <w:i/>
          <w:color w:val="auto"/>
          <w:sz w:val="24"/>
          <w:u w:val="single"/>
        </w:rPr>
        <w:t xml:space="preserve">  </w:t>
      </w:r>
      <w:r>
        <w:rPr>
          <w:rFonts w:hint="eastAsia" w:ascii="宋体" w:hAnsi="宋体" w:cs="宋体"/>
          <w:color w:val="auto"/>
          <w:sz w:val="24"/>
        </w:rPr>
        <w:t>条款规定的方式解决：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1.9.1 将争议提交</w:t>
      </w:r>
      <w:r>
        <w:rPr>
          <w:rFonts w:hint="eastAsia" w:ascii="宋体" w:hAnsi="宋体" w:cs="宋体"/>
          <w:b/>
          <w:i/>
          <w:color w:val="auto"/>
          <w:sz w:val="24"/>
          <w:u w:val="single"/>
        </w:rPr>
        <w:t>合同专用条款</w:t>
      </w:r>
      <w:r>
        <w:rPr>
          <w:rFonts w:hint="eastAsia" w:ascii="宋体" w:hAnsi="宋体" w:cs="宋体"/>
          <w:color w:val="auto"/>
          <w:sz w:val="24"/>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rPr>
      </w:pPr>
      <w:r>
        <w:rPr>
          <w:rFonts w:hint="eastAsia" w:ascii="宋体" w:hAnsi="宋体" w:cs="宋体"/>
          <w:color w:val="auto"/>
          <w:sz w:val="24"/>
        </w:rPr>
        <w:t>1.9.2 向</w:t>
      </w:r>
      <w:r>
        <w:rPr>
          <w:rFonts w:hint="eastAsia" w:ascii="宋体" w:hAnsi="宋体" w:cs="宋体"/>
          <w:b/>
          <w:i/>
          <w:color w:val="auto"/>
          <w:sz w:val="24"/>
          <w:u w:val="single"/>
        </w:rPr>
        <w:t>合同专用条款</w:t>
      </w:r>
      <w:r>
        <w:rPr>
          <w:rFonts w:hint="eastAsia" w:ascii="宋体" w:hAnsi="宋体" w:cs="宋体"/>
          <w:color w:val="auto"/>
          <w:sz w:val="24"/>
        </w:rPr>
        <w:t>人民法院起诉。</w:t>
      </w:r>
    </w:p>
    <w:p>
      <w:pPr>
        <w:spacing w:line="560" w:lineRule="exact"/>
        <w:ind w:firstLine="482" w:firstLineChars="200"/>
        <w:outlineLvl w:val="0"/>
        <w:rPr>
          <w:rFonts w:ascii="宋体" w:hAnsi="宋体" w:cs="宋体"/>
          <w:b/>
          <w:color w:val="auto"/>
          <w:sz w:val="24"/>
        </w:rPr>
      </w:pPr>
      <w:bookmarkStart w:id="401" w:name="_Toc15322"/>
      <w:bookmarkStart w:id="402" w:name="_Toc7245"/>
      <w:bookmarkStart w:id="403" w:name="_Toc11173"/>
      <w:r>
        <w:rPr>
          <w:rFonts w:hint="eastAsia" w:ascii="宋体" w:hAnsi="宋体" w:cs="宋体"/>
          <w:b/>
          <w:color w:val="auto"/>
          <w:sz w:val="24"/>
        </w:rPr>
        <w:t>1</w:t>
      </w:r>
      <w:r>
        <w:rPr>
          <w:rFonts w:hint="eastAsia" w:ascii="宋体" w:hAnsi="宋体" w:cs="宋体"/>
          <w:b/>
          <w:color w:val="auto"/>
          <w:sz w:val="24"/>
        </w:rPr>
        <w:t>.</w:t>
      </w:r>
      <w:r>
        <w:rPr>
          <w:rFonts w:hint="eastAsia" w:ascii="宋体" w:hAnsi="宋体" w:cs="宋体"/>
          <w:b/>
          <w:color w:val="auto"/>
          <w:sz w:val="24"/>
        </w:rPr>
        <w:t>10</w:t>
      </w:r>
      <w:r>
        <w:rPr>
          <w:rFonts w:hint="eastAsia" w:ascii="宋体" w:hAnsi="宋体" w:cs="宋体"/>
          <w:b/>
          <w:color w:val="auto"/>
          <w:sz w:val="24"/>
        </w:rPr>
        <w:t xml:space="preserve"> 合同生效</w:t>
      </w:r>
      <w:bookmarkEnd w:id="401"/>
      <w:bookmarkEnd w:id="402"/>
      <w:bookmarkEnd w:id="403"/>
    </w:p>
    <w:p>
      <w:pPr>
        <w:spacing w:line="560" w:lineRule="exact"/>
        <w:ind w:firstLine="480" w:firstLineChars="200"/>
        <w:rPr>
          <w:rFonts w:ascii="宋体" w:hAnsi="宋体" w:cs="宋体"/>
          <w:b/>
          <w:color w:val="auto"/>
          <w:sz w:val="24"/>
        </w:rPr>
      </w:pPr>
      <w:r>
        <w:rPr>
          <w:rFonts w:hint="eastAsia" w:ascii="宋体" w:hAnsi="宋体" w:cs="宋体"/>
          <w:color w:val="auto"/>
          <w:sz w:val="24"/>
        </w:rPr>
        <w:t>本合同自双方当事人盖章签字时生效。</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b/>
          <w:color w:val="auto"/>
          <w:sz w:val="24"/>
          <w:lang w:val="zh-CN"/>
        </w:rPr>
        <w:t>甲方</w:t>
      </w:r>
      <w:r>
        <w:rPr>
          <w:rFonts w:hint="eastAsia" w:ascii="宋体" w:hAnsi="宋体"/>
          <w:color w:val="auto"/>
          <w:sz w:val="24"/>
          <w:lang w:val="zh-CN"/>
        </w:rPr>
        <w:t>：</w:t>
      </w:r>
      <w:r>
        <w:rPr>
          <w:rFonts w:ascii="宋体" w:hAnsi="宋体"/>
          <w:color w:val="auto"/>
          <w:sz w:val="24"/>
          <w:lang w:val="zh-CN"/>
        </w:rPr>
        <w:t xml:space="preserve">                             </w:t>
      </w:r>
      <w:r>
        <w:rPr>
          <w:rFonts w:ascii="宋体" w:hAnsi="宋体"/>
          <w:b/>
          <w:color w:val="auto"/>
          <w:sz w:val="24"/>
          <w:lang w:val="zh-CN"/>
        </w:rPr>
        <w:t xml:space="preserve">      乙方</w:t>
      </w:r>
      <w:r>
        <w:rPr>
          <w:rFonts w:hint="eastAsia" w:ascii="宋体" w:hAnsi="宋体"/>
          <w:color w:val="auto"/>
          <w:sz w:val="24"/>
          <w:lang w:val="zh-CN"/>
        </w:rPr>
        <w:t>：</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统一社会信用代码：</w:t>
      </w:r>
      <w:r>
        <w:rPr>
          <w:rFonts w:ascii="宋体" w:hAnsi="宋体"/>
          <w:color w:val="auto"/>
          <w:sz w:val="24"/>
          <w:lang w:val="zh-CN"/>
        </w:rPr>
        <w:t xml:space="preserve">                        </w:t>
      </w:r>
      <w:r>
        <w:rPr>
          <w:rFonts w:hint="eastAsia" w:ascii="宋体" w:hAnsi="宋体"/>
          <w:color w:val="auto"/>
          <w:sz w:val="24"/>
          <w:lang w:val="zh-CN"/>
        </w:rPr>
        <w:t>统一社会信用代码或身份证号码：</w:t>
      </w:r>
    </w:p>
    <w:p>
      <w:pPr>
        <w:autoSpaceDE w:val="0"/>
        <w:autoSpaceDN w:val="0"/>
        <w:spacing w:line="560" w:lineRule="exact"/>
        <w:rPr>
          <w:rFonts w:ascii="宋体" w:hAnsi="宋体"/>
          <w:color w:val="auto"/>
          <w:sz w:val="24"/>
          <w:lang w:val="zh-CN"/>
        </w:rPr>
      </w:pP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住所：</w:t>
      </w:r>
      <w:r>
        <w:rPr>
          <w:rFonts w:ascii="宋体" w:hAnsi="宋体"/>
          <w:color w:val="auto"/>
          <w:sz w:val="24"/>
          <w:lang w:val="zh-CN"/>
        </w:rPr>
        <w:t xml:space="preserve">                                   </w:t>
      </w:r>
      <w:r>
        <w:rPr>
          <w:rFonts w:hint="eastAsia" w:ascii="宋体" w:hAnsi="宋体"/>
          <w:color w:val="auto"/>
          <w:sz w:val="24"/>
          <w:lang w:val="zh-CN"/>
        </w:rPr>
        <w:t>住所：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法定代表人或</w:t>
      </w:r>
      <w:r>
        <w:rPr>
          <w:rFonts w:ascii="宋体" w:hAnsi="宋体"/>
          <w:color w:val="auto"/>
          <w:sz w:val="24"/>
          <w:lang w:val="zh-CN"/>
        </w:rPr>
        <w:t xml:space="preserve">                             </w:t>
      </w:r>
      <w:r>
        <w:rPr>
          <w:rFonts w:hint="eastAsia" w:ascii="宋体" w:hAnsi="宋体"/>
          <w:color w:val="auto"/>
          <w:sz w:val="24"/>
          <w:lang w:val="zh-CN"/>
        </w:rPr>
        <w:t>法定代表人或</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授权代表（签字）：</w:t>
      </w:r>
      <w:r>
        <w:rPr>
          <w:rFonts w:ascii="宋体" w:hAnsi="宋体"/>
          <w:color w:val="auto"/>
          <w:sz w:val="24"/>
          <w:lang w:val="zh-CN"/>
        </w:rPr>
        <w:t xml:space="preserve">                       授权代表（签字）: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联系人：</w:t>
      </w:r>
      <w:r>
        <w:rPr>
          <w:rFonts w:ascii="宋体" w:hAnsi="宋体"/>
          <w:color w:val="auto"/>
          <w:sz w:val="24"/>
          <w:lang w:val="zh-CN"/>
        </w:rPr>
        <w:t xml:space="preserve">                                 </w:t>
      </w:r>
      <w:r>
        <w:rPr>
          <w:rFonts w:hint="eastAsia" w:ascii="宋体" w:hAnsi="宋体"/>
          <w:color w:val="auto"/>
          <w:sz w:val="24"/>
          <w:lang w:val="zh-CN"/>
        </w:rPr>
        <w:t>联系人：</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约定送达地址：</w:t>
      </w:r>
      <w:r>
        <w:rPr>
          <w:rFonts w:ascii="宋体" w:hAnsi="宋体"/>
          <w:color w:val="auto"/>
          <w:sz w:val="24"/>
          <w:lang w:val="zh-CN"/>
        </w:rPr>
        <w:t xml:space="preserve">                           </w:t>
      </w:r>
      <w:r>
        <w:rPr>
          <w:rFonts w:hint="eastAsia" w:ascii="宋体" w:hAnsi="宋体"/>
          <w:color w:val="auto"/>
          <w:sz w:val="24"/>
          <w:lang w:val="zh-CN"/>
        </w:rPr>
        <w:t>约定送达地址：</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邮政编码：</w:t>
      </w:r>
      <w:r>
        <w:rPr>
          <w:rFonts w:ascii="宋体" w:hAnsi="宋体"/>
          <w:color w:val="auto"/>
          <w:sz w:val="24"/>
          <w:lang w:val="zh-CN"/>
        </w:rPr>
        <w:t xml:space="preserve">                               </w:t>
      </w:r>
      <w:r>
        <w:rPr>
          <w:rFonts w:hint="eastAsia" w:ascii="宋体" w:hAnsi="宋体"/>
          <w:color w:val="auto"/>
          <w:sz w:val="24"/>
          <w:lang w:val="zh-CN"/>
        </w:rPr>
        <w:t>邮政编码：</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电话</w:t>
      </w:r>
      <w:r>
        <w:rPr>
          <w:rFonts w:ascii="宋体" w:hAnsi="宋体"/>
          <w:color w:val="auto"/>
          <w:sz w:val="24"/>
          <w:lang w:val="zh-CN"/>
        </w:rPr>
        <w:t xml:space="preserve">:                                    电话: </w:t>
      </w:r>
    </w:p>
    <w:p>
      <w:pPr>
        <w:autoSpaceDE w:val="0"/>
        <w:autoSpaceDN w:val="0"/>
        <w:spacing w:line="560" w:lineRule="exact"/>
        <w:rPr>
          <w:rFonts w:ascii="宋体" w:hAnsi="宋体"/>
          <w:color w:val="auto"/>
          <w:sz w:val="24"/>
          <w:lang w:val="zh-CN"/>
        </w:rPr>
      </w:pPr>
      <w:r>
        <w:rPr>
          <w:rFonts w:hint="eastAsia" w:ascii="宋体" w:hAnsi="宋体"/>
          <w:color w:val="auto"/>
          <w:sz w:val="24"/>
          <w:lang w:val="zh-CN"/>
        </w:rPr>
        <w:t>传真</w:t>
      </w:r>
      <w:r>
        <w:rPr>
          <w:rFonts w:ascii="宋体" w:hAnsi="宋体"/>
          <w:color w:val="auto"/>
          <w:sz w:val="24"/>
          <w:lang w:val="zh-CN"/>
        </w:rPr>
        <w:t xml:space="preserve">:                                    </w:t>
      </w:r>
      <w:r>
        <w:rPr>
          <w:rFonts w:hint="eastAsia" w:ascii="宋体" w:hAnsi="宋体"/>
          <w:color w:val="auto"/>
          <w:sz w:val="24"/>
          <w:lang w:val="zh-CN"/>
        </w:rPr>
        <w:t>传真</w:t>
      </w:r>
      <w:r>
        <w:rPr>
          <w:rFonts w:ascii="宋体" w:hAnsi="宋体"/>
          <w:color w:val="auto"/>
          <w:sz w:val="24"/>
          <w:lang w:val="zh-CN"/>
        </w:rPr>
        <w:t>:</w:t>
      </w:r>
    </w:p>
    <w:p>
      <w:pPr>
        <w:autoSpaceDE w:val="0"/>
        <w:autoSpaceDN w:val="0"/>
        <w:spacing w:line="560" w:lineRule="exact"/>
        <w:rPr>
          <w:rFonts w:ascii="宋体" w:hAnsi="宋体"/>
          <w:color w:val="auto"/>
          <w:sz w:val="24"/>
        </w:rPr>
      </w:pPr>
      <w:r>
        <w:rPr>
          <w:rFonts w:hint="eastAsia" w:ascii="宋体" w:hAnsi="宋体"/>
          <w:color w:val="auto"/>
          <w:sz w:val="24"/>
          <w:lang w:val="zh-CN"/>
        </w:rPr>
        <w:t>电子邮箱：</w:t>
      </w:r>
      <w:r>
        <w:rPr>
          <w:rFonts w:ascii="宋体" w:hAnsi="宋体"/>
          <w:color w:val="auto"/>
          <w:sz w:val="24"/>
          <w:lang w:val="zh-CN"/>
        </w:rPr>
        <w:t xml:space="preserve">                               </w:t>
      </w:r>
      <w:r>
        <w:rPr>
          <w:rFonts w:hint="eastAsia" w:ascii="宋体" w:hAnsi="宋体"/>
          <w:color w:val="auto"/>
          <w:sz w:val="24"/>
          <w:lang w:val="zh-CN"/>
        </w:rPr>
        <w:t>电子邮箱：</w:t>
      </w:r>
    </w:p>
    <w:p>
      <w:pPr>
        <w:autoSpaceDE w:val="0"/>
        <w:autoSpaceDN w:val="0"/>
        <w:spacing w:line="560" w:lineRule="exact"/>
        <w:rPr>
          <w:rFonts w:ascii="宋体" w:hAnsi="宋体"/>
          <w:color w:val="auto"/>
          <w:sz w:val="24"/>
        </w:rPr>
      </w:pPr>
      <w:r>
        <w:rPr>
          <w:rFonts w:hint="eastAsia" w:ascii="宋体" w:hAnsi="宋体"/>
          <w:color w:val="auto"/>
          <w:sz w:val="24"/>
        </w:rPr>
        <w:t>开户银行：</w:t>
      </w:r>
      <w:r>
        <w:rPr>
          <w:rFonts w:ascii="宋体" w:hAnsi="宋体"/>
          <w:color w:val="auto"/>
          <w:sz w:val="24"/>
        </w:rPr>
        <w:t xml:space="preserve">                               开户银行： </w:t>
      </w:r>
    </w:p>
    <w:p>
      <w:pPr>
        <w:autoSpaceDE w:val="0"/>
        <w:autoSpaceDN w:val="0"/>
        <w:spacing w:line="560" w:lineRule="exact"/>
        <w:rPr>
          <w:rFonts w:ascii="宋体" w:hAnsi="宋体"/>
          <w:color w:val="auto"/>
          <w:sz w:val="24"/>
        </w:rPr>
      </w:pPr>
      <w:r>
        <w:rPr>
          <w:rFonts w:hint="eastAsia" w:ascii="宋体" w:hAnsi="宋体"/>
          <w:color w:val="auto"/>
          <w:sz w:val="24"/>
        </w:rPr>
        <w:t>开户名称：</w:t>
      </w:r>
      <w:r>
        <w:rPr>
          <w:rFonts w:ascii="宋体" w:hAnsi="宋体"/>
          <w:color w:val="auto"/>
          <w:sz w:val="24"/>
        </w:rPr>
        <w:t xml:space="preserve">                               开户名称： </w:t>
      </w:r>
    </w:p>
    <w:p>
      <w:pPr>
        <w:autoSpaceDE w:val="0"/>
        <w:autoSpaceDN w:val="0"/>
        <w:spacing w:line="560" w:lineRule="exact"/>
        <w:rPr>
          <w:rFonts w:ascii="宋体" w:hAnsi="宋体"/>
          <w:color w:val="auto"/>
          <w:sz w:val="24"/>
        </w:rPr>
      </w:pPr>
      <w:r>
        <w:rPr>
          <w:rFonts w:hint="eastAsia" w:ascii="宋体" w:hAnsi="宋体"/>
          <w:color w:val="auto"/>
          <w:sz w:val="24"/>
        </w:rPr>
        <w:t>开户账号：</w:t>
      </w:r>
      <w:r>
        <w:rPr>
          <w:rFonts w:ascii="宋体" w:hAnsi="宋体"/>
          <w:color w:val="auto"/>
          <w:sz w:val="24"/>
          <w:lang w:val="zh-CN"/>
        </w:rPr>
        <w:t xml:space="preserve">                               </w:t>
      </w:r>
      <w:r>
        <w:rPr>
          <w:rFonts w:hint="eastAsia" w:ascii="宋体" w:hAnsi="宋体"/>
          <w:color w:val="auto"/>
          <w:sz w:val="24"/>
        </w:rPr>
        <w:t>开户账号：</w:t>
      </w:r>
    </w:p>
    <w:p>
      <w:pPr>
        <w:widowControl/>
        <w:adjustRightInd/>
        <w:jc w:val="left"/>
        <w:rPr>
          <w:rFonts w:ascii="宋体" w:hAnsi="宋体"/>
          <w:b/>
          <w:color w:val="auto"/>
          <w:sz w:val="24"/>
        </w:rPr>
      </w:pPr>
    </w:p>
    <w:p>
      <w:pPr>
        <w:pStyle w:val="701"/>
        <w:spacing w:line="560" w:lineRule="exact"/>
        <w:ind w:firstLine="482"/>
        <w:jc w:val="center"/>
        <w:rPr>
          <w:rFonts w:ascii="宋体" w:hAnsi="宋体"/>
          <w:b/>
          <w:color w:val="auto"/>
          <w:szCs w:val="24"/>
        </w:rPr>
      </w:pPr>
      <w:r>
        <w:rPr>
          <w:rFonts w:hint="eastAsia" w:ascii="宋体" w:hAnsi="宋体"/>
          <w:b/>
          <w:color w:val="auto"/>
          <w:szCs w:val="24"/>
        </w:rPr>
        <w:t>第二部分</w:t>
      </w:r>
      <w:r>
        <w:rPr>
          <w:rFonts w:ascii="宋体" w:hAnsi="宋体"/>
          <w:b/>
          <w:color w:val="auto"/>
          <w:szCs w:val="24"/>
        </w:rPr>
        <w:t xml:space="preserve"> </w:t>
      </w:r>
      <w:r>
        <w:rPr>
          <w:rFonts w:hint="eastAsia" w:ascii="宋体" w:hAnsi="宋体"/>
          <w:b/>
          <w:color w:val="auto"/>
          <w:szCs w:val="24"/>
        </w:rPr>
        <w:t>合同一般条款</w:t>
      </w:r>
    </w:p>
    <w:p>
      <w:pPr>
        <w:spacing w:line="560" w:lineRule="exact"/>
        <w:ind w:firstLine="482" w:firstLineChars="200"/>
        <w:outlineLvl w:val="0"/>
        <w:rPr>
          <w:rFonts w:ascii="宋体" w:hAnsi="宋体"/>
          <w:b/>
          <w:color w:val="auto"/>
          <w:sz w:val="24"/>
        </w:rPr>
      </w:pPr>
      <w:r>
        <w:rPr>
          <w:rFonts w:ascii="宋体" w:hAnsi="宋体"/>
          <w:b/>
          <w:color w:val="auto"/>
          <w:sz w:val="24"/>
        </w:rPr>
        <w:t>2.1 定义</w:t>
      </w:r>
    </w:p>
    <w:p>
      <w:pPr>
        <w:spacing w:line="560" w:lineRule="exact"/>
        <w:ind w:firstLine="480" w:firstLineChars="200"/>
        <w:rPr>
          <w:rFonts w:ascii="宋体" w:hAnsi="宋体"/>
          <w:color w:val="auto"/>
          <w:sz w:val="24"/>
        </w:rPr>
      </w:pPr>
      <w:r>
        <w:rPr>
          <w:rFonts w:ascii="宋体" w:hAnsi="宋体"/>
          <w:color w:val="auto"/>
          <w:sz w:val="24"/>
        </w:rPr>
        <w:t>本合同中的下列</w:t>
      </w:r>
      <w:r>
        <w:rPr>
          <w:rFonts w:hint="eastAsia" w:ascii="宋体" w:hAnsi="宋体"/>
          <w:color w:val="auto"/>
          <w:sz w:val="24"/>
        </w:rPr>
        <w:t>词</w:t>
      </w:r>
      <w:r>
        <w:rPr>
          <w:rFonts w:ascii="宋体" w:hAnsi="宋体"/>
          <w:color w:val="auto"/>
          <w:sz w:val="24"/>
        </w:rPr>
        <w:t>语应</w:t>
      </w:r>
      <w:r>
        <w:rPr>
          <w:rFonts w:hint="eastAsia" w:ascii="宋体" w:hAnsi="宋体"/>
          <w:color w:val="auto"/>
          <w:sz w:val="24"/>
        </w:rPr>
        <w:t>按以下内容进行</w:t>
      </w:r>
      <w:r>
        <w:rPr>
          <w:rFonts w:ascii="宋体" w:hAnsi="宋体"/>
          <w:color w:val="auto"/>
          <w:sz w:val="24"/>
        </w:rPr>
        <w:t>解释：</w:t>
      </w:r>
    </w:p>
    <w:p>
      <w:pPr>
        <w:spacing w:line="560" w:lineRule="exact"/>
        <w:ind w:firstLine="480" w:firstLineChars="200"/>
        <w:rPr>
          <w:rFonts w:ascii="宋体" w:hAnsi="宋体"/>
          <w:color w:val="auto"/>
          <w:sz w:val="24"/>
        </w:rPr>
      </w:pPr>
      <w:r>
        <w:rPr>
          <w:rFonts w:ascii="宋体" w:hAnsi="宋体"/>
          <w:color w:val="auto"/>
          <w:sz w:val="24"/>
        </w:rPr>
        <w:t>2.1.1 “合同”系指采购人和</w:t>
      </w:r>
      <w:r>
        <w:rPr>
          <w:rFonts w:hint="eastAsia" w:ascii="宋体" w:hAnsi="宋体" w:cs="宋体"/>
          <w:color w:val="auto"/>
          <w:sz w:val="24"/>
        </w:rPr>
        <w:t>中标或成交</w:t>
      </w:r>
      <w:r>
        <w:rPr>
          <w:rFonts w:ascii="宋体" w:hAnsi="宋体"/>
          <w:color w:val="auto"/>
          <w:sz w:val="24"/>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rPr>
      </w:pPr>
      <w:r>
        <w:rPr>
          <w:rFonts w:ascii="宋体" w:hAnsi="宋体"/>
          <w:color w:val="auto"/>
          <w:sz w:val="24"/>
        </w:rPr>
        <w:t>2.1.2 “合同价”系指根据合同约定，</w:t>
      </w:r>
      <w:r>
        <w:rPr>
          <w:rFonts w:hint="eastAsia" w:ascii="宋体" w:hAnsi="宋体" w:cs="宋体"/>
          <w:color w:val="auto"/>
          <w:sz w:val="24"/>
        </w:rPr>
        <w:t>中标或成交</w:t>
      </w:r>
      <w:r>
        <w:rPr>
          <w:rFonts w:ascii="宋体" w:hAnsi="宋体"/>
          <w:color w:val="auto"/>
          <w:sz w:val="24"/>
        </w:rPr>
        <w:t>供应商在完全履行合同义务后</w:t>
      </w:r>
      <w:r>
        <w:rPr>
          <w:rFonts w:hint="eastAsia" w:ascii="宋体" w:hAnsi="宋体"/>
          <w:color w:val="auto"/>
          <w:sz w:val="24"/>
        </w:rPr>
        <w:t>，</w:t>
      </w:r>
      <w:r>
        <w:rPr>
          <w:rFonts w:ascii="宋体" w:hAnsi="宋体"/>
          <w:color w:val="auto"/>
          <w:sz w:val="24"/>
        </w:rPr>
        <w:t>采购人应支付给</w:t>
      </w:r>
      <w:r>
        <w:rPr>
          <w:rFonts w:hint="eastAsia" w:ascii="宋体" w:hAnsi="宋体" w:cs="宋体"/>
          <w:color w:val="auto"/>
          <w:sz w:val="24"/>
        </w:rPr>
        <w:t>中标或成交</w:t>
      </w:r>
      <w:r>
        <w:rPr>
          <w:rFonts w:ascii="宋体" w:hAnsi="宋体"/>
          <w:color w:val="auto"/>
          <w:sz w:val="24"/>
        </w:rPr>
        <w:t>供应商的价格。</w:t>
      </w:r>
    </w:p>
    <w:p>
      <w:pPr>
        <w:spacing w:line="560" w:lineRule="exact"/>
        <w:ind w:firstLine="480" w:firstLineChars="200"/>
        <w:rPr>
          <w:rFonts w:ascii="宋体" w:hAnsi="宋体"/>
          <w:color w:val="auto"/>
          <w:sz w:val="24"/>
        </w:rPr>
      </w:pPr>
      <w:r>
        <w:rPr>
          <w:rFonts w:ascii="宋体" w:hAnsi="宋体"/>
          <w:color w:val="auto"/>
          <w:sz w:val="24"/>
        </w:rPr>
        <w:t>2.1.3 “</w:t>
      </w:r>
      <w:r>
        <w:rPr>
          <w:rFonts w:hint="eastAsia" w:ascii="宋体" w:hAnsi="宋体"/>
          <w:color w:val="auto"/>
          <w:sz w:val="24"/>
        </w:rPr>
        <w:t>服务</w:t>
      </w:r>
      <w:r>
        <w:rPr>
          <w:rFonts w:ascii="宋体" w:hAnsi="宋体"/>
          <w:color w:val="auto"/>
          <w:sz w:val="24"/>
        </w:rPr>
        <w:t>”系指</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根据合同约定应向采购人</w:t>
      </w:r>
      <w:r>
        <w:rPr>
          <w:rFonts w:hint="eastAsia" w:ascii="宋体" w:hAnsi="宋体"/>
          <w:color w:val="auto"/>
          <w:sz w:val="24"/>
        </w:rPr>
        <w:t>履行</w:t>
      </w:r>
      <w:r>
        <w:rPr>
          <w:rFonts w:ascii="宋体" w:hAnsi="宋体"/>
          <w:color w:val="auto"/>
          <w:sz w:val="24"/>
        </w:rPr>
        <w:t>的</w:t>
      </w:r>
      <w:r>
        <w:rPr>
          <w:rFonts w:hint="eastAsia" w:ascii="宋体" w:hAnsi="宋体"/>
          <w:color w:val="auto"/>
          <w:sz w:val="24"/>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rPr>
      </w:pPr>
      <w:r>
        <w:rPr>
          <w:rFonts w:ascii="宋体" w:hAnsi="宋体"/>
          <w:color w:val="auto"/>
          <w:sz w:val="24"/>
        </w:rPr>
        <w:t>2.1.4 “</w:t>
      </w:r>
      <w:r>
        <w:rPr>
          <w:rFonts w:hint="eastAsia" w:ascii="宋体" w:hAnsi="宋体"/>
          <w:color w:val="auto"/>
          <w:sz w:val="24"/>
        </w:rPr>
        <w:t>甲方</w:t>
      </w:r>
      <w:r>
        <w:rPr>
          <w:rFonts w:ascii="宋体" w:hAnsi="宋体"/>
          <w:color w:val="auto"/>
          <w:sz w:val="24"/>
        </w:rPr>
        <w:t>”系指与</w:t>
      </w:r>
      <w:r>
        <w:rPr>
          <w:rFonts w:hint="eastAsia" w:ascii="宋体" w:hAnsi="宋体" w:cs="宋体"/>
          <w:color w:val="auto"/>
          <w:sz w:val="24"/>
        </w:rPr>
        <w:t>中标或成交</w:t>
      </w:r>
      <w:r>
        <w:rPr>
          <w:rFonts w:hint="eastAsia" w:ascii="宋体" w:hAnsi="宋体"/>
          <w:color w:val="auto"/>
          <w:sz w:val="24"/>
        </w:rPr>
        <w:t>供应商</w:t>
      </w:r>
      <w:r>
        <w:rPr>
          <w:rFonts w:ascii="宋体" w:hAnsi="宋体"/>
          <w:color w:val="auto"/>
          <w:sz w:val="24"/>
        </w:rPr>
        <w:t>签署合同的采购人</w:t>
      </w:r>
      <w:r>
        <w:rPr>
          <w:rFonts w:hint="eastAsia" w:ascii="宋体" w:hAnsi="宋体"/>
          <w:color w:val="auto"/>
          <w:sz w:val="24"/>
        </w:rPr>
        <w:t>；采购人委托采购代理机构代表其与乙方签订合同的，采购人的授权委托书作为合同附件。</w:t>
      </w:r>
    </w:p>
    <w:p>
      <w:pPr>
        <w:spacing w:line="560" w:lineRule="exact"/>
        <w:ind w:firstLine="480" w:firstLineChars="200"/>
        <w:rPr>
          <w:rFonts w:ascii="宋体" w:hAnsi="宋体"/>
          <w:color w:val="auto"/>
          <w:sz w:val="24"/>
        </w:rPr>
      </w:pPr>
      <w:r>
        <w:rPr>
          <w:rFonts w:ascii="宋体" w:hAnsi="宋体"/>
          <w:color w:val="auto"/>
          <w:sz w:val="24"/>
        </w:rPr>
        <w:t>2.1.5 “乙方”系指根据合同约定提供服务的</w:t>
      </w:r>
      <w:r>
        <w:rPr>
          <w:rFonts w:hint="eastAsia" w:ascii="宋体" w:hAnsi="宋体" w:cs="宋体"/>
          <w:color w:val="auto"/>
          <w:sz w:val="24"/>
        </w:rPr>
        <w:t>中标或成交</w:t>
      </w:r>
      <w:r>
        <w:rPr>
          <w:rFonts w:ascii="宋体" w:hAnsi="宋体"/>
          <w:color w:val="auto"/>
          <w:sz w:val="24"/>
        </w:rPr>
        <w:t>供应商</w:t>
      </w:r>
      <w:r>
        <w:rPr>
          <w:rFonts w:hint="eastAsia" w:ascii="宋体" w:hAnsi="宋体"/>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rPr>
      </w:pPr>
      <w:r>
        <w:rPr>
          <w:rFonts w:ascii="宋体" w:hAnsi="宋体"/>
          <w:color w:val="auto"/>
          <w:sz w:val="24"/>
        </w:rPr>
        <w:t>2.1.6 “现场”系指合同约定提供服务的地点。</w:t>
      </w:r>
    </w:p>
    <w:p>
      <w:pPr>
        <w:spacing w:line="560" w:lineRule="exact"/>
        <w:ind w:firstLine="482" w:firstLineChars="200"/>
        <w:outlineLvl w:val="0"/>
        <w:rPr>
          <w:rFonts w:ascii="宋体" w:hAnsi="宋体"/>
          <w:b/>
          <w:color w:val="auto"/>
          <w:sz w:val="24"/>
        </w:rPr>
      </w:pPr>
      <w:r>
        <w:rPr>
          <w:rFonts w:ascii="宋体" w:hAnsi="宋体"/>
          <w:b/>
          <w:color w:val="auto"/>
          <w:sz w:val="24"/>
        </w:rPr>
        <w:t>2.2 技术规范</w:t>
      </w:r>
    </w:p>
    <w:p>
      <w:pPr>
        <w:spacing w:line="560" w:lineRule="exact"/>
        <w:ind w:firstLine="480" w:firstLineChars="200"/>
        <w:rPr>
          <w:rFonts w:ascii="宋体" w:hAnsi="宋体"/>
          <w:color w:val="auto"/>
          <w:sz w:val="24"/>
        </w:rPr>
      </w:pPr>
      <w:r>
        <w:rPr>
          <w:rFonts w:hint="eastAsia" w:ascii="宋体" w:hAnsi="宋体"/>
          <w:color w:val="auto"/>
          <w:sz w:val="24"/>
        </w:rPr>
        <w:t>服务</w:t>
      </w:r>
      <w:r>
        <w:rPr>
          <w:rFonts w:ascii="宋体" w:hAnsi="宋体"/>
          <w:color w:val="auto"/>
          <w:sz w:val="24"/>
        </w:rPr>
        <w:t>所应遵守的技术规范应与采购文件规定的技术规范和技术规范附件(如果有的话)及其技术规范偏差表(如果被甲方接受的话)相一致</w:t>
      </w:r>
      <w:r>
        <w:rPr>
          <w:rFonts w:hint="eastAsia" w:ascii="宋体" w:hAnsi="宋体"/>
          <w:color w:val="auto"/>
          <w:sz w:val="24"/>
        </w:rPr>
        <w:t>；</w:t>
      </w:r>
      <w:r>
        <w:rPr>
          <w:rFonts w:ascii="宋体" w:hAnsi="宋体"/>
          <w:color w:val="auto"/>
          <w:sz w:val="24"/>
        </w:rPr>
        <w:t>如果采购文件中没有技术规范的相应说明，那么应以国家有关部门最新颁布的相应标准</w:t>
      </w:r>
      <w:r>
        <w:rPr>
          <w:rFonts w:hint="eastAsia" w:ascii="宋体" w:hAnsi="宋体"/>
          <w:color w:val="auto"/>
          <w:sz w:val="24"/>
        </w:rPr>
        <w:t>和</w:t>
      </w:r>
      <w:r>
        <w:rPr>
          <w:rFonts w:ascii="宋体" w:hAnsi="宋体"/>
          <w:color w:val="auto"/>
          <w:sz w:val="24"/>
        </w:rPr>
        <w:t>规范为准。</w:t>
      </w:r>
    </w:p>
    <w:p>
      <w:pPr>
        <w:spacing w:line="560" w:lineRule="exact"/>
        <w:ind w:firstLine="482" w:firstLineChars="200"/>
        <w:outlineLvl w:val="0"/>
        <w:rPr>
          <w:rFonts w:ascii="宋体" w:hAnsi="宋体"/>
          <w:b/>
          <w:color w:val="auto"/>
          <w:sz w:val="24"/>
        </w:rPr>
      </w:pPr>
      <w:r>
        <w:rPr>
          <w:rFonts w:ascii="宋体" w:hAnsi="宋体"/>
          <w:b/>
          <w:color w:val="auto"/>
          <w:sz w:val="24"/>
        </w:rPr>
        <w:t>2.3 知识产权</w:t>
      </w:r>
    </w:p>
    <w:p>
      <w:pPr>
        <w:spacing w:line="560" w:lineRule="exact"/>
        <w:ind w:firstLine="480" w:firstLineChars="200"/>
        <w:rPr>
          <w:rFonts w:ascii="宋体" w:hAnsi="宋体"/>
          <w:color w:val="auto"/>
          <w:sz w:val="24"/>
        </w:rPr>
      </w:pPr>
      <w:r>
        <w:rPr>
          <w:rFonts w:ascii="宋体" w:hAnsi="宋体"/>
          <w:color w:val="auto"/>
          <w:sz w:val="24"/>
        </w:rPr>
        <w:t xml:space="preserve">2.3.1 </w:t>
      </w:r>
      <w:r>
        <w:rPr>
          <w:rFonts w:hint="eastAsia" w:ascii="宋体" w:hAnsi="宋体"/>
          <w:color w:val="auto"/>
          <w:sz w:val="24"/>
        </w:rPr>
        <w:t>乙</w:t>
      </w:r>
      <w:r>
        <w:rPr>
          <w:rFonts w:ascii="宋体" w:hAnsi="宋体"/>
          <w:color w:val="auto"/>
          <w:sz w:val="24"/>
        </w:rPr>
        <w:t>方应保证</w:t>
      </w:r>
      <w:r>
        <w:rPr>
          <w:rFonts w:hint="eastAsia" w:ascii="宋体" w:hAnsi="宋体"/>
          <w:color w:val="auto"/>
          <w:sz w:val="24"/>
        </w:rPr>
        <w:t>其提供的服务</w:t>
      </w:r>
      <w:r>
        <w:rPr>
          <w:rFonts w:ascii="宋体" w:hAnsi="宋体"/>
          <w:color w:val="auto"/>
          <w:sz w:val="24"/>
        </w:rPr>
        <w:t>不受任何第三方提出的侵犯其著作权、商标权、专利权等知识产权方面的起诉</w:t>
      </w:r>
      <w:r>
        <w:rPr>
          <w:rFonts w:hint="eastAsia" w:ascii="宋体" w:hAnsi="宋体"/>
          <w:color w:val="auto"/>
          <w:sz w:val="24"/>
        </w:rPr>
        <w:t>；</w:t>
      </w:r>
      <w:r>
        <w:rPr>
          <w:rFonts w:ascii="宋体" w:hAnsi="宋体"/>
          <w:color w:val="auto"/>
          <w:sz w:val="24"/>
        </w:rPr>
        <w:t>如果任何第三方提出侵权</w:t>
      </w:r>
      <w:r>
        <w:rPr>
          <w:rFonts w:hint="eastAsia" w:ascii="宋体" w:hAnsi="宋体"/>
          <w:color w:val="auto"/>
          <w:sz w:val="24"/>
        </w:rPr>
        <w:t>指控</w:t>
      </w:r>
      <w:r>
        <w:rPr>
          <w:rFonts w:ascii="宋体" w:hAnsi="宋体"/>
          <w:color w:val="auto"/>
          <w:sz w:val="24"/>
        </w:rPr>
        <w:t>，那么乙方须与该第三方交涉并承担由此发生的一切责任、费用和赔偿</w:t>
      </w:r>
      <w:r>
        <w:rPr>
          <w:rFonts w:hint="eastAsia" w:ascii="宋体" w:hAnsi="宋体"/>
          <w:color w:val="auto"/>
          <w:sz w:val="24"/>
        </w:rPr>
        <w:t>，乙方还应及时澄清相关信息，使甲方声誉免受损害，甲方保留追责的权利。</w:t>
      </w:r>
    </w:p>
    <w:p>
      <w:pPr>
        <w:spacing w:line="560" w:lineRule="exact"/>
        <w:ind w:firstLine="480" w:firstLineChars="200"/>
        <w:rPr>
          <w:rFonts w:ascii="宋体" w:hAnsi="宋体"/>
          <w:color w:val="auto"/>
          <w:sz w:val="24"/>
        </w:rPr>
      </w:pPr>
      <w:r>
        <w:rPr>
          <w:rFonts w:ascii="宋体" w:hAnsi="宋体"/>
          <w:color w:val="auto"/>
          <w:sz w:val="24"/>
        </w:rPr>
        <w:t xml:space="preserve">2.3.2 </w:t>
      </w:r>
      <w:r>
        <w:rPr>
          <w:rFonts w:hint="eastAsia" w:ascii="宋体" w:hAnsi="宋体"/>
          <w:color w:val="auto"/>
          <w:sz w:val="24"/>
        </w:rPr>
        <w:t>合同涉及技术成果的归属和收益的分成办法的，</w:t>
      </w: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rPr>
          <w:rFonts w:ascii="宋体" w:hAnsi="宋体"/>
          <w:b/>
          <w:color w:val="auto"/>
          <w:sz w:val="24"/>
        </w:rPr>
      </w:pPr>
      <w:r>
        <w:rPr>
          <w:rFonts w:ascii="宋体" w:hAnsi="宋体"/>
          <w:b/>
          <w:color w:val="auto"/>
          <w:sz w:val="24"/>
        </w:rPr>
        <w:t xml:space="preserve">2.4 </w:t>
      </w:r>
      <w:r>
        <w:rPr>
          <w:rFonts w:hint="eastAsia" w:ascii="宋体" w:hAnsi="宋体"/>
          <w:b/>
          <w:color w:val="auto"/>
          <w:sz w:val="24"/>
        </w:rPr>
        <w:t>履约检查和问题反馈</w:t>
      </w:r>
    </w:p>
    <w:p>
      <w:pPr>
        <w:spacing w:line="560" w:lineRule="exact"/>
        <w:ind w:firstLine="480" w:firstLineChars="200"/>
        <w:rPr>
          <w:rFonts w:ascii="宋体" w:hAnsi="宋体"/>
          <w:color w:val="auto"/>
          <w:sz w:val="24"/>
        </w:rPr>
      </w:pPr>
      <w:r>
        <w:rPr>
          <w:rFonts w:ascii="宋体" w:hAnsi="宋体"/>
          <w:color w:val="auto"/>
          <w:sz w:val="24"/>
        </w:rPr>
        <w:t>2.4.1甲方</w:t>
      </w:r>
      <w:r>
        <w:rPr>
          <w:rFonts w:hint="eastAsia" w:ascii="宋体" w:hAnsi="宋体"/>
          <w:color w:val="auto"/>
          <w:sz w:val="24"/>
        </w:rPr>
        <w:t>有权</w:t>
      </w:r>
      <w:r>
        <w:rPr>
          <w:rFonts w:ascii="宋体" w:hAnsi="宋体"/>
          <w:color w:val="auto"/>
          <w:sz w:val="24"/>
        </w:rPr>
        <w:t>在其认为必要时</w:t>
      </w:r>
      <w:r>
        <w:rPr>
          <w:rFonts w:hint="eastAsia" w:ascii="宋体" w:hAnsi="宋体"/>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rPr>
      </w:pPr>
      <w:r>
        <w:rPr>
          <w:rFonts w:ascii="宋体" w:hAnsi="宋体"/>
          <w:color w:val="auto"/>
          <w:sz w:val="24"/>
        </w:rPr>
        <w:t xml:space="preserve">2.4.2 </w:t>
      </w:r>
      <w:r>
        <w:rPr>
          <w:rFonts w:hint="eastAsia" w:ascii="宋体" w:hAnsi="宋体"/>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rPr>
      </w:pPr>
      <w:r>
        <w:rPr>
          <w:rFonts w:ascii="宋体" w:hAnsi="宋体"/>
          <w:b/>
          <w:color w:val="auto"/>
          <w:sz w:val="24"/>
        </w:rPr>
        <w:t>2.5 结算方式和付款条件</w:t>
      </w:r>
    </w:p>
    <w:p>
      <w:pPr>
        <w:spacing w:line="560" w:lineRule="exact"/>
        <w:ind w:firstLine="480" w:firstLineChars="200"/>
        <w:rPr>
          <w:rFonts w:ascii="宋体" w:hAnsi="宋体"/>
          <w:color w:val="auto"/>
          <w:sz w:val="24"/>
        </w:rPr>
      </w:pPr>
      <w:r>
        <w:rPr>
          <w:rFonts w:ascii="宋体" w:hAnsi="宋体"/>
          <w:color w:val="auto"/>
          <w:sz w:val="24"/>
        </w:rPr>
        <w:t>详见</w:t>
      </w:r>
      <w:r>
        <w:rPr>
          <w:rFonts w:ascii="宋体" w:hAnsi="宋体"/>
          <w:b/>
          <w:i/>
          <w:color w:val="auto"/>
          <w:sz w:val="24"/>
          <w:u w:val="single"/>
        </w:rPr>
        <w:t>合同专用条款</w:t>
      </w:r>
      <w:r>
        <w:rPr>
          <w:rFonts w:ascii="宋体" w:hAnsi="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2.6 技术资料和保密义务</w:t>
      </w:r>
    </w:p>
    <w:p>
      <w:pPr>
        <w:spacing w:line="560" w:lineRule="exact"/>
        <w:ind w:firstLine="480" w:firstLineChars="200"/>
        <w:rPr>
          <w:rFonts w:ascii="宋体" w:hAnsi="宋体"/>
          <w:color w:val="auto"/>
          <w:sz w:val="24"/>
        </w:rPr>
      </w:pPr>
      <w:r>
        <w:rPr>
          <w:rFonts w:ascii="宋体" w:hAnsi="宋体"/>
          <w:color w:val="auto"/>
          <w:sz w:val="24"/>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rPr>
      </w:pPr>
      <w:r>
        <w:rPr>
          <w:rFonts w:ascii="宋体" w:hAnsi="宋体"/>
          <w:color w:val="auto"/>
          <w:sz w:val="24"/>
        </w:rPr>
        <w:t xml:space="preserve">2.6.2 </w:t>
      </w:r>
      <w:r>
        <w:rPr>
          <w:rFonts w:hint="eastAsia" w:ascii="宋体" w:hAnsi="宋体"/>
          <w:color w:val="auto"/>
          <w:sz w:val="24"/>
        </w:rPr>
        <w:t>乙方有义务妥善保管和保护由甲方提供的前款信息和资料等；</w:t>
      </w:r>
    </w:p>
    <w:p>
      <w:pPr>
        <w:spacing w:line="560" w:lineRule="exact"/>
        <w:ind w:firstLine="480" w:firstLineChars="200"/>
        <w:rPr>
          <w:rFonts w:ascii="宋体" w:hAnsi="宋体"/>
          <w:color w:val="auto"/>
          <w:sz w:val="24"/>
        </w:rPr>
      </w:pPr>
      <w:r>
        <w:rPr>
          <w:rFonts w:ascii="宋体" w:hAnsi="宋体"/>
          <w:color w:val="auto"/>
          <w:sz w:val="24"/>
        </w:rPr>
        <w:t xml:space="preserve">2.6.3 </w:t>
      </w:r>
      <w:r>
        <w:rPr>
          <w:rFonts w:hint="eastAsia" w:ascii="宋体" w:hAnsi="宋体"/>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rPr>
        <w:t>技术情报</w:t>
      </w:r>
      <w:r>
        <w:rPr>
          <w:rFonts w:hint="eastAsia" w:ascii="宋体" w:hAnsi="宋体"/>
          <w:color w:val="auto"/>
          <w:sz w:val="24"/>
        </w:rPr>
        <w:t>、</w:t>
      </w:r>
      <w:r>
        <w:rPr>
          <w:rFonts w:ascii="宋体" w:hAnsi="宋体"/>
          <w:color w:val="auto"/>
          <w:sz w:val="24"/>
        </w:rPr>
        <w:t>技术资料</w:t>
      </w:r>
      <w:r>
        <w:rPr>
          <w:rFonts w:hint="eastAsia" w:ascii="宋体" w:hAnsi="宋体"/>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2.7 </w:t>
      </w:r>
      <w:r>
        <w:rPr>
          <w:rFonts w:hint="eastAsia" w:ascii="宋体" w:hAnsi="宋体"/>
          <w:b/>
          <w:color w:val="auto"/>
          <w:sz w:val="24"/>
        </w:rPr>
        <w:t>质量保证</w:t>
      </w:r>
    </w:p>
    <w:p>
      <w:pPr>
        <w:spacing w:line="560" w:lineRule="exact"/>
        <w:ind w:firstLine="480" w:firstLineChars="200"/>
        <w:rPr>
          <w:rFonts w:ascii="宋体" w:hAnsi="宋体"/>
          <w:color w:val="auto"/>
          <w:sz w:val="24"/>
        </w:rPr>
      </w:pPr>
      <w:r>
        <w:rPr>
          <w:rFonts w:ascii="宋体" w:hAnsi="宋体"/>
          <w:color w:val="auto"/>
          <w:sz w:val="24"/>
        </w:rPr>
        <w:t xml:space="preserve">2.7.1 </w:t>
      </w:r>
      <w:r>
        <w:rPr>
          <w:rFonts w:hint="eastAsia" w:ascii="宋体" w:hAnsi="宋体"/>
          <w:color w:val="auto"/>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rPr>
      </w:pPr>
      <w:r>
        <w:rPr>
          <w:rFonts w:ascii="宋体" w:hAnsi="宋体"/>
          <w:color w:val="auto"/>
          <w:sz w:val="24"/>
        </w:rPr>
        <w:t xml:space="preserve">2.7.2 </w:t>
      </w:r>
      <w:r>
        <w:rPr>
          <w:rFonts w:hint="eastAsia" w:ascii="宋体" w:hAnsi="宋体"/>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2.8 </w:t>
      </w:r>
      <w:r>
        <w:rPr>
          <w:rFonts w:hint="eastAsia" w:ascii="宋体" w:hAnsi="宋体"/>
          <w:b/>
          <w:color w:val="auto"/>
          <w:sz w:val="24"/>
        </w:rPr>
        <w:t>延迟履行</w:t>
      </w:r>
    </w:p>
    <w:p>
      <w:pPr>
        <w:spacing w:line="560" w:lineRule="exact"/>
        <w:ind w:firstLine="480" w:firstLineChars="200"/>
        <w:rPr>
          <w:rFonts w:ascii="宋体" w:hAnsi="宋体"/>
          <w:color w:val="auto"/>
          <w:sz w:val="24"/>
        </w:rPr>
      </w:pPr>
      <w:r>
        <w:rPr>
          <w:rFonts w:hint="eastAsia" w:ascii="宋体" w:hAnsi="宋体"/>
          <w:color w:val="auto"/>
          <w:sz w:val="24"/>
        </w:rPr>
        <w:t>甲乙双方签订合同后，乙方应按照合同约定履行合同义务，除不可抗力外，乙方不得延迟履行。</w:t>
      </w:r>
      <w:r>
        <w:rPr>
          <w:rFonts w:ascii="宋体" w:hAnsi="宋体"/>
          <w:color w:val="auto"/>
          <w:sz w:val="24"/>
        </w:rPr>
        <w:t>在合同履行过程中，如果</w:t>
      </w:r>
      <w:r>
        <w:rPr>
          <w:rFonts w:hint="eastAsia" w:ascii="宋体" w:hAnsi="宋体"/>
          <w:color w:val="auto"/>
          <w:sz w:val="24"/>
        </w:rPr>
        <w:t>因不可抗力，</w:t>
      </w:r>
      <w:r>
        <w:rPr>
          <w:rFonts w:ascii="宋体" w:hAnsi="宋体"/>
          <w:color w:val="auto"/>
          <w:sz w:val="24"/>
        </w:rPr>
        <w:t>乙方遇到不能按时</w:t>
      </w:r>
      <w:r>
        <w:rPr>
          <w:rFonts w:hint="eastAsia" w:ascii="宋体" w:hAnsi="宋体"/>
          <w:color w:val="auto"/>
          <w:sz w:val="24"/>
        </w:rPr>
        <w:t>提供服务</w:t>
      </w:r>
      <w:r>
        <w:rPr>
          <w:rFonts w:ascii="宋体" w:hAnsi="宋体"/>
          <w:color w:val="auto"/>
          <w:sz w:val="24"/>
        </w:rPr>
        <w:t>的情况，应及时以书面形式将不能按时</w:t>
      </w:r>
      <w:r>
        <w:rPr>
          <w:rFonts w:hint="eastAsia" w:ascii="宋体" w:hAnsi="宋体"/>
          <w:color w:val="auto"/>
          <w:sz w:val="24"/>
        </w:rPr>
        <w:t>提供服务</w:t>
      </w:r>
      <w:r>
        <w:rPr>
          <w:rFonts w:ascii="宋体" w:hAnsi="宋体"/>
          <w:color w:val="auto"/>
          <w:sz w:val="24"/>
        </w:rPr>
        <w:t>的理由、预期延误时间通知甲方</w:t>
      </w:r>
      <w:r>
        <w:rPr>
          <w:rFonts w:hint="eastAsia" w:ascii="宋体" w:hAnsi="宋体"/>
          <w:color w:val="auto"/>
          <w:sz w:val="24"/>
        </w:rPr>
        <w:t>；甲</w:t>
      </w:r>
      <w:r>
        <w:rPr>
          <w:rFonts w:ascii="宋体" w:hAnsi="宋体"/>
          <w:color w:val="auto"/>
          <w:sz w:val="24"/>
        </w:rPr>
        <w:t>方收到乙方通知后，认为其理由正当的，可以书面形式酌情同意乙方可以延长</w:t>
      </w:r>
      <w:r>
        <w:rPr>
          <w:rFonts w:hint="eastAsia" w:ascii="宋体" w:hAnsi="宋体"/>
          <w:color w:val="auto"/>
          <w:sz w:val="24"/>
        </w:rPr>
        <w:t>履行</w:t>
      </w:r>
      <w:r>
        <w:rPr>
          <w:rFonts w:ascii="宋体" w:hAnsi="宋体"/>
          <w:color w:val="auto"/>
          <w:sz w:val="24"/>
        </w:rPr>
        <w:t>的具体时间。</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2.9 </w:t>
      </w:r>
      <w:r>
        <w:rPr>
          <w:rFonts w:hint="eastAsia" w:ascii="宋体" w:hAnsi="宋体"/>
          <w:b/>
          <w:color w:val="auto"/>
          <w:sz w:val="24"/>
        </w:rPr>
        <w:t>合同变更</w:t>
      </w:r>
    </w:p>
    <w:p>
      <w:pPr>
        <w:spacing w:line="560" w:lineRule="exact"/>
        <w:ind w:firstLine="480" w:firstLineChars="200"/>
        <w:rPr>
          <w:rFonts w:ascii="宋体" w:hAnsi="宋体"/>
          <w:color w:val="auto"/>
          <w:sz w:val="24"/>
        </w:rPr>
      </w:pPr>
      <w:r>
        <w:rPr>
          <w:rFonts w:hint="eastAsia" w:ascii="宋体" w:hAnsi="宋体"/>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r>
        <w:rPr>
          <w:rFonts w:ascii="宋体" w:hAnsi="宋体"/>
          <w:b/>
          <w:color w:val="auto"/>
          <w:sz w:val="24"/>
        </w:rPr>
        <w:t>2.10 合同转让和分包</w:t>
      </w:r>
    </w:p>
    <w:p>
      <w:pPr>
        <w:spacing w:line="560" w:lineRule="exact"/>
        <w:ind w:firstLine="480" w:firstLineChars="200"/>
        <w:rPr>
          <w:rFonts w:ascii="宋体" w:hAnsi="宋体"/>
          <w:color w:val="auto"/>
          <w:sz w:val="24"/>
        </w:rPr>
      </w:pPr>
      <w:r>
        <w:rPr>
          <w:rFonts w:ascii="宋体" w:hAnsi="宋体"/>
          <w:color w:val="auto"/>
          <w:sz w:val="24"/>
        </w:rPr>
        <w:t>合同的权利义务依法不</w:t>
      </w:r>
      <w:r>
        <w:rPr>
          <w:rFonts w:hint="eastAsia" w:ascii="宋体" w:hAnsi="宋体"/>
          <w:color w:val="auto"/>
          <w:sz w:val="24"/>
        </w:rPr>
        <w:t>得</w:t>
      </w:r>
      <w:r>
        <w:rPr>
          <w:rFonts w:ascii="宋体" w:hAnsi="宋体"/>
          <w:color w:val="auto"/>
          <w:sz w:val="24"/>
        </w:rPr>
        <w:t>转让</w:t>
      </w:r>
      <w:r>
        <w:rPr>
          <w:rFonts w:hint="eastAsia" w:ascii="宋体" w:hAnsi="宋体"/>
          <w:color w:val="auto"/>
          <w:sz w:val="24"/>
        </w:rPr>
        <w:t>，</w:t>
      </w:r>
      <w:r>
        <w:rPr>
          <w:rFonts w:ascii="宋体" w:hAnsi="宋体"/>
          <w:color w:val="auto"/>
          <w:sz w:val="24"/>
        </w:rPr>
        <w:t>但经甲方</w:t>
      </w:r>
      <w:r>
        <w:rPr>
          <w:rFonts w:hint="eastAsia" w:ascii="宋体" w:hAnsi="宋体"/>
          <w:color w:val="auto"/>
          <w:sz w:val="24"/>
        </w:rPr>
        <w:t>书面</w:t>
      </w:r>
      <w:r>
        <w:rPr>
          <w:rFonts w:hint="eastAsia" w:ascii="宋体" w:hAnsi="宋体"/>
          <w:color w:val="auto"/>
          <w:sz w:val="24"/>
        </w:rPr>
        <w:t>同意，乙方可以依法采取分包方式履行合同，即：依法可以</w:t>
      </w:r>
      <w:r>
        <w:rPr>
          <w:rFonts w:ascii="宋体" w:hAnsi="宋体"/>
          <w:color w:val="auto"/>
          <w:sz w:val="24"/>
        </w:rPr>
        <w:t>将合同项下的部分非主体、非关键性工作分包给他人完成</w:t>
      </w:r>
      <w:r>
        <w:rPr>
          <w:rFonts w:hint="eastAsia" w:ascii="宋体" w:hAnsi="宋体"/>
          <w:color w:val="auto"/>
          <w:sz w:val="24"/>
        </w:rPr>
        <w:t>，</w:t>
      </w:r>
      <w:r>
        <w:rPr>
          <w:rFonts w:ascii="宋体" w:hAnsi="宋体"/>
          <w:color w:val="auto"/>
          <w:sz w:val="24"/>
        </w:rPr>
        <w:t>接受分包的人应当具备相应的资格条件，并不得再次分包</w:t>
      </w:r>
      <w:r>
        <w:rPr>
          <w:rFonts w:hint="eastAsia" w:ascii="宋体" w:hAnsi="宋体"/>
          <w:color w:val="auto"/>
          <w:sz w:val="24"/>
        </w:rPr>
        <w:t>，</w:t>
      </w:r>
      <w:r>
        <w:rPr>
          <w:rFonts w:ascii="宋体" w:hAnsi="宋体"/>
          <w:color w:val="auto"/>
          <w:sz w:val="24"/>
        </w:rPr>
        <w:t>且乙方应就分包项目向甲方负责</w:t>
      </w:r>
      <w:r>
        <w:rPr>
          <w:rFonts w:hint="eastAsia" w:ascii="宋体" w:hAnsi="宋体"/>
          <w:color w:val="auto"/>
          <w:sz w:val="24"/>
        </w:rPr>
        <w:t>，</w:t>
      </w:r>
      <w:r>
        <w:rPr>
          <w:rFonts w:ascii="宋体" w:hAnsi="宋体"/>
          <w:color w:val="auto"/>
          <w:sz w:val="24"/>
        </w:rPr>
        <w:t>并</w:t>
      </w:r>
      <w:r>
        <w:rPr>
          <w:rFonts w:hint="eastAsia" w:ascii="宋体" w:hAnsi="宋体"/>
          <w:color w:val="auto"/>
          <w:sz w:val="24"/>
        </w:rPr>
        <w:t>与分包供应商就分包项目向甲方承担连带责任。</w:t>
      </w:r>
    </w:p>
    <w:p>
      <w:pPr>
        <w:spacing w:line="560" w:lineRule="exact"/>
        <w:ind w:firstLine="482" w:firstLineChars="200"/>
        <w:outlineLvl w:val="0"/>
        <w:rPr>
          <w:rFonts w:ascii="宋体" w:hAnsi="宋体"/>
          <w:b/>
          <w:color w:val="auto"/>
          <w:sz w:val="24"/>
        </w:rPr>
      </w:pPr>
      <w:r>
        <w:rPr>
          <w:rFonts w:ascii="宋体" w:hAnsi="宋体"/>
          <w:b/>
          <w:color w:val="auto"/>
          <w:sz w:val="24"/>
        </w:rPr>
        <w:t>2.11 不可抗力</w:t>
      </w:r>
    </w:p>
    <w:p>
      <w:pPr>
        <w:spacing w:line="560" w:lineRule="exact"/>
        <w:ind w:firstLine="480" w:firstLineChars="200"/>
        <w:rPr>
          <w:rFonts w:ascii="宋体" w:hAnsi="宋体"/>
          <w:color w:val="auto"/>
          <w:sz w:val="24"/>
        </w:rPr>
      </w:pPr>
      <w:r>
        <w:rPr>
          <w:rFonts w:ascii="宋体" w:hAnsi="宋体"/>
          <w:color w:val="auto"/>
          <w:sz w:val="24"/>
        </w:rPr>
        <w:t>2.11.1如果任何一方遭遇法律规定的不可抗力，致使合同履行受阻时，履行合同的期限应予延长，延长的期限应相当于不可抗力所影响的时间</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2.11.2 </w:t>
      </w:r>
      <w:r>
        <w:rPr>
          <w:rFonts w:hint="eastAsia" w:ascii="宋体" w:hAnsi="宋体"/>
          <w:color w:val="auto"/>
          <w:sz w:val="24"/>
        </w:rPr>
        <w:t>因不可抗力致使不能实现合同目的的，当事人可以解除合同；</w:t>
      </w:r>
    </w:p>
    <w:p>
      <w:pPr>
        <w:spacing w:line="560" w:lineRule="exact"/>
        <w:ind w:firstLine="480" w:firstLineChars="200"/>
        <w:rPr>
          <w:rFonts w:ascii="宋体" w:hAnsi="宋体"/>
          <w:color w:val="auto"/>
          <w:sz w:val="24"/>
        </w:rPr>
      </w:pPr>
      <w:r>
        <w:rPr>
          <w:rFonts w:ascii="宋体" w:hAnsi="宋体"/>
          <w:color w:val="auto"/>
          <w:sz w:val="24"/>
        </w:rPr>
        <w:t xml:space="preserve">2.11.3 </w:t>
      </w:r>
      <w:r>
        <w:rPr>
          <w:rFonts w:hint="eastAsia" w:ascii="宋体" w:hAnsi="宋体"/>
          <w:color w:val="auto"/>
          <w:sz w:val="24"/>
        </w:rPr>
        <w:t>因</w:t>
      </w:r>
      <w:r>
        <w:rPr>
          <w:rFonts w:ascii="宋体" w:hAnsi="宋体"/>
          <w:color w:val="auto"/>
          <w:sz w:val="24"/>
        </w:rPr>
        <w:t>不可抗力致使合同有变更必要的，双方当事人应在</w:t>
      </w:r>
      <w:r>
        <w:rPr>
          <w:rFonts w:ascii="宋体" w:hAnsi="宋体"/>
          <w:b/>
          <w:i/>
          <w:color w:val="auto"/>
          <w:sz w:val="24"/>
          <w:u w:val="single"/>
        </w:rPr>
        <w:t>合同专用条款</w:t>
      </w:r>
      <w:r>
        <w:rPr>
          <w:rFonts w:ascii="宋体" w:hAnsi="宋体"/>
          <w:color w:val="auto"/>
          <w:sz w:val="24"/>
        </w:rPr>
        <w:t>约定时间内以书面形式变更合同</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2.11.4受</w:t>
      </w:r>
      <w:r>
        <w:rPr>
          <w:rFonts w:hint="eastAsia" w:ascii="宋体" w:hAnsi="宋体"/>
          <w:color w:val="auto"/>
          <w:sz w:val="24"/>
        </w:rPr>
        <w:t>不可抗力</w:t>
      </w:r>
      <w:r>
        <w:rPr>
          <w:rFonts w:ascii="宋体" w:hAnsi="宋体"/>
          <w:color w:val="auto"/>
          <w:sz w:val="24"/>
        </w:rPr>
        <w:t>影响的一方在不可抗力发生后</w:t>
      </w:r>
      <w:r>
        <w:rPr>
          <w:rFonts w:hint="eastAsia" w:ascii="宋体" w:hAnsi="宋体"/>
          <w:color w:val="auto"/>
          <w:sz w:val="24"/>
        </w:rPr>
        <w:t>，</w:t>
      </w:r>
      <w:r>
        <w:rPr>
          <w:rFonts w:ascii="宋体" w:hAnsi="宋体"/>
          <w:color w:val="auto"/>
          <w:sz w:val="24"/>
        </w:rPr>
        <w:t>应在</w:t>
      </w:r>
      <w:r>
        <w:rPr>
          <w:rFonts w:ascii="宋体" w:hAnsi="宋体"/>
          <w:b/>
          <w:i/>
          <w:color w:val="auto"/>
          <w:sz w:val="24"/>
          <w:u w:val="single"/>
        </w:rPr>
        <w:t>合同专用条款</w:t>
      </w:r>
      <w:r>
        <w:rPr>
          <w:rFonts w:ascii="宋体" w:hAnsi="宋体"/>
          <w:color w:val="auto"/>
          <w:sz w:val="24"/>
        </w:rPr>
        <w:t>约定时间内以书面形式通知</w:t>
      </w:r>
      <w:r>
        <w:rPr>
          <w:rFonts w:hint="eastAsia" w:ascii="宋体" w:hAnsi="宋体"/>
          <w:color w:val="auto"/>
          <w:sz w:val="24"/>
        </w:rPr>
        <w:t>对</w:t>
      </w:r>
      <w:r>
        <w:rPr>
          <w:rFonts w:ascii="宋体" w:hAnsi="宋体"/>
          <w:color w:val="auto"/>
          <w:sz w:val="24"/>
        </w:rPr>
        <w:t>方当事人，并在</w:t>
      </w:r>
      <w:r>
        <w:rPr>
          <w:rFonts w:ascii="宋体" w:hAnsi="宋体"/>
          <w:b/>
          <w:i/>
          <w:color w:val="auto"/>
          <w:sz w:val="24"/>
          <w:u w:val="single"/>
        </w:rPr>
        <w:t>合同专用条款</w:t>
      </w:r>
      <w:r>
        <w:rPr>
          <w:rFonts w:ascii="宋体" w:hAnsi="宋体"/>
          <w:color w:val="auto"/>
          <w:sz w:val="24"/>
        </w:rPr>
        <w:t>约定时间内，将有关部门出具的证明文件送达</w:t>
      </w:r>
      <w:r>
        <w:rPr>
          <w:rFonts w:hint="eastAsia" w:ascii="宋体" w:hAnsi="宋体"/>
          <w:color w:val="auto"/>
          <w:sz w:val="24"/>
        </w:rPr>
        <w:t>对方当事人</w:t>
      </w:r>
      <w:r>
        <w:rPr>
          <w:rFonts w:ascii="宋体" w:hAnsi="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2.12 税费</w:t>
      </w:r>
    </w:p>
    <w:p>
      <w:pPr>
        <w:spacing w:line="560" w:lineRule="exact"/>
        <w:ind w:firstLine="480" w:firstLineChars="200"/>
        <w:rPr>
          <w:rFonts w:ascii="宋体" w:hAnsi="宋体"/>
          <w:color w:val="auto"/>
          <w:sz w:val="24"/>
        </w:rPr>
      </w:pPr>
      <w:r>
        <w:rPr>
          <w:rFonts w:ascii="宋体" w:hAnsi="宋体"/>
          <w:color w:val="auto"/>
          <w:sz w:val="24"/>
        </w:rPr>
        <w:t>与合同有关的一切税费</w:t>
      </w:r>
      <w:r>
        <w:rPr>
          <w:rFonts w:hint="eastAsia" w:ascii="宋体" w:hAnsi="宋体"/>
          <w:color w:val="auto"/>
          <w:sz w:val="24"/>
        </w:rPr>
        <w:t>，</w:t>
      </w:r>
      <w:r>
        <w:rPr>
          <w:rFonts w:ascii="宋体" w:hAnsi="宋体"/>
          <w:color w:val="auto"/>
          <w:sz w:val="24"/>
        </w:rPr>
        <w:t>均按照中华人民共和国法律的相关规定缴纳。</w:t>
      </w:r>
    </w:p>
    <w:p>
      <w:pPr>
        <w:spacing w:line="560" w:lineRule="exact"/>
        <w:ind w:firstLine="482" w:firstLineChars="200"/>
        <w:outlineLvl w:val="0"/>
        <w:rPr>
          <w:rFonts w:ascii="宋体" w:hAnsi="宋体"/>
          <w:b/>
          <w:color w:val="auto"/>
          <w:sz w:val="24"/>
        </w:rPr>
      </w:pPr>
      <w:r>
        <w:rPr>
          <w:rFonts w:ascii="宋体" w:hAnsi="宋体"/>
          <w:b/>
          <w:color w:val="auto"/>
          <w:sz w:val="24"/>
        </w:rPr>
        <w:t>2.13 乙方破产</w:t>
      </w:r>
    </w:p>
    <w:p>
      <w:pPr>
        <w:spacing w:line="560" w:lineRule="exact"/>
        <w:ind w:firstLine="480" w:firstLineChars="200"/>
        <w:rPr>
          <w:rFonts w:ascii="宋体" w:hAnsi="宋体"/>
          <w:color w:val="auto"/>
          <w:sz w:val="24"/>
        </w:rPr>
      </w:pPr>
      <w:r>
        <w:rPr>
          <w:rFonts w:ascii="宋体" w:hAnsi="宋体"/>
          <w:color w:val="auto"/>
          <w:sz w:val="24"/>
        </w:rPr>
        <w:t>如果乙方破产导致合同无法履行时，甲方可以书面形式通知乙方终止合同且不给予乙方任何补偿和赔偿</w:t>
      </w:r>
      <w:r>
        <w:rPr>
          <w:rFonts w:hint="eastAsia" w:ascii="宋体" w:hAnsi="宋体"/>
          <w:color w:val="auto"/>
          <w:sz w:val="24"/>
        </w:rPr>
        <w:t>，但合同的</w:t>
      </w:r>
      <w:r>
        <w:rPr>
          <w:rFonts w:ascii="宋体" w:hAnsi="宋体"/>
          <w:color w:val="auto"/>
          <w:sz w:val="24"/>
        </w:rPr>
        <w:t>终止不损害或不影响甲方已经采取或将要采取的任何要求乙方支付违约金</w:t>
      </w:r>
      <w:r>
        <w:rPr>
          <w:rFonts w:hint="eastAsia" w:ascii="宋体" w:hAnsi="宋体"/>
          <w:color w:val="auto"/>
          <w:sz w:val="24"/>
        </w:rPr>
        <w:t>、</w:t>
      </w:r>
      <w:r>
        <w:rPr>
          <w:rFonts w:ascii="宋体" w:hAnsi="宋体"/>
          <w:color w:val="auto"/>
          <w:sz w:val="24"/>
        </w:rPr>
        <w:t>赔偿损失等的行动或补救措施的权利</w:t>
      </w:r>
      <w:r>
        <w:rPr>
          <w:rFonts w:hint="eastAsia" w:ascii="宋体" w:hAnsi="宋体"/>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2.14 合同中止、终止</w:t>
      </w:r>
    </w:p>
    <w:p>
      <w:pPr>
        <w:spacing w:line="560" w:lineRule="exact"/>
        <w:ind w:firstLine="480" w:firstLineChars="200"/>
        <w:rPr>
          <w:rFonts w:ascii="宋体" w:hAnsi="宋体"/>
          <w:color w:val="auto"/>
          <w:sz w:val="24"/>
        </w:rPr>
      </w:pPr>
      <w:r>
        <w:rPr>
          <w:rFonts w:ascii="宋体" w:hAnsi="宋体"/>
          <w:color w:val="auto"/>
          <w:sz w:val="24"/>
        </w:rPr>
        <w:t xml:space="preserve">2.14.1 </w:t>
      </w:r>
      <w:r>
        <w:rPr>
          <w:rFonts w:hint="eastAsia" w:ascii="宋体" w:hAnsi="宋体"/>
          <w:color w:val="auto"/>
          <w:sz w:val="24"/>
        </w:rPr>
        <w:t>双方当事人不得擅自中止或者终止合同；</w:t>
      </w:r>
    </w:p>
    <w:p>
      <w:pPr>
        <w:spacing w:line="560" w:lineRule="exact"/>
        <w:ind w:firstLine="480" w:firstLineChars="200"/>
        <w:rPr>
          <w:rFonts w:ascii="宋体" w:hAnsi="宋体"/>
          <w:color w:val="auto"/>
          <w:sz w:val="24"/>
        </w:rPr>
      </w:pPr>
      <w:r>
        <w:rPr>
          <w:rFonts w:ascii="宋体" w:hAnsi="宋体"/>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rPr>
      </w:pPr>
      <w:r>
        <w:rPr>
          <w:rFonts w:ascii="宋体" w:hAnsi="宋体"/>
          <w:b/>
          <w:color w:val="auto"/>
          <w:sz w:val="24"/>
        </w:rPr>
        <w:t>2.15 检验和验收</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2.15.1 </w:t>
      </w:r>
      <w:r>
        <w:rPr>
          <w:rFonts w:hint="eastAsia" w:ascii="宋体" w:hAnsi="宋体"/>
          <w:color w:val="auto"/>
          <w:sz w:val="24"/>
        </w:rPr>
        <w:t>乙方按照</w:t>
      </w:r>
      <w:r>
        <w:rPr>
          <w:rFonts w:ascii="宋体" w:hAnsi="宋体"/>
          <w:b/>
          <w:i/>
          <w:color w:val="auto"/>
          <w:sz w:val="24"/>
          <w:u w:val="single"/>
        </w:rPr>
        <w:t>合同专用条款</w:t>
      </w:r>
      <w:r>
        <w:rPr>
          <w:rFonts w:ascii="宋体" w:hAnsi="宋体"/>
          <w:color w:val="auto"/>
          <w:sz w:val="24"/>
        </w:rPr>
        <w:t>的约定</w:t>
      </w:r>
      <w:r>
        <w:rPr>
          <w:rFonts w:hint="eastAsia" w:ascii="宋体" w:hAnsi="宋体"/>
          <w:color w:val="auto"/>
          <w:sz w:val="24"/>
        </w:rPr>
        <w:t>，</w:t>
      </w:r>
      <w:r>
        <w:rPr>
          <w:rFonts w:ascii="宋体" w:hAnsi="宋体"/>
          <w:color w:val="auto"/>
          <w:sz w:val="24"/>
        </w:rPr>
        <w:t>定期提交服务报告</w:t>
      </w:r>
      <w:r>
        <w:rPr>
          <w:rFonts w:hint="eastAsia" w:ascii="宋体" w:hAnsi="宋体"/>
          <w:color w:val="auto"/>
          <w:sz w:val="24"/>
        </w:rPr>
        <w:t>，甲方按照</w:t>
      </w:r>
      <w:r>
        <w:rPr>
          <w:rFonts w:ascii="宋体" w:hAnsi="宋体"/>
          <w:b/>
          <w:i/>
          <w:color w:val="auto"/>
          <w:sz w:val="24"/>
          <w:u w:val="single"/>
        </w:rPr>
        <w:t>合同专用条款</w:t>
      </w:r>
      <w:r>
        <w:rPr>
          <w:rFonts w:ascii="宋体" w:hAnsi="宋体"/>
          <w:color w:val="auto"/>
          <w:sz w:val="24"/>
        </w:rPr>
        <w:t>的约定进行定期验收</w:t>
      </w:r>
      <w:r>
        <w:rPr>
          <w:rFonts w:hint="eastAsia" w:ascii="宋体" w:hAnsi="宋体"/>
          <w:color w:val="auto"/>
          <w:sz w:val="24"/>
        </w:rPr>
        <w:t>；</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2.15.2 </w:t>
      </w:r>
      <w:r>
        <w:rPr>
          <w:rFonts w:hint="eastAsia" w:ascii="宋体" w:hAnsi="宋体"/>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rPr>
      </w:pPr>
      <w:r>
        <w:rPr>
          <w:rFonts w:ascii="宋体" w:hAnsi="宋体"/>
          <w:color w:val="auto"/>
          <w:sz w:val="24"/>
        </w:rPr>
        <w:t xml:space="preserve">2.15.3 </w:t>
      </w:r>
      <w:r>
        <w:rPr>
          <w:rFonts w:hint="eastAsia" w:ascii="宋体" w:hAnsi="宋体"/>
          <w:color w:val="auto"/>
          <w:sz w:val="24"/>
        </w:rPr>
        <w:t>检验和验收标准、程序等具体内容以及前述验收书的效力详见</w:t>
      </w:r>
      <w:r>
        <w:rPr>
          <w:rFonts w:ascii="宋体" w:hAnsi="宋体"/>
          <w:b/>
          <w:i/>
          <w:color w:val="auto"/>
          <w:sz w:val="24"/>
          <w:u w:val="single"/>
        </w:rPr>
        <w:t>合同专用条款</w:t>
      </w:r>
      <w:r>
        <w:rPr>
          <w:rFonts w:hint="eastAsia" w:ascii="宋体" w:hAnsi="宋体"/>
          <w:i/>
          <w:color w:val="auto"/>
          <w:sz w:val="24"/>
        </w:rPr>
        <w:t>。</w:t>
      </w:r>
    </w:p>
    <w:p>
      <w:pPr>
        <w:spacing w:line="560" w:lineRule="exact"/>
        <w:ind w:firstLine="482" w:firstLineChars="200"/>
        <w:outlineLvl w:val="0"/>
        <w:rPr>
          <w:rFonts w:ascii="宋体" w:hAnsi="宋体"/>
          <w:b/>
          <w:color w:val="auto"/>
          <w:sz w:val="24"/>
        </w:rPr>
      </w:pPr>
      <w:r>
        <w:rPr>
          <w:rFonts w:ascii="宋体" w:hAnsi="宋体"/>
          <w:b/>
          <w:color w:val="auto"/>
          <w:sz w:val="24"/>
        </w:rPr>
        <w:t>2.16 通知和送达</w:t>
      </w:r>
    </w:p>
    <w:p>
      <w:pPr>
        <w:spacing w:line="560" w:lineRule="exact"/>
        <w:ind w:firstLine="480" w:firstLineChars="200"/>
        <w:rPr>
          <w:rFonts w:ascii="宋体" w:hAnsi="宋体"/>
          <w:color w:val="auto"/>
          <w:sz w:val="24"/>
        </w:rPr>
      </w:pPr>
      <w:r>
        <w:rPr>
          <w:rFonts w:ascii="宋体" w:hAnsi="宋体"/>
          <w:color w:val="auto"/>
          <w:sz w:val="24"/>
        </w:rPr>
        <w:t>2.17.1</w:t>
      </w:r>
      <w:r>
        <w:rPr>
          <w:rFonts w:hint="eastAsia" w:ascii="宋体" w:hAnsi="宋体"/>
          <w:color w:val="auto"/>
          <w:sz w:val="24"/>
        </w:rPr>
        <w:t>任何一方因履行合同而以合同第一部分尾部所列明的传真或电子邮件</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发出的所有通知、文件、材料，均视为已向对方当事人送达；任何一方变更上述送达方式或者地址的，应于</w:t>
      </w:r>
      <w:r>
        <w:rPr>
          <w:rFonts w:ascii="宋体" w:hAnsi="宋体"/>
          <w:color w:val="auto"/>
          <w:sz w:val="24"/>
          <w:u w:val="single"/>
        </w:rPr>
        <w:t>3</w:t>
      </w:r>
      <w:r>
        <w:rPr>
          <w:rFonts w:hint="eastAsia" w:ascii="宋体" w:hAnsi="宋体"/>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rPr>
      </w:pPr>
      <w:r>
        <w:rPr>
          <w:rFonts w:ascii="宋体" w:hAnsi="宋体"/>
          <w:color w:val="auto"/>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rPr>
        <w:t>的，邮件挂号寄出或者交邮之日之次日视为送达。</w:t>
      </w:r>
    </w:p>
    <w:p>
      <w:pPr>
        <w:spacing w:line="560" w:lineRule="exact"/>
        <w:ind w:firstLine="482" w:firstLineChars="200"/>
        <w:outlineLvl w:val="0"/>
        <w:rPr>
          <w:rFonts w:ascii="宋体" w:hAnsi="宋体"/>
          <w:b/>
          <w:color w:val="auto"/>
          <w:sz w:val="24"/>
        </w:rPr>
      </w:pPr>
      <w:r>
        <w:rPr>
          <w:rFonts w:ascii="宋体" w:hAnsi="宋体"/>
          <w:b/>
          <w:color w:val="auto"/>
          <w:sz w:val="24"/>
        </w:rPr>
        <w:t xml:space="preserve">2.17 </w:t>
      </w:r>
      <w:r>
        <w:rPr>
          <w:rFonts w:hint="eastAsia" w:ascii="宋体" w:hAnsi="宋体"/>
          <w:b/>
          <w:color w:val="auto"/>
          <w:sz w:val="24"/>
        </w:rPr>
        <w:t>合同使用的文字和</w:t>
      </w:r>
      <w:r>
        <w:rPr>
          <w:rFonts w:ascii="宋体" w:hAnsi="宋体"/>
          <w:b/>
          <w:color w:val="auto"/>
          <w:sz w:val="24"/>
        </w:rPr>
        <w:t>适用的法律</w:t>
      </w:r>
    </w:p>
    <w:p>
      <w:pPr>
        <w:spacing w:line="560" w:lineRule="exact"/>
        <w:ind w:firstLine="480" w:firstLineChars="200"/>
        <w:rPr>
          <w:rFonts w:ascii="宋体" w:hAnsi="宋体"/>
          <w:color w:val="auto"/>
          <w:sz w:val="24"/>
        </w:rPr>
      </w:pPr>
      <w:r>
        <w:rPr>
          <w:rFonts w:ascii="宋体" w:hAnsi="宋体"/>
          <w:color w:val="auto"/>
          <w:sz w:val="24"/>
        </w:rPr>
        <w:t>2.17.1 合同使用汉语书就</w:t>
      </w:r>
      <w:r>
        <w:rPr>
          <w:rFonts w:hint="eastAsia" w:ascii="宋体" w:hAnsi="宋体"/>
          <w:color w:val="auto"/>
          <w:sz w:val="24"/>
        </w:rPr>
        <w:t>、</w:t>
      </w:r>
      <w:r>
        <w:rPr>
          <w:rFonts w:ascii="宋体" w:hAnsi="宋体"/>
          <w:color w:val="auto"/>
          <w:sz w:val="24"/>
        </w:rPr>
        <w:t>变更和解释</w:t>
      </w:r>
      <w:r>
        <w:rPr>
          <w:rFonts w:hint="eastAsia" w:ascii="宋体" w:hAnsi="宋体"/>
          <w:color w:val="auto"/>
          <w:sz w:val="24"/>
        </w:rPr>
        <w:t>；</w:t>
      </w:r>
    </w:p>
    <w:p>
      <w:pPr>
        <w:spacing w:line="560" w:lineRule="exact"/>
        <w:ind w:firstLine="480" w:firstLineChars="200"/>
        <w:rPr>
          <w:rFonts w:ascii="宋体" w:hAnsi="宋体"/>
          <w:color w:val="auto"/>
          <w:sz w:val="24"/>
        </w:rPr>
      </w:pPr>
      <w:r>
        <w:rPr>
          <w:rFonts w:ascii="宋体" w:hAnsi="宋体"/>
          <w:color w:val="auto"/>
          <w:sz w:val="24"/>
        </w:rPr>
        <w:t xml:space="preserve">2.17.2 </w:t>
      </w:r>
      <w:r>
        <w:rPr>
          <w:rFonts w:hint="eastAsia" w:ascii="宋体" w:hAnsi="宋体"/>
          <w:color w:val="auto"/>
          <w:sz w:val="24"/>
        </w:rPr>
        <w:t>合同适用</w:t>
      </w:r>
      <w:r>
        <w:rPr>
          <w:rFonts w:ascii="宋体" w:hAnsi="宋体"/>
          <w:color w:val="auto"/>
          <w:sz w:val="24"/>
        </w:rPr>
        <w:t>中华人民共和国法律。</w:t>
      </w:r>
    </w:p>
    <w:p>
      <w:pPr>
        <w:spacing w:line="560" w:lineRule="exact"/>
        <w:ind w:firstLine="482" w:firstLineChars="200"/>
        <w:outlineLvl w:val="0"/>
        <w:rPr>
          <w:rFonts w:ascii="宋体" w:hAnsi="宋体" w:cs="宋体"/>
          <w:b/>
          <w:color w:val="auto"/>
          <w:sz w:val="24"/>
        </w:rPr>
      </w:pPr>
      <w:bookmarkStart w:id="404" w:name="_Toc30599"/>
      <w:bookmarkStart w:id="405" w:name="_Toc4355"/>
      <w:bookmarkStart w:id="406" w:name="_Toc18540"/>
      <w:r>
        <w:rPr>
          <w:rFonts w:hint="eastAsia" w:ascii="宋体" w:hAnsi="宋体" w:cs="宋体"/>
          <w:b/>
          <w:color w:val="auto"/>
          <w:sz w:val="24"/>
        </w:rPr>
        <w:t>2.18 计量单位</w:t>
      </w:r>
      <w:bookmarkEnd w:id="404"/>
      <w:bookmarkEnd w:id="405"/>
      <w:bookmarkEnd w:id="406"/>
    </w:p>
    <w:p>
      <w:pPr>
        <w:spacing w:line="560" w:lineRule="exact"/>
        <w:ind w:firstLine="480" w:firstLineChars="200"/>
        <w:rPr>
          <w:rFonts w:ascii="宋体" w:hAnsi="宋体" w:cs="宋体"/>
          <w:color w:val="auto"/>
          <w:sz w:val="24"/>
        </w:rPr>
      </w:pPr>
      <w:r>
        <w:rPr>
          <w:rFonts w:hint="eastAsia" w:ascii="宋体" w:hAnsi="宋体" w:cs="宋体"/>
          <w:color w:val="auto"/>
          <w:sz w:val="24"/>
        </w:rPr>
        <w:t>除技术规范中另有规定外,合同的计量单位均使用国家法定计量单位。</w:t>
      </w:r>
    </w:p>
    <w:p>
      <w:pPr>
        <w:spacing w:line="560" w:lineRule="exact"/>
        <w:ind w:firstLine="482" w:firstLineChars="200"/>
        <w:rPr>
          <w:rFonts w:ascii="宋体" w:hAnsi="宋体"/>
          <w:b/>
          <w:color w:val="auto"/>
          <w:sz w:val="24"/>
        </w:rPr>
      </w:pPr>
      <w:r>
        <w:rPr>
          <w:rFonts w:ascii="宋体" w:hAnsi="宋体"/>
          <w:b/>
          <w:color w:val="auto"/>
          <w:sz w:val="24"/>
        </w:rPr>
        <w:t>2.</w:t>
      </w:r>
      <w:r>
        <w:rPr>
          <w:rFonts w:hint="eastAsia" w:ascii="宋体" w:hAnsi="宋体"/>
          <w:b/>
          <w:color w:val="auto"/>
          <w:sz w:val="24"/>
        </w:rPr>
        <w:t>19</w:t>
      </w:r>
      <w:r>
        <w:rPr>
          <w:rFonts w:ascii="宋体" w:hAnsi="宋体"/>
          <w:b/>
          <w:color w:val="auto"/>
          <w:sz w:val="24"/>
        </w:rPr>
        <w:t>合同份数</w:t>
      </w:r>
    </w:p>
    <w:p>
      <w:pPr>
        <w:spacing w:line="560" w:lineRule="exact"/>
        <w:ind w:firstLine="480" w:firstLineChars="200"/>
        <w:rPr>
          <w:rFonts w:ascii="宋体" w:hAnsi="宋体"/>
          <w:color w:val="auto"/>
          <w:sz w:val="24"/>
        </w:rPr>
      </w:pPr>
      <w:r>
        <w:rPr>
          <w:rFonts w:ascii="宋体" w:hAnsi="宋体"/>
          <w:color w:val="auto"/>
          <w:sz w:val="24"/>
        </w:rPr>
        <w:t>合同份数按</w:t>
      </w:r>
      <w:r>
        <w:rPr>
          <w:rFonts w:ascii="宋体" w:hAnsi="宋体"/>
          <w:b/>
          <w:i/>
          <w:color w:val="auto"/>
          <w:sz w:val="24"/>
          <w:u w:val="single"/>
        </w:rPr>
        <w:t>合同专用条款</w:t>
      </w:r>
      <w:r>
        <w:rPr>
          <w:rFonts w:ascii="宋体" w:hAnsi="宋体"/>
          <w:color w:val="auto"/>
          <w:sz w:val="24"/>
        </w:rPr>
        <w:t>规定</w:t>
      </w:r>
      <w:r>
        <w:rPr>
          <w:rFonts w:hint="eastAsia" w:ascii="宋体" w:hAnsi="宋体"/>
          <w:color w:val="auto"/>
          <w:sz w:val="24"/>
        </w:rPr>
        <w:t>，</w:t>
      </w:r>
      <w:r>
        <w:rPr>
          <w:rFonts w:ascii="宋体" w:hAnsi="宋体"/>
          <w:color w:val="auto"/>
          <w:sz w:val="24"/>
        </w:rPr>
        <w:t>每份均具有同等法律效力</w:t>
      </w:r>
      <w:r>
        <w:rPr>
          <w:rFonts w:hint="eastAsia" w:ascii="宋体" w:hAnsi="宋体"/>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r>
        <w:rPr>
          <w:rFonts w:hint="eastAsia" w:ascii="宋体" w:hAnsi="宋体" w:cs="宋体"/>
          <w:b/>
          <w:color w:val="auto"/>
          <w:sz w:val="24"/>
        </w:rPr>
        <w:t xml:space="preserve"> 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条款号</w:t>
            </w:r>
          </w:p>
        </w:tc>
        <w:tc>
          <w:tcPr>
            <w:tcW w:w="4464" w:type="pct"/>
            <w:vAlign w:val="center"/>
          </w:tcPr>
          <w:p>
            <w:pPr>
              <w:spacing w:line="360" w:lineRule="auto"/>
              <w:jc w:val="center"/>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rPr>
                <w:rFonts w:ascii="宋体" w:hAnsi="宋体" w:cs="宋体"/>
                <w:b/>
                <w:color w:val="auto"/>
                <w:sz w:val="24"/>
              </w:rPr>
            </w:pPr>
            <w:r>
              <w:rPr>
                <w:rFonts w:hint="eastAsia" w:ascii="宋体" w:hAnsi="宋体" w:cs="宋体"/>
                <w:bCs/>
                <w:color w:val="auto"/>
                <w:sz w:val="24"/>
              </w:rPr>
              <w:t>1.3</w:t>
            </w:r>
          </w:p>
        </w:tc>
        <w:tc>
          <w:tcPr>
            <w:tcW w:w="4464" w:type="pct"/>
            <w:vAlign w:val="center"/>
          </w:tcPr>
          <w:p>
            <w:pPr>
              <w:spacing w:line="560" w:lineRule="exact"/>
              <w:rPr>
                <w:rFonts w:ascii="宋体" w:hAnsi="宋体" w:cs="宋体"/>
                <w:b/>
                <w:color w:val="auto"/>
                <w:sz w:val="24"/>
              </w:rPr>
            </w:pPr>
            <w:r>
              <w:rPr>
                <w:rFonts w:hint="eastAsia" w:ascii="宋体" w:hAnsi="宋体" w:cs="宋体"/>
                <w:color w:val="auto"/>
                <w:sz w:val="24"/>
              </w:rPr>
              <w:t>本项目采用以下第</w:t>
            </w:r>
            <w:r>
              <w:rPr>
                <w:rFonts w:hint="eastAsia" w:ascii="宋体" w:hAnsi="宋体" w:cs="宋体"/>
                <w:color w:val="auto"/>
                <w:sz w:val="24"/>
                <w:u w:val="single"/>
              </w:rPr>
              <w:t xml:space="preserve">   </w:t>
            </w:r>
            <w:r>
              <w:rPr>
                <w:rFonts w:hint="eastAsia" w:ascii="宋体" w:hAnsi="宋体" w:cs="宋体"/>
                <w:color w:val="auto"/>
                <w:sz w:val="24"/>
                <w:u w:val="single"/>
              </w:rPr>
              <w:t>1</w:t>
            </w:r>
            <w:r>
              <w:rPr>
                <w:rFonts w:hint="eastAsia" w:ascii="宋体" w:hAnsi="宋体" w:cs="宋体"/>
                <w:color w:val="auto"/>
                <w:sz w:val="24"/>
                <w:u w:val="single"/>
              </w:rPr>
              <w:t xml:space="preserve">  </w:t>
            </w:r>
            <w:r>
              <w:rPr>
                <w:rFonts w:hint="eastAsia" w:ascii="宋体" w:hAnsi="宋体" w:cs="宋体"/>
                <w:color w:val="auto"/>
                <w:sz w:val="24"/>
              </w:rPr>
              <w:t>条款规定的计价方式计价。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rPr>
                <w:rFonts w:ascii="宋体" w:hAnsi="宋体" w:cs="宋体"/>
                <w:bCs/>
                <w:color w:val="auto"/>
                <w:sz w:val="24"/>
              </w:rPr>
            </w:pPr>
            <w:r>
              <w:rPr>
                <w:rFonts w:hint="eastAsia" w:ascii="宋体" w:hAnsi="宋体" w:cs="宋体"/>
                <w:bCs/>
                <w:color w:val="auto"/>
                <w:sz w:val="24"/>
              </w:rPr>
              <w:t>1.3.2</w:t>
            </w:r>
          </w:p>
        </w:tc>
        <w:tc>
          <w:tcPr>
            <w:tcW w:w="4464" w:type="pct"/>
            <w:vAlign w:val="center"/>
          </w:tcPr>
          <w:p>
            <w:pPr>
              <w:spacing w:line="560" w:lineRule="exact"/>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1.3.3</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w:t>
            </w:r>
          </w:p>
        </w:tc>
        <w:tc>
          <w:tcPr>
            <w:tcW w:w="4464" w:type="pct"/>
            <w:vAlign w:val="center"/>
          </w:tcPr>
          <w:p>
            <w:pPr>
              <w:spacing w:line="360" w:lineRule="auto"/>
              <w:rPr>
                <w:rFonts w:ascii="宋体" w:hAnsi="宋体" w:cs="宋体"/>
                <w:color w:val="auto"/>
                <w:sz w:val="24"/>
              </w:rPr>
            </w:pPr>
            <w:r>
              <w:rPr>
                <w:rFonts w:hint="eastAsia"/>
                <w:color w:val="auto"/>
                <w:sz w:val="24"/>
              </w:rPr>
              <w:t>乙方</w:t>
            </w:r>
            <w:r>
              <w:rPr>
                <w:rFonts w:hint="eastAsia"/>
                <w:color w:val="auto"/>
                <w:sz w:val="24"/>
                <w:u w:val="single"/>
              </w:rPr>
              <w:t xml:space="preserve">  </w:t>
            </w:r>
            <w:r>
              <w:rPr>
                <w:rFonts w:hint="eastAsia"/>
                <w:color w:val="auto"/>
                <w:sz w:val="24"/>
                <w:u w:val="single"/>
              </w:rPr>
              <w:t>是</w:t>
            </w:r>
            <w:r>
              <w:rPr>
                <w:rFonts w:hint="eastAsia"/>
                <w:color w:val="auto"/>
                <w:sz w:val="24"/>
                <w:u w:val="single"/>
              </w:rPr>
              <w:t xml:space="preserve">   </w:t>
            </w:r>
            <w:r>
              <w:rPr>
                <w:rFonts w:hint="eastAsia"/>
                <w:color w:val="auto"/>
                <w:sz w:val="24"/>
              </w:rPr>
              <w:t>（是</w:t>
            </w:r>
            <w:r>
              <w:rPr>
                <w:rFonts w:hint="eastAsia" w:ascii="仿宋" w:hAnsi="仿宋" w:eastAsia="仿宋" w:cs="仿宋"/>
                <w:color w:val="auto"/>
                <w:sz w:val="24"/>
              </w:rPr>
              <w:t>/</w:t>
            </w:r>
            <w:r>
              <w:rPr>
                <w:rFonts w:hint="eastAsia"/>
                <w:color w:val="auto"/>
                <w:sz w:val="24"/>
              </w:rPr>
              <w:t>否）需要支付履约保证金。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1.4.1</w:t>
            </w:r>
          </w:p>
        </w:tc>
        <w:tc>
          <w:tcPr>
            <w:tcW w:w="4464" w:type="pct"/>
            <w:vAlign w:val="center"/>
          </w:tcPr>
          <w:p>
            <w:pPr>
              <w:spacing w:line="360" w:lineRule="auto"/>
              <w:rPr>
                <w:color w:val="auto"/>
                <w:sz w:val="24"/>
              </w:rPr>
            </w:pPr>
            <w:r>
              <w:rPr>
                <w:rFonts w:hint="eastAsia" w:ascii="宋体" w:hAnsi="宋体" w:cs="宋体"/>
                <w:color w:val="auto"/>
                <w:kern w:val="0"/>
                <w:sz w:val="24"/>
              </w:rPr>
              <w:t>履约保证金的比例为合同金额的</w:t>
            </w:r>
            <w:r>
              <w:rPr>
                <w:rFonts w:hint="eastAsia" w:ascii="宋体" w:hAnsi="宋体" w:cs="宋体"/>
                <w:color w:val="auto"/>
                <w:kern w:val="0"/>
                <w:sz w:val="24"/>
                <w:u w:val="single"/>
              </w:rPr>
              <w:t xml:space="preserve">   </w:t>
            </w:r>
            <w:r>
              <w:rPr>
                <w:rFonts w:hint="eastAsia" w:ascii="宋体" w:hAnsi="宋体" w:cs="宋体"/>
                <w:color w:val="auto"/>
                <w:kern w:val="0"/>
                <w:sz w:val="24"/>
                <w:u w:val="single"/>
              </w:rPr>
              <w:t>1</w:t>
            </w:r>
            <w:r>
              <w:rPr>
                <w:rFonts w:hint="eastAsia" w:ascii="宋体" w:hAnsi="宋体" w:cs="宋体"/>
                <w:color w:val="auto"/>
                <w:kern w:val="0"/>
                <w:sz w:val="24"/>
                <w:u w:val="single"/>
              </w:rPr>
              <w:t xml:space="preserve">  </w:t>
            </w:r>
            <w:r>
              <w:rPr>
                <w:rFonts w:hint="eastAsia" w:ascii="宋体" w:hAnsi="宋体" w:cs="宋体"/>
                <w:color w:val="auto"/>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1.4.2</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宋体" w:hAnsi="宋体" w:cs="宋体"/>
                <w:color w:val="auto"/>
                <w:kern w:val="0"/>
                <w:sz w:val="24"/>
              </w:rPr>
              <w:t>乙方应当以转账、支票、汇票、本票或者金融机构、担保机构出具的保函等非现金形式提交。在履约过程中，若乙方违约的，甲方扣下履约保证金后到期向银行提示付款被拒付的，应当视为乙方未履行支付履约保证金，甲方有权要求乙方支付同等金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w:t>
            </w:r>
          </w:p>
        </w:tc>
        <w:tc>
          <w:tcPr>
            <w:tcW w:w="4464" w:type="pct"/>
            <w:vAlign w:val="center"/>
          </w:tcPr>
          <w:p>
            <w:pPr>
              <w:spacing w:line="360" w:lineRule="auto"/>
              <w:rPr>
                <w:rFonts w:ascii="宋体" w:hAnsi="宋体" w:cs="宋体"/>
                <w:color w:val="auto"/>
                <w:sz w:val="24"/>
              </w:rPr>
            </w:pPr>
            <w:r>
              <w:rPr>
                <w:rFonts w:hint="eastAsia"/>
                <w:color w:val="auto"/>
                <w:sz w:val="24"/>
              </w:rPr>
              <w:t>甲方</w:t>
            </w:r>
            <w:r>
              <w:rPr>
                <w:rFonts w:hint="eastAsia"/>
                <w:color w:val="auto"/>
                <w:sz w:val="24"/>
                <w:u w:val="single"/>
              </w:rPr>
              <w:t xml:space="preserve">  </w:t>
            </w:r>
            <w:r>
              <w:rPr>
                <w:rFonts w:hint="eastAsia"/>
                <w:color w:val="auto"/>
                <w:sz w:val="24"/>
                <w:u w:val="single"/>
              </w:rPr>
              <w:t>是</w:t>
            </w:r>
            <w:r>
              <w:rPr>
                <w:rFonts w:hint="eastAsia"/>
                <w:color w:val="auto"/>
                <w:sz w:val="24"/>
                <w:u w:val="single"/>
              </w:rPr>
              <w:t xml:space="preserve"> </w:t>
            </w:r>
            <w:r>
              <w:rPr>
                <w:rFonts w:hint="eastAsia"/>
                <w:color w:val="auto"/>
                <w:sz w:val="24"/>
              </w:rPr>
              <w:t>（是</w:t>
            </w:r>
            <w:r>
              <w:rPr>
                <w:rFonts w:hint="eastAsia" w:ascii="仿宋" w:hAnsi="仿宋" w:eastAsia="仿宋" w:cs="仿宋"/>
                <w:color w:val="auto"/>
                <w:sz w:val="24"/>
              </w:rPr>
              <w:t>/</w:t>
            </w:r>
            <w:r>
              <w:rPr>
                <w:rFonts w:hint="eastAsia"/>
                <w:color w:val="auto"/>
                <w:sz w:val="24"/>
              </w:rPr>
              <w:t>否）需要支付预付款。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1.5.1 </w:t>
            </w:r>
          </w:p>
        </w:tc>
        <w:tc>
          <w:tcPr>
            <w:tcW w:w="4464" w:type="pct"/>
            <w:vAlign w:val="center"/>
          </w:tcPr>
          <w:p>
            <w:pPr>
              <w:spacing w:line="360" w:lineRule="auto"/>
              <w:rPr>
                <w:rFonts w:ascii="宋体" w:hAnsi="宋体" w:cs="宋体"/>
                <w:color w:val="auto"/>
                <w:sz w:val="24"/>
              </w:rPr>
            </w:pPr>
            <w:r>
              <w:rPr>
                <w:rFonts w:hint="eastAsia" w:asciiTheme="minorEastAsia" w:hAnsiTheme="minorEastAsia" w:eastAsiaTheme="minorEastAsia" w:cstheme="minorEastAsia"/>
                <w:color w:val="auto"/>
                <w:sz w:val="24"/>
              </w:rPr>
              <w:t>预付款为合同金额的40%；支付方式为转账；合同签订后5个工作日内支付。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1.5.2</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 xml:space="preserve">1.5.3 </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1.6.2</w:t>
            </w:r>
          </w:p>
        </w:tc>
        <w:tc>
          <w:tcPr>
            <w:tcW w:w="4464" w:type="pct"/>
            <w:vAlign w:val="center"/>
          </w:tcPr>
          <w:p>
            <w:pPr>
              <w:widowControl/>
              <w:autoSpaceDE w:val="0"/>
              <w:autoSpaceDN w:val="0"/>
              <w:spacing w:line="440" w:lineRule="exact"/>
              <w:ind w:right="-53" w:rightChars="-25"/>
              <w:jc w:val="left"/>
              <w:textAlignment w:val="bottom"/>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资金支付的方式：分期付款；</w:t>
            </w:r>
          </w:p>
          <w:p>
            <w:pPr>
              <w:widowControl/>
              <w:autoSpaceDE w:val="0"/>
              <w:autoSpaceDN w:val="0"/>
              <w:spacing w:line="440" w:lineRule="exact"/>
              <w:ind w:right="-53" w:rightChars="-25"/>
              <w:jc w:val="left"/>
              <w:textAlignment w:val="bottom"/>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时间：（1）合同签订后，先预付合同总额的40%；（2）剩余金额在正式交车当月及合同执行中期（即合同执行第7个月）分两次支付，分别为合同金额的30%和30%。（3）对于满足合同约定支付条件的，甲方自收到增值税专用发票后5个工作日内将资金支付到合同约定的乙方账户</w:t>
            </w:r>
          </w:p>
          <w:p>
            <w:pPr>
              <w:spacing w:line="360" w:lineRule="auto"/>
              <w:rPr>
                <w:rFonts w:ascii="宋体" w:hAnsi="宋体" w:cs="宋体"/>
                <w:color w:val="auto"/>
                <w:sz w:val="24"/>
              </w:rPr>
            </w:pPr>
            <w:r>
              <w:rPr>
                <w:rFonts w:hint="eastAsia" w:asciiTheme="minorEastAsia" w:hAnsiTheme="minorEastAsia" w:eastAsiaTheme="minorEastAsia" w:cstheme="minorEastAsia"/>
                <w:color w:val="auto"/>
                <w:sz w:val="24"/>
              </w:rPr>
              <w:t>条件：甲方项目负责人书面确认的车辆交接单（加盖公章）、服务确认单（加盖公章）已经提供给甲方。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1.7.1</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服务时间从车辆到位交接之日起算。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1.7.2</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杭州市范围内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1.7.3</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按合同的约定及投标文件的承诺提供服务以满足甲方的要求。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1.7.4.1</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合同签订后</w:t>
            </w:r>
            <w:r>
              <w:rPr>
                <w:rFonts w:hint="eastAsia" w:asciiTheme="minorEastAsia" w:hAnsiTheme="minorEastAsia" w:eastAsiaTheme="minorEastAsia" w:cstheme="minorEastAsia"/>
                <w:color w:val="auto"/>
                <w:kern w:val="0"/>
                <w:sz w:val="24"/>
              </w:rPr>
              <w:t>30天</w:t>
            </w:r>
            <w:r>
              <w:rPr>
                <w:rFonts w:hint="eastAsia" w:asciiTheme="minorEastAsia" w:hAnsiTheme="minorEastAsia" w:eastAsiaTheme="minorEastAsia" w:cstheme="minorEastAsia"/>
                <w:color w:val="auto"/>
                <w:sz w:val="24"/>
              </w:rPr>
              <w:t>内交付。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1.7.4.2</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杭州市滨江区滨文路32号。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1.7.4.3</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按合同约定的车型、数量交付。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1.8.7</w:t>
            </w:r>
          </w:p>
        </w:tc>
        <w:tc>
          <w:tcPr>
            <w:tcW w:w="4464" w:type="pct"/>
            <w:vAlign w:val="center"/>
          </w:tcPr>
          <w:p>
            <w:pPr>
              <w:snapToGrid w:val="0"/>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乙方未能履行合同和遵守有关规定，在甲方发出书面警告后一周内乙方仍无采取补救措施，甲方可立即终止合同。乙方应于7个工作日内退回甲方已支付的未服务款项。乙方逾期退回的，甲方可要求乙方支付相应的利息，自乙方未能履行合同和遵守有关规定之日起按照本条1.8.1款、1.8.2款约定的利率计算。</w:t>
            </w:r>
          </w:p>
          <w:p>
            <w:pPr>
              <w:spacing w:line="360" w:lineRule="auto"/>
              <w:rPr>
                <w:rFonts w:ascii="宋体" w:hAnsi="宋体" w:cs="宋体"/>
                <w:color w:val="auto"/>
                <w:sz w:val="24"/>
              </w:rPr>
            </w:pPr>
            <w:r>
              <w:rPr>
                <w:rFonts w:hint="eastAsia" w:asciiTheme="minorEastAsia" w:hAnsiTheme="minorEastAsia" w:eastAsiaTheme="minorEastAsia" w:cstheme="minorEastAsia"/>
                <w:color w:val="auto"/>
                <w:sz w:val="24"/>
              </w:rPr>
              <w:t>（2）乙方破产清处、重组及兼并等事实发生，或被债权人接管经营，甲方不必通知乙方即可终止合同。乙方应于7个工作日内退回甲方已支付的未服务款项。乙方逾期退回的，甲方可要求乙方支付相应的利息，自乙方出现前述情形之日起按照本条1.8.1款、1.8.2款约定的利率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w:t>
            </w:r>
          </w:p>
        </w:tc>
        <w:tc>
          <w:tcPr>
            <w:tcW w:w="4464" w:type="pct"/>
            <w:vAlign w:val="center"/>
          </w:tcPr>
          <w:p>
            <w:pPr>
              <w:spacing w:line="360" w:lineRule="auto"/>
              <w:rPr>
                <w:rFonts w:ascii="宋体" w:hAnsi="宋体" w:cs="宋体"/>
                <w:color w:val="auto"/>
                <w:sz w:val="24"/>
              </w:rPr>
            </w:pPr>
            <w:r>
              <w:rPr>
                <w:rFonts w:hint="eastAsia" w:ascii="宋体" w:hAnsi="宋体" w:cs="宋体"/>
                <w:color w:val="auto"/>
                <w:sz w:val="24"/>
              </w:rPr>
              <w:t>1.9.2</w:t>
            </w:r>
            <w:r>
              <w:rPr>
                <w:rFonts w:ascii="宋体" w:hAnsi="宋体" w:cs="宋体"/>
                <w:color w:val="auto"/>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1.9.1</w:t>
            </w:r>
          </w:p>
        </w:tc>
        <w:tc>
          <w:tcPr>
            <w:tcW w:w="4464" w:type="pct"/>
            <w:vAlign w:val="center"/>
          </w:tcPr>
          <w:p>
            <w:pPr>
              <w:spacing w:line="440"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kern w:val="0"/>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1.9.2</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kern w:val="0"/>
                <w:sz w:val="24"/>
                <w:lang w:val="zh-CN"/>
              </w:rPr>
              <w:t>甲方所在地的人民法院进行诉讼。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r>
              <w:rPr>
                <w:rFonts w:hint="eastAsia" w:ascii="宋体" w:hAnsi="宋体" w:cs="宋体"/>
                <w:color w:val="auto"/>
                <w:sz w:val="24"/>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464" w:type="pct"/>
            <w:vAlign w:val="center"/>
          </w:tcPr>
          <w:p>
            <w:pPr>
              <w:spacing w:line="360" w:lineRule="auto"/>
              <w:ind w:left="-420" w:leftChars="-200" w:right="-420" w:rightChars="-200" w:firstLine="480" w:firstLineChars="200"/>
              <w:rPr>
                <w:rFonts w:ascii="宋体" w:hAnsi="宋体" w:cs="宋体"/>
                <w:color w:val="auto"/>
                <w:sz w:val="24"/>
              </w:rPr>
            </w:pPr>
            <w:r>
              <w:rPr>
                <w:rFonts w:cs="宋体" w:asciiTheme="minorEastAsia" w:hAnsiTheme="minorEastAsia" w:eastAsiaTheme="minorEastAsia"/>
                <w:color w:val="auto"/>
                <w:sz w:val="24"/>
              </w:rPr>
              <w:t>同1.6.2条款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因不可抗力致使合同有变更必要的，双方当事人应在</w:t>
            </w:r>
            <w:r>
              <w:rPr>
                <w:rFonts w:hint="eastAsia" w:asciiTheme="minorEastAsia" w:hAnsiTheme="minorEastAsia" w:eastAsiaTheme="minorEastAsia" w:cstheme="minorEastAsia"/>
                <w:color w:val="auto"/>
                <w:kern w:val="0"/>
                <w:sz w:val="24"/>
                <w:u w:val="single"/>
                <w:lang w:val="zh-CN"/>
              </w:rPr>
              <w:t>10个工作日</w:t>
            </w:r>
            <w:r>
              <w:rPr>
                <w:rFonts w:hint="eastAsia" w:asciiTheme="minorEastAsia" w:hAnsiTheme="minorEastAsia" w:eastAsiaTheme="minorEastAsia" w:cstheme="minorEastAsia"/>
                <w:color w:val="auto"/>
                <w:sz w:val="24"/>
              </w:rPr>
              <w:t>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464" w:type="pct"/>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受不可抗力影响的一方在不可抗力发生后，应在</w:t>
            </w:r>
            <w:r>
              <w:rPr>
                <w:rFonts w:hint="eastAsia" w:asciiTheme="minorEastAsia" w:hAnsiTheme="minorEastAsia" w:eastAsiaTheme="minorEastAsia" w:cstheme="minorEastAsia"/>
                <w:color w:val="auto"/>
                <w:kern w:val="0"/>
                <w:sz w:val="24"/>
                <w:u w:val="single"/>
                <w:lang w:val="zh-CN"/>
              </w:rPr>
              <w:t>10个工作日</w:t>
            </w:r>
            <w:r>
              <w:rPr>
                <w:rFonts w:hint="eastAsia" w:asciiTheme="minorEastAsia" w:hAnsiTheme="minorEastAsia" w:eastAsiaTheme="minorEastAsia" w:cstheme="minorEastAsia"/>
                <w:color w:val="auto"/>
                <w:sz w:val="24"/>
              </w:rPr>
              <w:t>内以书面形式通知对方当事人，并在</w:t>
            </w:r>
            <w:r>
              <w:rPr>
                <w:rFonts w:hint="eastAsia" w:asciiTheme="minorEastAsia" w:hAnsiTheme="minorEastAsia" w:eastAsiaTheme="minorEastAsia" w:cstheme="minorEastAsia"/>
                <w:color w:val="auto"/>
                <w:kern w:val="0"/>
                <w:sz w:val="24"/>
                <w:u w:val="single"/>
                <w:lang w:val="zh-CN"/>
              </w:rPr>
              <w:t>10个工作日</w:t>
            </w:r>
            <w:r>
              <w:rPr>
                <w:rFonts w:hint="eastAsia" w:asciiTheme="minorEastAsia" w:hAnsiTheme="minorEastAsia" w:eastAsiaTheme="minorEastAsia" w:cstheme="minorEastAsia"/>
                <w:color w:val="auto"/>
                <w:sz w:val="24"/>
              </w:rPr>
              <w:t>，将有关部门出具的证明文件送达对方当事人。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乙方按照</w:t>
            </w:r>
            <w:r>
              <w:rPr>
                <w:rFonts w:hint="eastAsia" w:asciiTheme="minorEastAsia" w:hAnsiTheme="minorEastAsia" w:eastAsiaTheme="minorEastAsia" w:cstheme="minorEastAsia"/>
                <w:b/>
                <w:color w:val="auto"/>
                <w:sz w:val="24"/>
                <w:u w:val="single"/>
              </w:rPr>
              <w:t>项目采购要求及招标文件</w:t>
            </w:r>
            <w:r>
              <w:rPr>
                <w:rFonts w:hint="eastAsia" w:asciiTheme="minorEastAsia" w:hAnsiTheme="minorEastAsia" w:eastAsiaTheme="minorEastAsia" w:cstheme="minorEastAsia"/>
                <w:color w:val="auto"/>
                <w:sz w:val="24"/>
              </w:rPr>
              <w:t>的约定，提交服务报告，甲方按照</w:t>
            </w:r>
            <w:r>
              <w:rPr>
                <w:rFonts w:hint="eastAsia" w:asciiTheme="minorEastAsia" w:hAnsiTheme="minorEastAsia" w:eastAsiaTheme="minorEastAsia" w:cstheme="minorEastAsia"/>
                <w:b/>
                <w:color w:val="auto"/>
                <w:sz w:val="24"/>
                <w:u w:val="single"/>
              </w:rPr>
              <w:t>项目采购要求及招投标文件</w:t>
            </w:r>
            <w:r>
              <w:rPr>
                <w:rFonts w:hint="eastAsia" w:asciiTheme="minorEastAsia" w:hAnsiTheme="minorEastAsia" w:eastAsiaTheme="minorEastAsia" w:cstheme="minorEastAsia"/>
                <w:color w:val="auto"/>
                <w:sz w:val="24"/>
              </w:rPr>
              <w:t>的约定进行验收；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464" w:type="pct"/>
            <w:vAlign w:val="center"/>
          </w:tcPr>
          <w:p>
            <w:pPr>
              <w:spacing w:line="440" w:lineRule="exact"/>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检验和验收标准、程序等具体内容以及前述验收书的效力详见</w:t>
            </w:r>
            <w:r>
              <w:rPr>
                <w:rFonts w:hint="eastAsia" w:asciiTheme="minorEastAsia" w:hAnsiTheme="minorEastAsia" w:eastAsiaTheme="minorEastAsia" w:cstheme="minorEastAsia"/>
                <w:b/>
                <w:color w:val="auto"/>
                <w:sz w:val="24"/>
                <w:u w:val="single"/>
              </w:rPr>
              <w:t>招标文件、投标文件相关承诺。</w:t>
            </w:r>
            <w:r>
              <w:rPr>
                <w:rFonts w:cs="宋体" w:asciiTheme="minorEastAsia" w:hAnsiTheme="minorEastAsia" w:eastAsiaTheme="minorEastAsia"/>
                <w:color w:val="auto"/>
                <w:sz w:val="24"/>
              </w:rPr>
              <w:t>履约验收产生的费用，属于首次验收过程中产生的，由甲方承担；属于首次验收不合格，重新验收过程中产生的，由乙承担。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rPr>
            </w:pPr>
            <w:r>
              <w:rPr>
                <w:rFonts w:hint="eastAsia" w:ascii="宋体" w:hAnsi="宋体" w:cs="宋体"/>
                <w:color w:val="auto"/>
                <w:sz w:val="24"/>
              </w:rPr>
              <w:t>2.19</w:t>
            </w:r>
          </w:p>
        </w:tc>
        <w:tc>
          <w:tcPr>
            <w:tcW w:w="4464" w:type="pct"/>
          </w:tcPr>
          <w:p>
            <w:pPr>
              <w:spacing w:line="360" w:lineRule="auto"/>
              <w:rPr>
                <w:rFonts w:ascii="宋体" w:hAnsi="宋体" w:cs="宋体"/>
                <w:color w:val="auto"/>
                <w:sz w:val="24"/>
              </w:rPr>
            </w:pPr>
            <w:r>
              <w:rPr>
                <w:rFonts w:hint="eastAsia" w:asciiTheme="minorEastAsia" w:hAnsiTheme="minorEastAsia" w:eastAsiaTheme="minorEastAsia" w:cstheme="minorEastAsia"/>
                <w:color w:val="auto"/>
                <w:sz w:val="24"/>
              </w:rPr>
              <w:t>本合同壹式肆份，甲方执贰份、乙方执贰份。</w:t>
            </w:r>
          </w:p>
        </w:tc>
      </w:tr>
    </w:tbl>
    <w:p>
      <w:pPr>
        <w:spacing w:line="360" w:lineRule="auto"/>
        <w:ind w:left="-420" w:leftChars="-200" w:right="-420" w:rightChars="-200" w:firstLine="480" w:firstLineChars="200"/>
        <w:jc w:val="center"/>
        <w:outlineLvl w:val="0"/>
        <w:rPr>
          <w:rFonts w:ascii="宋体" w:hAnsi="宋体" w:cs="宋体"/>
          <w:color w:val="auto"/>
          <w:sz w:val="24"/>
        </w:rPr>
      </w:pPr>
    </w:p>
    <w:p>
      <w:pPr>
        <w:spacing w:line="360" w:lineRule="auto"/>
        <w:ind w:left="-420" w:leftChars="-200" w:right="-420" w:rightChars="-200" w:firstLine="480" w:firstLineChars="200"/>
        <w:jc w:val="center"/>
        <w:outlineLvl w:val="0"/>
        <w:rPr>
          <w:rFonts w:ascii="宋体" w:hAnsi="宋体" w:cs="宋体"/>
          <w:color w:val="auto"/>
          <w:sz w:val="24"/>
        </w:rPr>
      </w:pP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第六部分</w:t>
      </w:r>
      <w:bookmarkEnd w:id="393"/>
      <w:r>
        <w:rPr>
          <w:rFonts w:hint="eastAsia" w:ascii="宋体" w:hAnsi="宋体" w:cs="宋体"/>
          <w:b/>
          <w:color w:val="auto"/>
          <w:sz w:val="36"/>
          <w:szCs w:val="20"/>
        </w:rPr>
        <w:t xml:space="preserve"> </w:t>
      </w:r>
      <w:bookmarkEnd w:id="394"/>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rPr>
        <w:t>杭州市特种设备检验科学研究院（杭州市特种设备应急处置中心）、杭州市公共资源交易中心：</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我方参与杭州市特种设备检验科学研究院（杭州市特种设备应急处置中心）2024年度检验业务车辆租赁项目【招标编号：HZZFCG-2024-054】政府采购活动，郑重承诺：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firstLine="480" w:firstLineChars="200"/>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rPr>
        <w:t>注：根据《</w:t>
      </w:r>
      <w:r>
        <w:rPr>
          <w:rFonts w:cs="仿宋_GB2312" w:asciiTheme="minorEastAsia" w:hAnsiTheme="minorEastAsia" w:eastAsiaTheme="minorEastAsia"/>
          <w:color w:val="auto"/>
          <w:sz w:val="24"/>
        </w:rPr>
        <w:t>关于规范政府采购供应商资格设定及资格审查的通知</w:t>
      </w:r>
      <w:r>
        <w:rPr>
          <w:rFonts w:hint="eastAsia" w:cs="仿宋_GB2312" w:asciiTheme="minorEastAsia" w:hAnsiTheme="minorEastAsia" w:eastAsiaTheme="minorEastAsia"/>
          <w:color w:val="auto"/>
          <w:sz w:val="24"/>
        </w:rPr>
        <w:t>》（</w:t>
      </w:r>
      <w:r>
        <w:rPr>
          <w:rFonts w:cs="仿宋_GB2312" w:asciiTheme="minorEastAsia" w:hAnsiTheme="minorEastAsia" w:eastAsiaTheme="minorEastAsia"/>
          <w:color w:val="auto"/>
          <w:sz w:val="24"/>
        </w:rPr>
        <w:t>浙财采监[2013]24号</w:t>
      </w:r>
      <w:r>
        <w:rPr>
          <w:rFonts w:hint="eastAsia" w:cs="仿宋_GB2312" w:asciiTheme="minorEastAsia" w:hAnsiTheme="minorEastAsia" w:eastAsiaTheme="minorEastAsia"/>
          <w:color w:val="auto"/>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pStyle w:val="2"/>
        <w:rPr>
          <w:color w:val="auto"/>
        </w:rPr>
      </w:pPr>
    </w:p>
    <w:p>
      <w:pPr>
        <w:rPr>
          <w:color w:val="auto"/>
        </w:rPr>
      </w:pPr>
    </w:p>
    <w:p>
      <w:pPr>
        <w:pStyle w:val="2"/>
        <w:rPr>
          <w:color w:val="auto"/>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三、落实政府采购政策需满足的资格要求（如果有）</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widowControl/>
        <w:spacing w:line="360" w:lineRule="auto"/>
        <w:ind w:left="150"/>
        <w:jc w:val="center"/>
        <w:rPr>
          <w:rFonts w:ascii="宋体" w:hAnsi="宋体" w:cs="宋体"/>
          <w:b/>
          <w:color w:val="auto"/>
          <w:kern w:val="0"/>
          <w:sz w:val="32"/>
          <w:szCs w:val="32"/>
        </w:rPr>
      </w:pPr>
    </w:p>
    <w:p>
      <w:pPr>
        <w:pStyle w:val="2"/>
        <w:rPr>
          <w:rFonts w:ascii="宋体" w:hAnsi="宋体" w:cs="宋体"/>
          <w:color w:val="auto"/>
          <w:kern w:val="0"/>
        </w:rPr>
      </w:pPr>
    </w:p>
    <w:p>
      <w:pPr>
        <w:rPr>
          <w:color w:val="auto"/>
        </w:rPr>
      </w:pPr>
    </w:p>
    <w:p>
      <w:pPr>
        <w:pStyle w:val="2"/>
        <w:rPr>
          <w:rFonts w:ascii="宋体" w:hAnsi="宋体" w:cs="宋体"/>
          <w:color w:val="auto"/>
          <w:kern w:val="0"/>
        </w:rPr>
      </w:pPr>
    </w:p>
    <w:p>
      <w:pPr>
        <w:rPr>
          <w:color w:val="auto"/>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eastAsiaTheme="minorEastAsia"/>
          <w:b/>
          <w:color w:val="auto"/>
          <w:kern w:val="0"/>
          <w:sz w:val="32"/>
          <w:szCs w:val="32"/>
        </w:rPr>
      </w:pPr>
      <w:r>
        <w:rPr>
          <w:rFonts w:hint="eastAsia" w:ascii="宋体" w:hAnsi="宋体" w:cs="宋体"/>
          <w:color w:val="auto"/>
          <w:sz w:val="24"/>
        </w:rPr>
        <w:t>本项目的特定资格要求：</w:t>
      </w:r>
      <w:r>
        <w:rPr>
          <w:rFonts w:hint="eastAsia" w:cs="仿宋" w:asciiTheme="minorEastAsia" w:hAnsiTheme="minorEastAsia" w:eastAsiaTheme="minorEastAsia"/>
          <w:b/>
          <w:color w:val="auto"/>
          <w:sz w:val="24"/>
        </w:rPr>
        <w:t>取得汽车租赁经营备案证（有有效期的，在有效期内）。</w:t>
      </w: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rPr>
        <w:t>杭州市特种设备检验科学研究院（杭州市特种设备应急处置中心）、杭州市公共资源交易中心：</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我方参加你方组织的杭州市特种设备检验科学研究院（杭州市特种设备应急处置中心）2024年度检验业务车辆租赁项目【招标编号：HZZFCG-2024-054】招标的有关活动，并对此项目进行投标。为此：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07" w:name="_Hlk101257010"/>
      <w:r>
        <w:rPr>
          <w:rFonts w:hint="eastAsia" w:ascii="宋体" w:hAnsi="宋体" w:cs="宋体"/>
          <w:color w:val="auto"/>
          <w:sz w:val="24"/>
        </w:rPr>
        <w:t>（如果有)</w:t>
      </w:r>
      <w:bookmarkEnd w:id="407"/>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 报价情况说明（如果有）；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w:t>
      </w:r>
      <w:r>
        <w:rPr>
          <w:rFonts w:hint="eastAsia" w:ascii="宋体" w:hAnsi="宋体" w:cs="宋体"/>
          <w:color w:val="auto"/>
          <w:sz w:val="24"/>
        </w:rPr>
        <w:t>3</w:t>
      </w:r>
      <w:r>
        <w:rPr>
          <w:rFonts w:hint="eastAsia" w:ascii="宋体" w:hAnsi="宋体" w:cs="宋体"/>
          <w:color w:val="auto"/>
          <w:sz w:val="24"/>
        </w:rPr>
        <w:t>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r>
        <w:rPr>
          <w:rFonts w:hint="eastAsia" w:ascii="宋体" w:hAnsi="宋体" w:cs="宋体"/>
          <w:color w:val="auto"/>
          <w:sz w:val="24"/>
        </w:rPr>
        <w:t>对投标文件中材料的真实性、合法性负责。</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2"/>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ind w:firstLine="1928" w:firstLineChars="600"/>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杭州市特种设备检验科学研究院（杭州市特种设备应急处置中心）、杭州市公共资源交易中心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rPr>
        <w:t>，所在单位：</w:t>
      </w:r>
      <w:r>
        <w:rPr>
          <w:rFonts w:hint="eastAsia" w:ascii="宋体" w:hAnsi="宋体" w:cs="宋体"/>
          <w:color w:val="auto"/>
          <w:kern w:val="0"/>
          <w:sz w:val="24"/>
          <w:u w:val="single"/>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杭州市特种设备检验科学研究院（杭州市特种设备应急处置中心）2024年度检验业务车辆租赁项目【招标编号：HZZFCG-2024-054】</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杭州市特种设备检验科学研究院（杭州市特种设备应急处置中心）、杭州市公共资源交易中心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rPr>
        <w:t>，所在单位：</w:t>
      </w:r>
      <w:r>
        <w:rPr>
          <w:rFonts w:hint="eastAsia" w:ascii="宋体" w:hAnsi="宋体" w:cs="宋体"/>
          <w:color w:val="auto"/>
          <w:kern w:val="0"/>
          <w:sz w:val="24"/>
          <w:u w:val="single"/>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杭州市特种设备检验科学研究院（杭州市特种设备应急处置中心）2024年度检验业务车辆租赁项目【招标编号：HZZFCG-2024-054】</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8"/>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rPr>
            </w:pPr>
            <w:r>
              <w:rPr>
                <w:rFonts w:hint="eastAsia" w:hAnsi="宋体" w:cs="宋体"/>
                <w:bCs/>
                <w:color w:val="auto"/>
                <w:sz w:val="24"/>
              </w:rPr>
              <w:t>正面：                                 反面：</w:t>
            </w:r>
          </w:p>
          <w:p>
            <w:pPr>
              <w:pStyle w:val="148"/>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numPr>
          <w:ilvl w:val="0"/>
          <w:numId w:val="1"/>
        </w:num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投标标的清单</w:t>
      </w:r>
    </w:p>
    <w:tbl>
      <w:tblPr>
        <w:tblStyle w:val="62"/>
        <w:tblpPr w:leftFromText="180" w:rightFromText="180" w:vertAnchor="text" w:horzAnchor="page" w:tblpX="1188" w:tblpY="393"/>
        <w:tblOverlap w:val="never"/>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098"/>
        <w:gridCol w:w="974"/>
        <w:gridCol w:w="1014"/>
        <w:gridCol w:w="870"/>
        <w:gridCol w:w="874"/>
        <w:gridCol w:w="1398"/>
        <w:gridCol w:w="136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97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服务范围</w:t>
            </w: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投入服务的车辆数量</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投入服务的车辆型号、品牌</w:t>
            </w:r>
          </w:p>
        </w:tc>
        <w:tc>
          <w:tcPr>
            <w:tcW w:w="1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color w:val="auto"/>
                <w:sz w:val="24"/>
              </w:rPr>
              <w:t>1</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97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color w:val="auto"/>
                <w:sz w:val="24"/>
              </w:rPr>
              <w:t>2</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97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97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tc>
        <w:tc>
          <w:tcPr>
            <w:tcW w:w="1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3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c>
          <w:tcPr>
            <w:tcW w:w="1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杭州市特种设备检验科学研究院（杭州市特种设备应急处置中心）、杭州市公共资源交易中心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w:t>
      </w:r>
      <w:r>
        <w:rPr>
          <w:rFonts w:hint="eastAsia" w:hAnsi="仿宋_GB2312" w:cs="仿宋_GB2312"/>
          <w:bCs/>
          <w:snapToGrid w:val="0"/>
          <w:color w:val="auto"/>
          <w:sz w:val="24"/>
        </w:rPr>
        <w:t>报价情况说明</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rPr>
        <w:t>3</w:t>
      </w:r>
      <w:r>
        <w:rPr>
          <w:rFonts w:hint="eastAsia" w:ascii="宋体" w:hAnsi="宋体" w:cs="宋体"/>
          <w:color w:val="auto"/>
          <w:sz w:val="24"/>
        </w:rPr>
        <w:t>）中小企业声明函………………………………………………………………（页码）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杭州市特种设备检验科学研究院（杭州市特种设备应急处置中心）、杭州市公共资源交易中心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杭州市特种设备检验科学研究院（杭州市特种设备应急处置中心）2024年度检验业务车辆租赁项目</w:t>
      </w:r>
      <w:r>
        <w:rPr>
          <w:rFonts w:hint="eastAsia" w:ascii="宋体" w:hAnsi="宋体" w:cs="宋体"/>
          <w:color w:val="auto"/>
          <w:kern w:val="0"/>
          <w:sz w:val="24"/>
          <w:lang w:val="zh-CN"/>
        </w:rPr>
        <w:t>【招标编号：</w:t>
      </w:r>
      <w:r>
        <w:rPr>
          <w:rFonts w:hint="eastAsia" w:ascii="宋体" w:hAnsi="宋体" w:cs="宋体"/>
          <w:color w:val="auto"/>
          <w:sz w:val="24"/>
        </w:rPr>
        <w:t>HZZFCG-2024-054】的实施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pPr w:leftFromText="180" w:rightFromText="180" w:vertAnchor="text" w:horzAnchor="page" w:tblpX="1273" w:tblpY="452"/>
        <w:tblOverlap w:val="never"/>
        <w:tblW w:w="15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729"/>
        <w:gridCol w:w="1451"/>
        <w:gridCol w:w="1527"/>
        <w:gridCol w:w="31"/>
        <w:gridCol w:w="1698"/>
        <w:gridCol w:w="1276"/>
        <w:gridCol w:w="963"/>
        <w:gridCol w:w="1844"/>
        <w:gridCol w:w="1558"/>
        <w:gridCol w:w="1561"/>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260"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729" w:type="dxa"/>
          </w:tcPr>
          <w:p>
            <w:pPr>
              <w:spacing w:line="360" w:lineRule="auto"/>
              <w:jc w:val="center"/>
              <w:rPr>
                <w:rFonts w:ascii="宋体" w:hAnsi="宋体" w:cs="宋体"/>
                <w:b/>
                <w:color w:val="auto"/>
                <w:sz w:val="24"/>
              </w:rPr>
            </w:pPr>
          </w:p>
          <w:p>
            <w:pPr>
              <w:spacing w:before="240" w:beforeLines="100" w:line="360" w:lineRule="auto"/>
              <w:jc w:val="center"/>
              <w:rPr>
                <w:rFonts w:ascii="宋体" w:hAnsi="宋体" w:cs="宋体"/>
                <w:b/>
                <w:color w:val="auto"/>
                <w:sz w:val="24"/>
              </w:rPr>
            </w:pPr>
            <w:r>
              <w:rPr>
                <w:rFonts w:hint="eastAsia" w:ascii="宋体" w:hAnsi="宋体" w:cs="宋体"/>
                <w:b/>
                <w:color w:val="auto"/>
                <w:sz w:val="24"/>
              </w:rPr>
              <w:t>服务范围</w:t>
            </w:r>
          </w:p>
        </w:tc>
        <w:tc>
          <w:tcPr>
            <w:tcW w:w="1451"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152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1729" w:type="dxa"/>
            <w:gridSpan w:val="2"/>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1276" w:type="dxa"/>
          </w:tcPr>
          <w:p>
            <w:pPr>
              <w:spacing w:before="720" w:beforeLines="300" w:line="360" w:lineRule="auto"/>
              <w:rPr>
                <w:rFonts w:ascii="宋体" w:hAnsi="宋体" w:cs="宋体"/>
                <w:b/>
                <w:color w:val="auto"/>
                <w:sz w:val="24"/>
              </w:rPr>
            </w:pPr>
            <w:r>
              <w:rPr>
                <w:rFonts w:hint="eastAsia" w:ascii="宋体" w:hAnsi="宋体" w:cs="宋体"/>
                <w:b/>
                <w:color w:val="auto"/>
                <w:sz w:val="24"/>
              </w:rPr>
              <w:t>服务人数</w:t>
            </w:r>
          </w:p>
        </w:tc>
        <w:tc>
          <w:tcPr>
            <w:tcW w:w="963" w:type="dxa"/>
            <w:vAlign w:val="center"/>
          </w:tcPr>
          <w:p>
            <w:pPr>
              <w:spacing w:before="360" w:beforeLines="150" w:line="300" w:lineRule="exact"/>
              <w:rPr>
                <w:rFonts w:ascii="宋体" w:hAnsi="宋体" w:cs="宋体"/>
                <w:b/>
                <w:color w:val="auto"/>
                <w:sz w:val="24"/>
              </w:rPr>
            </w:pPr>
            <w:r>
              <w:rPr>
                <w:rFonts w:hint="eastAsia" w:ascii="宋体" w:hAnsi="宋体" w:cs="宋体"/>
                <w:b/>
                <w:color w:val="auto"/>
                <w:sz w:val="24"/>
              </w:rPr>
              <w:t>投入服务的车辆数量</w:t>
            </w:r>
          </w:p>
        </w:tc>
        <w:tc>
          <w:tcPr>
            <w:tcW w:w="1844" w:type="dxa"/>
          </w:tcPr>
          <w:p>
            <w:pPr>
              <w:spacing w:before="960" w:beforeLines="400" w:line="300" w:lineRule="exact"/>
              <w:jc w:val="center"/>
              <w:rPr>
                <w:rFonts w:ascii="宋体" w:hAnsi="宋体" w:cs="宋体"/>
                <w:b/>
                <w:color w:val="auto"/>
                <w:sz w:val="24"/>
              </w:rPr>
            </w:pPr>
            <w:r>
              <w:rPr>
                <w:rFonts w:hint="eastAsia" w:cs="宋体" w:asciiTheme="minorEastAsia" w:hAnsiTheme="minorEastAsia" w:eastAsiaTheme="minorEastAsia"/>
                <w:b/>
                <w:color w:val="auto"/>
                <w:sz w:val="24"/>
              </w:rPr>
              <w:t>每辆车租赁价格（元/年）</w:t>
            </w:r>
          </w:p>
        </w:tc>
        <w:tc>
          <w:tcPr>
            <w:tcW w:w="1558" w:type="dxa"/>
            <w:vAlign w:val="center"/>
          </w:tcPr>
          <w:p>
            <w:pPr>
              <w:spacing w:before="360" w:beforeLines="150" w:line="300" w:lineRule="exact"/>
              <w:jc w:val="center"/>
              <w:rPr>
                <w:rFonts w:ascii="宋体" w:hAnsi="宋体" w:cs="宋体"/>
                <w:b/>
                <w:color w:val="auto"/>
                <w:sz w:val="24"/>
              </w:rPr>
            </w:pPr>
            <w:r>
              <w:rPr>
                <w:rFonts w:hint="eastAsia" w:ascii="宋体" w:hAnsi="宋体" w:cs="宋体"/>
                <w:b/>
                <w:color w:val="auto"/>
                <w:sz w:val="24"/>
              </w:rPr>
              <w:t>投入服务的车辆型号、品牌</w:t>
            </w:r>
          </w:p>
        </w:tc>
        <w:tc>
          <w:tcPr>
            <w:tcW w:w="1561"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w:t>
            </w:r>
          </w:p>
          <w:p>
            <w:pPr>
              <w:spacing w:line="360" w:lineRule="auto"/>
              <w:jc w:val="center"/>
              <w:rPr>
                <w:rFonts w:ascii="宋体" w:hAnsi="宋体" w:cs="宋体"/>
                <w:b/>
                <w:color w:val="auto"/>
                <w:sz w:val="24"/>
              </w:rPr>
            </w:pPr>
            <w:r>
              <w:rPr>
                <w:rFonts w:hint="eastAsia" w:ascii="宋体" w:hAnsi="宋体" w:cs="宋体"/>
                <w:b/>
                <w:color w:val="auto"/>
                <w:sz w:val="24"/>
              </w:rPr>
              <w:t>（如果有）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558"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color w:val="auto"/>
                <w:sz w:val="24"/>
              </w:rPr>
              <w:t>1</w:t>
            </w:r>
          </w:p>
        </w:tc>
        <w:tc>
          <w:tcPr>
            <w:tcW w:w="992" w:type="dxa"/>
            <w:vAlign w:val="center"/>
          </w:tcPr>
          <w:p>
            <w:pPr>
              <w:spacing w:line="360" w:lineRule="auto"/>
              <w:jc w:val="center"/>
              <w:rPr>
                <w:rFonts w:ascii="宋体" w:hAnsi="宋体" w:cs="宋体"/>
                <w:b/>
                <w:color w:val="auto"/>
                <w:sz w:val="24"/>
              </w:rPr>
            </w:pPr>
            <w:r>
              <w:rPr>
                <w:rFonts w:hint="eastAsia" w:ascii="宋体" w:hAnsi="宋体" w:cs="宋体"/>
                <w:color w:val="auto"/>
                <w:sz w:val="24"/>
              </w:rPr>
              <w:t>X</w:t>
            </w:r>
            <w:r>
              <w:rPr>
                <w:rFonts w:ascii="宋体" w:hAnsi="宋体" w:cs="宋体"/>
                <w:color w:val="auto"/>
                <w:sz w:val="24"/>
              </w:rPr>
              <w:t>X</w:t>
            </w:r>
          </w:p>
        </w:tc>
        <w:tc>
          <w:tcPr>
            <w:tcW w:w="1729" w:type="dxa"/>
          </w:tcPr>
          <w:p>
            <w:pPr>
              <w:spacing w:line="360" w:lineRule="auto"/>
              <w:jc w:val="center"/>
              <w:rPr>
                <w:rFonts w:ascii="宋体" w:hAnsi="宋体" w:cs="宋体"/>
                <w:b/>
                <w:color w:val="auto"/>
                <w:sz w:val="24"/>
              </w:rPr>
            </w:pPr>
          </w:p>
        </w:tc>
        <w:tc>
          <w:tcPr>
            <w:tcW w:w="1451" w:type="dxa"/>
            <w:vAlign w:val="center"/>
          </w:tcPr>
          <w:p>
            <w:pPr>
              <w:spacing w:line="360" w:lineRule="auto"/>
              <w:jc w:val="center"/>
              <w:rPr>
                <w:rFonts w:ascii="宋体" w:hAnsi="宋体" w:cs="宋体"/>
                <w:b/>
                <w:color w:val="auto"/>
                <w:sz w:val="24"/>
              </w:rPr>
            </w:pPr>
          </w:p>
        </w:tc>
        <w:tc>
          <w:tcPr>
            <w:tcW w:w="1527" w:type="dxa"/>
            <w:vAlign w:val="center"/>
          </w:tcPr>
          <w:p>
            <w:pPr>
              <w:spacing w:line="360" w:lineRule="auto"/>
              <w:jc w:val="center"/>
              <w:rPr>
                <w:rFonts w:ascii="宋体" w:hAnsi="宋体" w:cs="宋体"/>
                <w:b/>
                <w:color w:val="auto"/>
                <w:sz w:val="24"/>
              </w:rPr>
            </w:pPr>
          </w:p>
        </w:tc>
        <w:tc>
          <w:tcPr>
            <w:tcW w:w="1729" w:type="dxa"/>
            <w:gridSpan w:val="2"/>
            <w:vAlign w:val="center"/>
          </w:tcPr>
          <w:p>
            <w:pPr>
              <w:spacing w:line="360" w:lineRule="auto"/>
              <w:jc w:val="center"/>
              <w:rPr>
                <w:rFonts w:ascii="宋体" w:hAnsi="宋体" w:cs="宋体"/>
                <w:b/>
                <w:color w:val="auto"/>
                <w:sz w:val="24"/>
              </w:rPr>
            </w:pPr>
          </w:p>
        </w:tc>
        <w:tc>
          <w:tcPr>
            <w:tcW w:w="1276" w:type="dxa"/>
          </w:tcPr>
          <w:p>
            <w:pPr>
              <w:spacing w:before="720" w:beforeLines="300" w:line="360" w:lineRule="auto"/>
              <w:jc w:val="center"/>
              <w:rPr>
                <w:rFonts w:ascii="宋体" w:hAnsi="宋体" w:cs="宋体"/>
                <w:b/>
                <w:color w:val="auto"/>
                <w:sz w:val="24"/>
              </w:rPr>
            </w:pPr>
          </w:p>
        </w:tc>
        <w:tc>
          <w:tcPr>
            <w:tcW w:w="963" w:type="dxa"/>
          </w:tcPr>
          <w:p>
            <w:pPr>
              <w:spacing w:before="720" w:beforeLines="300" w:line="300" w:lineRule="exact"/>
              <w:jc w:val="center"/>
              <w:rPr>
                <w:rFonts w:ascii="宋体" w:hAnsi="宋体" w:cs="宋体"/>
                <w:b/>
                <w:color w:val="auto"/>
                <w:sz w:val="24"/>
              </w:rPr>
            </w:pPr>
          </w:p>
        </w:tc>
        <w:tc>
          <w:tcPr>
            <w:tcW w:w="1844" w:type="dxa"/>
          </w:tcPr>
          <w:p>
            <w:pPr>
              <w:spacing w:before="720" w:beforeLines="300" w:line="300" w:lineRule="exact"/>
              <w:jc w:val="center"/>
              <w:rPr>
                <w:rFonts w:ascii="宋体" w:hAnsi="宋体" w:cs="宋体"/>
                <w:b/>
                <w:color w:val="auto"/>
                <w:sz w:val="24"/>
              </w:rPr>
            </w:pPr>
          </w:p>
        </w:tc>
        <w:tc>
          <w:tcPr>
            <w:tcW w:w="1558" w:type="dxa"/>
          </w:tcPr>
          <w:p>
            <w:pPr>
              <w:spacing w:before="720" w:beforeLines="300" w:line="300" w:lineRule="exact"/>
              <w:jc w:val="center"/>
              <w:rPr>
                <w:rFonts w:ascii="宋体" w:hAnsi="宋体" w:cs="宋体"/>
                <w:b/>
                <w:color w:val="auto"/>
                <w:sz w:val="24"/>
              </w:rPr>
            </w:pPr>
          </w:p>
        </w:tc>
        <w:tc>
          <w:tcPr>
            <w:tcW w:w="156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50"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color w:val="auto"/>
                <w:sz w:val="24"/>
              </w:rPr>
              <w:t>2</w:t>
            </w:r>
          </w:p>
        </w:tc>
        <w:tc>
          <w:tcPr>
            <w:tcW w:w="992" w:type="dxa"/>
            <w:vAlign w:val="center"/>
          </w:tcPr>
          <w:p>
            <w:pPr>
              <w:spacing w:line="360" w:lineRule="auto"/>
              <w:jc w:val="center"/>
              <w:rPr>
                <w:rFonts w:ascii="宋体" w:hAnsi="宋体" w:cs="宋体"/>
                <w:b/>
                <w:color w:val="auto"/>
                <w:sz w:val="24"/>
              </w:rPr>
            </w:pPr>
            <w:r>
              <w:rPr>
                <w:rFonts w:hint="eastAsia" w:ascii="宋体" w:hAnsi="宋体" w:cs="宋体"/>
                <w:color w:val="auto"/>
                <w:sz w:val="24"/>
              </w:rPr>
              <w:t>X</w:t>
            </w:r>
            <w:r>
              <w:rPr>
                <w:rFonts w:ascii="宋体" w:hAnsi="宋体" w:cs="宋体"/>
                <w:color w:val="auto"/>
                <w:sz w:val="24"/>
              </w:rPr>
              <w:t>X</w:t>
            </w:r>
          </w:p>
        </w:tc>
        <w:tc>
          <w:tcPr>
            <w:tcW w:w="1729" w:type="dxa"/>
          </w:tcPr>
          <w:p>
            <w:pPr>
              <w:spacing w:line="360" w:lineRule="auto"/>
              <w:jc w:val="center"/>
              <w:rPr>
                <w:rFonts w:ascii="宋体" w:hAnsi="宋体" w:cs="宋体"/>
                <w:b/>
                <w:color w:val="auto"/>
                <w:sz w:val="24"/>
              </w:rPr>
            </w:pPr>
          </w:p>
        </w:tc>
        <w:tc>
          <w:tcPr>
            <w:tcW w:w="1451" w:type="dxa"/>
            <w:vAlign w:val="center"/>
          </w:tcPr>
          <w:p>
            <w:pPr>
              <w:spacing w:line="360" w:lineRule="auto"/>
              <w:jc w:val="center"/>
              <w:rPr>
                <w:rFonts w:ascii="宋体" w:hAnsi="宋体" w:cs="宋体"/>
                <w:b/>
                <w:color w:val="auto"/>
                <w:sz w:val="24"/>
              </w:rPr>
            </w:pPr>
          </w:p>
        </w:tc>
        <w:tc>
          <w:tcPr>
            <w:tcW w:w="1527" w:type="dxa"/>
            <w:vAlign w:val="center"/>
          </w:tcPr>
          <w:p>
            <w:pPr>
              <w:spacing w:line="360" w:lineRule="auto"/>
              <w:jc w:val="center"/>
              <w:rPr>
                <w:rFonts w:ascii="宋体" w:hAnsi="宋体" w:cs="宋体"/>
                <w:b/>
                <w:color w:val="auto"/>
                <w:sz w:val="24"/>
              </w:rPr>
            </w:pPr>
          </w:p>
        </w:tc>
        <w:tc>
          <w:tcPr>
            <w:tcW w:w="1729" w:type="dxa"/>
            <w:gridSpan w:val="2"/>
            <w:vAlign w:val="center"/>
          </w:tcPr>
          <w:p>
            <w:pPr>
              <w:spacing w:line="360" w:lineRule="auto"/>
              <w:jc w:val="center"/>
              <w:rPr>
                <w:rFonts w:ascii="宋体" w:hAnsi="宋体" w:cs="宋体"/>
                <w:b/>
                <w:color w:val="auto"/>
                <w:sz w:val="24"/>
              </w:rPr>
            </w:pPr>
          </w:p>
        </w:tc>
        <w:tc>
          <w:tcPr>
            <w:tcW w:w="1276" w:type="dxa"/>
          </w:tcPr>
          <w:p>
            <w:pPr>
              <w:spacing w:before="720" w:beforeLines="300" w:line="360" w:lineRule="auto"/>
              <w:jc w:val="center"/>
              <w:rPr>
                <w:rFonts w:ascii="宋体" w:hAnsi="宋体" w:cs="宋体"/>
                <w:b/>
                <w:color w:val="auto"/>
                <w:sz w:val="24"/>
              </w:rPr>
            </w:pPr>
          </w:p>
        </w:tc>
        <w:tc>
          <w:tcPr>
            <w:tcW w:w="963" w:type="dxa"/>
          </w:tcPr>
          <w:p>
            <w:pPr>
              <w:spacing w:before="720" w:beforeLines="300" w:line="300" w:lineRule="exact"/>
              <w:jc w:val="center"/>
              <w:rPr>
                <w:rFonts w:ascii="宋体" w:hAnsi="宋体" w:cs="宋体"/>
                <w:b/>
                <w:color w:val="auto"/>
                <w:sz w:val="24"/>
              </w:rPr>
            </w:pPr>
          </w:p>
        </w:tc>
        <w:tc>
          <w:tcPr>
            <w:tcW w:w="1844" w:type="dxa"/>
          </w:tcPr>
          <w:p>
            <w:pPr>
              <w:spacing w:before="720" w:beforeLines="300" w:line="300" w:lineRule="exact"/>
              <w:jc w:val="center"/>
              <w:rPr>
                <w:rFonts w:ascii="宋体" w:hAnsi="宋体" w:cs="宋体"/>
                <w:b/>
                <w:color w:val="auto"/>
                <w:sz w:val="24"/>
              </w:rPr>
            </w:pPr>
          </w:p>
        </w:tc>
        <w:tc>
          <w:tcPr>
            <w:tcW w:w="1558" w:type="dxa"/>
          </w:tcPr>
          <w:p>
            <w:pPr>
              <w:spacing w:before="720" w:beforeLines="300" w:line="300" w:lineRule="exact"/>
              <w:jc w:val="center"/>
              <w:rPr>
                <w:rFonts w:ascii="宋体" w:hAnsi="宋体" w:cs="宋体"/>
                <w:b/>
                <w:color w:val="auto"/>
                <w:sz w:val="24"/>
              </w:rPr>
            </w:pPr>
          </w:p>
        </w:tc>
        <w:tc>
          <w:tcPr>
            <w:tcW w:w="156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492"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color w:val="auto"/>
                <w:sz w:val="24"/>
              </w:rPr>
              <w:t>…</w:t>
            </w:r>
          </w:p>
        </w:tc>
        <w:tc>
          <w:tcPr>
            <w:tcW w:w="992" w:type="dxa"/>
            <w:vAlign w:val="center"/>
          </w:tcPr>
          <w:p>
            <w:pPr>
              <w:spacing w:line="360" w:lineRule="auto"/>
              <w:jc w:val="center"/>
              <w:rPr>
                <w:rFonts w:ascii="宋体" w:hAnsi="宋体" w:cs="宋体"/>
                <w:b/>
                <w:color w:val="auto"/>
                <w:sz w:val="24"/>
              </w:rPr>
            </w:pPr>
          </w:p>
        </w:tc>
        <w:tc>
          <w:tcPr>
            <w:tcW w:w="1729" w:type="dxa"/>
          </w:tcPr>
          <w:p>
            <w:pPr>
              <w:spacing w:line="360" w:lineRule="auto"/>
              <w:jc w:val="center"/>
              <w:rPr>
                <w:rFonts w:ascii="宋体" w:hAnsi="宋体" w:cs="宋体"/>
                <w:b/>
                <w:color w:val="auto"/>
                <w:sz w:val="24"/>
              </w:rPr>
            </w:pPr>
          </w:p>
        </w:tc>
        <w:tc>
          <w:tcPr>
            <w:tcW w:w="1451" w:type="dxa"/>
            <w:vAlign w:val="center"/>
          </w:tcPr>
          <w:p>
            <w:pPr>
              <w:spacing w:line="360" w:lineRule="auto"/>
              <w:jc w:val="center"/>
              <w:rPr>
                <w:rFonts w:ascii="宋体" w:hAnsi="宋体" w:cs="宋体"/>
                <w:b/>
                <w:color w:val="auto"/>
                <w:sz w:val="24"/>
              </w:rPr>
            </w:pPr>
          </w:p>
        </w:tc>
        <w:tc>
          <w:tcPr>
            <w:tcW w:w="1527" w:type="dxa"/>
            <w:vAlign w:val="center"/>
          </w:tcPr>
          <w:p>
            <w:pPr>
              <w:spacing w:line="360" w:lineRule="auto"/>
              <w:jc w:val="center"/>
              <w:rPr>
                <w:rFonts w:ascii="宋体" w:hAnsi="宋体" w:cs="宋体"/>
                <w:b/>
                <w:color w:val="auto"/>
                <w:sz w:val="24"/>
              </w:rPr>
            </w:pPr>
          </w:p>
        </w:tc>
        <w:tc>
          <w:tcPr>
            <w:tcW w:w="1729" w:type="dxa"/>
            <w:gridSpan w:val="2"/>
            <w:vAlign w:val="center"/>
          </w:tcPr>
          <w:p>
            <w:pPr>
              <w:spacing w:line="360" w:lineRule="auto"/>
              <w:jc w:val="center"/>
              <w:rPr>
                <w:rFonts w:ascii="宋体" w:hAnsi="宋体" w:cs="宋体"/>
                <w:b/>
                <w:color w:val="auto"/>
                <w:sz w:val="24"/>
              </w:rPr>
            </w:pPr>
          </w:p>
        </w:tc>
        <w:tc>
          <w:tcPr>
            <w:tcW w:w="1276" w:type="dxa"/>
          </w:tcPr>
          <w:p>
            <w:pPr>
              <w:spacing w:before="720" w:beforeLines="300" w:line="360" w:lineRule="auto"/>
              <w:jc w:val="center"/>
              <w:rPr>
                <w:rFonts w:ascii="宋体" w:hAnsi="宋体" w:cs="宋体"/>
                <w:b/>
                <w:color w:val="auto"/>
                <w:sz w:val="24"/>
              </w:rPr>
            </w:pPr>
          </w:p>
        </w:tc>
        <w:tc>
          <w:tcPr>
            <w:tcW w:w="963" w:type="dxa"/>
          </w:tcPr>
          <w:p>
            <w:pPr>
              <w:spacing w:before="720" w:beforeLines="300" w:line="300" w:lineRule="exact"/>
              <w:jc w:val="center"/>
              <w:rPr>
                <w:rFonts w:ascii="宋体" w:hAnsi="宋体" w:cs="宋体"/>
                <w:b/>
                <w:color w:val="auto"/>
                <w:sz w:val="24"/>
              </w:rPr>
            </w:pPr>
          </w:p>
        </w:tc>
        <w:tc>
          <w:tcPr>
            <w:tcW w:w="1844" w:type="dxa"/>
          </w:tcPr>
          <w:p>
            <w:pPr>
              <w:spacing w:before="720" w:beforeLines="300" w:line="300" w:lineRule="exact"/>
              <w:jc w:val="center"/>
              <w:rPr>
                <w:rFonts w:ascii="宋体" w:hAnsi="宋体" w:cs="宋体"/>
                <w:b/>
                <w:color w:val="auto"/>
                <w:sz w:val="24"/>
              </w:rPr>
            </w:pPr>
          </w:p>
        </w:tc>
        <w:tc>
          <w:tcPr>
            <w:tcW w:w="1558" w:type="dxa"/>
          </w:tcPr>
          <w:p>
            <w:pPr>
              <w:spacing w:before="720" w:beforeLines="300" w:line="300" w:lineRule="exact"/>
              <w:jc w:val="center"/>
              <w:rPr>
                <w:rFonts w:ascii="宋体" w:hAnsi="宋体" w:cs="宋体"/>
                <w:b/>
                <w:color w:val="auto"/>
                <w:sz w:val="24"/>
              </w:rPr>
            </w:pPr>
          </w:p>
        </w:tc>
        <w:tc>
          <w:tcPr>
            <w:tcW w:w="1561"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989"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1558" w:type="dxa"/>
            <w:gridSpan w:val="2"/>
          </w:tcPr>
          <w:p>
            <w:pPr>
              <w:spacing w:line="360" w:lineRule="auto"/>
              <w:jc w:val="center"/>
              <w:rPr>
                <w:rFonts w:ascii="宋体" w:hAnsi="宋体" w:cs="宋体"/>
                <w:color w:val="auto"/>
                <w:sz w:val="24"/>
              </w:rPr>
            </w:pPr>
          </w:p>
        </w:tc>
        <w:tc>
          <w:tcPr>
            <w:tcW w:w="8917" w:type="dxa"/>
            <w:gridSpan w:val="7"/>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989"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1558" w:type="dxa"/>
            <w:gridSpan w:val="2"/>
          </w:tcPr>
          <w:p>
            <w:pPr>
              <w:spacing w:line="360" w:lineRule="auto"/>
              <w:jc w:val="center"/>
              <w:rPr>
                <w:rFonts w:ascii="宋体" w:hAnsi="宋体" w:cs="宋体"/>
                <w:color w:val="auto"/>
                <w:sz w:val="24"/>
              </w:rPr>
            </w:pPr>
          </w:p>
        </w:tc>
        <w:tc>
          <w:tcPr>
            <w:tcW w:w="8917" w:type="dxa"/>
            <w:gridSpan w:val="7"/>
          </w:tcPr>
          <w:p>
            <w:pPr>
              <w:spacing w:line="360" w:lineRule="auto"/>
              <w:jc w:val="center"/>
              <w:rPr>
                <w:rFonts w:ascii="宋体" w:hAnsi="宋体" w:cs="宋体"/>
                <w:color w:val="auto"/>
                <w:sz w:val="24"/>
              </w:rPr>
            </w:pPr>
          </w:p>
        </w:tc>
      </w:tr>
    </w:tbl>
    <w:p>
      <w:pPr>
        <w:rPr>
          <w:color w:val="auto"/>
          <w:lang w:val="zh-CN"/>
        </w:rPr>
      </w:pPr>
    </w:p>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color w:val="auto"/>
          <w:kern w:val="0"/>
          <w:sz w:val="24"/>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rPr>
      </w:pPr>
    </w:p>
    <w:p>
      <w:pPr>
        <w:spacing w:line="360" w:lineRule="auto"/>
        <w:ind w:firstLine="482" w:firstLineChars="200"/>
        <w:rPr>
          <w:rFonts w:ascii="宋体" w:hAnsi="宋体" w:cs="宋体"/>
          <w:b/>
          <w:color w:val="auto"/>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255"/>
          <w:numId w:val="0"/>
        </w:numPr>
        <w:tabs>
          <w:tab w:val="clear" w:pos="720"/>
        </w:tabs>
        <w:snapToGrid w:val="0"/>
        <w:spacing w:before="120" w:after="120"/>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二、报价情况说明（如果有）</w:t>
      </w:r>
    </w:p>
    <w:p>
      <w:pPr>
        <w:pStyle w:val="692"/>
        <w:keepNext w:val="0"/>
        <w:pageBreakBefore w:val="0"/>
        <w:tabs>
          <w:tab w:val="clear" w:pos="720"/>
        </w:tabs>
        <w:snapToGrid w:val="0"/>
        <w:spacing w:before="120" w:after="120"/>
        <w:ind w:firstLine="643"/>
        <w:jc w:val="left"/>
        <w:outlineLvl w:val="9"/>
        <w:rPr>
          <w:rFonts w:ascii="宋体" w:hAnsi="宋体" w:eastAsia="宋体" w:cs="宋体"/>
          <w:b w:val="0"/>
          <w:color w:val="auto"/>
          <w:sz w:val="24"/>
          <w:szCs w:val="24"/>
        </w:rPr>
      </w:pPr>
      <w:r>
        <w:rPr>
          <w:rFonts w:hint="eastAsia" w:ascii="宋体" w:hAnsi="宋体" w:eastAsia="宋体" w:cs="宋体"/>
          <w:b w:val="0"/>
          <w:color w:val="auto"/>
          <w:sz w:val="24"/>
          <w:szCs w:val="24"/>
        </w:rPr>
        <w:t>（如供应商报价低于项目预算50%的，应当提交本文档，详细阐述不影响产品质量或者诚信履约的具体原因</w:t>
      </w:r>
      <w:r>
        <w:rPr>
          <w:rFonts w:hint="eastAsia" w:ascii="宋体" w:hAnsi="宋体" w:eastAsia="宋体" w:cs="宋体"/>
          <w:color w:val="auto"/>
          <w:kern w:val="2"/>
          <w:sz w:val="24"/>
          <w:szCs w:val="24"/>
        </w:rPr>
        <w:t>，否则投标无效。</w:t>
      </w:r>
      <w:r>
        <w:rPr>
          <w:rFonts w:hint="eastAsia" w:ascii="宋体" w:hAnsi="宋体" w:eastAsia="宋体" w:cs="宋体"/>
          <w:b w:val="0"/>
          <w:color w:val="auto"/>
          <w:sz w:val="24"/>
          <w:szCs w:val="24"/>
        </w:rPr>
        <w:t>）</w:t>
      </w:r>
    </w:p>
    <w:p>
      <w:pPr>
        <w:spacing w:line="360" w:lineRule="auto"/>
        <w:ind w:firstLine="482" w:firstLineChars="200"/>
        <w:rPr>
          <w:rFonts w:ascii="宋体" w:hAnsi="宋体" w:cs="宋体"/>
          <w:b/>
          <w:color w:val="auto"/>
          <w:sz w:val="24"/>
        </w:rPr>
      </w:pPr>
    </w:p>
    <w:p>
      <w:pPr>
        <w:pStyle w:val="692"/>
        <w:keepNext w:val="0"/>
        <w:pageBreakBefore w:val="0"/>
        <w:tabs>
          <w:tab w:val="clear" w:pos="720"/>
        </w:tabs>
        <w:snapToGrid w:val="0"/>
        <w:spacing w:before="120" w:after="120"/>
        <w:ind w:firstLine="643"/>
        <w:jc w:val="left"/>
        <w:outlineLvl w:val="9"/>
        <w:rPr>
          <w:rFonts w:ascii="宋体" w:hAnsi="宋体" w:eastAsia="宋体" w:cs="宋体"/>
          <w:b w:val="0"/>
          <w:color w:val="auto"/>
          <w:sz w:val="24"/>
          <w:szCs w:val="24"/>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sz w:val="32"/>
          <w:szCs w:val="32"/>
        </w:rPr>
        <w:t>三、</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408" w:name="OLE_LINK13"/>
      <w:bookmarkStart w:id="409" w:name="OLE_LINK14"/>
      <w:r>
        <w:rPr>
          <w:rFonts w:hint="eastAsia" w:ascii="宋体" w:hAnsi="宋体" w:cs="宋体"/>
          <w:b/>
          <w:color w:val="auto"/>
          <w:spacing w:val="6"/>
          <w:sz w:val="32"/>
          <w:szCs w:val="32"/>
        </w:rPr>
        <w:t>残疾人福利性单位声明函</w:t>
      </w:r>
    </w:p>
    <w:bookmarkEnd w:id="408"/>
    <w:bookmarkEnd w:id="409"/>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rPr>
        <w:t>杭州市特种设备检验科学研究院（杭州市特种设备应急处置中心）</w:t>
      </w:r>
      <w:r>
        <w:rPr>
          <w:rFonts w:hint="eastAsia" w:ascii="宋体" w:hAnsi="宋体" w:cs="宋体"/>
          <w:color w:val="auto"/>
          <w:sz w:val="24"/>
        </w:rPr>
        <w:t>单位的</w:t>
      </w:r>
      <w:r>
        <w:rPr>
          <w:rFonts w:hint="eastAsia" w:ascii="宋体" w:hAnsi="宋体" w:cs="宋体"/>
          <w:color w:val="auto"/>
          <w:sz w:val="24"/>
          <w:u w:val="single"/>
        </w:rPr>
        <w:t>杭州市特种设备检验科学研究院（杭州市特种设备应急处置中心）2024年度检验业务车辆租赁项目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杭州市特种设备检验科学研究院（杭州市特种设备应急处置中心）、杭州市公共资源交易中心：</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你方组织的杭州市特种设备检验科学研究院（杭州市特种设备应急处置中心）2024年度检验业务车辆租赁项目【招标编号：HZZFCG-2024-054】</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杭州市特种设备检验科学研究院（杭州市特种设备应急处置中心）2024年度检验业务车辆租赁项目【招标编号：HZZFCG-2024-054】</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410"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410"/>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411"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411"/>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412"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412"/>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jc w:val="center"/>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杭州市特种设备检验科学研究院（杭州市特种设备应急处置中心）2024年度检验业务车辆租赁项目【招标编号：HZZFCG-2024-054】</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2"/>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jc w:val="left"/>
        <w:outlineLvl w:val="0"/>
        <w:rPr>
          <w:rFonts w:ascii="宋体" w:hAnsi="宋体" w:cs="宋体"/>
          <w:b/>
          <w:color w:val="auto"/>
          <w:sz w:val="36"/>
          <w:szCs w:val="20"/>
        </w:rPr>
      </w:pPr>
      <w:r>
        <w:rPr>
          <w:rFonts w:hint="eastAsia" w:ascii="宋体" w:hAnsi="宋体" w:cs="宋体"/>
          <w:b/>
          <w:color w:val="auto"/>
          <w:sz w:val="36"/>
          <w:szCs w:val="20"/>
        </w:rPr>
        <w:t>附件</w:t>
      </w:r>
      <w:r>
        <w:rPr>
          <w:rFonts w:ascii="宋体" w:hAnsi="宋体" w:cs="宋体"/>
          <w:b/>
          <w:color w:val="auto"/>
          <w:sz w:val="36"/>
          <w:szCs w:val="20"/>
        </w:rPr>
        <w:t>7</w:t>
      </w:r>
      <w:r>
        <w:rPr>
          <w:rFonts w:hint="eastAsia" w:ascii="宋体" w:hAnsi="宋体" w:cs="宋体"/>
          <w:b/>
          <w:color w:val="auto"/>
          <w:sz w:val="36"/>
          <w:szCs w:val="20"/>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杭州市特种设备检验科学研究院（杭州市特种设备应急处置中心） </w:t>
      </w:r>
      <w:r>
        <w:rPr>
          <w:rFonts w:hint="eastAsia" w:ascii="宋体" w:hAnsi="宋体" w:cs="宋体"/>
          <w:color w:val="auto"/>
          <w:sz w:val="24"/>
        </w:rPr>
        <w:t>的</w:t>
      </w:r>
      <w:r>
        <w:rPr>
          <w:rFonts w:hint="eastAsia" w:ascii="宋体" w:hAnsi="宋体" w:cs="宋体"/>
          <w:color w:val="auto"/>
          <w:sz w:val="24"/>
          <w:u w:val="single"/>
        </w:rPr>
        <w:t xml:space="preserve"> 杭州市特种设备检验科学研究院（杭州市特种设备应急处置中心）2024年度检验业务车辆租赁项目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cs="Arial" w:asciiTheme="minorEastAsia" w:hAnsiTheme="minorEastAsia" w:eastAsiaTheme="minorEastAsia"/>
          <w:color w:val="auto"/>
          <w:kern w:val="0"/>
          <w:sz w:val="24"/>
          <w:u w:val="single"/>
        </w:rPr>
        <w:t>汽车租赁服务</w:t>
      </w:r>
      <w:r>
        <w:rPr>
          <w:rFonts w:hint="eastAsia"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，属于</w:t>
      </w:r>
      <w:r>
        <w:rPr>
          <w:rFonts w:hint="eastAsia" w:cs="宋体" w:asciiTheme="minorEastAsia" w:hAnsiTheme="minorEastAsia" w:eastAsiaTheme="minorEastAsia"/>
          <w:color w:val="auto"/>
          <w:kern w:val="0"/>
          <w:sz w:val="24"/>
          <w:u w:val="single"/>
        </w:rPr>
        <w:t xml:space="preserve"> </w:t>
      </w:r>
      <w:r>
        <w:rPr>
          <w:rFonts w:hint="eastAsia" w:cs="Arial" w:asciiTheme="minorEastAsia" w:hAnsiTheme="minorEastAsia" w:eastAsiaTheme="minorEastAsia"/>
          <w:color w:val="auto"/>
          <w:kern w:val="0"/>
          <w:sz w:val="24"/>
          <w:u w:val="single"/>
        </w:rPr>
        <w:t>租赁和商务服务业</w:t>
      </w:r>
      <w:r>
        <w:rPr>
          <w:rFonts w:cs="宋体" w:asciiTheme="minorEastAsia" w:hAnsiTheme="minorEastAsia" w:eastAsiaTheme="minorEastAsia"/>
          <w:color w:val="auto"/>
          <w:kern w:val="0"/>
          <w:sz w:val="24"/>
          <w:u w:val="single"/>
        </w:rPr>
        <w:t xml:space="preserve"> </w:t>
      </w:r>
      <w:r>
        <w:rPr>
          <w:rFonts w:hint="eastAsia" w:cs="宋体" w:asciiTheme="minorEastAsia" w:hAnsiTheme="minorEastAsia" w:eastAsiaTheme="minorEastAsia"/>
          <w:color w:val="auto"/>
          <w:kern w:val="0"/>
          <w:sz w:val="24"/>
        </w:rPr>
        <w:t>行业</w:t>
      </w:r>
      <w:r>
        <w:rPr>
          <w:rFonts w:hint="eastAsia" w:ascii="宋体" w:hAnsi="宋体" w:cs="宋体"/>
          <w:color w:val="auto"/>
          <w:sz w:val="24"/>
        </w:rPr>
        <w:t xml:space="preserve"> ；承接企业为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lang w:val="en-US"/>
        </w:rPr>
      </w:pPr>
    </w:p>
    <w:p>
      <w:pPr>
        <w:spacing w:line="360" w:lineRule="auto"/>
        <w:ind w:right="420"/>
        <w:rPr>
          <w:rFonts w:ascii="宋体" w:hAnsi="宋体" w:cs="宋体"/>
          <w:color w:val="auto"/>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altName w:val="仿宋"/>
    <w:panose1 w:val="02010509060101010101"/>
    <w:charset w:val="86"/>
    <w:family w:val="modern"/>
    <w:pitch w:val="default"/>
    <w:sig w:usb0="00000000" w:usb1="00000000" w:usb2="00000010" w:usb3="00000000" w:csb0="00040000" w:csb1="00000000"/>
  </w:font>
  <w:font w:name="Arial Narrow">
    <w:altName w:val="Times New Roman"/>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华文仿宋">
    <w:altName w:val="仿宋"/>
    <w:panose1 w:val="02010600040101010101"/>
    <w:charset w:val="86"/>
    <w:family w:val="auto"/>
    <w:pitch w:val="default"/>
    <w:sig w:usb0="00000000" w:usb1="00000000" w:usb2="00000010" w:usb3="00000000" w:csb0="0004009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3" w:name="_Toc36110187"/>
    <w:bookmarkStart w:id="414" w:name="_Toc164085800"/>
    <w:bookmarkStart w:id="415" w:name="_Toc131845147"/>
    <w:bookmarkStart w:id="416" w:name="_Toc91899912"/>
    <w:r>
      <w:rPr>
        <w:rFonts w:hint="eastAsia" w:ascii="仿宋_GB2312" w:eastAsia="仿宋_GB2312"/>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5AF7F1"/>
    <w:multiLevelType w:val="singleLevel"/>
    <w:tmpl w:val="D85AF7F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xZDI1ODlhNWRlYjkxN2VjODFmOWI0MTRiZWU2ZjU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86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EF5"/>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2DBC"/>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003"/>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76E"/>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669"/>
    <w:rsid w:val="00FF49B4"/>
    <w:rsid w:val="00FF49F4"/>
    <w:rsid w:val="00FF5C6A"/>
    <w:rsid w:val="00FF651D"/>
    <w:rsid w:val="00FF6843"/>
    <w:rsid w:val="00FF6C25"/>
    <w:rsid w:val="00FF7EA3"/>
    <w:rsid w:val="010651D9"/>
    <w:rsid w:val="011F6449"/>
    <w:rsid w:val="01236AFB"/>
    <w:rsid w:val="019F7441"/>
    <w:rsid w:val="01B37585"/>
    <w:rsid w:val="01D55165"/>
    <w:rsid w:val="01DF6BF8"/>
    <w:rsid w:val="01EC2C57"/>
    <w:rsid w:val="025F0711"/>
    <w:rsid w:val="026B2E25"/>
    <w:rsid w:val="02794AFC"/>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4D2CDB"/>
    <w:rsid w:val="065A6178"/>
    <w:rsid w:val="066F1CF3"/>
    <w:rsid w:val="06930BB8"/>
    <w:rsid w:val="07245D42"/>
    <w:rsid w:val="07264C62"/>
    <w:rsid w:val="0779354C"/>
    <w:rsid w:val="08061376"/>
    <w:rsid w:val="08452D77"/>
    <w:rsid w:val="08592CFB"/>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B73475"/>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63136B"/>
    <w:rsid w:val="0C8445DA"/>
    <w:rsid w:val="0C87121B"/>
    <w:rsid w:val="0CBA4E1D"/>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E80437"/>
    <w:rsid w:val="12F11F28"/>
    <w:rsid w:val="13072A44"/>
    <w:rsid w:val="131D034D"/>
    <w:rsid w:val="135F4BE2"/>
    <w:rsid w:val="139B1A0A"/>
    <w:rsid w:val="139D25C7"/>
    <w:rsid w:val="13BF3CE4"/>
    <w:rsid w:val="13D45305"/>
    <w:rsid w:val="141008D8"/>
    <w:rsid w:val="14125FE6"/>
    <w:rsid w:val="146D271E"/>
    <w:rsid w:val="14982588"/>
    <w:rsid w:val="149A5AD9"/>
    <w:rsid w:val="14A7619D"/>
    <w:rsid w:val="14BA7E1E"/>
    <w:rsid w:val="150536C3"/>
    <w:rsid w:val="150C1963"/>
    <w:rsid w:val="151447A0"/>
    <w:rsid w:val="154A6454"/>
    <w:rsid w:val="15762120"/>
    <w:rsid w:val="15DA3D07"/>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96C46"/>
    <w:rsid w:val="1C0459C2"/>
    <w:rsid w:val="1C1B3B4A"/>
    <w:rsid w:val="1C88086E"/>
    <w:rsid w:val="1D266CE1"/>
    <w:rsid w:val="1D3963AF"/>
    <w:rsid w:val="1D6A673C"/>
    <w:rsid w:val="1D9247AE"/>
    <w:rsid w:val="1DB567EC"/>
    <w:rsid w:val="1DF51A98"/>
    <w:rsid w:val="1E2F53D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B5B083"/>
    <w:rsid w:val="21D56769"/>
    <w:rsid w:val="21E52EF3"/>
    <w:rsid w:val="21FB5D7B"/>
    <w:rsid w:val="22015E94"/>
    <w:rsid w:val="220B1C3D"/>
    <w:rsid w:val="221B2723"/>
    <w:rsid w:val="221D1D20"/>
    <w:rsid w:val="22334A87"/>
    <w:rsid w:val="22BB3EB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5C47C4"/>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46167"/>
    <w:rsid w:val="28551971"/>
    <w:rsid w:val="285B1C53"/>
    <w:rsid w:val="289F7086"/>
    <w:rsid w:val="28C32028"/>
    <w:rsid w:val="28CC490F"/>
    <w:rsid w:val="28DE40AA"/>
    <w:rsid w:val="28E61297"/>
    <w:rsid w:val="29345E77"/>
    <w:rsid w:val="294C65AD"/>
    <w:rsid w:val="29806583"/>
    <w:rsid w:val="298B3C4C"/>
    <w:rsid w:val="29F26D24"/>
    <w:rsid w:val="2A15033F"/>
    <w:rsid w:val="2A1662C1"/>
    <w:rsid w:val="2A1C7367"/>
    <w:rsid w:val="2A2815FA"/>
    <w:rsid w:val="2A6D6092"/>
    <w:rsid w:val="2A7D76B4"/>
    <w:rsid w:val="2B437463"/>
    <w:rsid w:val="2B6D12EE"/>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EFE25AB"/>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587748"/>
    <w:rsid w:val="336963EB"/>
    <w:rsid w:val="33816EEB"/>
    <w:rsid w:val="33EB55CD"/>
    <w:rsid w:val="33EC4C02"/>
    <w:rsid w:val="340D2360"/>
    <w:rsid w:val="3410665D"/>
    <w:rsid w:val="341D3908"/>
    <w:rsid w:val="34211214"/>
    <w:rsid w:val="342E63AB"/>
    <w:rsid w:val="34831B82"/>
    <w:rsid w:val="34950E68"/>
    <w:rsid w:val="34986E94"/>
    <w:rsid w:val="34AF62C9"/>
    <w:rsid w:val="34CB4388"/>
    <w:rsid w:val="34FA6E12"/>
    <w:rsid w:val="354D7158"/>
    <w:rsid w:val="35825DB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463BE4"/>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45A6E"/>
    <w:rsid w:val="3D3C7F39"/>
    <w:rsid w:val="3D440F09"/>
    <w:rsid w:val="3D4504A0"/>
    <w:rsid w:val="3D8734BB"/>
    <w:rsid w:val="3D9A11D4"/>
    <w:rsid w:val="3DA16D89"/>
    <w:rsid w:val="3DA364BE"/>
    <w:rsid w:val="3DE041CB"/>
    <w:rsid w:val="3E0D48F6"/>
    <w:rsid w:val="3E1868B4"/>
    <w:rsid w:val="3E2A7EC8"/>
    <w:rsid w:val="3E377251"/>
    <w:rsid w:val="3E42664B"/>
    <w:rsid w:val="3E5A7334"/>
    <w:rsid w:val="3E7B5D6B"/>
    <w:rsid w:val="3E843E66"/>
    <w:rsid w:val="3E8F51FE"/>
    <w:rsid w:val="3E926F87"/>
    <w:rsid w:val="3E9A59DE"/>
    <w:rsid w:val="3EA031FF"/>
    <w:rsid w:val="3EAF4836"/>
    <w:rsid w:val="3EC33DFA"/>
    <w:rsid w:val="3F060E16"/>
    <w:rsid w:val="3F1D1096"/>
    <w:rsid w:val="3F2F0234"/>
    <w:rsid w:val="3F6363FE"/>
    <w:rsid w:val="3F756B8F"/>
    <w:rsid w:val="3F95482B"/>
    <w:rsid w:val="3FFB4CC3"/>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647C1"/>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4D1B19"/>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2713F"/>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64205"/>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71CF5"/>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D2735"/>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585E94"/>
    <w:rsid w:val="5C80234E"/>
    <w:rsid w:val="5C8A680C"/>
    <w:rsid w:val="5D0C4701"/>
    <w:rsid w:val="5D0F0395"/>
    <w:rsid w:val="5D221076"/>
    <w:rsid w:val="5D397964"/>
    <w:rsid w:val="5D5A391C"/>
    <w:rsid w:val="5D5F10C0"/>
    <w:rsid w:val="5D891B7B"/>
    <w:rsid w:val="5DAD38EE"/>
    <w:rsid w:val="5DCE196D"/>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90264"/>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B86358"/>
    <w:rsid w:val="6FCC3E02"/>
    <w:rsid w:val="6FD75BF8"/>
    <w:rsid w:val="707723D0"/>
    <w:rsid w:val="707D6A8A"/>
    <w:rsid w:val="70F5661B"/>
    <w:rsid w:val="71360107"/>
    <w:rsid w:val="713B688E"/>
    <w:rsid w:val="71D43752"/>
    <w:rsid w:val="71F1796A"/>
    <w:rsid w:val="72154626"/>
    <w:rsid w:val="72262B5D"/>
    <w:rsid w:val="72283FF7"/>
    <w:rsid w:val="722E7212"/>
    <w:rsid w:val="723A0474"/>
    <w:rsid w:val="725923E4"/>
    <w:rsid w:val="726E5CBB"/>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A7098A"/>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D52645"/>
    <w:rsid w:val="7EF56FBB"/>
    <w:rsid w:val="7F0768EB"/>
    <w:rsid w:val="7F143BEC"/>
    <w:rsid w:val="7F715AF2"/>
    <w:rsid w:val="7F886E69"/>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autoRedefine/>
    <w:semiHidden/>
    <w:unhideWhenUsed/>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5"/>
    <w:autoRedefine/>
    <w:qFormat/>
    <w:uiPriority w:val="0"/>
    <w:rPr>
      <w:rFonts w:ascii="宋体"/>
      <w:kern w:val="2"/>
      <w:sz w:val="24"/>
      <w:szCs w:val="21"/>
      <w:lang w:val="zh-CN"/>
    </w:rPr>
  </w:style>
  <w:style w:type="character" w:customStyle="1" w:styleId="181">
    <w:name w:val="标题 9 字符"/>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6"/>
    <w:autoRedefine/>
    <w:qFormat/>
    <w:uiPriority w:val="0"/>
    <w:rPr>
      <w:rFonts w:ascii="黑体" w:hAnsi="Courier New" w:eastAsia="黑体"/>
    </w:rPr>
  </w:style>
  <w:style w:type="character" w:customStyle="1" w:styleId="301">
    <w:name w:val="正文文本 2 字符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0"/>
    <w:rPr>
      <w:b/>
      <w:bCs/>
      <w:kern w:val="2"/>
      <w:sz w:val="24"/>
      <w:szCs w:val="24"/>
    </w:rPr>
  </w:style>
  <w:style w:type="character" w:customStyle="1" w:styleId="307">
    <w:name w:val="正文文本缩进 2 字符"/>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autoRedefine/>
    <w:qFormat/>
    <w:uiPriority w:val="99"/>
    <w:rPr>
      <w:kern w:val="2"/>
      <w:sz w:val="21"/>
      <w:szCs w:val="24"/>
    </w:rPr>
  </w:style>
  <w:style w:type="character" w:customStyle="1" w:styleId="344">
    <w:name w:val="签名 字符"/>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7"/>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纯文本11"/>
    <w:basedOn w:val="1"/>
    <w:autoRedefine/>
    <w:qFormat/>
    <w:uiPriority w:val="0"/>
    <w:pPr>
      <w:widowControl/>
      <w:jc w:val="left"/>
      <w:textAlignment w:val="baseline"/>
    </w:pPr>
    <w:rPr>
      <w:rFonts w:ascii="宋体" w:hAnsi="Courier New" w:eastAsia="楷体_GB2312"/>
      <w:kern w:val="0"/>
      <w:sz w:val="26"/>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Pages>
  <Words>7730</Words>
  <Characters>44061</Characters>
  <Lines>367</Lines>
  <Paragraphs>103</Paragraphs>
  <TotalTime>6</TotalTime>
  <ScaleCrop>false</ScaleCrop>
  <LinksUpToDate>false</LinksUpToDate>
  <CharactersWithSpaces>51688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2024-03-25T02:14:00Z</dcterms:created>
  <dc:creator>玥</dc:creator>
  <cp:lastModifiedBy>Administrator</cp:lastModifiedBy>
  <cp:lastPrinted>2021-12-27T19:06:00Z</cp:lastPrinted>
  <dcterms:modified xsi:type="dcterms:W3CDTF">2024-04-15T06:34:12Z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