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p>
    <w:p>
      <w:pPr>
        <w:adjustRightInd/>
        <w:spacing w:line="360" w:lineRule="auto"/>
        <w:jc w:val="center"/>
        <w:rPr>
          <w:rFonts w:ascii="宋体" w:hAnsi="宋体" w:cs="宋体"/>
          <w:b/>
          <w:sz w:val="44"/>
          <w:szCs w:val="44"/>
          <w:highlight w:val="none"/>
        </w:rPr>
      </w:pPr>
    </w:p>
    <w:p>
      <w:pPr>
        <w:spacing w:line="360" w:lineRule="auto"/>
        <w:jc w:val="center"/>
        <w:rPr>
          <w:rFonts w:ascii="宋体" w:hAnsi="宋体" w:cs="宋体"/>
          <w:b/>
          <w:sz w:val="44"/>
          <w:szCs w:val="44"/>
          <w:highlight w:val="none"/>
        </w:rPr>
      </w:pPr>
    </w:p>
    <w:p>
      <w:pPr>
        <w:adjustRightInd/>
        <w:spacing w:line="360" w:lineRule="auto"/>
        <w:jc w:val="center"/>
        <w:rPr>
          <w:rFonts w:ascii="宋体" w:hAnsi="宋体" w:cs="宋体"/>
          <w:b/>
          <w:sz w:val="48"/>
          <w:szCs w:val="48"/>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杭州市智慧电子政务外网（2024）项目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hint="eastAsia" w:ascii="宋体" w:hAnsi="宋体" w:eastAsia="宋体" w:cs="宋体"/>
          <w:color w:val="auto"/>
          <w:sz w:val="30"/>
          <w:szCs w:val="30"/>
          <w:highlight w:val="none"/>
          <w:lang w:eastAsia="zh-CN"/>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HZZFCG-2024-081</w:t>
      </w:r>
    </w:p>
    <w:p>
      <w:pPr>
        <w:adjustRightInd/>
        <w:spacing w:line="360" w:lineRule="auto"/>
        <w:rPr>
          <w:rFonts w:ascii="宋体" w:hAnsi="宋体" w:cs="宋体"/>
          <w:sz w:val="28"/>
          <w:szCs w:val="20"/>
          <w:highlight w:val="none"/>
        </w:rPr>
      </w:pPr>
    </w:p>
    <w:p>
      <w:pPr>
        <w:spacing w:line="360" w:lineRule="auto"/>
        <w:jc w:val="center"/>
        <w:rPr>
          <w:rFonts w:ascii="宋体" w:hAnsi="宋体" w:cs="宋体"/>
          <w:b/>
          <w:sz w:val="44"/>
          <w:szCs w:val="44"/>
          <w:highlight w:val="none"/>
        </w:rPr>
      </w:pPr>
      <w:r>
        <w:rPr>
          <w:rFonts w:hint="eastAsia" w:ascii="宋体" w:hAnsi="宋体" w:cs="宋体"/>
          <w:b/>
          <w:sz w:val="44"/>
          <w:szCs w:val="44"/>
          <w:highlight w:val="none"/>
        </w:rPr>
        <w:t xml:space="preserve"> </w:t>
      </w:r>
    </w:p>
    <w:p>
      <w:pPr>
        <w:spacing w:line="360" w:lineRule="auto"/>
        <w:jc w:val="center"/>
        <w:rPr>
          <w:rFonts w:ascii="宋体" w:hAnsi="宋体" w:cs="宋体"/>
          <w:b/>
          <w:sz w:val="44"/>
          <w:szCs w:val="44"/>
          <w:highlight w:val="none"/>
        </w:rPr>
      </w:pPr>
    </w:p>
    <w:p>
      <w:pPr>
        <w:spacing w:line="360" w:lineRule="auto"/>
        <w:jc w:val="center"/>
        <w:rPr>
          <w:rFonts w:ascii="宋体" w:hAnsi="宋体" w:cs="宋体"/>
          <w:sz w:val="24"/>
          <w:highlight w:val="none"/>
        </w:rPr>
      </w:pPr>
    </w:p>
    <w:p>
      <w:pPr>
        <w:spacing w:line="360" w:lineRule="auto"/>
        <w:jc w:val="center"/>
        <w:rPr>
          <w:rFonts w:ascii="宋体" w:hAnsi="宋体" w:cs="宋体"/>
          <w:sz w:val="24"/>
          <w:highlight w:val="none"/>
        </w:rPr>
      </w:pPr>
    </w:p>
    <w:p>
      <w:pPr>
        <w:spacing w:line="360" w:lineRule="auto"/>
        <w:rPr>
          <w:rFonts w:ascii="宋体" w:hAnsi="宋体" w:cs="宋体"/>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杭州市数据资源管理局</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杭州市公共资源交易中心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eastAsia="zh-CN"/>
        </w:rPr>
        <w:t>四</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eastAsia="zh-CN"/>
        </w:rPr>
        <w:t>二十五</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637"/>
        <w:rPr>
          <w:highlight w:val="none"/>
        </w:rPr>
      </w:pPr>
    </w:p>
    <w:p>
      <w:pPr>
        <w:spacing w:line="360" w:lineRule="auto"/>
        <w:jc w:val="center"/>
        <w:rPr>
          <w:rFonts w:ascii="宋体" w:hAnsi="宋体" w:cs="宋体"/>
          <w:b/>
          <w:sz w:val="48"/>
          <w:szCs w:val="48"/>
          <w:highlight w:val="none"/>
        </w:rPr>
      </w:pPr>
      <w:r>
        <w:rPr>
          <w:rFonts w:hint="eastAsia" w:ascii="宋体" w:hAnsi="宋体" w:cs="宋体"/>
          <w:b/>
          <w:sz w:val="48"/>
          <w:szCs w:val="48"/>
          <w:highlight w:val="none"/>
        </w:rPr>
        <w:t>目  录</w:t>
      </w:r>
    </w:p>
    <w:p>
      <w:pPr>
        <w:spacing w:line="360" w:lineRule="auto"/>
        <w:rPr>
          <w:rFonts w:ascii="宋体" w:hAnsi="宋体" w:cs="宋体"/>
          <w:sz w:val="32"/>
          <w:szCs w:val="32"/>
          <w:highlight w:val="none"/>
        </w:rPr>
      </w:pPr>
    </w:p>
    <w:p>
      <w:pPr>
        <w:spacing w:line="360" w:lineRule="auto"/>
        <w:rPr>
          <w:rFonts w:ascii="宋体" w:hAnsi="宋体" w:cs="宋体"/>
          <w:sz w:val="32"/>
          <w:szCs w:val="32"/>
          <w:highlight w:val="none"/>
        </w:rPr>
      </w:pP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第一部分      招标公告</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第二部分      投标人须知</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第三部分      采购需求</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第四部分      评标办法</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第五部分      拟签订的合同文本</w:t>
      </w:r>
    </w:p>
    <w:p>
      <w:pPr>
        <w:spacing w:line="360" w:lineRule="auto"/>
        <w:ind w:firstLine="1280" w:firstLineChars="400"/>
        <w:rPr>
          <w:rFonts w:ascii="宋体" w:hAnsi="宋体" w:cs="宋体"/>
          <w:sz w:val="32"/>
          <w:szCs w:val="32"/>
          <w:highlight w:val="none"/>
        </w:rPr>
      </w:pPr>
      <w:r>
        <w:rPr>
          <w:rFonts w:hint="eastAsia" w:ascii="宋体" w:hAnsi="宋体" w:cs="宋体"/>
          <w:sz w:val="32"/>
          <w:szCs w:val="32"/>
          <w:highlight w:val="none"/>
        </w:rPr>
        <w:t>第六部分      应提交的有关格式范例</w:t>
      </w:r>
    </w:p>
    <w:p>
      <w:pPr>
        <w:spacing w:line="360" w:lineRule="auto"/>
        <w:ind w:firstLine="549" w:firstLineChars="229"/>
        <w:rPr>
          <w:rFonts w:ascii="宋体" w:hAnsi="宋体" w:cs="宋体"/>
          <w:sz w:val="24"/>
          <w:highlight w:val="none"/>
        </w:rPr>
      </w:pPr>
      <w:bookmarkStart w:id="1" w:name="_Hlt91233176"/>
      <w:bookmarkEnd w:id="1"/>
      <w:bookmarkStart w:id="2" w:name="_Toc91899869"/>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ind w:firstLine="549" w:firstLineChars="229"/>
        <w:rPr>
          <w:rFonts w:ascii="宋体" w:hAnsi="宋体" w:cs="宋体"/>
          <w:sz w:val="24"/>
          <w:highlight w:val="none"/>
        </w:rPr>
      </w:pPr>
    </w:p>
    <w:p>
      <w:pPr>
        <w:spacing w:line="360" w:lineRule="auto"/>
        <w:rPr>
          <w:rFonts w:ascii="宋体" w:hAnsi="宋体" w:cs="宋体"/>
          <w:sz w:val="24"/>
          <w:highlight w:val="none"/>
        </w:rPr>
      </w:pPr>
    </w:p>
    <w:p>
      <w:pPr>
        <w:adjustRightInd/>
        <w:spacing w:line="360" w:lineRule="auto"/>
        <w:jc w:val="center"/>
        <w:outlineLvl w:val="0"/>
        <w:rPr>
          <w:rFonts w:ascii="宋体" w:hAnsi="宋体" w:cs="宋体"/>
          <w:b/>
          <w:sz w:val="36"/>
          <w:szCs w:val="20"/>
          <w:highlight w:val="none"/>
        </w:rPr>
      </w:pPr>
      <w:bookmarkStart w:id="3" w:name="第一部分"/>
      <w:r>
        <w:rPr>
          <w:rFonts w:hint="eastAsia" w:ascii="宋体" w:hAnsi="宋体" w:cs="宋体"/>
          <w:b/>
          <w:sz w:val="36"/>
          <w:szCs w:val="36"/>
          <w:highlight w:val="none"/>
        </w:rPr>
        <w:br w:type="page"/>
      </w:r>
      <w:bookmarkEnd w:id="2"/>
      <w:bookmarkEnd w:id="3"/>
      <w:bookmarkStart w:id="4" w:name="_Hlt74707423"/>
      <w:bookmarkEnd w:id="4"/>
      <w:bookmarkStart w:id="5" w:name="_Hlt74729822"/>
      <w:bookmarkEnd w:id="5"/>
      <w:bookmarkStart w:id="6" w:name="_Hlt74728647"/>
      <w:bookmarkEnd w:id="6"/>
      <w:bookmarkStart w:id="7" w:name="_Hlt74649545"/>
      <w:bookmarkEnd w:id="7"/>
      <w:bookmarkStart w:id="8" w:name="第二部分"/>
      <w:bookmarkStart w:id="9" w:name="_Toc91899870"/>
      <w:bookmarkStart w:id="10" w:name="_Toc91899871"/>
      <w:r>
        <w:rPr>
          <w:rFonts w:hint="eastAsia" w:ascii="宋体" w:hAnsi="宋体" w:cs="宋体"/>
          <w:b/>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highlight w:val="none"/>
        </w:rPr>
      </w:pPr>
      <w:r>
        <w:rPr>
          <w:rFonts w:hint="eastAsia" w:ascii="宋体" w:hAnsi="宋体" w:cs="宋体"/>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杭州市智慧电子政务外网（2024）项目</w:t>
      </w:r>
      <w:r>
        <w:rPr>
          <w:rFonts w:hint="eastAsia" w:ascii="宋体" w:hAnsi="宋体" w:cs="宋体"/>
          <w:color w:val="auto"/>
          <w:sz w:val="24"/>
          <w:highlight w:val="none"/>
        </w:rPr>
        <w:t>招标项目的潜在投标人应在政采云平台（https://www.zcygov.cn/）获取（下载）招标文件，并于</w:t>
      </w:r>
      <w:r>
        <w:rPr>
          <w:rFonts w:hint="eastAsia" w:ascii="宋体" w:hAnsi="宋体" w:cs="宋体"/>
          <w:color w:val="auto"/>
          <w:sz w:val="24"/>
          <w:highlight w:val="none"/>
          <w:u w:val="single"/>
          <w:lang w:eastAsia="zh-CN"/>
        </w:rPr>
        <w:t>2024年5月16日</w:t>
      </w:r>
      <w:bookmarkStart w:id="451" w:name="_GoBack"/>
      <w:bookmarkEnd w:id="451"/>
      <w:r>
        <w:rPr>
          <w:rFonts w:hint="eastAsia" w:ascii="宋体" w:hAnsi="宋体" w:cs="宋体"/>
          <w:color w:val="auto"/>
          <w:sz w:val="24"/>
          <w:highlight w:val="none"/>
          <w:u w:val="single"/>
          <w:lang w:eastAsia="zh-CN"/>
        </w:rPr>
        <w:t>10点30分00秒</w:t>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keepNext w:val="0"/>
        <w:keepLines w:val="0"/>
        <w:pageBreakBefore w:val="0"/>
        <w:kinsoku/>
        <w:wordWrap/>
        <w:overflowPunct/>
        <w:topLinePunct w:val="0"/>
        <w:autoSpaceDE/>
        <w:autoSpaceDN/>
        <w:bidi w:val="0"/>
        <w:spacing w:line="360" w:lineRule="auto"/>
        <w:textAlignment w:val="auto"/>
        <w:rPr>
          <w:rFonts w:ascii="宋体" w:hAnsi="宋体" w:cs="宋体"/>
          <w:b/>
          <w:sz w:val="24"/>
          <w:highlight w:val="none"/>
        </w:rPr>
      </w:pPr>
      <w:r>
        <w:rPr>
          <w:rFonts w:hint="eastAsia" w:ascii="宋体" w:hAnsi="宋体" w:cs="宋体"/>
          <w:b/>
          <w:sz w:val="24"/>
          <w:highlight w:val="none"/>
        </w:rPr>
        <w:t xml:space="preserve">一、项目基本情况                                            </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4"/>
          <w:highlight w:val="none"/>
          <w:lang w:eastAsia="zh-CN"/>
        </w:rPr>
      </w:pPr>
      <w:r>
        <w:rPr>
          <w:rFonts w:hint="eastAsia" w:ascii="宋体" w:hAnsi="宋体" w:cs="宋体"/>
          <w:sz w:val="24"/>
          <w:highlight w:val="none"/>
        </w:rPr>
        <w:t xml:space="preserve">    </w:t>
      </w:r>
      <w:r>
        <w:rPr>
          <w:rFonts w:hint="eastAsia" w:ascii="宋体" w:hAnsi="宋体" w:cs="宋体"/>
          <w:b/>
          <w:sz w:val="24"/>
          <w:highlight w:val="none"/>
        </w:rPr>
        <w:t>项目编号</w:t>
      </w:r>
      <w:r>
        <w:rPr>
          <w:rFonts w:hint="eastAsia" w:ascii="宋体" w:hAnsi="宋体" w:cs="宋体"/>
          <w:b/>
          <w:color w:val="auto"/>
          <w:sz w:val="24"/>
          <w:highlight w:val="none"/>
        </w:rPr>
        <w:t>：</w:t>
      </w:r>
      <w:r>
        <w:rPr>
          <w:rFonts w:hint="eastAsia" w:ascii="宋体" w:hAnsi="宋体" w:cs="宋体"/>
          <w:color w:val="auto"/>
          <w:sz w:val="24"/>
          <w:highlight w:val="none"/>
          <w:lang w:eastAsia="zh-CN"/>
        </w:rPr>
        <w:t>HZZFCG-2024-081</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杭州市智慧电子政务外网（2024）项目</w:t>
      </w:r>
    </w:p>
    <w:p>
      <w:pPr>
        <w:keepNext w:val="0"/>
        <w:keepLines w:val="0"/>
        <w:pageBreakBefore w:val="0"/>
        <w:kinsoku/>
        <w:wordWrap/>
        <w:overflowPunct/>
        <w:topLinePunct w:val="0"/>
        <w:autoSpaceDE/>
        <w:autoSpaceDN/>
        <w:bidi w:val="0"/>
        <w:spacing w:line="360" w:lineRule="auto"/>
        <w:textAlignment w:val="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color w:val="auto"/>
          <w:sz w:val="24"/>
        </w:rPr>
        <w:t>14490000</w:t>
      </w:r>
      <w:r>
        <w:rPr>
          <w:rFonts w:ascii="宋体" w:hAnsi="宋体" w:cs="宋体"/>
          <w:color w:val="auto"/>
          <w:sz w:val="24"/>
          <w:highlight w:val="none"/>
        </w:rPr>
        <w:t xml:space="preserve"> </w:t>
      </w:r>
    </w:p>
    <w:p>
      <w:pPr>
        <w:keepNext w:val="0"/>
        <w:keepLines w:val="0"/>
        <w:pageBreakBefore w:val="0"/>
        <w:kinsoku/>
        <w:wordWrap/>
        <w:overflowPunct/>
        <w:topLinePunct w:val="0"/>
        <w:autoSpaceDE/>
        <w:autoSpaceDN/>
        <w:bidi w:val="0"/>
        <w:spacing w:line="360" w:lineRule="auto"/>
        <w:ind w:firstLine="480"/>
        <w:textAlignment w:val="auto"/>
        <w:rPr>
          <w:rFonts w:ascii="宋体" w:hAnsi="宋体" w:cs="宋体"/>
          <w:sz w:val="24"/>
          <w:highlight w:val="none"/>
        </w:rPr>
      </w:pPr>
      <w:r>
        <w:rPr>
          <w:rFonts w:hint="eastAsia" w:ascii="宋体" w:hAnsi="宋体" w:cs="宋体"/>
          <w:b/>
          <w:color w:val="auto"/>
          <w:sz w:val="24"/>
          <w:highlight w:val="none"/>
        </w:rPr>
        <w:t>最高限价（元）：</w:t>
      </w:r>
      <w:r>
        <w:rPr>
          <w:rFonts w:hint="eastAsia" w:ascii="宋体" w:hAnsi="宋体" w:cs="宋体"/>
          <w:color w:val="auto"/>
          <w:sz w:val="24"/>
        </w:rPr>
        <w:t>14490000</w:t>
      </w:r>
      <w:r>
        <w:rPr>
          <w:rFonts w:ascii="宋体" w:hAnsi="宋体" w:cs="宋体"/>
          <w:sz w:val="24"/>
          <w:highlight w:val="none"/>
        </w:rPr>
        <w:t xml:space="preserve"> </w:t>
      </w:r>
    </w:p>
    <w:p>
      <w:pPr>
        <w:pStyle w:val="5"/>
        <w:keepNext w:val="0"/>
        <w:keepLines w:val="0"/>
        <w:pageBreakBefore w:val="0"/>
        <w:widowControl/>
        <w:kinsoku/>
        <w:wordWrap/>
        <w:overflowPunct/>
        <w:topLinePunct w:val="0"/>
        <w:autoSpaceDE/>
        <w:autoSpaceDN/>
        <w:bidi w:val="0"/>
        <w:adjustRightInd w:val="0"/>
        <w:snapToGrid w:val="0"/>
        <w:spacing w:line="360" w:lineRule="auto"/>
        <w:ind w:firstLine="482"/>
        <w:textAlignment w:val="auto"/>
        <w:rPr>
          <w:rFonts w:hAnsi="宋体" w:cs="宋体"/>
          <w:bCs/>
          <w:snapToGrid/>
          <w:color w:val="auto"/>
          <w:kern w:val="2"/>
          <w:sz w:val="24"/>
          <w:szCs w:val="24"/>
        </w:rPr>
      </w:pPr>
      <w:r>
        <w:rPr>
          <w:rFonts w:hint="eastAsia" w:hAnsi="宋体" w:cs="宋体"/>
          <w:b/>
          <w:color w:val="auto"/>
          <w:sz w:val="24"/>
          <w:highlight w:val="none"/>
        </w:rPr>
        <w:t>采购需求：</w:t>
      </w:r>
      <w:r>
        <w:rPr>
          <w:rFonts w:hint="eastAsia" w:hAnsi="宋体" w:cs="宋体"/>
          <w:bCs/>
          <w:snapToGrid/>
          <w:color w:val="auto"/>
          <w:kern w:val="2"/>
          <w:sz w:val="24"/>
          <w:szCs w:val="24"/>
          <w:highlight w:val="none"/>
          <w:lang w:eastAsia="zh-CN"/>
        </w:rPr>
        <w:t>杭州市智慧电子政务外网（2024）项目</w:t>
      </w:r>
      <w:r>
        <w:rPr>
          <w:rFonts w:hint="eastAsia" w:hAnsi="宋体" w:cs="宋体"/>
          <w:bCs/>
          <w:snapToGrid/>
          <w:color w:val="auto"/>
          <w:kern w:val="2"/>
          <w:sz w:val="24"/>
          <w:szCs w:val="24"/>
          <w:highlight w:val="none"/>
        </w:rPr>
        <w:t>主要内容：</w:t>
      </w:r>
      <w:r>
        <w:rPr>
          <w:rFonts w:asciiTheme="minorEastAsia" w:hAnsiTheme="minorEastAsia" w:eastAsiaTheme="minorEastAsia"/>
          <w:snapToGrid/>
          <w:color w:val="auto"/>
          <w:kern w:val="2"/>
          <w:sz w:val="24"/>
          <w:szCs w:val="24"/>
        </w:rPr>
        <w:t>服务内容分为以下3块内容：线路资源租赁服务，设备租赁服务，设备维保服务。本次项目目标是完成杭州市电子政务外网核心承载网服务租赁，此承载网将服务于全市电子政务网接入单位及相关机构，同时承担省区政务外网的纵向互联互通，是杭州市电子政务服务的基础</w:t>
      </w:r>
      <w:r>
        <w:rPr>
          <w:rFonts w:hint="eastAsia" w:asciiTheme="minorEastAsia" w:hAnsiTheme="minorEastAsia" w:eastAsiaTheme="minorEastAsia"/>
          <w:snapToGrid/>
          <w:color w:val="auto"/>
          <w:kern w:val="2"/>
          <w:sz w:val="24"/>
          <w:szCs w:val="24"/>
        </w:rPr>
        <w:t>。本</w:t>
      </w:r>
      <w:r>
        <w:rPr>
          <w:rFonts w:hint="eastAsia" w:asciiTheme="minorEastAsia" w:hAnsiTheme="minorEastAsia" w:eastAsiaTheme="minorEastAsia"/>
          <w:bCs/>
          <w:snapToGrid/>
          <w:color w:val="auto"/>
          <w:kern w:val="2"/>
          <w:sz w:val="24"/>
          <w:szCs w:val="24"/>
        </w:rPr>
        <w:t>项目服务周期为1年（2024年7月1日至2025年6月30日）</w:t>
      </w:r>
      <w:r>
        <w:rPr>
          <w:rFonts w:asciiTheme="minorEastAsia" w:hAnsiTheme="minorEastAsia" w:eastAsiaTheme="minorEastAsia"/>
          <w:bCs/>
          <w:snapToGrid/>
          <w:color w:val="auto"/>
          <w:kern w:val="2"/>
          <w:sz w:val="24"/>
          <w:szCs w:val="24"/>
        </w:rPr>
        <w:t>。</w:t>
      </w:r>
      <w:r>
        <w:rPr>
          <w:rFonts w:hint="eastAsia" w:asciiTheme="minorEastAsia" w:hAnsiTheme="minorEastAsia" w:eastAsiaTheme="minorEastAsia"/>
          <w:snapToGrid/>
          <w:color w:val="auto"/>
          <w:kern w:val="2"/>
          <w:sz w:val="24"/>
          <w:szCs w:val="24"/>
        </w:rPr>
        <w:t>具体以招标文件第三部分采购需求为准，供应商可点击本公告下方“浏览采购文件”查看采购需求。</w:t>
      </w:r>
    </w:p>
    <w:p>
      <w:pPr>
        <w:pStyle w:val="130"/>
        <w:keepNext w:val="0"/>
        <w:keepLines w:val="0"/>
        <w:pageBreakBefore w:val="0"/>
        <w:kinsoku/>
        <w:wordWrap/>
        <w:overflowPunct/>
        <w:topLinePunct w:val="0"/>
        <w:autoSpaceDE/>
        <w:autoSpaceDN/>
        <w:bidi w:val="0"/>
        <w:spacing w:line="360" w:lineRule="auto"/>
        <w:ind w:firstLine="482"/>
        <w:textAlignment w:val="auto"/>
        <w:outlineLvl w:val="2"/>
        <w:rPr>
          <w:rFonts w:ascii="宋体" w:hAnsi="宋体" w:cs="宋体"/>
          <w:highlight w:val="none"/>
        </w:rPr>
      </w:pPr>
      <w:r>
        <w:rPr>
          <w:rFonts w:hint="eastAsia" w:ascii="宋体" w:hAnsi="宋体" w:cs="宋体"/>
          <w:b/>
          <w:highlight w:val="none"/>
        </w:rPr>
        <w:t>合同履约期限：</w:t>
      </w:r>
      <w:r>
        <w:rPr>
          <w:rFonts w:hint="eastAsia" w:asciiTheme="minorEastAsia" w:hAnsiTheme="minorEastAsia" w:eastAsiaTheme="minorEastAsia"/>
          <w:bCs/>
          <w:szCs w:val="24"/>
        </w:rPr>
        <w:t>本项目服务周期为1年（2024年7月1日至2025年6月30日）</w:t>
      </w:r>
      <w:r>
        <w:rPr>
          <w:rFonts w:hint="eastAsia" w:hAnsi="宋体" w:cs="宋体"/>
          <w:bCs/>
          <w:color w:val="0000FF"/>
          <w:szCs w:val="24"/>
          <w:highlight w:val="none"/>
        </w:rPr>
        <w:t>。</w:t>
      </w:r>
      <w:r>
        <w:rPr>
          <w:rFonts w:ascii="宋体" w:hAnsi="宋体" w:cs="宋体"/>
          <w:highlight w:val="none"/>
        </w:rPr>
        <w:t xml:space="preserve"> </w:t>
      </w:r>
    </w:p>
    <w:p>
      <w:pPr>
        <w:pStyle w:val="5"/>
        <w:keepNext w:val="0"/>
        <w:keepLines w:val="0"/>
        <w:pageBreakBefore w:val="0"/>
        <w:kinsoku/>
        <w:wordWrap/>
        <w:overflowPunct/>
        <w:topLinePunct w:val="0"/>
        <w:autoSpaceDE/>
        <w:autoSpaceDN/>
        <w:bidi w:val="0"/>
        <w:spacing w:line="360" w:lineRule="auto"/>
        <w:ind w:firstLine="480"/>
        <w:textAlignment w:val="auto"/>
        <w:rPr>
          <w:rFonts w:hAnsi="宋体" w:cs="宋体"/>
          <w:b/>
          <w:color w:val="auto"/>
          <w:highlight w:val="none"/>
        </w:rPr>
      </w:pPr>
      <w:r>
        <w:rPr>
          <w:rFonts w:hint="eastAsia" w:hAnsi="宋体" w:cs="宋体"/>
          <w:b/>
          <w:color w:val="auto"/>
          <w:sz w:val="24"/>
          <w:highlight w:val="none"/>
        </w:rPr>
        <w:t>本项目接受联合体投标：</w:t>
      </w:r>
      <w:sdt>
        <w:sdtPr>
          <w:rPr>
            <w:rFonts w:hAnsi="宋体" w:cs="宋体"/>
            <w:color w:val="auto"/>
            <w:kern w:val="0"/>
            <w:sz w:val="24"/>
            <w:highlight w:val="none"/>
          </w:rPr>
          <w:id w:val="-441836950"/>
          <w14:checkbox>
            <w14:checked w14:val="1"/>
            <w14:checkedState w14:val="00FE" w14:font="Wingdings"/>
            <w14:uncheckedState w14:val="2610" w14:font="MS Gothic"/>
          </w14:checkbox>
        </w:sdtPr>
        <w:sdtEndPr>
          <w:rPr>
            <w:rFonts w:hAnsi="宋体" w:cs="宋体"/>
            <w:color w:val="auto"/>
            <w:kern w:val="0"/>
            <w:sz w:val="24"/>
            <w:highlight w:val="none"/>
          </w:rPr>
        </w:sdtEndPr>
        <w:sdtContent>
          <w:r>
            <w:rPr>
              <w:rFonts w:hAnsi="宋体" w:cs="宋体"/>
              <w:color w:val="auto"/>
              <w:kern w:val="0"/>
              <w:sz w:val="24"/>
              <w:highlight w:val="none"/>
            </w:rPr>
            <w:sym w:font="Wingdings" w:char="F0FE"/>
          </w:r>
        </w:sdtContent>
      </w:sdt>
      <w:r>
        <w:rPr>
          <w:rFonts w:hint="eastAsia" w:hAnsi="宋体" w:cs="宋体"/>
          <w:b/>
          <w:color w:val="auto"/>
          <w:sz w:val="24"/>
          <w:highlight w:val="none"/>
        </w:rPr>
        <w:t>是；</w:t>
      </w:r>
      <w:sdt>
        <w:sdtPr>
          <w:rPr>
            <w:rFonts w:hAnsi="宋体" w:cs="宋体"/>
            <w:color w:val="auto"/>
            <w:kern w:val="0"/>
            <w:sz w:val="24"/>
            <w:highlight w:val="none"/>
          </w:rPr>
          <w:id w:val="-1591624199"/>
          <w14:checkbox>
            <w14:checked w14:val="0"/>
            <w14:checkedState w14:val="00FE" w14:font="Wingdings"/>
            <w14:uncheckedState w14:val="2610" w14:font="MS Gothic"/>
          </w14:checkbox>
        </w:sdtPr>
        <w:sdtEndPr>
          <w:rPr>
            <w:rFonts w:hAnsi="宋体" w:cs="宋体"/>
            <w:color w:val="auto"/>
            <w:kern w:val="0"/>
            <w:sz w:val="24"/>
            <w:highlight w:val="none"/>
          </w:rPr>
        </w:sdtEndPr>
        <w:sdtContent>
          <w:r>
            <w:rPr>
              <w:rFonts w:ascii="Segoe UI Symbol" w:hAnsi="Segoe UI Symbol" w:cs="Segoe UI Symbol"/>
              <w:color w:val="auto"/>
              <w:kern w:val="0"/>
              <w:sz w:val="24"/>
              <w:highlight w:val="none"/>
            </w:rPr>
            <w:t>☐</w:t>
          </w:r>
        </w:sdtContent>
      </w:sdt>
      <w:r>
        <w:rPr>
          <w:rFonts w:hint="eastAsia" w:hAnsi="宋体" w:cs="宋体"/>
          <w:b/>
          <w:color w:val="auto"/>
          <w:sz w:val="24"/>
          <w:highlight w:val="none"/>
        </w:rPr>
        <w:t>否</w:t>
      </w:r>
      <w:r>
        <w:rPr>
          <w:rFonts w:hint="eastAsia" w:hAnsi="宋体" w:cs="宋体"/>
          <w:color w:val="auto"/>
          <w:kern w:val="0"/>
          <w:sz w:val="24"/>
          <w:highlight w:val="none"/>
        </w:rPr>
        <w:t>。</w:t>
      </w:r>
    </w:p>
    <w:p>
      <w:pPr>
        <w:keepNext w:val="0"/>
        <w:keepLines w:val="0"/>
        <w:pageBreakBefore w:val="0"/>
        <w:kinsoku/>
        <w:wordWrap/>
        <w:overflowPunct/>
        <w:topLinePunct w:val="0"/>
        <w:autoSpaceDE/>
        <w:autoSpaceDN/>
        <w:bidi w:val="0"/>
        <w:spacing w:line="360" w:lineRule="auto"/>
        <w:textAlignment w:val="auto"/>
        <w:rPr>
          <w:rFonts w:ascii="宋体" w:hAnsi="宋体" w:cs="宋体"/>
          <w:b/>
          <w:sz w:val="24"/>
          <w:highlight w:val="none"/>
        </w:rPr>
      </w:pPr>
      <w:r>
        <w:rPr>
          <w:rFonts w:hint="eastAsia" w:ascii="宋体" w:hAnsi="宋体" w:cs="宋体"/>
          <w:b/>
          <w:sz w:val="24"/>
          <w:highlight w:val="none"/>
        </w:rPr>
        <w:t>二、申请人的资格要求：</w:t>
      </w:r>
    </w:p>
    <w:p>
      <w:pPr>
        <w:keepNext w:val="0"/>
        <w:keepLines w:val="0"/>
        <w:pageBreakBefore w:val="0"/>
        <w:kinsoku/>
        <w:wordWrap/>
        <w:overflowPunct/>
        <w:topLinePunct w:val="0"/>
        <w:autoSpaceDE/>
        <w:autoSpaceDN/>
        <w:bidi w:val="0"/>
        <w:spacing w:line="360" w:lineRule="auto"/>
        <w:ind w:firstLine="480"/>
        <w:textAlignment w:val="auto"/>
        <w:rPr>
          <w:rFonts w:ascii="宋体" w:hAnsi="宋体" w:cs="宋体"/>
          <w:snapToGrid w:val="0"/>
          <w:kern w:val="28"/>
          <w:sz w:val="24"/>
          <w:szCs w:val="20"/>
          <w:highlight w:val="none"/>
        </w:rPr>
      </w:pPr>
      <w:r>
        <w:rPr>
          <w:rFonts w:hint="eastAsia" w:ascii="宋体" w:hAnsi="宋体" w:cs="宋体"/>
          <w:snapToGrid w:val="0"/>
          <w:kern w:val="28"/>
          <w:sz w:val="24"/>
          <w:szCs w:val="20"/>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keepNext w:val="0"/>
        <w:keepLines w:val="0"/>
        <w:pageBreakBefore w:val="0"/>
        <w:kinsoku/>
        <w:wordWrap/>
        <w:overflowPunct/>
        <w:topLinePunct w:val="0"/>
        <w:autoSpaceDE/>
        <w:autoSpaceDN/>
        <w:bidi w:val="0"/>
        <w:spacing w:line="360" w:lineRule="auto"/>
        <w:textAlignment w:val="auto"/>
        <w:rPr>
          <w:rFonts w:ascii="宋体" w:hAnsi="宋体" w:cs="宋体"/>
          <w:snapToGrid w:val="0"/>
          <w:color w:val="auto"/>
          <w:kern w:val="28"/>
          <w:sz w:val="24"/>
          <w:szCs w:val="20"/>
          <w:highlight w:val="none"/>
        </w:rPr>
      </w:pPr>
      <w:r>
        <w:rPr>
          <w:rFonts w:hint="eastAsia" w:ascii="宋体" w:hAnsi="宋体" w:cs="宋体"/>
          <w:snapToGrid w:val="0"/>
          <w:kern w:val="28"/>
          <w:sz w:val="24"/>
          <w:szCs w:val="20"/>
          <w:highlight w:val="none"/>
        </w:rPr>
        <w:t xml:space="preserve">    </w:t>
      </w:r>
      <w:r>
        <w:rPr>
          <w:rFonts w:ascii="宋体" w:hAnsi="宋体" w:cs="宋体"/>
          <w:snapToGrid w:val="0"/>
          <w:kern w:val="28"/>
          <w:sz w:val="24"/>
          <w:szCs w:val="20"/>
          <w:highlight w:val="none"/>
        </w:rPr>
        <w:t>2</w:t>
      </w:r>
      <w:r>
        <w:rPr>
          <w:rFonts w:hint="eastAsia" w:ascii="宋体" w:hAnsi="宋体" w:cs="宋体"/>
          <w:snapToGrid w:val="0"/>
          <w:kern w:val="28"/>
          <w:sz w:val="24"/>
          <w:szCs w:val="20"/>
          <w:highlight w:val="none"/>
        </w:rPr>
        <w:t>.</w:t>
      </w:r>
      <w:r>
        <w:rPr>
          <w:rFonts w:hint="eastAsia"/>
          <w:highlight w:val="none"/>
        </w:rPr>
        <w:t xml:space="preserve"> </w:t>
      </w:r>
      <w:r>
        <w:rPr>
          <w:rFonts w:hint="eastAsia" w:ascii="宋体" w:hAnsi="宋体" w:cs="宋体"/>
          <w:snapToGrid w:val="0"/>
          <w:kern w:val="28"/>
          <w:sz w:val="24"/>
          <w:szCs w:val="20"/>
          <w:highlight w:val="none"/>
        </w:rPr>
        <w:t>以联合体形式投标的，提供联合协议(本项目不接受联合体投标或者投标人不以联合体形式投标的，则不需要</w:t>
      </w:r>
      <w:r>
        <w:rPr>
          <w:rFonts w:hint="eastAsia" w:ascii="宋体" w:hAnsi="宋体" w:cs="宋体"/>
          <w:snapToGrid w:val="0"/>
          <w:color w:val="auto"/>
          <w:kern w:val="28"/>
          <w:sz w:val="24"/>
          <w:szCs w:val="20"/>
          <w:highlight w:val="none"/>
        </w:rPr>
        <w:t>提供) ；</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color w:val="auto"/>
          <w:sz w:val="24"/>
          <w:highlight w:val="none"/>
        </w:rPr>
      </w:pPr>
      <w:sdt>
        <w:sdtPr>
          <w:rPr>
            <w:rFonts w:hint="eastAsia" w:ascii="宋体" w:hAnsi="宋体" w:cs="宋体"/>
            <w:color w:val="auto"/>
            <w:kern w:val="0"/>
            <w:sz w:val="24"/>
            <w:highlight w:val="none"/>
          </w:rPr>
          <w:id w:val="1928616923"/>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color w:val="auto"/>
          <w:sz w:val="24"/>
          <w:highlight w:val="none"/>
        </w:rPr>
      </w:pPr>
      <w:sdt>
        <w:sdtPr>
          <w:rPr>
            <w:rFonts w:hint="eastAsia" w:ascii="宋体" w:hAnsi="宋体" w:cs="宋体"/>
            <w:color w:val="auto"/>
            <w:kern w:val="0"/>
            <w:sz w:val="24"/>
            <w:highlight w:val="none"/>
          </w:rPr>
          <w:id w:val="-102470430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keepNext w:val="0"/>
        <w:keepLines w:val="0"/>
        <w:pageBreakBefore w:val="0"/>
        <w:kinsoku/>
        <w:wordWrap/>
        <w:overflowPunct/>
        <w:topLinePunct w:val="0"/>
        <w:autoSpaceDE/>
        <w:autoSpaceDN/>
        <w:bidi w:val="0"/>
        <w:spacing w:line="360" w:lineRule="auto"/>
        <w:ind w:firstLine="897" w:firstLineChars="374"/>
        <w:textAlignment w:val="auto"/>
        <w:rPr>
          <w:rFonts w:ascii="宋体" w:hAnsi="宋体" w:cs="宋体"/>
          <w:color w:val="auto"/>
          <w:sz w:val="24"/>
          <w:highlight w:val="none"/>
        </w:rPr>
      </w:pPr>
      <w:sdt>
        <w:sdtPr>
          <w:rPr>
            <w:rFonts w:hint="eastAsia" w:ascii="宋体" w:hAnsi="宋体" w:cs="宋体"/>
            <w:color w:val="auto"/>
            <w:kern w:val="0"/>
            <w:sz w:val="24"/>
            <w:highlight w:val="none"/>
          </w:rPr>
          <w:id w:val="-33368540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服务全部由符合政策要求的中小企业承接，提供中小企业声明函；</w:t>
      </w:r>
    </w:p>
    <w:p>
      <w:pPr>
        <w:keepNext w:val="0"/>
        <w:keepLines w:val="0"/>
        <w:pageBreakBefore w:val="0"/>
        <w:kinsoku/>
        <w:wordWrap/>
        <w:overflowPunct/>
        <w:topLinePunct w:val="0"/>
        <w:autoSpaceDE/>
        <w:autoSpaceDN/>
        <w:bidi w:val="0"/>
        <w:spacing w:line="360" w:lineRule="auto"/>
        <w:ind w:firstLine="897" w:firstLineChars="374"/>
        <w:textAlignment w:val="auto"/>
        <w:rPr>
          <w:rFonts w:ascii="宋体" w:hAnsi="宋体" w:cs="宋体"/>
          <w:color w:val="auto"/>
          <w:sz w:val="24"/>
          <w:highlight w:val="none"/>
        </w:rPr>
      </w:pPr>
      <w:sdt>
        <w:sdtPr>
          <w:rPr>
            <w:rFonts w:hint="eastAsia" w:ascii="宋体" w:hAnsi="宋体" w:cs="宋体"/>
            <w:color w:val="auto"/>
            <w:kern w:val="0"/>
            <w:sz w:val="24"/>
            <w:highlight w:val="none"/>
          </w:rPr>
          <w:id w:val="-214102535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服务全部由符合政策要求的小微企业承接，提供中小企业声明函；</w:t>
      </w:r>
    </w:p>
    <w:p>
      <w:pPr>
        <w:keepNext w:val="0"/>
        <w:keepLines w:val="0"/>
        <w:pageBreakBefore w:val="0"/>
        <w:kinsoku/>
        <w:wordWrap/>
        <w:overflowPunct/>
        <w:topLinePunct w:val="0"/>
        <w:autoSpaceDE/>
        <w:autoSpaceDN/>
        <w:bidi w:val="0"/>
        <w:spacing w:line="360" w:lineRule="auto"/>
        <w:textAlignment w:val="auto"/>
        <w:rPr>
          <w:rFonts w:ascii="宋体" w:hAnsi="宋体" w:cs="宋体"/>
          <w:color w:val="auto"/>
          <w:highlight w:val="none"/>
        </w:rPr>
      </w:pP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color w:val="auto"/>
          <w:sz w:val="24"/>
          <w:highlight w:val="none"/>
        </w:rPr>
      </w:pPr>
      <w:sdt>
        <w:sdtPr>
          <w:rPr>
            <w:rFonts w:hint="eastAsia" w:ascii="宋体" w:hAnsi="宋体" w:cs="宋体"/>
            <w:color w:val="auto"/>
            <w:kern w:val="0"/>
            <w:sz w:val="24"/>
            <w:highlight w:val="none"/>
          </w:rPr>
          <w:id w:val="-198560779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color w:val="auto"/>
          <w:sz w:val="24"/>
          <w:highlight w:val="none"/>
        </w:rPr>
      </w:pPr>
      <w:sdt>
        <w:sdtPr>
          <w:rPr>
            <w:rFonts w:hint="eastAsia" w:ascii="宋体" w:hAnsi="宋体" w:cs="宋体"/>
            <w:color w:val="auto"/>
            <w:kern w:val="0"/>
            <w:sz w:val="24"/>
            <w:highlight w:val="none"/>
          </w:rPr>
          <w:id w:val="3463064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auto"/>
          <w:sz w:val="24"/>
          <w:highlight w:val="none"/>
        </w:rPr>
      </w:pPr>
      <w:r>
        <w:rPr>
          <w:rFonts w:ascii="宋体" w:hAnsi="宋体" w:cs="宋体"/>
          <w:color w:val="auto"/>
          <w:sz w:val="24"/>
          <w:highlight w:val="none"/>
        </w:rPr>
        <w:t>4</w:t>
      </w:r>
      <w:r>
        <w:rPr>
          <w:rFonts w:hint="eastAsia" w:ascii="宋体" w:hAnsi="宋体" w:cs="宋体"/>
          <w:color w:val="auto"/>
          <w:sz w:val="24"/>
          <w:highlight w:val="none"/>
        </w:rPr>
        <w:t>.本项目的特定资格要求：</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auto"/>
          <w:sz w:val="24"/>
          <w:highlight w:val="none"/>
        </w:rPr>
      </w:pPr>
      <w:sdt>
        <w:sdtPr>
          <w:rPr>
            <w:rFonts w:hint="eastAsia" w:ascii="宋体" w:hAnsi="宋体" w:cs="宋体"/>
            <w:color w:val="auto"/>
            <w:kern w:val="0"/>
            <w:sz w:val="24"/>
            <w:highlight w:val="none"/>
          </w:rPr>
          <w:id w:val="-150898254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sz w:val="24"/>
          <w:highlight w:val="none"/>
        </w:rPr>
        <w:t>无。</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color w:val="auto"/>
          <w:sz w:val="24"/>
          <w:highlight w:val="none"/>
        </w:rPr>
      </w:pPr>
      <w:sdt>
        <w:sdtPr>
          <w:rPr>
            <w:rFonts w:hint="eastAsia" w:ascii="宋体" w:hAnsi="宋体" w:cs="宋体"/>
            <w:color w:val="auto"/>
            <w:kern w:val="0"/>
            <w:sz w:val="24"/>
            <w:highlight w:val="none"/>
          </w:rPr>
          <w:id w:val="-1607112291"/>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sz w:val="24"/>
          <w:highlight w:val="none"/>
        </w:rPr>
        <w:t>有特定资格要求：</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，该特定条件的法律法规依据：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cs="宋体"/>
          <w:sz w:val="24"/>
          <w:highlight w:val="none"/>
        </w:rPr>
      </w:pP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w:t>
      </w:r>
      <w:r>
        <w:rPr>
          <w:rFonts w:hint="eastAsia" w:ascii="宋体" w:hAnsi="宋体" w:cs="宋体"/>
          <w:sz w:val="24"/>
          <w:highlight w:val="none"/>
        </w:rPr>
        <w:t>参加同一合同项下的政府采购活动；为采购项目提供整体设计、规范编制或者项目管理、监理、检测等服务后不得再参加该采购项目的其他采购活动。</w:t>
      </w:r>
    </w:p>
    <w:p>
      <w:pPr>
        <w:keepNext w:val="0"/>
        <w:keepLines w:val="0"/>
        <w:pageBreakBefore w:val="0"/>
        <w:kinsoku/>
        <w:wordWrap/>
        <w:overflowPunct/>
        <w:topLinePunct w:val="0"/>
        <w:autoSpaceDE/>
        <w:autoSpaceDN/>
        <w:bidi w:val="0"/>
        <w:spacing w:line="360" w:lineRule="auto"/>
        <w:textAlignment w:val="auto"/>
        <w:rPr>
          <w:rFonts w:ascii="宋体" w:hAnsi="宋体" w:cs="宋体"/>
          <w:b/>
          <w:sz w:val="24"/>
          <w:highlight w:val="none"/>
        </w:rPr>
      </w:pPr>
      <w:r>
        <w:rPr>
          <w:rFonts w:hint="eastAsia" w:ascii="宋体" w:hAnsi="宋体" w:cs="宋体"/>
          <w:b/>
          <w:sz w:val="24"/>
          <w:highlight w:val="none"/>
        </w:rPr>
        <w:t xml:space="preserve">三、获取招标文件 </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color w:val="auto"/>
          <w:sz w:val="24"/>
          <w:highlight w:val="none"/>
        </w:rPr>
      </w:pPr>
      <w:r>
        <w:rPr>
          <w:rFonts w:hint="eastAsia" w:ascii="宋体" w:hAnsi="宋体" w:cs="宋体"/>
          <w:b/>
          <w:sz w:val="24"/>
          <w:highlight w:val="none"/>
        </w:rPr>
        <w:t>时间：</w:t>
      </w:r>
      <w:r>
        <w:rPr>
          <w:rFonts w:hint="eastAsia" w:ascii="宋体" w:hAnsi="宋体" w:cs="宋体"/>
          <w:sz w:val="24"/>
          <w:highlight w:val="none"/>
        </w:rPr>
        <w:t>/</w:t>
      </w:r>
      <w:r>
        <w:rPr>
          <w:rFonts w:hint="eastAsia" w:ascii="宋体" w:hAnsi="宋体" w:cs="宋体"/>
          <w:color w:val="auto"/>
          <w:sz w:val="24"/>
          <w:highlight w:val="none"/>
        </w:rPr>
        <w:t>至</w:t>
      </w:r>
      <w:r>
        <w:rPr>
          <w:rFonts w:hint="eastAsia" w:ascii="宋体" w:hAnsi="宋体" w:cs="宋体"/>
          <w:color w:val="auto"/>
          <w:sz w:val="24"/>
          <w:highlight w:val="none"/>
          <w:u w:val="single"/>
          <w:lang w:eastAsia="zh-CN"/>
        </w:rPr>
        <w:t>2024年5月16日</w:t>
      </w:r>
      <w:r>
        <w:rPr>
          <w:rFonts w:hint="eastAsia" w:ascii="宋体" w:hAnsi="宋体" w:cs="宋体"/>
          <w:color w:val="auto"/>
          <w:sz w:val="24"/>
          <w:highlight w:val="none"/>
        </w:rPr>
        <w:t>，每天上午00:00至12:00 ，下午12:00至23:59（北京时间，线上获取法定节假日均可，线下获取文件法定节假日除外）</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keepNext w:val="0"/>
        <w:keepLines w:val="0"/>
        <w:pageBreakBefore w:val="0"/>
        <w:kinsoku/>
        <w:wordWrap/>
        <w:overflowPunct/>
        <w:topLinePunct w:val="0"/>
        <w:autoSpaceDE/>
        <w:autoSpaceDN/>
        <w:bidi w:val="0"/>
        <w:spacing w:line="360" w:lineRule="auto"/>
        <w:textAlignment w:val="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2024年5月16日10点30分00秒</w:t>
      </w:r>
      <w:r>
        <w:rPr>
          <w:rFonts w:hint="eastAsia" w:ascii="宋体" w:hAnsi="宋体" w:cs="宋体"/>
          <w:bCs/>
          <w:color w:val="auto"/>
          <w:sz w:val="24"/>
          <w:highlight w:val="none"/>
          <w:u w:val="single"/>
        </w:rPr>
        <w:t xml:space="preserve"> </w:t>
      </w:r>
      <w:r>
        <w:rPr>
          <w:rFonts w:hint="eastAsia" w:ascii="宋体" w:hAnsi="宋体" w:cs="宋体"/>
          <w:color w:val="auto"/>
          <w:sz w:val="24"/>
          <w:highlight w:val="none"/>
        </w:rPr>
        <w:t>（北京时间）</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color w:val="auto"/>
          <w:sz w:val="24"/>
          <w:highlight w:val="none"/>
          <w:u w:val="single"/>
          <w:lang w:eastAsia="zh-CN"/>
        </w:rPr>
        <w:t>2024年5月16日10点30分00秒</w:t>
      </w:r>
      <w:r>
        <w:rPr>
          <w:rFonts w:hint="eastAsia" w:ascii="宋体" w:hAnsi="宋体" w:cs="宋体"/>
          <w:bCs/>
          <w:color w:val="auto"/>
          <w:sz w:val="24"/>
          <w:highlight w:val="none"/>
          <w:u w:val="single"/>
        </w:rPr>
        <w:t xml:space="preserve">  </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cs="宋体"/>
          <w:sz w:val="24"/>
          <w:highlight w:val="none"/>
        </w:rPr>
      </w:pPr>
      <w:r>
        <w:rPr>
          <w:rFonts w:hint="eastAsia" w:ascii="宋体" w:hAnsi="宋体" w:cs="宋体"/>
          <w:b/>
          <w:sz w:val="24"/>
          <w:highlight w:val="none"/>
        </w:rPr>
        <w:t>开标地点（网址）：</w:t>
      </w:r>
      <w:r>
        <w:rPr>
          <w:rFonts w:hint="eastAsia" w:ascii="宋体" w:hAnsi="宋体" w:cs="宋体"/>
          <w:sz w:val="24"/>
          <w:highlight w:val="none"/>
        </w:rPr>
        <w:t>政采云平台（https://www.zcygov.cn/）</w:t>
      </w:r>
    </w:p>
    <w:p>
      <w:pPr>
        <w:keepNext w:val="0"/>
        <w:keepLines w:val="0"/>
        <w:pageBreakBefore w:val="0"/>
        <w:kinsoku/>
        <w:wordWrap/>
        <w:overflowPunct/>
        <w:topLinePunct w:val="0"/>
        <w:autoSpaceDE/>
        <w:autoSpaceDN/>
        <w:bidi w:val="0"/>
        <w:spacing w:line="360" w:lineRule="auto"/>
        <w:textAlignment w:val="auto"/>
        <w:rPr>
          <w:rFonts w:ascii="宋体" w:hAnsi="宋体" w:cs="宋体"/>
          <w:sz w:val="24"/>
          <w:highlight w:val="none"/>
        </w:rPr>
      </w:pPr>
      <w:r>
        <w:rPr>
          <w:rFonts w:hint="eastAsia" w:ascii="宋体" w:hAnsi="宋体" w:cs="宋体"/>
          <w:b/>
          <w:sz w:val="24"/>
          <w:highlight w:val="none"/>
        </w:rPr>
        <w:t xml:space="preserve">五、公告期限 </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自本公告发布之日起5个工作日。</w:t>
      </w:r>
    </w:p>
    <w:p>
      <w:pPr>
        <w:keepNext w:val="0"/>
        <w:keepLines w:val="0"/>
        <w:pageBreakBefore w:val="0"/>
        <w:kinsoku/>
        <w:wordWrap/>
        <w:overflowPunct/>
        <w:topLinePunct w:val="0"/>
        <w:autoSpaceDE/>
        <w:autoSpaceDN/>
        <w:bidi w:val="0"/>
        <w:spacing w:line="360" w:lineRule="auto"/>
        <w:textAlignment w:val="auto"/>
        <w:rPr>
          <w:rFonts w:ascii="宋体" w:hAnsi="宋体" w:cs="宋体"/>
          <w:b/>
          <w:sz w:val="24"/>
          <w:highlight w:val="none"/>
        </w:rPr>
      </w:pPr>
      <w:r>
        <w:rPr>
          <w:rFonts w:hint="eastAsia" w:ascii="宋体" w:hAnsi="宋体" w:cs="宋体"/>
          <w:b/>
          <w:sz w:val="24"/>
          <w:highlight w:val="none"/>
        </w:rPr>
        <w:t>六、其他补充事宜</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 xml:space="preserve"> 1.</w:t>
      </w:r>
      <w:r>
        <w:rPr>
          <w:rFonts w:ascii="宋体" w:hAnsi="宋体" w:cs="宋体"/>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sz w:val="24"/>
          <w:highlight w:val="none"/>
        </w:rPr>
        <w:t>。</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 xml:space="preserve"> 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keepNext w:val="0"/>
        <w:keepLines w:val="0"/>
        <w:pageBreakBefore w:val="0"/>
        <w:kinsoku/>
        <w:wordWrap/>
        <w:overflowPunct/>
        <w:topLinePunct w:val="0"/>
        <w:autoSpaceDE/>
        <w:autoSpaceDN/>
        <w:bidi w:val="0"/>
        <w:spacing w:line="360" w:lineRule="auto"/>
        <w:textAlignment w:val="auto"/>
        <w:rPr>
          <w:rFonts w:ascii="宋体" w:hAnsi="宋体" w:cs="宋体"/>
          <w:b/>
          <w:sz w:val="24"/>
          <w:highlight w:val="none"/>
        </w:rPr>
      </w:pPr>
      <w:r>
        <w:rPr>
          <w:rFonts w:hint="eastAsia" w:ascii="宋体" w:hAnsi="宋体" w:cs="宋体"/>
          <w:b/>
          <w:sz w:val="24"/>
          <w:highlight w:val="none"/>
        </w:rPr>
        <w:t>七、对本次采购提出询问、质疑、投诉，请按以下方式联系</w:t>
      </w:r>
    </w:p>
    <w:p>
      <w:pPr>
        <w:keepNext w:val="0"/>
        <w:keepLines w:val="0"/>
        <w:pageBreakBefore w:val="0"/>
        <w:kinsoku/>
        <w:wordWrap/>
        <w:overflowPunct/>
        <w:topLinePunct w:val="0"/>
        <w:autoSpaceDE/>
        <w:autoSpaceDN/>
        <w:bidi w:val="0"/>
        <w:spacing w:line="360" w:lineRule="auto"/>
        <w:textAlignment w:val="auto"/>
        <w:rPr>
          <w:rFonts w:ascii="宋体" w:hAnsi="宋体" w:cs="宋体"/>
          <w:sz w:val="24"/>
          <w:highlight w:val="none"/>
        </w:rPr>
      </w:pPr>
      <w:r>
        <w:rPr>
          <w:rFonts w:hint="eastAsia" w:ascii="宋体" w:hAnsi="宋体" w:cs="宋体"/>
          <w:sz w:val="24"/>
          <w:highlight w:val="none"/>
        </w:rPr>
        <w:t xml:space="preserve">    1.采购人信息</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宋体" w:hAnsi="宋体" w:cs="宋体"/>
          <w:color w:val="auto"/>
          <w:sz w:val="24"/>
          <w:highlight w:val="none"/>
        </w:rPr>
      </w:pPr>
      <w:r>
        <w:rPr>
          <w:rFonts w:hint="eastAsia" w:ascii="宋体" w:hAnsi="宋体" w:cs="宋体"/>
          <w:sz w:val="24"/>
          <w:highlight w:val="none"/>
        </w:rPr>
        <w:t xml:space="preserve">    </w:t>
      </w:r>
      <w:r>
        <w:rPr>
          <w:rFonts w:hint="eastAsia" w:ascii="宋体" w:hAnsi="宋体" w:cs="宋体"/>
          <w:color w:val="auto"/>
          <w:sz w:val="24"/>
          <w:highlight w:val="none"/>
        </w:rPr>
        <w:t>名    称：</w:t>
      </w:r>
      <w:r>
        <w:rPr>
          <w:rFonts w:hint="eastAsia" w:ascii="宋体" w:hAnsi="宋体" w:cs="宋体"/>
          <w:color w:val="auto"/>
          <w:sz w:val="24"/>
          <w:highlight w:val="none"/>
          <w:lang w:eastAsia="zh-CN"/>
        </w:rPr>
        <w:t>杭州市数据资源管理局</w:t>
      </w:r>
      <w:r>
        <w:rPr>
          <w:rFonts w:hint="eastAsia" w:ascii="宋体" w:hAnsi="宋体" w:cs="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asciiTheme="minorEastAsia" w:hAnsiTheme="minorEastAsia" w:eastAsiaTheme="minorEastAsia"/>
          <w:color w:val="auto"/>
          <w:sz w:val="24"/>
        </w:rPr>
      </w:pPr>
      <w:r>
        <w:rPr>
          <w:rFonts w:hint="eastAsia" w:asciiTheme="minorEastAsia" w:hAnsiTheme="minorEastAsia" w:eastAsiaTheme="minorEastAsia"/>
          <w:color w:val="auto"/>
          <w:sz w:val="24"/>
        </w:rPr>
        <w:t>地    址：</w:t>
      </w:r>
      <w:r>
        <w:rPr>
          <w:rFonts w:hint="eastAsia" w:ascii="宋体" w:hAnsi="宋体"/>
          <w:color w:val="auto"/>
          <w:sz w:val="24"/>
        </w:rPr>
        <w:t>杭州市上城区解放东路</w:t>
      </w:r>
      <w:r>
        <w:rPr>
          <w:rFonts w:ascii="宋体" w:hAnsi="宋体"/>
          <w:color w:val="auto"/>
          <w:sz w:val="24"/>
        </w:rPr>
        <w:t>18号</w:t>
      </w:r>
    </w:p>
    <w:p>
      <w:pPr>
        <w:keepNext w:val="0"/>
        <w:keepLines w:val="0"/>
        <w:pageBreakBefore w:val="0"/>
        <w:widowControl w:val="0"/>
        <w:kinsoku/>
        <w:wordWrap/>
        <w:overflowPunct/>
        <w:topLinePunct w:val="0"/>
        <w:autoSpaceDE/>
        <w:autoSpaceDN/>
        <w:bidi w:val="0"/>
        <w:adjustRightInd w:val="0"/>
        <w:snapToGrid/>
        <w:spacing w:line="360" w:lineRule="auto"/>
        <w:textAlignment w:val="auto"/>
        <w:rPr>
          <w:rFonts w:asciiTheme="minorEastAsia" w:hAnsiTheme="minorEastAsia" w:eastAsiaTheme="minorEastAsia"/>
          <w:sz w:val="24"/>
        </w:rPr>
      </w:pPr>
      <w:r>
        <w:rPr>
          <w:rFonts w:hint="eastAsia" w:asciiTheme="minorEastAsia" w:hAnsiTheme="minorEastAsia" w:eastAsiaTheme="minorEastAsia"/>
          <w:sz w:val="24"/>
        </w:rPr>
        <w:t xml:space="preserve">    项目联系人（询问）：</w:t>
      </w:r>
      <w:r>
        <w:rPr>
          <w:rFonts w:hint="eastAsia" w:ascii="宋体" w:hAnsi="宋体"/>
          <w:sz w:val="24"/>
        </w:rPr>
        <w:t>王先生</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项目联系方式（询问）：0571-</w:t>
      </w:r>
      <w:r>
        <w:rPr>
          <w:rFonts w:hint="eastAsia" w:ascii="宋体" w:hAnsi="宋体"/>
          <w:sz w:val="24"/>
        </w:rPr>
        <w:t>85250507</w:t>
      </w:r>
    </w:p>
    <w:p>
      <w:pPr>
        <w:keepNext w:val="0"/>
        <w:keepLines w:val="0"/>
        <w:pageBreakBefore w:val="0"/>
        <w:widowControl w:val="0"/>
        <w:kinsoku/>
        <w:wordWrap/>
        <w:overflowPunct/>
        <w:topLinePunct w:val="0"/>
        <w:autoSpaceDE/>
        <w:autoSpaceDN/>
        <w:bidi w:val="0"/>
        <w:adjustRightInd w:val="0"/>
        <w:snapToGrid/>
        <w:spacing w:line="360" w:lineRule="auto"/>
        <w:ind w:firstLine="480"/>
        <w:textAlignment w:val="auto"/>
        <w:rPr>
          <w:rFonts w:asciiTheme="minorEastAsia" w:hAnsiTheme="minorEastAsia" w:eastAsiaTheme="minorEastAsia"/>
          <w:sz w:val="24"/>
        </w:rPr>
      </w:pPr>
      <w:r>
        <w:rPr>
          <w:rFonts w:hint="eastAsia" w:asciiTheme="minorEastAsia" w:hAnsiTheme="minorEastAsia" w:eastAsiaTheme="minorEastAsia"/>
          <w:sz w:val="24"/>
        </w:rPr>
        <w:t>质疑联系人：</w:t>
      </w:r>
      <w:r>
        <w:rPr>
          <w:rFonts w:hint="eastAsia" w:ascii="宋体" w:hAnsi="宋体"/>
          <w:sz w:val="24"/>
        </w:rPr>
        <w:t>张先生</w:t>
      </w:r>
    </w:p>
    <w:p>
      <w:pPr>
        <w:keepNext w:val="0"/>
        <w:keepLines w:val="0"/>
        <w:pageBreakBefore w:val="0"/>
        <w:kinsoku/>
        <w:wordWrap/>
        <w:overflowPunct/>
        <w:topLinePunct w:val="0"/>
        <w:autoSpaceDE/>
        <w:autoSpaceDN/>
        <w:bidi w:val="0"/>
        <w:spacing w:line="360" w:lineRule="auto"/>
        <w:textAlignment w:val="auto"/>
        <w:rPr>
          <w:rFonts w:ascii="宋体" w:hAnsi="宋体" w:cs="宋体"/>
          <w:color w:val="0000FF"/>
          <w:sz w:val="24"/>
          <w:highlight w:val="none"/>
        </w:rPr>
      </w:pPr>
      <w:r>
        <w:rPr>
          <w:rFonts w:hint="eastAsia" w:asciiTheme="minorEastAsia" w:hAnsiTheme="minorEastAsia" w:eastAsiaTheme="minorEastAsia"/>
          <w:sz w:val="24"/>
        </w:rPr>
        <w:t xml:space="preserve">    质疑联系方式：0571-</w:t>
      </w:r>
      <w:r>
        <w:rPr>
          <w:rFonts w:ascii="宋体" w:hAnsi="宋体"/>
          <w:sz w:val="24"/>
        </w:rPr>
        <w:t>85250404</w:t>
      </w:r>
      <w:r>
        <w:rPr>
          <w:rFonts w:hint="eastAsia" w:ascii="宋体" w:hAnsi="宋体" w:cs="宋体"/>
          <w:color w:val="auto"/>
          <w:sz w:val="24"/>
          <w:highlight w:val="none"/>
          <w:lang w:val="en-US" w:eastAsia="zh-CN"/>
        </w:rPr>
        <w:t>（请通过以下路径在线提起质疑：政采云-项目采购-询问质疑投诉-质疑列表）</w:t>
      </w:r>
    </w:p>
    <w:p>
      <w:pPr>
        <w:keepNext w:val="0"/>
        <w:keepLines w:val="0"/>
        <w:pageBreakBefore w:val="0"/>
        <w:kinsoku/>
        <w:wordWrap/>
        <w:overflowPunct/>
        <w:topLinePunct w:val="0"/>
        <w:autoSpaceDE/>
        <w:autoSpaceDN/>
        <w:bidi w:val="0"/>
        <w:spacing w:line="360" w:lineRule="auto"/>
        <w:textAlignment w:val="auto"/>
        <w:rPr>
          <w:rFonts w:ascii="宋体" w:hAnsi="宋体" w:cs="宋体"/>
          <w:sz w:val="24"/>
          <w:highlight w:val="none"/>
        </w:rPr>
      </w:pPr>
      <w:r>
        <w:rPr>
          <w:rFonts w:hint="eastAsia" w:ascii="宋体" w:hAnsi="宋体" w:cs="宋体"/>
          <w:sz w:val="24"/>
          <w:highlight w:val="none"/>
        </w:rPr>
        <w:t xml:space="preserve">    2.采购代理机构信息 </w:t>
      </w:r>
    </w:p>
    <w:p>
      <w:pPr>
        <w:keepNext w:val="0"/>
        <w:keepLines w:val="0"/>
        <w:pageBreakBefore w:val="0"/>
        <w:kinsoku/>
        <w:wordWrap/>
        <w:overflowPunct/>
        <w:topLinePunct w:val="0"/>
        <w:autoSpaceDE/>
        <w:autoSpaceDN/>
        <w:bidi w:val="0"/>
        <w:spacing w:line="360" w:lineRule="auto"/>
        <w:ind w:firstLine="480"/>
        <w:textAlignment w:val="auto"/>
        <w:rPr>
          <w:rFonts w:ascii="宋体" w:hAnsi="宋体" w:cs="宋体"/>
          <w:sz w:val="24"/>
          <w:highlight w:val="none"/>
        </w:rPr>
      </w:pPr>
      <w:r>
        <w:rPr>
          <w:rFonts w:hint="eastAsia" w:ascii="宋体" w:hAnsi="宋体" w:cs="宋体"/>
          <w:sz w:val="24"/>
          <w:highlight w:val="none"/>
        </w:rPr>
        <w:t>名    称：杭州市公共资源交易中心</w:t>
      </w:r>
    </w:p>
    <w:p>
      <w:pPr>
        <w:keepNext w:val="0"/>
        <w:keepLines w:val="0"/>
        <w:pageBreakBefore w:val="0"/>
        <w:kinsoku/>
        <w:wordWrap/>
        <w:overflowPunct/>
        <w:topLinePunct w:val="0"/>
        <w:autoSpaceDE/>
        <w:autoSpaceDN/>
        <w:bidi w:val="0"/>
        <w:spacing w:line="360" w:lineRule="auto"/>
        <w:ind w:firstLine="480"/>
        <w:textAlignment w:val="auto"/>
        <w:rPr>
          <w:rFonts w:ascii="宋体" w:hAnsi="宋体" w:cs="宋体"/>
          <w:sz w:val="24"/>
          <w:highlight w:val="none"/>
        </w:rPr>
      </w:pPr>
      <w:r>
        <w:rPr>
          <w:rFonts w:hint="eastAsia" w:ascii="宋体" w:hAnsi="宋体" w:cs="宋体"/>
          <w:sz w:val="24"/>
          <w:highlight w:val="none"/>
        </w:rPr>
        <w:t>地    址：杭州市上城区之江路925号</w:t>
      </w:r>
    </w:p>
    <w:p>
      <w:pPr>
        <w:keepNext w:val="0"/>
        <w:keepLines w:val="0"/>
        <w:pageBreakBefore w:val="0"/>
        <w:kinsoku/>
        <w:wordWrap/>
        <w:overflowPunct/>
        <w:topLinePunct w:val="0"/>
        <w:autoSpaceDE/>
        <w:autoSpaceDN/>
        <w:bidi w:val="0"/>
        <w:spacing w:line="360" w:lineRule="auto"/>
        <w:textAlignment w:val="auto"/>
        <w:rPr>
          <w:rFonts w:ascii="宋体" w:hAnsi="宋体" w:cs="宋体"/>
          <w:sz w:val="24"/>
          <w:highlight w:val="none"/>
        </w:rPr>
      </w:pPr>
      <w:r>
        <w:rPr>
          <w:rFonts w:hint="eastAsia" w:ascii="宋体" w:hAnsi="宋体" w:cs="宋体"/>
          <w:sz w:val="24"/>
          <w:highlight w:val="none"/>
        </w:rPr>
        <w:t xml:space="preserve">    传    真： /</w:t>
      </w:r>
    </w:p>
    <w:p>
      <w:pPr>
        <w:keepNext w:val="0"/>
        <w:keepLines w:val="0"/>
        <w:pageBreakBefore w:val="0"/>
        <w:kinsoku/>
        <w:wordWrap/>
        <w:overflowPunct/>
        <w:topLinePunct w:val="0"/>
        <w:autoSpaceDE/>
        <w:autoSpaceDN/>
        <w:bidi w:val="0"/>
        <w:spacing w:line="360" w:lineRule="auto"/>
        <w:textAlignment w:val="auto"/>
        <w:rPr>
          <w:rFonts w:ascii="宋体" w:hAnsi="宋体" w:cs="宋体"/>
          <w:color w:val="auto"/>
          <w:sz w:val="24"/>
          <w:highlight w:val="none"/>
        </w:rPr>
      </w:pPr>
      <w:r>
        <w:rPr>
          <w:rFonts w:hint="eastAsia" w:ascii="宋体" w:hAnsi="宋体" w:cs="宋体"/>
          <w:sz w:val="24"/>
          <w:highlight w:val="none"/>
        </w:rPr>
        <w:t xml:space="preserve">    项目联系人（询问</w:t>
      </w:r>
      <w:r>
        <w:rPr>
          <w:rFonts w:hint="eastAsia" w:ascii="宋体" w:hAnsi="宋体" w:cs="宋体"/>
          <w:color w:val="auto"/>
          <w:sz w:val="24"/>
          <w:highlight w:val="none"/>
        </w:rPr>
        <w:t xml:space="preserve">）： </w:t>
      </w:r>
      <w:r>
        <w:rPr>
          <w:rFonts w:hint="eastAsia" w:ascii="宋体" w:hAnsi="宋体" w:cs="宋体"/>
          <w:color w:val="auto"/>
          <w:sz w:val="24"/>
          <w:highlight w:val="none"/>
          <w:lang w:eastAsia="zh-CN"/>
        </w:rPr>
        <w:t>潘</w:t>
      </w:r>
      <w:r>
        <w:rPr>
          <w:rFonts w:hint="eastAsia" w:ascii="宋体" w:hAnsi="宋体" w:cs="宋体"/>
          <w:color w:val="auto"/>
          <w:sz w:val="24"/>
          <w:highlight w:val="none"/>
        </w:rPr>
        <w:t>工、张工</w:t>
      </w:r>
    </w:p>
    <w:p>
      <w:pPr>
        <w:keepNext w:val="0"/>
        <w:keepLines w:val="0"/>
        <w:pageBreakBefore w:val="0"/>
        <w:kinsoku/>
        <w:wordWrap/>
        <w:overflowPunct/>
        <w:topLinePunct w:val="0"/>
        <w:autoSpaceDE/>
        <w:autoSpaceDN/>
        <w:bidi w:val="0"/>
        <w:spacing w:line="360" w:lineRule="auto"/>
        <w:textAlignment w:val="auto"/>
        <w:rPr>
          <w:rFonts w:ascii="宋体" w:hAnsi="宋体" w:cs="宋体"/>
          <w:color w:val="auto"/>
          <w:sz w:val="24"/>
          <w:highlight w:val="none"/>
        </w:rPr>
      </w:pPr>
      <w:r>
        <w:rPr>
          <w:rFonts w:hint="eastAsia" w:ascii="宋体" w:hAnsi="宋体" w:cs="宋体"/>
          <w:color w:val="auto"/>
          <w:sz w:val="24"/>
          <w:highlight w:val="none"/>
        </w:rPr>
        <w:t xml:space="preserve">    项目联系方式（询问）：0571-85085</w:t>
      </w:r>
      <w:r>
        <w:rPr>
          <w:rFonts w:hint="eastAsia" w:ascii="宋体" w:hAnsi="宋体" w:cs="宋体"/>
          <w:color w:val="auto"/>
          <w:sz w:val="24"/>
          <w:highlight w:val="none"/>
          <w:lang w:val="en-US" w:eastAsia="zh-CN"/>
        </w:rPr>
        <w:t>361</w:t>
      </w:r>
      <w:r>
        <w:rPr>
          <w:rFonts w:hint="eastAsia" w:ascii="宋体" w:hAnsi="宋体" w:cs="宋体"/>
          <w:color w:val="auto"/>
          <w:sz w:val="24"/>
          <w:highlight w:val="none"/>
        </w:rPr>
        <w:t>、85085067</w:t>
      </w:r>
    </w:p>
    <w:p>
      <w:pPr>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sz w:val="24"/>
          <w:highlight w:val="none"/>
          <w:lang w:val="en-US" w:eastAsia="zh-CN"/>
        </w:rPr>
      </w:pPr>
      <w:r>
        <w:rPr>
          <w:rFonts w:hint="eastAsia" w:ascii="宋体" w:hAnsi="宋体" w:cs="宋体"/>
          <w:sz w:val="24"/>
          <w:highlight w:val="none"/>
        </w:rPr>
        <w:t xml:space="preserve">    质疑联系人： 谢</w:t>
      </w:r>
      <w:r>
        <w:rPr>
          <w:rFonts w:hint="eastAsia" w:ascii="宋体" w:hAnsi="宋体" w:cs="宋体"/>
          <w:sz w:val="24"/>
          <w:highlight w:val="none"/>
          <w:lang w:eastAsia="zh-CN"/>
        </w:rPr>
        <w:t>栋华</w:t>
      </w:r>
    </w:p>
    <w:p>
      <w:pPr>
        <w:keepNext w:val="0"/>
        <w:keepLines w:val="0"/>
        <w:pageBreakBefore w:val="0"/>
        <w:kinsoku/>
        <w:wordWrap/>
        <w:overflowPunct/>
        <w:topLinePunct w:val="0"/>
        <w:autoSpaceDE/>
        <w:autoSpaceDN/>
        <w:bidi w:val="0"/>
        <w:spacing w:line="360" w:lineRule="auto"/>
        <w:textAlignment w:val="auto"/>
        <w:rPr>
          <w:rFonts w:hint="eastAsia" w:ascii="宋体" w:hAnsi="宋体" w:cs="宋体"/>
          <w:color w:val="auto"/>
          <w:sz w:val="24"/>
          <w:highlight w:val="none"/>
          <w:lang w:val="en-US" w:eastAsia="zh-CN"/>
        </w:rPr>
      </w:pPr>
      <w:r>
        <w:rPr>
          <w:rFonts w:hint="eastAsia" w:ascii="宋体" w:hAnsi="宋体" w:cs="宋体"/>
          <w:sz w:val="24"/>
          <w:highlight w:val="none"/>
        </w:rPr>
        <w:t xml:space="preserve">    质疑联系方式：0571-85085477</w:t>
      </w:r>
      <w:r>
        <w:rPr>
          <w:rFonts w:hint="eastAsia" w:ascii="宋体" w:hAnsi="宋体" w:cs="宋体"/>
          <w:color w:val="auto"/>
          <w:sz w:val="24"/>
          <w:highlight w:val="none"/>
          <w:lang w:val="en-US" w:eastAsia="zh-CN"/>
        </w:rPr>
        <w:t>（请通过以下路径在线提起质疑：政采云-项目采购-询问质疑投诉-质疑列表）</w:t>
      </w:r>
    </w:p>
    <w:p>
      <w:pPr>
        <w:keepNext w:val="0"/>
        <w:keepLines w:val="0"/>
        <w:pageBreakBefore w:val="0"/>
        <w:kinsoku/>
        <w:wordWrap/>
        <w:overflowPunct/>
        <w:topLinePunct w:val="0"/>
        <w:autoSpaceDE/>
        <w:autoSpaceDN/>
        <w:bidi w:val="0"/>
        <w:spacing w:line="360" w:lineRule="auto"/>
        <w:textAlignment w:val="auto"/>
        <w:rPr>
          <w:rFonts w:ascii="宋体" w:hAnsi="宋体" w:cs="宋体"/>
          <w:sz w:val="24"/>
          <w:highlight w:val="none"/>
        </w:rPr>
      </w:pPr>
      <w:r>
        <w:rPr>
          <w:rFonts w:hint="eastAsia" w:ascii="宋体" w:hAnsi="宋体" w:cs="宋体"/>
          <w:sz w:val="24"/>
          <w:highlight w:val="none"/>
        </w:rPr>
        <w:t xml:space="preserve">    3.同级政府采购监督管理部门 </w:t>
      </w:r>
    </w:p>
    <w:p>
      <w:pPr>
        <w:keepNext w:val="0"/>
        <w:keepLines w:val="0"/>
        <w:pageBreakBefore w:val="0"/>
        <w:kinsoku/>
        <w:wordWrap/>
        <w:overflowPunct/>
        <w:topLinePunct w:val="0"/>
        <w:autoSpaceDE/>
        <w:autoSpaceDN/>
        <w:bidi w:val="0"/>
        <w:spacing w:line="360" w:lineRule="auto"/>
        <w:textAlignment w:val="auto"/>
        <w:rPr>
          <w:rFonts w:ascii="宋体" w:hAnsi="宋体" w:cs="宋体"/>
          <w:sz w:val="24"/>
          <w:highlight w:val="none"/>
        </w:rPr>
      </w:pPr>
      <w:r>
        <w:rPr>
          <w:rFonts w:hint="eastAsia" w:ascii="宋体" w:hAnsi="宋体" w:cs="宋体"/>
          <w:sz w:val="24"/>
          <w:highlight w:val="none"/>
        </w:rPr>
        <w:t xml:space="preserve">   名    称：杭州市财政局政府采购监管处 /浙江省政府采购行政裁决服务中心（杭州）</w:t>
      </w:r>
    </w:p>
    <w:p>
      <w:pPr>
        <w:keepNext w:val="0"/>
        <w:keepLines w:val="0"/>
        <w:pageBreakBefore w:val="0"/>
        <w:kinsoku/>
        <w:wordWrap/>
        <w:overflowPunct/>
        <w:topLinePunct w:val="0"/>
        <w:autoSpaceDE/>
        <w:autoSpaceDN/>
        <w:bidi w:val="0"/>
        <w:spacing w:line="360" w:lineRule="auto"/>
        <w:textAlignment w:val="auto"/>
        <w:rPr>
          <w:rFonts w:ascii="宋体" w:hAnsi="宋体" w:cs="宋体"/>
          <w:sz w:val="24"/>
          <w:highlight w:val="none"/>
        </w:rPr>
      </w:pPr>
      <w:r>
        <w:rPr>
          <w:rFonts w:hint="eastAsia" w:ascii="宋体" w:hAnsi="宋体" w:cs="宋体"/>
          <w:sz w:val="24"/>
          <w:highlight w:val="none"/>
        </w:rPr>
        <w:t xml:space="preserve">    地    址：杭州市上城区四季青街道新业路市民之家G03办公室 </w:t>
      </w:r>
    </w:p>
    <w:p>
      <w:pPr>
        <w:keepNext w:val="0"/>
        <w:keepLines w:val="0"/>
        <w:pageBreakBefore w:val="0"/>
        <w:kinsoku/>
        <w:wordWrap/>
        <w:overflowPunct/>
        <w:topLinePunct w:val="0"/>
        <w:autoSpaceDE/>
        <w:autoSpaceDN/>
        <w:bidi w:val="0"/>
        <w:spacing w:line="360" w:lineRule="auto"/>
        <w:textAlignment w:val="auto"/>
        <w:rPr>
          <w:rFonts w:ascii="宋体" w:hAnsi="宋体" w:cs="宋体"/>
          <w:sz w:val="24"/>
          <w:highlight w:val="none"/>
        </w:rPr>
      </w:pPr>
      <w:r>
        <w:rPr>
          <w:rFonts w:hint="eastAsia" w:ascii="宋体" w:hAnsi="宋体" w:cs="宋体"/>
          <w:sz w:val="24"/>
          <w:highlight w:val="none"/>
        </w:rPr>
        <w:t xml:space="preserve">    传    真： /</w:t>
      </w:r>
    </w:p>
    <w:p>
      <w:pPr>
        <w:keepNext w:val="0"/>
        <w:keepLines w:val="0"/>
        <w:pageBreakBefore w:val="0"/>
        <w:kinsoku/>
        <w:wordWrap/>
        <w:overflowPunct/>
        <w:topLinePunct w:val="0"/>
        <w:autoSpaceDE/>
        <w:autoSpaceDN/>
        <w:bidi w:val="0"/>
        <w:spacing w:line="360" w:lineRule="auto"/>
        <w:textAlignment w:val="auto"/>
        <w:rPr>
          <w:rFonts w:ascii="宋体" w:hAnsi="宋体" w:cs="宋体"/>
          <w:sz w:val="24"/>
          <w:highlight w:val="none"/>
        </w:rPr>
      </w:pPr>
      <w:r>
        <w:rPr>
          <w:rFonts w:hint="eastAsia" w:ascii="宋体" w:hAnsi="宋体" w:cs="宋体"/>
          <w:sz w:val="24"/>
          <w:highlight w:val="none"/>
        </w:rPr>
        <w:t xml:space="preserve">    联系人 ：朱女士、王女士</w:t>
      </w:r>
    </w:p>
    <w:p>
      <w:pPr>
        <w:keepNext w:val="0"/>
        <w:keepLines w:val="0"/>
        <w:pageBreakBefore w:val="0"/>
        <w:kinsoku/>
        <w:wordWrap/>
        <w:overflowPunct/>
        <w:topLinePunct w:val="0"/>
        <w:autoSpaceDE/>
        <w:autoSpaceDN/>
        <w:bidi w:val="0"/>
        <w:spacing w:line="360" w:lineRule="auto"/>
        <w:ind w:firstLine="480"/>
        <w:textAlignment w:val="auto"/>
        <w:rPr>
          <w:rFonts w:ascii="宋体" w:hAnsi="宋体" w:cs="宋体"/>
          <w:sz w:val="24"/>
          <w:highlight w:val="none"/>
        </w:rPr>
      </w:pPr>
      <w:r>
        <w:rPr>
          <w:rFonts w:hint="eastAsia" w:ascii="宋体" w:hAnsi="宋体" w:cs="宋体"/>
          <w:sz w:val="24"/>
          <w:highlight w:val="none"/>
        </w:rPr>
        <w:t xml:space="preserve">监督投诉电话： 0571-85252453   </w:t>
      </w:r>
    </w:p>
    <w:p>
      <w:pPr>
        <w:keepNext w:val="0"/>
        <w:keepLines w:val="0"/>
        <w:pageBreakBefore w:val="0"/>
        <w:kinsoku/>
        <w:wordWrap/>
        <w:overflowPunct/>
        <w:topLinePunct w:val="0"/>
        <w:autoSpaceDE/>
        <w:autoSpaceDN/>
        <w:bidi w:val="0"/>
        <w:spacing w:line="360" w:lineRule="auto"/>
        <w:ind w:firstLine="480"/>
        <w:textAlignment w:val="auto"/>
        <w:rPr>
          <w:rFonts w:hint="eastAsia" w:ascii="宋体" w:hAnsi="宋体" w:cs="宋体"/>
          <w:sz w:val="24"/>
          <w:lang w:val="en-US" w:eastAsia="zh-CN"/>
        </w:rPr>
      </w:pPr>
      <w:r>
        <w:rPr>
          <w:rFonts w:hint="eastAsia" w:ascii="宋体" w:hAnsi="宋体" w:cs="宋体"/>
          <w:sz w:val="24"/>
          <w:lang w:val="en-US" w:eastAsia="zh-CN"/>
        </w:rPr>
        <w:t>政策咨询：陈先生、厉先生，0571-89580460、89580456</w:t>
      </w:r>
    </w:p>
    <w:p>
      <w:pPr>
        <w:keepNext w:val="0"/>
        <w:keepLines w:val="0"/>
        <w:pageBreakBefore w:val="0"/>
        <w:kinsoku/>
        <w:wordWrap/>
        <w:overflowPunct/>
        <w:topLinePunct w:val="0"/>
        <w:autoSpaceDE/>
        <w:autoSpaceDN/>
        <w:bidi w:val="0"/>
        <w:spacing w:line="360" w:lineRule="auto"/>
        <w:ind w:firstLine="480"/>
        <w:textAlignment w:val="auto"/>
        <w:rPr>
          <w:rFonts w:ascii="宋体" w:hAnsi="宋体" w:cs="宋体"/>
          <w:sz w:val="24"/>
          <w:highlight w:val="none"/>
        </w:rPr>
      </w:pPr>
      <w:r>
        <w:rPr>
          <w:rFonts w:hint="eastAsia" w:ascii="宋体" w:hAnsi="宋体" w:cs="宋体"/>
          <w:sz w:val="24"/>
          <w:highlight w:val="none"/>
        </w:rPr>
        <w:t>若对项目采购电子交易系统操作有疑问，可登录政采云（https://www.zcygov.cn/），点击右侧咨询小采，获取采小蜜智能服务管家帮助，或拨打政采云服务热线</w:t>
      </w:r>
      <w:r>
        <w:rPr>
          <w:rFonts w:hint="eastAsia" w:ascii="微软雅黑" w:hAnsi="微软雅黑" w:eastAsia="微软雅黑"/>
          <w:color w:val="333333"/>
          <w:szCs w:val="21"/>
          <w:highlight w:val="none"/>
          <w:shd w:val="clear" w:color="auto" w:fill="FFFFFF"/>
        </w:rPr>
        <w:t>95763</w:t>
      </w:r>
      <w:r>
        <w:rPr>
          <w:rFonts w:hint="eastAsia" w:ascii="宋体" w:hAnsi="宋体" w:cs="宋体"/>
          <w:sz w:val="24"/>
          <w:highlight w:val="none"/>
        </w:rPr>
        <w:t>获取热线服务帮助。</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cs="宋体"/>
          <w:sz w:val="24"/>
          <w:highlight w:val="none"/>
        </w:rPr>
      </w:pPr>
      <w:r>
        <w:rPr>
          <w:rFonts w:hint="eastAsia" w:ascii="宋体" w:hAnsi="宋体" w:cs="宋体"/>
          <w:sz w:val="24"/>
          <w:highlight w:val="none"/>
        </w:rPr>
        <w:t>CA问题联系电话（人工）：汇信CA 400-888-4636；天谷CA 400-087-8198。</w:t>
      </w:r>
    </w:p>
    <w:p>
      <w:pPr>
        <w:keepNext w:val="0"/>
        <w:keepLines w:val="0"/>
        <w:pageBreakBefore w:val="0"/>
        <w:widowControl/>
        <w:kinsoku/>
        <w:wordWrap/>
        <w:overflowPunct/>
        <w:topLinePunct w:val="0"/>
        <w:autoSpaceDE/>
        <w:autoSpaceDN/>
        <w:bidi w:val="0"/>
        <w:adjustRightInd/>
        <w:spacing w:line="360" w:lineRule="auto"/>
        <w:jc w:val="left"/>
        <w:textAlignment w:val="auto"/>
        <w:rPr>
          <w:rFonts w:ascii="宋体" w:hAnsi="宋体" w:cs="宋体"/>
          <w:b/>
          <w:sz w:val="36"/>
          <w:szCs w:val="20"/>
          <w:highlight w:val="none"/>
        </w:rPr>
      </w:pPr>
      <w:r>
        <w:rPr>
          <w:rFonts w:ascii="宋体" w:hAnsi="宋体" w:cs="宋体"/>
          <w:b/>
          <w:sz w:val="36"/>
          <w:szCs w:val="20"/>
          <w:highlight w:val="none"/>
        </w:rPr>
        <w:br w:type="page"/>
      </w:r>
    </w:p>
    <w:p>
      <w:pPr>
        <w:adjustRightInd/>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t>第二部分</w:t>
      </w:r>
      <w:bookmarkEnd w:id="8"/>
      <w:r>
        <w:rPr>
          <w:rFonts w:hint="eastAsia" w:ascii="宋体" w:hAnsi="宋体" w:cs="宋体"/>
          <w:b/>
          <w:sz w:val="36"/>
          <w:szCs w:val="20"/>
          <w:highlight w:val="none"/>
        </w:rPr>
        <w:t xml:space="preserve"> 投标人须知</w:t>
      </w:r>
      <w:bookmarkEnd w:id="9"/>
    </w:p>
    <w:p>
      <w:pPr>
        <w:adjustRightInd/>
        <w:spacing w:line="360" w:lineRule="auto"/>
        <w:ind w:firstLine="3845" w:firstLineChars="1197"/>
        <w:outlineLvl w:val="0"/>
        <w:rPr>
          <w:rFonts w:ascii="宋体" w:hAnsi="宋体" w:cs="宋体"/>
          <w:b/>
          <w:sz w:val="32"/>
          <w:szCs w:val="20"/>
          <w:highlight w:val="none"/>
        </w:rPr>
      </w:pPr>
      <w:r>
        <w:rPr>
          <w:rFonts w:hint="eastAsia" w:ascii="宋体" w:hAnsi="宋体" w:cs="宋体"/>
          <w:b/>
          <w:sz w:val="32"/>
          <w:szCs w:val="20"/>
          <w:highlight w:val="none"/>
        </w:rPr>
        <w:t>前附表</w:t>
      </w:r>
    </w:p>
    <w:tbl>
      <w:tblPr>
        <w:tblStyle w:val="62"/>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color w:val="auto"/>
                <w:highlight w:val="none"/>
                <w:lang w:val="en-US"/>
              </w:rPr>
            </w:pPr>
            <w:r>
              <w:rPr>
                <w:rFonts w:hint="eastAsia" w:ascii="宋体" w:hAnsi="宋体" w:cs="宋体"/>
                <w:color w:val="auto"/>
                <w:kern w:val="0"/>
                <w:sz w:val="24"/>
                <w:highlight w:val="none"/>
              </w:rPr>
              <w:t>（1）标的：</w:t>
            </w:r>
            <w:r>
              <w:rPr>
                <w:rFonts w:hint="eastAsia" w:ascii="宋体" w:hAnsi="宋体" w:cs="宋体"/>
                <w:color w:val="auto"/>
                <w:kern w:val="0"/>
                <w:sz w:val="24"/>
                <w:highlight w:val="none"/>
                <w:u w:val="single"/>
              </w:rPr>
              <w:t xml:space="preserve"> </w:t>
            </w:r>
            <w:r>
              <w:rPr>
                <w:rFonts w:hint="eastAsia" w:ascii="宋体" w:hAnsi="宋体"/>
                <w:color w:val="auto"/>
                <w:sz w:val="24"/>
                <w:u w:val="single"/>
              </w:rPr>
              <w:t>杭州市智慧电子政务外网（2024）项目</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宋体" w:hAnsi="宋体" w:cs="宋体"/>
                <w:color w:val="auto"/>
                <w:kern w:val="0"/>
                <w:sz w:val="24"/>
                <w:highlight w:val="none"/>
                <w:u w:val="single"/>
              </w:rPr>
              <w:t xml:space="preserve"> </w:t>
            </w:r>
            <w:r>
              <w:rPr>
                <w:rFonts w:hint="eastAsia" w:ascii="宋体" w:hAnsi="宋体"/>
                <w:color w:val="auto"/>
                <w:sz w:val="24"/>
                <w:u w:val="single"/>
              </w:rPr>
              <w:t>软件和信息技术服务业</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kern w:val="0"/>
                <w:sz w:val="24"/>
                <w:highlight w:val="none"/>
              </w:rPr>
            </w:pPr>
            <w:sdt>
              <w:sdtPr>
                <w:rPr>
                  <w:rFonts w:hint="eastAsia" w:ascii="宋体" w:hAnsi="宋体" w:cs="宋体"/>
                  <w:kern w:val="0"/>
                  <w:sz w:val="24"/>
                  <w:highlight w:val="none"/>
                </w:rPr>
                <w:id w:val="-1828425707"/>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sym w:font="Wingdings" w:char="F0FE"/>
                </w:r>
              </w:sdtContent>
            </w:sdt>
            <w:r>
              <w:rPr>
                <w:rFonts w:hint="eastAsia" w:ascii="宋体" w:hAnsi="宋体" w:cs="宋体"/>
                <w:kern w:val="0"/>
                <w:sz w:val="24"/>
                <w:highlight w:val="none"/>
              </w:rPr>
              <w:t>本项目不允许采购进口产品。</w:t>
            </w:r>
          </w:p>
          <w:p>
            <w:pPr>
              <w:spacing w:line="360" w:lineRule="auto"/>
              <w:rPr>
                <w:rFonts w:ascii="宋体" w:hAnsi="宋体" w:cs="宋体"/>
                <w:highlight w:val="none"/>
              </w:rPr>
            </w:pPr>
            <w:sdt>
              <w:sdtPr>
                <w:rPr>
                  <w:rFonts w:hint="eastAsia" w:ascii="宋体" w:hAnsi="宋体" w:cs="宋体"/>
                  <w:kern w:val="0"/>
                  <w:sz w:val="24"/>
                  <w:highlight w:val="none"/>
                </w:rPr>
                <w:id w:val="-52852824"/>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kern w:val="0"/>
                <w:sz w:val="24"/>
                <w:highlight w:val="none"/>
              </w:rPr>
              <w:t>可以就</w:t>
            </w:r>
            <w:r>
              <w:rPr>
                <w:rFonts w:hint="eastAsia" w:ascii="宋体" w:hAnsi="宋体" w:cs="宋体"/>
                <w:sz w:val="24"/>
                <w:highlight w:val="none"/>
                <w:u w:val="single"/>
              </w:rPr>
              <w:t xml:space="preserve">    </w:t>
            </w:r>
            <w:r>
              <w:rPr>
                <w:rFonts w:hint="eastAsia" w:ascii="宋体" w:hAnsi="宋体" w:cs="宋体"/>
                <w:kern w:val="0"/>
                <w:sz w:val="24"/>
                <w:highlight w:val="none"/>
              </w:rPr>
              <w:t>采购进口</w:t>
            </w:r>
            <w:r>
              <w:rPr>
                <w:rFonts w:hint="eastAsia" w:ascii="宋体" w:hAnsi="宋体" w:cs="宋体"/>
                <w:color w:val="auto"/>
                <w:kern w:val="0"/>
                <w:sz w:val="24"/>
                <w:highlight w:val="none"/>
              </w:rPr>
              <w:t>产品。优先采购向我国企业转让技术、与我国企业签订消化吸收再创新方案的供应商的进口产品，详见</w:t>
            </w:r>
            <w:r>
              <w:rPr>
                <w:rFonts w:hint="eastAsia" w:ascii="宋体" w:hAnsi="宋体" w:cs="宋体"/>
                <w:color w:val="auto"/>
                <w:kern w:val="0"/>
                <w:sz w:val="24"/>
                <w:highlight w:val="none"/>
                <w:u w:val="single"/>
              </w:rPr>
              <w:t>评分标准</w:t>
            </w:r>
            <w:r>
              <w:rPr>
                <w:rFonts w:hint="eastAsia" w:ascii="宋体" w:hAnsi="宋体" w:cs="宋体"/>
                <w:color w:val="auto"/>
                <w:kern w:val="0"/>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sz w:val="24"/>
                <w:highlight w:val="none"/>
              </w:rPr>
            </w:pPr>
            <w:r>
              <w:rPr>
                <w:rFonts w:hint="eastAsia" w:ascii="宋体" w:hAnsi="宋体" w:cs="宋体"/>
                <w:b/>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477286927"/>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ascii="Wingdings" w:hAnsi="Wingdings" w:cs="宋体"/>
                    <w:color w:val="auto"/>
                    <w:kern w:val="0"/>
                    <w:sz w:val="24"/>
                    <w:highlight w:val="none"/>
                  </w:rPr>
                  <w:t></w:t>
                </w:r>
              </w:sdtContent>
            </w:sdt>
            <w:r>
              <w:rPr>
                <w:rFonts w:hint="eastAsia" w:ascii="宋体" w:hAnsi="宋体" w:cs="宋体"/>
                <w:color w:val="auto"/>
                <w:kern w:val="0"/>
                <w:sz w:val="24"/>
                <w:highlight w:val="none"/>
              </w:rPr>
              <w:t xml:space="preserve"> A</w:t>
            </w:r>
            <w:r>
              <w:rPr>
                <w:rFonts w:hint="eastAsia" w:ascii="宋体" w:hAnsi="宋体" w:cs="宋体"/>
                <w:color w:val="auto"/>
                <w:sz w:val="24"/>
                <w:highlight w:val="none"/>
              </w:rPr>
              <w:t>同意将非主体、非关键性的</w:t>
            </w:r>
            <w:r>
              <w:rPr>
                <w:rFonts w:hint="eastAsia" w:ascii="宋体" w:hAnsi="宋体" w:cs="宋体"/>
                <w:color w:val="auto"/>
                <w:sz w:val="24"/>
                <w:highlight w:val="none"/>
                <w:u w:val="single"/>
              </w:rPr>
              <w:t xml:space="preserve"> </w:t>
            </w:r>
            <w:r>
              <w:rPr>
                <w:rFonts w:hint="eastAsia" w:ascii="宋体" w:hAnsi="宋体" w:cs="宋体"/>
                <w:color w:val="auto"/>
                <w:sz w:val="24"/>
                <w:u w:val="single"/>
              </w:rPr>
              <w:t>设备维保、部分运维人员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276331357"/>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cs="宋体"/>
                    <w:color w:val="auto"/>
                    <w:kern w:val="0"/>
                    <w:sz w:val="24"/>
                    <w:highlight w:val="none"/>
                  </w:rPr>
                  <w:t>☐</w:t>
                </w:r>
              </w:sdtContent>
            </w:sdt>
            <w:r>
              <w:rPr>
                <w:rFonts w:hint="eastAsia" w:ascii="宋体" w:hAnsi="宋体" w:cs="宋体"/>
                <w:color w:val="auto"/>
                <w:kern w:val="0"/>
                <w:sz w:val="24"/>
                <w:highlight w:val="none"/>
              </w:rPr>
              <w:t xml:space="preserve"> B</w:t>
            </w:r>
            <w:r>
              <w:rPr>
                <w:rFonts w:hint="eastAsia" w:ascii="宋体" w:hAnsi="宋体" w:cs="宋体"/>
                <w:color w:val="auto"/>
                <w:sz w:val="24"/>
                <w:highlight w:val="none"/>
              </w:rPr>
              <w:t>不同意分包。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21296641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sz w:val="24"/>
                <w:szCs w:val="20"/>
                <w:highlight w:val="none"/>
              </w:rPr>
            </w:pPr>
            <w:sdt>
              <w:sdtPr>
                <w:rPr>
                  <w:rFonts w:hint="eastAsia" w:ascii="宋体" w:hAnsi="宋体" w:cs="宋体"/>
                  <w:color w:val="auto"/>
                  <w:kern w:val="0"/>
                  <w:sz w:val="24"/>
                  <w:highlight w:val="none"/>
                </w:rPr>
                <w:id w:val="-99980297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r>
              <w:rPr>
                <w:rFonts w:hint="eastAsia" w:ascii="宋体" w:hAnsi="宋体" w:cs="宋体"/>
                <w:color w:val="auto"/>
                <w:sz w:val="24"/>
                <w:highlight w:val="none"/>
              </w:rPr>
              <w:t>时间：</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，联系方式：</w:t>
            </w:r>
            <w:r>
              <w:rPr>
                <w:rFonts w:hint="eastAsia" w:ascii="宋体" w:hAnsi="宋体" w:cs="宋体"/>
                <w:color w:val="auto"/>
                <w:sz w:val="24"/>
                <w:highlight w:val="none"/>
                <w:u w:val="single"/>
              </w:rPr>
              <w:t xml:space="preserve">      </w:t>
            </w:r>
            <w:r>
              <w:rPr>
                <w:rFonts w:hint="eastAsia" w:ascii="宋体" w:hAnsi="宋体" w:cs="宋体"/>
                <w:color w:val="auto"/>
                <w:sz w:val="24"/>
                <w:szCs w:val="20"/>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639946486"/>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不要求提供。</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026831988"/>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B要求提供（未提供样品或提供样品不满足采购需求实质性条件的供应商，投标无效）：</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w:t>
            </w:r>
            <w:r>
              <w:rPr>
                <w:rFonts w:hint="eastAsia" w:ascii="宋体" w:hAnsi="宋体" w:cs="宋体"/>
                <w:snapToGrid w:val="0"/>
                <w:color w:val="auto"/>
                <w:kern w:val="28"/>
                <w:sz w:val="24"/>
                <w:highlight w:val="none"/>
              </w:rPr>
              <w:t>样品：</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w:t>
            </w:r>
            <w:r>
              <w:rPr>
                <w:rFonts w:hint="eastAsia" w:ascii="宋体" w:hAnsi="宋体" w:cs="宋体"/>
                <w:snapToGrid w:val="0"/>
                <w:color w:val="auto"/>
                <w:kern w:val="28"/>
                <w:sz w:val="24"/>
                <w:highlight w:val="none"/>
              </w:rPr>
              <w:t>样品制作的标准和要求：</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snapToGrid w:val="0"/>
                <w:color w:val="auto"/>
                <w:kern w:val="28"/>
                <w:sz w:val="24"/>
                <w:highlight w:val="none"/>
              </w:rPr>
            </w:pPr>
            <w:r>
              <w:rPr>
                <w:rFonts w:hint="eastAsia" w:ascii="宋体" w:hAnsi="宋体" w:cs="宋体"/>
                <w:color w:val="auto"/>
                <w:kern w:val="0"/>
                <w:sz w:val="24"/>
                <w:highlight w:val="none"/>
              </w:rPr>
              <w:t>（3）样品的评审方法以及评审标准</w:t>
            </w:r>
            <w:r>
              <w:rPr>
                <w:rFonts w:hint="eastAsia" w:ascii="宋体" w:hAnsi="宋体" w:cs="宋体"/>
                <w:snapToGrid w:val="0"/>
                <w:color w:val="auto"/>
                <w:kern w:val="28"/>
                <w:sz w:val="24"/>
                <w:highlight w:val="none"/>
              </w:rPr>
              <w:t>：</w:t>
            </w:r>
          </w:p>
          <w:p>
            <w:pPr>
              <w:spacing w:line="360" w:lineRule="auto"/>
              <w:ind w:firstLine="240" w:firstLineChars="100"/>
              <w:rPr>
                <w:rFonts w:ascii="宋体" w:hAnsi="宋体" w:cs="宋体"/>
                <w:color w:val="auto"/>
                <w:sz w:val="24"/>
                <w:highlight w:val="none"/>
              </w:rPr>
            </w:pPr>
            <w:sdt>
              <w:sdtPr>
                <w:rPr>
                  <w:rFonts w:hint="eastAsia" w:ascii="宋体" w:hAnsi="宋体" w:cs="宋体"/>
                  <w:color w:val="auto"/>
                  <w:kern w:val="0"/>
                  <w:sz w:val="24"/>
                  <w:highlight w:val="none"/>
                </w:rPr>
                <w:id w:val="-1350092240"/>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样品分未超过价格分的50%；</w:t>
            </w:r>
          </w:p>
          <w:p>
            <w:pPr>
              <w:spacing w:line="360" w:lineRule="auto"/>
              <w:ind w:firstLine="240" w:firstLineChars="100"/>
              <w:rPr>
                <w:rFonts w:ascii="宋体" w:hAnsi="宋体" w:cs="宋体"/>
                <w:color w:val="auto"/>
                <w:kern w:val="0"/>
                <w:sz w:val="24"/>
                <w:highlight w:val="none"/>
              </w:rPr>
            </w:pPr>
            <w:sdt>
              <w:sdtPr>
                <w:rPr>
                  <w:rFonts w:hint="eastAsia" w:ascii="宋体" w:hAnsi="宋体" w:cs="宋体"/>
                  <w:color w:val="auto"/>
                  <w:kern w:val="0"/>
                  <w:sz w:val="24"/>
                  <w:highlight w:val="none"/>
                </w:rPr>
                <w:id w:val="-1485540415"/>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sz w:val="24"/>
                <w:highlight w:val="none"/>
              </w:rPr>
              <w:t>样品分超过价格分的50%，理由</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w:t>
            </w:r>
          </w:p>
          <w:p>
            <w:pPr>
              <w:spacing w:line="360" w:lineRule="auto"/>
              <w:ind w:firstLine="240" w:firstLineChars="100"/>
              <w:rPr>
                <w:rFonts w:ascii="宋体" w:hAnsi="宋体" w:cs="宋体"/>
                <w:color w:val="auto"/>
                <w:kern w:val="0"/>
                <w:sz w:val="24"/>
                <w:highlight w:val="none"/>
              </w:rPr>
            </w:pPr>
            <w:r>
              <w:rPr>
                <w:rFonts w:hint="eastAsia" w:ascii="宋体" w:hAnsi="宋体" w:cs="宋体"/>
                <w:snapToGrid w:val="0"/>
                <w:color w:val="auto"/>
                <w:kern w:val="28"/>
                <w:sz w:val="24"/>
                <w:highlight w:val="none"/>
              </w:rPr>
              <w:t>详见招标文件第四部分</w:t>
            </w:r>
            <w:r>
              <w:rPr>
                <w:rFonts w:hint="eastAsia" w:ascii="宋体" w:hAnsi="宋体" w:cs="宋体"/>
                <w:color w:val="auto"/>
                <w:sz w:val="24"/>
                <w:highlight w:val="none"/>
                <w:u w:val="single"/>
              </w:rPr>
              <w:t>评标办分法</w:t>
            </w:r>
            <w:r>
              <w:rPr>
                <w:rFonts w:hint="eastAsia" w:ascii="宋体" w:hAnsi="宋体" w:cs="宋体"/>
                <w:color w:val="auto"/>
                <w:kern w:val="0"/>
                <w:sz w:val="24"/>
                <w:highlight w:val="none"/>
              </w:rPr>
              <w:t xml:space="preserve">。 </w:t>
            </w:r>
          </w:p>
          <w:p>
            <w:pPr>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（4）是否需要随样品提交检测报告：</w:t>
            </w:r>
            <w:sdt>
              <w:sdtPr>
                <w:rPr>
                  <w:rFonts w:hint="eastAsia" w:ascii="宋体" w:hAnsi="宋体" w:cs="宋体"/>
                  <w:color w:val="auto"/>
                  <w:kern w:val="0"/>
                  <w:sz w:val="24"/>
                  <w:highlight w:val="none"/>
                </w:rPr>
                <w:id w:val="1303421454"/>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MS Gothic" w:hAnsi="MS Gothic" w:eastAsia="MS Gothic" w:cs="宋体"/>
                    <w:color w:val="auto"/>
                    <w:kern w:val="0"/>
                    <w:sz w:val="24"/>
                    <w:highlight w:val="none"/>
                  </w:rPr>
                  <w:t>☐</w:t>
                </w:r>
              </w:sdtContent>
            </w:sdt>
            <w:r>
              <w:rPr>
                <w:rFonts w:hint="eastAsia" w:ascii="宋体" w:hAnsi="宋体" w:cs="宋体"/>
                <w:color w:val="auto"/>
                <w:kern w:val="0"/>
                <w:sz w:val="24"/>
                <w:highlight w:val="none"/>
              </w:rPr>
              <w:t>否；</w:t>
            </w:r>
            <w:sdt>
              <w:sdtPr>
                <w:rPr>
                  <w:rFonts w:hint="eastAsia" w:ascii="宋体" w:hAnsi="宋体" w:cs="宋体"/>
                  <w:color w:val="auto"/>
                  <w:kern w:val="0"/>
                  <w:sz w:val="24"/>
                  <w:highlight w:val="none"/>
                </w:rPr>
                <w:id w:val="1621728433"/>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是，检测机构的要求</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；检测内容</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（5）提供样品的时间：</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；地点：</w:t>
            </w:r>
            <w:r>
              <w:rPr>
                <w:rFonts w:hint="eastAsia" w:ascii="宋体" w:hAnsi="宋体" w:cs="宋体"/>
                <w:color w:val="auto"/>
                <w:sz w:val="24"/>
                <w:highlight w:val="none"/>
                <w:u w:val="single"/>
              </w:rPr>
              <w:t xml:space="preserve">    </w:t>
            </w:r>
            <w:r>
              <w:rPr>
                <w:rFonts w:hint="eastAsia" w:ascii="宋体" w:hAnsi="宋体" w:cs="宋体"/>
                <w:color w:val="auto"/>
                <w:kern w:val="0"/>
                <w:sz w:val="24"/>
                <w:highlight w:val="none"/>
              </w:rPr>
              <w:t>；联系人</w:t>
            </w:r>
            <w:r>
              <w:rPr>
                <w:rFonts w:hint="eastAsia" w:ascii="宋体" w:hAnsi="宋体" w:cs="宋体"/>
                <w:color w:val="auto"/>
                <w:sz w:val="24"/>
                <w:highlight w:val="none"/>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28"/>
                <w:sz w:val="24"/>
                <w:highlight w:val="none"/>
              </w:rPr>
              <w:t>联系电话：</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。请投标人在上述时间内提供样品并按规定位置安装完毕。超过截止时间的，采购人或采购代理机构将不予接收，并将清场并封闭样品现场。</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line="360" w:lineRule="auto"/>
              <w:rPr>
                <w:rFonts w:ascii="宋体" w:hAnsi="宋体" w:cs="宋体"/>
                <w:b/>
                <w:color w:val="auto"/>
                <w:sz w:val="24"/>
                <w:highlight w:val="none"/>
              </w:rPr>
            </w:pPr>
            <w:r>
              <w:rPr>
                <w:rFonts w:hint="eastAsia" w:ascii="宋体" w:hAnsi="宋体" w:cs="宋体"/>
                <w:color w:val="auto"/>
                <w:sz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sz w:val="24"/>
                <w:highlight w:val="none"/>
              </w:rPr>
            </w:pPr>
            <w:r>
              <w:rPr>
                <w:rFonts w:hint="eastAsia" w:ascii="宋体" w:hAnsi="宋体" w:cs="宋体"/>
                <w:b/>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sdt>
              <w:sdtPr>
                <w:rPr>
                  <w:rFonts w:hint="eastAsia" w:ascii="宋体" w:hAnsi="宋体" w:cs="宋体"/>
                  <w:color w:val="auto"/>
                  <w:kern w:val="0"/>
                  <w:sz w:val="24"/>
                  <w:highlight w:val="none"/>
                </w:rPr>
                <w:id w:val="-185934854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Wingdings" w:hAnsi="Wingdings" w:eastAsia="MS Gothic" w:cs="宋体"/>
                    <w:color w:val="auto"/>
                    <w:kern w:val="0"/>
                    <w:sz w:val="24"/>
                    <w:szCs w:val="24"/>
                    <w:highlight w:val="none"/>
                    <w:lang w:val="en-US" w:eastAsia="zh-CN" w:bidi="ar-SA"/>
                  </w:rPr>
                  <w:t>þ</w:t>
                </w:r>
              </w:sdtContent>
            </w:sdt>
            <w:r>
              <w:rPr>
                <w:rFonts w:hint="eastAsia" w:ascii="宋体" w:hAnsi="宋体" w:cs="宋体"/>
                <w:color w:val="auto"/>
                <w:kern w:val="0"/>
                <w:sz w:val="24"/>
                <w:highlight w:val="none"/>
              </w:rPr>
              <w:t>A</w:t>
            </w:r>
            <w:r>
              <w:rPr>
                <w:rFonts w:hint="eastAsia" w:ascii="宋体" w:hAnsi="宋体" w:cs="宋体"/>
                <w:color w:val="auto"/>
                <w:sz w:val="24"/>
                <w:highlight w:val="none"/>
              </w:rPr>
              <w:t>不组织。</w:t>
            </w:r>
          </w:p>
          <w:p>
            <w:pPr>
              <w:spacing w:line="360" w:lineRule="auto"/>
              <w:rPr>
                <w:rFonts w:ascii="宋体" w:hAnsi="宋体" w:cs="宋体"/>
                <w:color w:val="auto"/>
                <w:kern w:val="0"/>
                <w:sz w:val="24"/>
                <w:highlight w:val="none"/>
              </w:rPr>
            </w:pPr>
            <w:sdt>
              <w:sdtPr>
                <w:rPr>
                  <w:rFonts w:hint="eastAsia" w:ascii="宋体" w:hAnsi="宋体" w:cs="宋体"/>
                  <w:color w:val="auto"/>
                  <w:kern w:val="0"/>
                  <w:sz w:val="24"/>
                  <w:highlight w:val="none"/>
                </w:rPr>
                <w:id w:val="1174071719"/>
                <w14:checkbox>
                  <w14:checked w14:val="0"/>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t>☐</w:t>
                </w:r>
              </w:sdtContent>
            </w:sdt>
            <w:r>
              <w:rPr>
                <w:rFonts w:hint="eastAsia" w:ascii="宋体" w:hAnsi="宋体" w:cs="宋体"/>
                <w:color w:val="auto"/>
                <w:kern w:val="0"/>
                <w:sz w:val="24"/>
                <w:highlight w:val="none"/>
              </w:rPr>
              <w:t>B组织。</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（2）方案讲解演示可选择以下其中一种方式：</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方式一：政采云平台在线讲解演示。政采云平台在线讲解需投标人根据政采云平台操作要求做好准备工作，提前完善软硬件配置环境。</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方式二：交易中心现场讲解演示。现场讲解地点为</w:t>
            </w:r>
            <w:r>
              <w:rPr>
                <w:rFonts w:hint="eastAsia" w:ascii="宋体" w:hAnsi="宋体" w:cs="宋体"/>
                <w:color w:val="auto"/>
                <w:sz w:val="24"/>
                <w:highlight w:val="none"/>
                <w:u w:val="single"/>
              </w:rPr>
              <w:t>杭州市公共资源交易中心4楼答疑室（讲标室）</w:t>
            </w:r>
            <w:r>
              <w:rPr>
                <w:rFonts w:hint="eastAsia" w:ascii="宋体" w:hAnsi="宋体" w:cs="宋体"/>
                <w:color w:val="auto"/>
                <w:kern w:val="0"/>
                <w:sz w:val="24"/>
                <w:highlight w:val="none"/>
              </w:rPr>
              <w:t>，讲解演示所用电脑等设备由投标人自备。现场讲解演示人员进场时提供讲解人员名单（加盖公章或授权代表签名）及身份证明，否则不得讲解演示。</w:t>
            </w:r>
          </w:p>
          <w:p>
            <w:pPr>
              <w:snapToGrid w:val="0"/>
              <w:spacing w:line="360" w:lineRule="auto"/>
              <w:rPr>
                <w:rFonts w:ascii="宋体" w:hAnsi="宋体" w:cs="宋体"/>
                <w:b/>
                <w:color w:val="auto"/>
                <w:kern w:val="0"/>
                <w:sz w:val="24"/>
                <w:highlight w:val="none"/>
                <w:lang w:val="zh-CN"/>
              </w:rPr>
            </w:pPr>
            <w:r>
              <w:rPr>
                <w:rFonts w:hint="eastAsia" w:ascii="宋体" w:hAnsi="宋体" w:cs="宋体"/>
                <w:color w:val="auto"/>
                <w:kern w:val="0"/>
                <w:sz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（1）资格证明文件：见招标文件第二部分11.1。</w:t>
            </w:r>
          </w:p>
          <w:p>
            <w:pPr>
              <w:spacing w:line="360" w:lineRule="auto"/>
              <w:rPr>
                <w:rFonts w:ascii="宋体" w:hAnsi="宋体" w:cs="宋体"/>
                <w:snapToGrid w:val="0"/>
                <w:kern w:val="0"/>
                <w:szCs w:val="21"/>
                <w:highlight w:val="none"/>
              </w:rPr>
            </w:pPr>
            <w:r>
              <w:rPr>
                <w:rFonts w:hint="eastAsia" w:ascii="宋体" w:hAnsi="宋体" w:cs="宋体"/>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sz w:val="24"/>
                <w:highlight w:val="none"/>
              </w:rPr>
            </w:pPr>
            <w:r>
              <w:rPr>
                <w:rFonts w:hint="eastAsia" w:ascii="宋体" w:hAnsi="宋体" w:cs="宋体"/>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节能产品、环境标志产品政府优先采购或强制采购</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kern w:val="0"/>
                <w:sz w:val="24"/>
                <w:highlight w:val="none"/>
                <w:lang w:val="zh-CN"/>
              </w:rPr>
            </w:pPr>
            <w:sdt>
              <w:sdtPr>
                <w:rPr>
                  <w:rFonts w:hint="eastAsia" w:ascii="宋体" w:hAnsi="宋体" w:cs="宋体"/>
                  <w:kern w:val="0"/>
                  <w:sz w:val="24"/>
                  <w:highlight w:val="none"/>
                </w:rPr>
                <w:id w:val="386232013"/>
                <w14:checkbox>
                  <w14:checked w14:val="0"/>
                  <w14:checkedState w14:val="00FE" w14:font="Wingdings"/>
                  <w14:uncheckedState w14:val="2610" w14:font="MS Gothic"/>
                </w14:checkbox>
              </w:sdtPr>
              <w:sdtEndPr>
                <w:rPr>
                  <w:rFonts w:hint="eastAsia" w:ascii="宋体" w:hAnsi="宋体" w:cs="宋体"/>
                  <w:kern w:val="0"/>
                  <w:sz w:val="24"/>
                  <w:highlight w:val="none"/>
                  <w:lang w:val="zh-CN"/>
                </w:rPr>
              </w:sdtEndPr>
              <w:sdtContent>
                <w:r>
                  <w:rPr>
                    <w:rFonts w:hint="eastAsia" w:ascii="宋体" w:hAnsi="宋体" w:cs="宋体"/>
                    <w:kern w:val="0"/>
                    <w:sz w:val="24"/>
                    <w:highlight w:val="none"/>
                    <w:lang w:val="zh-CN"/>
                  </w:rPr>
                  <w:t>☐</w:t>
                </w:r>
              </w:sdtContent>
            </w:sdt>
            <w:r>
              <w:rPr>
                <w:rFonts w:hint="eastAsia" w:ascii="宋体" w:hAnsi="宋体" w:cs="宋体"/>
                <w:kern w:val="0"/>
                <w:sz w:val="24"/>
                <w:highlight w:val="none"/>
                <w:lang w:val="zh-CN"/>
              </w:rPr>
              <w:t>依据国家确定的认证机构出具的、处于有效期之内的节能产品认证证书，对获得证书的产品实施政府优先采购或强制采购；</w:t>
            </w:r>
            <w:r>
              <w:rPr>
                <w:rFonts w:hint="eastAsia" w:ascii="宋体" w:hAnsi="宋体" w:cs="宋体"/>
                <w:color w:val="auto"/>
                <w:kern w:val="0"/>
                <w:sz w:val="24"/>
                <w:highlight w:val="none"/>
                <w:lang w:val="zh-CN"/>
              </w:rPr>
              <w:t>其中，对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r>
              <w:rPr>
                <w:rFonts w:hint="eastAsia" w:ascii="宋体" w:hAnsi="宋体" w:cs="宋体"/>
                <w:color w:val="auto"/>
                <w:sz w:val="24"/>
                <w:highlight w:val="none"/>
              </w:rPr>
              <w:t>▲</w:t>
            </w:r>
            <w:r>
              <w:rPr>
                <w:rFonts w:hint="eastAsia" w:ascii="宋体" w:hAnsi="宋体" w:cs="宋体"/>
                <w:color w:val="auto"/>
                <w:kern w:val="0"/>
                <w:sz w:val="24"/>
                <w:highlight w:val="none"/>
                <w:lang w:val="zh-CN"/>
              </w:rPr>
              <w:t>对</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实施政府强制采购，</w:t>
            </w:r>
            <w:r>
              <w:rPr>
                <w:rFonts w:hint="eastAsia" w:ascii="宋体" w:hAnsi="宋体" w:cs="宋体"/>
                <w:b/>
                <w:bCs/>
                <w:color w:val="auto"/>
                <w:kern w:val="0"/>
                <w:sz w:val="24"/>
                <w:highlight w:val="none"/>
                <w:lang w:val="zh-CN"/>
              </w:rPr>
              <w:t>投标人</w:t>
            </w:r>
            <w:r>
              <w:rPr>
                <w:rFonts w:hint="eastAsia" w:ascii="宋体" w:hAnsi="宋体" w:cs="宋体"/>
                <w:b/>
                <w:bCs/>
                <w:color w:val="auto"/>
                <w:kern w:val="0"/>
                <w:sz w:val="24"/>
                <w:highlight w:val="none"/>
              </w:rPr>
              <w:t>就</w:t>
            </w:r>
            <w:r>
              <w:rPr>
                <w:rFonts w:hint="eastAsia" w:ascii="宋体" w:hAnsi="宋体" w:cs="宋体"/>
                <w:b/>
                <w:bCs/>
                <w:color w:val="auto"/>
                <w:kern w:val="0"/>
                <w:sz w:val="24"/>
                <w:highlight w:val="none"/>
                <w:lang w:val="zh-CN"/>
              </w:rPr>
              <w:t>相应的投标产品未</w:t>
            </w:r>
            <w:r>
              <w:rPr>
                <w:rFonts w:hint="eastAsia" w:ascii="宋体" w:hAnsi="宋体" w:cs="宋体"/>
                <w:b/>
                <w:bCs/>
                <w:color w:val="auto"/>
                <w:kern w:val="0"/>
                <w:sz w:val="24"/>
                <w:highlight w:val="none"/>
              </w:rPr>
              <w:t>提供</w:t>
            </w:r>
            <w:r>
              <w:rPr>
                <w:rFonts w:hint="eastAsia" w:ascii="宋体" w:hAnsi="宋体" w:cs="宋体"/>
                <w:b/>
                <w:bCs/>
                <w:color w:val="auto"/>
                <w:kern w:val="0"/>
                <w:sz w:val="24"/>
                <w:highlight w:val="none"/>
                <w:lang w:val="zh-CN"/>
              </w:rPr>
              <w:t>国家确定的认证机构出具的、处于有效期之内的节能产品认证证书的，投标无效</w:t>
            </w:r>
            <w:r>
              <w:rPr>
                <w:rFonts w:hint="eastAsia" w:ascii="宋体" w:hAnsi="宋体" w:cs="宋体"/>
                <w:color w:val="auto"/>
                <w:kern w:val="0"/>
                <w:sz w:val="24"/>
                <w:highlight w:val="none"/>
                <w:lang w:val="zh-CN"/>
              </w:rPr>
              <w:t>。</w:t>
            </w:r>
          </w:p>
          <w:p>
            <w:pPr>
              <w:spacing w:line="360" w:lineRule="auto"/>
              <w:rPr>
                <w:rFonts w:ascii="宋体" w:hAnsi="宋体" w:cs="宋体"/>
                <w:color w:val="auto"/>
                <w:kern w:val="0"/>
                <w:sz w:val="24"/>
                <w:highlight w:val="none"/>
                <w:lang w:val="zh-CN"/>
              </w:rPr>
            </w:pPr>
            <w:sdt>
              <w:sdtPr>
                <w:rPr>
                  <w:rFonts w:hint="eastAsia" w:ascii="宋体" w:hAnsi="宋体" w:cs="宋体"/>
                  <w:color w:val="auto"/>
                  <w:kern w:val="0"/>
                  <w:sz w:val="24"/>
                  <w:highlight w:val="none"/>
                  <w:lang w:val="zh-CN"/>
                </w:rPr>
                <w:id w:val="93515011"/>
                <w14:checkbox>
                  <w14:checked w14:val="0"/>
                  <w14:checkedState w14:val="00FE" w14:font="Wingdings"/>
                  <w14:uncheckedState w14:val="2610" w14:font="MS Gothic"/>
                </w14:checkbox>
              </w:sdtPr>
              <w:sdtEndPr>
                <w:rPr>
                  <w:rFonts w:hint="eastAsia" w:ascii="宋体" w:hAnsi="宋体" w:cs="宋体"/>
                  <w:color w:val="auto"/>
                  <w:kern w:val="0"/>
                  <w:sz w:val="24"/>
                  <w:highlight w:val="none"/>
                  <w:lang w:val="zh-CN"/>
                </w:rPr>
              </w:sdtEndPr>
              <w:sdtContent>
                <w:r>
                  <w:rPr>
                    <w:rFonts w:hint="eastAsia" w:ascii="宋体" w:hAnsi="宋体" w:cs="宋体"/>
                    <w:color w:val="auto"/>
                    <w:kern w:val="0"/>
                    <w:sz w:val="24"/>
                    <w:highlight w:val="none"/>
                    <w:lang w:val="zh-CN"/>
                  </w:rPr>
                  <w:t>☐</w:t>
                </w:r>
              </w:sdtContent>
            </w:sdt>
            <w:r>
              <w:rPr>
                <w:rFonts w:hint="eastAsia" w:ascii="宋体" w:hAnsi="宋体" w:cs="宋体"/>
                <w:color w:val="auto"/>
                <w:kern w:val="0"/>
                <w:sz w:val="24"/>
                <w:highlight w:val="none"/>
                <w:lang w:val="zh-CN"/>
              </w:rPr>
              <w:t>依据国家确定的认证机构出具的、处于有效期之内的环境标志产品认证证书，对获得证书的</w:t>
            </w:r>
            <w:r>
              <w:rPr>
                <w:rFonts w:hint="eastAsia" w:ascii="宋体" w:hAnsi="宋体" w:cs="宋体"/>
                <w:color w:val="auto"/>
                <w:kern w:val="0"/>
                <w:sz w:val="24"/>
                <w:highlight w:val="none"/>
                <w:u w:val="single"/>
                <w:shd w:val="pct10" w:color="auto" w:fill="FFFFFF"/>
                <w:lang w:val="zh-CN"/>
              </w:rPr>
              <w:t>产品名称XXX</w:t>
            </w:r>
            <w:r>
              <w:rPr>
                <w:rFonts w:hint="eastAsia" w:ascii="宋体" w:hAnsi="宋体" w:cs="宋体"/>
                <w:color w:val="auto"/>
                <w:kern w:val="0"/>
                <w:sz w:val="24"/>
                <w:highlight w:val="none"/>
                <w:lang w:val="zh-CN"/>
              </w:rPr>
              <w:t>实施政府优先采购，</w:t>
            </w:r>
            <w:r>
              <w:rPr>
                <w:rFonts w:hint="eastAsia" w:ascii="宋体" w:hAnsi="宋体" w:cs="宋体"/>
                <w:color w:val="auto"/>
                <w:kern w:val="0"/>
                <w:sz w:val="24"/>
                <w:highlight w:val="none"/>
              </w:rPr>
              <w:t>详</w:t>
            </w:r>
            <w:r>
              <w:rPr>
                <w:rFonts w:hint="eastAsia" w:ascii="宋体" w:hAnsi="宋体" w:cs="宋体"/>
                <w:color w:val="auto"/>
                <w:kern w:val="0"/>
                <w:sz w:val="24"/>
                <w:highlight w:val="none"/>
                <w:lang w:val="zh-CN"/>
              </w:rPr>
              <w:t>见</w:t>
            </w:r>
            <w:r>
              <w:rPr>
                <w:rFonts w:hint="eastAsia" w:ascii="宋体" w:hAnsi="宋体" w:cs="宋体"/>
                <w:color w:val="auto"/>
                <w:kern w:val="0"/>
                <w:sz w:val="24"/>
                <w:highlight w:val="none"/>
                <w:u w:val="single"/>
                <w:lang w:val="zh-CN"/>
              </w:rPr>
              <w:t>评分标准</w:t>
            </w:r>
            <w:r>
              <w:rPr>
                <w:rFonts w:hint="eastAsia" w:ascii="宋体" w:hAnsi="宋体" w:cs="宋体"/>
                <w:color w:val="auto"/>
                <w:kern w:val="0"/>
                <w:sz w:val="24"/>
                <w:highlight w:val="none"/>
                <w:lang w:val="zh-CN"/>
              </w:rPr>
              <w:t>。</w:t>
            </w:r>
          </w:p>
          <w:p>
            <w:pPr>
              <w:snapToGrid w:val="0"/>
              <w:spacing w:line="360" w:lineRule="auto"/>
              <w:rPr>
                <w:rFonts w:ascii="宋体" w:hAnsi="宋体" w:cs="宋体"/>
                <w:highlight w:val="none"/>
              </w:rPr>
            </w:pPr>
            <w:sdt>
              <w:sdtPr>
                <w:rPr>
                  <w:rFonts w:hint="eastAsia" w:ascii="宋体" w:hAnsi="宋体" w:cs="宋体"/>
                  <w:color w:val="auto"/>
                  <w:kern w:val="0"/>
                  <w:sz w:val="24"/>
                  <w:highlight w:val="none"/>
                </w:rPr>
                <w:id w:val="-378003639"/>
                <w14:checkbox>
                  <w14:checked w14:val="1"/>
                  <w14:checkedState w14:val="00FE" w14:font="Wingdings"/>
                  <w14:uncheckedState w14:val="2610" w14:font="MS Gothic"/>
                </w14:checkbox>
              </w:sdtPr>
              <w:sdtEndPr>
                <w:rPr>
                  <w:rFonts w:hint="eastAsia" w:ascii="宋体" w:hAnsi="宋体" w:cs="宋体"/>
                  <w:color w:val="auto"/>
                  <w:kern w:val="0"/>
                  <w:sz w:val="24"/>
                  <w:highlight w:val="none"/>
                </w:rPr>
              </w:sdtEndPr>
              <w:sdtContent>
                <w:r>
                  <w:rPr>
                    <w:rFonts w:hint="eastAsia" w:ascii="宋体" w:hAnsi="宋体" w:cs="宋体"/>
                    <w:color w:val="auto"/>
                    <w:kern w:val="0"/>
                    <w:sz w:val="24"/>
                    <w:highlight w:val="none"/>
                  </w:rPr>
                  <w:sym w:font="Wingdings" w:char="F0FE"/>
                </w:r>
              </w:sdtContent>
            </w:sdt>
            <w:r>
              <w:rPr>
                <w:rFonts w:hint="eastAsia" w:ascii="宋体" w:hAnsi="宋体" w:cs="宋体"/>
                <w:color w:val="auto"/>
                <w:kern w:val="0"/>
                <w:sz w:val="24"/>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kern w:val="0"/>
                <w:sz w:val="24"/>
                <w:highlight w:val="none"/>
                <w:lang w:val="zh-CN"/>
              </w:rPr>
            </w:pPr>
            <w:r>
              <w:rPr>
                <w:rFonts w:hint="eastAsia" w:ascii="宋体" w:hAnsi="宋体" w:cs="宋体"/>
                <w:kern w:val="0"/>
                <w:sz w:val="24"/>
                <w:highlight w:val="none"/>
                <w:lang w:val="zh-CN"/>
              </w:rPr>
              <w:t>有关本项目实施所需的所有费用（含税费）均计入报价。</w:t>
            </w:r>
            <w:r>
              <w:rPr>
                <w:rFonts w:hint="eastAsia" w:ascii="宋体" w:hAnsi="宋体" w:cs="宋体"/>
                <w:b/>
                <w:bCs/>
                <w:kern w:val="0"/>
                <w:sz w:val="24"/>
                <w:highlight w:val="none"/>
                <w:lang w:val="zh-CN"/>
              </w:rPr>
              <w:t>投标文件</w:t>
            </w:r>
            <w:r>
              <w:rPr>
                <w:rFonts w:hint="eastAsia" w:ascii="宋体" w:hAnsi="宋体" w:cs="宋体"/>
                <w:b/>
                <w:bCs/>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kern w:val="0"/>
                <w:sz w:val="24"/>
                <w:highlight w:val="none"/>
                <w:lang w:val="zh-CN"/>
              </w:rPr>
              <w:t>投标文件中价格全部采用人民币报价。招标文件未列明，而投标人认为必需的费用也需列入报价。</w:t>
            </w:r>
            <w:r>
              <w:rPr>
                <w:rFonts w:hint="eastAsia" w:ascii="宋体" w:hAnsi="宋体" w:cs="宋体"/>
                <w:b/>
                <w:kern w:val="0"/>
                <w:sz w:val="24"/>
                <w:highlight w:val="none"/>
                <w:lang w:val="zh-CN"/>
              </w:rPr>
              <w:t>提醒：验收时检测费用由采购人承担，不包含在投标总价中。</w:t>
            </w:r>
          </w:p>
          <w:p>
            <w:pPr>
              <w:snapToGrid w:val="0"/>
              <w:spacing w:line="360" w:lineRule="auto"/>
              <w:jc w:val="left"/>
              <w:rPr>
                <w:rFonts w:ascii="宋体" w:hAnsi="宋体" w:cs="宋体"/>
                <w:b/>
                <w:kern w:val="0"/>
                <w:sz w:val="24"/>
                <w:highlight w:val="none"/>
                <w:lang w:val="zh-CN"/>
              </w:rPr>
            </w:pPr>
            <w:r>
              <w:rPr>
                <w:rFonts w:hint="eastAsia" w:ascii="宋体" w:hAnsi="宋体" w:cs="宋体"/>
                <w:b/>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kern w:val="0"/>
                <w:sz w:val="24"/>
                <w:highlight w:val="none"/>
                <w:lang w:val="zh-CN"/>
              </w:rPr>
            </w:pPr>
            <w:r>
              <w:rPr>
                <w:rFonts w:hint="eastAsia" w:ascii="宋体" w:hAnsi="宋体" w:cs="宋体"/>
                <w:b/>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kern w:val="0"/>
                <w:sz w:val="24"/>
                <w:highlight w:val="none"/>
                <w:lang w:val="zh-CN"/>
              </w:rPr>
            </w:pPr>
            <w:r>
              <w:rPr>
                <w:rFonts w:hint="eastAsia" w:ascii="宋体" w:hAnsi="宋体" w:cs="宋体"/>
                <w:b/>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sz w:val="24"/>
                <w:highlight w:val="none"/>
              </w:rPr>
            </w:pPr>
            <w:r>
              <w:rPr>
                <w:rFonts w:hint="eastAsia" w:ascii="宋体" w:hAnsi="宋体" w:cs="宋体"/>
                <w:b/>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highlight w:val="none"/>
              </w:rPr>
              <w:t>;</w:t>
            </w:r>
          </w:p>
          <w:p>
            <w:pPr>
              <w:spacing w:line="360" w:lineRule="auto"/>
              <w:ind w:firstLine="241" w:firstLineChars="100"/>
              <w:rPr>
                <w:rFonts w:ascii="宋体" w:hAnsi="宋体" w:cs="宋体"/>
                <w:sz w:val="24"/>
                <w:highlight w:val="none"/>
              </w:rPr>
            </w:pPr>
            <w:r>
              <w:rPr>
                <w:rFonts w:hint="eastAsia" w:ascii="宋体" w:hAnsi="宋体" w:cs="宋体"/>
                <w:b/>
                <w:kern w:val="0"/>
                <w:sz w:val="24"/>
                <w:highlight w:val="none"/>
              </w:rPr>
              <w:t>投标人对根据修正原则修正后的报价不确认的</w:t>
            </w:r>
            <w:r>
              <w:rPr>
                <w:rFonts w:hint="eastAsia" w:ascii="宋体" w:hAnsi="宋体" w:cs="宋体"/>
                <w:b/>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21"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sz w:val="24"/>
                <w:highlight w:val="none"/>
              </w:rPr>
            </w:pPr>
            <w:r>
              <w:rPr>
                <w:rFonts w:hint="eastAsia" w:ascii="宋体" w:hAnsi="宋体" w:cs="宋体"/>
                <w:snapToGrid w:val="0"/>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r>
              <w:rPr>
                <w:rFonts w:hint="eastAsia" w:ascii="宋体" w:hAnsi="宋体" w:cs="宋体"/>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ascii="宋体" w:hAnsi="宋体" w:cs="宋体"/>
                <w:b/>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2"/>
              <w:spacing w:line="360" w:lineRule="auto"/>
              <w:rPr>
                <w:rFonts w:hAnsi="宋体" w:cs="宋体"/>
                <w:kern w:val="28"/>
                <w:sz w:val="24"/>
                <w:highlight w:val="none"/>
              </w:rPr>
            </w:pPr>
            <w:r>
              <w:rPr>
                <w:rFonts w:hint="eastAsia" w:hAnsi="宋体" w:cs="宋体"/>
                <w:kern w:val="28"/>
                <w:sz w:val="24"/>
                <w:szCs w:val="24"/>
                <w:highlight w:val="none"/>
              </w:rPr>
              <w:t>备份投标文件送达地点：</w:t>
            </w:r>
            <w:r>
              <w:rPr>
                <w:rFonts w:hint="eastAsia" w:hAnsi="宋体" w:cs="宋体"/>
                <w:sz w:val="24"/>
                <w:highlight w:val="none"/>
                <w:u w:val="single"/>
              </w:rPr>
              <w:t xml:space="preserve">杭州市之江路925号临江金座2号楼1010室（杭州市公共资源交易中心政府采购处） </w:t>
            </w:r>
            <w:r>
              <w:rPr>
                <w:rFonts w:hint="eastAsia" w:hAnsi="宋体" w:cs="宋体"/>
                <w:kern w:val="28"/>
                <w:sz w:val="24"/>
                <w:szCs w:val="24"/>
                <w:highlight w:val="none"/>
              </w:rPr>
              <w:t>；备份投标文件签收人员联系电话：</w:t>
            </w:r>
            <w:r>
              <w:rPr>
                <w:rFonts w:hint="eastAsia" w:hAnsi="宋体" w:cs="宋体"/>
                <w:sz w:val="24"/>
                <w:highlight w:val="none"/>
                <w:u w:val="single"/>
              </w:rPr>
              <w:t xml:space="preserve">  0571-87008103</w:t>
            </w:r>
            <w:r>
              <w:rPr>
                <w:rFonts w:hint="eastAsia" w:hAnsi="宋体" w:cs="宋体"/>
                <w:sz w:val="24"/>
                <w:szCs w:val="24"/>
                <w:highlight w:val="none"/>
              </w:rPr>
              <w:t>。</w:t>
            </w:r>
            <w:r>
              <w:rPr>
                <w:rFonts w:hint="eastAsia" w:hAnsi="宋体" w:cs="宋体"/>
                <w:b/>
                <w:sz w:val="24"/>
                <w:szCs w:val="24"/>
                <w:highlight w:val="none"/>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hint="default" w:ascii="宋体" w:hAnsi="宋体" w:eastAsia="宋体" w:cs="宋体"/>
                <w:sz w:val="24"/>
                <w:highlight w:val="none"/>
                <w:lang w:val="en" w:eastAsia="zh-CN"/>
              </w:rPr>
            </w:pPr>
            <w:r>
              <w:rPr>
                <w:rFonts w:hint="eastAsia" w:ascii="宋体" w:hAnsi="宋体" w:cs="宋体"/>
                <w:sz w:val="24"/>
                <w:highlight w:val="none"/>
              </w:rPr>
              <w:t>1</w:t>
            </w:r>
            <w:r>
              <w:rPr>
                <w:rFonts w:hint="default" w:ascii="宋体" w:hAnsi="宋体" w:cs="宋体"/>
                <w:sz w:val="24"/>
                <w:highlight w:val="none"/>
                <w:lang w:val="en" w:eastAsia="zh-CN"/>
              </w:rPr>
              <w:t>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r>
              <w:rPr>
                <w:rFonts w:hint="eastAsia" w:cs="仿宋_GB2312" w:asciiTheme="minorEastAsia" w:hAnsiTheme="minorEastAsia" w:eastAsiaTheme="minorEastAsia"/>
                <w:b/>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r>
              <w:rPr>
                <w:rFonts w:hint="eastAsia" w:ascii="宋体" w:hAnsi="宋体" w:cs="宋体"/>
                <w:snapToGrid w:val="0"/>
                <w:kern w:val="28"/>
                <w:sz w:val="24"/>
                <w:highlight w:val="none"/>
              </w:rPr>
              <w:t>联合体投标的，联合体各方分别提供与联合体协议中规定的分工内容相应的业绩证明材料，业绩数量以提供材料较少的一方为准。招标文件第四部分评分标准有其他规定的，从其规定。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ascii="MS Mincho" w:hAnsi="MS Mincho" w:eastAsia="MS Mincho" w:cs="MS Mincho"/>
                    <w:kern w:val="0"/>
                    <w:sz w:val="24"/>
                    <w:highlight w:val="none"/>
                  </w:rPr>
                  <w:t>☐</w:t>
                </w:r>
              </w:sdtContent>
            </w:sdt>
            <w:r>
              <w:rPr>
                <w:rFonts w:hint="eastAsia" w:ascii="宋体" w:hAnsi="宋体" w:cs="宋体"/>
                <w:snapToGrid w:val="0"/>
                <w:kern w:val="28"/>
                <w:sz w:val="24"/>
                <w:highlight w:val="none"/>
              </w:rPr>
              <w:t>联合体投标的，联合体各方均需按招标文件第四部分评标标准要求提供资信证明文件，否则视为不符合相关要求。招标文件第四部分评分标准有其他规定的，从其规定。</w:t>
            </w:r>
          </w:p>
          <w:p>
            <w:pPr>
              <w:spacing w:line="360" w:lineRule="auto"/>
              <w:rPr>
                <w:rFonts w:ascii="宋体" w:hAnsi="宋体" w:cs="宋体"/>
                <w:snapToGrid w:val="0"/>
                <w:kern w:val="28"/>
                <w:sz w:val="24"/>
                <w:highlight w:val="none"/>
              </w:rPr>
            </w:pPr>
            <w:sdt>
              <w:sdtPr>
                <w:rPr>
                  <w:rFonts w:hint="eastAsia" w:cs="Arial" w:asciiTheme="minorEastAsia" w:hAnsiTheme="minorEastAsia" w:eastAsiaTheme="minorEastAsia"/>
                  <w:kern w:val="0"/>
                  <w:sz w:val="24"/>
                  <w:highlight w:val="none"/>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highlight w:val="none"/>
                </w:rPr>
              </w:sdtEndPr>
              <w:sdtContent>
                <w:r>
                  <w:rPr>
                    <w:rFonts w:hint="eastAsia" w:cs="Arial" w:asciiTheme="minorEastAsia" w:hAnsiTheme="minorEastAsia" w:eastAsiaTheme="minorEastAsia"/>
                    <w:kern w:val="0"/>
                    <w:sz w:val="24"/>
                    <w:highlight w:val="none"/>
                  </w:rPr>
                  <w:sym w:font="Wingdings" w:char="F0FE"/>
                </w:r>
              </w:sdtContent>
            </w:sdt>
            <w:r>
              <w:rPr>
                <w:rFonts w:hint="eastAsia" w:ascii="宋体" w:hAnsi="宋体" w:cs="宋体"/>
                <w:snapToGrid w:val="0"/>
                <w:kern w:val="28"/>
                <w:sz w:val="24"/>
                <w:highlight w:val="none"/>
              </w:rPr>
              <w:t>联合体投标的，联合体中有一方或者联合体成员根据分工按招标文件第四部分评标标准要求提供资信证明文件的，视为符合了相关要求。招标文件第四部分评分标准有其他规定的，从其规定。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eastAsiaTheme="minorEastAsia"/>
                <w:color w:val="auto"/>
                <w:kern w:val="0"/>
                <w:sz w:val="24"/>
                <w:highlight w:val="none"/>
              </w:rPr>
            </w:pPr>
            <w:r>
              <w:rPr>
                <w:rFonts w:hint="eastAsia" w:ascii="宋体" w:hAnsi="宋体" w:cs="Arial"/>
                <w:color w:val="auto"/>
                <w:kern w:val="0"/>
                <w:sz w:val="24"/>
                <w:highlight w:val="none"/>
              </w:rPr>
              <w:t>招标文件第四部分</w:t>
            </w:r>
            <w:r>
              <w:rPr>
                <w:rFonts w:hint="eastAsia" w:cs="Arial" w:asciiTheme="minorEastAsia" w:hAnsiTheme="minorEastAsia" w:eastAsiaTheme="minorEastAsia"/>
                <w:color w:val="auto"/>
                <w:kern w:val="0"/>
                <w:sz w:val="24"/>
                <w:highlight w:val="none"/>
              </w:rPr>
              <w:t>评审因素对应的要求</w:t>
            </w:r>
            <w:r>
              <w:rPr>
                <w:rFonts w:hint="eastAsia" w:ascii="宋体" w:hAnsi="宋体" w:cs="Arial"/>
                <w:color w:val="auto"/>
                <w:kern w:val="0"/>
                <w:sz w:val="24"/>
                <w:highlight w:val="none"/>
              </w:rPr>
              <w:t>及第五部分采购合同的内容</w:t>
            </w:r>
            <w:r>
              <w:rPr>
                <w:rFonts w:hint="eastAsia" w:cs="Arial" w:asciiTheme="minorEastAsia" w:hAnsiTheme="minorEastAsia" w:eastAsiaTheme="minorEastAsia"/>
                <w:color w:val="auto"/>
                <w:kern w:val="0"/>
                <w:sz w:val="24"/>
                <w:highlight w:val="none"/>
              </w:rPr>
              <w:t>视为采购需求的一部分。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color w:val="auto"/>
                <w:kern w:val="0"/>
                <w:sz w:val="24"/>
                <w:highlight w:val="none"/>
                <w:lang w:val="en" w:eastAsia="zh-CN"/>
              </w:rPr>
            </w:pPr>
            <w:r>
              <w:rPr>
                <w:rFonts w:hint="eastAsia" w:ascii="宋体" w:hAnsi="宋体" w:cs="宋体"/>
                <w:color w:val="auto"/>
                <w:kern w:val="0"/>
                <w:sz w:val="24"/>
                <w:highlight w:val="none"/>
                <w:lang w:val="en" w:eastAsia="zh-CN"/>
              </w:rPr>
              <w:t>本项目评审报告推荐的中标候选人数量：</w:t>
            </w:r>
            <w:r>
              <w:rPr>
                <w:rFonts w:hint="eastAsia" w:ascii="宋体" w:hAnsi="宋体" w:cs="宋体"/>
                <w:color w:val="auto"/>
                <w:kern w:val="0"/>
                <w:sz w:val="24"/>
                <w:highlight w:val="none"/>
                <w:u w:val="single"/>
                <w:lang w:val="en-US" w:eastAsia="zh-CN"/>
              </w:rPr>
              <w:t xml:space="preserve">    1    </w:t>
            </w:r>
            <w:r>
              <w:rPr>
                <w:rFonts w:hint="eastAsia" w:ascii="宋体" w:hAnsi="宋体" w:cs="宋体"/>
                <w:color w:val="auto"/>
                <w:kern w:val="0"/>
                <w:sz w:val="24"/>
                <w:highlight w:val="none"/>
                <w:lang w:val="en" w:eastAsia="zh-CN"/>
              </w:rPr>
              <w:t>。</w:t>
            </w:r>
          </w:p>
        </w:tc>
      </w:tr>
    </w:tbl>
    <w:p>
      <w:pPr>
        <w:snapToGrid w:val="0"/>
        <w:spacing w:line="360" w:lineRule="auto"/>
        <w:jc w:val="center"/>
        <w:rPr>
          <w:rFonts w:ascii="宋体" w:hAnsi="宋体" w:cs="宋体"/>
          <w:b/>
          <w:sz w:val="32"/>
          <w:szCs w:val="20"/>
          <w:highlight w:val="none"/>
        </w:rPr>
      </w:pPr>
    </w:p>
    <w:bookmarkEnd w:id="10"/>
    <w:p>
      <w:pPr>
        <w:adjustRightInd/>
        <w:spacing w:line="360" w:lineRule="auto"/>
        <w:ind w:firstLine="3845" w:firstLineChars="1197"/>
        <w:outlineLvl w:val="0"/>
        <w:rPr>
          <w:rFonts w:ascii="宋体" w:hAnsi="宋体" w:cs="宋体"/>
          <w:b/>
          <w:sz w:val="32"/>
          <w:szCs w:val="20"/>
          <w:highlight w:val="none"/>
        </w:rPr>
      </w:pPr>
      <w:bookmarkStart w:id="11" w:name="第三部分"/>
      <w:bookmarkStart w:id="12" w:name="_Toc164416483"/>
      <w:r>
        <w:rPr>
          <w:rFonts w:hint="eastAsia" w:ascii="宋体" w:hAnsi="宋体" w:cs="宋体"/>
          <w:b/>
          <w:sz w:val="32"/>
          <w:szCs w:val="20"/>
          <w:highlight w:val="none"/>
        </w:rPr>
        <w:t>一、总则</w:t>
      </w:r>
    </w:p>
    <w:p>
      <w:pPr>
        <w:snapToGrid w:val="0"/>
        <w:spacing w:line="360" w:lineRule="auto"/>
        <w:ind w:firstLine="361" w:firstLineChars="150"/>
        <w:jc w:val="left"/>
        <w:outlineLvl w:val="1"/>
        <w:rPr>
          <w:rFonts w:ascii="宋体" w:hAnsi="宋体" w:cs="宋体"/>
          <w:b/>
          <w:sz w:val="24"/>
          <w:highlight w:val="none"/>
        </w:rPr>
      </w:pPr>
      <w:r>
        <w:rPr>
          <w:rFonts w:hint="eastAsia" w:ascii="宋体" w:hAnsi="宋体" w:cs="宋体"/>
          <w:b/>
          <w:sz w:val="24"/>
          <w:highlight w:val="none"/>
        </w:rPr>
        <w:t>1. 适用范围</w:t>
      </w:r>
    </w:p>
    <w:p>
      <w:pPr>
        <w:snapToGrid w:val="0"/>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highlight w:val="none"/>
        </w:rPr>
      </w:pPr>
      <w:r>
        <w:rPr>
          <w:rFonts w:hint="eastAsia" w:ascii="宋体" w:hAnsi="宋体" w:cs="宋体"/>
          <w:b/>
          <w:sz w:val="24"/>
          <w:highlight w:val="none"/>
        </w:rPr>
        <w:t xml:space="preserve">   2.定义</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2.1 “采购人”系指招标公告中载明的本项目的采购人。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2.2 “采购机构”系指招标公告中载明的本项目的采购机构。</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2.3 “投标人”系指是指响应招标、参加投标竞争的法人、其他组织或者自然人。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2.6“电子交易平台”是指本项目政府采购活动所依托的政府采购云平台（https://www.zcygov.cn/）。</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2.7 “▲” 系指实质性要求条款，“</w:t>
      </w:r>
      <w:sdt>
        <w:sdtPr>
          <w:rPr>
            <w:rFonts w:hint="eastAsia" w:ascii="宋体" w:hAnsi="宋体" w:cs="宋体"/>
            <w:kern w:val="0"/>
            <w:sz w:val="24"/>
            <w:highlight w:val="none"/>
          </w:rPr>
          <w:id w:val="512970236"/>
          <w14:checkbox>
            <w14:checked w14:val="1"/>
            <w14:checkedState w14:val="00FE" w14:font="Wingdings"/>
            <w14:uncheckedState w14:val="2610" w14:font="MS Gothic"/>
          </w14:checkbox>
        </w:sdtPr>
        <w:sdtEndPr>
          <w:rPr>
            <w:rFonts w:hint="eastAsia" w:ascii="宋体" w:hAnsi="宋体" w:cs="宋体"/>
            <w:kern w:val="0"/>
            <w:sz w:val="24"/>
            <w:highlight w:val="none"/>
          </w:rPr>
        </w:sdtEndPr>
        <w:sdtContent>
          <w:r>
            <w:rPr>
              <w:rFonts w:ascii="Wingdings" w:hAnsi="Wingdings" w:cs="宋体"/>
              <w:kern w:val="0"/>
              <w:sz w:val="24"/>
              <w:highlight w:val="none"/>
            </w:rPr>
            <w:t></w:t>
          </w:r>
        </w:sdtContent>
      </w:sdt>
      <w:r>
        <w:rPr>
          <w:rFonts w:hint="eastAsia" w:ascii="宋体" w:hAnsi="宋体" w:cs="宋体"/>
          <w:sz w:val="24"/>
          <w:highlight w:val="none"/>
        </w:rPr>
        <w:t>” 系指适用本项目的要求，“</w:t>
      </w:r>
      <w:sdt>
        <w:sdtPr>
          <w:rPr>
            <w:rFonts w:hint="eastAsia" w:ascii="宋体" w:hAnsi="宋体" w:cs="宋体"/>
            <w:kern w:val="0"/>
            <w:sz w:val="24"/>
            <w:highlight w:val="none"/>
          </w:rPr>
          <w:id w:val="404888855"/>
          <w14:checkbox>
            <w14:checked w14:val="0"/>
            <w14:checkedState w14:val="00FE" w14:font="Wingdings"/>
            <w14:uncheckedState w14:val="2610" w14:font="MS Gothic"/>
          </w14:checkbox>
        </w:sdtPr>
        <w:sdtEndPr>
          <w:rPr>
            <w:rFonts w:hint="eastAsia" w:ascii="宋体" w:hAnsi="宋体" w:cs="宋体"/>
            <w:kern w:val="0"/>
            <w:sz w:val="24"/>
            <w:highlight w:val="none"/>
          </w:rPr>
        </w:sdtEndPr>
        <w:sdtContent>
          <w:r>
            <w:rPr>
              <w:rFonts w:hint="eastAsia" w:ascii="宋体" w:hAnsi="宋体" w:cs="宋体"/>
              <w:kern w:val="0"/>
              <w:sz w:val="24"/>
              <w:highlight w:val="none"/>
            </w:rPr>
            <w:t>☐</w:t>
          </w:r>
        </w:sdtContent>
      </w:sdt>
      <w:r>
        <w:rPr>
          <w:rFonts w:hint="eastAsia" w:ascii="宋体" w:hAnsi="宋体" w:cs="宋体"/>
          <w:sz w:val="24"/>
          <w:highlight w:val="none"/>
        </w:rPr>
        <w:t>” 系指不适用本项目的要求。</w:t>
      </w:r>
    </w:p>
    <w:p>
      <w:pPr>
        <w:spacing w:line="360" w:lineRule="auto"/>
        <w:ind w:firstLine="241" w:firstLineChars="100"/>
        <w:rPr>
          <w:rFonts w:ascii="宋体" w:hAnsi="宋体" w:cs="宋体"/>
          <w:b/>
          <w:sz w:val="24"/>
          <w:highlight w:val="none"/>
        </w:rPr>
      </w:pPr>
      <w:r>
        <w:rPr>
          <w:rFonts w:hint="eastAsia" w:ascii="宋体" w:hAnsi="宋体" w:cs="宋体"/>
          <w:b/>
          <w:sz w:val="24"/>
          <w:highlight w:val="none"/>
        </w:rPr>
        <w:t>3.</w:t>
      </w:r>
      <w:r>
        <w:rPr>
          <w:rFonts w:hint="eastAsia" w:ascii="宋体" w:hAnsi="宋体" w:cs="宋体"/>
          <w:highlight w:val="none"/>
        </w:rPr>
        <w:t xml:space="preserve"> </w:t>
      </w:r>
      <w:r>
        <w:rPr>
          <w:rFonts w:hint="eastAsia" w:ascii="宋体" w:hAnsi="宋体" w:cs="宋体"/>
          <w:b/>
          <w:sz w:val="24"/>
          <w:highlight w:val="none"/>
        </w:rPr>
        <w:t>采购项目需要落实的政府采购政策</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r>
        <w:rPr>
          <w:rFonts w:hint="eastAsia" w:ascii="宋体" w:hAnsi="宋体" w:cs="宋体"/>
          <w:kern w:val="0"/>
          <w:sz w:val="24"/>
          <w:highlight w:val="none"/>
        </w:rPr>
        <w:t>优先采购向我国企业转让技术、与我国企业签订消化吸收再创新方案的供应商的进口产品</w:t>
      </w:r>
      <w:r>
        <w:rPr>
          <w:rFonts w:hint="eastAsia" w:ascii="宋体" w:hAnsi="宋体" w:cs="宋体"/>
          <w:sz w:val="24"/>
          <w:highlight w:val="none"/>
        </w:rPr>
        <w:t>。</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3.2 支持绿色发展</w:t>
      </w:r>
    </w:p>
    <w:p>
      <w:pPr>
        <w:spacing w:line="360" w:lineRule="auto"/>
        <w:ind w:firstLine="480" w:firstLineChars="200"/>
        <w:rPr>
          <w:rFonts w:ascii="宋体" w:hAnsi="宋体" w:cs="宋体"/>
          <w:b/>
          <w:sz w:val="24"/>
          <w:highlight w:val="none"/>
        </w:rPr>
      </w:pPr>
      <w:r>
        <w:rPr>
          <w:rFonts w:hint="eastAsia" w:ascii="宋体" w:hAnsi="宋体" w:cs="宋体"/>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优先采购绿色包装产品、绿色物流配送服务以及循环利用产品。</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3.3支持中小企业发展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kern w:val="0"/>
          <w:sz w:val="24"/>
          <w:highlight w:val="none"/>
        </w:rPr>
      </w:pPr>
      <w:r>
        <w:rPr>
          <w:rFonts w:ascii="宋体" w:hAnsi="宋体" w:cs="宋体"/>
          <w:bCs/>
          <w:sz w:val="24"/>
          <w:highlight w:val="none"/>
        </w:rPr>
        <w:t>3.3.2</w:t>
      </w:r>
      <w:r>
        <w:rPr>
          <w:rFonts w:hint="eastAsia" w:ascii="宋体" w:hAnsi="宋体" w:cs="宋体"/>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3.3.3对于未预留份额专门面向中小企业的政府采购服务项目，以及预留份额政府采购服务项目中的非预留部分标项，对小型和微型企业的投标报价给予10%-</w:t>
      </w:r>
      <w:r>
        <w:rPr>
          <w:rFonts w:ascii="宋体" w:hAnsi="宋体" w:cs="宋体"/>
          <w:sz w:val="24"/>
          <w:highlight w:val="none"/>
        </w:rPr>
        <w:t>20</w:t>
      </w:r>
      <w:r>
        <w:rPr>
          <w:rFonts w:hint="eastAsia" w:ascii="宋体" w:hAnsi="宋体" w:cs="宋体"/>
          <w:sz w:val="24"/>
          <w:highlight w:val="none"/>
        </w:rPr>
        <w:t>%（</w:t>
      </w:r>
      <w:r>
        <w:rPr>
          <w:rFonts w:hint="eastAsia" w:ascii="宋体" w:hAnsi="宋体" w:cs="宋体"/>
          <w:snapToGrid w:val="0"/>
          <w:kern w:val="28"/>
          <w:sz w:val="24"/>
          <w:highlight w:val="none"/>
        </w:rPr>
        <w:t>招标文件第四部分</w:t>
      </w:r>
      <w:r>
        <w:rPr>
          <w:rFonts w:hint="eastAsia" w:ascii="宋体" w:hAnsi="宋体" w:cs="宋体"/>
          <w:sz w:val="24"/>
          <w:highlight w:val="none"/>
        </w:rPr>
        <w:t>评标办法明确具体的扣除比例，未明确的，给予</w:t>
      </w:r>
      <w:r>
        <w:rPr>
          <w:rFonts w:ascii="宋体" w:hAnsi="宋体" w:cs="宋体"/>
          <w:sz w:val="24"/>
          <w:highlight w:val="none"/>
        </w:rPr>
        <w:t>20</w:t>
      </w:r>
      <w:r>
        <w:rPr>
          <w:rFonts w:hint="eastAsia" w:ascii="宋体" w:hAnsi="宋体" w:cs="宋体"/>
          <w:sz w:val="24"/>
          <w:highlight w:val="none"/>
        </w:rPr>
        <w:t>%的扣除）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sz w:val="24"/>
          <w:highlight w:val="none"/>
        </w:rPr>
        <w:t>6</w:t>
      </w:r>
      <w:r>
        <w:rPr>
          <w:rFonts w:hint="eastAsia" w:ascii="宋体" w:hAnsi="宋体" w:cs="宋体"/>
          <w:sz w:val="24"/>
          <w:highlight w:val="none"/>
        </w:rPr>
        <w:t>%（</w:t>
      </w:r>
      <w:r>
        <w:rPr>
          <w:rFonts w:hint="eastAsia" w:ascii="宋体" w:hAnsi="宋体" w:cs="宋体"/>
          <w:snapToGrid w:val="0"/>
          <w:kern w:val="28"/>
          <w:sz w:val="24"/>
          <w:highlight w:val="none"/>
        </w:rPr>
        <w:t>招标文件第四部分</w:t>
      </w:r>
      <w:r>
        <w:rPr>
          <w:rFonts w:hint="eastAsia" w:ascii="宋体" w:hAnsi="宋体" w:cs="宋体"/>
          <w:sz w:val="24"/>
          <w:highlight w:val="none"/>
        </w:rPr>
        <w:t>评标办法明确具体的扣除比例，未明确的，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highlight w:val="none"/>
        </w:rPr>
      </w:pPr>
      <w:r>
        <w:rPr>
          <w:rFonts w:hint="eastAsia" w:ascii="宋体" w:hAnsi="宋体" w:cs="宋体"/>
          <w:sz w:val="24"/>
          <w:highlight w:val="none"/>
        </w:rPr>
        <w:t>3.4</w:t>
      </w:r>
      <w:r>
        <w:rPr>
          <w:rFonts w:hint="eastAsia" w:ascii="宋体" w:hAnsi="宋体" w:cs="宋体"/>
          <w:bCs/>
          <w:sz w:val="24"/>
          <w:highlight w:val="none"/>
        </w:rPr>
        <w:t>支持创新发展</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sz w:val="24"/>
          <w:highlight w:val="none"/>
        </w:rPr>
        <w:t>3.4.2首台套产品被纳入《首台套产品推广应用指导目录》之日起</w:t>
      </w:r>
      <w:r>
        <w:rPr>
          <w:rFonts w:ascii="宋体" w:hAnsi="宋体" w:cs="宋体"/>
          <w:sz w:val="24"/>
          <w:highlight w:val="none"/>
        </w:rPr>
        <w:t>3</w:t>
      </w:r>
      <w:r>
        <w:rPr>
          <w:rFonts w:hint="eastAsia" w:ascii="宋体" w:hAnsi="宋体" w:cs="宋体"/>
          <w:sz w:val="24"/>
          <w:highlight w:val="none"/>
        </w:rPr>
        <w:t>年内，以及产品核心技术高于国内领先水平，并具</w:t>
      </w:r>
      <w:r>
        <w:rPr>
          <w:rFonts w:hint="eastAsia" w:ascii="宋体" w:hAnsi="宋体" w:cs="宋体"/>
          <w:color w:val="auto"/>
          <w:sz w:val="24"/>
          <w:highlight w:val="none"/>
        </w:rPr>
        <w:t>有明晰自主知识产权的“制造精品”产品，自认定之日起2年内视同已具备相应销售业绩，参加政府采购活动时业绩分值为满分。</w:t>
      </w:r>
    </w:p>
    <w:p>
      <w:pPr>
        <w:spacing w:line="360" w:lineRule="auto"/>
        <w:ind w:left="239" w:leftChars="114" w:firstLine="240" w:firstLineChars="100"/>
        <w:rPr>
          <w:rFonts w:ascii="宋体" w:hAnsi="宋体" w:cs="宋体"/>
          <w:color w:val="auto"/>
          <w:sz w:val="24"/>
          <w:highlight w:val="none"/>
        </w:rPr>
      </w:pPr>
      <w:r>
        <w:rPr>
          <w:rFonts w:hint="eastAsia" w:ascii="宋体" w:hAnsi="宋体" w:eastAsia="宋体" w:cs="仿宋"/>
          <w:b w:val="0"/>
          <w:bCs w:val="0"/>
          <w:color w:val="auto"/>
          <w:sz w:val="24"/>
          <w:szCs w:val="24"/>
          <w:lang w:val="en-US"/>
        </w:rPr>
        <w:t xml:space="preserve">3.4.3 </w:t>
      </w:r>
      <w:r>
        <w:rPr>
          <w:rFonts w:hint="eastAsia" w:ascii="宋体" w:hAnsi="宋体" w:eastAsia="宋体" w:cs="仿宋"/>
          <w:b w:val="0"/>
          <w:bCs w:val="0"/>
          <w:color w:val="auto"/>
          <w:sz w:val="24"/>
          <w:szCs w:val="24"/>
          <w:lang w:val="en-US" w:eastAsia="zh-CN"/>
        </w:rPr>
        <w:t>采购人应当贯彻落实知识产权保护相关法律法规，</w:t>
      </w:r>
      <w:r>
        <w:rPr>
          <w:rFonts w:hint="eastAsia" w:ascii="宋体" w:hAnsi="宋体" w:eastAsia="宋体" w:cs="仿宋"/>
          <w:b w:val="0"/>
          <w:bCs w:val="0"/>
          <w:color w:val="auto"/>
          <w:sz w:val="24"/>
          <w:szCs w:val="24"/>
          <w:lang w:val="en-US"/>
        </w:rPr>
        <w:t>应当采购使用正版软件。</w:t>
      </w: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r>
        <w:rPr>
          <w:rFonts w:hint="eastAsia" w:ascii="宋体" w:hAnsi="宋体" w:cs="仿宋"/>
          <w:b/>
          <w:bCs/>
          <w:color w:val="auto"/>
          <w:sz w:val="24"/>
        </w:rPr>
        <w:t>、补偿救济</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4.2供应商询问</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kern w:val="0"/>
          <w:sz w:val="24"/>
          <w:highlight w:val="none"/>
          <w:lang w:val="zh-CN"/>
        </w:rPr>
      </w:pPr>
      <w:r>
        <w:rPr>
          <w:rFonts w:hint="eastAsia" w:ascii="宋体" w:hAnsi="宋体" w:cs="宋体"/>
          <w:kern w:val="0"/>
          <w:sz w:val="24"/>
          <w:highlight w:val="none"/>
          <w:lang w:val="zh-CN"/>
        </w:rPr>
        <w:t>4.3供应商质疑</w:t>
      </w:r>
    </w:p>
    <w:p>
      <w:pPr>
        <w:pStyle w:val="32"/>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sz w:val="24"/>
          <w:highlight w:val="none"/>
        </w:rPr>
      </w:pPr>
      <w:r>
        <w:rPr>
          <w:rFonts w:hint="eastAsia" w:hAnsi="宋体" w:cs="宋体"/>
          <w:kern w:val="0"/>
          <w:sz w:val="24"/>
          <w:highlight w:val="none"/>
          <w:lang w:val="zh-CN"/>
        </w:rPr>
        <w:t>4.3</w:t>
      </w:r>
      <w:r>
        <w:rPr>
          <w:rFonts w:hint="eastAsia" w:hAnsi="宋体" w:cs="宋体"/>
          <w:sz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sz w:val="24"/>
          <w:highlight w:val="none"/>
        </w:rPr>
      </w:pPr>
      <w:r>
        <w:rPr>
          <w:rFonts w:hint="eastAsia" w:hAnsi="宋体" w:cs="宋体"/>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4.3.3</w:t>
      </w:r>
      <w:r>
        <w:rPr>
          <w:rFonts w:hint="eastAsia" w:hAnsi="宋体" w:cs="宋体"/>
          <w:sz w:val="24"/>
          <w:highlight w:val="none"/>
        </w:rPr>
        <w:t>供应商提出质疑应当提交质疑函和必要的证明材料。质疑函应当包括下列内容：</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4.3.3.1供应商的姓名或者名称、地址、邮编、联系人及联系电话；</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4.3.3.2质疑项目的名称、编号；</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4.3.3.3具体、明确的质疑事项和与质疑事项相关的请求；</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4.3.3.4事实依据；</w:t>
      </w:r>
    </w:p>
    <w:p>
      <w:pPr>
        <w:pStyle w:val="32"/>
        <w:spacing w:line="360" w:lineRule="auto"/>
        <w:ind w:firstLine="480" w:firstLineChars="200"/>
        <w:rPr>
          <w:rFonts w:hAnsi="宋体" w:cs="宋体"/>
          <w:kern w:val="0"/>
          <w:sz w:val="24"/>
          <w:highlight w:val="none"/>
          <w:lang w:val="zh-CN"/>
        </w:rPr>
      </w:pPr>
      <w:r>
        <w:rPr>
          <w:rFonts w:hint="eastAsia" w:hAnsi="宋体" w:cs="宋体"/>
          <w:kern w:val="0"/>
          <w:sz w:val="24"/>
          <w:highlight w:val="none"/>
          <w:lang w:val="zh-CN"/>
        </w:rPr>
        <w:t>　　4.3.3.5必要的法律依据；</w:t>
      </w:r>
    </w:p>
    <w:p>
      <w:pPr>
        <w:pStyle w:val="32"/>
        <w:spacing w:line="360" w:lineRule="auto"/>
        <w:ind w:firstLine="960" w:firstLineChars="400"/>
        <w:rPr>
          <w:rFonts w:hAnsi="宋体" w:cs="宋体"/>
          <w:kern w:val="0"/>
          <w:sz w:val="24"/>
          <w:highlight w:val="none"/>
          <w:lang w:val="zh-CN"/>
        </w:rPr>
      </w:pPr>
      <w:r>
        <w:rPr>
          <w:rFonts w:hint="eastAsia" w:hAnsi="宋体" w:cs="宋体"/>
          <w:kern w:val="0"/>
          <w:sz w:val="24"/>
          <w:highlight w:val="none"/>
          <w:lang w:val="zh-CN"/>
        </w:rPr>
        <w:t>4.3.3.6提出质疑的日期。</w:t>
      </w:r>
    </w:p>
    <w:p>
      <w:pPr>
        <w:pStyle w:val="889"/>
        <w:shd w:val="clear" w:color="auto" w:fill="FFFFFF"/>
        <w:snapToGrid w:val="0"/>
        <w:spacing w:after="240" w:afterAutospacing="0" w:line="360" w:lineRule="auto"/>
        <w:ind w:firstLine="400"/>
        <w:contextualSpacing/>
        <w:rPr>
          <w:highlight w:val="none"/>
        </w:rPr>
      </w:pPr>
      <w:r>
        <w:rPr>
          <w:rFonts w:hint="eastAsia"/>
          <w:highlight w:val="none"/>
        </w:rPr>
        <w:t>供应商提交的质疑函需一式三份。供应商为自然人的，应当由本人签字；供应商为法人或者其他组织的，应当由法定代表人、主要负责人，或者其授权代表签字或者盖章，并加盖公章。</w:t>
      </w:r>
    </w:p>
    <w:p>
      <w:pPr>
        <w:pStyle w:val="889"/>
        <w:shd w:val="clear" w:color="auto" w:fill="FFFFFF"/>
        <w:snapToGrid w:val="0"/>
        <w:spacing w:after="240" w:afterAutospacing="0" w:line="360" w:lineRule="auto"/>
        <w:ind w:firstLine="400"/>
        <w:contextualSpacing/>
        <w:rPr>
          <w:highlight w:val="none"/>
        </w:rPr>
      </w:pPr>
      <w:r>
        <w:rPr>
          <w:rFonts w:hint="eastAsia"/>
          <w:highlight w:val="none"/>
        </w:rPr>
        <w:t>质疑函范本及制作说明详见附件2。</w:t>
      </w:r>
    </w:p>
    <w:p>
      <w:pPr>
        <w:pStyle w:val="889"/>
        <w:shd w:val="clear" w:color="auto" w:fill="FFFFFF"/>
        <w:snapToGrid w:val="0"/>
        <w:spacing w:after="240" w:afterAutospacing="0" w:line="360" w:lineRule="auto"/>
        <w:ind w:firstLine="400"/>
        <w:contextualSpacing/>
        <w:rPr>
          <w:highlight w:val="none"/>
        </w:rPr>
      </w:pPr>
      <w:r>
        <w:rPr>
          <w:rFonts w:hint="eastAsia"/>
          <w:highlight w:val="none"/>
        </w:rPr>
        <w:t>4.3.4对同一采购程序环节的质疑，供应商须在法定质疑期内一次性提出。</w:t>
      </w:r>
    </w:p>
    <w:p>
      <w:pPr>
        <w:pStyle w:val="889"/>
        <w:shd w:val="clear" w:color="auto" w:fill="FFFFFF"/>
        <w:snapToGrid w:val="0"/>
        <w:spacing w:after="240" w:afterAutospacing="0" w:line="360" w:lineRule="auto"/>
        <w:ind w:firstLine="400"/>
        <w:contextualSpacing/>
        <w:rPr>
          <w:rFonts w:hint="eastAsia"/>
          <w:highlight w:val="none"/>
        </w:rPr>
      </w:pPr>
      <w:r>
        <w:rPr>
          <w:rFonts w:hint="eastAsia"/>
          <w:highlight w:val="none"/>
          <w:lang w:val="zh-CN"/>
        </w:rPr>
        <w:t>4.3</w:t>
      </w:r>
      <w:r>
        <w:rPr>
          <w:rFonts w:hint="eastAsia"/>
          <w:highlight w:val="none"/>
        </w:rPr>
        <w:t>.5采购人或者采购机构应当</w:t>
      </w:r>
      <w:r>
        <w:rPr>
          <w:rFonts w:hint="eastAsia"/>
          <w:highlight w:val="none"/>
          <w:lang w:val="en-US" w:eastAsia="zh-CN"/>
        </w:rPr>
        <w:t>根据</w:t>
      </w:r>
      <w:r>
        <w:rPr>
          <w:rFonts w:hint="eastAsia" w:asciiTheme="minorEastAsia" w:hAnsiTheme="minorEastAsia" w:eastAsiaTheme="minorEastAsia"/>
          <w:sz w:val="24"/>
        </w:rPr>
        <w:t>《杭州市集中采购委托协议》的</w:t>
      </w:r>
      <w:r>
        <w:rPr>
          <w:rFonts w:hint="eastAsia" w:asciiTheme="minorEastAsia" w:hAnsiTheme="minorEastAsia" w:eastAsiaTheme="minorEastAsia"/>
          <w:sz w:val="24"/>
          <w:lang w:val="en-US" w:eastAsia="zh-CN"/>
        </w:rPr>
        <w:t>约定，</w:t>
      </w:r>
      <w:r>
        <w:rPr>
          <w:rFonts w:hint="eastAsia"/>
          <w:highlight w:val="none"/>
        </w:rPr>
        <w:t>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889"/>
        <w:shd w:val="clear" w:color="auto" w:fill="FFFFFF"/>
        <w:snapToGrid w:val="0"/>
        <w:spacing w:after="240" w:line="360" w:lineRule="auto"/>
        <w:ind w:firstLine="400"/>
        <w:contextualSpacing/>
        <w:rPr>
          <w:rFonts w:hint="eastAsia" w:ascii="宋体" w:hAnsi="宋体" w:eastAsia="宋体"/>
          <w:sz w:val="24"/>
          <w:highlight w:val="none"/>
        </w:rPr>
      </w:pPr>
      <w:r>
        <w:rPr>
          <w:rFonts w:hint="eastAsia" w:ascii="宋体" w:hAnsi="宋体" w:eastAsia="宋体"/>
          <w:sz w:val="24"/>
          <w:highlight w:val="none"/>
        </w:rPr>
        <w:t>根据采购人与采购机构签订的《杭州市集中采购委托协议》的</w:t>
      </w:r>
      <w:r>
        <w:rPr>
          <w:rFonts w:hint="eastAsia"/>
          <w:sz w:val="24"/>
          <w:highlight w:val="none"/>
          <w:lang w:val="en-US" w:eastAsia="zh-CN"/>
        </w:rPr>
        <w:t>约</w:t>
      </w:r>
      <w:r>
        <w:rPr>
          <w:rFonts w:hint="eastAsia" w:ascii="宋体" w:hAnsi="宋体" w:eastAsia="宋体"/>
          <w:sz w:val="24"/>
          <w:highlight w:val="none"/>
        </w:rPr>
        <w:t>定，质疑答复责任主体如下：</w:t>
      </w:r>
    </w:p>
    <w:p>
      <w:pPr>
        <w:widowControl/>
        <w:adjustRightInd/>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质疑答复责任主体一览表</w:t>
      </w: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7054" w:type="dxa"/>
            <w:gridSpan w:val="2"/>
            <w:vAlign w:val="center"/>
          </w:tcPr>
          <w:p>
            <w:pPr>
              <w:pStyle w:val="32"/>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质疑内容</w:t>
            </w:r>
          </w:p>
        </w:tc>
        <w:tc>
          <w:tcPr>
            <w:tcW w:w="2232" w:type="dxa"/>
            <w:vAlign w:val="center"/>
          </w:tcPr>
          <w:p>
            <w:pPr>
              <w:pStyle w:val="32"/>
              <w:spacing w:line="360" w:lineRule="auto"/>
              <w:jc w:val="center"/>
              <w:rPr>
                <w:rFonts w:asciiTheme="minorEastAsia" w:hAnsiTheme="minorEastAsia" w:eastAsiaTheme="minorEastAsia"/>
                <w:b/>
                <w:bCs/>
                <w:sz w:val="24"/>
              </w:rPr>
            </w:pPr>
            <w:r>
              <w:rPr>
                <w:rFonts w:hint="eastAsia" w:asciiTheme="minorEastAsia" w:hAnsiTheme="minorEastAsia" w:eastAsiaTheme="minorEastAsia"/>
                <w:b/>
                <w:bCs/>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对采购文件提出质疑</w:t>
            </w:r>
          </w:p>
        </w:tc>
        <w:tc>
          <w:tcPr>
            <w:tcW w:w="4536" w:type="dxa"/>
            <w:vAlign w:val="center"/>
          </w:tcPr>
          <w:p>
            <w:pPr>
              <w:pStyle w:val="32"/>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w:t>
            </w:r>
            <w:r>
              <w:rPr>
                <w:rFonts w:hint="eastAsia" w:asciiTheme="minorEastAsia" w:hAnsiTheme="minorEastAsia" w:eastAsiaTheme="minorEastAsia"/>
                <w:sz w:val="24"/>
                <w:szCs w:val="21"/>
              </w:rPr>
              <w:t>“申请人的资格要求”、“采购需求”、“评审办法”、“采购合同的主要条款”、“采购文件前附表内容”、“报价内容”</w:t>
            </w:r>
            <w:r>
              <w:rPr>
                <w:rFonts w:hint="eastAsia" w:asciiTheme="minorEastAsia" w:hAnsiTheme="minorEastAsia" w:eastAsiaTheme="minorEastAsia"/>
                <w:sz w:val="24"/>
              </w:rPr>
              <w:t>的质疑</w:t>
            </w:r>
          </w:p>
        </w:tc>
        <w:tc>
          <w:tcPr>
            <w:tcW w:w="2232" w:type="dxa"/>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2"/>
              <w:spacing w:line="360" w:lineRule="auto"/>
              <w:jc w:val="center"/>
              <w:rPr>
                <w:rFonts w:asciiTheme="minorEastAsia" w:hAnsiTheme="minorEastAsia" w:eastAsiaTheme="minorEastAsia"/>
                <w:sz w:val="24"/>
              </w:rPr>
            </w:pPr>
          </w:p>
        </w:tc>
        <w:tc>
          <w:tcPr>
            <w:tcW w:w="4536" w:type="dxa"/>
            <w:vAlign w:val="center"/>
          </w:tcPr>
          <w:p>
            <w:pPr>
              <w:pStyle w:val="32"/>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对采购文件中其他内容提出的质疑</w:t>
            </w:r>
          </w:p>
        </w:tc>
        <w:tc>
          <w:tcPr>
            <w:tcW w:w="2232" w:type="dxa"/>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对采购过程</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采购结果</w:t>
            </w:r>
            <w:r>
              <w:rPr>
                <w:rFonts w:hint="eastAsia" w:asciiTheme="minorEastAsia" w:hAnsiTheme="minorEastAsia" w:eastAsiaTheme="minorEastAsia"/>
                <w:sz w:val="24"/>
              </w:rPr>
              <w:t>提出质疑</w:t>
            </w:r>
          </w:p>
        </w:tc>
        <w:tc>
          <w:tcPr>
            <w:tcW w:w="4536" w:type="dxa"/>
            <w:vAlign w:val="center"/>
          </w:tcPr>
          <w:p>
            <w:pPr>
              <w:pStyle w:val="32"/>
              <w:spacing w:line="360" w:lineRule="auto"/>
              <w:jc w:val="left"/>
              <w:rPr>
                <w:rFonts w:asciiTheme="minorEastAsia" w:hAnsiTheme="minorEastAsia" w:eastAsiaTheme="minorEastAsia"/>
                <w:sz w:val="24"/>
              </w:rPr>
            </w:pPr>
            <w:r>
              <w:rPr>
                <w:rFonts w:hint="eastAsia" w:asciiTheme="minorEastAsia" w:hAnsiTheme="minorEastAsia" w:eastAsiaTheme="minorEastAsia"/>
                <w:sz w:val="24"/>
                <w:szCs w:val="21"/>
              </w:rPr>
              <w:t>对“现场考察、答疑会”、 “甲方负责接收和保存的样品” 、“资格审查”等由</w:t>
            </w:r>
            <w:r>
              <w:rPr>
                <w:rFonts w:hint="eastAsia" w:asciiTheme="minorEastAsia" w:hAnsiTheme="minorEastAsia" w:eastAsiaTheme="minorEastAsia"/>
                <w:sz w:val="24"/>
                <w:szCs w:val="21"/>
                <w:lang w:val="en-US" w:eastAsia="zh-CN"/>
              </w:rPr>
              <w:t>采购人</w:t>
            </w:r>
            <w:r>
              <w:rPr>
                <w:rFonts w:hint="eastAsia" w:asciiTheme="minorEastAsia" w:hAnsiTheme="minorEastAsia" w:eastAsiaTheme="minorEastAsia"/>
                <w:sz w:val="24"/>
                <w:szCs w:val="21"/>
              </w:rPr>
              <w:t>负责组织的环节的质疑</w:t>
            </w:r>
          </w:p>
        </w:tc>
        <w:tc>
          <w:tcPr>
            <w:tcW w:w="2232" w:type="dxa"/>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2518" w:type="dxa"/>
            <w:vMerge w:val="continue"/>
            <w:vAlign w:val="center"/>
          </w:tcPr>
          <w:p>
            <w:pPr>
              <w:pStyle w:val="32"/>
              <w:spacing w:line="360" w:lineRule="auto"/>
              <w:jc w:val="center"/>
              <w:rPr>
                <w:rFonts w:asciiTheme="minorEastAsia" w:hAnsiTheme="minorEastAsia" w:eastAsiaTheme="minorEastAsia"/>
                <w:sz w:val="24"/>
              </w:rPr>
            </w:pPr>
          </w:p>
        </w:tc>
        <w:tc>
          <w:tcPr>
            <w:tcW w:w="4536" w:type="dxa"/>
            <w:vAlign w:val="center"/>
          </w:tcPr>
          <w:p>
            <w:pPr>
              <w:pStyle w:val="32"/>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对采购过程</w:t>
            </w:r>
            <w:r>
              <w:rPr>
                <w:rFonts w:hint="eastAsia" w:asciiTheme="minorEastAsia" w:hAnsiTheme="minorEastAsia" w:eastAsiaTheme="minorEastAsia"/>
                <w:sz w:val="24"/>
                <w:lang w:eastAsia="zh-CN"/>
              </w:rPr>
              <w:t>、</w:t>
            </w:r>
            <w:r>
              <w:rPr>
                <w:rFonts w:hint="eastAsia" w:asciiTheme="minorEastAsia" w:hAnsiTheme="minorEastAsia" w:eastAsiaTheme="minorEastAsia"/>
                <w:sz w:val="24"/>
                <w:lang w:val="en-US" w:eastAsia="zh-CN"/>
              </w:rPr>
              <w:t>采购结果其他</w:t>
            </w:r>
            <w:r>
              <w:rPr>
                <w:rFonts w:hint="eastAsia" w:asciiTheme="minorEastAsia" w:hAnsiTheme="minorEastAsia" w:eastAsiaTheme="minorEastAsia"/>
                <w:sz w:val="24"/>
                <w:szCs w:val="21"/>
              </w:rPr>
              <w:t>环节的质疑</w:t>
            </w:r>
          </w:p>
        </w:tc>
        <w:tc>
          <w:tcPr>
            <w:tcW w:w="2232" w:type="dxa"/>
            <w:vAlign w:val="center"/>
          </w:tcPr>
          <w:p>
            <w:pPr>
              <w:pStyle w:val="32"/>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采购机构</w:t>
            </w:r>
          </w:p>
        </w:tc>
      </w:tr>
    </w:tbl>
    <w:p>
      <w:pPr>
        <w:pStyle w:val="889"/>
        <w:shd w:val="clear" w:color="auto" w:fill="FFFFFF"/>
        <w:snapToGrid w:val="0"/>
        <w:spacing w:after="240" w:afterAutospacing="0" w:line="360" w:lineRule="auto"/>
        <w:ind w:firstLine="400"/>
        <w:contextualSpacing/>
        <w:rPr>
          <w:highlight w:val="none"/>
        </w:rPr>
      </w:pPr>
      <w:r>
        <w:rPr>
          <w:rFonts w:hint="eastAsia"/>
          <w:highlight w:val="none"/>
          <w:lang w:val="zh-CN"/>
        </w:rPr>
        <w:t>4.3</w:t>
      </w:r>
      <w:r>
        <w:rPr>
          <w:rFonts w:hint="eastAsia"/>
          <w:highlight w:val="none"/>
        </w:rPr>
        <w:t>.6询问或者质疑事项可能影响采购结果的，采购人应当暂停签订合同，已经签订合同的，应当中止履行合同。</w:t>
      </w:r>
    </w:p>
    <w:p>
      <w:pPr>
        <w:pStyle w:val="889"/>
        <w:shd w:val="clear" w:color="auto" w:fill="FFFFFF"/>
        <w:snapToGrid w:val="0"/>
        <w:spacing w:after="240" w:afterAutospacing="0" w:line="360" w:lineRule="auto"/>
        <w:ind w:firstLine="480" w:firstLineChars="200"/>
        <w:contextualSpacing/>
        <w:rPr>
          <w:highlight w:val="none"/>
          <w:lang w:val="zh-CN"/>
        </w:rPr>
      </w:pPr>
      <w:r>
        <w:rPr>
          <w:rFonts w:hint="eastAsia"/>
          <w:highlight w:val="none"/>
          <w:lang w:val="zh-CN"/>
        </w:rPr>
        <w:t>4.4供应商投诉</w:t>
      </w:r>
    </w:p>
    <w:p>
      <w:pPr>
        <w:pStyle w:val="889"/>
        <w:shd w:val="clear" w:color="auto" w:fill="FFFFFF"/>
        <w:snapToGrid w:val="0"/>
        <w:spacing w:after="240" w:afterAutospacing="0" w:line="360" w:lineRule="auto"/>
        <w:ind w:firstLine="400"/>
        <w:contextualSpacing/>
        <w:rPr>
          <w:highlight w:val="none"/>
        </w:rPr>
      </w:pPr>
      <w:r>
        <w:rPr>
          <w:rFonts w:hint="eastAsia"/>
          <w:highlight w:val="none"/>
        </w:rPr>
        <w:t>4.4.1质疑供应商对采购人、采购机构的答复不满意或者采购人、采购机构未在规定的时间内作出答复的，可以在答复期满后十五个工作日内向同级政府采购监督管理部门提出投诉。</w:t>
      </w:r>
    </w:p>
    <w:p>
      <w:pPr>
        <w:pStyle w:val="889"/>
        <w:shd w:val="clear" w:color="auto" w:fill="FFFFFF"/>
        <w:snapToGrid w:val="0"/>
        <w:spacing w:after="240" w:afterAutospacing="0" w:line="360" w:lineRule="auto"/>
        <w:ind w:firstLine="400"/>
        <w:contextualSpacing/>
        <w:rPr>
          <w:highlight w:val="none"/>
        </w:rPr>
      </w:pPr>
      <w:r>
        <w:rPr>
          <w:rFonts w:hint="eastAsia"/>
          <w:highlight w:val="none"/>
        </w:rPr>
        <w:t>4.4.</w:t>
      </w:r>
      <w:r>
        <w:rPr>
          <w:rFonts w:hint="eastAsia"/>
          <w:highlight w:val="none"/>
          <w:lang w:val="zh-CN"/>
        </w:rPr>
        <w:t>2</w:t>
      </w:r>
      <w:r>
        <w:rPr>
          <w:rFonts w:hint="eastAsia"/>
          <w:highlight w:val="none"/>
        </w:rPr>
        <w:t>供应商投诉的事项不得超出已质疑事项的范围，基于质疑答复内容提出的投诉事项除外。</w:t>
      </w:r>
    </w:p>
    <w:p>
      <w:pPr>
        <w:pStyle w:val="889"/>
        <w:shd w:val="clear" w:color="auto" w:fill="FFFFFF"/>
        <w:snapToGrid w:val="0"/>
        <w:spacing w:after="240" w:afterAutospacing="0" w:line="360" w:lineRule="auto"/>
        <w:ind w:firstLine="400"/>
        <w:contextualSpacing/>
        <w:rPr>
          <w:highlight w:val="none"/>
        </w:rPr>
      </w:pPr>
      <w:r>
        <w:rPr>
          <w:rFonts w:hint="eastAsia"/>
          <w:highlight w:val="none"/>
        </w:rPr>
        <w:t>4.4.3供应商投诉应当有明确的请求和必要的证明材料。</w:t>
      </w:r>
    </w:p>
    <w:p>
      <w:pPr>
        <w:pStyle w:val="889"/>
        <w:shd w:val="clear" w:color="auto" w:fill="FFFFFF"/>
        <w:snapToGrid w:val="0"/>
        <w:spacing w:after="240" w:afterAutospacing="0" w:line="360" w:lineRule="auto"/>
        <w:ind w:firstLine="400"/>
        <w:contextualSpacing/>
        <w:rPr>
          <w:highlight w:val="none"/>
        </w:rPr>
      </w:pPr>
      <w:r>
        <w:rPr>
          <w:rFonts w:hint="eastAsia"/>
          <w:highlight w:val="none"/>
        </w:rPr>
        <w:t>4.4.4以联合体形式参加政府采购活动的，其投诉应当由组成联合体的所有供应商共同提出。</w:t>
      </w:r>
    </w:p>
    <w:p>
      <w:pPr>
        <w:pStyle w:val="889"/>
        <w:shd w:val="clear" w:color="auto" w:fill="FFFFFF"/>
        <w:snapToGrid w:val="0"/>
        <w:spacing w:after="240" w:afterAutospacing="0" w:line="360" w:lineRule="auto"/>
        <w:ind w:firstLine="400"/>
        <w:contextualSpacing/>
        <w:rPr>
          <w:highlight w:val="none"/>
        </w:rPr>
      </w:pPr>
      <w:r>
        <w:rPr>
          <w:rFonts w:hint="eastAsia"/>
          <w:highlight w:val="none"/>
        </w:rPr>
        <w:t>4.4.5浙江省本级、杭州市本级、拱墅区、富阳区政府采购项目投诉材料可寄送浙江省政府采购行政裁决服务中心（杭州），地址：杭州市上城区四季青街道新业路市民之家G03办公室，收件人：朱女士，电话：0571-85252453。</w:t>
      </w:r>
    </w:p>
    <w:p>
      <w:pPr>
        <w:pStyle w:val="889"/>
        <w:shd w:val="clear" w:color="auto" w:fill="FFFFFF"/>
        <w:snapToGrid w:val="0"/>
        <w:spacing w:after="240" w:afterAutospacing="0" w:line="360" w:lineRule="auto"/>
        <w:ind w:firstLine="400"/>
        <w:contextualSpacing/>
        <w:rPr>
          <w:rFonts w:hint="eastAsia"/>
          <w:color w:val="auto"/>
          <w:highlight w:val="none"/>
        </w:rPr>
      </w:pPr>
      <w:r>
        <w:rPr>
          <w:rFonts w:hint="eastAsia"/>
          <w:highlight w:val="none"/>
        </w:rPr>
        <w:t>投诉书</w:t>
      </w:r>
      <w:r>
        <w:rPr>
          <w:rFonts w:hint="eastAsia"/>
          <w:color w:val="auto"/>
          <w:highlight w:val="none"/>
        </w:rPr>
        <w:t>范本及制作说明详见附件3。</w:t>
      </w:r>
    </w:p>
    <w:p>
      <w:pPr>
        <w:adjustRightInd w:val="0"/>
        <w:snapToGrid w:val="0"/>
        <w:spacing w:line="360" w:lineRule="auto"/>
        <w:ind w:firstLine="480" w:firstLineChars="200"/>
        <w:rPr>
          <w:rFonts w:hint="eastAsia" w:ascii="宋体" w:hAnsi="宋体" w:cs="仿宋"/>
          <w:color w:val="auto"/>
          <w:sz w:val="24"/>
        </w:rPr>
      </w:pPr>
      <w:r>
        <w:rPr>
          <w:rFonts w:hint="eastAsia" w:ascii="宋体" w:hAnsi="宋体" w:cs="仿宋"/>
          <w:color w:val="auto"/>
          <w:sz w:val="24"/>
        </w:rPr>
        <w:t>4.5 补偿救济</w:t>
      </w:r>
    </w:p>
    <w:p>
      <w:pPr>
        <w:pStyle w:val="889"/>
        <w:shd w:val="clear" w:color="auto" w:fill="FFFFFF"/>
        <w:snapToGrid w:val="0"/>
        <w:spacing w:before="0" w:beforeAutospacing="0" w:after="240" w:afterAutospacing="0" w:line="360" w:lineRule="auto"/>
        <w:ind w:firstLine="400"/>
        <w:contextualSpacing/>
        <w:rPr>
          <w:rFonts w:hint="eastAsia"/>
          <w:highlight w:val="none"/>
        </w:rPr>
      </w:pPr>
      <w:r>
        <w:rPr>
          <w:rFonts w:hint="eastAsia" w:ascii="宋体" w:hAnsi="宋体" w:cs="宋体"/>
          <w:color w:val="auto"/>
          <w:sz w:val="24"/>
          <w:highlight w:val="none"/>
        </w:rPr>
        <w:t>采购人（行政机关）因</w:t>
      </w:r>
      <w:r>
        <w:rPr>
          <w:rFonts w:hint="eastAsia" w:ascii="宋体" w:hAnsi="宋体" w:cs="宋体"/>
          <w:sz w:val="24"/>
          <w:highlight w:val="none"/>
        </w:rPr>
        <w:t>政策变化、规划调整而不履行政府采购合同的，供应商可依据《杭州市涉企补偿救济实施办法（试行）》向采购人（行政机关）提起补偿申请。</w:t>
      </w:r>
    </w:p>
    <w:p>
      <w:pPr>
        <w:pStyle w:val="130"/>
        <w:snapToGrid w:val="0"/>
        <w:spacing w:before="0"/>
        <w:ind w:firstLine="360"/>
        <w:rPr>
          <w:rFonts w:ascii="宋体" w:hAnsi="宋体" w:cs="宋体"/>
          <w:sz w:val="18"/>
          <w:szCs w:val="18"/>
          <w:highlight w:val="none"/>
        </w:rPr>
      </w:pPr>
    </w:p>
    <w:p>
      <w:pPr>
        <w:adjustRightInd/>
        <w:spacing w:line="360" w:lineRule="auto"/>
        <w:jc w:val="center"/>
        <w:outlineLvl w:val="0"/>
        <w:rPr>
          <w:rFonts w:ascii="宋体" w:hAnsi="宋体" w:cs="宋体"/>
          <w:b/>
          <w:sz w:val="32"/>
          <w:szCs w:val="20"/>
          <w:highlight w:val="none"/>
        </w:rPr>
      </w:pPr>
      <w:r>
        <w:rPr>
          <w:rFonts w:hint="eastAsia" w:ascii="宋体" w:hAnsi="宋体" w:cs="宋体"/>
          <w:b/>
          <w:sz w:val="32"/>
          <w:szCs w:val="20"/>
          <w:highlight w:val="none"/>
        </w:rPr>
        <w:t xml:space="preserve">      二、招标文件的构成、澄清、修改</w:t>
      </w:r>
    </w:p>
    <w:p>
      <w:pPr>
        <w:pStyle w:val="32"/>
        <w:spacing w:line="360" w:lineRule="auto"/>
        <w:rPr>
          <w:rFonts w:hAnsi="宋体" w:cs="宋体"/>
          <w:b/>
          <w:sz w:val="24"/>
          <w:szCs w:val="24"/>
          <w:highlight w:val="none"/>
        </w:rPr>
      </w:pPr>
      <w:r>
        <w:rPr>
          <w:rFonts w:hint="eastAsia" w:hAnsi="宋体" w:cs="宋体"/>
          <w:b/>
          <w:sz w:val="24"/>
          <w:szCs w:val="24"/>
          <w:highlight w:val="none"/>
        </w:rPr>
        <w:t>5．招标文件的构成</w:t>
      </w:r>
    </w:p>
    <w:p>
      <w:pPr>
        <w:pStyle w:val="32"/>
        <w:spacing w:line="360" w:lineRule="auto"/>
        <w:ind w:firstLine="480" w:firstLineChars="200"/>
        <w:rPr>
          <w:rFonts w:hAnsi="宋体" w:cs="宋体"/>
          <w:sz w:val="24"/>
          <w:szCs w:val="24"/>
          <w:highlight w:val="none"/>
        </w:rPr>
      </w:pPr>
      <w:r>
        <w:rPr>
          <w:rFonts w:hint="eastAsia" w:hAnsi="宋体" w:cs="宋体"/>
          <w:sz w:val="24"/>
          <w:szCs w:val="24"/>
          <w:highlight w:val="none"/>
        </w:rPr>
        <w:t>5.1 招标文件包括下列文件及附件：</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5.1.1招标公告；</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5.1.2投标人须知；</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5.1.3采购需求；</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5.1.4评标办法；</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szCs w:val="24"/>
          <w:highlight w:val="none"/>
        </w:rPr>
        <w:t>5.1.5拟签订的合同文本；</w:t>
      </w:r>
    </w:p>
    <w:p>
      <w:pPr>
        <w:pStyle w:val="32"/>
        <w:tabs>
          <w:tab w:val="left" w:pos="840"/>
        </w:tabs>
        <w:spacing w:line="360" w:lineRule="auto"/>
        <w:ind w:firstLine="960" w:firstLineChars="400"/>
        <w:rPr>
          <w:rFonts w:hAnsi="宋体" w:cs="宋体"/>
          <w:sz w:val="24"/>
          <w:szCs w:val="24"/>
          <w:highlight w:val="none"/>
        </w:rPr>
      </w:pPr>
      <w:r>
        <w:rPr>
          <w:rFonts w:hint="eastAsia" w:hAnsi="宋体" w:cs="宋体"/>
          <w:sz w:val="24"/>
          <w:highlight w:val="none"/>
        </w:rPr>
        <w:t>5.1.6</w:t>
      </w:r>
      <w:r>
        <w:rPr>
          <w:rFonts w:hint="eastAsia" w:hAnsi="宋体" w:cs="宋体"/>
          <w:sz w:val="24"/>
          <w:szCs w:val="24"/>
          <w:highlight w:val="none"/>
        </w:rPr>
        <w:t>应提交的有关格式范例。</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5.2与本项目有关的</w:t>
      </w:r>
      <w:r>
        <w:rPr>
          <w:rFonts w:hint="eastAsia" w:ascii="宋体" w:hAnsi="宋体" w:cs="宋体"/>
          <w:bCs/>
          <w:sz w:val="24"/>
          <w:highlight w:val="none"/>
        </w:rPr>
        <w:t>澄清或者修改的内容为招标文件的组成部分</w:t>
      </w:r>
      <w:r>
        <w:rPr>
          <w:rFonts w:hint="eastAsia" w:ascii="宋体" w:hAnsi="宋体" w:cs="宋体"/>
          <w:sz w:val="24"/>
          <w:highlight w:val="none"/>
        </w:rPr>
        <w:t>。</w:t>
      </w:r>
    </w:p>
    <w:p>
      <w:pPr>
        <w:pStyle w:val="32"/>
        <w:spacing w:line="360" w:lineRule="auto"/>
        <w:rPr>
          <w:rFonts w:hAnsi="宋体" w:cs="宋体"/>
          <w:b/>
          <w:sz w:val="24"/>
          <w:szCs w:val="24"/>
          <w:highlight w:val="none"/>
        </w:rPr>
      </w:pPr>
      <w:r>
        <w:rPr>
          <w:rFonts w:hint="eastAsia" w:hAnsi="宋体" w:cs="宋体"/>
          <w:b/>
          <w:sz w:val="24"/>
          <w:szCs w:val="24"/>
          <w:highlight w:val="none"/>
        </w:rPr>
        <w:t>6. 招标文件的澄清、修改</w:t>
      </w:r>
    </w:p>
    <w:p>
      <w:pPr>
        <w:pStyle w:val="130"/>
        <w:snapToGrid w:val="0"/>
        <w:spacing w:before="0"/>
        <w:ind w:firstLine="480"/>
        <w:rPr>
          <w:rFonts w:ascii="宋体" w:hAnsi="宋体" w:cs="宋体"/>
          <w:highlight w:val="none"/>
        </w:rPr>
      </w:pPr>
      <w:r>
        <w:rPr>
          <w:rFonts w:hint="eastAsia" w:ascii="宋体" w:hAnsi="宋体" w:cs="宋体"/>
          <w:highlight w:val="none"/>
        </w:rPr>
        <w:t>6.1已获取招标文件的潜在投标人，若有问题需要澄清，应于投标截止时间前，以书面形式向采购机构提出。</w:t>
      </w:r>
    </w:p>
    <w:p>
      <w:pPr>
        <w:pStyle w:val="130"/>
        <w:snapToGrid w:val="0"/>
        <w:spacing w:before="0"/>
        <w:ind w:firstLine="480"/>
        <w:rPr>
          <w:rFonts w:ascii="宋体" w:hAnsi="宋体" w:cs="宋体"/>
          <w:highlight w:val="none"/>
        </w:rPr>
      </w:pPr>
      <w:r>
        <w:rPr>
          <w:rFonts w:hint="eastAsia" w:ascii="宋体" w:hAnsi="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sz w:val="18"/>
          <w:szCs w:val="18"/>
          <w:highlight w:val="none"/>
          <w:lang w:val="en-US"/>
        </w:rPr>
      </w:pPr>
      <w:r>
        <w:rPr>
          <w:rFonts w:hint="eastAsia" w:hAnsi="宋体" w:cs="宋体"/>
          <w:szCs w:val="24"/>
          <w:highlight w:val="none"/>
          <w:lang w:val="en-US"/>
        </w:rPr>
        <w:t xml:space="preserve">    </w:t>
      </w:r>
    </w:p>
    <w:p>
      <w:pPr>
        <w:adjustRightInd/>
        <w:spacing w:line="360" w:lineRule="auto"/>
        <w:jc w:val="center"/>
        <w:outlineLvl w:val="0"/>
        <w:rPr>
          <w:rFonts w:ascii="宋体" w:hAnsi="宋体" w:cs="宋体"/>
          <w:b/>
          <w:sz w:val="30"/>
          <w:szCs w:val="20"/>
          <w:highlight w:val="none"/>
        </w:rPr>
      </w:pPr>
      <w:r>
        <w:rPr>
          <w:rFonts w:hint="eastAsia" w:ascii="宋体" w:hAnsi="宋体" w:cs="宋体"/>
          <w:b/>
          <w:sz w:val="30"/>
          <w:szCs w:val="20"/>
          <w:highlight w:val="none"/>
        </w:rPr>
        <w:t>三、投标</w:t>
      </w:r>
    </w:p>
    <w:p>
      <w:pPr>
        <w:pStyle w:val="32"/>
        <w:spacing w:line="360" w:lineRule="auto"/>
        <w:rPr>
          <w:rFonts w:hAnsi="宋体" w:cs="宋体"/>
          <w:b/>
          <w:sz w:val="24"/>
          <w:szCs w:val="24"/>
          <w:highlight w:val="none"/>
        </w:rPr>
      </w:pPr>
      <w:r>
        <w:rPr>
          <w:rFonts w:hint="eastAsia" w:hAnsi="宋体" w:cs="宋体"/>
          <w:b/>
          <w:sz w:val="24"/>
          <w:szCs w:val="24"/>
          <w:highlight w:val="none"/>
        </w:rPr>
        <w:t>7. 招标文件的获取</w:t>
      </w:r>
    </w:p>
    <w:p>
      <w:pPr>
        <w:spacing w:line="360" w:lineRule="auto"/>
        <w:ind w:firstLine="480" w:firstLineChars="200"/>
        <w:rPr>
          <w:rFonts w:ascii="宋体" w:hAnsi="宋体" w:cs="宋体"/>
          <w:snapToGrid w:val="0"/>
          <w:kern w:val="28"/>
          <w:sz w:val="24"/>
          <w:highlight w:val="none"/>
        </w:rPr>
      </w:pPr>
      <w:r>
        <w:rPr>
          <w:rFonts w:hint="eastAsia" w:ascii="宋体" w:hAnsi="宋体" w:cs="宋体"/>
          <w:snapToGrid w:val="0"/>
          <w:kern w:val="28"/>
          <w:sz w:val="24"/>
          <w:highlight w:val="none"/>
        </w:rPr>
        <w:t>详见招标公告中获取招标文件的时间期限、地点、方式及招标文件售价。</w:t>
      </w:r>
    </w:p>
    <w:p>
      <w:pPr>
        <w:pStyle w:val="32"/>
        <w:spacing w:line="360" w:lineRule="auto"/>
        <w:rPr>
          <w:rFonts w:hAnsi="宋体" w:cs="宋体"/>
          <w:b/>
          <w:sz w:val="24"/>
          <w:szCs w:val="24"/>
          <w:highlight w:val="none"/>
        </w:rPr>
      </w:pPr>
      <w:r>
        <w:rPr>
          <w:rFonts w:hint="eastAsia" w:hAnsi="宋体" w:cs="宋体"/>
          <w:b/>
          <w:sz w:val="24"/>
          <w:szCs w:val="24"/>
          <w:highlight w:val="none"/>
        </w:rPr>
        <w:t>8.开标前答疑会或现场考察</w:t>
      </w:r>
    </w:p>
    <w:p>
      <w:pPr>
        <w:pStyle w:val="32"/>
        <w:spacing w:line="360" w:lineRule="auto"/>
        <w:ind w:firstLine="480" w:firstLineChars="200"/>
        <w:rPr>
          <w:rFonts w:hAnsi="宋体" w:cs="宋体"/>
          <w:sz w:val="24"/>
          <w:szCs w:val="24"/>
          <w:highlight w:val="none"/>
        </w:rPr>
      </w:pPr>
      <w:r>
        <w:rPr>
          <w:rFonts w:hint="eastAsia" w:hAnsi="宋体" w:cs="宋体"/>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szCs w:val="24"/>
          <w:highlight w:val="none"/>
        </w:rPr>
      </w:pPr>
      <w:r>
        <w:rPr>
          <w:rFonts w:hint="eastAsia" w:hAnsi="宋体" w:cs="宋体"/>
          <w:b/>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sz w:val="24"/>
          <w:szCs w:val="24"/>
          <w:highlight w:val="none"/>
        </w:rPr>
      </w:pPr>
      <w:r>
        <w:rPr>
          <w:rFonts w:hint="eastAsia" w:hAnsi="宋体" w:cs="宋体"/>
          <w:b/>
          <w:sz w:val="24"/>
          <w:szCs w:val="24"/>
          <w:highlight w:val="none"/>
        </w:rPr>
        <w:t>10. 投标文件的语言</w:t>
      </w:r>
    </w:p>
    <w:p>
      <w:pPr>
        <w:autoSpaceDE w:val="0"/>
        <w:autoSpaceDN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rPr>
        <w:t>投标文件及投标人与采购有关的来往通知、函件和文件均应使用中文。</w:t>
      </w:r>
    </w:p>
    <w:p>
      <w:pPr>
        <w:pStyle w:val="32"/>
        <w:spacing w:line="360" w:lineRule="auto"/>
        <w:rPr>
          <w:rFonts w:hAnsi="宋体" w:cs="宋体"/>
          <w:b/>
          <w:sz w:val="24"/>
          <w:szCs w:val="24"/>
          <w:highlight w:val="none"/>
        </w:rPr>
      </w:pPr>
      <w:r>
        <w:rPr>
          <w:rFonts w:hint="eastAsia" w:hAnsi="宋体" w:cs="宋体"/>
          <w:b/>
          <w:sz w:val="24"/>
          <w:szCs w:val="24"/>
          <w:highlight w:val="none"/>
        </w:rPr>
        <w:t>11. 投标文件的组成</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11.1</w:t>
      </w:r>
      <w:r>
        <w:rPr>
          <w:rFonts w:hint="eastAsia" w:ascii="宋体" w:hAnsi="宋体" w:cs="宋体"/>
          <w:b/>
          <w:sz w:val="24"/>
          <w:highlight w:val="none"/>
        </w:rPr>
        <w:t>资格文件</w:t>
      </w:r>
      <w:r>
        <w:rPr>
          <w:rFonts w:hint="eastAsia" w:ascii="宋体" w:hAnsi="宋体" w:cs="宋体"/>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sz w:val="24"/>
          <w:highlight w:val="none"/>
        </w:rPr>
        <w:t>1</w:t>
      </w:r>
      <w:r>
        <w:rPr>
          <w:rFonts w:ascii="宋体" w:hAnsi="宋体" w:cs="宋体"/>
          <w:sz w:val="24"/>
          <w:highlight w:val="none"/>
        </w:rPr>
        <w:t>1.1.2</w:t>
      </w:r>
      <w:r>
        <w:rPr>
          <w:rFonts w:hint="eastAsia" w:ascii="宋体" w:hAnsi="宋体" w:cs="宋体"/>
          <w:snapToGrid w:val="0"/>
          <w:kern w:val="28"/>
          <w:sz w:val="24"/>
          <w:szCs w:val="20"/>
          <w:highlight w:val="none"/>
        </w:rPr>
        <w:t>联合协</w:t>
      </w:r>
      <w:r>
        <w:rPr>
          <w:rFonts w:hint="eastAsia" w:ascii="宋体" w:hAnsi="宋体" w:cs="宋体"/>
          <w:snapToGrid w:val="0"/>
          <w:color w:val="auto"/>
          <w:kern w:val="28"/>
          <w:sz w:val="24"/>
          <w:szCs w:val="20"/>
          <w:highlight w:val="none"/>
        </w:rPr>
        <w:t>议（如果有)；</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 xml:space="preserve">  </w:t>
      </w:r>
      <w:r>
        <w:rPr>
          <w:rFonts w:hint="eastAsia" w:ascii="宋体" w:hAnsi="宋体" w:cs="宋体"/>
          <w:sz w:val="24"/>
          <w:highlight w:val="none"/>
        </w:rPr>
        <w:t>商务技术</w:t>
      </w:r>
      <w:r>
        <w:rPr>
          <w:rFonts w:hint="eastAsia" w:ascii="宋体" w:hAnsi="宋体" w:cs="宋体"/>
          <w:sz w:val="24"/>
          <w:highlight w:val="none"/>
          <w:lang w:val="zh-CN"/>
        </w:rPr>
        <w:t>文件：</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11.2.1投标函；</w:t>
      </w:r>
      <w:r>
        <w:rPr>
          <w:rFonts w:hint="eastAsia" w:ascii="宋体" w:hAnsi="宋体" w:cs="宋体"/>
          <w:sz w:val="24"/>
          <w:highlight w:val="none"/>
          <w:lang w:val="zh-CN"/>
        </w:rPr>
        <w:t xml:space="preserve"> </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sz w:val="24"/>
          <w:highlight w:val="none"/>
        </w:rPr>
        <w:t>11.2.</w:t>
      </w:r>
      <w:r>
        <w:rPr>
          <w:rFonts w:ascii="宋体" w:hAnsi="宋体" w:cs="宋体"/>
          <w:sz w:val="24"/>
          <w:highlight w:val="none"/>
        </w:rPr>
        <w:t>3</w:t>
      </w:r>
      <w:r>
        <w:rPr>
          <w:rFonts w:hint="eastAsia" w:ascii="宋体" w:hAnsi="宋体" w:cs="宋体"/>
          <w:sz w:val="24"/>
          <w:highlight w:val="none"/>
        </w:rPr>
        <w:t>分包意向</w:t>
      </w:r>
      <w:r>
        <w:rPr>
          <w:rFonts w:hint="eastAsia" w:ascii="宋体" w:hAnsi="宋体" w:cs="宋体"/>
          <w:color w:val="auto"/>
          <w:sz w:val="24"/>
          <w:highlight w:val="none"/>
        </w:rPr>
        <w:t>协议</w:t>
      </w:r>
      <w:r>
        <w:rPr>
          <w:rFonts w:hint="eastAsia" w:ascii="宋体" w:hAnsi="宋体" w:cs="宋体"/>
          <w:snapToGrid w:val="0"/>
          <w:color w:val="auto"/>
          <w:kern w:val="28"/>
          <w:sz w:val="24"/>
          <w:szCs w:val="20"/>
          <w:highlight w:val="none"/>
        </w:rPr>
        <w:t>（如果有)</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4</w:t>
      </w:r>
      <w:r>
        <w:rPr>
          <w:rFonts w:hint="eastAsia" w:ascii="宋体" w:hAnsi="宋体" w:cs="宋体"/>
          <w:sz w:val="24"/>
          <w:highlight w:val="none"/>
        </w:rPr>
        <w:t>符合性审查资料；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5</w:t>
      </w:r>
      <w:r>
        <w:rPr>
          <w:rFonts w:hint="eastAsia" w:ascii="宋体" w:hAnsi="宋体" w:cs="宋体"/>
          <w:sz w:val="24"/>
          <w:highlight w:val="none"/>
        </w:rPr>
        <w:t>评标标准相应的商务技术资料；</w:t>
      </w:r>
    </w:p>
    <w:p>
      <w:pPr>
        <w:snapToGrid w:val="0"/>
        <w:spacing w:line="360" w:lineRule="auto"/>
        <w:ind w:left="420" w:leftChars="200" w:firstLine="480" w:firstLineChars="2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6</w:t>
      </w:r>
      <w:r>
        <w:rPr>
          <w:rFonts w:hint="eastAsia" w:ascii="宋体" w:hAnsi="宋体" w:cs="宋体"/>
          <w:sz w:val="24"/>
          <w:highlight w:val="none"/>
        </w:rPr>
        <w:t>投标标的清单；</w:t>
      </w:r>
    </w:p>
    <w:p>
      <w:pPr>
        <w:snapToGrid w:val="0"/>
        <w:spacing w:line="360" w:lineRule="auto"/>
        <w:ind w:firstLine="960" w:firstLineChars="400"/>
        <w:rPr>
          <w:rFonts w:ascii="宋体" w:hAnsi="宋体" w:cs="宋体"/>
          <w:sz w:val="24"/>
          <w:highlight w:val="none"/>
        </w:rPr>
      </w:pPr>
      <w:r>
        <w:rPr>
          <w:rFonts w:hint="eastAsia" w:ascii="宋体" w:hAnsi="宋体" w:cs="宋体"/>
          <w:sz w:val="24"/>
          <w:highlight w:val="none"/>
        </w:rPr>
        <w:t>11.2.</w:t>
      </w:r>
      <w:r>
        <w:rPr>
          <w:rFonts w:ascii="宋体" w:hAnsi="宋体" w:cs="宋体"/>
          <w:sz w:val="24"/>
          <w:highlight w:val="none"/>
        </w:rPr>
        <w:t>7</w:t>
      </w:r>
      <w:r>
        <w:rPr>
          <w:rFonts w:hint="eastAsia" w:ascii="宋体" w:hAnsi="宋体" w:cs="宋体"/>
          <w:sz w:val="24"/>
          <w:highlight w:val="none"/>
        </w:rPr>
        <w:t>商务技术偏离表；</w:t>
      </w:r>
    </w:p>
    <w:p>
      <w:pPr>
        <w:snapToGrid w:val="0"/>
        <w:spacing w:line="360" w:lineRule="auto"/>
        <w:ind w:firstLine="960" w:firstLineChars="400"/>
        <w:rPr>
          <w:rFonts w:ascii="宋体" w:hAnsi="宋体" w:cs="宋体"/>
          <w:sz w:val="24"/>
          <w:highlight w:val="none"/>
          <w:lang w:val="zh-CN"/>
        </w:rPr>
      </w:pPr>
      <w:r>
        <w:rPr>
          <w:rFonts w:hint="eastAsia" w:ascii="宋体" w:hAnsi="宋体" w:cs="宋体"/>
          <w:sz w:val="24"/>
          <w:highlight w:val="none"/>
          <w:lang w:val="zh-CN"/>
        </w:rPr>
        <w:t>11.</w:t>
      </w:r>
      <w:r>
        <w:rPr>
          <w:rFonts w:hint="eastAsia" w:ascii="宋体" w:hAnsi="宋体" w:cs="宋体"/>
          <w:sz w:val="24"/>
          <w:highlight w:val="none"/>
        </w:rPr>
        <w:t>2</w:t>
      </w: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p>
    <w:p>
      <w:pPr>
        <w:snapToGrid w:val="0"/>
        <w:spacing w:line="360" w:lineRule="auto"/>
        <w:ind w:firstLine="480" w:firstLineChars="200"/>
        <w:rPr>
          <w:rFonts w:ascii="宋体" w:hAnsi="宋体" w:cs="宋体"/>
          <w:sz w:val="24"/>
          <w:highlight w:val="none"/>
          <w:u w:val="single"/>
          <w:lang w:val="zh-CN"/>
        </w:rPr>
      </w:pPr>
      <w:r>
        <w:rPr>
          <w:rFonts w:hint="eastAsia" w:ascii="宋体" w:hAnsi="宋体" w:cs="宋体"/>
          <w:kern w:val="0"/>
          <w:sz w:val="24"/>
          <w:highlight w:val="none"/>
          <w:lang w:val="zh-CN"/>
        </w:rPr>
        <w:t>11.</w:t>
      </w:r>
      <w:r>
        <w:rPr>
          <w:rFonts w:hint="eastAsia" w:ascii="宋体" w:hAnsi="宋体" w:cs="宋体"/>
          <w:kern w:val="0"/>
          <w:sz w:val="24"/>
          <w:highlight w:val="none"/>
        </w:rPr>
        <w:t>3</w:t>
      </w:r>
      <w:r>
        <w:rPr>
          <w:rFonts w:hint="eastAsia" w:ascii="宋体" w:hAnsi="宋体" w:cs="宋体"/>
          <w:b/>
          <w:sz w:val="24"/>
          <w:highlight w:val="none"/>
        </w:rPr>
        <w:t>报价文件：</w:t>
      </w:r>
      <w:r>
        <w:rPr>
          <w:rFonts w:hint="eastAsia" w:ascii="宋体" w:hAnsi="宋体" w:cs="宋体"/>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sz w:val="24"/>
          <w:highlight w:val="none"/>
        </w:rPr>
        <w:t>11.3.1开标一览</w:t>
      </w:r>
      <w:r>
        <w:rPr>
          <w:rFonts w:hint="eastAsia" w:ascii="宋体" w:hAnsi="宋体" w:cs="宋体"/>
          <w:color w:val="auto"/>
          <w:sz w:val="24"/>
          <w:highlight w:val="none"/>
        </w:rPr>
        <w:t>表（报价表）；</w:t>
      </w:r>
    </w:p>
    <w:p>
      <w:pPr>
        <w:snapToGrid w:val="0"/>
        <w:spacing w:line="360" w:lineRule="auto"/>
        <w:ind w:firstLine="960" w:firstLineChars="400"/>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rPr>
        <w:t>11.3.</w:t>
      </w:r>
      <w:r>
        <w:rPr>
          <w:rFonts w:hint="eastAsia" w:ascii="宋体" w:hAnsi="宋体" w:eastAsia="宋体" w:cs="宋体"/>
          <w:b w:val="0"/>
          <w:bCs w:val="0"/>
          <w:color w:val="auto"/>
          <w:sz w:val="24"/>
          <w:szCs w:val="24"/>
          <w:lang w:val="en-US" w:eastAsia="zh-CN"/>
        </w:rPr>
        <w:t>2</w:t>
      </w:r>
      <w:r>
        <w:rPr>
          <w:rFonts w:hint="eastAsia" w:ascii="宋体" w:hAnsi="宋体" w:eastAsia="宋体" w:cs="宋体"/>
          <w:b w:val="0"/>
          <w:bCs w:val="0"/>
          <w:color w:val="auto"/>
          <w:sz w:val="24"/>
          <w:szCs w:val="24"/>
          <w:lang w:val="en-US"/>
        </w:rPr>
        <w:t xml:space="preserve"> 报价情况说明（如供应商报价低于项目预算50%的，应当提交本文档，详细阐述不影响产品质量或者诚信履约的具体原因）</w:t>
      </w:r>
      <w:r>
        <w:rPr>
          <w:rFonts w:hint="eastAsia" w:ascii="宋体" w:hAnsi="宋体" w:eastAsia="宋体" w:cs="宋体"/>
          <w:b w:val="0"/>
          <w:bCs w:val="0"/>
          <w:color w:val="auto"/>
          <w:sz w:val="24"/>
          <w:szCs w:val="24"/>
          <w:lang w:val="en-US" w:eastAsia="zh-CN"/>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hint="eastAsia" w:ascii="宋体" w:hAnsi="宋体" w:cs="宋体"/>
          <w:b/>
          <w:color w:val="auto"/>
          <w:sz w:val="24"/>
          <w:highlight w:val="none"/>
        </w:rPr>
      </w:pPr>
      <w:r>
        <w:rPr>
          <w:rFonts w:hint="eastAsia" w:ascii="宋体" w:hAnsi="宋体" w:cs="宋体"/>
          <w:b/>
          <w:color w:val="auto"/>
          <w:sz w:val="24"/>
          <w:highlight w:val="none"/>
        </w:rPr>
        <w:t>投标人提供虚假材料投标的，投标无效。</w:t>
      </w:r>
    </w:p>
    <w:p>
      <w:pPr>
        <w:spacing w:line="360" w:lineRule="auto"/>
        <w:ind w:firstLine="723" w:firstLineChars="300"/>
        <w:rPr>
          <w:rFonts w:ascii="宋体" w:hAnsi="宋体" w:cs="宋体"/>
          <w:b/>
          <w:color w:val="auto"/>
          <w:sz w:val="24"/>
          <w:szCs w:val="21"/>
          <w:highlight w:val="none"/>
        </w:rPr>
      </w:pPr>
      <w:r>
        <w:rPr>
          <w:rFonts w:hint="eastAsia"/>
          <w:b/>
          <w:bCs/>
          <w:color w:val="auto"/>
          <w:sz w:val="24"/>
          <w:szCs w:val="24"/>
          <w:shd w:val="clear" w:color="auto" w:fill="FFFFFF"/>
          <w:lang w:val="en-US" w:eastAsia="zh-CN"/>
        </w:rPr>
        <w:t>投标人应对投标文件中材料的真实性、合法性负责。</w:t>
      </w:r>
    </w:p>
    <w:p>
      <w:pPr>
        <w:pStyle w:val="130"/>
        <w:snapToGrid w:val="0"/>
        <w:spacing w:before="0"/>
        <w:ind w:firstLine="0" w:firstLineChars="0"/>
        <w:outlineLvl w:val="0"/>
        <w:rPr>
          <w:rFonts w:ascii="宋体" w:hAnsi="宋体" w:cs="宋体"/>
          <w:b/>
          <w:szCs w:val="24"/>
          <w:highlight w:val="none"/>
        </w:rPr>
      </w:pPr>
      <w:r>
        <w:rPr>
          <w:rFonts w:hint="eastAsia" w:ascii="宋体" w:hAnsi="宋体" w:cs="宋体"/>
          <w:b/>
          <w:szCs w:val="24"/>
          <w:highlight w:val="none"/>
        </w:rPr>
        <w:t>12</w:t>
      </w:r>
      <w:r>
        <w:rPr>
          <w:rFonts w:hint="eastAsia" w:ascii="宋体" w:hAnsi="宋体" w:cs="宋体"/>
          <w:b/>
          <w:kern w:val="0"/>
          <w:szCs w:val="24"/>
          <w:highlight w:val="none"/>
          <w:lang w:val="zh-CN"/>
        </w:rPr>
        <w:t xml:space="preserve">. </w:t>
      </w:r>
      <w:r>
        <w:rPr>
          <w:rFonts w:hint="eastAsia" w:ascii="宋体" w:hAnsi="宋体" w:cs="宋体"/>
          <w:b/>
          <w:szCs w:val="24"/>
          <w:highlight w:val="none"/>
        </w:rPr>
        <w:t>投标文件的编制</w:t>
      </w:r>
    </w:p>
    <w:p>
      <w:pPr>
        <w:spacing w:line="360" w:lineRule="auto"/>
        <w:ind w:firstLine="480" w:firstLineChars="200"/>
        <w:rPr>
          <w:rFonts w:ascii="宋体" w:hAnsi="宋体" w:cs="宋体"/>
          <w:b/>
          <w:sz w:val="24"/>
          <w:highlight w:val="none"/>
        </w:rPr>
      </w:pPr>
      <w:r>
        <w:rPr>
          <w:rFonts w:hint="eastAsia" w:ascii="宋体" w:hAnsi="宋体" w:cs="宋体"/>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highlight w:val="none"/>
          <w:lang w:val="zh-CN"/>
        </w:rPr>
      </w:pPr>
      <w:r>
        <w:rPr>
          <w:rFonts w:hint="eastAsia" w:ascii="宋体" w:hAnsi="宋体" w:cs="宋体"/>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highlight w:val="none"/>
        </w:rPr>
      </w:pPr>
      <w:r>
        <w:rPr>
          <w:rFonts w:hint="eastAsia" w:ascii="宋体" w:hAnsi="宋体" w:cs="宋体"/>
          <w:b/>
          <w:sz w:val="24"/>
          <w:highlight w:val="none"/>
        </w:rPr>
        <w:t>13.投标文件的签署、盖章</w:t>
      </w:r>
    </w:p>
    <w:p>
      <w:pPr>
        <w:pStyle w:val="130"/>
        <w:snapToGrid w:val="0"/>
        <w:spacing w:before="0"/>
        <w:ind w:firstLine="480"/>
        <w:rPr>
          <w:rFonts w:ascii="宋体" w:hAnsi="宋体" w:cs="宋体"/>
          <w:b/>
          <w:highlight w:val="none"/>
        </w:rPr>
      </w:pPr>
      <w:r>
        <w:rPr>
          <w:rFonts w:hint="eastAsia" w:ascii="宋体" w:hAnsi="宋体" w:cs="宋体"/>
          <w:szCs w:val="24"/>
          <w:highlight w:val="none"/>
        </w:rPr>
        <w:t>13.1投标文件按照招标文件第六部分格式要</w:t>
      </w:r>
      <w:r>
        <w:rPr>
          <w:rFonts w:hint="eastAsia" w:ascii="宋体" w:hAnsi="宋体" w:cs="宋体"/>
          <w:highlight w:val="none"/>
        </w:rPr>
        <w:t>求进行签署、盖章。</w:t>
      </w:r>
      <w:r>
        <w:rPr>
          <w:rFonts w:hint="eastAsia" w:ascii="宋体" w:hAnsi="宋体" w:cs="宋体"/>
          <w:b/>
          <w:highlight w:val="none"/>
        </w:rPr>
        <w:t>▲投标人的投标文件未按照招标文件要求签署、盖章的，其投标无效</w:t>
      </w:r>
      <w:r>
        <w:rPr>
          <w:rFonts w:hint="eastAsia" w:ascii="宋体" w:hAnsi="宋体" w:cs="宋体"/>
          <w:szCs w:val="24"/>
          <w:highlight w:val="none"/>
        </w:rPr>
        <w:t>。</w:t>
      </w:r>
    </w:p>
    <w:p>
      <w:pPr>
        <w:pStyle w:val="130"/>
        <w:snapToGrid w:val="0"/>
        <w:spacing w:before="0"/>
        <w:ind w:firstLine="480"/>
        <w:rPr>
          <w:rFonts w:ascii="宋体" w:hAnsi="宋体" w:cs="宋体"/>
          <w:highlight w:val="none"/>
        </w:rPr>
      </w:pPr>
      <w:r>
        <w:rPr>
          <w:rFonts w:hint="eastAsia" w:ascii="宋体" w:hAnsi="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highlight w:val="none"/>
        </w:rPr>
      </w:pPr>
      <w:r>
        <w:rPr>
          <w:rFonts w:hint="eastAsia" w:ascii="宋体" w:hAnsi="宋体" w:cs="宋体"/>
          <w:highlight w:val="none"/>
        </w:rPr>
        <w:t>13.3招标文件对投标文件签署、盖章的要求适用于电子签名。</w:t>
      </w:r>
    </w:p>
    <w:p>
      <w:pPr>
        <w:pStyle w:val="130"/>
        <w:spacing w:before="0"/>
        <w:ind w:firstLine="0" w:firstLineChars="0"/>
        <w:rPr>
          <w:rFonts w:ascii="宋体" w:hAnsi="宋体" w:cs="宋体"/>
          <w:b/>
          <w:szCs w:val="24"/>
          <w:highlight w:val="none"/>
        </w:rPr>
      </w:pPr>
      <w:r>
        <w:rPr>
          <w:rFonts w:hint="eastAsia" w:ascii="宋体" w:hAnsi="宋体" w:cs="宋体"/>
          <w:b/>
          <w:szCs w:val="24"/>
          <w:highlight w:val="none"/>
        </w:rPr>
        <w:t>14. 投标文件的提交、补充、修改、撤回</w:t>
      </w:r>
    </w:p>
    <w:p>
      <w:pPr>
        <w:pStyle w:val="130"/>
        <w:ind w:firstLine="480"/>
        <w:rPr>
          <w:rFonts w:ascii="宋体" w:hAnsi="宋体" w:cs="宋体"/>
          <w:szCs w:val="24"/>
          <w:highlight w:val="none"/>
        </w:rPr>
      </w:pPr>
      <w:r>
        <w:rPr>
          <w:rFonts w:hint="eastAsia" w:ascii="宋体" w:hAnsi="宋体" w:cs="宋体"/>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130"/>
        <w:spacing w:before="0"/>
        <w:ind w:firstLine="480"/>
        <w:rPr>
          <w:rFonts w:ascii="宋体" w:hAnsi="宋体" w:cs="宋体"/>
          <w:szCs w:val="24"/>
          <w:highlight w:val="none"/>
        </w:rPr>
      </w:pPr>
      <w:r>
        <w:rPr>
          <w:rFonts w:hint="eastAsia" w:ascii="宋体" w:hAnsi="宋体" w:cs="宋体"/>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highlight w:val="none"/>
        </w:rPr>
      </w:pPr>
      <w:r>
        <w:rPr>
          <w:rFonts w:hint="eastAsia" w:ascii="宋体" w:hAnsi="宋体" w:cs="宋体"/>
          <w:szCs w:val="24"/>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2"/>
        <w:spacing w:line="360" w:lineRule="auto"/>
        <w:rPr>
          <w:rFonts w:hAnsi="宋体" w:cs="宋体"/>
          <w:b/>
          <w:sz w:val="24"/>
          <w:szCs w:val="24"/>
          <w:highlight w:val="none"/>
        </w:rPr>
      </w:pPr>
      <w:r>
        <w:rPr>
          <w:rFonts w:hint="eastAsia" w:hAnsi="宋体" w:cs="宋体"/>
          <w:b/>
          <w:sz w:val="24"/>
          <w:szCs w:val="24"/>
          <w:highlight w:val="none"/>
        </w:rPr>
        <w:t>15.备份投标文件</w:t>
      </w:r>
    </w:p>
    <w:p>
      <w:pPr>
        <w:pStyle w:val="32"/>
        <w:spacing w:line="360" w:lineRule="auto"/>
        <w:ind w:firstLine="360" w:firstLineChars="150"/>
        <w:rPr>
          <w:rFonts w:hAnsi="宋体" w:cs="宋体"/>
          <w:b/>
          <w:sz w:val="24"/>
          <w:szCs w:val="24"/>
          <w:highlight w:val="none"/>
        </w:rPr>
      </w:pPr>
      <w:r>
        <w:rPr>
          <w:rFonts w:hint="eastAsia" w:hAnsi="宋体" w:cs="宋体"/>
          <w:sz w:val="24"/>
          <w:szCs w:val="24"/>
          <w:highlight w:val="none"/>
        </w:rPr>
        <w:t xml:space="preserve"> 15.1投标人在电子交易平台传输递交投标文件后，还可以在投标截止时间前直接提交或者以邮政快递方式递交备份投标文件1份，</w:t>
      </w:r>
      <w:r>
        <w:rPr>
          <w:rFonts w:hint="eastAsia" w:hAnsi="宋体" w:cs="宋体"/>
          <w:b/>
          <w:sz w:val="24"/>
          <w:szCs w:val="24"/>
          <w:highlight w:val="none"/>
        </w:rPr>
        <w:t>但采购人、采购机构不强制或变相强制投标人提交备份投标文件。</w:t>
      </w:r>
    </w:p>
    <w:p>
      <w:pPr>
        <w:pStyle w:val="32"/>
        <w:spacing w:line="360" w:lineRule="auto"/>
        <w:ind w:firstLine="480" w:firstLineChars="200"/>
        <w:rPr>
          <w:rFonts w:hAnsi="宋体" w:cs="宋体"/>
          <w:b/>
          <w:sz w:val="24"/>
          <w:szCs w:val="24"/>
          <w:highlight w:val="none"/>
        </w:rPr>
      </w:pPr>
      <w:r>
        <w:rPr>
          <w:rFonts w:hint="eastAsia" w:hAnsi="宋体" w:cs="宋体"/>
          <w:sz w:val="24"/>
          <w:szCs w:val="24"/>
          <w:highlight w:val="none"/>
        </w:rPr>
        <w:t>15.2备份投标文件须在“政采云投标客户端”制作生成，并储存在</w:t>
      </w:r>
      <w:r>
        <w:rPr>
          <w:rFonts w:hint="eastAsia" w:hAnsi="宋体" w:cs="宋体"/>
          <w:sz w:val="24"/>
          <w:highlight w:val="none"/>
        </w:rPr>
        <w:t>DVD光盘</w:t>
      </w:r>
      <w:r>
        <w:rPr>
          <w:rFonts w:hint="eastAsia" w:hAnsi="宋体" w:cs="宋体"/>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sz w:val="24"/>
          <w:highlight w:val="none"/>
        </w:rPr>
        <w:t>不符合上述制作、</w:t>
      </w:r>
      <w:r>
        <w:rPr>
          <w:rFonts w:hint="eastAsia" w:hAnsi="宋体" w:cs="宋体"/>
          <w:b/>
          <w:sz w:val="24"/>
          <w:szCs w:val="24"/>
          <w:highlight w:val="none"/>
        </w:rPr>
        <w:t>存储、密封规定的备份投标文件将被视为无效或者被拒绝接收。</w:t>
      </w:r>
    </w:p>
    <w:p>
      <w:pPr>
        <w:pStyle w:val="32"/>
        <w:spacing w:line="360" w:lineRule="auto"/>
        <w:ind w:firstLine="480" w:firstLineChars="200"/>
        <w:rPr>
          <w:rFonts w:hAnsi="宋体" w:cs="宋体"/>
          <w:sz w:val="24"/>
          <w:szCs w:val="24"/>
          <w:highlight w:val="none"/>
        </w:rPr>
      </w:pPr>
      <w:r>
        <w:rPr>
          <w:rFonts w:hint="eastAsia" w:hAnsi="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2"/>
        <w:spacing w:line="360" w:lineRule="auto"/>
        <w:ind w:firstLine="480" w:firstLineChars="200"/>
        <w:rPr>
          <w:rFonts w:hAnsi="宋体" w:cs="宋体"/>
          <w:sz w:val="24"/>
          <w:szCs w:val="24"/>
          <w:highlight w:val="none"/>
        </w:rPr>
      </w:pPr>
      <w:r>
        <w:rPr>
          <w:rFonts w:hint="eastAsia" w:hAnsi="宋体" w:cs="宋体"/>
          <w:sz w:val="24"/>
          <w:szCs w:val="24"/>
          <w:highlight w:val="none"/>
        </w:rPr>
        <w:t>15.4以邮政快递方式递交备份投标文件的，投标人应先将备份投标文件按要求密封和标记，再进行邮政快递包装后邮寄。备份投标文件须在投标截止时间之前送达</w:t>
      </w:r>
      <w:r>
        <w:rPr>
          <w:rFonts w:hint="eastAsia" w:hAnsi="宋体" w:cs="宋体"/>
          <w:snapToGrid/>
          <w:sz w:val="24"/>
          <w:szCs w:val="24"/>
          <w:highlight w:val="none"/>
        </w:rPr>
        <w:t>招标文件第二部分投标人须知前附表规定的备份投标文件送达地点；</w:t>
      </w:r>
      <w:r>
        <w:rPr>
          <w:rFonts w:hint="eastAsia" w:hAnsi="宋体" w:cs="宋体"/>
          <w:sz w:val="24"/>
          <w:szCs w:val="24"/>
          <w:highlight w:val="none"/>
        </w:rPr>
        <w:t>送达时间以签收人签收时间为准。采购机构将拒绝接受逾期送达的备份投标文件。邮寄过程中，电子备份投标文件发生泄露、遗失、损坏或延期送达等情况的，由投标人自行负责。</w:t>
      </w:r>
    </w:p>
    <w:p>
      <w:pPr>
        <w:pStyle w:val="32"/>
        <w:spacing w:line="360" w:lineRule="auto"/>
        <w:ind w:firstLine="479" w:firstLineChars="199"/>
        <w:rPr>
          <w:rFonts w:hAnsi="宋体" w:cs="宋体"/>
          <w:b/>
          <w:sz w:val="24"/>
          <w:szCs w:val="24"/>
          <w:highlight w:val="none"/>
        </w:rPr>
      </w:pPr>
      <w:r>
        <w:rPr>
          <w:rFonts w:hint="eastAsia" w:hAnsi="宋体" w:cs="宋体"/>
          <w:b/>
          <w:sz w:val="24"/>
          <w:szCs w:val="24"/>
          <w:highlight w:val="none"/>
        </w:rPr>
        <w:t>15.5投标人仅提交备份投标文件，未在电子交易平台传输递交投标文件的，投标无效。</w:t>
      </w:r>
    </w:p>
    <w:p>
      <w:pPr>
        <w:pStyle w:val="130"/>
        <w:spacing w:before="0"/>
        <w:ind w:firstLine="0" w:firstLineChars="0"/>
        <w:rPr>
          <w:rFonts w:ascii="宋体" w:hAnsi="宋体" w:cs="宋体"/>
          <w:b/>
          <w:szCs w:val="24"/>
          <w:highlight w:val="none"/>
        </w:rPr>
      </w:pPr>
      <w:r>
        <w:rPr>
          <w:rFonts w:hint="eastAsia" w:ascii="宋体" w:hAnsi="宋体" w:cs="宋体"/>
          <w:b/>
          <w:szCs w:val="24"/>
          <w:highlight w:val="none"/>
        </w:rPr>
        <w:t>16.投标文件的无效处理</w:t>
      </w:r>
    </w:p>
    <w:p>
      <w:pPr>
        <w:pStyle w:val="24"/>
        <w:spacing w:line="360" w:lineRule="auto"/>
        <w:ind w:firstLine="360" w:firstLineChars="150"/>
        <w:rPr>
          <w:rFonts w:cs="宋体"/>
          <w:szCs w:val="21"/>
          <w:highlight w:val="none"/>
        </w:rPr>
      </w:pPr>
      <w:r>
        <w:rPr>
          <w:rFonts w:hint="eastAsia" w:cs="宋体"/>
          <w:szCs w:val="21"/>
          <w:highlight w:val="none"/>
        </w:rPr>
        <w:t>有招标文件第四部分</w:t>
      </w:r>
      <w:r>
        <w:rPr>
          <w:rFonts w:cs="宋体"/>
          <w:szCs w:val="21"/>
          <w:highlight w:val="none"/>
        </w:rPr>
        <w:t>4.2规定</w:t>
      </w:r>
      <w:r>
        <w:rPr>
          <w:rFonts w:hint="eastAsia" w:cs="宋体"/>
          <w:szCs w:val="21"/>
          <w:highlight w:val="none"/>
        </w:rPr>
        <w:t>的情形之一的，投标无效：</w:t>
      </w:r>
    </w:p>
    <w:p>
      <w:pPr>
        <w:pStyle w:val="130"/>
        <w:spacing w:before="0"/>
        <w:ind w:firstLine="0" w:firstLineChars="0"/>
        <w:rPr>
          <w:rFonts w:ascii="宋体" w:hAnsi="宋体" w:cs="宋体"/>
          <w:b/>
          <w:szCs w:val="24"/>
          <w:highlight w:val="none"/>
        </w:rPr>
      </w:pPr>
      <w:r>
        <w:rPr>
          <w:rFonts w:hint="eastAsia" w:ascii="宋体" w:hAnsi="宋体" w:cs="宋体"/>
          <w:b/>
          <w:szCs w:val="24"/>
          <w:highlight w:val="none"/>
        </w:rPr>
        <w:t>17.投标有效期</w:t>
      </w:r>
    </w:p>
    <w:p>
      <w:pPr>
        <w:spacing w:line="360" w:lineRule="auto"/>
        <w:ind w:firstLine="480" w:firstLineChars="200"/>
        <w:rPr>
          <w:rFonts w:ascii="宋体" w:hAnsi="宋体" w:cs="宋体"/>
          <w:b/>
          <w:sz w:val="24"/>
          <w:szCs w:val="21"/>
          <w:highlight w:val="none"/>
        </w:rPr>
      </w:pPr>
      <w:r>
        <w:rPr>
          <w:rFonts w:hint="eastAsia" w:ascii="宋体" w:hAnsi="宋体" w:cs="宋体"/>
          <w:sz w:val="24"/>
          <w:szCs w:val="20"/>
          <w:highlight w:val="none"/>
        </w:rPr>
        <w:t>17.1投标有效期为从提交投标文件的截止之日起90天。▲</w:t>
      </w:r>
      <w:r>
        <w:rPr>
          <w:rFonts w:hint="eastAsia" w:ascii="宋体" w:hAnsi="宋体" w:cs="宋体"/>
          <w:b/>
          <w:sz w:val="24"/>
          <w:szCs w:val="20"/>
          <w:highlight w:val="none"/>
        </w:rPr>
        <w:t>投标人的投标文件中承</w:t>
      </w:r>
      <w:r>
        <w:rPr>
          <w:rFonts w:hint="eastAsia" w:ascii="宋体" w:hAnsi="宋体" w:cs="宋体"/>
          <w:b/>
          <w:sz w:val="24"/>
          <w:szCs w:val="21"/>
          <w:highlight w:val="none"/>
        </w:rPr>
        <w:t>诺的投标有效期少于招标文件中载明的投标有效期的，投标无效。</w:t>
      </w:r>
    </w:p>
    <w:p>
      <w:pPr>
        <w:pStyle w:val="130"/>
        <w:spacing w:before="0"/>
        <w:ind w:firstLine="480"/>
        <w:rPr>
          <w:rFonts w:ascii="宋体" w:hAnsi="宋体" w:cs="宋体"/>
          <w:highlight w:val="none"/>
        </w:rPr>
      </w:pPr>
      <w:r>
        <w:rPr>
          <w:rFonts w:hint="eastAsia" w:ascii="宋体" w:hAnsi="宋体" w:cs="宋体"/>
          <w:highlight w:val="none"/>
        </w:rPr>
        <w:t>17.2投标文件合格投递后，自投标截止日期起，在投标有效期内有效。</w:t>
      </w:r>
    </w:p>
    <w:p>
      <w:pPr>
        <w:pStyle w:val="130"/>
        <w:spacing w:before="0"/>
        <w:ind w:firstLine="480"/>
        <w:rPr>
          <w:rFonts w:ascii="宋体" w:hAnsi="宋体" w:cs="宋体"/>
          <w:highlight w:val="none"/>
        </w:rPr>
      </w:pPr>
      <w:r>
        <w:rPr>
          <w:rFonts w:hint="eastAsia" w:ascii="宋体" w:hAnsi="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130"/>
        <w:spacing w:before="0"/>
        <w:ind w:firstLine="480"/>
        <w:rPr>
          <w:rFonts w:ascii="宋体" w:hAnsi="宋体" w:cs="宋体"/>
          <w:highlight w:val="none"/>
        </w:rPr>
      </w:pPr>
      <w:r>
        <w:rPr>
          <w:rFonts w:hint="eastAsia" w:ascii="宋体" w:hAnsi="宋体" w:cs="宋体"/>
          <w:highlight w:val="none"/>
        </w:rPr>
        <w:t>17.4在投标截止时间起至投标有效期届满，供应商投标文件不可撤销。</w:t>
      </w:r>
    </w:p>
    <w:p>
      <w:pPr>
        <w:pStyle w:val="130"/>
        <w:spacing w:before="0"/>
        <w:ind w:firstLine="643"/>
        <w:rPr>
          <w:rFonts w:ascii="宋体" w:hAnsi="宋体" w:cs="宋体"/>
          <w:b/>
          <w:sz w:val="32"/>
          <w:highlight w:val="none"/>
        </w:rPr>
      </w:pPr>
    </w:p>
    <w:p>
      <w:pPr>
        <w:pStyle w:val="130"/>
        <w:spacing w:before="0"/>
        <w:ind w:firstLine="1928" w:firstLineChars="600"/>
        <w:rPr>
          <w:rFonts w:ascii="宋体" w:hAnsi="宋体" w:cs="宋体"/>
          <w:b/>
          <w:sz w:val="32"/>
          <w:highlight w:val="none"/>
        </w:rPr>
      </w:pPr>
      <w:r>
        <w:rPr>
          <w:rFonts w:hint="eastAsia" w:ascii="宋体" w:hAnsi="宋体" w:cs="宋体"/>
          <w:b/>
          <w:sz w:val="32"/>
          <w:highlight w:val="none"/>
        </w:rPr>
        <w:t>四、开标、资格审查与信用信息查询</w:t>
      </w:r>
    </w:p>
    <w:p>
      <w:pPr>
        <w:pStyle w:val="557"/>
        <w:spacing w:before="0" w:line="360" w:lineRule="auto"/>
        <w:ind w:left="0" w:firstLine="241" w:firstLineChars="100"/>
        <w:contextualSpacing/>
        <w:rPr>
          <w:rFonts w:ascii="宋体" w:hAnsi="宋体" w:cs="宋体"/>
          <w:sz w:val="24"/>
          <w:highlight w:val="none"/>
        </w:rPr>
      </w:pPr>
      <w:r>
        <w:rPr>
          <w:rFonts w:hint="eastAsia" w:ascii="宋体" w:hAnsi="宋体" w:cs="宋体"/>
          <w:b/>
          <w:sz w:val="24"/>
          <w:szCs w:val="24"/>
          <w:highlight w:val="none"/>
        </w:rPr>
        <w:t>18.开标</w:t>
      </w:r>
      <w:r>
        <w:rPr>
          <w:rFonts w:hint="eastAsia" w:ascii="宋体" w:hAnsi="宋体" w:cs="宋体"/>
          <w:sz w:val="24"/>
          <w:highlight w:val="none"/>
        </w:rPr>
        <w:t xml:space="preserve"> </w:t>
      </w:r>
    </w:p>
    <w:p>
      <w:pPr>
        <w:pStyle w:val="557"/>
        <w:spacing w:before="0" w:line="360" w:lineRule="auto"/>
        <w:ind w:left="0" w:firstLine="480" w:firstLineChars="200"/>
        <w:contextualSpacing/>
        <w:rPr>
          <w:rFonts w:ascii="宋体" w:hAnsi="宋体" w:cs="宋体"/>
          <w:sz w:val="24"/>
          <w:highlight w:val="none"/>
        </w:rPr>
      </w:pPr>
      <w:r>
        <w:rPr>
          <w:rFonts w:hint="eastAsia" w:ascii="宋体" w:hAnsi="宋体" w:cs="宋体"/>
          <w:sz w:val="24"/>
          <w:highlight w:val="none"/>
        </w:rPr>
        <w:t>18.1采购机构按照招标文件规定的时间通过电子交易平台组织开标，所有投标人均应当准时在线参加。投标人不足3家的，不得开标。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sz w:val="24"/>
          <w:highlight w:val="none"/>
        </w:rPr>
      </w:pPr>
      <w:r>
        <w:rPr>
          <w:rFonts w:hint="eastAsia" w:ascii="宋体" w:hAnsi="宋体" w:cs="宋体"/>
          <w:sz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宋体" w:hAnsi="宋体" w:cs="宋体"/>
          <w:b/>
          <w:sz w:val="24"/>
          <w:highlight w:val="none"/>
        </w:rPr>
      </w:pPr>
      <w:r>
        <w:rPr>
          <w:rFonts w:hint="eastAsia" w:ascii="宋体" w:hAnsi="宋体" w:cs="宋体"/>
          <w:sz w:val="24"/>
          <w:highlight w:val="none"/>
        </w:rPr>
        <w:t>　18.3</w:t>
      </w:r>
      <w:r>
        <w:rPr>
          <w:rFonts w:hint="eastAsia" w:ascii="宋体" w:hAnsi="宋体" w:cs="宋体"/>
          <w:b/>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highlight w:val="none"/>
        </w:rPr>
      </w:pPr>
      <w:r>
        <w:rPr>
          <w:rFonts w:hint="eastAsia" w:ascii="宋体" w:hAnsi="宋体" w:cs="宋体"/>
          <w:b/>
          <w:sz w:val="24"/>
          <w:szCs w:val="20"/>
          <w:highlight w:val="none"/>
        </w:rPr>
        <w:t>　19、资格审查</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19.1开标后，采购人将依据法律法规和招标文件的规定，对投标人的资格进行审查。</w:t>
      </w:r>
    </w:p>
    <w:p>
      <w:pPr>
        <w:pStyle w:val="130"/>
        <w:spacing w:before="0"/>
        <w:ind w:firstLine="480"/>
        <w:rPr>
          <w:rFonts w:ascii="宋体" w:hAnsi="宋体" w:cs="宋体"/>
          <w:highlight w:val="none"/>
        </w:rPr>
      </w:pPr>
      <w:r>
        <w:rPr>
          <w:rFonts w:hint="eastAsia" w:ascii="宋体" w:hAnsi="宋体" w:cs="宋体"/>
          <w:kern w:val="0"/>
          <w:szCs w:val="24"/>
          <w:highlight w:val="none"/>
        </w:rPr>
        <w:t>19.2投标人未按照招标文件要求提供与</w:t>
      </w:r>
      <w:r>
        <w:rPr>
          <w:rFonts w:hint="eastAsia" w:ascii="宋体" w:hAnsi="宋体" w:cs="宋体"/>
          <w:highlight w:val="none"/>
        </w:rPr>
        <w:t>资格条件相应的</w:t>
      </w:r>
      <w:r>
        <w:rPr>
          <w:rFonts w:hint="eastAsia" w:ascii="宋体" w:hAnsi="宋体" w:cs="宋体"/>
          <w:kern w:val="0"/>
          <w:szCs w:val="24"/>
          <w:highlight w:val="none"/>
        </w:rPr>
        <w:t>有效资格证明材料的，视为</w:t>
      </w:r>
      <w:r>
        <w:rPr>
          <w:rFonts w:hint="eastAsia" w:ascii="宋体" w:hAnsi="宋体" w:cs="宋体"/>
          <w:highlight w:val="none"/>
        </w:rPr>
        <w:t>投标人不具备招标文件中规定的资格要求，其投标无效。</w:t>
      </w:r>
    </w:p>
    <w:p>
      <w:pPr>
        <w:pStyle w:val="130"/>
        <w:spacing w:before="0"/>
        <w:ind w:firstLine="480"/>
        <w:rPr>
          <w:rFonts w:ascii="宋体" w:hAnsi="宋体" w:cs="宋体"/>
          <w:color w:val="auto"/>
          <w:highlight w:val="none"/>
        </w:rPr>
      </w:pPr>
      <w:r>
        <w:rPr>
          <w:rFonts w:hint="eastAsia" w:ascii="宋体" w:hAnsi="宋体" w:cs="宋体"/>
          <w:kern w:val="0"/>
          <w:szCs w:val="24"/>
          <w:highlight w:val="none"/>
        </w:rPr>
        <w:t>19.</w:t>
      </w:r>
      <w:r>
        <w:rPr>
          <w:rFonts w:hint="eastAsia" w:ascii="宋体" w:hAnsi="宋体" w:cs="宋体"/>
          <w:highlight w:val="none"/>
        </w:rPr>
        <w:t>3对未通过资格审查的投标人</w:t>
      </w:r>
      <w:r>
        <w:rPr>
          <w:rFonts w:hint="eastAsia" w:ascii="宋体" w:hAnsi="宋体" w:cs="宋体"/>
          <w:color w:val="auto"/>
          <w:highlight w:val="none"/>
        </w:rPr>
        <w:t>，告知其未通过的原因。</w:t>
      </w:r>
    </w:p>
    <w:p>
      <w:pPr>
        <w:pStyle w:val="130"/>
        <w:spacing w:before="0"/>
        <w:ind w:firstLine="480"/>
        <w:rPr>
          <w:rFonts w:hint="eastAsia"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30"/>
        <w:spacing w:before="0"/>
        <w:ind w:firstLine="480"/>
        <w:rPr>
          <w:rFonts w:ascii="宋体" w:hAnsi="宋体" w:cs="宋体"/>
          <w:color w:val="auto"/>
          <w:highlight w:val="none"/>
        </w:rPr>
      </w:pPr>
      <w:r>
        <w:rPr>
          <w:rFonts w:hint="eastAsia" w:ascii="宋体" w:hAnsi="宋体" w:cs="宋体"/>
          <w:color w:val="auto"/>
          <w:kern w:val="0"/>
          <w:szCs w:val="24"/>
        </w:rPr>
        <w:t>19.5金融、保险、通讯等特定行业的全国性企业所设立的区域性分支机构，以及个体工商户、个人独资企业、合伙企业，如果已经依法办理了工商、税务和社保登记手续，并且获得总机构授权或能够提供房产权证或其他有效财产证明材料，证明其具备实际承担责任的能力和法定的缔结合同能力，可以允许其独立参加政府采购活动。</w:t>
      </w:r>
    </w:p>
    <w:p>
      <w:pPr>
        <w:widowControl/>
        <w:spacing w:before="100" w:beforeAutospacing="1" w:after="240" w:line="360" w:lineRule="auto"/>
        <w:ind w:firstLine="241" w:firstLineChars="100"/>
        <w:jc w:val="left"/>
        <w:rPr>
          <w:rFonts w:ascii="宋体" w:hAnsi="宋体" w:cs="宋体"/>
          <w:b/>
          <w:sz w:val="24"/>
          <w:highlight w:val="none"/>
        </w:rPr>
      </w:pPr>
      <w:r>
        <w:rPr>
          <w:rFonts w:hint="eastAsia" w:ascii="宋体" w:hAnsi="宋体" w:cs="宋体"/>
          <w:b/>
          <w:sz w:val="24"/>
          <w:highlight w:val="none"/>
        </w:rPr>
        <w:t>20、信用信息查询</w:t>
      </w:r>
    </w:p>
    <w:p>
      <w:pPr>
        <w:pStyle w:val="130"/>
        <w:spacing w:before="0"/>
        <w:ind w:firstLine="495" w:firstLineChars="0"/>
        <w:rPr>
          <w:rFonts w:ascii="宋体" w:hAnsi="宋体" w:cs="宋体"/>
          <w:kern w:val="0"/>
          <w:szCs w:val="24"/>
          <w:highlight w:val="none"/>
        </w:rPr>
      </w:pPr>
      <w:r>
        <w:rPr>
          <w:rFonts w:hint="eastAsia" w:ascii="宋体" w:hAnsi="宋体" w:cs="宋体"/>
          <w:kern w:val="0"/>
          <w:szCs w:val="24"/>
          <w:highlight w:val="none"/>
        </w:rPr>
        <w:t>20.1信用信息查询渠道及截止时间：采购机构将在资格审查时通过“信用中国”网站(www.creditchina.gov.cn)、中国政府采购网(www.ccgp.gov.cn)渠道查询投标人接受资格审查时的信用记录。</w:t>
      </w:r>
    </w:p>
    <w:p>
      <w:pPr>
        <w:pStyle w:val="130"/>
        <w:spacing w:before="0"/>
        <w:ind w:firstLine="495" w:firstLineChars="0"/>
        <w:rPr>
          <w:rFonts w:ascii="宋体" w:hAnsi="宋体" w:cs="宋体"/>
          <w:kern w:val="0"/>
          <w:szCs w:val="24"/>
          <w:highlight w:val="none"/>
        </w:rPr>
      </w:pPr>
      <w:r>
        <w:rPr>
          <w:rFonts w:hint="eastAsia" w:ascii="宋体" w:hAnsi="宋体" w:cs="宋体"/>
          <w:kern w:val="0"/>
          <w:szCs w:val="24"/>
          <w:highlight w:val="none"/>
        </w:rPr>
        <w:t>20.2信用信息查询记录和证据留存的具体方式：现场查询的投标人的信用记录、查询结果经确认后将与采购文件一起存档。</w:t>
      </w:r>
    </w:p>
    <w:p>
      <w:pPr>
        <w:pStyle w:val="130"/>
        <w:spacing w:before="0"/>
        <w:ind w:firstLine="495" w:firstLineChars="0"/>
        <w:rPr>
          <w:rFonts w:ascii="宋体" w:hAnsi="宋体" w:cs="宋体"/>
          <w:kern w:val="0"/>
          <w:szCs w:val="24"/>
          <w:highlight w:val="none"/>
        </w:rPr>
      </w:pPr>
      <w:r>
        <w:rPr>
          <w:rFonts w:hint="eastAsia" w:ascii="宋体" w:hAnsi="宋体" w:cs="宋体"/>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highlight w:val="none"/>
        </w:rPr>
      </w:pPr>
      <w:r>
        <w:rPr>
          <w:rFonts w:hint="eastAsia" w:ascii="宋体" w:hAnsi="宋体" w:cs="宋体"/>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highlight w:val="none"/>
        </w:rPr>
        <w:t>。</w:t>
      </w:r>
    </w:p>
    <w:p>
      <w:pPr>
        <w:pStyle w:val="130"/>
        <w:spacing w:before="0"/>
        <w:ind w:firstLine="0" w:firstLineChars="0"/>
        <w:rPr>
          <w:rFonts w:ascii="宋体" w:hAnsi="宋体" w:cs="宋体"/>
          <w:kern w:val="0"/>
          <w:szCs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五、评标</w:t>
      </w:r>
    </w:p>
    <w:p>
      <w:pPr>
        <w:spacing w:line="360" w:lineRule="auto"/>
        <w:rPr>
          <w:rFonts w:ascii="宋体" w:hAnsi="宋体" w:cs="宋体"/>
          <w:b/>
          <w:sz w:val="24"/>
          <w:highlight w:val="none"/>
        </w:rPr>
      </w:pPr>
      <w:bookmarkStart w:id="13" w:name="_Toc91899903"/>
      <w:r>
        <w:rPr>
          <w:rFonts w:hint="eastAsia" w:ascii="宋体" w:hAnsi="宋体" w:cs="宋体"/>
          <w:b/>
          <w:sz w:val="24"/>
          <w:highlight w:val="none"/>
        </w:rPr>
        <w:t>21.</w:t>
      </w:r>
      <w:r>
        <w:rPr>
          <w:rFonts w:hint="eastAsia" w:ascii="宋体" w:hAnsi="宋体" w:cs="宋体"/>
          <w:highlight w:val="none"/>
        </w:rPr>
        <w:t xml:space="preserve"> </w:t>
      </w:r>
      <w:r>
        <w:rPr>
          <w:rFonts w:hint="eastAsia" w:ascii="宋体" w:hAnsi="宋体" w:cs="宋体"/>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highlight w:val="none"/>
        </w:rPr>
        <w:t>详见招标文件第四部分评标办法。</w:t>
      </w:r>
    </w:p>
    <w:p>
      <w:pPr>
        <w:spacing w:line="360" w:lineRule="auto"/>
        <w:rPr>
          <w:rFonts w:ascii="宋体" w:hAnsi="宋体" w:cs="宋体"/>
          <w:b/>
          <w:sz w:val="24"/>
          <w:highlight w:val="none"/>
        </w:rPr>
      </w:pPr>
    </w:p>
    <w:p>
      <w:pPr>
        <w:snapToGrid w:val="0"/>
        <w:spacing w:line="360" w:lineRule="auto"/>
        <w:jc w:val="center"/>
        <w:outlineLvl w:val="0"/>
        <w:rPr>
          <w:rFonts w:ascii="宋体" w:hAnsi="宋体" w:cs="宋体"/>
          <w:b/>
          <w:sz w:val="36"/>
          <w:szCs w:val="36"/>
          <w:highlight w:val="none"/>
        </w:rPr>
      </w:pPr>
      <w:r>
        <w:rPr>
          <w:rFonts w:hint="eastAsia" w:ascii="宋体" w:hAnsi="宋体" w:cs="宋体"/>
          <w:b/>
          <w:sz w:val="36"/>
          <w:szCs w:val="36"/>
          <w:highlight w:val="none"/>
        </w:rPr>
        <w:t>六、定 标</w:t>
      </w:r>
    </w:p>
    <w:p>
      <w:pPr>
        <w:pStyle w:val="24"/>
        <w:spacing w:line="360" w:lineRule="auto"/>
        <w:ind w:left="479" w:hanging="479" w:hangingChars="199"/>
        <w:rPr>
          <w:rFonts w:cs="宋体"/>
          <w:b/>
          <w:highlight w:val="none"/>
        </w:rPr>
      </w:pPr>
      <w:r>
        <w:rPr>
          <w:rFonts w:hint="eastAsia" w:cs="宋体"/>
          <w:b/>
          <w:highlight w:val="none"/>
        </w:rPr>
        <w:t>22. 确定中标供应商</w:t>
      </w:r>
    </w:p>
    <w:p>
      <w:pPr>
        <w:pStyle w:val="130"/>
        <w:snapToGrid w:val="0"/>
        <w:spacing w:before="0"/>
        <w:ind w:firstLine="480"/>
        <w:rPr>
          <w:rFonts w:ascii="宋体" w:hAnsi="宋体" w:cs="宋体"/>
          <w:b/>
          <w:szCs w:val="24"/>
          <w:highlight w:val="none"/>
        </w:rPr>
      </w:pPr>
      <w:r>
        <w:rPr>
          <w:rFonts w:hint="eastAsia" w:ascii="宋体" w:hAnsi="宋体" w:cs="宋体"/>
          <w:szCs w:val="24"/>
          <w:highlight w:val="none"/>
        </w:rPr>
        <w:t>政府采购项目实行全流程电子化，评审报告</w:t>
      </w:r>
      <w:r>
        <w:rPr>
          <w:rFonts w:hint="eastAsia" w:ascii="宋体" w:hAnsi="宋体" w:cs="宋体"/>
          <w:color w:val="auto"/>
          <w:szCs w:val="24"/>
          <w:highlight w:val="none"/>
        </w:rPr>
        <w:t>送交、采购结果确定和结果公告均在线完成。为进一步提升采购结果确定效率，采购代理机构应当依法及时将评审报告在线送交采购人。采购单位应当自收到评审报告之日起2个工作日内在线确定中标或者成交供应商</w:t>
      </w:r>
      <w:r>
        <w:rPr>
          <w:rFonts w:hint="eastAsia" w:ascii="宋体" w:hAnsi="宋体" w:cs="宋体"/>
          <w:color w:val="auto"/>
          <w:szCs w:val="24"/>
        </w:rPr>
        <w:t>，为提高政府采购效率，</w:t>
      </w:r>
      <w:r>
        <w:rPr>
          <w:rFonts w:hint="eastAsia" w:ascii="宋体" w:hAnsi="宋体" w:cs="宋体"/>
          <w:color w:val="auto"/>
          <w:szCs w:val="24"/>
          <w:lang w:val="en-US" w:eastAsia="zh-CN"/>
        </w:rPr>
        <w:t>鼓励</w:t>
      </w:r>
      <w:r>
        <w:rPr>
          <w:rFonts w:hint="eastAsia" w:ascii="宋体" w:hAnsi="宋体" w:cs="宋体"/>
          <w:color w:val="auto"/>
          <w:szCs w:val="24"/>
        </w:rPr>
        <w:t>在收到评审报告当天</w:t>
      </w:r>
      <w:r>
        <w:rPr>
          <w:rFonts w:hint="eastAsia" w:ascii="宋体" w:hAnsi="宋体" w:cs="宋体"/>
          <w:color w:val="auto"/>
          <w:szCs w:val="24"/>
          <w:lang w:val="en-US" w:eastAsia="zh-CN"/>
        </w:rPr>
        <w:t>在线</w:t>
      </w:r>
      <w:r>
        <w:rPr>
          <w:rFonts w:hint="eastAsia" w:ascii="宋体" w:hAnsi="宋体" w:cs="宋体"/>
          <w:color w:val="auto"/>
          <w:szCs w:val="24"/>
        </w:rPr>
        <w:t>确定中标或者成交供应商</w:t>
      </w:r>
      <w:r>
        <w:rPr>
          <w:rFonts w:hint="eastAsia" w:ascii="宋体" w:hAnsi="宋体" w:cs="宋体"/>
          <w:color w:val="auto"/>
          <w:szCs w:val="24"/>
          <w:highlight w:val="none"/>
        </w:rPr>
        <w:t>。在采购结果确认环节，中标候选人撤销投标文件不能成为采购人不确认采购结果的正当理由。中标、成交通知书和中标、成交结果公告应当在规定时间内同时发出</w:t>
      </w:r>
      <w:r>
        <w:rPr>
          <w:rFonts w:hint="eastAsia" w:ascii="宋体" w:hAnsi="宋体" w:cs="宋体"/>
          <w:szCs w:val="24"/>
          <w:highlight w:val="none"/>
        </w:rPr>
        <w:t>。</w:t>
      </w:r>
    </w:p>
    <w:p>
      <w:pPr>
        <w:pStyle w:val="130"/>
        <w:snapToGrid w:val="0"/>
        <w:spacing w:before="0"/>
        <w:ind w:firstLine="0" w:firstLineChars="0"/>
        <w:rPr>
          <w:rFonts w:ascii="宋体" w:hAnsi="宋体" w:cs="宋体"/>
          <w:b/>
          <w:szCs w:val="24"/>
          <w:highlight w:val="none"/>
        </w:rPr>
      </w:pPr>
      <w:r>
        <w:rPr>
          <w:rFonts w:hint="eastAsia" w:ascii="宋体" w:hAnsi="宋体" w:cs="宋体"/>
          <w:b/>
          <w:szCs w:val="24"/>
          <w:highlight w:val="none"/>
        </w:rPr>
        <w:t>23. 中标通知与中标结果公告</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23.2中标结果公告内容包括采购人及其委托的采购机构的名称、地址、联系方式，项目名称和项目编号，中标人名称、地址和中标金额，主要中标标的的名称、规格型号、数量、单价、服务要求，开标记录、</w:t>
      </w:r>
      <w:bookmarkStart w:id="14" w:name="_Hlk101184471"/>
      <w:r>
        <w:rPr>
          <w:rFonts w:hint="eastAsia" w:ascii="宋体" w:hAnsi="宋体" w:cs="宋体"/>
          <w:sz w:val="24"/>
          <w:highlight w:val="none"/>
        </w:rPr>
        <w:t>资格审查情况、评审专家抽取规则、符合性审查情况、</w:t>
      </w:r>
      <w:bookmarkEnd w:id="14"/>
      <w:r>
        <w:rPr>
          <w:rFonts w:hint="eastAsia" w:ascii="宋体" w:hAnsi="宋体" w:cs="宋体"/>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highlight w:val="none"/>
        </w:rPr>
      </w:pPr>
      <w:r>
        <w:rPr>
          <w:rFonts w:hint="eastAsia" w:ascii="宋体" w:hAnsi="宋体" w:cs="宋体"/>
          <w:sz w:val="24"/>
          <w:highlight w:val="none"/>
        </w:rPr>
        <w:t>23.3公告期限为1个工作日。</w:t>
      </w:r>
    </w:p>
    <w:p>
      <w:pPr>
        <w:snapToGrid w:val="0"/>
        <w:spacing w:line="360" w:lineRule="auto"/>
        <w:ind w:left="120" w:leftChars="57" w:firstLine="482" w:firstLineChars="150"/>
        <w:jc w:val="center"/>
        <w:rPr>
          <w:rFonts w:ascii="宋体" w:hAnsi="宋体" w:cs="宋体"/>
          <w:b/>
          <w:sz w:val="32"/>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七、合同授予</w:t>
      </w:r>
    </w:p>
    <w:p>
      <w:pPr>
        <w:pStyle w:val="24"/>
        <w:spacing w:line="360" w:lineRule="auto"/>
        <w:ind w:left="479" w:hanging="479" w:hangingChars="199"/>
        <w:rPr>
          <w:rFonts w:cs="宋体"/>
          <w:b/>
          <w:highlight w:val="none"/>
        </w:rPr>
      </w:pPr>
      <w:r>
        <w:rPr>
          <w:rFonts w:hint="eastAsia" w:cs="宋体"/>
          <w:b/>
          <w:highlight w:val="none"/>
        </w:rPr>
        <w:t xml:space="preserve">24. </w:t>
      </w:r>
      <w:r>
        <w:rPr>
          <w:rFonts w:hint="eastAsia" w:cs="宋体"/>
          <w:highlight w:val="none"/>
        </w:rPr>
        <w:t>合同主要条款详见第五部分拟签订的合同文本。</w:t>
      </w:r>
    </w:p>
    <w:p>
      <w:pPr>
        <w:pStyle w:val="24"/>
        <w:spacing w:line="360" w:lineRule="auto"/>
        <w:ind w:left="479" w:hanging="479" w:hangingChars="199"/>
        <w:rPr>
          <w:rFonts w:cs="宋体"/>
          <w:b/>
          <w:highlight w:val="none"/>
        </w:rPr>
      </w:pPr>
      <w:r>
        <w:rPr>
          <w:rFonts w:hint="eastAsia" w:cs="宋体"/>
          <w:b/>
          <w:highlight w:val="none"/>
        </w:rPr>
        <w:t>25. 合同的签订</w:t>
      </w:r>
    </w:p>
    <w:p>
      <w:pPr>
        <w:widowControl/>
        <w:shd w:val="clear" w:color="auto" w:fill="FFFFFF"/>
        <w:spacing w:line="360" w:lineRule="auto"/>
        <w:ind w:firstLine="480"/>
        <w:jc w:val="left"/>
        <w:rPr>
          <w:rFonts w:ascii="宋体" w:hAnsi="宋体" w:cs="宋体"/>
          <w:kern w:val="0"/>
          <w:sz w:val="24"/>
          <w:highlight w:val="none"/>
        </w:rPr>
      </w:pPr>
      <w:r>
        <w:rPr>
          <w:rFonts w:hint="eastAsia" w:ascii="宋体" w:hAnsi="宋体" w:cs="宋体"/>
          <w:sz w:val="24"/>
          <w:highlight w:val="none"/>
        </w:rPr>
        <w:t>25.1</w:t>
      </w:r>
      <w:r>
        <w:rPr>
          <w:rFonts w:hint="eastAsia" w:ascii="宋体" w:hAnsi="宋体" w:cs="宋体"/>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highlight w:val="none"/>
        </w:rPr>
      </w:pPr>
      <w:r>
        <w:rPr>
          <w:rFonts w:hint="eastAsia" w:ascii="宋体" w:hAnsi="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highlight w:val="none"/>
        </w:rPr>
      </w:pPr>
      <w:r>
        <w:rPr>
          <w:rFonts w:hint="eastAsia" w:ascii="宋体" w:hAnsi="宋体" w:cs="宋体"/>
          <w:highlight w:val="none"/>
        </w:rPr>
        <w:t>25.3如签订合同并生效后，供应商无故拒绝或延期，除按照合同条款处理外，列入不良行为记录一次，并给予通报。</w:t>
      </w:r>
    </w:p>
    <w:p>
      <w:pPr>
        <w:pStyle w:val="130"/>
        <w:snapToGrid w:val="0"/>
        <w:spacing w:before="0"/>
        <w:ind w:firstLine="480"/>
        <w:rPr>
          <w:rFonts w:ascii="宋体" w:hAnsi="宋体" w:cs="宋体"/>
          <w:highlight w:val="none"/>
        </w:rPr>
      </w:pPr>
      <w:r>
        <w:rPr>
          <w:rFonts w:hint="eastAsia" w:ascii="宋体" w:hAnsi="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130"/>
        <w:snapToGrid w:val="0"/>
        <w:spacing w:before="0" w:after="120"/>
        <w:ind w:firstLine="480"/>
        <w:rPr>
          <w:rFonts w:ascii="宋体" w:hAnsi="宋体" w:cs="宋体"/>
          <w:highlight w:val="none"/>
        </w:rPr>
      </w:pPr>
      <w:r>
        <w:rPr>
          <w:rFonts w:hint="eastAsia" w:ascii="宋体" w:hAnsi="宋体" w:cs="宋体"/>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highlight w:val="none"/>
        </w:rPr>
      </w:pPr>
      <w:r>
        <w:rPr>
          <w:rFonts w:hint="eastAsia" w:cs="宋体"/>
          <w:b/>
          <w:highlight w:val="none"/>
        </w:rPr>
        <w:t>26. 履约保证金</w:t>
      </w:r>
    </w:p>
    <w:p>
      <w:pPr>
        <w:tabs>
          <w:tab w:val="left" w:pos="0"/>
        </w:tabs>
        <w:spacing w:line="360" w:lineRule="auto"/>
        <w:ind w:firstLine="482"/>
        <w:rPr>
          <w:rFonts w:ascii="宋体" w:hAnsi="宋体" w:cs="宋体"/>
          <w:sz w:val="24"/>
          <w:highlight w:val="none"/>
        </w:rPr>
      </w:pPr>
      <w:r>
        <w:rPr>
          <w:rFonts w:hint="eastAsia" w:ascii="宋体" w:hAnsi="宋体" w:cs="宋体"/>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sz w:val="24"/>
          <w:highlight w:val="none"/>
        </w:rPr>
        <w:t>。履约保证金的数额不得超过政府采购合同金额的</w:t>
      </w:r>
      <w:r>
        <w:rPr>
          <w:rFonts w:ascii="宋体" w:hAnsi="宋体" w:cs="宋体"/>
          <w:sz w:val="24"/>
          <w:highlight w:val="none"/>
        </w:rPr>
        <w:t>1</w:t>
      </w:r>
      <w:r>
        <w:rPr>
          <w:rFonts w:hint="eastAsia" w:ascii="宋体" w:hAnsi="宋体" w:cs="宋体"/>
          <w:sz w:val="24"/>
          <w:highlight w:val="none"/>
        </w:rPr>
        <w:t>%。鼓励和支持供应商以银行、保险公司出具的保函形式提供履约保证金。采购人不得拒收履约保函，项目验收结束后应及时退还，</w:t>
      </w:r>
      <w:r>
        <w:rPr>
          <w:rFonts w:ascii="宋体" w:hAnsi="宋体" w:cs="宋体"/>
          <w:sz w:val="24"/>
          <w:highlight w:val="none"/>
        </w:rPr>
        <w:t>延迟退还的，应当按照合同约定和法律规定承担相应的赔偿责任</w:t>
      </w:r>
      <w:r>
        <w:rPr>
          <w:rFonts w:hint="eastAsia" w:ascii="宋体" w:hAnsi="宋体" w:cs="宋体"/>
          <w:sz w:val="24"/>
          <w:highlight w:val="none"/>
        </w:rPr>
        <w:t>。</w:t>
      </w:r>
    </w:p>
    <w:p>
      <w:pPr>
        <w:pStyle w:val="3"/>
        <w:ind w:left="0" w:firstLine="480" w:firstLineChars="200"/>
        <w:rPr>
          <w:rFonts w:hint="eastAsia" w:ascii="宋体" w:hAnsi="宋体" w:eastAsia="宋体" w:cs="宋体"/>
          <w:b w:val="0"/>
          <w:bCs w:val="0"/>
          <w:snapToGrid w:val="0"/>
          <w:kern w:val="28"/>
          <w:sz w:val="24"/>
          <w:highlight w:val="none"/>
        </w:rPr>
      </w:pPr>
      <w:r>
        <w:rPr>
          <w:rFonts w:hint="eastAsia" w:ascii="宋体" w:hAnsi="宋体" w:eastAsia="宋体" w:cs="宋体"/>
          <w:b w:val="0"/>
          <w:bCs w:val="0"/>
          <w:snapToGrid w:val="0"/>
          <w:kern w:val="28"/>
          <w:sz w:val="24"/>
          <w:highlight w:val="none"/>
        </w:rPr>
        <w:t>供应商</w:t>
      </w:r>
      <w:r>
        <w:rPr>
          <w:rFonts w:hint="eastAsia" w:ascii="宋体" w:hAnsi="宋体" w:eastAsia="宋体" w:cs="宋体"/>
          <w:b w:val="0"/>
          <w:bCs w:val="0"/>
          <w:snapToGrid w:val="0"/>
          <w:kern w:val="28"/>
          <w:sz w:val="24"/>
          <w:highlight w:val="none"/>
          <w:lang w:val="en-US"/>
        </w:rPr>
        <w:t>可</w:t>
      </w:r>
      <w:r>
        <w:rPr>
          <w:rFonts w:hint="eastAsia" w:ascii="宋体" w:hAnsi="宋体" w:eastAsia="宋体" w:cs="宋体"/>
          <w:b w:val="0"/>
          <w:bCs w:val="0"/>
          <w:snapToGrid w:val="0"/>
          <w:kern w:val="28"/>
          <w:sz w:val="24"/>
          <w:highlight w:val="none"/>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3"/>
        <w:rPr>
          <w:highlight w:val="none"/>
        </w:rPr>
      </w:pPr>
      <w:r>
        <w:rPr>
          <w:rFonts w:ascii="宋体" w:hAnsi="宋体" w:eastAsia="宋体"/>
          <w:b/>
          <w:bCs/>
          <w:sz w:val="24"/>
          <w:szCs w:val="32"/>
          <w:highlight w:val="none"/>
          <w:lang w:val="en-US"/>
        </w:rPr>
        <w:t>27.预付款</w:t>
      </w:r>
    </w:p>
    <w:p>
      <w:pPr>
        <w:tabs>
          <w:tab w:val="left" w:pos="0"/>
        </w:tabs>
        <w:spacing w:line="360" w:lineRule="auto"/>
        <w:ind w:firstLine="482"/>
        <w:rPr>
          <w:rFonts w:hint="eastAsia" w:ascii="宋体" w:hAnsi="宋体" w:cs="宋体"/>
          <w:kern w:val="0"/>
          <w:sz w:val="24"/>
          <w:highlight w:val="none"/>
          <w:lang w:val="en-US"/>
        </w:rPr>
      </w:pPr>
      <w:r>
        <w:rPr>
          <w:rFonts w:hint="eastAsia" w:ascii="宋体" w:hAnsi="宋体" w:cs="宋体"/>
          <w:kern w:val="0"/>
          <w:sz w:val="24"/>
          <w:highlight w:val="none"/>
        </w:rPr>
        <w:t>采购单位应当在政府采购合同中约定预付款，对中小企业合同预付款比例原则上不低于合同金额的40％，不高于合同金额的70%；项目分年安排预算的，每年预付款比例不低于项目年度计划支付资金额的40％，不高于合同金额的70%；采购项目实施以人工投入为主的，可适当降低预付款比例，但不得低于20%。对供应商为大型企业的项目或者以人工投入为主且实行按月定期结算支付款项的项目，预付款可低于上述比例或者不约定预付款。在签订合同时，供应商明确表示无需预付款或者主动要求降低预付款比例的，采购单位可不适用前述规定。采购单位根据项目特点、供应商诚信等因素，可以要求供应商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供应商可登录政采云前台大厅选择金融服务 - 【保函保险服务】出具预付款保函，具体步骤：选择产品—填写供应商信息—选择中标项目—确认信息—等待保险/保函受理—确认保单—支付保费—成功出单。政采云金融专线400-903-9583。</w:t>
      </w:r>
    </w:p>
    <w:p>
      <w:pPr>
        <w:snapToGrid w:val="0"/>
        <w:spacing w:line="360" w:lineRule="auto"/>
        <w:ind w:firstLine="3357" w:firstLineChars="1045"/>
        <w:rPr>
          <w:rFonts w:ascii="宋体" w:hAnsi="宋体" w:cs="宋体"/>
          <w:b/>
          <w:sz w:val="32"/>
          <w:highlight w:val="none"/>
        </w:rPr>
      </w:pPr>
    </w:p>
    <w:p>
      <w:pPr>
        <w:snapToGrid w:val="0"/>
        <w:spacing w:line="360" w:lineRule="auto"/>
        <w:ind w:firstLine="3357" w:firstLineChars="1045"/>
        <w:rPr>
          <w:rFonts w:ascii="宋体" w:hAnsi="宋体" w:cs="宋体"/>
          <w:b/>
          <w:sz w:val="24"/>
          <w:highlight w:val="none"/>
        </w:rPr>
      </w:pPr>
      <w:r>
        <w:rPr>
          <w:rFonts w:hint="eastAsia" w:ascii="宋体" w:hAnsi="宋体" w:cs="宋体"/>
          <w:b/>
          <w:sz w:val="32"/>
          <w:highlight w:val="none"/>
        </w:rPr>
        <w:t>八、电子交易活动的中止</w:t>
      </w:r>
    </w:p>
    <w:p>
      <w:pPr>
        <w:pStyle w:val="130"/>
        <w:snapToGrid w:val="0"/>
        <w:spacing w:before="0"/>
        <w:ind w:firstLine="0" w:firstLineChars="0"/>
        <w:rPr>
          <w:rFonts w:ascii="宋体" w:hAnsi="宋体" w:cs="宋体"/>
          <w:highlight w:val="none"/>
        </w:rPr>
      </w:pPr>
      <w:r>
        <w:rPr>
          <w:rFonts w:hint="eastAsia" w:ascii="宋体" w:hAnsi="宋体" w:cs="宋体"/>
          <w:highlight w:val="none"/>
        </w:rPr>
        <w:t>2</w:t>
      </w:r>
      <w:r>
        <w:rPr>
          <w:rFonts w:hint="eastAsia" w:ascii="宋体" w:hAnsi="宋体" w:cs="宋体"/>
          <w:b/>
          <w:szCs w:val="24"/>
          <w:highlight w:val="none"/>
          <w:lang w:val="en-US" w:eastAsia="zh-CN"/>
        </w:rPr>
        <w:t>8</w:t>
      </w:r>
      <w:r>
        <w:rPr>
          <w:rFonts w:hint="eastAsia" w:ascii="宋体" w:hAnsi="宋体" w:cs="宋体"/>
          <w:b/>
          <w:szCs w:val="24"/>
          <w:highlight w:val="none"/>
        </w:rPr>
        <w:t>. 电子交易活动的中止。</w:t>
      </w:r>
      <w:r>
        <w:rPr>
          <w:rFonts w:hint="eastAsia" w:ascii="宋体" w:hAnsi="宋体" w:cs="宋体"/>
          <w:highlight w:val="none"/>
        </w:rPr>
        <w:t>采购过程中出现以下情形，导致电子交易平台无法正常运行，或者无法保证电子交易的公平、公正和安全时，采购机构可中止电子交易活动：</w:t>
      </w:r>
    </w:p>
    <w:p>
      <w:pPr>
        <w:pStyle w:val="130"/>
        <w:snapToGrid w:val="0"/>
        <w:spacing w:before="0"/>
        <w:ind w:firstLine="480"/>
        <w:rPr>
          <w:rFonts w:ascii="宋体" w:hAnsi="宋体" w:cs="宋体"/>
          <w:highlight w:val="none"/>
        </w:rPr>
      </w:pPr>
      <w:r>
        <w:rPr>
          <w:rFonts w:hint="eastAsia" w:ascii="宋体" w:hAnsi="宋体" w:cs="宋体"/>
          <w:highlight w:val="none"/>
        </w:rPr>
        <w:t>2</w:t>
      </w:r>
      <w:r>
        <w:rPr>
          <w:rFonts w:hint="eastAsia" w:ascii="宋体" w:hAnsi="宋体" w:cs="宋体"/>
          <w:highlight w:val="none"/>
          <w:lang w:val="en-US" w:eastAsia="zh-CN"/>
        </w:rPr>
        <w:t>8</w:t>
      </w:r>
      <w:r>
        <w:rPr>
          <w:rFonts w:hint="eastAsia" w:ascii="宋体" w:hAnsi="宋体" w:cs="宋体"/>
          <w:highlight w:val="none"/>
        </w:rPr>
        <w:t xml:space="preserve">.1电子交易平台发生故障而无法登录访问的； </w:t>
      </w:r>
    </w:p>
    <w:p>
      <w:pPr>
        <w:pStyle w:val="130"/>
        <w:snapToGrid w:val="0"/>
        <w:spacing w:before="0"/>
        <w:ind w:firstLine="480"/>
        <w:rPr>
          <w:rFonts w:ascii="宋体" w:hAnsi="宋体" w:cs="宋体"/>
          <w:highlight w:val="none"/>
        </w:rPr>
      </w:pPr>
      <w:r>
        <w:rPr>
          <w:rFonts w:hint="eastAsia" w:ascii="宋体" w:hAnsi="宋体" w:cs="宋体"/>
          <w:highlight w:val="none"/>
        </w:rPr>
        <w:t>2</w:t>
      </w:r>
      <w:r>
        <w:rPr>
          <w:rFonts w:hint="eastAsia" w:ascii="宋体" w:hAnsi="宋体" w:cs="宋体"/>
          <w:highlight w:val="none"/>
          <w:lang w:val="en-US" w:eastAsia="zh-CN"/>
        </w:rPr>
        <w:t>8</w:t>
      </w:r>
      <w:r>
        <w:rPr>
          <w:rFonts w:hint="eastAsia" w:ascii="宋体" w:hAnsi="宋体" w:cs="宋体"/>
          <w:highlight w:val="none"/>
        </w:rPr>
        <w:t>.2电子交易平台应用或数据库出现错误，不能进行正常操作的；</w:t>
      </w:r>
    </w:p>
    <w:p>
      <w:pPr>
        <w:pStyle w:val="130"/>
        <w:snapToGrid w:val="0"/>
        <w:spacing w:before="0"/>
        <w:ind w:firstLine="480"/>
        <w:rPr>
          <w:rFonts w:ascii="宋体" w:hAnsi="宋体" w:cs="宋体"/>
          <w:highlight w:val="none"/>
        </w:rPr>
      </w:pPr>
      <w:r>
        <w:rPr>
          <w:rFonts w:hint="eastAsia" w:ascii="宋体" w:hAnsi="宋体" w:cs="宋体"/>
          <w:highlight w:val="none"/>
        </w:rPr>
        <w:t>2</w:t>
      </w:r>
      <w:r>
        <w:rPr>
          <w:rFonts w:hint="eastAsia" w:ascii="宋体" w:hAnsi="宋体" w:cs="宋体"/>
          <w:highlight w:val="none"/>
          <w:lang w:val="en-US" w:eastAsia="zh-CN"/>
        </w:rPr>
        <w:t>8</w:t>
      </w:r>
      <w:r>
        <w:rPr>
          <w:rFonts w:hint="eastAsia" w:ascii="宋体" w:hAnsi="宋体" w:cs="宋体"/>
          <w:highlight w:val="none"/>
        </w:rPr>
        <w:t>.3电子交易平台发现严重安全漏洞，有潜在泄密危险的；</w:t>
      </w:r>
    </w:p>
    <w:p>
      <w:pPr>
        <w:pStyle w:val="130"/>
        <w:snapToGrid w:val="0"/>
        <w:spacing w:before="0"/>
        <w:ind w:firstLine="480"/>
        <w:rPr>
          <w:rFonts w:ascii="宋体" w:hAnsi="宋体" w:cs="宋体"/>
          <w:highlight w:val="none"/>
        </w:rPr>
      </w:pPr>
      <w:r>
        <w:rPr>
          <w:rFonts w:hint="eastAsia" w:ascii="宋体" w:hAnsi="宋体" w:cs="宋体"/>
          <w:highlight w:val="none"/>
        </w:rPr>
        <w:t>2</w:t>
      </w:r>
      <w:r>
        <w:rPr>
          <w:rFonts w:hint="eastAsia" w:ascii="宋体" w:hAnsi="宋体" w:cs="宋体"/>
          <w:highlight w:val="none"/>
          <w:lang w:val="en-US" w:eastAsia="zh-CN"/>
        </w:rPr>
        <w:t>8</w:t>
      </w:r>
      <w:r>
        <w:rPr>
          <w:rFonts w:hint="eastAsia" w:ascii="宋体" w:hAnsi="宋体" w:cs="宋体"/>
          <w:highlight w:val="none"/>
        </w:rPr>
        <w:t xml:space="preserve">.4病毒发作导致不能进行正常操作的； </w:t>
      </w:r>
    </w:p>
    <w:p>
      <w:pPr>
        <w:pStyle w:val="130"/>
        <w:snapToGrid w:val="0"/>
        <w:spacing w:before="0"/>
        <w:ind w:firstLine="480"/>
        <w:rPr>
          <w:rFonts w:ascii="宋体" w:hAnsi="宋体" w:cs="宋体"/>
          <w:highlight w:val="none"/>
        </w:rPr>
      </w:pPr>
      <w:r>
        <w:rPr>
          <w:rFonts w:hint="eastAsia" w:ascii="宋体" w:hAnsi="宋体" w:cs="宋体"/>
          <w:highlight w:val="none"/>
        </w:rPr>
        <w:t>2</w:t>
      </w:r>
      <w:r>
        <w:rPr>
          <w:rFonts w:hint="eastAsia" w:ascii="宋体" w:hAnsi="宋体" w:cs="宋体"/>
          <w:highlight w:val="none"/>
          <w:lang w:val="en-US" w:eastAsia="zh-CN"/>
        </w:rPr>
        <w:t>8</w:t>
      </w:r>
      <w:r>
        <w:rPr>
          <w:rFonts w:hint="eastAsia" w:ascii="宋体" w:hAnsi="宋体" w:cs="宋体"/>
          <w:highlight w:val="none"/>
        </w:rPr>
        <w:t>.5其他无法保证电子交易的公平、公正和安全的情况。</w:t>
      </w:r>
    </w:p>
    <w:p>
      <w:pPr>
        <w:pStyle w:val="130"/>
        <w:snapToGrid w:val="0"/>
        <w:spacing w:before="0"/>
        <w:ind w:firstLine="0" w:firstLineChars="0"/>
        <w:rPr>
          <w:rFonts w:ascii="宋体" w:hAnsi="宋体" w:cs="宋体"/>
          <w:highlight w:val="none"/>
        </w:rPr>
      </w:pPr>
      <w:r>
        <w:rPr>
          <w:rFonts w:hint="eastAsia" w:ascii="宋体" w:hAnsi="宋体" w:cs="宋体"/>
          <w:highlight w:val="none"/>
        </w:rPr>
        <w:t xml:space="preserve"> 2</w:t>
      </w:r>
      <w:r>
        <w:rPr>
          <w:rFonts w:hint="eastAsia" w:ascii="宋体" w:hAnsi="宋体" w:cs="宋体"/>
          <w:highlight w:val="none"/>
          <w:lang w:val="en-US" w:eastAsia="zh-CN"/>
        </w:rPr>
        <w:t>9</w:t>
      </w:r>
      <w:r>
        <w:rPr>
          <w:rFonts w:hint="eastAsia" w:ascii="宋体" w:hAnsi="宋体" w:cs="宋体"/>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highlight w:val="none"/>
        </w:rPr>
      </w:pPr>
    </w:p>
    <w:p>
      <w:pPr>
        <w:snapToGrid w:val="0"/>
        <w:spacing w:line="360" w:lineRule="auto"/>
        <w:ind w:left="120" w:leftChars="57" w:firstLine="482" w:firstLineChars="150"/>
        <w:jc w:val="center"/>
        <w:rPr>
          <w:rFonts w:ascii="宋体" w:hAnsi="宋体" w:cs="宋体"/>
          <w:b/>
          <w:sz w:val="32"/>
          <w:highlight w:val="none"/>
        </w:rPr>
      </w:pPr>
      <w:r>
        <w:rPr>
          <w:rFonts w:hint="eastAsia" w:ascii="宋体" w:hAnsi="宋体" w:cs="宋体"/>
          <w:b/>
          <w:sz w:val="32"/>
          <w:highlight w:val="none"/>
        </w:rPr>
        <w:t>九、验收</w:t>
      </w:r>
    </w:p>
    <w:p>
      <w:pPr>
        <w:pStyle w:val="24"/>
        <w:spacing w:line="360" w:lineRule="auto"/>
        <w:ind w:firstLine="0" w:firstLineChars="0"/>
        <w:rPr>
          <w:rFonts w:cs="宋体"/>
          <w:b/>
          <w:highlight w:val="none"/>
        </w:rPr>
      </w:pPr>
      <w:r>
        <w:rPr>
          <w:rFonts w:hint="eastAsia" w:cs="宋体"/>
          <w:b/>
          <w:highlight w:val="none"/>
          <w:lang w:val="en-US" w:eastAsia="zh-CN"/>
        </w:rPr>
        <w:t>30</w:t>
      </w:r>
      <w:r>
        <w:rPr>
          <w:rFonts w:hint="eastAsia" w:cs="宋体"/>
          <w:b/>
          <w:highlight w:val="none"/>
        </w:rPr>
        <w:t>.验收</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lang w:val="en-US" w:eastAsia="zh-CN"/>
        </w:rPr>
        <w:t>30</w:t>
      </w:r>
      <w:r>
        <w:rPr>
          <w:rFonts w:hint="eastAsia" w:ascii="宋体" w:hAnsi="宋体" w:cs="宋体"/>
          <w:color w:val="auto"/>
          <w:kern w:val="0"/>
          <w:sz w:val="24"/>
          <w:highlight w:val="none"/>
        </w:rPr>
        <w:t>.1</w:t>
      </w:r>
      <w:r>
        <w:rPr>
          <w:rFonts w:hint="eastAsia" w:ascii="宋体" w:hAnsi="宋体" w:cs="宋体"/>
          <w:color w:val="auto"/>
          <w:kern w:val="0"/>
          <w:sz w:val="24"/>
        </w:rPr>
        <w:t>采购人应当根据采购项目的具体情况，自行组织项目验收或者委托采购代理机构验收。</w:t>
      </w:r>
      <w:r>
        <w:rPr>
          <w:rFonts w:hint="eastAsia" w:ascii="宋体" w:hAnsi="宋体" w:cs="宋体"/>
          <w:color w:val="auto"/>
          <w:kern w:val="0"/>
          <w:sz w:val="24"/>
          <w:highlight w:val="none"/>
        </w:rPr>
        <w:t>采购</w:t>
      </w:r>
      <w:r>
        <w:rPr>
          <w:rFonts w:hint="eastAsia" w:ascii="宋体" w:hAnsi="宋体" w:cs="宋体"/>
          <w:kern w:val="0"/>
          <w:sz w:val="24"/>
          <w:highlight w:val="none"/>
        </w:rPr>
        <w:t>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highlight w:val="none"/>
        </w:rPr>
      </w:pPr>
      <w:r>
        <w:rPr>
          <w:rFonts w:hint="eastAsia" w:ascii="宋体" w:hAnsi="宋体" w:cs="宋体"/>
          <w:kern w:val="0"/>
          <w:sz w:val="24"/>
          <w:highlight w:val="none"/>
          <w:lang w:val="en-US" w:eastAsia="zh-CN"/>
        </w:rPr>
        <w:t>30</w:t>
      </w:r>
      <w:r>
        <w:rPr>
          <w:rFonts w:hint="eastAsia" w:ascii="宋体" w:hAnsi="宋体" w:cs="宋体"/>
          <w:kern w:val="0"/>
          <w:sz w:val="24"/>
          <w:highlight w:val="none"/>
        </w:rPr>
        <w:t>.2采购人可以邀请参加本项目的其他投标人或者第三方机构参与验收。参与验收的投标人或者第三方机构的意见作为验收书的参考资料一并存档。</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ascii="宋体" w:hAnsi="宋体" w:cs="宋体"/>
          <w:color w:val="auto"/>
          <w:kern w:val="0"/>
          <w:sz w:val="24"/>
          <w:highlight w:val="none"/>
        </w:rPr>
      </w:pPr>
      <w:r>
        <w:rPr>
          <w:rFonts w:hint="eastAsia" w:ascii="宋体" w:hAnsi="宋体" w:cs="宋体"/>
          <w:kern w:val="0"/>
          <w:sz w:val="24"/>
          <w:highlight w:val="none"/>
          <w:lang w:val="en-US" w:eastAsia="zh-CN"/>
        </w:rPr>
        <w:t>30</w:t>
      </w:r>
      <w:r>
        <w:rPr>
          <w:rFonts w:hint="eastAsia" w:ascii="宋体" w:hAnsi="宋体" w:cs="宋体"/>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w:t>
      </w:r>
      <w:r>
        <w:rPr>
          <w:rFonts w:hint="eastAsia" w:ascii="宋体" w:hAnsi="宋体" w:cs="宋体"/>
          <w:color w:val="auto"/>
          <w:kern w:val="0"/>
          <w:sz w:val="24"/>
          <w:highlight w:val="none"/>
        </w:rPr>
        <w:t>验收双方共同签署。验收结果与采购合同约定的资金支付及履约保证金返还条件挂钩。履约验收的各项资料应当存档备查。</w:t>
      </w:r>
    </w:p>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hint="eastAsia" w:ascii="宋体" w:hAnsi="宋体" w:cs="宋体"/>
          <w:color w:val="auto"/>
          <w:kern w:val="0"/>
          <w:sz w:val="24"/>
          <w:highlight w:val="none"/>
        </w:rPr>
      </w:pPr>
      <w:r>
        <w:rPr>
          <w:rFonts w:hint="eastAsia" w:ascii="宋体" w:hAnsi="宋体" w:cs="宋体"/>
          <w:color w:val="auto"/>
          <w:kern w:val="0"/>
          <w:sz w:val="24"/>
          <w:highlight w:val="none"/>
          <w:lang w:val="en-US" w:eastAsia="zh-CN"/>
        </w:rPr>
        <w:t>30</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pStyle w:val="79"/>
        <w:keepNext w:val="0"/>
        <w:keepLines w:val="0"/>
        <w:pageBreakBefore w:val="0"/>
        <w:widowControl w:val="0"/>
        <w:kinsoku/>
        <w:wordWrap/>
        <w:overflowPunct/>
        <w:topLinePunct w:val="0"/>
        <w:autoSpaceDE/>
        <w:autoSpaceDN/>
        <w:bidi w:val="0"/>
        <w:spacing w:line="360" w:lineRule="auto"/>
        <w:textAlignment w:val="auto"/>
        <w:rPr>
          <w:color w:val="auto"/>
        </w:rPr>
      </w:pPr>
      <w:r>
        <w:rPr>
          <w:rFonts w:hint="eastAsia" w:ascii="宋体" w:hAnsi="宋体" w:eastAsia="宋体" w:cs="宋体"/>
          <w:b w:val="0"/>
          <w:bCs w:val="0"/>
          <w:color w:val="auto"/>
          <w:kern w:val="0"/>
          <w:sz w:val="24"/>
          <w:szCs w:val="24"/>
          <w:lang w:val="en-US"/>
        </w:rPr>
        <w:t>30.5 对于满足合同约定的采购资金支付条件的，供应商可通过政采云平台提起在线支付申请、查询支付结果，路径为政采云-我的工作台-</w:t>
      </w:r>
      <w:r>
        <w:rPr>
          <w:rFonts w:hint="eastAsia" w:ascii="宋体" w:hAnsi="宋体" w:eastAsia="宋体" w:cs="宋体"/>
          <w:b w:val="0"/>
          <w:bCs w:val="0"/>
          <w:color w:val="auto"/>
          <w:kern w:val="0"/>
          <w:sz w:val="24"/>
          <w:szCs w:val="24"/>
          <w:lang w:val="en-US" w:eastAsia="zh-CN"/>
        </w:rPr>
        <w:t>合同管理</w:t>
      </w:r>
      <w:r>
        <w:rPr>
          <w:rFonts w:hint="eastAsia" w:ascii="宋体" w:hAnsi="宋体" w:eastAsia="宋体" w:cs="宋体"/>
          <w:b w:val="0"/>
          <w:bCs w:val="0"/>
          <w:color w:val="auto"/>
          <w:kern w:val="0"/>
          <w:sz w:val="24"/>
          <w:szCs w:val="24"/>
          <w:lang w:val="en-US"/>
        </w:rPr>
        <w:t>-支付管理。对于供应商提起在线支付申请的，采购</w:t>
      </w:r>
      <w:r>
        <w:rPr>
          <w:rFonts w:hint="eastAsia" w:ascii="宋体" w:hAnsi="宋体" w:eastAsia="宋体" w:cs="宋体"/>
          <w:b w:val="0"/>
          <w:bCs w:val="0"/>
          <w:color w:val="auto"/>
          <w:kern w:val="0"/>
          <w:sz w:val="24"/>
          <w:szCs w:val="24"/>
          <w:lang w:val="en-US" w:eastAsia="zh-CN"/>
        </w:rPr>
        <w:t>人</w:t>
      </w:r>
      <w:r>
        <w:rPr>
          <w:rFonts w:hint="eastAsia" w:ascii="宋体" w:hAnsi="宋体" w:eastAsia="宋体" w:cs="宋体"/>
          <w:b w:val="0"/>
          <w:bCs w:val="0"/>
          <w:color w:val="auto"/>
          <w:kern w:val="0"/>
          <w:sz w:val="24"/>
          <w:szCs w:val="24"/>
          <w:lang w:val="en-US"/>
        </w:rPr>
        <w:t>应当</w:t>
      </w:r>
      <w:r>
        <w:rPr>
          <w:rFonts w:hint="eastAsia" w:ascii="宋体" w:hAnsi="宋体" w:eastAsia="宋体" w:cs="宋体"/>
          <w:b w:val="0"/>
          <w:bCs w:val="0"/>
          <w:color w:val="auto"/>
          <w:kern w:val="0"/>
          <w:sz w:val="24"/>
          <w:szCs w:val="24"/>
          <w:lang w:val="en-US" w:eastAsia="zh-CN"/>
        </w:rPr>
        <w:t>按规定</w:t>
      </w:r>
      <w:r>
        <w:rPr>
          <w:rFonts w:hint="eastAsia" w:ascii="宋体" w:hAnsi="宋体" w:eastAsia="宋体" w:cs="宋体"/>
          <w:b w:val="0"/>
          <w:bCs w:val="0"/>
          <w:color w:val="auto"/>
          <w:kern w:val="0"/>
          <w:sz w:val="24"/>
          <w:szCs w:val="24"/>
          <w:lang w:val="en-US"/>
        </w:rPr>
        <w:t>做好审核并完成支付。</w:t>
      </w:r>
    </w:p>
    <w:bookmarkEnd w:id="13"/>
    <w:p>
      <w:pPr>
        <w:keepNext w:val="0"/>
        <w:keepLines w:val="0"/>
        <w:pageBreakBefore w:val="0"/>
        <w:widowControl w:val="0"/>
        <w:tabs>
          <w:tab w:val="left" w:pos="0"/>
        </w:tabs>
        <w:kinsoku/>
        <w:wordWrap/>
        <w:overflowPunct/>
        <w:topLinePunct w:val="0"/>
        <w:autoSpaceDE/>
        <w:autoSpaceDN/>
        <w:bidi w:val="0"/>
        <w:spacing w:line="360" w:lineRule="auto"/>
        <w:ind w:firstLine="480"/>
        <w:textAlignment w:val="auto"/>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68057669"/>
      <w:bookmarkEnd w:id="15"/>
      <w:bookmarkStart w:id="16" w:name="_Hlt75236011"/>
      <w:bookmarkEnd w:id="16"/>
      <w:bookmarkStart w:id="17" w:name="_Hlt68073093"/>
      <w:bookmarkEnd w:id="17"/>
      <w:bookmarkStart w:id="18" w:name="_Hlt75236101"/>
      <w:bookmarkEnd w:id="18"/>
      <w:bookmarkStart w:id="19" w:name="_Hlt75236290"/>
      <w:bookmarkEnd w:id="19"/>
      <w:bookmarkStart w:id="20" w:name="_Hlt74714665"/>
      <w:bookmarkEnd w:id="20"/>
      <w:bookmarkStart w:id="21" w:name="_Hlt68403820"/>
      <w:bookmarkEnd w:id="21"/>
      <w:bookmarkStart w:id="22" w:name="_Hlt68072998"/>
      <w:bookmarkEnd w:id="22"/>
      <w:bookmarkStart w:id="23" w:name="_Hlt74707468"/>
      <w:bookmarkEnd w:id="23"/>
      <w:bookmarkStart w:id="24" w:name="_Hlt68072990"/>
      <w:bookmarkEnd w:id="24"/>
      <w:bookmarkStart w:id="25" w:name="_Hlt74729768"/>
      <w:bookmarkEnd w:id="25"/>
      <w:bookmarkStart w:id="26" w:name="_Hlt74730295"/>
      <w:bookmarkEnd w:id="26"/>
    </w:p>
    <w:bookmarkEnd w:id="11"/>
    <w:bookmarkEnd w:id="12"/>
    <w:p>
      <w:pPr>
        <w:spacing w:line="360" w:lineRule="auto"/>
        <w:jc w:val="center"/>
        <w:outlineLvl w:val="0"/>
        <w:rPr>
          <w:rFonts w:ascii="宋体" w:hAnsi="宋体" w:cs="宋体"/>
          <w:b/>
          <w:sz w:val="36"/>
          <w:szCs w:val="36"/>
          <w:highlight w:val="none"/>
        </w:rPr>
      </w:pPr>
      <w:bookmarkStart w:id="27" w:name="第四部分"/>
      <w:r>
        <w:rPr>
          <w:rFonts w:hint="eastAsia" w:ascii="宋体" w:hAnsi="宋体" w:cs="宋体"/>
          <w:b/>
          <w:sz w:val="36"/>
          <w:szCs w:val="36"/>
          <w:highlight w:val="none"/>
        </w:rPr>
        <w:t>第三部分   采购需求</w:t>
      </w:r>
    </w:p>
    <w:p>
      <w:pPr>
        <w:keepNext w:val="0"/>
        <w:keepLines w:val="0"/>
        <w:pageBreakBefore w:val="0"/>
        <w:widowControl/>
        <w:numPr>
          <w:ilvl w:val="0"/>
          <w:numId w:val="2"/>
        </w:numPr>
        <w:kinsoku/>
        <w:wordWrap/>
        <w:overflowPunct/>
        <w:topLinePunct w:val="0"/>
        <w:autoSpaceDE/>
        <w:autoSpaceDN/>
        <w:bidi w:val="0"/>
        <w:adjustRightInd/>
        <w:spacing w:before="100" w:beforeAutospacing="1" w:after="100" w:afterAutospacing="1" w:line="360" w:lineRule="auto"/>
        <w:jc w:val="left"/>
        <w:textAlignment w:val="auto"/>
        <w:outlineLvl w:val="1"/>
        <w:rPr>
          <w:rFonts w:ascii="宋体" w:hAnsi="宋体"/>
          <w:b/>
          <w:sz w:val="24"/>
        </w:rPr>
      </w:pPr>
      <w:r>
        <w:rPr>
          <w:rFonts w:hint="eastAsia" w:ascii="宋体" w:hAnsi="宋体"/>
          <w:b/>
          <w:sz w:val="24"/>
        </w:rPr>
        <w:t>项目背景</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bCs/>
          <w:sz w:val="24"/>
        </w:rPr>
      </w:pPr>
      <w:r>
        <w:rPr>
          <w:rFonts w:hint="eastAsia" w:ascii="宋体" w:hAnsi="宋体"/>
          <w:bCs/>
          <w:sz w:val="24"/>
        </w:rPr>
        <w:t>2006年6月根据《浙江省人民政府办公厅关于建设省电子政务网络平台的通知》（浙政办函〔2003〕88号）和《浙江省电子政务网络技术规范》的要求，对杭州市电子政务网络进行建设改造。</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bCs/>
          <w:sz w:val="24"/>
        </w:rPr>
      </w:pPr>
      <w:r>
        <w:rPr>
          <w:rFonts w:hint="eastAsia" w:ascii="宋体" w:hAnsi="宋体"/>
          <w:bCs/>
          <w:sz w:val="24"/>
        </w:rPr>
        <w:t>市电子政务外网网络包括核心层、汇聚层、客户端、接入层、安全系统等各类网络设备，负责全市电子政务外网各类业务系统的正常运行。</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bCs/>
          <w:sz w:val="24"/>
        </w:rPr>
      </w:pPr>
      <w:r>
        <w:rPr>
          <w:rFonts w:hint="eastAsia" w:ascii="宋体" w:hAnsi="宋体"/>
          <w:bCs/>
          <w:sz w:val="24"/>
        </w:rPr>
        <w:t>2017年，《浙江省人民政府办公厅关于开展政务专网整合和加强政务网外围安全防护工作的通知》浙政办发【2017】140号，杭州市数据局积极推进专网整合、互联网出口整合。</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bCs/>
          <w:sz w:val="24"/>
        </w:rPr>
      </w:pPr>
      <w:r>
        <w:rPr>
          <w:rFonts w:hint="eastAsia" w:ascii="宋体" w:hAnsi="宋体"/>
          <w:bCs/>
          <w:sz w:val="24"/>
        </w:rPr>
        <w:t>至今，电子政务网整合了现有多张专网，包括交通专网、审计专网等；整合了大部分局委办的自有互联网出口，政务网底层网络数据交互流量、出口互联网流量有了巨大的增长。</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bCs/>
          <w:sz w:val="24"/>
        </w:rPr>
      </w:pPr>
      <w:r>
        <w:rPr>
          <w:rFonts w:hint="eastAsia" w:ascii="宋体" w:hAnsi="宋体"/>
          <w:bCs/>
          <w:sz w:val="24"/>
        </w:rPr>
        <w:t>根据国办电政函〔2018〕70号中关于推进国家电子政务外网互联网协议第六版（IPV6）改造工作的通知要求，2020年底前，完成市地级政务外网IPV6改造，全面支持市地级以上政务部门IPV6门户网站部署；根据工业和信息化部关于贯彻落实《推进互联网协议第六版（IPv6）规模部署行动计划》的通知（工信部通信〔2018〕77号），工信部开展2020年IPv6端到端贯通能力提升专项行动，特别提出要优化提升IPv6网络接入能力，全面扩大数据中心IPv6覆盖范围，到2020年底IPv6活跃连接数达到11.5亿。</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bCs/>
          <w:sz w:val="24"/>
        </w:rPr>
      </w:pPr>
      <w:r>
        <w:rPr>
          <w:rFonts w:hint="eastAsia" w:ascii="宋体" w:hAnsi="宋体"/>
          <w:bCs/>
          <w:sz w:val="24"/>
        </w:rPr>
        <w:t>杭州市电子政务网核心网已支持IPV4/IPV6双栈，但考虑到未来3年的发展需求，电子政务网作为IPV6的重要组成部分，也对整个电子政务网的基础性能提出了更高的要求。</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bCs/>
          <w:sz w:val="24"/>
        </w:rPr>
      </w:pPr>
      <w:r>
        <w:rPr>
          <w:rFonts w:hint="eastAsia" w:ascii="宋体" w:hAnsi="宋体"/>
          <w:bCs/>
          <w:sz w:val="24"/>
        </w:rPr>
        <w:t>根据国办电政函〔2018〕70号中关于推进国家电子政务外网互联网协议第六版（IPV6）改造工作的通知要求，2020年底前，完成市地级政务外网IPV6改造，全面支持市地级以上政务部门IPV6门户网站部署。</w:t>
      </w:r>
    </w:p>
    <w:p>
      <w:pPr>
        <w:keepNext w:val="0"/>
        <w:keepLines w:val="0"/>
        <w:pageBreakBefore w:val="0"/>
        <w:kinsoku/>
        <w:wordWrap/>
        <w:overflowPunct/>
        <w:topLinePunct w:val="0"/>
        <w:autoSpaceDE/>
        <w:autoSpaceDN/>
        <w:bidi w:val="0"/>
        <w:snapToGrid w:val="0"/>
        <w:spacing w:line="360" w:lineRule="auto"/>
        <w:ind w:firstLine="480" w:firstLineChars="200"/>
        <w:textAlignment w:val="auto"/>
        <w:rPr>
          <w:rFonts w:ascii="宋体" w:hAnsi="宋体"/>
          <w:bCs/>
          <w:sz w:val="24"/>
        </w:rPr>
      </w:pPr>
      <w:r>
        <w:rPr>
          <w:rFonts w:hint="eastAsia" w:ascii="宋体" w:hAnsi="宋体"/>
          <w:bCs/>
          <w:sz w:val="24"/>
        </w:rPr>
        <w:t>随着数字化转型步入深水区，大数据、云计算、物联网等基础应用持续深化，数据泄露、高危漏洞、网络攻击以及相关的智能犯罪等网络安全问题也呈现出新变化，严重危害国家关键基础设施安全、挑战公民隐私安全甚至危及社会稳定。</w:t>
      </w:r>
    </w:p>
    <w:p>
      <w:pPr>
        <w:keepNext w:val="0"/>
        <w:keepLines w:val="0"/>
        <w:pageBreakBefore w:val="0"/>
        <w:widowControl/>
        <w:numPr>
          <w:ilvl w:val="0"/>
          <w:numId w:val="2"/>
        </w:numPr>
        <w:kinsoku/>
        <w:wordWrap/>
        <w:overflowPunct/>
        <w:topLinePunct w:val="0"/>
        <w:autoSpaceDE/>
        <w:autoSpaceDN/>
        <w:bidi w:val="0"/>
        <w:adjustRightInd/>
        <w:spacing w:before="100" w:beforeAutospacing="1" w:after="100" w:afterAutospacing="1" w:line="360" w:lineRule="auto"/>
        <w:jc w:val="left"/>
        <w:textAlignment w:val="auto"/>
        <w:outlineLvl w:val="1"/>
        <w:rPr>
          <w:rFonts w:ascii="宋体" w:hAnsi="宋体"/>
          <w:b/>
          <w:sz w:val="24"/>
        </w:rPr>
      </w:pPr>
      <w:r>
        <w:rPr>
          <w:rFonts w:hint="eastAsia" w:ascii="宋体" w:hAnsi="宋体"/>
          <w:b/>
          <w:sz w:val="24"/>
        </w:rPr>
        <w:t>项目内容</w:t>
      </w:r>
    </w:p>
    <w:p>
      <w:pPr>
        <w:keepNext w:val="0"/>
        <w:keepLines w:val="0"/>
        <w:pageBreakBefore w:val="0"/>
        <w:widowControl/>
        <w:kinsoku/>
        <w:wordWrap/>
        <w:overflowPunct/>
        <w:topLinePunct w:val="0"/>
        <w:autoSpaceDE/>
        <w:autoSpaceDN/>
        <w:bidi w:val="0"/>
        <w:adjustRightInd/>
        <w:snapToGrid w:val="0"/>
        <w:spacing w:line="360" w:lineRule="auto"/>
        <w:ind w:firstLine="480" w:firstLineChars="200"/>
        <w:jc w:val="left"/>
        <w:textAlignment w:val="auto"/>
        <w:rPr>
          <w:rFonts w:ascii="宋体" w:hAnsi="宋体"/>
          <w:bCs/>
          <w:sz w:val="24"/>
        </w:rPr>
      </w:pPr>
      <w:r>
        <w:rPr>
          <w:rFonts w:hint="eastAsia" w:ascii="宋体" w:hAnsi="宋体"/>
          <w:bCs/>
          <w:sz w:val="24"/>
        </w:rPr>
        <w:t>通过本次项目服务</w:t>
      </w:r>
      <w:r>
        <w:rPr>
          <w:rFonts w:hint="eastAsia" w:ascii="宋体" w:hAnsi="宋体"/>
          <w:bCs/>
          <w:sz w:val="24"/>
          <w:lang w:val="en-US" w:eastAsia="zh-CN"/>
        </w:rPr>
        <w:t>提高</w:t>
      </w:r>
      <w:r>
        <w:rPr>
          <w:rFonts w:hint="eastAsia" w:ascii="宋体" w:hAnsi="宋体"/>
          <w:bCs/>
          <w:sz w:val="24"/>
        </w:rPr>
        <w:t>电子政务外网基础承载能力，预计目标为解决现有网络系统中存在的问题隐患，同时提升电子政务外网的整体性能、安全性、可管理性等，为杭州市打造数字型政府、争做数字经济第一城、实现最多跑一次等目标提供更为稳定、可靠、优质的基础网络平台。</w:t>
      </w:r>
    </w:p>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ind w:firstLine="480" w:firstLineChars="200"/>
        <w:jc w:val="left"/>
        <w:textAlignment w:val="auto"/>
        <w:rPr>
          <w:rFonts w:ascii="宋体" w:hAnsi="宋体"/>
          <w:bCs/>
          <w:sz w:val="24"/>
        </w:rPr>
      </w:pPr>
      <w:r>
        <w:rPr>
          <w:rFonts w:hint="eastAsia" w:ascii="宋体" w:hAnsi="宋体"/>
          <w:bCs/>
          <w:sz w:val="24"/>
        </w:rPr>
        <w:t>分项目标如下：</w:t>
      </w:r>
    </w:p>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ind w:firstLine="480" w:firstLineChars="200"/>
        <w:jc w:val="left"/>
        <w:textAlignment w:val="auto"/>
        <w:rPr>
          <w:rFonts w:ascii="宋体" w:hAnsi="宋体"/>
          <w:bCs/>
          <w:sz w:val="24"/>
        </w:rPr>
      </w:pPr>
      <w:r>
        <w:rPr>
          <w:rFonts w:hint="eastAsia" w:ascii="宋体" w:hAnsi="宋体"/>
          <w:bCs/>
          <w:sz w:val="24"/>
        </w:rPr>
        <w:t>(一)出口带宽续费为提升整体电子政务外网性能提供坚实的链路基础，也很好的满足了政策要求。</w:t>
      </w:r>
    </w:p>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ind w:firstLine="480" w:firstLineChars="200"/>
        <w:jc w:val="left"/>
        <w:textAlignment w:val="auto"/>
        <w:rPr>
          <w:rFonts w:ascii="宋体" w:hAnsi="宋体"/>
          <w:bCs/>
          <w:sz w:val="24"/>
        </w:rPr>
      </w:pPr>
      <w:r>
        <w:rPr>
          <w:rFonts w:hint="eastAsia" w:ascii="宋体" w:hAnsi="宋体"/>
          <w:bCs/>
          <w:sz w:val="24"/>
        </w:rPr>
        <w:t>(二)政务网部分核心设备的服务进一步提高了杭州市电子政务外网承载能力。</w:t>
      </w:r>
    </w:p>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ind w:firstLine="480" w:firstLineChars="200"/>
        <w:jc w:val="left"/>
        <w:textAlignment w:val="auto"/>
        <w:rPr>
          <w:rFonts w:ascii="宋体" w:hAnsi="宋体"/>
          <w:bCs/>
          <w:sz w:val="24"/>
        </w:rPr>
      </w:pPr>
      <w:r>
        <w:rPr>
          <w:rFonts w:hint="eastAsia" w:ascii="宋体" w:hAnsi="宋体"/>
          <w:bCs/>
          <w:sz w:val="24"/>
        </w:rPr>
        <w:t>(三)电子政务外网整体安全系统服务进一步、适应更加复杂多变的网络环境。</w:t>
      </w:r>
    </w:p>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ind w:firstLine="480" w:firstLineChars="200"/>
        <w:jc w:val="left"/>
        <w:textAlignment w:val="auto"/>
        <w:rPr>
          <w:rFonts w:ascii="宋体" w:hAnsi="宋体"/>
          <w:bCs/>
          <w:sz w:val="24"/>
        </w:rPr>
      </w:pPr>
      <w:r>
        <w:rPr>
          <w:rFonts w:hint="eastAsia" w:ascii="宋体" w:hAnsi="宋体"/>
          <w:bCs/>
          <w:sz w:val="24"/>
        </w:rPr>
        <w:t>(四)原有政务网设备的质保服务进一步增加了电子政务外网的可靠性、可运营、可管理。</w:t>
      </w:r>
    </w:p>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ind w:firstLine="480" w:firstLineChars="200"/>
        <w:jc w:val="left"/>
        <w:textAlignment w:val="auto"/>
        <w:rPr>
          <w:rFonts w:ascii="宋体" w:hAnsi="宋体"/>
          <w:bCs/>
          <w:sz w:val="24"/>
        </w:rPr>
      </w:pPr>
      <w:r>
        <w:rPr>
          <w:rFonts w:hint="eastAsia" w:ascii="宋体" w:hAnsi="宋体"/>
          <w:bCs/>
          <w:sz w:val="24"/>
        </w:rPr>
        <w:t>(五)充分考虑到目前替换闲置的设备和板卡，保护现有投资。</w:t>
      </w:r>
    </w:p>
    <w:p>
      <w:pPr>
        <w:keepNext w:val="0"/>
        <w:keepLines w:val="0"/>
        <w:pageBreakBefore w:val="0"/>
        <w:widowControl/>
        <w:kinsoku/>
        <w:wordWrap/>
        <w:overflowPunct/>
        <w:topLinePunct w:val="0"/>
        <w:autoSpaceDE/>
        <w:autoSpaceDN/>
        <w:bidi w:val="0"/>
        <w:adjustRightInd/>
        <w:spacing w:before="100" w:beforeAutospacing="1" w:after="100" w:afterAutospacing="1" w:line="360" w:lineRule="auto"/>
        <w:ind w:firstLine="480" w:firstLineChars="200"/>
        <w:jc w:val="left"/>
        <w:textAlignment w:val="auto"/>
        <w:rPr>
          <w:rFonts w:ascii="宋体" w:hAnsi="宋体"/>
          <w:bCs/>
          <w:sz w:val="24"/>
        </w:rPr>
      </w:pPr>
      <w:r>
        <w:rPr>
          <w:rFonts w:hint="eastAsia" w:ascii="宋体" w:hAnsi="宋体"/>
          <w:bCs/>
          <w:sz w:val="24"/>
        </w:rPr>
        <w:t>(六)根据业务需求，灵活扩充带宽，实现资金节约，分布投入。</w:t>
      </w:r>
    </w:p>
    <w:p>
      <w:pPr>
        <w:keepNext w:val="0"/>
        <w:keepLines w:val="0"/>
        <w:pageBreakBefore w:val="0"/>
        <w:widowControl/>
        <w:numPr>
          <w:ilvl w:val="0"/>
          <w:numId w:val="2"/>
        </w:numPr>
        <w:kinsoku/>
        <w:wordWrap/>
        <w:overflowPunct/>
        <w:topLinePunct w:val="0"/>
        <w:autoSpaceDE/>
        <w:autoSpaceDN/>
        <w:bidi w:val="0"/>
        <w:adjustRightInd/>
        <w:spacing w:before="100" w:beforeAutospacing="1" w:after="100" w:afterAutospacing="1" w:line="360" w:lineRule="auto"/>
        <w:jc w:val="left"/>
        <w:textAlignment w:val="auto"/>
        <w:outlineLvl w:val="1"/>
        <w:rPr>
          <w:rFonts w:ascii="宋体" w:hAnsi="宋体"/>
          <w:b/>
          <w:sz w:val="24"/>
        </w:rPr>
      </w:pPr>
      <w:r>
        <w:rPr>
          <w:rFonts w:hint="eastAsia" w:ascii="宋体" w:hAnsi="宋体"/>
          <w:b/>
          <w:sz w:val="24"/>
        </w:rPr>
        <w:t>采购标的需执行的国家相关标准、行业标准、地方标准或者其他标准、规范等</w:t>
      </w:r>
    </w:p>
    <w:p>
      <w:pPr>
        <w:keepNext w:val="0"/>
        <w:keepLines w:val="0"/>
        <w:pageBreakBefore w:val="0"/>
        <w:numPr>
          <w:ilvl w:val="0"/>
          <w:numId w:val="3"/>
        </w:numPr>
        <w:kinsoku/>
        <w:wordWrap/>
        <w:overflowPunct/>
        <w:topLinePunct w:val="0"/>
        <w:autoSpaceDE/>
        <w:autoSpaceDN/>
        <w:bidi w:val="0"/>
        <w:snapToGrid w:val="0"/>
        <w:spacing w:before="120" w:after="120" w:line="360" w:lineRule="auto"/>
        <w:ind w:right="238" w:firstLine="0"/>
        <w:textAlignment w:val="auto"/>
        <w:rPr>
          <w:rFonts w:ascii="宋体" w:hAnsi="宋体"/>
          <w:sz w:val="24"/>
        </w:rPr>
      </w:pPr>
      <w:r>
        <w:rPr>
          <w:rFonts w:hint="eastAsia" w:ascii="宋体" w:hAnsi="宋体"/>
          <w:sz w:val="24"/>
        </w:rPr>
        <w:t>《国家电子政务工程建设项目管理暂行办法》</w:t>
      </w:r>
    </w:p>
    <w:p>
      <w:pPr>
        <w:keepNext w:val="0"/>
        <w:keepLines w:val="0"/>
        <w:pageBreakBefore w:val="0"/>
        <w:numPr>
          <w:ilvl w:val="0"/>
          <w:numId w:val="3"/>
        </w:numPr>
        <w:kinsoku/>
        <w:wordWrap/>
        <w:overflowPunct/>
        <w:topLinePunct w:val="0"/>
        <w:autoSpaceDE/>
        <w:autoSpaceDN/>
        <w:bidi w:val="0"/>
        <w:snapToGrid w:val="0"/>
        <w:spacing w:before="120" w:after="120" w:line="360" w:lineRule="auto"/>
        <w:ind w:right="238" w:firstLine="0"/>
        <w:textAlignment w:val="auto"/>
        <w:rPr>
          <w:rFonts w:ascii="宋体" w:hAnsi="宋体"/>
          <w:sz w:val="24"/>
        </w:rPr>
      </w:pPr>
      <w:r>
        <w:rPr>
          <w:rFonts w:hint="eastAsia" w:ascii="宋体" w:hAnsi="宋体"/>
          <w:sz w:val="24"/>
        </w:rPr>
        <w:t>《国家电子政务标准化指南》，国信办和国家标准委员会</w:t>
      </w:r>
    </w:p>
    <w:p>
      <w:pPr>
        <w:keepNext w:val="0"/>
        <w:keepLines w:val="0"/>
        <w:pageBreakBefore w:val="0"/>
        <w:numPr>
          <w:ilvl w:val="0"/>
          <w:numId w:val="3"/>
        </w:numPr>
        <w:kinsoku/>
        <w:wordWrap/>
        <w:overflowPunct/>
        <w:topLinePunct w:val="0"/>
        <w:autoSpaceDE/>
        <w:autoSpaceDN/>
        <w:bidi w:val="0"/>
        <w:snapToGrid w:val="0"/>
        <w:spacing w:before="120" w:after="120" w:line="360" w:lineRule="auto"/>
        <w:ind w:right="238" w:firstLine="0"/>
        <w:textAlignment w:val="auto"/>
        <w:rPr>
          <w:rFonts w:ascii="宋体" w:hAnsi="宋体"/>
          <w:sz w:val="24"/>
        </w:rPr>
      </w:pPr>
      <w:r>
        <w:rPr>
          <w:rFonts w:hint="eastAsia" w:ascii="宋体" w:hAnsi="宋体"/>
          <w:sz w:val="24"/>
        </w:rPr>
        <w:t>《政务信息资源交换体系技术标准》（GB/T21062-2007）</w:t>
      </w:r>
    </w:p>
    <w:p>
      <w:pPr>
        <w:keepNext w:val="0"/>
        <w:keepLines w:val="0"/>
        <w:pageBreakBefore w:val="0"/>
        <w:numPr>
          <w:ilvl w:val="0"/>
          <w:numId w:val="3"/>
        </w:numPr>
        <w:kinsoku/>
        <w:wordWrap/>
        <w:overflowPunct/>
        <w:topLinePunct w:val="0"/>
        <w:autoSpaceDE/>
        <w:autoSpaceDN/>
        <w:bidi w:val="0"/>
        <w:snapToGrid w:val="0"/>
        <w:spacing w:before="120" w:after="120" w:line="360" w:lineRule="auto"/>
        <w:ind w:right="238" w:firstLine="0"/>
        <w:textAlignment w:val="auto"/>
        <w:rPr>
          <w:rFonts w:ascii="宋体" w:hAnsi="宋体"/>
          <w:sz w:val="24"/>
        </w:rPr>
      </w:pPr>
      <w:r>
        <w:rPr>
          <w:rFonts w:hint="eastAsia" w:ascii="宋体" w:hAnsi="宋体"/>
          <w:sz w:val="24"/>
        </w:rPr>
        <w:t>《杭州市信息化推进法律法规汇编》</w:t>
      </w:r>
    </w:p>
    <w:p>
      <w:pPr>
        <w:keepNext w:val="0"/>
        <w:keepLines w:val="0"/>
        <w:pageBreakBefore w:val="0"/>
        <w:numPr>
          <w:ilvl w:val="0"/>
          <w:numId w:val="3"/>
        </w:numPr>
        <w:kinsoku/>
        <w:wordWrap/>
        <w:overflowPunct/>
        <w:topLinePunct w:val="0"/>
        <w:autoSpaceDE/>
        <w:autoSpaceDN/>
        <w:bidi w:val="0"/>
        <w:snapToGrid w:val="0"/>
        <w:spacing w:before="120" w:after="120" w:line="360" w:lineRule="auto"/>
        <w:ind w:right="238" w:firstLine="0"/>
        <w:textAlignment w:val="auto"/>
        <w:rPr>
          <w:rFonts w:ascii="宋体" w:hAnsi="宋体"/>
          <w:sz w:val="24"/>
        </w:rPr>
      </w:pPr>
      <w:r>
        <w:rPr>
          <w:rFonts w:hint="eastAsia" w:ascii="宋体" w:hAnsi="宋体"/>
          <w:sz w:val="24"/>
        </w:rPr>
        <w:t>《关于印发二○一四年杭州市政府投资信息化项目建设指导意见的通知》(杭信〔2013〕3号)</w:t>
      </w:r>
    </w:p>
    <w:p>
      <w:pPr>
        <w:keepNext w:val="0"/>
        <w:keepLines w:val="0"/>
        <w:pageBreakBefore w:val="0"/>
        <w:widowControl/>
        <w:numPr>
          <w:ilvl w:val="0"/>
          <w:numId w:val="3"/>
        </w:numPr>
        <w:kinsoku/>
        <w:wordWrap/>
        <w:overflowPunct/>
        <w:topLinePunct w:val="0"/>
        <w:autoSpaceDE/>
        <w:autoSpaceDN/>
        <w:bidi w:val="0"/>
        <w:adjustRightInd/>
        <w:snapToGrid w:val="0"/>
        <w:spacing w:before="120" w:after="120" w:line="360" w:lineRule="auto"/>
        <w:ind w:right="238" w:firstLine="0"/>
        <w:jc w:val="left"/>
        <w:textAlignment w:val="auto"/>
        <w:rPr>
          <w:rFonts w:ascii="宋体" w:hAnsi="宋体"/>
          <w:b/>
          <w:sz w:val="24"/>
        </w:rPr>
      </w:pPr>
      <w:r>
        <w:rPr>
          <w:rFonts w:hint="eastAsia" w:ascii="宋体" w:hAnsi="宋体"/>
          <w:sz w:val="24"/>
        </w:rPr>
        <w:t>《</w:t>
      </w:r>
      <w:r>
        <w:rPr>
          <w:rFonts w:hint="eastAsia" w:ascii="宋体" w:hAnsi="宋体" w:cs="仿宋_GB2312"/>
          <w:sz w:val="24"/>
        </w:rPr>
        <w:t>“互联网+政务服务”技术体系建设指南》</w:t>
      </w:r>
    </w:p>
    <w:p>
      <w:pPr>
        <w:keepNext w:val="0"/>
        <w:keepLines w:val="0"/>
        <w:pageBreakBefore w:val="0"/>
        <w:widowControl/>
        <w:numPr>
          <w:ilvl w:val="0"/>
          <w:numId w:val="2"/>
        </w:numPr>
        <w:kinsoku/>
        <w:wordWrap/>
        <w:overflowPunct/>
        <w:topLinePunct w:val="0"/>
        <w:autoSpaceDE/>
        <w:autoSpaceDN/>
        <w:bidi w:val="0"/>
        <w:adjustRightInd/>
        <w:spacing w:before="100" w:beforeAutospacing="1" w:after="100" w:afterAutospacing="1" w:line="360" w:lineRule="auto"/>
        <w:jc w:val="left"/>
        <w:textAlignment w:val="auto"/>
        <w:outlineLvl w:val="1"/>
        <w:rPr>
          <w:rFonts w:ascii="宋体" w:hAnsi="宋体"/>
          <w:b/>
          <w:sz w:val="24"/>
        </w:rPr>
      </w:pPr>
      <w:r>
        <w:rPr>
          <w:rFonts w:hint="eastAsia" w:ascii="宋体" w:hAnsi="宋体"/>
          <w:b/>
          <w:sz w:val="24"/>
        </w:rPr>
        <w:t>目标</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宋体" w:hAnsi="宋体" w:cs="仿宋"/>
          <w:sz w:val="24"/>
        </w:rPr>
      </w:pPr>
      <w:bookmarkStart w:id="28" w:name="_Hlk108531528"/>
      <w:r>
        <w:rPr>
          <w:rFonts w:hint="eastAsia" w:ascii="宋体" w:hAnsi="宋体" w:cs="仿宋"/>
          <w:sz w:val="24"/>
        </w:rPr>
        <w:t>本次项目目标是完成杭州市电子政务外网核心承载网服务能力的提升改造。属于信息化基础设施，此承载网将服务于全市电子政务网接入单位及相关机构。本项目为采购服务，周期为1年。</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宋体" w:hAnsi="宋体" w:cs="仿宋"/>
          <w:sz w:val="24"/>
        </w:rPr>
      </w:pPr>
      <w:r>
        <w:rPr>
          <w:rFonts w:hint="eastAsia" w:ascii="宋体" w:hAnsi="宋体" w:cs="仿宋"/>
          <w:sz w:val="24"/>
        </w:rPr>
        <w:t>服务内容分为以下3块内容：线路资源租赁服务，设备租赁服务，设备维保服务。</w:t>
      </w:r>
      <w:bookmarkEnd w:id="28"/>
    </w:p>
    <w:p>
      <w:pPr>
        <w:keepNext w:val="0"/>
        <w:keepLines w:val="0"/>
        <w:pageBreakBefore w:val="0"/>
        <w:widowControl/>
        <w:numPr>
          <w:ilvl w:val="0"/>
          <w:numId w:val="2"/>
        </w:numPr>
        <w:kinsoku/>
        <w:wordWrap/>
        <w:overflowPunct/>
        <w:topLinePunct w:val="0"/>
        <w:autoSpaceDE/>
        <w:autoSpaceDN/>
        <w:bidi w:val="0"/>
        <w:adjustRightInd/>
        <w:spacing w:before="100" w:beforeAutospacing="1" w:after="100" w:afterAutospacing="1" w:line="360" w:lineRule="auto"/>
        <w:jc w:val="left"/>
        <w:textAlignment w:val="auto"/>
        <w:outlineLvl w:val="1"/>
        <w:rPr>
          <w:rFonts w:ascii="宋体" w:hAnsi="宋体"/>
          <w:b/>
          <w:sz w:val="24"/>
        </w:rPr>
      </w:pPr>
      <w:r>
        <w:rPr>
          <w:rFonts w:hint="eastAsia" w:ascii="宋体" w:hAnsi="宋体"/>
          <w:b/>
          <w:sz w:val="24"/>
        </w:rPr>
        <w:t>原则</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sz w:val="24"/>
        </w:rPr>
      </w:pPr>
      <w:r>
        <w:rPr>
          <w:rFonts w:hint="eastAsia" w:ascii="宋体" w:hAnsi="宋体"/>
          <w:sz w:val="24"/>
        </w:rPr>
        <w:t>杭州市电子政务网作为全市电子政府开展的基础，其重要性不言而喻，目标是实现一个完整统一、组网灵活、易扩充的网络平台，满足传送语音、文字、数据、图</w:t>
      </w:r>
      <w:r>
        <w:rPr>
          <w:rFonts w:hint="eastAsia" w:ascii="宋体" w:hAnsi="宋体"/>
          <w:sz w:val="24"/>
          <w:lang w:val="en-US" w:eastAsia="zh-CN"/>
        </w:rPr>
        <w:t>像</w:t>
      </w:r>
      <w:r>
        <w:rPr>
          <w:rFonts w:hint="eastAsia" w:ascii="宋体" w:hAnsi="宋体"/>
          <w:sz w:val="24"/>
        </w:rPr>
        <w:t>、VPN等各类综和信息业务。</w:t>
      </w:r>
    </w:p>
    <w:p>
      <w:pPr>
        <w:keepNext w:val="0"/>
        <w:keepLines w:val="0"/>
        <w:pageBreakBefore w:val="0"/>
        <w:kinsoku/>
        <w:wordWrap/>
        <w:overflowPunct/>
        <w:topLinePunct w:val="0"/>
        <w:autoSpaceDE/>
        <w:autoSpaceDN/>
        <w:bidi w:val="0"/>
        <w:spacing w:line="360" w:lineRule="auto"/>
        <w:ind w:firstLine="480" w:firstLineChars="200"/>
        <w:textAlignment w:val="auto"/>
        <w:rPr>
          <w:rFonts w:ascii="宋体" w:hAnsi="宋体"/>
          <w:sz w:val="24"/>
        </w:rPr>
      </w:pPr>
      <w:r>
        <w:rPr>
          <w:rFonts w:hint="eastAsia" w:ascii="宋体" w:hAnsi="宋体"/>
          <w:sz w:val="24"/>
        </w:rPr>
        <w:t>总的来说，设备选型要技术先进，能适应未来发展，具有灵活方便的业务扩展能力和充分完备的接入能力，设备及其软件具有可持续发展的平滑升级性；在技术选择上综合考虑先进性、成熟性及良好的性价比，以网络的可扩展性和可管理性为基础，统一规划，分步实施。</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sz w:val="24"/>
        </w:rPr>
      </w:pPr>
      <w:r>
        <w:rPr>
          <w:rFonts w:hint="eastAsia" w:ascii="宋体" w:hAnsi="宋体"/>
          <w:b/>
          <w:sz w:val="24"/>
        </w:rPr>
        <w:t>开放性</w:t>
      </w:r>
      <w:r>
        <w:rPr>
          <w:rFonts w:hint="eastAsia" w:ascii="宋体" w:hAnsi="宋体"/>
          <w:sz w:val="24"/>
        </w:rPr>
        <w:t>：为了保证系统的持续发展和系统不同设备的互联互通，所采用的网络技术应符合国际标准的通信协议、标准化接口和我国的技术规范，支持良好的维护、测量及管理手段，提供网络统一实时监控的信息处理功能，实现网络的统一管理。</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sz w:val="24"/>
        </w:rPr>
      </w:pPr>
      <w:r>
        <w:rPr>
          <w:rFonts w:hint="eastAsia" w:ascii="宋体" w:hAnsi="宋体"/>
          <w:b/>
          <w:sz w:val="24"/>
        </w:rPr>
        <w:t>可运营性</w:t>
      </w:r>
      <w:r>
        <w:rPr>
          <w:rFonts w:hint="eastAsia" w:ascii="宋体" w:hAnsi="宋体"/>
          <w:sz w:val="24"/>
        </w:rPr>
        <w:t>：实现IP网络的目的就是能向大量用户提供良好的业务管理能力，支持对宽带用户的接入管理、身</w:t>
      </w:r>
      <w:r>
        <w:rPr>
          <w:rFonts w:hint="eastAsia" w:ascii="宋体" w:hAnsi="宋体"/>
          <w:sz w:val="24"/>
          <w:lang w:val="en-US" w:eastAsia="zh-CN"/>
        </w:rPr>
        <w:t>份</w:t>
      </w:r>
      <w:r>
        <w:rPr>
          <w:rFonts w:hint="eastAsia" w:ascii="宋体" w:hAnsi="宋体"/>
          <w:sz w:val="24"/>
        </w:rPr>
        <w:t>认证、地址管理和服务质量（QoS），并针对不同的业务提供灵活的计费方式，确保网络的可运营性。</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sz w:val="24"/>
        </w:rPr>
      </w:pPr>
      <w:r>
        <w:rPr>
          <w:rFonts w:hint="eastAsia" w:ascii="宋体" w:hAnsi="宋体"/>
          <w:b/>
          <w:sz w:val="24"/>
        </w:rPr>
        <w:t>可管理性</w:t>
      </w:r>
      <w:r>
        <w:rPr>
          <w:rFonts w:hint="eastAsia" w:ascii="宋体" w:hAnsi="宋体"/>
          <w:sz w:val="24"/>
        </w:rPr>
        <w:t>：IP网络是分层的网络结构，需要统一的网络业务调度和管理，降低网络运营成本。</w:t>
      </w:r>
    </w:p>
    <w:p>
      <w:pPr>
        <w:keepNext w:val="0"/>
        <w:keepLines w:val="0"/>
        <w:pageBreakBefore w:val="0"/>
        <w:kinsoku/>
        <w:wordWrap/>
        <w:overflowPunct/>
        <w:topLinePunct w:val="0"/>
        <w:autoSpaceDE/>
        <w:autoSpaceDN/>
        <w:bidi w:val="0"/>
        <w:spacing w:line="360" w:lineRule="auto"/>
        <w:ind w:firstLine="482" w:firstLineChars="200"/>
        <w:textAlignment w:val="auto"/>
        <w:rPr>
          <w:rFonts w:ascii="宋体" w:hAnsi="宋体"/>
          <w:sz w:val="24"/>
        </w:rPr>
      </w:pPr>
      <w:r>
        <w:rPr>
          <w:rFonts w:hint="eastAsia" w:ascii="宋体" w:hAnsi="宋体"/>
          <w:b/>
          <w:sz w:val="24"/>
        </w:rPr>
        <w:t>可扩充性</w:t>
      </w:r>
      <w:r>
        <w:rPr>
          <w:rFonts w:hint="eastAsia" w:ascii="宋体" w:hAnsi="宋体"/>
          <w:sz w:val="24"/>
        </w:rPr>
        <w:t>：用户数量和宽带业务种类发展有着不确定性。随着业务需求的不断变化，要求IP运营网络实现成完整统一、组网灵活、易扩充的弹性网络平台。</w:t>
      </w:r>
    </w:p>
    <w:p>
      <w:pPr>
        <w:keepNext w:val="0"/>
        <w:keepLines w:val="0"/>
        <w:pageBreakBefore w:val="0"/>
        <w:widowControl/>
        <w:kinsoku/>
        <w:wordWrap/>
        <w:overflowPunct/>
        <w:topLinePunct w:val="0"/>
        <w:autoSpaceDE/>
        <w:autoSpaceDN/>
        <w:bidi w:val="0"/>
        <w:adjustRightInd/>
        <w:spacing w:line="360" w:lineRule="auto"/>
        <w:ind w:firstLine="482" w:firstLineChars="200"/>
        <w:jc w:val="left"/>
        <w:textAlignment w:val="auto"/>
        <w:rPr>
          <w:rFonts w:ascii="宋体" w:hAnsi="宋体"/>
          <w:b/>
          <w:sz w:val="24"/>
        </w:rPr>
      </w:pPr>
      <w:r>
        <w:rPr>
          <w:rFonts w:hint="eastAsia" w:ascii="宋体" w:hAnsi="宋体"/>
          <w:b/>
          <w:sz w:val="24"/>
        </w:rPr>
        <w:t>安全可靠性</w:t>
      </w:r>
      <w:r>
        <w:rPr>
          <w:rFonts w:hint="eastAsia" w:ascii="宋体" w:hAnsi="宋体"/>
          <w:sz w:val="24"/>
        </w:rPr>
        <w:t>：网络的设计要充分考虑到其稳定性，支持网络节点的备份和线路保护，提供网络安全防范措施。</w:t>
      </w:r>
    </w:p>
    <w:p>
      <w:pPr>
        <w:keepNext w:val="0"/>
        <w:keepLines w:val="0"/>
        <w:pageBreakBefore w:val="0"/>
        <w:widowControl/>
        <w:numPr>
          <w:ilvl w:val="0"/>
          <w:numId w:val="2"/>
        </w:numPr>
        <w:kinsoku/>
        <w:wordWrap/>
        <w:overflowPunct/>
        <w:topLinePunct w:val="0"/>
        <w:autoSpaceDE/>
        <w:autoSpaceDN/>
        <w:bidi w:val="0"/>
        <w:adjustRightInd/>
        <w:spacing w:before="100" w:beforeAutospacing="1" w:after="100" w:afterAutospacing="1" w:line="360" w:lineRule="auto"/>
        <w:jc w:val="left"/>
        <w:textAlignment w:val="auto"/>
        <w:outlineLvl w:val="1"/>
        <w:rPr>
          <w:rFonts w:ascii="宋体" w:hAnsi="宋体"/>
          <w:b/>
          <w:sz w:val="24"/>
        </w:rPr>
      </w:pPr>
      <w:r>
        <w:rPr>
          <w:rFonts w:hint="eastAsia" w:ascii="宋体" w:hAnsi="宋体"/>
          <w:b/>
          <w:sz w:val="24"/>
        </w:rPr>
        <w:t>项目服务清单</w:t>
      </w:r>
    </w:p>
    <w:tbl>
      <w:tblPr>
        <w:tblStyle w:val="62"/>
        <w:tblW w:w="5064" w:type="pct"/>
        <w:tblInd w:w="0" w:type="dxa"/>
        <w:tblLayout w:type="autofit"/>
        <w:tblCellMar>
          <w:top w:w="0" w:type="dxa"/>
          <w:left w:w="108" w:type="dxa"/>
          <w:bottom w:w="0" w:type="dxa"/>
          <w:right w:w="108" w:type="dxa"/>
        </w:tblCellMar>
      </w:tblPr>
      <w:tblGrid>
        <w:gridCol w:w="639"/>
        <w:gridCol w:w="1520"/>
        <w:gridCol w:w="2076"/>
        <w:gridCol w:w="2392"/>
        <w:gridCol w:w="565"/>
        <w:gridCol w:w="613"/>
        <w:gridCol w:w="799"/>
      </w:tblGrid>
      <w:tr>
        <w:tblPrEx>
          <w:tblCellMar>
            <w:top w:w="0" w:type="dxa"/>
            <w:left w:w="108" w:type="dxa"/>
            <w:bottom w:w="0" w:type="dxa"/>
            <w:right w:w="108" w:type="dxa"/>
          </w:tblCellMar>
        </w:tblPrEx>
        <w:trPr>
          <w:trHeight w:val="375" w:hRule="atLeast"/>
        </w:trPr>
        <w:tc>
          <w:tcPr>
            <w:tcW w:w="372"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bookmarkStart w:id="29" w:name="_Hlk160628947"/>
            <w:r>
              <w:rPr>
                <w:rFonts w:hint="eastAsia" w:ascii="宋体" w:hAnsi="宋体" w:cs="宋体"/>
                <w:bCs/>
                <w:kern w:val="0"/>
                <w:sz w:val="18"/>
                <w:szCs w:val="18"/>
                <w:lang w:eastAsia="en-US"/>
              </w:rPr>
              <w:t>序号</w:t>
            </w:r>
          </w:p>
        </w:tc>
        <w:tc>
          <w:tcPr>
            <w:tcW w:w="883"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服务名称</w:t>
            </w:r>
          </w:p>
        </w:tc>
        <w:tc>
          <w:tcPr>
            <w:tcW w:w="2594" w:type="pct"/>
            <w:gridSpan w:val="2"/>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要求</w:t>
            </w:r>
          </w:p>
        </w:tc>
        <w:tc>
          <w:tcPr>
            <w:tcW w:w="328"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数量</w:t>
            </w:r>
          </w:p>
        </w:tc>
        <w:tc>
          <w:tcPr>
            <w:tcW w:w="356"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单位</w:t>
            </w:r>
          </w:p>
        </w:tc>
        <w:tc>
          <w:tcPr>
            <w:tcW w:w="464"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服务期</w:t>
            </w:r>
          </w:p>
        </w:tc>
      </w:tr>
      <w:tr>
        <w:tblPrEx>
          <w:tblCellMar>
            <w:top w:w="0" w:type="dxa"/>
            <w:left w:w="108" w:type="dxa"/>
            <w:bottom w:w="0" w:type="dxa"/>
            <w:right w:w="108" w:type="dxa"/>
          </w:tblCellMar>
        </w:tblPrEx>
        <w:trPr>
          <w:trHeight w:val="367" w:hRule="atLeast"/>
        </w:trPr>
        <w:tc>
          <w:tcPr>
            <w:tcW w:w="3851" w:type="pct"/>
            <w:gridSpan w:val="4"/>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一、线路资源租赁服务</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互联网出口带宽租用服务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互联网出口带宽不少于8.3G</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w:t>
            </w:r>
          </w:p>
        </w:tc>
        <w:tc>
          <w:tcPr>
            <w:tcW w:w="464"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政务外网线路租赁服务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包含政务网VPN100M、政务网VPN500M、政务网VPN1000M、政务网裸光纤、光纤专线10M、光纤专线50M、公共安全区接入线路条等类型</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3</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统一运维服务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现场驻场服务共5人（4名技术驻场人员，对市民中心政务外网有线、无线网进行日常运维；1名安全技术驻场人员，在市民中心政务外网网络稳定运行的基础上，负责基础网络安全运维）。驻场人员具体工作包括政务外网网络服务开通，有线、无线网运行保障，网络故障修复，网络应急事件响应，重大任务保障等，还需要定期对网络机房及设备进行巡检巡查（按季度完成政务网定期巡检服务并提供巡检报告），平台维护，省市对接等以保证市民中心政务外网的稳定运行。</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另外再提供一人为因重点保障按业主需要随时驻场</w:t>
            </w:r>
            <w:r>
              <w:rPr>
                <w:rFonts w:hint="eastAsia" w:ascii="宋体" w:hAnsi="宋体" w:cs="宋体"/>
                <w:bCs/>
                <w:kern w:val="0"/>
                <w:sz w:val="18"/>
                <w:szCs w:val="18"/>
                <w:lang w:val="en-US" w:eastAsia="zh-CN" w:bidi="ar"/>
              </w:rPr>
              <w:t>完成省市数据对接采集等维护工作</w:t>
            </w:r>
            <w:r>
              <w:rPr>
                <w:rFonts w:hint="eastAsia" w:ascii="宋体" w:hAnsi="宋体" w:cs="宋体"/>
                <w:bCs/>
                <w:kern w:val="0"/>
                <w:sz w:val="18"/>
                <w:szCs w:val="18"/>
                <w:lang w:bidi="ar"/>
              </w:rPr>
              <w:t>。</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67" w:hRule="atLeast"/>
        </w:trPr>
        <w:tc>
          <w:tcPr>
            <w:tcW w:w="3851" w:type="pct"/>
            <w:gridSpan w:val="4"/>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二、设备租赁服务</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67" w:hRule="atLeast"/>
        </w:trPr>
        <w:tc>
          <w:tcPr>
            <w:tcW w:w="3851" w:type="pct"/>
            <w:gridSpan w:val="4"/>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1、网络、安全设备租赁服务</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出口负载均衡设备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性能不低于：4层吞吐量：65Gbps，并发连接数：41000000，4层新建连接数CPS：750000，7层新建连接数RPS：280000，7层新建连接数RPS：610000。硬盘容量不低于：80GSSD，电源：冗余电源，接口不少于：4千兆电口+8千兆光口SFP+8万兆光口SFP+</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出口路由设备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性能不低于：每台配置不少于24万兆端口、20千兆端口；双引擎、双电源、独立交换网板；含配套10KM万兆单模光模块</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3</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出口上网行为管理设备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性能不低于：吞吐量：不小于25Gb，支持用户数不小于：100000；硬盘容量不小于：SATA1T+64GSSD，电源：冗余电源，接口不少于：4千兆电口+4千兆光口SFP+8万兆光口SFP+</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4</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市民中心核心网镜像流量设备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性能不低于：48万兆光口,4个40G光口，含配套10KM万兆单模光模块</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5</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政务云出口交换机设备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性能不低于：24万兆光口汇聚交换机，含配套10KM万兆单模光模块</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6</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政务网核心路由器（P设备）冷备设备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原有电子政务网核心路由器冷备</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73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7</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城域网汇聚交换机（涉及4个汇聚机房、热备）设备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性能不低于：24万兆光口汇聚交换机，含配套10KM万兆单模光模块</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8</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8</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城域网PE交换机板卡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24端口万兆以太网光接口和24端口千兆以太网光接口板(X6S,SFP+)满配万兆单模光模块及千兆单模光模块</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4</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块</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9</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市民中心AC设备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无线控制器</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10</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市民中心吸顶AP设备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吸顶AP</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134</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11</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市民中心面板AP设备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面板AP</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243</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12</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电子政务外网专业DNS服务设备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DNSQPS指标不低于10万/秒</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13</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电子政务外网专业DHCP服务设备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DHCPLPS指标不低于2000/秒</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14</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短信服务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一年不超过20W条短信</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15</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公共接入区防火墙设备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网络处理能力60Gbps，并发连接≥1200万，每秒新建连接45万/秒。包含应用控制、病毒防护、入侵防御特征库服务</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vMerge w:val="restar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16</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公共接入区数据安全交换系统设备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交换能力：≥8Gbps；并发会话：30000个</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套</w:t>
            </w:r>
          </w:p>
        </w:tc>
        <w:tc>
          <w:tcPr>
            <w:tcW w:w="464"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17</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公共接入区视频安全交换系统设备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支持2000路D1图象（2Mbps）或≥1000路高清（4Mbps）</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套</w:t>
            </w:r>
          </w:p>
        </w:tc>
        <w:tc>
          <w:tcPr>
            <w:tcW w:w="464"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18</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lang w:eastAsia="en-US"/>
              </w:rPr>
              <w:t>机房</w:t>
            </w:r>
            <w:r>
              <w:rPr>
                <w:rFonts w:hint="eastAsia" w:ascii="宋体" w:hAnsi="宋体" w:cs="宋体"/>
                <w:bCs/>
                <w:kern w:val="0"/>
                <w:sz w:val="18"/>
                <w:szCs w:val="18"/>
              </w:rPr>
              <w:t>优化服务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将机房中政务云节点搬迁至运营商机房，并且对机房进行优化，满足实际要求</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67" w:hRule="atLeast"/>
        </w:trPr>
        <w:tc>
          <w:tcPr>
            <w:tcW w:w="372"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19</w:t>
            </w:r>
          </w:p>
        </w:tc>
        <w:tc>
          <w:tcPr>
            <w:tcW w:w="883" w:type="pct"/>
            <w:vMerge w:val="restar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一键封堵</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实现和安全管控平台对接，对政务外网实现一键封堵</w:t>
            </w:r>
          </w:p>
        </w:tc>
        <w:tc>
          <w:tcPr>
            <w:tcW w:w="328" w:type="pct"/>
            <w:vMerge w:val="restar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vMerge w:val="restar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vMerge w:val="restar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67" w:hRule="atLeast"/>
        </w:trPr>
        <w:tc>
          <w:tcPr>
            <w:tcW w:w="372" w:type="pct"/>
            <w:vMerge w:val="continue"/>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实现市政务外网基础网络边界设备的一键封堵，做到7*24小时不间断封堵，支持对接第三方平台</w:t>
            </w:r>
          </w:p>
        </w:tc>
        <w:tc>
          <w:tcPr>
            <w:tcW w:w="328"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p>
        </w:tc>
        <w:tc>
          <w:tcPr>
            <w:tcW w:w="356"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p>
        </w:tc>
        <w:tc>
          <w:tcPr>
            <w:tcW w:w="464"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20</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省市边界防火墙</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省市边界防火墙，含应用控制、URL过滤、病毒防护、入侵防御、威胁情报检测、IPSec VPN功能；多核AMP+架构，网络层吞吐量≥60G，并发连接≥850万，每秒新建连接数≥60万，标准2U机箱，冗余电源， 标准配置1个Console口 、1个HA接口，1个MGT接口，4个万兆光口，支持2路万兆光口bypass；支持3个扩展插槽；支持液晶屏。含应用识别库、URL分类特征库、病毒防护特征库、入侵防御特征库升级服务及威胁情报订阅服务。须支持MPLS流量透传，对带有MPLS数据包流量进行封装/解封装，对数据包内容进行安全检查和分析，进而按照既定安全策略，进行转发和抛弃处理，对于转发的数据包还原标记并进行封装转发。支持针对MPLS流量的安全审查，包括漏洞防护、防病毒、流量控制、内容过滤、URL过滤、基于终端状态访问控制等安全防护功能</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21</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运维区防火墙</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运维区防火墙，性能不低于：网络层吞吐量：15G，应用层吞吐量：8G，防病毒吞吐量：1G，IPS吞吐量：1G，全威胁吞吐量：800M，并发连接数：200万，HTTP新建连接数：9万</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22</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电子政务外网违规外联检测设备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部署VPN2、VPN3各一台</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23</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电子政务网态势感知设备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性能不低于：存储容量：32T，在带宽性能1Gbps时存储时长：1800天/1Gbps</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24</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市民中心数据流量探针设备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性能不低于：吞吐性能：≤3Gbps，内存不小于：32G，硬盘容量不小于：1TBSATA，电源：冗余电源，接口不少于：6千兆电口+2万兆光口SFP+</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25</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电子政务外网VPN设备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性能不低于：最大理论加密流量（Mbps）：350，最大理论并发用户数：8000，IPSec加密最大流量（Mbps）：200，设备整机理论最大吞吐量：1.2Gbps，设备整机理论最大并发会话数：150W</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26</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内网数据防护设备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网络吞吐量：1.2Gb，支持用户数：不少于1200</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27</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数据库审计设备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事件处理不小于18000条/秒</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28</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电子政务外网与政务云边界防护设备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性能不低于：吞吐量：不小于55G，接口：不少于6千兆电口+6万兆光口SFP+</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73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29</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市民中心局委办与电子政务外网边界防护设备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性能不低于：吞吐量：不小于50G，接口：不少于6千兆电口+6万兆光口SFP+</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73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30</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市民中心外围局委办（鸿鼎、劳技PE侧边界）边界防护设备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性能不低于：吞吐量：不小于50G，接口：不少于6千兆电口+6万兆光口SFP+</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73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31</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市民中心外围局委办（干休所、高银巷PE侧边界）边界防护设备</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性能不低于：吞吐量：不小于55G，接口：不少于6千兆电口+6万兆光口SFP+</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73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both"/>
              <w:rPr>
                <w:rFonts w:hint="default" w:ascii="宋体" w:hAnsi="宋体" w:eastAsia="宋体" w:cs="宋体"/>
                <w:bCs/>
                <w:kern w:val="0"/>
                <w:sz w:val="18"/>
                <w:szCs w:val="18"/>
                <w:lang w:val="en-US" w:eastAsia="zh-CN"/>
              </w:rPr>
            </w:pPr>
            <w:r>
              <w:rPr>
                <w:rFonts w:hint="eastAsia" w:ascii="宋体" w:hAnsi="宋体" w:eastAsia="宋体" w:cs="宋体"/>
                <w:bCs/>
                <w:kern w:val="0"/>
                <w:sz w:val="18"/>
                <w:szCs w:val="18"/>
                <w:lang w:val="en-US" w:eastAsia="zh-CN"/>
              </w:rPr>
              <w:t>32</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hint="eastAsia" w:ascii="宋体" w:hAnsi="宋体" w:eastAsia="宋体" w:cs="宋体"/>
                <w:bCs/>
                <w:kern w:val="0"/>
                <w:sz w:val="18"/>
                <w:szCs w:val="18"/>
                <w:lang w:val="en-US" w:eastAsia="zh-CN"/>
              </w:rPr>
            </w:pPr>
            <w:r>
              <w:rPr>
                <w:rFonts w:hint="eastAsia" w:ascii="宋体" w:hAnsi="宋体" w:eastAsia="宋体" w:cs="宋体"/>
                <w:bCs/>
                <w:kern w:val="0"/>
                <w:sz w:val="18"/>
                <w:szCs w:val="18"/>
                <w:lang w:val="en-US" w:eastAsia="zh-CN"/>
              </w:rPr>
              <w:t>便携式CPE</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hint="eastAsia" w:ascii="宋体" w:hAnsi="宋体" w:eastAsia="宋体" w:cs="宋体"/>
                <w:bCs/>
                <w:kern w:val="0"/>
                <w:sz w:val="18"/>
                <w:szCs w:val="18"/>
                <w:lang w:eastAsia="en-US"/>
              </w:rPr>
            </w:pPr>
            <w:r>
              <w:rPr>
                <w:rFonts w:hint="eastAsia" w:ascii="宋体" w:hAnsi="宋体" w:eastAsia="宋体" w:cs="宋体"/>
                <w:bCs/>
                <w:kern w:val="0"/>
                <w:sz w:val="18"/>
                <w:szCs w:val="18"/>
                <w:lang w:val="en-US" w:eastAsia="zh-CN"/>
              </w:rPr>
              <w:t>满足主要领导出差访问使用（含国内外1年流量）</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hint="eastAsia" w:ascii="宋体" w:hAnsi="宋体" w:eastAsia="宋体" w:cs="宋体"/>
                <w:bCs/>
                <w:kern w:val="0"/>
                <w:sz w:val="18"/>
                <w:szCs w:val="18"/>
                <w:lang w:eastAsia="en-US"/>
              </w:rPr>
            </w:pPr>
            <w:r>
              <w:rPr>
                <w:rFonts w:hint="eastAsia" w:ascii="宋体" w:hAnsi="宋体" w:eastAsia="宋体" w:cs="宋体"/>
                <w:bCs/>
                <w:kern w:val="0"/>
                <w:sz w:val="18"/>
                <w:szCs w:val="18"/>
                <w:lang w:val="en-US" w:eastAsia="zh-CN"/>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hint="eastAsia" w:ascii="宋体" w:hAnsi="宋体" w:eastAsia="宋体" w:cs="宋体"/>
                <w:bCs/>
                <w:kern w:val="0"/>
                <w:sz w:val="18"/>
                <w:szCs w:val="18"/>
                <w:lang w:eastAsia="en-US"/>
              </w:rPr>
            </w:pPr>
            <w:r>
              <w:rPr>
                <w:rFonts w:hint="eastAsia" w:ascii="宋体" w:hAnsi="宋体" w:eastAsia="宋体" w:cs="宋体"/>
                <w:bCs/>
                <w:kern w:val="0"/>
                <w:sz w:val="18"/>
                <w:szCs w:val="18"/>
                <w:lang w:val="en-US" w:eastAsia="zh-CN"/>
              </w:rPr>
              <w:t>套</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hint="default" w:ascii="宋体" w:hAnsi="宋体" w:eastAsia="宋体" w:cs="宋体"/>
                <w:bCs/>
                <w:kern w:val="0"/>
                <w:sz w:val="18"/>
                <w:szCs w:val="18"/>
                <w:lang w:val="en-US" w:eastAsia="zh-CN"/>
              </w:rPr>
            </w:pPr>
            <w:r>
              <w:rPr>
                <w:rFonts w:hint="eastAsia" w:ascii="宋体" w:hAnsi="宋体" w:eastAsia="宋体" w:cs="宋体"/>
                <w:bCs/>
                <w:kern w:val="0"/>
                <w:sz w:val="18"/>
                <w:szCs w:val="18"/>
                <w:lang w:val="en-US" w:eastAsia="zh-CN"/>
              </w:rPr>
              <w:t>1年</w:t>
            </w:r>
          </w:p>
        </w:tc>
      </w:tr>
      <w:tr>
        <w:tblPrEx>
          <w:tblCellMar>
            <w:top w:w="0" w:type="dxa"/>
            <w:left w:w="108" w:type="dxa"/>
            <w:bottom w:w="0" w:type="dxa"/>
            <w:right w:w="108" w:type="dxa"/>
          </w:tblCellMar>
        </w:tblPrEx>
        <w:trPr>
          <w:trHeight w:val="367" w:hRule="atLeast"/>
        </w:trPr>
        <w:tc>
          <w:tcPr>
            <w:tcW w:w="3851" w:type="pct"/>
            <w:gridSpan w:val="4"/>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2、政务外网平台化运维能力租赁服务</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1</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电子政务外网申请审批服务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政务外网VPN申请、墙口开通、有线、无线网络开通关闭，割接报备等流程</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项</w:t>
            </w:r>
          </w:p>
        </w:tc>
        <w:tc>
          <w:tcPr>
            <w:tcW w:w="464" w:type="pct"/>
            <w:vMerge w:val="restar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2</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数据采集服务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政务外网设备和政务外网线路相关性能状态数据采集</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项</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3</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性能自动化告警服务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通过web界面中的告警首页，实时展示所有告警状态，告警节点、告警类型和告警内容，使网络管理员能清晰直观的知道网络中存在的问题，快速并准确的对应到告警设备，并对告警内容进行相对应的的处理</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项</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4</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数据展示服务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可视化呈现拓扑关系，展示对应设备的运行情况、实时展示所选线路信息，线路流量上限、线路实时流量等、按日、周、月统计设备运行情况、按分钟、日统计网络线路流量分布情况、可视化呈现封堵IP数量、黑名单数量、处理告警数量</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项</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5</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机房管理服务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对接机房感知设备，获得机房运行实时情况</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项</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6</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数据看板对接服务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和数字杭州数字数据看板对接，提供所需要的数据</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项</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7</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政务网线路精细化管理服务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对现在的政务外网线路，进行精细化管理，涵盖所有政务网情况，并且提供申请，变更，撤销，提醒等服务</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项</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8</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DHCP数据清洗服务租用</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存储，查询历史DHCP分配数据，为安全事件溯源提供数据支撑</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eastAsia="宋体" w:cs="宋体"/>
                <w:bCs/>
                <w:kern w:val="0"/>
                <w:sz w:val="18"/>
                <w:szCs w:val="18"/>
                <w:lang w:val="en-US" w:eastAsia="zh-CN"/>
              </w:rPr>
              <w:t>9</w:t>
            </w:r>
          </w:p>
        </w:tc>
        <w:tc>
          <w:tcPr>
            <w:tcW w:w="883" w:type="pct"/>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adjustRightInd/>
              <w:ind w:left="0" w:leftChars="0" w:firstLine="0" w:firstLineChars="0"/>
              <w:jc w:val="left"/>
              <w:textAlignment w:val="auto"/>
              <w:rPr>
                <w:rFonts w:hint="eastAsia" w:ascii="宋体" w:hAnsi="宋体" w:eastAsia="宋体" w:cs="宋体"/>
                <w:bCs/>
                <w:kern w:val="0"/>
                <w:sz w:val="18"/>
                <w:szCs w:val="18"/>
              </w:rPr>
            </w:pPr>
            <w:r>
              <w:rPr>
                <w:rFonts w:hint="eastAsia" w:ascii="宋体" w:hAnsi="宋体" w:eastAsia="宋体" w:cs="宋体"/>
                <w:bCs/>
                <w:i w:val="0"/>
                <w:iCs w:val="0"/>
                <w:kern w:val="0"/>
                <w:sz w:val="18"/>
                <w:szCs w:val="18"/>
                <w:u w:val="none"/>
                <w:lang w:val="en-US" w:eastAsia="zh-CN" w:bidi="ar"/>
              </w:rPr>
              <w:t>电子政务外网态势感知数据清洗服务租用</w:t>
            </w:r>
          </w:p>
        </w:tc>
        <w:tc>
          <w:tcPr>
            <w:tcW w:w="2594" w:type="pct"/>
            <w:gridSpan w:val="2"/>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autoSpaceDE w:val="0"/>
              <w:autoSpaceDN w:val="0"/>
              <w:adjustRightInd/>
              <w:ind w:left="0" w:leftChars="0" w:firstLine="0" w:firstLineChars="0"/>
              <w:jc w:val="left"/>
              <w:textAlignment w:val="auto"/>
              <w:rPr>
                <w:rFonts w:hint="eastAsia" w:ascii="宋体" w:hAnsi="宋体" w:eastAsia="宋体" w:cs="宋体"/>
                <w:bCs/>
                <w:kern w:val="0"/>
                <w:sz w:val="18"/>
                <w:szCs w:val="18"/>
              </w:rPr>
            </w:pPr>
            <w:r>
              <w:rPr>
                <w:rFonts w:hint="eastAsia" w:ascii="宋体" w:hAnsi="宋体" w:eastAsia="宋体" w:cs="宋体"/>
                <w:bCs/>
                <w:i w:val="0"/>
                <w:iCs w:val="0"/>
                <w:kern w:val="0"/>
                <w:sz w:val="18"/>
                <w:szCs w:val="18"/>
                <w:u w:val="none"/>
                <w:lang w:val="en-US" w:eastAsia="zh-CN" w:bidi="ar"/>
              </w:rPr>
              <w:t>现有态势感知数据初步清洗后同步至市安全管控平台，为安全管控平台提供可用的网络区域的安全基础数据。</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项</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lang w:val="en-US" w:eastAsia="zh-CN"/>
              </w:rPr>
              <w:t>10</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骨干网全年无故障率指标服务租用</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自动采集骨干链路数据形成全年无故障率指标</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67" w:hRule="atLeast"/>
        </w:trPr>
        <w:tc>
          <w:tcPr>
            <w:tcW w:w="3851" w:type="pct"/>
            <w:gridSpan w:val="4"/>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3、市民中心机房设备租赁服务</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rPr>
            </w:pPr>
          </w:p>
        </w:tc>
      </w:tr>
      <w:tr>
        <w:tblPrEx>
          <w:tblCellMar>
            <w:top w:w="0" w:type="dxa"/>
            <w:left w:w="108" w:type="dxa"/>
            <w:bottom w:w="0" w:type="dxa"/>
            <w:right w:w="108" w:type="dxa"/>
          </w:tblCellMar>
        </w:tblPrEx>
        <w:trPr>
          <w:trHeight w:val="233" w:hRule="atLeast"/>
        </w:trPr>
        <w:tc>
          <w:tcPr>
            <w:tcW w:w="372"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883"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核心及汇聚机房、UPS机房（共8个机房）摄像机、录像机、电子门禁、防盗报警、静电地板吸水贴面、静电消除设备租赁服务</w:t>
            </w:r>
          </w:p>
        </w:tc>
        <w:tc>
          <w:tcPr>
            <w:tcW w:w="2594"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 xml:space="preserve">包含电子门禁 </w:t>
            </w:r>
          </w:p>
        </w:tc>
        <w:tc>
          <w:tcPr>
            <w:tcW w:w="32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7</w:t>
            </w:r>
          </w:p>
        </w:tc>
        <w:tc>
          <w:tcPr>
            <w:tcW w:w="35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套</w:t>
            </w:r>
          </w:p>
        </w:tc>
        <w:tc>
          <w:tcPr>
            <w:tcW w:w="464"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233" w:hRule="atLeast"/>
        </w:trPr>
        <w:tc>
          <w:tcPr>
            <w:tcW w:w="3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pPr>
          </w:p>
        </w:tc>
        <w:tc>
          <w:tcPr>
            <w:tcW w:w="88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pPr>
          </w:p>
        </w:tc>
        <w:tc>
          <w:tcPr>
            <w:tcW w:w="2594"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r>
              <w:rPr>
                <w:rFonts w:hint="eastAsia" w:ascii="宋体" w:hAnsi="宋体" w:cs="宋体"/>
                <w:bCs/>
                <w:kern w:val="0"/>
                <w:sz w:val="18"/>
                <w:szCs w:val="18"/>
              </w:rPr>
              <w:t xml:space="preserve">防盗报警 </w:t>
            </w:r>
          </w:p>
        </w:tc>
        <w:tc>
          <w:tcPr>
            <w:tcW w:w="32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7</w:t>
            </w:r>
          </w:p>
        </w:tc>
        <w:tc>
          <w:tcPr>
            <w:tcW w:w="35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套</w:t>
            </w:r>
          </w:p>
        </w:tc>
        <w:tc>
          <w:tcPr>
            <w:tcW w:w="46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r>
      <w:tr>
        <w:tblPrEx>
          <w:tblCellMar>
            <w:top w:w="0" w:type="dxa"/>
            <w:left w:w="108" w:type="dxa"/>
            <w:bottom w:w="0" w:type="dxa"/>
            <w:right w:w="108" w:type="dxa"/>
          </w:tblCellMar>
        </w:tblPrEx>
        <w:trPr>
          <w:trHeight w:val="233" w:hRule="atLeast"/>
        </w:trPr>
        <w:tc>
          <w:tcPr>
            <w:tcW w:w="3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c>
          <w:tcPr>
            <w:tcW w:w="88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c>
          <w:tcPr>
            <w:tcW w:w="2594"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r>
              <w:rPr>
                <w:rFonts w:hint="eastAsia" w:ascii="宋体" w:hAnsi="宋体" w:cs="宋体"/>
                <w:bCs/>
                <w:kern w:val="0"/>
                <w:sz w:val="18"/>
                <w:szCs w:val="18"/>
              </w:rPr>
              <w:t>静电地板吸水贴面</w:t>
            </w:r>
          </w:p>
        </w:tc>
        <w:tc>
          <w:tcPr>
            <w:tcW w:w="32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7</w:t>
            </w:r>
          </w:p>
        </w:tc>
        <w:tc>
          <w:tcPr>
            <w:tcW w:w="35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套</w:t>
            </w:r>
          </w:p>
        </w:tc>
        <w:tc>
          <w:tcPr>
            <w:tcW w:w="46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r>
      <w:tr>
        <w:tblPrEx>
          <w:tblCellMar>
            <w:top w:w="0" w:type="dxa"/>
            <w:left w:w="108" w:type="dxa"/>
            <w:bottom w:w="0" w:type="dxa"/>
            <w:right w:w="108" w:type="dxa"/>
          </w:tblCellMar>
        </w:tblPrEx>
        <w:trPr>
          <w:trHeight w:val="233" w:hRule="atLeast"/>
        </w:trPr>
        <w:tc>
          <w:tcPr>
            <w:tcW w:w="3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c>
          <w:tcPr>
            <w:tcW w:w="88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c>
          <w:tcPr>
            <w:tcW w:w="2594"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r>
              <w:rPr>
                <w:rFonts w:hint="eastAsia" w:ascii="宋体" w:hAnsi="宋体" w:cs="宋体"/>
                <w:bCs/>
                <w:kern w:val="0"/>
                <w:sz w:val="18"/>
                <w:szCs w:val="18"/>
              </w:rPr>
              <w:t xml:space="preserve">静电消除设备  </w:t>
            </w:r>
          </w:p>
        </w:tc>
        <w:tc>
          <w:tcPr>
            <w:tcW w:w="32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7</w:t>
            </w:r>
          </w:p>
        </w:tc>
        <w:tc>
          <w:tcPr>
            <w:tcW w:w="35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套</w:t>
            </w:r>
          </w:p>
        </w:tc>
        <w:tc>
          <w:tcPr>
            <w:tcW w:w="46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r>
      <w:tr>
        <w:tblPrEx>
          <w:tblCellMar>
            <w:top w:w="0" w:type="dxa"/>
            <w:left w:w="108" w:type="dxa"/>
            <w:bottom w:w="0" w:type="dxa"/>
            <w:right w:w="108" w:type="dxa"/>
          </w:tblCellMar>
        </w:tblPrEx>
        <w:trPr>
          <w:trHeight w:val="233" w:hRule="atLeast"/>
        </w:trPr>
        <w:tc>
          <w:tcPr>
            <w:tcW w:w="3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c>
          <w:tcPr>
            <w:tcW w:w="88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c>
          <w:tcPr>
            <w:tcW w:w="2594"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r>
              <w:rPr>
                <w:rFonts w:hint="eastAsia" w:ascii="宋体" w:hAnsi="宋体" w:cs="宋体"/>
                <w:bCs/>
                <w:kern w:val="0"/>
                <w:sz w:val="18"/>
                <w:szCs w:val="18"/>
              </w:rPr>
              <w:t xml:space="preserve">摄像机 </w:t>
            </w:r>
          </w:p>
        </w:tc>
        <w:tc>
          <w:tcPr>
            <w:tcW w:w="32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default" w:ascii="宋体" w:hAnsi="宋体" w:eastAsia="宋体" w:cs="宋体"/>
                <w:bCs/>
                <w:kern w:val="0"/>
                <w:sz w:val="18"/>
                <w:szCs w:val="18"/>
                <w:lang w:val="en-US" w:eastAsia="zh-CN"/>
              </w:rPr>
            </w:pPr>
            <w:r>
              <w:rPr>
                <w:rFonts w:hint="eastAsia" w:ascii="宋体" w:hAnsi="宋体" w:cs="宋体"/>
                <w:bCs/>
                <w:kern w:val="0"/>
                <w:sz w:val="18"/>
                <w:szCs w:val="18"/>
                <w:lang w:val="en-US" w:eastAsia="zh-CN"/>
              </w:rPr>
              <w:t>18</w:t>
            </w:r>
          </w:p>
        </w:tc>
        <w:tc>
          <w:tcPr>
            <w:tcW w:w="35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台</w:t>
            </w:r>
          </w:p>
        </w:tc>
        <w:tc>
          <w:tcPr>
            <w:tcW w:w="46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r>
      <w:tr>
        <w:tblPrEx>
          <w:tblCellMar>
            <w:top w:w="0" w:type="dxa"/>
            <w:left w:w="108" w:type="dxa"/>
            <w:bottom w:w="0" w:type="dxa"/>
            <w:right w:w="108" w:type="dxa"/>
          </w:tblCellMar>
        </w:tblPrEx>
        <w:trPr>
          <w:trHeight w:val="233" w:hRule="atLeast"/>
        </w:trPr>
        <w:tc>
          <w:tcPr>
            <w:tcW w:w="3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c>
          <w:tcPr>
            <w:tcW w:w="88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c>
          <w:tcPr>
            <w:tcW w:w="2594"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r>
              <w:rPr>
                <w:rFonts w:hint="eastAsia" w:ascii="宋体" w:hAnsi="宋体" w:cs="宋体"/>
                <w:bCs/>
                <w:kern w:val="0"/>
                <w:sz w:val="18"/>
                <w:szCs w:val="18"/>
              </w:rPr>
              <w:t xml:space="preserve">硬盘录像机 </w:t>
            </w:r>
          </w:p>
        </w:tc>
        <w:tc>
          <w:tcPr>
            <w:tcW w:w="32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2</w:t>
            </w:r>
          </w:p>
        </w:tc>
        <w:tc>
          <w:tcPr>
            <w:tcW w:w="35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套</w:t>
            </w:r>
          </w:p>
        </w:tc>
        <w:tc>
          <w:tcPr>
            <w:tcW w:w="46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r>
      <w:tr>
        <w:tblPrEx>
          <w:tblCellMar>
            <w:top w:w="0" w:type="dxa"/>
            <w:left w:w="108" w:type="dxa"/>
            <w:bottom w:w="0" w:type="dxa"/>
            <w:right w:w="108" w:type="dxa"/>
          </w:tblCellMar>
        </w:tblPrEx>
        <w:trPr>
          <w:trHeight w:val="90" w:hRule="atLeast"/>
        </w:trPr>
        <w:tc>
          <w:tcPr>
            <w:tcW w:w="37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c>
          <w:tcPr>
            <w:tcW w:w="883"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c>
          <w:tcPr>
            <w:tcW w:w="2594"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r>
              <w:rPr>
                <w:rFonts w:hint="eastAsia" w:ascii="宋体" w:hAnsi="宋体" w:cs="宋体"/>
                <w:bCs/>
                <w:kern w:val="0"/>
                <w:sz w:val="18"/>
                <w:szCs w:val="18"/>
              </w:rPr>
              <w:t xml:space="preserve">UPS机房门禁 </w:t>
            </w:r>
          </w:p>
        </w:tc>
        <w:tc>
          <w:tcPr>
            <w:tcW w:w="32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1</w:t>
            </w:r>
          </w:p>
        </w:tc>
        <w:tc>
          <w:tcPr>
            <w:tcW w:w="35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套</w:t>
            </w:r>
          </w:p>
        </w:tc>
        <w:tc>
          <w:tcPr>
            <w:tcW w:w="464"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cs="宋体"/>
                <w:bCs/>
                <w:kern w:val="0"/>
                <w:sz w:val="18"/>
                <w:szCs w:val="18"/>
              </w:rPr>
            </w:pPr>
          </w:p>
        </w:tc>
      </w:tr>
      <w:tr>
        <w:tblPrEx>
          <w:tblCellMar>
            <w:top w:w="0" w:type="dxa"/>
            <w:left w:w="108" w:type="dxa"/>
            <w:bottom w:w="0" w:type="dxa"/>
            <w:right w:w="108" w:type="dxa"/>
          </w:tblCellMar>
        </w:tblPrEx>
        <w:trPr>
          <w:trHeight w:val="375" w:hRule="atLeast"/>
        </w:trPr>
        <w:tc>
          <w:tcPr>
            <w:tcW w:w="372"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88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机房网络柜精密空调租赁服务</w:t>
            </w:r>
          </w:p>
        </w:tc>
        <w:tc>
          <w:tcPr>
            <w:tcW w:w="2594"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适配现有核心机房模块化网络柜精密空调</w:t>
            </w:r>
          </w:p>
        </w:tc>
        <w:tc>
          <w:tcPr>
            <w:tcW w:w="32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3</w:t>
            </w:r>
          </w:p>
        </w:tc>
        <w:tc>
          <w:tcPr>
            <w:tcW w:w="883"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机房网络柜蓄电池设备租赁服务</w:t>
            </w:r>
          </w:p>
        </w:tc>
        <w:tc>
          <w:tcPr>
            <w:tcW w:w="2594" w:type="pct"/>
            <w:gridSpan w:val="2"/>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适配现有UPS电池柜，12V100AH铅酸蓄电池128节，蓄电池在环境温度20℃～25℃时的浮充运行寿命不低于12年，蓄电池采用全密封防泄漏结构，外壳无异常变形、裂纹及污迹，上盖及端子无损伤，正常工作时无酸雾逸出</w:t>
            </w:r>
          </w:p>
        </w:tc>
        <w:tc>
          <w:tcPr>
            <w:tcW w:w="328"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735" w:hRule="atLeast"/>
        </w:trPr>
        <w:tc>
          <w:tcPr>
            <w:tcW w:w="372" w:type="pc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4</w:t>
            </w:r>
          </w:p>
        </w:tc>
        <w:tc>
          <w:tcPr>
            <w:tcW w:w="883"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UPS机房消防钢瓶、气体灭火控制盘设备租赁服务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UPS机房消防钢瓶、气体灭火控制盘设备租用服务，实现1个防火区的火灾报警和气体灭火控制</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67" w:hRule="atLeast"/>
        </w:trPr>
        <w:tc>
          <w:tcPr>
            <w:tcW w:w="4535" w:type="pct"/>
            <w:gridSpan w:val="6"/>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三、设备维保服务</w:t>
            </w:r>
          </w:p>
        </w:tc>
        <w:tc>
          <w:tcPr>
            <w:tcW w:w="464"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883" w:type="pct"/>
            <w:vMerge w:val="restar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市民中心路由交换设备维保服务</w:t>
            </w:r>
          </w:p>
        </w:tc>
        <w:tc>
          <w:tcPr>
            <w:tcW w:w="120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核心交换机</w:t>
            </w:r>
          </w:p>
        </w:tc>
        <w:tc>
          <w:tcPr>
            <w:tcW w:w="1388"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H3C S7608X</w:t>
            </w:r>
          </w:p>
        </w:tc>
        <w:tc>
          <w:tcPr>
            <w:tcW w:w="328"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vMerge w:val="restart"/>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rPr>
              <w:t>原厂</w:t>
            </w: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vMerge w:val="continue"/>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20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核心路由器</w:t>
            </w:r>
          </w:p>
        </w:tc>
        <w:tc>
          <w:tcPr>
            <w:tcW w:w="138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H3C SR-8803-X-S</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vMerge w:val="continue"/>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206" w:type="pct"/>
            <w:vMerge w:val="restar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汇聚交换机</w:t>
            </w:r>
          </w:p>
        </w:tc>
        <w:tc>
          <w:tcPr>
            <w:tcW w:w="138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H3CS7506E-NP4</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4</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vMerge w:val="continue"/>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206"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38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华为S7706</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4</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vMerge w:val="continue"/>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20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准入认证</w:t>
            </w:r>
          </w:p>
        </w:tc>
        <w:tc>
          <w:tcPr>
            <w:tcW w:w="138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H3C DR2000</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套</w:t>
            </w:r>
          </w:p>
        </w:tc>
        <w:tc>
          <w:tcPr>
            <w:tcW w:w="464" w:type="pct"/>
            <w:vMerge w:val="continue"/>
            <w:tcBorders>
              <w:top w:val="single" w:color="000000" w:sz="8" w:space="0"/>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20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核心PE设备</w:t>
            </w:r>
          </w:p>
        </w:tc>
        <w:tc>
          <w:tcPr>
            <w:tcW w:w="138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华为NE20E-S8</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6</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vMerge w:val="restar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rPr>
              <w:t>原厂</w:t>
            </w: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vMerge w:val="continue"/>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20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P设备</w:t>
            </w:r>
          </w:p>
        </w:tc>
        <w:tc>
          <w:tcPr>
            <w:tcW w:w="138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华为S7706</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6</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vMerge w:val="continue"/>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20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汇聚交换机</w:t>
            </w:r>
          </w:p>
        </w:tc>
        <w:tc>
          <w:tcPr>
            <w:tcW w:w="138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华为 S5730-68C-SI-AC</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vMerge w:val="restart"/>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3</w:t>
            </w:r>
          </w:p>
        </w:tc>
        <w:tc>
          <w:tcPr>
            <w:tcW w:w="883" w:type="pct"/>
            <w:vMerge w:val="restar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市民中心机房维保服务</w:t>
            </w: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机房配电系统</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vMerge w:val="restar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r>
              <w:rPr>
                <w:rFonts w:hint="eastAsia" w:ascii="宋体" w:hAnsi="宋体" w:cs="宋体"/>
                <w:bCs/>
                <w:kern w:val="0"/>
                <w:sz w:val="18"/>
                <w:szCs w:val="18"/>
              </w:rPr>
              <w:t>原厂</w:t>
            </w: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372" w:type="pct"/>
            <w:vMerge w:val="continue"/>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汇聚机房气体灭火系统</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3</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套</w:t>
            </w:r>
          </w:p>
        </w:tc>
        <w:tc>
          <w:tcPr>
            <w:tcW w:w="464"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vMerge w:val="continue"/>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机房精密空调</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5</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套</w:t>
            </w:r>
          </w:p>
        </w:tc>
        <w:tc>
          <w:tcPr>
            <w:tcW w:w="464"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vMerge w:val="continue"/>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机房冷通道动环监控</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套</w:t>
            </w:r>
          </w:p>
        </w:tc>
        <w:tc>
          <w:tcPr>
            <w:tcW w:w="464"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vMerge w:val="continue"/>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市民中心A座3楼机房UPS（主机）</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2</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台</w:t>
            </w:r>
          </w:p>
        </w:tc>
        <w:tc>
          <w:tcPr>
            <w:tcW w:w="464"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372" w:type="pct"/>
            <w:vMerge w:val="continue"/>
            <w:tcBorders>
              <w:top w:val="nil"/>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83"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2594" w:type="pct"/>
            <w:gridSpan w:val="2"/>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汇聚机房(A、B、C、D、E、F)UPS维保</w:t>
            </w:r>
          </w:p>
        </w:tc>
        <w:tc>
          <w:tcPr>
            <w:tcW w:w="328"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6</w:t>
            </w:r>
          </w:p>
        </w:tc>
        <w:tc>
          <w:tcPr>
            <w:tcW w:w="356" w:type="pct"/>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464" w:type="pct"/>
            <w:vMerge w:val="continue"/>
            <w:tcBorders>
              <w:top w:val="nil"/>
              <w:left w:val="nil"/>
              <w:bottom w:val="single" w:color="000000" w:sz="8" w:space="0"/>
              <w:right w:val="single" w:color="000000" w:sz="8" w:space="0"/>
            </w:tcBorders>
            <w:shd w:val="clear" w:color="auto" w:fill="auto"/>
            <w:vAlign w:val="center"/>
          </w:tcPr>
          <w:p>
            <w:pPr>
              <w:widowControl/>
              <w:autoSpaceDE w:val="0"/>
              <w:autoSpaceDN w:val="0"/>
              <w:adjustRightInd/>
              <w:jc w:val="center"/>
              <w:rPr>
                <w:rFonts w:ascii="宋体" w:hAnsi="宋体" w:cs="宋体"/>
                <w:bCs/>
                <w:kern w:val="0"/>
                <w:sz w:val="18"/>
                <w:szCs w:val="18"/>
                <w:lang w:eastAsia="en-US"/>
              </w:rPr>
            </w:pPr>
          </w:p>
        </w:tc>
      </w:tr>
      <w:bookmarkEnd w:id="29"/>
    </w:tbl>
    <w:p>
      <w:pPr>
        <w:keepNext w:val="0"/>
        <w:keepLines w:val="0"/>
        <w:pageBreakBefore w:val="0"/>
        <w:widowControl/>
        <w:numPr>
          <w:ilvl w:val="0"/>
          <w:numId w:val="2"/>
        </w:numPr>
        <w:kinsoku/>
        <w:wordWrap/>
        <w:overflowPunct/>
        <w:topLinePunct w:val="0"/>
        <w:autoSpaceDE/>
        <w:autoSpaceDN/>
        <w:bidi w:val="0"/>
        <w:adjustRightInd/>
        <w:spacing w:before="100" w:beforeAutospacing="1" w:after="100" w:afterAutospacing="1" w:line="360" w:lineRule="auto"/>
        <w:jc w:val="left"/>
        <w:textAlignment w:val="auto"/>
        <w:outlineLvl w:val="1"/>
        <w:rPr>
          <w:rFonts w:ascii="宋体" w:hAnsi="宋体"/>
          <w:b/>
          <w:sz w:val="24"/>
        </w:rPr>
      </w:pPr>
      <w:r>
        <w:rPr>
          <w:rFonts w:hint="eastAsia" w:ascii="宋体" w:hAnsi="宋体"/>
          <w:b/>
          <w:sz w:val="24"/>
        </w:rPr>
        <w:t>技术要求</w:t>
      </w:r>
    </w:p>
    <w:p>
      <w:pPr>
        <w:keepNext w:val="0"/>
        <w:keepLines w:val="0"/>
        <w:pageBreakBefore w:val="0"/>
        <w:numPr>
          <w:ilvl w:val="0"/>
          <w:numId w:val="4"/>
        </w:numPr>
        <w:kinsoku/>
        <w:wordWrap/>
        <w:overflowPunct/>
        <w:topLinePunct w:val="0"/>
        <w:autoSpaceDE/>
        <w:autoSpaceDN/>
        <w:bidi w:val="0"/>
        <w:snapToGrid w:val="0"/>
        <w:spacing w:line="360" w:lineRule="auto"/>
        <w:ind w:left="0" w:firstLine="0"/>
        <w:textAlignment w:val="auto"/>
        <w:outlineLvl w:val="2"/>
        <w:rPr>
          <w:rFonts w:ascii="宋体" w:hAnsi="宋体" w:cs="宋体"/>
          <w:sz w:val="24"/>
        </w:rPr>
      </w:pPr>
      <w:r>
        <w:rPr>
          <w:rFonts w:hint="eastAsia" w:ascii="宋体" w:hAnsi="宋体" w:cs="宋体"/>
          <w:b/>
          <w:sz w:val="24"/>
        </w:rPr>
        <w:t>线路资源租赁服务</w:t>
      </w:r>
    </w:p>
    <w:p>
      <w:pPr>
        <w:keepNext w:val="0"/>
        <w:keepLines w:val="0"/>
        <w:pageBreakBefore w:val="0"/>
        <w:tabs>
          <w:tab w:val="left" w:pos="0"/>
        </w:tabs>
        <w:kinsoku/>
        <w:wordWrap/>
        <w:overflowPunct/>
        <w:topLinePunct w:val="0"/>
        <w:autoSpaceDE/>
        <w:autoSpaceDN/>
        <w:bidi w:val="0"/>
        <w:snapToGrid w:val="0"/>
        <w:spacing w:line="360" w:lineRule="auto"/>
        <w:textAlignment w:val="auto"/>
        <w:outlineLvl w:val="2"/>
        <w:rPr>
          <w:rFonts w:ascii="宋体" w:hAnsi="宋体" w:cs="宋体"/>
          <w:sz w:val="24"/>
        </w:rPr>
      </w:pPr>
      <w:r>
        <w:rPr>
          <w:rFonts w:hint="eastAsia" w:ascii="宋体" w:hAnsi="宋体" w:cs="宋体"/>
          <w:sz w:val="24"/>
        </w:rPr>
        <w:t>1.1 互联网出口带宽租赁服务</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宋体" w:hAnsi="宋体" w:cs="宋体"/>
          <w:sz w:val="24"/>
          <w:szCs w:val="32"/>
        </w:rPr>
      </w:pPr>
      <w:r>
        <w:rPr>
          <w:rFonts w:hint="eastAsia" w:ascii="宋体" w:hAnsi="宋体" w:cs="宋体"/>
          <w:sz w:val="24"/>
          <w:szCs w:val="32"/>
        </w:rPr>
        <w:t>互联网出口带宽</w:t>
      </w:r>
      <w:r>
        <w:rPr>
          <w:rFonts w:hint="eastAsia" w:ascii="宋体" w:hAnsi="宋体" w:cs="宋体"/>
          <w:bCs/>
          <w:sz w:val="24"/>
          <w:szCs w:val="32"/>
        </w:rPr>
        <w:t>≥</w:t>
      </w:r>
      <w:r>
        <w:rPr>
          <w:rFonts w:hint="eastAsia" w:ascii="宋体" w:hAnsi="宋体" w:cs="宋体"/>
          <w:sz w:val="24"/>
          <w:szCs w:val="32"/>
        </w:rPr>
        <w:t>8.3G，适配现有杭州市电子政务外网。（为保障线路服务质量，须覆盖电信、移动、联通、华数</w:t>
      </w:r>
      <w:r>
        <w:rPr>
          <w:rFonts w:ascii="宋体" w:hAnsi="宋体" w:cs="宋体"/>
          <w:sz w:val="24"/>
          <w:szCs w:val="32"/>
        </w:rPr>
        <w:t>线路）</w:t>
      </w:r>
      <w:r>
        <w:rPr>
          <w:rFonts w:hint="eastAsia" w:ascii="宋体" w:hAnsi="宋体" w:cs="宋体"/>
          <w:sz w:val="24"/>
          <w:szCs w:val="32"/>
        </w:rPr>
        <w:t>。</w:t>
      </w:r>
    </w:p>
    <w:p>
      <w:pPr>
        <w:keepNext w:val="0"/>
        <w:keepLines w:val="0"/>
        <w:pageBreakBefore w:val="0"/>
        <w:tabs>
          <w:tab w:val="left" w:pos="0"/>
        </w:tabs>
        <w:kinsoku/>
        <w:wordWrap/>
        <w:overflowPunct/>
        <w:topLinePunct w:val="0"/>
        <w:autoSpaceDE/>
        <w:autoSpaceDN/>
        <w:bidi w:val="0"/>
        <w:snapToGrid w:val="0"/>
        <w:spacing w:line="360" w:lineRule="auto"/>
        <w:textAlignment w:val="auto"/>
        <w:outlineLvl w:val="2"/>
        <w:rPr>
          <w:rFonts w:ascii="宋体" w:hAnsi="宋体" w:cs="宋体"/>
          <w:sz w:val="24"/>
        </w:rPr>
      </w:pPr>
      <w:r>
        <w:rPr>
          <w:rFonts w:hint="eastAsia" w:ascii="宋体" w:hAnsi="宋体" w:cs="宋体"/>
          <w:sz w:val="24"/>
        </w:rPr>
        <w:t>1.2 政务网链路租赁服务</w:t>
      </w:r>
    </w:p>
    <w:p>
      <w:pPr>
        <w:keepNext w:val="0"/>
        <w:keepLines w:val="0"/>
        <w:pageBreakBefore w:val="0"/>
        <w:kinsoku/>
        <w:wordWrap/>
        <w:overflowPunct/>
        <w:topLinePunct w:val="0"/>
        <w:autoSpaceDE/>
        <w:autoSpaceDN/>
        <w:bidi w:val="0"/>
        <w:spacing w:line="360" w:lineRule="auto"/>
        <w:ind w:firstLine="480" w:firstLineChars="200"/>
        <w:jc w:val="left"/>
        <w:textAlignment w:val="auto"/>
        <w:rPr>
          <w:rFonts w:ascii="宋体" w:hAnsi="宋体" w:cs="宋体"/>
          <w:sz w:val="24"/>
        </w:rPr>
      </w:pPr>
      <w:r>
        <w:rPr>
          <w:rFonts w:hint="eastAsia" w:ascii="宋体" w:hAnsi="宋体" w:cs="宋体"/>
          <w:sz w:val="24"/>
        </w:rPr>
        <w:t>政务网相关链路租用须不少于147条，政务网相关链路租用包含政务网</w:t>
      </w:r>
      <w:r>
        <w:rPr>
          <w:rFonts w:ascii="宋体" w:hAnsi="宋体" w:cs="宋体"/>
          <w:sz w:val="24"/>
        </w:rPr>
        <w:t>VPN100M、政务网VPN500M、政务网VPN1000M、政务网裸光纤、光纤专线10M、光纤专线50M、公共安全区接入线路</w:t>
      </w:r>
      <w:r>
        <w:rPr>
          <w:rFonts w:hint="eastAsia" w:ascii="宋体" w:hAnsi="宋体" w:cs="宋体"/>
          <w:sz w:val="24"/>
        </w:rPr>
        <w:t>等类型。</w:t>
      </w:r>
    </w:p>
    <w:tbl>
      <w:tblPr>
        <w:tblStyle w:val="62"/>
        <w:tblW w:w="4998" w:type="pct"/>
        <w:tblInd w:w="0" w:type="dxa"/>
        <w:tblLayout w:type="autofit"/>
        <w:tblCellMar>
          <w:top w:w="0" w:type="dxa"/>
          <w:left w:w="108" w:type="dxa"/>
          <w:bottom w:w="0" w:type="dxa"/>
          <w:right w:w="108" w:type="dxa"/>
        </w:tblCellMar>
      </w:tblPr>
      <w:tblGrid>
        <w:gridCol w:w="1616"/>
        <w:gridCol w:w="3438"/>
        <w:gridCol w:w="3438"/>
      </w:tblGrid>
      <w:tr>
        <w:tblPrEx>
          <w:tblCellMar>
            <w:top w:w="0" w:type="dxa"/>
            <w:left w:w="108" w:type="dxa"/>
            <w:bottom w:w="0" w:type="dxa"/>
            <w:right w:w="108" w:type="dxa"/>
          </w:tblCellMar>
        </w:tblPrEx>
        <w:trPr>
          <w:trHeight w:val="336" w:hRule="atLeast"/>
        </w:trPr>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序号</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类型</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数量</w:t>
            </w:r>
          </w:p>
        </w:tc>
      </w:tr>
      <w:tr>
        <w:tblPrEx>
          <w:tblCellMar>
            <w:top w:w="0" w:type="dxa"/>
            <w:left w:w="108" w:type="dxa"/>
            <w:bottom w:w="0" w:type="dxa"/>
            <w:right w:w="108" w:type="dxa"/>
          </w:tblCellMar>
        </w:tblPrEx>
        <w:trPr>
          <w:trHeight w:val="336" w:hRule="atLeast"/>
        </w:trPr>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政务网VPN100M</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r>
              <w:rPr>
                <w:rFonts w:hint="eastAsia" w:ascii="宋体" w:hAnsi="宋体" w:cs="宋体"/>
                <w:bCs/>
                <w:kern w:val="0"/>
                <w:sz w:val="18"/>
                <w:szCs w:val="18"/>
              </w:rPr>
              <w:t>08</w:t>
            </w:r>
          </w:p>
        </w:tc>
      </w:tr>
      <w:tr>
        <w:tblPrEx>
          <w:tblCellMar>
            <w:top w:w="0" w:type="dxa"/>
            <w:left w:w="108" w:type="dxa"/>
            <w:bottom w:w="0" w:type="dxa"/>
            <w:right w:w="108" w:type="dxa"/>
          </w:tblCellMar>
        </w:tblPrEx>
        <w:trPr>
          <w:trHeight w:val="336" w:hRule="atLeast"/>
        </w:trPr>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政务网VPN500M</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9</w:t>
            </w:r>
          </w:p>
        </w:tc>
      </w:tr>
      <w:tr>
        <w:tblPrEx>
          <w:tblCellMar>
            <w:top w:w="0" w:type="dxa"/>
            <w:left w:w="108" w:type="dxa"/>
            <w:bottom w:w="0" w:type="dxa"/>
            <w:right w:w="108" w:type="dxa"/>
          </w:tblCellMar>
        </w:tblPrEx>
        <w:trPr>
          <w:trHeight w:val="336" w:hRule="atLeast"/>
        </w:trPr>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3</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政务网VPN1000M</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r>
              <w:rPr>
                <w:rFonts w:hint="eastAsia" w:ascii="宋体" w:hAnsi="宋体" w:cs="宋体"/>
                <w:bCs/>
                <w:kern w:val="0"/>
                <w:sz w:val="18"/>
                <w:szCs w:val="18"/>
              </w:rPr>
              <w:t>6</w:t>
            </w:r>
          </w:p>
        </w:tc>
      </w:tr>
      <w:tr>
        <w:tblPrEx>
          <w:tblCellMar>
            <w:top w:w="0" w:type="dxa"/>
            <w:left w:w="108" w:type="dxa"/>
            <w:bottom w:w="0" w:type="dxa"/>
            <w:right w:w="108" w:type="dxa"/>
          </w:tblCellMar>
        </w:tblPrEx>
        <w:trPr>
          <w:trHeight w:val="336" w:hRule="atLeast"/>
        </w:trPr>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4</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政务网裸光纤</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7</w:t>
            </w:r>
          </w:p>
        </w:tc>
      </w:tr>
      <w:tr>
        <w:tblPrEx>
          <w:tblCellMar>
            <w:top w:w="0" w:type="dxa"/>
            <w:left w:w="108" w:type="dxa"/>
            <w:bottom w:w="0" w:type="dxa"/>
            <w:right w:w="108" w:type="dxa"/>
          </w:tblCellMar>
        </w:tblPrEx>
        <w:trPr>
          <w:trHeight w:val="336" w:hRule="atLeast"/>
        </w:trPr>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5</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光纤专线10M</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r>
      <w:tr>
        <w:tblPrEx>
          <w:tblCellMar>
            <w:top w:w="0" w:type="dxa"/>
            <w:left w:w="108" w:type="dxa"/>
            <w:bottom w:w="0" w:type="dxa"/>
            <w:right w:w="108" w:type="dxa"/>
          </w:tblCellMar>
        </w:tblPrEx>
        <w:trPr>
          <w:trHeight w:val="336" w:hRule="atLeast"/>
        </w:trPr>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6</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光纤专线50M</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r>
      <w:tr>
        <w:tblPrEx>
          <w:tblCellMar>
            <w:top w:w="0" w:type="dxa"/>
            <w:left w:w="108" w:type="dxa"/>
            <w:bottom w:w="0" w:type="dxa"/>
            <w:right w:w="108" w:type="dxa"/>
          </w:tblCellMar>
        </w:tblPrEx>
        <w:trPr>
          <w:trHeight w:val="336" w:hRule="atLeast"/>
        </w:trPr>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7</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公共安全区接入线路</w:t>
            </w:r>
          </w:p>
        </w:tc>
        <w:tc>
          <w:tcPr>
            <w:tcW w:w="202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5</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备注：</w:t>
      </w:r>
      <w:r>
        <w:rPr>
          <w:rFonts w:ascii="宋体" w:hAnsi="宋体" w:cs="宋体"/>
          <w:sz w:val="24"/>
        </w:rPr>
        <w:t>1、须包含本服务周期所必须的机房配套资源，如机柜、电源等。2、</w:t>
      </w:r>
      <w:r>
        <w:rPr>
          <w:rFonts w:hint="eastAsia" w:ascii="宋体" w:hAnsi="宋体" w:cs="宋体"/>
          <w:sz w:val="24"/>
        </w:rPr>
        <w:t>因链路使用的情况须按照实际需求进行规划和分配，故政务网链路租赁服务部分实际使用的链路规格、数量和费用应当以验收结果为准，且结算总价上限不得超过合同金额。3、乙方应保证选取使用的线路规格数量以</w:t>
      </w:r>
      <w:r>
        <w:rPr>
          <w:rFonts w:hint="eastAsia" w:ascii="宋体" w:hAnsi="宋体" w:cs="宋体"/>
          <w:sz w:val="24"/>
          <w:lang w:eastAsia="zh-CN"/>
        </w:rPr>
        <w:t>采购人</w:t>
      </w:r>
      <w:r>
        <w:rPr>
          <w:rFonts w:hint="eastAsia" w:ascii="宋体" w:hAnsi="宋体" w:cs="宋体"/>
          <w:sz w:val="24"/>
        </w:rPr>
        <w:t>要求为准，并应接受</w:t>
      </w:r>
      <w:r>
        <w:rPr>
          <w:rFonts w:hint="eastAsia" w:ascii="宋体" w:hAnsi="宋体" w:cs="宋体"/>
          <w:sz w:val="24"/>
          <w:lang w:eastAsia="zh-CN"/>
        </w:rPr>
        <w:t>采购人</w:t>
      </w:r>
      <w:r>
        <w:rPr>
          <w:rFonts w:hint="eastAsia" w:ascii="宋体" w:hAnsi="宋体" w:cs="宋体"/>
          <w:sz w:val="24"/>
        </w:rPr>
        <w:t xml:space="preserve">的监督检查。4、潜在投标商根据自有线路类型进行投标，但必须满足上述七种类型和数量要求。 </w:t>
      </w:r>
    </w:p>
    <w:tbl>
      <w:tblPr>
        <w:tblStyle w:val="62"/>
        <w:tblpPr w:leftFromText="180" w:rightFromText="180" w:vertAnchor="text" w:horzAnchor="page" w:tblpX="1805" w:tblpY="451"/>
        <w:tblOverlap w:val="never"/>
        <w:tblW w:w="5000" w:type="pct"/>
        <w:tblInd w:w="0" w:type="dxa"/>
        <w:tblLayout w:type="fixed"/>
        <w:tblCellMar>
          <w:top w:w="0" w:type="dxa"/>
          <w:left w:w="108" w:type="dxa"/>
          <w:bottom w:w="0" w:type="dxa"/>
          <w:right w:w="108" w:type="dxa"/>
        </w:tblCellMar>
      </w:tblPr>
      <w:tblGrid>
        <w:gridCol w:w="715"/>
        <w:gridCol w:w="1239"/>
        <w:gridCol w:w="6541"/>
      </w:tblGrid>
      <w:tr>
        <w:tblPrEx>
          <w:tblCellMar>
            <w:top w:w="0" w:type="dxa"/>
            <w:left w:w="108" w:type="dxa"/>
            <w:bottom w:w="0" w:type="dxa"/>
            <w:right w:w="108" w:type="dxa"/>
          </w:tblCellMar>
        </w:tblPrEx>
        <w:trPr>
          <w:trHeight w:val="527"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序号</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服务内容</w:t>
            </w:r>
          </w:p>
        </w:tc>
        <w:tc>
          <w:tcPr>
            <w:tcW w:w="3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参数要求</w:t>
            </w:r>
          </w:p>
        </w:tc>
      </w:tr>
      <w:tr>
        <w:tblPrEx>
          <w:tblCellMar>
            <w:top w:w="0" w:type="dxa"/>
            <w:left w:w="108" w:type="dxa"/>
            <w:bottom w:w="0" w:type="dxa"/>
            <w:right w:w="108" w:type="dxa"/>
          </w:tblCellMar>
        </w:tblPrEx>
        <w:trPr>
          <w:trHeight w:val="527"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VPN100M</w:t>
            </w:r>
          </w:p>
        </w:tc>
        <w:tc>
          <w:tcPr>
            <w:tcW w:w="3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带宽100M，应用MPLS多协议标记交换技术，结合传统路由技术的标记交换实现的IP VPN虚拟专用网络，支持后续业务扩展和带宽升级，所有设备和链路均专网专用；</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 支持多种接入方式，所有接入端口均采用电口或光口，接口类型具备可扩展性，与接入端进行匹配；</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 空闲状态链路延时≤10ms；</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（3） 支持BGP或OSPF等动态路由模式，实现双链路动态路由冗余；</w:t>
            </w:r>
          </w:p>
        </w:tc>
      </w:tr>
      <w:tr>
        <w:tblPrEx>
          <w:tblCellMar>
            <w:top w:w="0" w:type="dxa"/>
            <w:left w:w="108" w:type="dxa"/>
            <w:bottom w:w="0" w:type="dxa"/>
            <w:right w:w="108" w:type="dxa"/>
          </w:tblCellMar>
        </w:tblPrEx>
        <w:trPr>
          <w:trHeight w:val="527"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VPN500M</w:t>
            </w:r>
          </w:p>
        </w:tc>
        <w:tc>
          <w:tcPr>
            <w:tcW w:w="3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带宽500M，应用MPLS多协议标记交换技术，结合传统路由技术的标记交换实现的IP VPN虚拟专用网络，支持后续业务扩展和带宽升级，所有设备和链路均专网专用；（1） 支持多种接入方式，所有接入端口均采用电口或光口，接口类型具备可扩展性，与接入端进行匹配。（2） 空闲状态链路延时≤10ms；（3） 支持BGP或OSPF等动态路由模式，实现双链路动态路由冗余；</w:t>
            </w:r>
          </w:p>
        </w:tc>
      </w:tr>
      <w:tr>
        <w:tblPrEx>
          <w:tblCellMar>
            <w:top w:w="0" w:type="dxa"/>
            <w:left w:w="108" w:type="dxa"/>
            <w:bottom w:w="0" w:type="dxa"/>
            <w:right w:w="108" w:type="dxa"/>
          </w:tblCellMar>
        </w:tblPrEx>
        <w:trPr>
          <w:trHeight w:val="527"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3</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VPN1000M</w:t>
            </w:r>
          </w:p>
        </w:tc>
        <w:tc>
          <w:tcPr>
            <w:tcW w:w="3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带宽1000M，应用MPLS多协议标记交换技术，结合传统路由技术的标记交换实现的IP VPN虚拟专用网络，支持后续业务扩展和带宽升级，所有设备和链路均专网专用；（1） 支持多种接入方式，所有接入端口均采用电口或光口，接口类型具备可扩展性，与接入端进行匹配。（2） 空闲状态链路延时≤10ms；（3） 支持BGP或OSPF等动态路由模式，实现双链路动态路由冗余；</w:t>
            </w:r>
          </w:p>
        </w:tc>
      </w:tr>
      <w:tr>
        <w:tblPrEx>
          <w:tblCellMar>
            <w:top w:w="0" w:type="dxa"/>
            <w:left w:w="108" w:type="dxa"/>
            <w:bottom w:w="0" w:type="dxa"/>
            <w:right w:w="108" w:type="dxa"/>
          </w:tblCellMar>
        </w:tblPrEx>
        <w:trPr>
          <w:trHeight w:val="527"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4</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政务网裸光纤</w:t>
            </w:r>
          </w:p>
        </w:tc>
        <w:tc>
          <w:tcPr>
            <w:tcW w:w="3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2芯裸光纤，提供光纤物理通道（不进行任何数据处理，不受链路数据带宽限制，满足业务传输效率和保密性的高的要求）；</w:t>
            </w:r>
          </w:p>
        </w:tc>
      </w:tr>
      <w:tr>
        <w:tblPrEx>
          <w:tblCellMar>
            <w:top w:w="0" w:type="dxa"/>
            <w:left w:w="108" w:type="dxa"/>
            <w:bottom w:w="0" w:type="dxa"/>
            <w:right w:w="108" w:type="dxa"/>
          </w:tblCellMar>
        </w:tblPrEx>
        <w:trPr>
          <w:trHeight w:val="527"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5</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光纤专线10M</w:t>
            </w:r>
          </w:p>
        </w:tc>
        <w:tc>
          <w:tcPr>
            <w:tcW w:w="3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10M光纤专线，支持为用户提供公网固定真实IP地址，用户访问互联网的同时可以方便地向互联网中的其他用户提供信息服务。支持带宽调整灵活，可依据用户需求由20M扩容至1000M，同时还可同时提供IPV4及IPV6地址服务；</w:t>
            </w:r>
          </w:p>
        </w:tc>
      </w:tr>
      <w:tr>
        <w:tblPrEx>
          <w:tblCellMar>
            <w:top w:w="0" w:type="dxa"/>
            <w:left w:w="108" w:type="dxa"/>
            <w:bottom w:w="0" w:type="dxa"/>
            <w:right w:w="108" w:type="dxa"/>
          </w:tblCellMar>
        </w:tblPrEx>
        <w:trPr>
          <w:trHeight w:val="527"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6</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光纤专线50M</w:t>
            </w:r>
          </w:p>
        </w:tc>
        <w:tc>
          <w:tcPr>
            <w:tcW w:w="3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50M光纤专线，支持为用户提供公网固定真实IP地址，用户访问互联网的同时可以方便地向互联网中的其他用户提供信息服务。支持带宽调整灵活，可依据用户需求由20M扩容至1000M，同时还可同时提供IPV4及IPV6地址服务;</w:t>
            </w:r>
          </w:p>
        </w:tc>
      </w:tr>
      <w:tr>
        <w:tblPrEx>
          <w:tblCellMar>
            <w:top w:w="0" w:type="dxa"/>
            <w:left w:w="108" w:type="dxa"/>
            <w:bottom w:w="0" w:type="dxa"/>
            <w:right w:w="108" w:type="dxa"/>
          </w:tblCellMar>
        </w:tblPrEx>
        <w:trPr>
          <w:trHeight w:val="527" w:hRule="atLeast"/>
        </w:trPr>
        <w:tc>
          <w:tcPr>
            <w:tcW w:w="42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7</w:t>
            </w:r>
          </w:p>
        </w:tc>
        <w:tc>
          <w:tcPr>
            <w:tcW w:w="7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公共安全区接入链路</w:t>
            </w:r>
          </w:p>
        </w:tc>
        <w:tc>
          <w:tcPr>
            <w:tcW w:w="384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符合接入现有政务外网公共接入区要求。</w:t>
            </w:r>
          </w:p>
        </w:tc>
      </w:tr>
    </w:tbl>
    <w:p>
      <w:pPr>
        <w:keepLines w:val="0"/>
        <w:widowControl w:val="0"/>
        <w:tabs>
          <w:tab w:val="left" w:pos="0"/>
        </w:tabs>
        <w:kinsoku/>
        <w:wordWrap/>
        <w:overflowPunct/>
        <w:topLinePunct w:val="0"/>
        <w:autoSpaceDE/>
        <w:autoSpaceDN/>
        <w:bidi w:val="0"/>
        <w:adjustRightInd w:val="0"/>
        <w:snapToGrid w:val="0"/>
        <w:spacing w:line="360" w:lineRule="auto"/>
        <w:textAlignment w:val="auto"/>
        <w:outlineLvl w:val="2"/>
        <w:rPr>
          <w:rFonts w:ascii="宋体" w:hAnsi="宋体" w:cs="宋体"/>
          <w:sz w:val="24"/>
        </w:rPr>
      </w:pPr>
      <w:r>
        <w:rPr>
          <w:rFonts w:hint="eastAsia" w:ascii="宋体" w:hAnsi="宋体" w:cs="宋体"/>
          <w:sz w:val="24"/>
        </w:rPr>
        <w:t>1.3  统一运维服务</w:t>
      </w:r>
    </w:p>
    <w:p>
      <w:pPr>
        <w:keepLines w:val="0"/>
        <w:widowControl w:val="0"/>
        <w:kinsoku/>
        <w:wordWrap/>
        <w:overflowPunct/>
        <w:topLinePunct w:val="0"/>
        <w:autoSpaceDE/>
        <w:autoSpaceDN/>
        <w:bidi w:val="0"/>
        <w:adjustRightInd w:val="0"/>
        <w:spacing w:line="360" w:lineRule="auto"/>
        <w:ind w:firstLine="480" w:firstLineChars="200"/>
        <w:jc w:val="left"/>
        <w:textAlignment w:val="auto"/>
        <w:rPr>
          <w:rFonts w:ascii="宋体" w:hAnsi="宋体" w:cs="宋体"/>
          <w:color w:val="000000"/>
          <w:kern w:val="0"/>
          <w:sz w:val="24"/>
          <w:lang w:bidi="ar"/>
        </w:rPr>
      </w:pPr>
      <w:r>
        <w:rPr>
          <w:rFonts w:hint="eastAsia" w:ascii="宋体" w:hAnsi="宋体" w:cs="宋体"/>
          <w:color w:val="000000"/>
          <w:kern w:val="0"/>
          <w:sz w:val="24"/>
          <w:lang w:bidi="ar"/>
        </w:rPr>
        <w:t>现场驻场服务共5人（4名网络技术驻场人员，对市民中心政务外网有线、无线网进行日常运维；1名安全技术驻场人员，在市民中心政务外网网络稳定运行的基础上，负责基础网络安全运维）。</w:t>
      </w:r>
    </w:p>
    <w:p>
      <w:pPr>
        <w:keepLines w:val="0"/>
        <w:widowControl w:val="0"/>
        <w:kinsoku/>
        <w:wordWrap/>
        <w:overflowPunct/>
        <w:topLinePunct w:val="0"/>
        <w:autoSpaceDE/>
        <w:autoSpaceDN/>
        <w:bidi w:val="0"/>
        <w:adjustRightInd w:val="0"/>
        <w:spacing w:line="360" w:lineRule="auto"/>
        <w:ind w:firstLine="480" w:firstLineChars="200"/>
        <w:jc w:val="left"/>
        <w:textAlignment w:val="auto"/>
        <w:rPr>
          <w:rFonts w:ascii="宋体" w:hAnsi="宋体" w:cs="宋体"/>
          <w:color w:val="000000"/>
          <w:kern w:val="0"/>
          <w:sz w:val="24"/>
          <w:lang w:bidi="ar"/>
        </w:rPr>
      </w:pPr>
      <w:r>
        <w:rPr>
          <w:rFonts w:hint="eastAsia" w:ascii="宋体" w:hAnsi="宋体" w:cs="宋体"/>
          <w:color w:val="000000"/>
          <w:kern w:val="0"/>
          <w:sz w:val="24"/>
          <w:lang w:bidi="ar"/>
        </w:rPr>
        <w:t>另外再提供一人为因重点保障按业主需要随时驻场</w:t>
      </w:r>
      <w:r>
        <w:rPr>
          <w:rFonts w:hint="eastAsia" w:ascii="宋体" w:hAnsi="宋体" w:cs="宋体"/>
          <w:color w:val="000000"/>
          <w:kern w:val="0"/>
          <w:sz w:val="24"/>
          <w:lang w:val="en-US" w:eastAsia="zh-CN" w:bidi="ar"/>
        </w:rPr>
        <w:t>完成省市数据对接采集等维护工作</w:t>
      </w:r>
      <w:r>
        <w:rPr>
          <w:rFonts w:hint="eastAsia" w:ascii="宋体" w:hAnsi="宋体" w:cs="宋体"/>
          <w:color w:val="000000"/>
          <w:kern w:val="0"/>
          <w:sz w:val="24"/>
          <w:lang w:bidi="ar"/>
        </w:rPr>
        <w:t>。</w:t>
      </w:r>
    </w:p>
    <w:p>
      <w:pPr>
        <w:keepLines w:val="0"/>
        <w:widowControl w:val="0"/>
        <w:kinsoku/>
        <w:wordWrap/>
        <w:overflowPunct/>
        <w:topLinePunct w:val="0"/>
        <w:autoSpaceDE/>
        <w:autoSpaceDN/>
        <w:bidi w:val="0"/>
        <w:adjustRightInd w:val="0"/>
        <w:spacing w:line="360" w:lineRule="auto"/>
        <w:ind w:firstLine="480" w:firstLineChars="200"/>
        <w:jc w:val="left"/>
        <w:textAlignment w:val="auto"/>
        <w:rPr>
          <w:rFonts w:ascii="宋体" w:hAnsi="宋体" w:cs="宋体"/>
          <w:color w:val="000000"/>
          <w:kern w:val="0"/>
          <w:sz w:val="24"/>
          <w:lang w:bidi="ar"/>
        </w:rPr>
      </w:pPr>
      <w:r>
        <w:rPr>
          <w:rFonts w:hint="eastAsia" w:ascii="宋体" w:hAnsi="宋体" w:cs="宋体"/>
          <w:color w:val="000000"/>
          <w:kern w:val="0"/>
          <w:sz w:val="24"/>
          <w:lang w:bidi="ar"/>
        </w:rPr>
        <w:t>具体工作包括政务外网网络服务开通，有线、无线网运行保障，网络故障修复，网络应急事件响应，重大任务保障等，还需要定期对网络机房及设备进行巡检巡查（按季度完成政务网定期巡检服务并提供巡检报告），平台维护，省市对接等以保证市民中心政务外网的稳定运行。</w:t>
      </w:r>
    </w:p>
    <w:p>
      <w:pPr>
        <w:keepLines w:val="0"/>
        <w:widowControl w:val="0"/>
        <w:numPr>
          <w:ilvl w:val="0"/>
          <w:numId w:val="4"/>
        </w:numPr>
        <w:kinsoku/>
        <w:wordWrap/>
        <w:overflowPunct/>
        <w:topLinePunct w:val="0"/>
        <w:autoSpaceDE/>
        <w:autoSpaceDN/>
        <w:bidi w:val="0"/>
        <w:adjustRightInd w:val="0"/>
        <w:snapToGrid w:val="0"/>
        <w:spacing w:line="360" w:lineRule="auto"/>
        <w:textAlignment w:val="auto"/>
        <w:outlineLvl w:val="2"/>
        <w:rPr>
          <w:rFonts w:ascii="宋体" w:hAnsi="宋体" w:cs="宋体"/>
          <w:b/>
          <w:sz w:val="24"/>
        </w:rPr>
      </w:pPr>
      <w:r>
        <w:rPr>
          <w:rFonts w:hint="eastAsia" w:ascii="宋体" w:hAnsi="宋体" w:cs="宋体"/>
          <w:b/>
          <w:sz w:val="24"/>
        </w:rPr>
        <w:t>设备租赁服务</w:t>
      </w:r>
    </w:p>
    <w:p>
      <w:pPr>
        <w:pStyle w:val="965"/>
        <w:keepLines w:val="0"/>
        <w:widowControl w:val="0"/>
        <w:numPr>
          <w:ilvl w:val="1"/>
          <w:numId w:val="4"/>
        </w:numPr>
        <w:kinsoku/>
        <w:wordWrap/>
        <w:overflowPunct/>
        <w:topLinePunct w:val="0"/>
        <w:autoSpaceDE/>
        <w:autoSpaceDN/>
        <w:bidi w:val="0"/>
        <w:adjustRightInd w:val="0"/>
        <w:spacing w:line="360" w:lineRule="auto"/>
        <w:textAlignment w:val="auto"/>
        <w:rPr>
          <w:rFonts w:ascii="宋体" w:hAnsi="宋体" w:eastAsia="宋体" w:cs="宋体"/>
          <w:sz w:val="24"/>
          <w:szCs w:val="24"/>
        </w:rPr>
      </w:pPr>
      <w:r>
        <w:rPr>
          <w:rFonts w:hint="eastAsia" w:ascii="宋体" w:hAnsi="宋体" w:eastAsia="宋体" w:cs="宋体"/>
          <w:sz w:val="24"/>
          <w:szCs w:val="24"/>
        </w:rPr>
        <w:t>网络、安全设备租赁服务</w:t>
      </w:r>
    </w:p>
    <w:p>
      <w:pPr>
        <w:pStyle w:val="965"/>
        <w:keepLines w:val="0"/>
        <w:pageBreakBefore w:val="0"/>
        <w:widowControl w:val="0"/>
        <w:numPr>
          <w:ilvl w:val="2"/>
          <w:numId w:val="5"/>
        </w:numPr>
        <w:tabs>
          <w:tab w:val="clear" w:pos="0"/>
        </w:tabs>
        <w:kinsoku/>
        <w:wordWrap/>
        <w:overflowPunct/>
        <w:topLinePunct w:val="0"/>
        <w:autoSpaceDE/>
        <w:autoSpaceDN/>
        <w:bidi w:val="0"/>
        <w:adjustRightInd w:val="0"/>
        <w:spacing w:line="360" w:lineRule="auto"/>
        <w:textAlignment w:val="auto"/>
        <w:outlineLvl w:val="4"/>
        <w:rPr>
          <w:rFonts w:ascii="宋体" w:hAnsi="宋体" w:eastAsia="宋体" w:cs="宋体"/>
          <w:b w:val="0"/>
          <w:sz w:val="24"/>
          <w:szCs w:val="24"/>
        </w:rPr>
      </w:pPr>
      <w:r>
        <w:rPr>
          <w:rFonts w:hint="eastAsia" w:ascii="宋体" w:hAnsi="宋体" w:eastAsia="宋体" w:cs="宋体"/>
          <w:b w:val="0"/>
          <w:sz w:val="24"/>
          <w:szCs w:val="24"/>
        </w:rPr>
        <w:t>出口负载均衡设备</w:t>
      </w:r>
    </w:p>
    <w:tbl>
      <w:tblPr>
        <w:tblStyle w:val="6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6"/>
        <w:gridCol w:w="7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pct"/>
            <w:shd w:val="clear" w:color="auto" w:fill="FFFFFF" w:themeFill="background1"/>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24" w:type="pct"/>
            <w:shd w:val="clear" w:color="auto" w:fill="FFFFFF" w:themeFill="background1"/>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硬件参数</w:t>
            </w: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规格：2U，硬盘容量≥480GSSD，接口不少于4个千兆电口、8个千兆光口SFP、8个万兆光口SFP+；性能需满足：4层吞吐量≥65Gbps，并发连接数≥41000000。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5"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设备部署</w:t>
            </w: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支持串接部署方式和旁路部署方式，支持三角传输模式。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75"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多合一功能集成</w:t>
            </w: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提供针对多条出口线路的链路负载均衡功能，实现inbound和outbound流量的均衡调度，以及链路之间的冗余互备。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75" w:type="pct"/>
            <w:vMerge w:val="continue"/>
            <w:vAlign w:val="center"/>
          </w:tcPr>
          <w:p>
            <w:pPr>
              <w:widowControl/>
              <w:autoSpaceDE w:val="0"/>
              <w:autoSpaceDN w:val="0"/>
              <w:adjustRightInd/>
              <w:jc w:val="left"/>
              <w:rPr>
                <w:rFonts w:ascii="宋体" w:hAnsi="宋体" w:cs="宋体"/>
                <w:bCs/>
                <w:kern w:val="0"/>
                <w:sz w:val="18"/>
                <w:szCs w:val="18"/>
              </w:rPr>
            </w:pP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提供针对L4/L7内容交换的服务器负载均衡功能，可在单一设备上支持多个应用和服务器集群，可以根据多种算法和要求分配用户的请求。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 w:hRule="atLeast"/>
        </w:trPr>
        <w:tc>
          <w:tcPr>
            <w:tcW w:w="775" w:type="pct"/>
            <w:vMerge w:val="continue"/>
            <w:vAlign w:val="center"/>
          </w:tcPr>
          <w:p>
            <w:pPr>
              <w:widowControl/>
              <w:autoSpaceDE w:val="0"/>
              <w:autoSpaceDN w:val="0"/>
              <w:adjustRightInd/>
              <w:jc w:val="left"/>
              <w:rPr>
                <w:rFonts w:ascii="宋体" w:hAnsi="宋体" w:cs="宋体"/>
                <w:bCs/>
                <w:kern w:val="0"/>
                <w:sz w:val="18"/>
                <w:szCs w:val="18"/>
              </w:rPr>
            </w:pP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提供针对多站点业务发布的全局负载均衡功能，通过智能DNS等机制实现内外网用户对多个数据中心的最优接入路径选择。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775"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可编程流量控制</w:t>
            </w:r>
          </w:p>
        </w:tc>
        <w:tc>
          <w:tcPr>
            <w:tcW w:w="4224" w:type="pct"/>
          </w:tcPr>
          <w:p>
            <w:pPr>
              <w:widowControl/>
              <w:autoSpaceDE w:val="0"/>
              <w:autoSpaceDN w:val="0"/>
              <w:adjustRightInd/>
              <w:jc w:val="left"/>
              <w:rPr>
                <w:rFonts w:ascii="宋体" w:hAnsi="宋体" w:cs="宋体"/>
                <w:bCs/>
                <w:kern w:val="0"/>
                <w:sz w:val="18"/>
                <w:szCs w:val="18"/>
              </w:rPr>
            </w:pPr>
            <w:bookmarkStart w:id="30" w:name="_Hlk46601717"/>
            <w:r>
              <w:rPr>
                <w:rFonts w:hint="eastAsia" w:ascii="宋体" w:hAnsi="宋体" w:cs="宋体"/>
                <w:bCs/>
                <w:kern w:val="0"/>
                <w:sz w:val="18"/>
                <w:szCs w:val="18"/>
              </w:rPr>
              <w:t>通过某种编程语言（如lua）实现自定义的流量编排，对IP、TCP、UDP、SSL、HTTP和HTTPS等类型的流量进行分发、修改和统计等操作</w:t>
            </w:r>
            <w:bookmarkEnd w:id="30"/>
            <w:r>
              <w:rPr>
                <w:rFonts w:hint="eastAsia" w:ascii="宋体" w:hAnsi="宋体" w:cs="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775"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链路负载均衡</w:t>
            </w:r>
          </w:p>
        </w:tc>
        <w:tc>
          <w:tcPr>
            <w:tcW w:w="4224" w:type="pct"/>
          </w:tcPr>
          <w:p>
            <w:pPr>
              <w:widowControl/>
              <w:autoSpaceDE w:val="0"/>
              <w:autoSpaceDN w:val="0"/>
              <w:adjustRightInd/>
              <w:jc w:val="left"/>
              <w:rPr>
                <w:rFonts w:ascii="宋体" w:hAnsi="宋体" w:cs="宋体"/>
                <w:bCs/>
                <w:kern w:val="0"/>
                <w:sz w:val="18"/>
                <w:szCs w:val="18"/>
              </w:rPr>
            </w:pPr>
            <w:bookmarkStart w:id="31" w:name="_Hlk46601771"/>
            <w:r>
              <w:rPr>
                <w:rFonts w:hint="eastAsia" w:ascii="宋体" w:hAnsi="宋体" w:cs="宋体"/>
                <w:bCs/>
                <w:kern w:val="0"/>
                <w:sz w:val="18"/>
                <w:szCs w:val="18"/>
              </w:rPr>
              <w:t>支持静态IP和PPPOE两种线路接入方式，提供截图证明。</w:t>
            </w:r>
            <w:bookmark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775" w:type="pct"/>
            <w:vMerge w:val="continue"/>
          </w:tcPr>
          <w:p>
            <w:pPr>
              <w:widowControl/>
              <w:autoSpaceDE w:val="0"/>
              <w:autoSpaceDN w:val="0"/>
              <w:adjustRightInd/>
              <w:jc w:val="left"/>
              <w:rPr>
                <w:rFonts w:ascii="宋体" w:hAnsi="宋体" w:cs="宋体"/>
                <w:bCs/>
                <w:kern w:val="0"/>
                <w:sz w:val="18"/>
                <w:szCs w:val="18"/>
              </w:rPr>
            </w:pP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支持基于五元组条件（源IP地址，源端口，目的IP地址，目的端口，传输层协议号）来进行出站访问的流量调度分发。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775" w:type="pct"/>
            <w:vMerge w:val="continue"/>
          </w:tcPr>
          <w:p>
            <w:pPr>
              <w:widowControl/>
              <w:autoSpaceDE w:val="0"/>
              <w:autoSpaceDN w:val="0"/>
              <w:adjustRightInd/>
              <w:jc w:val="left"/>
              <w:rPr>
                <w:rFonts w:ascii="宋体" w:hAnsi="宋体" w:cs="宋体"/>
                <w:bCs/>
                <w:kern w:val="0"/>
                <w:sz w:val="18"/>
                <w:szCs w:val="18"/>
              </w:rPr>
            </w:pPr>
          </w:p>
        </w:tc>
        <w:tc>
          <w:tcPr>
            <w:tcW w:w="4224" w:type="pct"/>
          </w:tcPr>
          <w:p>
            <w:pPr>
              <w:widowControl/>
              <w:autoSpaceDE w:val="0"/>
              <w:autoSpaceDN w:val="0"/>
              <w:adjustRightInd/>
              <w:jc w:val="left"/>
              <w:rPr>
                <w:rFonts w:ascii="宋体" w:hAnsi="宋体" w:cs="宋体"/>
                <w:bCs/>
                <w:kern w:val="0"/>
                <w:sz w:val="18"/>
                <w:szCs w:val="18"/>
              </w:rPr>
            </w:pPr>
            <w:bookmarkStart w:id="32" w:name="_Hlk46601890"/>
            <w:r>
              <w:rPr>
                <w:rFonts w:hint="eastAsia" w:ascii="宋体" w:hAnsi="宋体" w:cs="宋体"/>
                <w:bCs/>
                <w:kern w:val="0"/>
                <w:sz w:val="18"/>
                <w:szCs w:val="18"/>
              </w:rPr>
              <w:t>支持基于管理员自定义的时间计划来进行出站访问的流量调度分发</w:t>
            </w:r>
            <w:bookmarkEnd w:id="32"/>
            <w:r>
              <w:rPr>
                <w:rFonts w:hint="eastAsia" w:ascii="宋体" w:hAnsi="宋体" w:cs="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775" w:type="pct"/>
            <w:vMerge w:val="continue"/>
          </w:tcPr>
          <w:p>
            <w:pPr>
              <w:widowControl/>
              <w:autoSpaceDE w:val="0"/>
              <w:autoSpaceDN w:val="0"/>
              <w:adjustRightInd/>
              <w:jc w:val="left"/>
              <w:rPr>
                <w:rFonts w:ascii="宋体" w:hAnsi="宋体" w:cs="宋体"/>
                <w:bCs/>
                <w:kern w:val="0"/>
                <w:sz w:val="18"/>
                <w:szCs w:val="18"/>
              </w:rPr>
            </w:pP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内置国外域名地址库，国外域名不少于10万条，支持自动更新。可将访问国外域名的请求分发至指定线路，实现对国外域名访问的优化，提升用户体验。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775" w:type="pct"/>
            <w:vMerge w:val="continue"/>
          </w:tcPr>
          <w:p>
            <w:pPr>
              <w:widowControl/>
              <w:autoSpaceDE w:val="0"/>
              <w:autoSpaceDN w:val="0"/>
              <w:adjustRightInd/>
              <w:jc w:val="left"/>
              <w:rPr>
                <w:rFonts w:ascii="宋体" w:hAnsi="宋体" w:cs="宋体"/>
                <w:bCs/>
                <w:kern w:val="0"/>
                <w:sz w:val="18"/>
                <w:szCs w:val="18"/>
              </w:rPr>
            </w:pPr>
          </w:p>
        </w:tc>
        <w:tc>
          <w:tcPr>
            <w:tcW w:w="4224" w:type="pct"/>
          </w:tcPr>
          <w:p>
            <w:pPr>
              <w:widowControl/>
              <w:autoSpaceDE w:val="0"/>
              <w:autoSpaceDN w:val="0"/>
              <w:adjustRightInd/>
              <w:jc w:val="left"/>
              <w:rPr>
                <w:rFonts w:ascii="宋体" w:hAnsi="宋体" w:cs="宋体"/>
                <w:bCs/>
                <w:kern w:val="0"/>
                <w:sz w:val="18"/>
                <w:szCs w:val="18"/>
              </w:rPr>
            </w:pPr>
            <w:bookmarkStart w:id="33" w:name="_Hlk46601949"/>
            <w:r>
              <w:rPr>
                <w:rFonts w:hint="eastAsia" w:ascii="宋体" w:hAnsi="宋体" w:cs="宋体"/>
                <w:bCs/>
                <w:kern w:val="0"/>
                <w:sz w:val="18"/>
                <w:szCs w:val="18"/>
              </w:rPr>
              <w:t>内置完备的IP地址库，无需手动导入并支持自动全网更新，可查看并编辑各国家、国内各省份的IP地址段和国内各大运营商IP地址段，并可灵活匹配IP地址库进行流量调度分发，实现链路负载功能</w:t>
            </w:r>
            <w:bookmarkEnd w:id="33"/>
            <w:r>
              <w:rPr>
                <w:rFonts w:hint="eastAsia" w:ascii="宋体" w:hAnsi="宋体" w:cs="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775"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服务器负载均衡</w:t>
            </w:r>
          </w:p>
        </w:tc>
        <w:tc>
          <w:tcPr>
            <w:tcW w:w="4224" w:type="pct"/>
          </w:tcPr>
          <w:p>
            <w:pPr>
              <w:widowControl/>
              <w:autoSpaceDE w:val="0"/>
              <w:autoSpaceDN w:val="0"/>
              <w:adjustRightInd/>
              <w:jc w:val="left"/>
              <w:rPr>
                <w:rFonts w:ascii="宋体" w:hAnsi="宋体" w:cs="宋体"/>
                <w:bCs/>
                <w:kern w:val="0"/>
                <w:sz w:val="18"/>
                <w:szCs w:val="18"/>
                <w:lang w:eastAsia="en-US"/>
              </w:rPr>
            </w:pPr>
            <w:bookmarkStart w:id="34" w:name="_Hlk46602356"/>
            <w:r>
              <w:rPr>
                <w:rFonts w:hint="eastAsia" w:ascii="宋体" w:hAnsi="宋体" w:cs="宋体"/>
                <w:bCs/>
                <w:kern w:val="0"/>
                <w:sz w:val="18"/>
                <w:szCs w:val="18"/>
                <w:lang w:eastAsia="en-US"/>
              </w:rPr>
              <w:t>支持源IP、Cookie（插入/被动/改写）、HTTP-Header、SSLSessionID等多种会话保持机制，支持跨虚拟服务的会话保持。</w:t>
            </w:r>
            <w:bookmark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775" w:type="pct"/>
            <w:vMerge w:val="continue"/>
          </w:tcPr>
          <w:p>
            <w:pPr>
              <w:widowControl/>
              <w:autoSpaceDE w:val="0"/>
              <w:autoSpaceDN w:val="0"/>
              <w:adjustRightInd/>
              <w:jc w:val="left"/>
              <w:rPr>
                <w:rFonts w:ascii="宋体" w:hAnsi="宋体" w:cs="宋体"/>
                <w:bCs/>
                <w:kern w:val="0"/>
                <w:sz w:val="18"/>
                <w:szCs w:val="18"/>
                <w:lang w:eastAsia="en-US"/>
              </w:rPr>
            </w:pPr>
          </w:p>
        </w:tc>
        <w:tc>
          <w:tcPr>
            <w:tcW w:w="4224" w:type="pct"/>
          </w:tcPr>
          <w:p>
            <w:pPr>
              <w:widowControl/>
              <w:autoSpaceDE w:val="0"/>
              <w:autoSpaceDN w:val="0"/>
              <w:adjustRightInd/>
              <w:jc w:val="left"/>
              <w:rPr>
                <w:rFonts w:ascii="宋体" w:hAnsi="宋体" w:cs="宋体"/>
                <w:bCs/>
                <w:kern w:val="0"/>
                <w:sz w:val="18"/>
                <w:szCs w:val="18"/>
              </w:rPr>
            </w:pPr>
            <w:bookmarkStart w:id="35" w:name="_Hlk46602466"/>
            <w:r>
              <w:rPr>
                <w:rFonts w:hint="eastAsia" w:ascii="宋体" w:hAnsi="宋体" w:cs="宋体"/>
                <w:bCs/>
                <w:kern w:val="0"/>
                <w:sz w:val="18"/>
                <w:szCs w:val="18"/>
              </w:rPr>
              <w:t>支持用户自定义方式的健康检查，支持多种编程语言（如Python、Java等），用户可根据节点运行的实际业务流程来编写代码，检查业务处理逻辑是否正常。</w:t>
            </w:r>
            <w:bookmarkEnd w:id="3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775"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高可用性</w:t>
            </w: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支持双机热备部署方式，可自动同步配置并提供连接会话的镜像功能，实现无缝故障切换；</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支持基于链路流量进行有效性判断，能够在预设时间内进行主动探测。</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支持高可用集群N+M部署方式，单集群支持16台设备，可自动同步配置并提供连接会话的镜像功能，实现无缝故障切换。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75"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统一监控</w:t>
            </w: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支持联动现有的态势感知平台，同步链路信息日志、上报CPU、内存、网卡流量等信息，实现通过现有平台进行设备的集中管理、集中监控、多日志关联分析。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775"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运维管理</w:t>
            </w: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支持全中文管理界面和HTTPS方式登录、用户角色管理、多级授权管理。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75" w:type="pct"/>
            <w:vMerge w:val="continue"/>
          </w:tcPr>
          <w:p>
            <w:pPr>
              <w:widowControl/>
              <w:autoSpaceDE w:val="0"/>
              <w:autoSpaceDN w:val="0"/>
              <w:adjustRightInd/>
              <w:jc w:val="left"/>
              <w:rPr>
                <w:rFonts w:ascii="宋体" w:hAnsi="宋体" w:cs="宋体"/>
                <w:bCs/>
                <w:kern w:val="0"/>
                <w:sz w:val="18"/>
                <w:szCs w:val="18"/>
              </w:rPr>
            </w:pP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支持设置管理地址白名单列表，远程维护支持设置是否允许WAN/LAN。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trPr>
        <w:tc>
          <w:tcPr>
            <w:tcW w:w="775" w:type="pct"/>
            <w:vMerge w:val="continue"/>
          </w:tcPr>
          <w:p>
            <w:pPr>
              <w:widowControl/>
              <w:autoSpaceDE w:val="0"/>
              <w:autoSpaceDN w:val="0"/>
              <w:adjustRightInd/>
              <w:jc w:val="left"/>
              <w:rPr>
                <w:rFonts w:ascii="宋体" w:hAnsi="宋体" w:cs="宋体"/>
                <w:bCs/>
                <w:kern w:val="0"/>
                <w:sz w:val="18"/>
                <w:szCs w:val="18"/>
              </w:rPr>
            </w:pP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支持将现有的负载均衡设备上导出的配置文件导入到所投设备中，导出格式支持json等，实现配置策略的同步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775" w:type="pct"/>
            <w:vMerge w:val="continue"/>
          </w:tcPr>
          <w:p>
            <w:pPr>
              <w:widowControl/>
              <w:autoSpaceDE w:val="0"/>
              <w:autoSpaceDN w:val="0"/>
              <w:adjustRightInd/>
              <w:jc w:val="left"/>
              <w:rPr>
                <w:rFonts w:ascii="宋体" w:hAnsi="宋体" w:cs="宋体"/>
                <w:bCs/>
                <w:kern w:val="0"/>
                <w:sz w:val="18"/>
                <w:szCs w:val="18"/>
              </w:rPr>
            </w:pPr>
          </w:p>
        </w:tc>
        <w:tc>
          <w:tcPr>
            <w:tcW w:w="4224"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支持SNMPv1/v2c/v3，标准MIB库和自定义库，可接受第三方网管平台如zabbix的管理。</w:t>
            </w:r>
          </w:p>
        </w:tc>
      </w:tr>
    </w:tbl>
    <w:p>
      <w:pPr>
        <w:spacing w:line="580" w:lineRule="exact"/>
        <w:rPr>
          <w:rFonts w:ascii="宋体" w:hAnsi="宋体" w:cs="宋体"/>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出口路由设备</w:t>
      </w:r>
    </w:p>
    <w:tbl>
      <w:tblPr>
        <w:tblStyle w:val="62"/>
        <w:tblpPr w:leftFromText="180" w:rightFromText="180" w:vertAnchor="text" w:horzAnchor="page" w:tblpX="1812" w:tblpY="628"/>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16"/>
        <w:gridCol w:w="6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793" w:type="pct"/>
            <w:shd w:val="clear" w:color="auto" w:fill="FFFFFF" w:themeFill="background1"/>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06" w:type="pct"/>
            <w:shd w:val="clear" w:color="auto" w:fill="FFFFFF" w:themeFill="background1"/>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93" w:type="pct"/>
            <w:vMerge w:val="restar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体系架构</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支持主控板、交换网板、业务板完全物理分离，主控板、交换网板、业务板分布在不同的物理槽位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为保证设备可靠性，设备的转发全部有交换网板完成，主控板不集成转发芯片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为保证可靠性，设备需支持板卡（含主控，线卡，交换网板等）直接热插拔，同时不需要插拔电源风扇等其他关键部件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支持独立交换网板≥4个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✰设备性能</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交换容量≥115T，包转发率≥24000M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restar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✰业务槽位</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整机框全物理尺寸的线卡槽位数≥8（非子卡槽位），不含主控、交换网板槽位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实配≥24个万兆光口（满配万兆10KM单模模块），≥20个千兆电口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支持子母卡架构，母卡和子卡均支持热插拔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单槽位转发性能</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设备支持单槽单向最大带宽≥400Gbps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2" w:hRule="atLeast"/>
        </w:trPr>
        <w:tc>
          <w:tcPr>
            <w:tcW w:w="793" w:type="pct"/>
            <w:vMerge w:val="restar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电源系统</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支持内置交流电源，不能配置外置交流电源，也不额外占用业务槽位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电源个数≥6个，电源系统支持N+M冗余，支持一体化供电方式，任意拔掉两个电源，设备能够正常运行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通风方式</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支持前后通风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restar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基本功能</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支持PPP、MP、HDLC、ETHERNET等链路层协议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MPLS标签数≥16K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路由表项≥3M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支持链路聚合（Linkaggregation），支持动态聚合、手工聚合、跨板聚合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支持不同带宽的链路捆绑功能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支持IPV4静态路由、RIPv1/v2、OSPFv2、BGP、IS-IS、路由策略，支持4MIPv4FIB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支持IPv6静态路由、RIPng、OSPFv3、IS-ISv6、BGP4+，支持2MIPv6FIB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支持L2VPN、L3VPN、OptionA、B、C类跨域，支持16KVPN，支持4MVPN路由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组播VPN（MVPN）</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支持分布式MVPN功能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93" w:type="pc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虚拟化</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支持将两台物理设备虚拟化为一台逻辑设备，虚拟组内可以实现一致的转发表项，统一的管理，跨物理设备的链路聚合,提供官网截图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93" w:type="pc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多业务扩展能力</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支持与路由器一体化的防火墙、IPS等安全业务插卡，需需提供官方网站截图，并提供板卡信息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IPv6</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具备IPv6能力，所投机框需提供IPv6ReadyII证书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restar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QOS</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支持优先级Mark/Remark、CAR（CommittedAccessRate）、GTS等功能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为简化ACL配置，设备需支持全局ACL功能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支持FIFO、PQ、WFQ、LLQ等各种队列调度机制，支持拥塞避免算法：Tail-Drop、RED、WRED，支持层次化Qos（H-Qos）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restart"/>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可靠性</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支持VRRP/VRRPv3、MPLSTEFRR、IPFRR（静态路由/策略路由/RIP/IS-IS/OSPF等）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为减小设备或线路故障对业务的影响、提高网络的可用性，需支持BFDforBGP/IS-IS/OSPF/LDP/VRRP/StaticRoute，提供第三方测试报告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支持热补丁功能，可在线进行补丁升级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为提高设备软件稳定性及可靠性，主备倒换时业务不中断，需要支持NSR功能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为提高设备硬件稳定性及可靠性，交换网板、板卡、子卡支持热插拔功能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93" w:type="pct"/>
            <w:vMerge w:val="continue"/>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为检测设备之间的可达性、时延、丢包率、抖动等信息，设备需支持NQA检测网络网络质量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93" w:type="pct"/>
            <w:vMerge w:val="restar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网络安全</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设备支持防攻击能力，包括：ARP攻击、IPv6报文攻击、超大Trace报文攻击、TCPSYNflood、Pingflood、DHCPDDOS、PADIDDOS的防御等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93" w:type="pct"/>
            <w:vMerge w:val="continue"/>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支持OSPF、OSPFv3、ISIS、ISISv6、BGP、BGP4+的MD5认证功能，支持Keychain功能，可以支持基于时间段的生效的秘钥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restar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维护特性</w:t>
            </w: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为方便设备运维管理，设备需内置TCL语言功能，能够解析执行TCL语言脚本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为方便设备运维管理，设备需内置Python语言功能，能够解析执行Python语言脚本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793" w:type="pct"/>
            <w:vMerge w:val="continue"/>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为实现设备精细化管理，实现不同进程动态部署到不同的CPU上，设备需支持进程分布式优化功能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为实现基于角色的权限灵活授权，并且和AAA联动，设备需支持RBAC功能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793" w:type="pct"/>
            <w:vMerge w:val="continue"/>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6" w:type="pct"/>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为方便设备配置文件管理，设备需支持配置回滚功能</w:t>
            </w:r>
          </w:p>
        </w:tc>
      </w:tr>
    </w:tbl>
    <w:p>
      <w:pPr>
        <w:spacing w:line="580" w:lineRule="exact"/>
        <w:ind w:left="420"/>
        <w:rPr>
          <w:rFonts w:ascii="宋体" w:hAnsi="宋体" w:cs="宋体"/>
          <w:bCs/>
          <w:snapToGrid w:val="0"/>
          <w:kern w:val="0"/>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出口上网行为管理设备</w:t>
      </w:r>
    </w:p>
    <w:tbl>
      <w:tblPr>
        <w:tblStyle w:val="6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8"/>
        <w:gridCol w:w="70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 w:hRule="atLeast"/>
          <w:jc w:val="center"/>
        </w:trPr>
        <w:tc>
          <w:tcPr>
            <w:tcW w:w="829"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val="0"/>
              <w:autoSpaceDN w:val="0"/>
              <w:adjustRightInd/>
              <w:jc w:val="left"/>
              <w:rPr>
                <w:rFonts w:ascii="宋体" w:hAnsi="宋体" w:cs="宋体"/>
                <w:bCs/>
                <w:kern w:val="0"/>
                <w:sz w:val="18"/>
                <w:szCs w:val="18"/>
                <w:lang w:eastAsia="en-US"/>
              </w:rPr>
            </w:pPr>
            <w:bookmarkStart w:id="36" w:name="_Hlk28021995"/>
            <w:r>
              <w:rPr>
                <w:rFonts w:hint="eastAsia" w:ascii="宋体" w:hAnsi="宋体" w:cs="宋体"/>
                <w:bCs/>
                <w:kern w:val="0"/>
                <w:sz w:val="18"/>
                <w:szCs w:val="18"/>
                <w:lang w:eastAsia="en-US"/>
              </w:rPr>
              <w:t>指标项</w:t>
            </w:r>
          </w:p>
        </w:tc>
        <w:tc>
          <w:tcPr>
            <w:tcW w:w="4170" w:type="pct"/>
            <w:tcBorders>
              <w:top w:val="single" w:color="auto" w:sz="4" w:space="0"/>
              <w:left w:val="single" w:color="auto" w:sz="4" w:space="0"/>
              <w:bottom w:val="single" w:color="auto" w:sz="4" w:space="0"/>
              <w:right w:val="single" w:color="auto" w:sz="4" w:space="0"/>
            </w:tcBorders>
            <w:shd w:val="clear" w:color="auto" w:fill="FFFFFF" w:themeFill="background1"/>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829"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性能配置</w:t>
            </w: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产品为标准2U机架式设备，标配不少于4个千兆电口、4个千兆光口SFP+、8个万兆光口SFP+，2个USB2.0接口，1个RJ45串口，性能配置需满足：网络吞吐量≥25Gb，每秒新建连接数≥200000，最大并发连接数≥8000000。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829" w:type="pct"/>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部署方式</w:t>
            </w: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支持部署在IPv6环境中，支持所有核心功能（上网认证、应用控制、流量控制等）都支持IPv6。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829" w:type="pct"/>
            <w:vMerge w:val="restart"/>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实时监控</w:t>
            </w: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bookmarkStart w:id="37" w:name="_Hlk32508024"/>
            <w:r>
              <w:rPr>
                <w:rFonts w:hint="eastAsia" w:ascii="宋体" w:hAnsi="宋体" w:cs="宋体"/>
                <w:bCs/>
                <w:kern w:val="0"/>
                <w:sz w:val="18"/>
                <w:szCs w:val="18"/>
              </w:rPr>
              <w:t>支持针对内网用户的web访问质量进行检测，对整体网络提供清晰的整体网络质量评级，支持以列表形式展示访问质量差的用户名单，支持对单用户进行定向web访问质量检测，提供配置界面截图证明</w:t>
            </w:r>
            <w:bookmarkEnd w:id="37"/>
            <w:r>
              <w:rPr>
                <w:rFonts w:hint="eastAsia" w:ascii="宋体" w:hAnsi="宋体" w:cs="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 w:hRule="atLeast"/>
          <w:jc w:val="center"/>
        </w:trPr>
        <w:tc>
          <w:tcPr>
            <w:tcW w:w="829" w:type="pct"/>
            <w:vMerge w:val="continue"/>
            <w:tcBorders>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支持针对上网权限策略进行检测分析，查看各个应用是否匹配相关策略。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jc w:val="center"/>
        </w:trPr>
        <w:tc>
          <w:tcPr>
            <w:tcW w:w="829" w:type="pct"/>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用户认证</w:t>
            </w: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为满足访客PC的简易接入授权，支持二维码认证，单位担保人扫描访客的二维码后对其网络访问授权；支持访客填写信息、担保人填写信息、免填写信息三种模式。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829"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网页管理</w:t>
            </w: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bookmarkStart w:id="38" w:name="_Hlk32508042"/>
            <w:r>
              <w:rPr>
                <w:rFonts w:hint="eastAsia" w:ascii="宋体" w:hAnsi="宋体" w:cs="宋体"/>
                <w:bCs/>
                <w:kern w:val="0"/>
                <w:sz w:val="18"/>
                <w:szCs w:val="18"/>
              </w:rPr>
              <w:t>识别并过滤SSL加密的钓鱼网站、非法网站等</w:t>
            </w:r>
            <w:bookmarkEnd w:id="38"/>
            <w:r>
              <w:rPr>
                <w:rFonts w:hint="eastAsia" w:ascii="宋体" w:hAnsi="宋体" w:cs="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829" w:type="pct"/>
            <w:vMerge w:val="restart"/>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流量控制</w:t>
            </w: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支持通过抑制P2P的上行流量，来减缓P2P的下行流量，从而解决网络出口在做流控后仍然压力较大的问题。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829" w:type="pct"/>
            <w:vMerge w:val="continue"/>
            <w:tcBorders>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bookmarkStart w:id="39" w:name="_Hlk32508047"/>
            <w:r>
              <w:rPr>
                <w:rFonts w:hint="eastAsia" w:ascii="宋体" w:hAnsi="宋体" w:cs="宋体"/>
                <w:bCs/>
                <w:kern w:val="0"/>
                <w:sz w:val="18"/>
                <w:szCs w:val="18"/>
              </w:rPr>
              <w:t>基于“流量”、“流速”、“时长”设置配额，当配额耗尽后，将用户加入到指定的流控黑名单惩罚通道中。</w:t>
            </w:r>
            <w:bookmarkEnd w:id="3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829" w:type="pct"/>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应用细分管控</w:t>
            </w: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设备内置应用识别规则库，支持超过6700条应用规则数，支持超过2900种以上的应用，1000种以上移动应用，并保持每两个星期更新一次，保证应用识别的准确率。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29" w:type="pct"/>
            <w:vMerge w:val="restart"/>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安全审计</w:t>
            </w: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审计SSL网页时，支持加密证书自动分发功能，用户点击网页上的工具即可一次性安装完成。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29" w:type="pct"/>
            <w:vMerge w:val="continue"/>
            <w:tcBorders>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bookmarkStart w:id="40" w:name="_Hlk32508055"/>
            <w:r>
              <w:rPr>
                <w:rFonts w:hint="eastAsia" w:ascii="宋体" w:hAnsi="宋体" w:cs="宋体"/>
                <w:bCs/>
                <w:kern w:val="0"/>
                <w:sz w:val="18"/>
                <w:szCs w:val="18"/>
              </w:rPr>
              <w:t>支持网页内容审计后的网页快照功能</w:t>
            </w:r>
            <w:bookmarkEnd w:id="40"/>
            <w:r>
              <w:rPr>
                <w:rFonts w:hint="eastAsia" w:ascii="宋体" w:hAnsi="宋体" w:cs="宋体"/>
                <w:bCs/>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29" w:type="pct"/>
            <w:tcBorders>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策略管理</w:t>
            </w: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支持自动同步现有的上网行为管理设备配置策略，实现与现有设备的无缝对接，降低运维工作量，避免配置遗漏影响现有业务。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29" w:type="pct"/>
            <w:vMerge w:val="restart"/>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上网安全</w:t>
            </w: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支持将上网行为管理设备的上网行为及身份信息同步给现有的态势感知平台进行统一分析，便于快速定位中毒主机及人员身份，提供截图证明。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829" w:type="pct"/>
            <w:vMerge w:val="continue"/>
            <w:tcBorders>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支持联动现有的态势感知平台进行风险控制，通过现有的态势感知平台即可在风险主机访问浏览器时弹窗提醒对应的用户，或对风险主机的账号进行冻结。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jc w:val="center"/>
        </w:trPr>
        <w:tc>
          <w:tcPr>
            <w:tcW w:w="829" w:type="pct"/>
            <w:vMerge w:val="restart"/>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上网日志管理</w:t>
            </w: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设备必须支持内置数据中心和独立数据中心。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829"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针对单用户的行为分析（包括：应用流速趋势、应用流量排行、域名流量排行、应用时长排行、域名时长排行、行为汇总排行等）；支持预置几组关键字，当审计日志中出现这些关键字时，将定期以邮件的方式发送报告给指定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 w:hRule="atLeast"/>
          <w:jc w:val="center"/>
        </w:trPr>
        <w:tc>
          <w:tcPr>
            <w:tcW w:w="829"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70"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支持泄密行为追溯，可以上传文件和关键词，查询有过相关外发记录的人员。</w:t>
            </w:r>
          </w:p>
        </w:tc>
      </w:tr>
      <w:bookmarkEnd w:id="36"/>
    </w:tbl>
    <w:p>
      <w:pPr>
        <w:pStyle w:val="42"/>
        <w:spacing w:line="580" w:lineRule="exact"/>
        <w:ind w:left="840" w:hanging="420"/>
        <w:rPr>
          <w:rFonts w:ascii="宋体" w:hAnsi="宋体" w:cs="宋体"/>
          <w:snapToGrid w:val="0"/>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市民中心核心网镜像流量设备</w:t>
      </w:r>
    </w:p>
    <w:p>
      <w:pPr>
        <w:spacing w:line="580" w:lineRule="exact"/>
        <w:rPr>
          <w:rFonts w:ascii="宋体" w:hAnsi="宋体" w:cs="宋体"/>
          <w:bCs/>
          <w:sz w:val="18"/>
          <w:szCs w:val="18"/>
        </w:rPr>
      </w:pPr>
    </w:p>
    <w:tbl>
      <w:tblPr>
        <w:tblStyle w:val="62"/>
        <w:tblW w:w="4999" w:type="pct"/>
        <w:tblInd w:w="0" w:type="dxa"/>
        <w:tblLayout w:type="autofit"/>
        <w:tblCellMar>
          <w:top w:w="0" w:type="dxa"/>
          <w:left w:w="0" w:type="dxa"/>
          <w:bottom w:w="0" w:type="dxa"/>
          <w:right w:w="0" w:type="dxa"/>
        </w:tblCellMar>
      </w:tblPr>
      <w:tblGrid>
        <w:gridCol w:w="1326"/>
        <w:gridCol w:w="6975"/>
      </w:tblGrid>
      <w:tr>
        <w:tblPrEx>
          <w:tblCellMar>
            <w:top w:w="0" w:type="dxa"/>
            <w:left w:w="0" w:type="dxa"/>
            <w:bottom w:w="0" w:type="dxa"/>
            <w:right w:w="0" w:type="dxa"/>
          </w:tblCellMar>
        </w:tblPrEx>
        <w:trPr>
          <w:trHeight w:val="23" w:hRule="atLeast"/>
        </w:trPr>
        <w:tc>
          <w:tcPr>
            <w:tcW w:w="79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CellMar>
            <w:top w:w="0" w:type="dxa"/>
            <w:left w:w="0" w:type="dxa"/>
            <w:bottom w:w="0" w:type="dxa"/>
            <w:right w:w="0" w:type="dxa"/>
          </w:tblCellMar>
        </w:tblPrEx>
        <w:trPr>
          <w:trHeight w:val="23" w:hRule="atLeast"/>
        </w:trPr>
        <w:tc>
          <w:tcPr>
            <w:tcW w:w="79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w:t>
            </w:r>
          </w:p>
        </w:tc>
        <w:tc>
          <w:tcPr>
            <w:tcW w:w="42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≥1.92Tbps，≥1260Mpps</w:t>
            </w:r>
          </w:p>
        </w:tc>
      </w:tr>
      <w:tr>
        <w:tblPrEx>
          <w:tblCellMar>
            <w:top w:w="0" w:type="dxa"/>
            <w:left w:w="0" w:type="dxa"/>
            <w:bottom w:w="0" w:type="dxa"/>
            <w:right w:w="0" w:type="dxa"/>
          </w:tblCellMar>
        </w:tblPrEx>
        <w:trPr>
          <w:trHeight w:val="23" w:hRule="atLeast"/>
        </w:trPr>
        <w:tc>
          <w:tcPr>
            <w:tcW w:w="799" w:type="pct"/>
            <w:vMerge w:val="restart"/>
            <w:tcBorders>
              <w:top w:val="single" w:color="000000" w:sz="4" w:space="0"/>
              <w:left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✰硬件要求</w:t>
            </w:r>
          </w:p>
        </w:tc>
        <w:tc>
          <w:tcPr>
            <w:tcW w:w="42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配置≥48个10G/1GBASE-XSFP+端口（满配万兆10KM单模模块）,≥2个40GQSFP+端口，≥4个100GQSFP28接口,≥1根3m40GQSFP+电缆</w:t>
            </w:r>
          </w:p>
        </w:tc>
      </w:tr>
      <w:tr>
        <w:tblPrEx>
          <w:tblCellMar>
            <w:top w:w="0" w:type="dxa"/>
            <w:left w:w="0" w:type="dxa"/>
            <w:bottom w:w="0" w:type="dxa"/>
            <w:right w:w="0" w:type="dxa"/>
          </w:tblCellMar>
        </w:tblPrEx>
        <w:trPr>
          <w:trHeight w:val="23" w:hRule="atLeast"/>
        </w:trPr>
        <w:tc>
          <w:tcPr>
            <w:tcW w:w="799" w:type="pct"/>
            <w:vMerge w:val="continue"/>
            <w:tcBorders>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p>
        </w:tc>
        <w:tc>
          <w:tcPr>
            <w:tcW w:w="42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实配双电源，四风扇</w:t>
            </w:r>
          </w:p>
        </w:tc>
      </w:tr>
      <w:tr>
        <w:tblPrEx>
          <w:tblCellMar>
            <w:top w:w="0" w:type="dxa"/>
            <w:left w:w="0" w:type="dxa"/>
            <w:bottom w:w="0" w:type="dxa"/>
            <w:right w:w="0" w:type="dxa"/>
          </w:tblCellMar>
        </w:tblPrEx>
        <w:trPr>
          <w:trHeight w:val="23" w:hRule="atLeast"/>
        </w:trPr>
        <w:tc>
          <w:tcPr>
            <w:tcW w:w="799" w:type="pct"/>
            <w:tcBorders>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流量处理</w:t>
            </w:r>
          </w:p>
        </w:tc>
        <w:tc>
          <w:tcPr>
            <w:tcW w:w="42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支持复制、转发和丢弃，统计计数</w:t>
            </w:r>
          </w:p>
        </w:tc>
      </w:tr>
      <w:tr>
        <w:tblPrEx>
          <w:tblCellMar>
            <w:top w:w="0" w:type="dxa"/>
            <w:left w:w="0" w:type="dxa"/>
            <w:bottom w:w="0" w:type="dxa"/>
            <w:right w:w="0" w:type="dxa"/>
          </w:tblCellMar>
        </w:tblPrEx>
        <w:trPr>
          <w:trHeight w:val="23" w:hRule="atLeast"/>
        </w:trPr>
        <w:tc>
          <w:tcPr>
            <w:tcW w:w="799" w:type="pct"/>
            <w:tcBorders>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分片报文</w:t>
            </w:r>
          </w:p>
        </w:tc>
        <w:tc>
          <w:tcPr>
            <w:tcW w:w="42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支持分片报文处理</w:t>
            </w:r>
          </w:p>
        </w:tc>
      </w:tr>
      <w:tr>
        <w:tblPrEx>
          <w:tblCellMar>
            <w:top w:w="0" w:type="dxa"/>
            <w:left w:w="0" w:type="dxa"/>
            <w:bottom w:w="0" w:type="dxa"/>
            <w:right w:w="0" w:type="dxa"/>
          </w:tblCellMar>
        </w:tblPrEx>
        <w:trPr>
          <w:trHeight w:val="23" w:hRule="atLeast"/>
        </w:trPr>
        <w:tc>
          <w:tcPr>
            <w:tcW w:w="79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MAC</w:t>
            </w:r>
          </w:p>
        </w:tc>
        <w:tc>
          <w:tcPr>
            <w:tcW w:w="42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≥256K</w:t>
            </w:r>
          </w:p>
        </w:tc>
      </w:tr>
      <w:tr>
        <w:tblPrEx>
          <w:tblCellMar>
            <w:top w:w="0" w:type="dxa"/>
            <w:left w:w="0" w:type="dxa"/>
            <w:bottom w:w="0" w:type="dxa"/>
            <w:right w:w="0" w:type="dxa"/>
          </w:tblCellMar>
        </w:tblPrEx>
        <w:trPr>
          <w:trHeight w:val="23" w:hRule="atLeast"/>
        </w:trPr>
        <w:tc>
          <w:tcPr>
            <w:tcW w:w="79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ARP</w:t>
            </w:r>
          </w:p>
        </w:tc>
        <w:tc>
          <w:tcPr>
            <w:tcW w:w="42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≥92K</w:t>
            </w:r>
          </w:p>
        </w:tc>
      </w:tr>
      <w:tr>
        <w:tblPrEx>
          <w:tblCellMar>
            <w:top w:w="0" w:type="dxa"/>
            <w:left w:w="0" w:type="dxa"/>
            <w:bottom w:w="0" w:type="dxa"/>
            <w:right w:w="0" w:type="dxa"/>
          </w:tblCellMar>
        </w:tblPrEx>
        <w:trPr>
          <w:trHeight w:val="23" w:hRule="atLeast"/>
        </w:trPr>
        <w:tc>
          <w:tcPr>
            <w:tcW w:w="79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兼容性</w:t>
            </w:r>
          </w:p>
        </w:tc>
        <w:tc>
          <w:tcPr>
            <w:tcW w:w="42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为保证产品兼容性，须与路由器为同一品牌设备</w:t>
            </w:r>
          </w:p>
        </w:tc>
      </w:tr>
      <w:tr>
        <w:tblPrEx>
          <w:tblCellMar>
            <w:top w:w="0" w:type="dxa"/>
            <w:left w:w="0" w:type="dxa"/>
            <w:bottom w:w="0" w:type="dxa"/>
            <w:right w:w="0" w:type="dxa"/>
          </w:tblCellMar>
        </w:tblPrEx>
        <w:trPr>
          <w:trHeight w:val="23" w:hRule="atLeast"/>
        </w:trPr>
        <w:tc>
          <w:tcPr>
            <w:tcW w:w="79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✰自主可控</w:t>
            </w:r>
          </w:p>
        </w:tc>
        <w:tc>
          <w:tcPr>
            <w:tcW w:w="4200"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投标产品为自主可控设备，提供国产化芯片的相关证明材料</w:t>
            </w:r>
          </w:p>
        </w:tc>
      </w:tr>
    </w:tbl>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政务云出口交换机设备</w:t>
      </w:r>
    </w:p>
    <w:p>
      <w:pPr>
        <w:spacing w:line="580" w:lineRule="exact"/>
        <w:ind w:left="420"/>
        <w:rPr>
          <w:rFonts w:ascii="宋体" w:hAnsi="宋体" w:cs="宋体"/>
          <w:bCs/>
          <w:snapToGrid w:val="0"/>
          <w:kern w:val="0"/>
          <w:sz w:val="18"/>
          <w:szCs w:val="18"/>
        </w:rPr>
      </w:pPr>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autofit"/>
        <w:tblCellMar>
          <w:top w:w="0" w:type="dxa"/>
          <w:left w:w="108" w:type="dxa"/>
          <w:bottom w:w="0" w:type="dxa"/>
          <w:right w:w="108" w:type="dxa"/>
        </w:tblCellMar>
      </w:tblPr>
      <w:tblGrid>
        <w:gridCol w:w="1544"/>
        <w:gridCol w:w="6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285" w:hRule="atLeast"/>
          <w:tblHeader/>
        </w:trPr>
        <w:tc>
          <w:tcPr>
            <w:tcW w:w="909"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09"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✰基本性能</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交换容量≥2.56Tbps，包转发率≥720Mpps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909"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扩展插槽数</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扩展插槽≥2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09"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电源</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模块化双电源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 w:hRule="atLeast"/>
        </w:trPr>
        <w:tc>
          <w:tcPr>
            <w:tcW w:w="909"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风扇</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模块化双风扇，前/后通风，风道可调，提供官网截图或配置手册证明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设备高度</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设备机箱高度≤1U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restar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✰性能指标</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整机路由表项数量≥64k，提供第三方权威机构提供的检测报告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ARP表项数量≥64K，提供第三方权威机构提供的检测报告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MAC地址表项数量≥128K，提供第三方权威机构提供的检测报告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端口缓存：10M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✰接口类型</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配置≥24个10G/1GBASE-XSFP+端口（满配万兆10KM单模模块）,≥2个40GQSFP+端口，≥1根3m40GQSFP+电缆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VxLAN</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支持VxLAN二层网关，提供官网截图</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支持VxLAN三层网关，提供官网截图</w:t>
            </w:r>
          </w:p>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支持EVPN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ERPS</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要求支持ERPS功能，并且收敛时间小于50ms，要求提供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restar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堆叠</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最大堆叠台数&gt;=9台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lang w:eastAsia="en-US"/>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最大堆叠带宽&gt;=480G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lang w:eastAsia="en-US"/>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支持远程堆叠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09" w:type="pct"/>
            <w:vMerge w:val="restar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VLAN特性</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支持基于端口的VLAN，支持基于协议的VLAN；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支持基于MAC的VLAN；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lang w:eastAsia="en-US"/>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最大VLAN数(不是VLANID)&gt;=4094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09"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链路聚合</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支持最多8个端口聚合；支持最多128个聚合组（IRF2）；支持LACP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09" w:type="pct"/>
            <w:vMerge w:val="restar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镜像功能</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支持本地端口镜像和远程端口镜像RSPAN；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支持流镜像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lang w:eastAsia="en-US"/>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同时支持N：M的端口镜像（M大于1）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restar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组播协议</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支持IGMPv1/v2/v3，MLDv1/v2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lang w:eastAsia="en-US"/>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支持IGMPSnoopingv1/v2/v3，MLDSnoopingv1/v2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lang w:eastAsia="en-US"/>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支持PIMSnooping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09" w:type="pct"/>
            <w:vMerge w:val="restar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路由协议</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支持IPv4静态路由、RIPV1/V2、OSPF、BGP、ISIS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lang w:eastAsia="en-US"/>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支持IPv6静态路由、RIPng、OSPFv3、BGP4+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lang w:eastAsia="en-US"/>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支持IPv4和IPv6环境下的策略路由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restar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可靠性</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 xml:space="preserve">支持VRRPv2/v3（虚拟路由冗余协议)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支持RRPP（快速环网保护协议），环网故障恢复时间不超过200ms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909" w:type="pct"/>
            <w:vMerge w:val="restar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访问控制策略</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支持基于第二层、第三层和第四层的ACL；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支持基于端口和VLAN的ACL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lang w:eastAsia="en-US"/>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支持IPv6ACL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SDN/OPENFLOW</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支持OPENFLOW1.3标准支持普通模式和Openflow模式切换，需提供官网网站命令手册佐证支持多控制器（EQUAL模式、主备模式）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09" w:type="pct"/>
            <w:vMerge w:val="restar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管理和维护</w:t>
            </w: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支持SNMPV1/V2/V3、RMON、SSHV2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909" w:type="pct"/>
            <w:vMerge w:val="continue"/>
            <w:shd w:val="clear" w:color="auto" w:fill="FFFFFF"/>
            <w:vAlign w:val="center"/>
          </w:tcPr>
          <w:p>
            <w:pPr>
              <w:widowControl/>
              <w:autoSpaceDE w:val="0"/>
              <w:autoSpaceDN w:val="0"/>
              <w:adjustRightInd/>
              <w:jc w:val="left"/>
              <w:rPr>
                <w:rFonts w:ascii="宋体" w:hAnsi="宋体" w:cs="宋体"/>
                <w:bCs/>
                <w:kern w:val="0"/>
                <w:sz w:val="18"/>
                <w:szCs w:val="18"/>
                <w:lang w:eastAsia="en-US"/>
              </w:rPr>
            </w:pPr>
          </w:p>
        </w:tc>
        <w:tc>
          <w:tcPr>
            <w:tcW w:w="4090" w:type="pct"/>
            <w:shd w:val="clear" w:color="auto"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支持OAM(802.1AG，802.3AH)以太网运行、维护和管理标准</w:t>
            </w:r>
          </w:p>
        </w:tc>
      </w:tr>
    </w:tbl>
    <w:p>
      <w:pPr>
        <w:spacing w:line="580" w:lineRule="exact"/>
        <w:rPr>
          <w:rFonts w:ascii="宋体" w:hAnsi="宋体" w:cs="宋体"/>
          <w:bCs/>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政务网核心路由器（P设备）冷备设备</w:t>
      </w:r>
    </w:p>
    <w:tbl>
      <w:tblPr>
        <w:tblStyle w:val="6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7"/>
        <w:gridCol w:w="70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834" w:type="pct"/>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165" w:type="pct"/>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834"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✰设备性能</w:t>
            </w:r>
          </w:p>
        </w:tc>
        <w:tc>
          <w:tcPr>
            <w:tcW w:w="4165"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交换容量≥115Tbps，转发性能≥14000Mpps</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要求与原有政务网PE设备华为NE20E完全兼容，可以在NE20E故障后直接替换使用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834"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✰配置要求</w:t>
            </w:r>
          </w:p>
        </w:tc>
        <w:tc>
          <w:tcPr>
            <w:tcW w:w="4165"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本次所投路由器配置要求如下：</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1.双主控，双交换网板，双电源</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2.万兆光口≥20个，千兆光口≥20个，千兆电口≥8个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restart"/>
            <w:tcBorders>
              <w:top w:val="single" w:color="auto" w:sz="4" w:space="0"/>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✰设备架构</w:t>
            </w:r>
          </w:p>
        </w:tc>
        <w:tc>
          <w:tcPr>
            <w:tcW w:w="4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要求所有业务板卡及电源、风扇均可热插拔；整机业务载板插槽≥6个（且单槽位最大支持200G线速转发不丢包）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p>
        </w:tc>
        <w:tc>
          <w:tcPr>
            <w:tcW w:w="4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设备支持100GE、50GE、40GE、25GE、10GE、GE、FE、E1、POS、CPOS等接口类型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4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支持端口散列技术，可将100GE端口散列成10GE口或者25GE口进行使用，可灵活进行设备的端口容量和类型控制使用，提供产品手册等材料证明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restart"/>
            <w:tcBorders>
              <w:top w:val="single" w:color="auto" w:sz="4" w:space="0"/>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基本功能</w:t>
            </w:r>
          </w:p>
        </w:tc>
        <w:tc>
          <w:tcPr>
            <w:tcW w:w="4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支持RIP、OSPF、IS-IS、BGP等路由协议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4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支持L2VPN、L3VPN、EVPN等VPN技术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4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支持LDPLSP、RSVP-TE、SR-TE等MPLS技术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4165" w:type="pct"/>
            <w:tcBorders>
              <w:top w:val="single" w:color="auto" w:sz="4" w:space="0"/>
              <w:left w:val="single" w:color="auto" w:sz="4" w:space="0"/>
              <w:bottom w:val="single" w:color="auto" w:sz="4" w:space="0"/>
              <w:right w:val="single" w:color="auto" w:sz="4" w:space="0"/>
            </w:tcBorders>
            <w:shd w:val="clear" w:color="000000" w:fill="FFFFFF"/>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支持VXLAN、GRE等隧道技术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4165" w:type="pct"/>
            <w:tcBorders>
              <w:top w:val="single" w:color="auto" w:sz="4" w:space="0"/>
              <w:left w:val="single" w:color="auto" w:sz="4" w:space="0"/>
              <w:bottom w:val="single" w:color="auto" w:sz="4" w:space="0"/>
              <w:right w:val="single" w:color="auto" w:sz="4" w:space="0"/>
            </w:tcBorders>
            <w:shd w:val="clear" w:color="000000" w:fill="FFFFFF"/>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支持智能隧道CBTS功能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4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IPv4、Ipv6路由及转发表容量要求：</w:t>
            </w:r>
          </w:p>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1、支持IPv4路由表容量≥10M,IPv6路由表容量≥5M</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2、支持IPv4转发表容量≥4M,IPv6转发表容量≥2M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restart"/>
            <w:tcBorders>
              <w:top w:val="single" w:color="auto" w:sz="4" w:space="0"/>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IPV6演进</w:t>
            </w:r>
          </w:p>
        </w:tc>
        <w:tc>
          <w:tcPr>
            <w:tcW w:w="4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支持ISISforSRv6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4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支持SRv6TEpolicy,支持通过BGP协议创建Policy，支持基于color，DSCP方式引流入SRv6Policy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restart"/>
            <w:tcBorders>
              <w:top w:val="single" w:color="auto" w:sz="4" w:space="0"/>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可靠性</w:t>
            </w:r>
          </w:p>
        </w:tc>
        <w:tc>
          <w:tcPr>
            <w:tcW w:w="4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支持基于硬件的BFD故障探测技术，支持最小发包间隔5ms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p>
        </w:tc>
        <w:tc>
          <w:tcPr>
            <w:tcW w:w="4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支持LDP,VRRP,OSPF,ISIS,BGP,VRRP6,OSPFv3,ISIS6,BGP4+,MPLSL3VPN,MPLSTE,PIMSM的NSR（不中断路由技术），主备倒换不丢包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4165"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支持VRRP、Eth-Trunk、E-Trunk等可靠性技术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65"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Telemetry，可实现从设备高速采集数据的技术，设备通过推模式（PushMode）周期性的向采集器上送设备的接口流量统计、CPU或内存数据等信息，提升用户进行网络大数据分析能力，需提供官方产品手册中对该功能的描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65"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随流的性能检测技术，即不额外发送检测报文，对用户业务流进行直接的丢包、时延的监测，得到业务端到端或逐跳的丢包和时延信息，支持通过telemetry上送获得的性能数据，需提供官方产品手册中对该功能的描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65"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支持对随流检测获取到的性能数据进行可视化的管理；支持设置告警阈值，对指标越限的链路、网元和端口进行告警，需提供官方产品手册中对该功能的描述说明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restart"/>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系统安全</w:t>
            </w:r>
          </w:p>
        </w:tc>
        <w:tc>
          <w:tcPr>
            <w:tcW w:w="4165"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支持BGPFlowSpecification及BGPv6FlowSpecification技术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65"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支持MACSec加密技术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834"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65" w:type="pct"/>
            <w:tcBorders>
              <w:top w:val="single" w:color="auto" w:sz="4" w:space="0"/>
              <w:left w:val="single" w:color="auto" w:sz="4" w:space="0"/>
              <w:bottom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支持BGP监控协议BGPMonitoringProtocol（BMP）（RFC7854），能够对网络中设备的BGP运行状态进行实时监控，实现针对网络的路由安全追踪，路由事件回溯和网络安全剖析</w:t>
            </w:r>
          </w:p>
        </w:tc>
      </w:tr>
    </w:tbl>
    <w:p>
      <w:pPr>
        <w:spacing w:line="580" w:lineRule="exact"/>
        <w:ind w:left="420"/>
        <w:rPr>
          <w:rFonts w:ascii="宋体" w:hAnsi="宋体" w:cs="宋体"/>
          <w:bCs/>
          <w:snapToGrid w:val="0"/>
          <w:kern w:val="0"/>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城域网汇聚交换机（涉及4个汇聚机房、热备）设备</w:t>
      </w:r>
    </w:p>
    <w:tbl>
      <w:tblPr>
        <w:tblStyle w:val="62"/>
        <w:tblW w:w="4998" w:type="pct"/>
        <w:tblInd w:w="0" w:type="dxa"/>
        <w:tblLayout w:type="autofit"/>
        <w:tblCellMar>
          <w:top w:w="0" w:type="dxa"/>
          <w:left w:w="108" w:type="dxa"/>
          <w:bottom w:w="0" w:type="dxa"/>
          <w:right w:w="108" w:type="dxa"/>
        </w:tblCellMar>
      </w:tblPr>
      <w:tblGrid>
        <w:gridCol w:w="1478"/>
        <w:gridCol w:w="7014"/>
      </w:tblGrid>
      <w:tr>
        <w:tblPrEx>
          <w:tblCellMar>
            <w:top w:w="0" w:type="dxa"/>
            <w:left w:w="108" w:type="dxa"/>
            <w:bottom w:w="0" w:type="dxa"/>
            <w:right w:w="108" w:type="dxa"/>
          </w:tblCellMar>
        </w:tblPrEx>
        <w:trPr>
          <w:trHeight w:val="285" w:hRule="atLeast"/>
          <w:tblHeader/>
        </w:trPr>
        <w:tc>
          <w:tcPr>
            <w:tcW w:w="87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129" w:type="pct"/>
            <w:tcBorders>
              <w:top w:val="single" w:color="auto" w:sz="4" w:space="0"/>
              <w:left w:val="nil"/>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CellMar>
            <w:top w:w="0" w:type="dxa"/>
            <w:left w:w="108" w:type="dxa"/>
            <w:bottom w:w="0" w:type="dxa"/>
            <w:right w:w="108" w:type="dxa"/>
          </w:tblCellMar>
        </w:tblPrEx>
        <w:trPr>
          <w:trHeight w:val="206" w:hRule="atLeast"/>
        </w:trPr>
        <w:tc>
          <w:tcPr>
            <w:tcW w:w="870" w:type="pct"/>
            <w:tcBorders>
              <w:top w:val="nil"/>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交换容量</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2.56Tbps</w:t>
            </w:r>
          </w:p>
        </w:tc>
      </w:tr>
      <w:tr>
        <w:tblPrEx>
          <w:tblCellMar>
            <w:top w:w="0" w:type="dxa"/>
            <w:left w:w="108" w:type="dxa"/>
            <w:bottom w:w="0" w:type="dxa"/>
            <w:right w:w="108" w:type="dxa"/>
          </w:tblCellMar>
        </w:tblPrEx>
        <w:trPr>
          <w:trHeight w:val="267" w:hRule="atLeast"/>
        </w:trPr>
        <w:tc>
          <w:tcPr>
            <w:tcW w:w="87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转发性能</w:t>
            </w:r>
          </w:p>
        </w:tc>
        <w:tc>
          <w:tcPr>
            <w:tcW w:w="4129" w:type="pct"/>
            <w:tcBorders>
              <w:top w:val="nil"/>
              <w:left w:val="single" w:color="auto" w:sz="4" w:space="0"/>
              <w:bottom w:val="single" w:color="000000"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720Mpps</w:t>
            </w:r>
          </w:p>
        </w:tc>
      </w:tr>
      <w:tr>
        <w:tblPrEx>
          <w:tblCellMar>
            <w:top w:w="0" w:type="dxa"/>
            <w:left w:w="108" w:type="dxa"/>
            <w:bottom w:w="0" w:type="dxa"/>
            <w:right w:w="108" w:type="dxa"/>
          </w:tblCellMar>
        </w:tblPrEx>
        <w:trPr>
          <w:trHeight w:val="334" w:hRule="atLeast"/>
        </w:trPr>
        <w:tc>
          <w:tcPr>
            <w:tcW w:w="87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扩展插槽数</w:t>
            </w:r>
          </w:p>
        </w:tc>
        <w:tc>
          <w:tcPr>
            <w:tcW w:w="4129" w:type="pct"/>
            <w:tcBorders>
              <w:top w:val="nil"/>
              <w:left w:val="single" w:color="auto" w:sz="4" w:space="0"/>
              <w:bottom w:val="single" w:color="000000"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扩展插槽≥2</w:t>
            </w:r>
          </w:p>
        </w:tc>
      </w:tr>
      <w:tr>
        <w:tblPrEx>
          <w:tblCellMar>
            <w:top w:w="0" w:type="dxa"/>
            <w:left w:w="108" w:type="dxa"/>
            <w:bottom w:w="0" w:type="dxa"/>
            <w:right w:w="108" w:type="dxa"/>
          </w:tblCellMar>
        </w:tblPrEx>
        <w:trPr>
          <w:trHeight w:val="209" w:hRule="atLeast"/>
        </w:trPr>
        <w:tc>
          <w:tcPr>
            <w:tcW w:w="870" w:type="pct"/>
            <w:tcBorders>
              <w:top w:val="single" w:color="auto" w:sz="4" w:space="0"/>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电源</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模块化双电源</w:t>
            </w:r>
          </w:p>
        </w:tc>
      </w:tr>
      <w:tr>
        <w:tblPrEx>
          <w:tblCellMar>
            <w:top w:w="0" w:type="dxa"/>
            <w:left w:w="108" w:type="dxa"/>
            <w:bottom w:w="0" w:type="dxa"/>
            <w:right w:w="108" w:type="dxa"/>
          </w:tblCellMar>
        </w:tblPrEx>
        <w:trPr>
          <w:trHeight w:val="455" w:hRule="atLeast"/>
        </w:trPr>
        <w:tc>
          <w:tcPr>
            <w:tcW w:w="87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风扇</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模块化双风扇，前/后通风，风道可调</w:t>
            </w:r>
          </w:p>
        </w:tc>
      </w:tr>
      <w:tr>
        <w:tblPrEx>
          <w:tblCellMar>
            <w:top w:w="0" w:type="dxa"/>
            <w:left w:w="108" w:type="dxa"/>
            <w:bottom w:w="0" w:type="dxa"/>
            <w:right w:w="108" w:type="dxa"/>
          </w:tblCellMar>
        </w:tblPrEx>
        <w:trPr>
          <w:trHeight w:val="285" w:hRule="atLeast"/>
        </w:trPr>
        <w:tc>
          <w:tcPr>
            <w:tcW w:w="870" w:type="pct"/>
            <w:vMerge w:val="restart"/>
            <w:tcBorders>
              <w:top w:val="single" w:color="auto" w:sz="4" w:space="0"/>
              <w:left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性能指标</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MAC地址表&gt;=128K</w:t>
            </w:r>
          </w:p>
        </w:tc>
      </w:tr>
      <w:tr>
        <w:tblPrEx>
          <w:tblCellMar>
            <w:top w:w="0" w:type="dxa"/>
            <w:left w:w="108" w:type="dxa"/>
            <w:bottom w:w="0" w:type="dxa"/>
            <w:right w:w="108" w:type="dxa"/>
          </w:tblCellMar>
        </w:tblPrEx>
        <w:trPr>
          <w:trHeight w:val="285" w:hRule="atLeast"/>
        </w:trPr>
        <w:tc>
          <w:tcPr>
            <w:tcW w:w="870"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路由表容量&gt;=64K</w:t>
            </w:r>
          </w:p>
        </w:tc>
      </w:tr>
      <w:tr>
        <w:tblPrEx>
          <w:tblCellMar>
            <w:top w:w="0" w:type="dxa"/>
            <w:left w:w="108" w:type="dxa"/>
            <w:bottom w:w="0" w:type="dxa"/>
            <w:right w:w="108" w:type="dxa"/>
          </w:tblCellMar>
        </w:tblPrEx>
        <w:trPr>
          <w:trHeight w:val="477" w:hRule="atLeast"/>
        </w:trPr>
        <w:tc>
          <w:tcPr>
            <w:tcW w:w="870"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ARP：64K</w:t>
            </w:r>
          </w:p>
        </w:tc>
      </w:tr>
      <w:tr>
        <w:tblPrEx>
          <w:tblCellMar>
            <w:top w:w="0" w:type="dxa"/>
            <w:left w:w="108" w:type="dxa"/>
            <w:bottom w:w="0" w:type="dxa"/>
            <w:right w:w="108" w:type="dxa"/>
          </w:tblCellMar>
        </w:tblPrEx>
        <w:trPr>
          <w:trHeight w:val="285" w:hRule="atLeast"/>
        </w:trPr>
        <w:tc>
          <w:tcPr>
            <w:tcW w:w="870" w:type="pct"/>
            <w:vMerge w:val="continue"/>
            <w:tcBorders>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端口缓存：10M</w:t>
            </w:r>
          </w:p>
        </w:tc>
      </w:tr>
      <w:tr>
        <w:tblPrEx>
          <w:tblCellMar>
            <w:top w:w="0" w:type="dxa"/>
            <w:left w:w="108" w:type="dxa"/>
            <w:bottom w:w="0" w:type="dxa"/>
            <w:right w:w="108" w:type="dxa"/>
          </w:tblCellMar>
        </w:tblPrEx>
        <w:trPr>
          <w:trHeight w:val="285" w:hRule="atLeast"/>
        </w:trPr>
        <w:tc>
          <w:tcPr>
            <w:tcW w:w="87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接口类型</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支持24个10G/1GBASE-XSFP+端口,支持2个40GQSFP+端口,单台配置不少于12个10KM万兆光模块</w:t>
            </w:r>
          </w:p>
        </w:tc>
      </w:tr>
      <w:tr>
        <w:tblPrEx>
          <w:tblCellMar>
            <w:top w:w="0" w:type="dxa"/>
            <w:left w:w="108" w:type="dxa"/>
            <w:bottom w:w="0" w:type="dxa"/>
            <w:right w:w="108" w:type="dxa"/>
          </w:tblCellMar>
        </w:tblPrEx>
        <w:trPr>
          <w:trHeight w:val="285" w:hRule="atLeast"/>
        </w:trPr>
        <w:tc>
          <w:tcPr>
            <w:tcW w:w="87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VxLAN</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支持VxLAN二层网关</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支持VxLAN三层网关</w:t>
            </w:r>
          </w:p>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支持EVPN</w:t>
            </w:r>
          </w:p>
        </w:tc>
      </w:tr>
      <w:tr>
        <w:tblPrEx>
          <w:tblCellMar>
            <w:top w:w="0" w:type="dxa"/>
            <w:left w:w="108" w:type="dxa"/>
            <w:bottom w:w="0" w:type="dxa"/>
            <w:right w:w="108" w:type="dxa"/>
          </w:tblCellMar>
        </w:tblPrEx>
        <w:trPr>
          <w:trHeight w:val="285" w:hRule="atLeast"/>
        </w:trPr>
        <w:tc>
          <w:tcPr>
            <w:tcW w:w="87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堆叠</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最大堆叠台数&gt;=9台</w:t>
            </w:r>
          </w:p>
        </w:tc>
      </w:tr>
      <w:tr>
        <w:tblPrEx>
          <w:tblCellMar>
            <w:top w:w="0" w:type="dxa"/>
            <w:left w:w="108" w:type="dxa"/>
            <w:bottom w:w="0" w:type="dxa"/>
            <w:right w:w="108" w:type="dxa"/>
          </w:tblCellMar>
        </w:tblPrEx>
        <w:trPr>
          <w:trHeight w:val="285" w:hRule="atLeast"/>
        </w:trPr>
        <w:tc>
          <w:tcPr>
            <w:tcW w:w="870"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最大堆叠带宽&gt;=320G</w:t>
            </w:r>
          </w:p>
        </w:tc>
      </w:tr>
      <w:tr>
        <w:tblPrEx>
          <w:tblCellMar>
            <w:top w:w="0" w:type="dxa"/>
            <w:left w:w="108" w:type="dxa"/>
            <w:bottom w:w="0" w:type="dxa"/>
            <w:right w:w="108" w:type="dxa"/>
          </w:tblCellMar>
        </w:tblPrEx>
        <w:trPr>
          <w:trHeight w:val="305" w:hRule="atLeast"/>
        </w:trPr>
        <w:tc>
          <w:tcPr>
            <w:tcW w:w="870"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支持跨设备链路聚合，单一IP管理，分布式弹性路由</w:t>
            </w:r>
          </w:p>
        </w:tc>
      </w:tr>
      <w:tr>
        <w:tblPrEx>
          <w:tblCellMar>
            <w:top w:w="0" w:type="dxa"/>
            <w:left w:w="108" w:type="dxa"/>
            <w:bottom w:w="0" w:type="dxa"/>
            <w:right w:w="108" w:type="dxa"/>
          </w:tblCellMar>
        </w:tblPrEx>
        <w:trPr>
          <w:trHeight w:val="285" w:hRule="atLeast"/>
        </w:trPr>
        <w:tc>
          <w:tcPr>
            <w:tcW w:w="870"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支持通过标准以太端口进行堆叠（万兆或40G均支持）</w:t>
            </w:r>
          </w:p>
        </w:tc>
      </w:tr>
      <w:tr>
        <w:tblPrEx>
          <w:tblCellMar>
            <w:top w:w="0" w:type="dxa"/>
            <w:left w:w="108" w:type="dxa"/>
            <w:bottom w:w="0" w:type="dxa"/>
            <w:right w:w="108" w:type="dxa"/>
          </w:tblCellMar>
        </w:tblPrEx>
        <w:trPr>
          <w:trHeight w:val="285" w:hRule="atLeast"/>
        </w:trPr>
        <w:tc>
          <w:tcPr>
            <w:tcW w:w="870"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支持远程堆叠</w:t>
            </w:r>
          </w:p>
        </w:tc>
      </w:tr>
      <w:tr>
        <w:tblPrEx>
          <w:tblCellMar>
            <w:top w:w="0" w:type="dxa"/>
            <w:left w:w="108" w:type="dxa"/>
            <w:bottom w:w="0" w:type="dxa"/>
            <w:right w:w="108" w:type="dxa"/>
          </w:tblCellMar>
        </w:tblPrEx>
        <w:trPr>
          <w:trHeight w:val="280" w:hRule="atLeast"/>
        </w:trPr>
        <w:tc>
          <w:tcPr>
            <w:tcW w:w="870" w:type="pct"/>
            <w:vMerge w:val="restart"/>
            <w:tcBorders>
              <w:top w:val="nil"/>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VLAN特性</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支持基于端口的VLAN，支持基于协议的VLAN；</w:t>
            </w:r>
          </w:p>
        </w:tc>
      </w:tr>
      <w:tr>
        <w:tblPrEx>
          <w:tblCellMar>
            <w:top w:w="0" w:type="dxa"/>
            <w:left w:w="108" w:type="dxa"/>
            <w:bottom w:w="0" w:type="dxa"/>
            <w:right w:w="108" w:type="dxa"/>
          </w:tblCellMar>
        </w:tblPrEx>
        <w:trPr>
          <w:trHeight w:val="285"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支持基于MAC的VLAN；</w:t>
            </w:r>
          </w:p>
        </w:tc>
      </w:tr>
      <w:tr>
        <w:tblPrEx>
          <w:tblCellMar>
            <w:top w:w="0" w:type="dxa"/>
            <w:left w:w="108" w:type="dxa"/>
            <w:bottom w:w="0" w:type="dxa"/>
            <w:right w:w="108" w:type="dxa"/>
          </w:tblCellMar>
        </w:tblPrEx>
        <w:trPr>
          <w:trHeight w:val="285"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最大VLAN数(不是VLANID)&gt;=4094</w:t>
            </w:r>
          </w:p>
        </w:tc>
      </w:tr>
      <w:tr>
        <w:tblPrEx>
          <w:tblCellMar>
            <w:top w:w="0" w:type="dxa"/>
            <w:left w:w="108" w:type="dxa"/>
            <w:bottom w:w="0" w:type="dxa"/>
            <w:right w:w="108" w:type="dxa"/>
          </w:tblCellMar>
        </w:tblPrEx>
        <w:trPr>
          <w:trHeight w:val="221" w:hRule="atLeast"/>
        </w:trPr>
        <w:tc>
          <w:tcPr>
            <w:tcW w:w="870" w:type="pct"/>
            <w:tcBorders>
              <w:top w:val="nil"/>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链路聚合</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支持最多32个端口聚合；支持最多128个聚合组（IRF2）；支持LACP</w:t>
            </w:r>
          </w:p>
        </w:tc>
      </w:tr>
      <w:tr>
        <w:tblPrEx>
          <w:tblCellMar>
            <w:top w:w="0" w:type="dxa"/>
            <w:left w:w="108" w:type="dxa"/>
            <w:bottom w:w="0" w:type="dxa"/>
            <w:right w:w="108" w:type="dxa"/>
          </w:tblCellMar>
        </w:tblPrEx>
        <w:trPr>
          <w:trHeight w:val="221" w:hRule="atLeast"/>
        </w:trPr>
        <w:tc>
          <w:tcPr>
            <w:tcW w:w="870" w:type="pct"/>
            <w:vMerge w:val="restart"/>
            <w:tcBorders>
              <w:top w:val="nil"/>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镜像功能</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支持本地端口镜像和远程端口镜像RSPAN；</w:t>
            </w:r>
          </w:p>
        </w:tc>
      </w:tr>
      <w:tr>
        <w:tblPrEx>
          <w:tblCellMar>
            <w:top w:w="0" w:type="dxa"/>
            <w:left w:w="108" w:type="dxa"/>
            <w:bottom w:w="0" w:type="dxa"/>
            <w:right w:w="108" w:type="dxa"/>
          </w:tblCellMar>
        </w:tblPrEx>
        <w:trPr>
          <w:trHeight w:val="285"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支持流镜像</w:t>
            </w:r>
          </w:p>
        </w:tc>
      </w:tr>
      <w:tr>
        <w:tblPrEx>
          <w:tblCellMar>
            <w:top w:w="0" w:type="dxa"/>
            <w:left w:w="108" w:type="dxa"/>
            <w:bottom w:w="0" w:type="dxa"/>
            <w:right w:w="108" w:type="dxa"/>
          </w:tblCellMar>
        </w:tblPrEx>
        <w:trPr>
          <w:trHeight w:val="285"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同时支持N：M的端口镜像（M大于1）</w:t>
            </w:r>
          </w:p>
        </w:tc>
      </w:tr>
      <w:tr>
        <w:tblPrEx>
          <w:tblCellMar>
            <w:top w:w="0" w:type="dxa"/>
            <w:left w:w="108" w:type="dxa"/>
            <w:bottom w:w="0" w:type="dxa"/>
            <w:right w:w="108" w:type="dxa"/>
          </w:tblCellMar>
        </w:tblPrEx>
        <w:trPr>
          <w:trHeight w:val="285" w:hRule="atLeast"/>
        </w:trPr>
        <w:tc>
          <w:tcPr>
            <w:tcW w:w="870" w:type="pct"/>
            <w:vMerge w:val="restart"/>
            <w:tcBorders>
              <w:top w:val="nil"/>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组播协议</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支持IGMPv1/v2/v3，MLDv1/v2</w:t>
            </w:r>
          </w:p>
        </w:tc>
      </w:tr>
      <w:tr>
        <w:tblPrEx>
          <w:tblCellMar>
            <w:top w:w="0" w:type="dxa"/>
            <w:left w:w="108" w:type="dxa"/>
            <w:bottom w:w="0" w:type="dxa"/>
            <w:right w:w="108" w:type="dxa"/>
          </w:tblCellMar>
        </w:tblPrEx>
        <w:trPr>
          <w:trHeight w:val="263"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支持IGMPSnoopingv1/v2/v3，MLDSnoopingv1/v2</w:t>
            </w:r>
          </w:p>
        </w:tc>
      </w:tr>
      <w:tr>
        <w:tblPrEx>
          <w:tblCellMar>
            <w:top w:w="0" w:type="dxa"/>
            <w:left w:w="108" w:type="dxa"/>
            <w:bottom w:w="0" w:type="dxa"/>
            <w:right w:w="108" w:type="dxa"/>
          </w:tblCellMar>
        </w:tblPrEx>
        <w:trPr>
          <w:trHeight w:val="285"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支持PIMSnooping</w:t>
            </w:r>
          </w:p>
        </w:tc>
      </w:tr>
      <w:tr>
        <w:tblPrEx>
          <w:tblCellMar>
            <w:top w:w="0" w:type="dxa"/>
            <w:left w:w="108" w:type="dxa"/>
            <w:bottom w:w="0" w:type="dxa"/>
            <w:right w:w="108" w:type="dxa"/>
          </w:tblCellMar>
        </w:tblPrEx>
        <w:trPr>
          <w:trHeight w:val="285"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支持MLDProxy</w:t>
            </w:r>
          </w:p>
        </w:tc>
      </w:tr>
      <w:tr>
        <w:tblPrEx>
          <w:tblCellMar>
            <w:top w:w="0" w:type="dxa"/>
            <w:left w:w="108" w:type="dxa"/>
            <w:bottom w:w="0" w:type="dxa"/>
            <w:right w:w="108" w:type="dxa"/>
          </w:tblCellMar>
        </w:tblPrEx>
        <w:trPr>
          <w:trHeight w:val="285"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支持组播VLAN</w:t>
            </w:r>
          </w:p>
        </w:tc>
      </w:tr>
      <w:tr>
        <w:tblPrEx>
          <w:tblCellMar>
            <w:top w:w="0" w:type="dxa"/>
            <w:left w:w="108" w:type="dxa"/>
            <w:bottom w:w="0" w:type="dxa"/>
            <w:right w:w="108" w:type="dxa"/>
          </w:tblCellMar>
        </w:tblPrEx>
        <w:trPr>
          <w:trHeight w:val="285"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支持PIM-DM，PIM-SM，PIM-SSM</w:t>
            </w:r>
          </w:p>
        </w:tc>
      </w:tr>
      <w:tr>
        <w:tblPrEx>
          <w:tblCellMar>
            <w:top w:w="0" w:type="dxa"/>
            <w:left w:w="108" w:type="dxa"/>
            <w:bottom w:w="0" w:type="dxa"/>
            <w:right w:w="108" w:type="dxa"/>
          </w:tblCellMar>
        </w:tblPrEx>
        <w:trPr>
          <w:trHeight w:val="285"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支持MSDP，MSDPforIPv6</w:t>
            </w:r>
          </w:p>
        </w:tc>
      </w:tr>
      <w:tr>
        <w:tblPrEx>
          <w:tblCellMar>
            <w:top w:w="0" w:type="dxa"/>
            <w:left w:w="108" w:type="dxa"/>
            <w:bottom w:w="0" w:type="dxa"/>
            <w:right w:w="108" w:type="dxa"/>
          </w:tblCellMar>
        </w:tblPrEx>
        <w:trPr>
          <w:trHeight w:val="285"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支持MBGP，MBGPforIpv6</w:t>
            </w:r>
          </w:p>
        </w:tc>
      </w:tr>
      <w:tr>
        <w:tblPrEx>
          <w:tblCellMar>
            <w:top w:w="0" w:type="dxa"/>
            <w:left w:w="108" w:type="dxa"/>
            <w:bottom w:w="0" w:type="dxa"/>
            <w:right w:w="108" w:type="dxa"/>
          </w:tblCellMar>
        </w:tblPrEx>
        <w:trPr>
          <w:trHeight w:val="268" w:hRule="atLeast"/>
        </w:trPr>
        <w:tc>
          <w:tcPr>
            <w:tcW w:w="870" w:type="pct"/>
            <w:vMerge w:val="restart"/>
            <w:tcBorders>
              <w:top w:val="nil"/>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路由协议</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支持IPv4静态路由、RIPV1/V2、OSPF、BGP、ISIS</w:t>
            </w:r>
          </w:p>
        </w:tc>
      </w:tr>
      <w:tr>
        <w:tblPrEx>
          <w:tblCellMar>
            <w:top w:w="0" w:type="dxa"/>
            <w:left w:w="108" w:type="dxa"/>
            <w:bottom w:w="0" w:type="dxa"/>
            <w:right w:w="108" w:type="dxa"/>
          </w:tblCellMar>
        </w:tblPrEx>
        <w:trPr>
          <w:trHeight w:val="268"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支持IPv6静态路由、RIPng、OSPFv3、BGP4+</w:t>
            </w:r>
          </w:p>
        </w:tc>
      </w:tr>
      <w:tr>
        <w:tblPrEx>
          <w:tblCellMar>
            <w:top w:w="0" w:type="dxa"/>
            <w:left w:w="108" w:type="dxa"/>
            <w:bottom w:w="0" w:type="dxa"/>
            <w:right w:w="108" w:type="dxa"/>
          </w:tblCellMar>
        </w:tblPrEx>
        <w:trPr>
          <w:trHeight w:val="285"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支持IPv4和IPv6环境下的策略路由</w:t>
            </w:r>
          </w:p>
        </w:tc>
      </w:tr>
      <w:tr>
        <w:tblPrEx>
          <w:tblCellMar>
            <w:top w:w="0" w:type="dxa"/>
            <w:left w:w="108" w:type="dxa"/>
            <w:bottom w:w="0" w:type="dxa"/>
            <w:right w:w="108" w:type="dxa"/>
          </w:tblCellMar>
        </w:tblPrEx>
        <w:trPr>
          <w:trHeight w:val="320"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支持IPv6手动隧道、6to4隧道和ISATAP隧道</w:t>
            </w:r>
          </w:p>
        </w:tc>
      </w:tr>
      <w:tr>
        <w:tblPrEx>
          <w:tblCellMar>
            <w:top w:w="0" w:type="dxa"/>
            <w:left w:w="108" w:type="dxa"/>
            <w:bottom w:w="0" w:type="dxa"/>
            <w:right w:w="108" w:type="dxa"/>
          </w:tblCellMar>
        </w:tblPrEx>
        <w:trPr>
          <w:trHeight w:val="285" w:hRule="atLeast"/>
        </w:trPr>
        <w:tc>
          <w:tcPr>
            <w:tcW w:w="870" w:type="pct"/>
            <w:vMerge w:val="continue"/>
            <w:tcBorders>
              <w:top w:val="nil"/>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支持OAM(802.1AG，802.3AH)以太网运行、维护和管理标准</w:t>
            </w:r>
          </w:p>
        </w:tc>
      </w:tr>
      <w:tr>
        <w:tblPrEx>
          <w:tblCellMar>
            <w:top w:w="0" w:type="dxa"/>
            <w:left w:w="108" w:type="dxa"/>
            <w:bottom w:w="0" w:type="dxa"/>
            <w:right w:w="108" w:type="dxa"/>
          </w:tblCellMar>
        </w:tblPrEx>
        <w:trPr>
          <w:trHeight w:val="285" w:hRule="atLeast"/>
        </w:trPr>
        <w:tc>
          <w:tcPr>
            <w:tcW w:w="87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绿色节能</w:t>
            </w: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符合IEEE802.3az（EEE）节能标准</w:t>
            </w:r>
          </w:p>
        </w:tc>
      </w:tr>
      <w:tr>
        <w:tblPrEx>
          <w:tblCellMar>
            <w:top w:w="0" w:type="dxa"/>
            <w:left w:w="108" w:type="dxa"/>
            <w:bottom w:w="0" w:type="dxa"/>
            <w:right w:w="108" w:type="dxa"/>
          </w:tblCellMar>
        </w:tblPrEx>
        <w:trPr>
          <w:trHeight w:val="285" w:hRule="atLeast"/>
        </w:trPr>
        <w:tc>
          <w:tcPr>
            <w:tcW w:w="870"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端口定时down功能（Schedulejob）</w:t>
            </w:r>
          </w:p>
        </w:tc>
      </w:tr>
      <w:tr>
        <w:tblPrEx>
          <w:tblCellMar>
            <w:top w:w="0" w:type="dxa"/>
            <w:left w:w="108" w:type="dxa"/>
            <w:bottom w:w="0" w:type="dxa"/>
            <w:right w:w="108" w:type="dxa"/>
          </w:tblCellMar>
        </w:tblPrEx>
        <w:trPr>
          <w:trHeight w:val="350" w:hRule="atLeast"/>
        </w:trPr>
        <w:tc>
          <w:tcPr>
            <w:tcW w:w="870"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支持端口休眠，关闭没有应用的端口，节省能源</w:t>
            </w:r>
          </w:p>
        </w:tc>
      </w:tr>
      <w:tr>
        <w:tblPrEx>
          <w:tblCellMar>
            <w:top w:w="0" w:type="dxa"/>
            <w:left w:w="108" w:type="dxa"/>
            <w:bottom w:w="0" w:type="dxa"/>
            <w:right w:w="108" w:type="dxa"/>
          </w:tblCellMar>
        </w:tblPrEx>
        <w:trPr>
          <w:trHeight w:val="285" w:hRule="atLeast"/>
        </w:trPr>
        <w:tc>
          <w:tcPr>
            <w:tcW w:w="870"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支持智能风扇调速</w:t>
            </w:r>
          </w:p>
        </w:tc>
      </w:tr>
      <w:tr>
        <w:tblPrEx>
          <w:tblCellMar>
            <w:top w:w="0" w:type="dxa"/>
            <w:left w:w="108" w:type="dxa"/>
            <w:bottom w:w="0" w:type="dxa"/>
            <w:right w:w="108" w:type="dxa"/>
          </w:tblCellMar>
        </w:tblPrEx>
        <w:trPr>
          <w:trHeight w:val="285" w:hRule="atLeast"/>
        </w:trPr>
        <w:tc>
          <w:tcPr>
            <w:tcW w:w="870" w:type="pct"/>
            <w:vMerge w:val="continue"/>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129" w:type="pct"/>
            <w:tcBorders>
              <w:top w:val="nil"/>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提供ROHS节能认证</w:t>
            </w:r>
          </w:p>
        </w:tc>
      </w:tr>
      <w:tr>
        <w:tblPrEx>
          <w:tblCellMar>
            <w:top w:w="0" w:type="dxa"/>
            <w:left w:w="108" w:type="dxa"/>
            <w:bottom w:w="0" w:type="dxa"/>
            <w:right w:w="108" w:type="dxa"/>
          </w:tblCellMar>
        </w:tblPrEx>
        <w:trPr>
          <w:trHeight w:val="285" w:hRule="atLeast"/>
        </w:trPr>
        <w:tc>
          <w:tcPr>
            <w:tcW w:w="870"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资质认证</w:t>
            </w:r>
          </w:p>
        </w:tc>
        <w:tc>
          <w:tcPr>
            <w:tcW w:w="4129"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要求提供信产部入网证和检验报告</w:t>
            </w:r>
          </w:p>
        </w:tc>
      </w:tr>
    </w:tbl>
    <w:p>
      <w:pPr>
        <w:spacing w:line="580" w:lineRule="exact"/>
        <w:rPr>
          <w:rFonts w:ascii="宋体" w:hAnsi="宋体" w:cs="宋体"/>
          <w:sz w:val="18"/>
          <w:szCs w:val="18"/>
        </w:rPr>
      </w:pPr>
    </w:p>
    <w:p>
      <w:pPr>
        <w:pStyle w:val="965"/>
        <w:pageBreakBefore w:val="0"/>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城域网PE交换机板卡</w:t>
      </w:r>
    </w:p>
    <w:tbl>
      <w:tblPr>
        <w:tblStyle w:val="6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8"/>
        <w:gridCol w:w="72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758" w:type="pct"/>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41" w:type="pct"/>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5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配置要求</w:t>
            </w:r>
          </w:p>
        </w:tc>
        <w:tc>
          <w:tcPr>
            <w:tcW w:w="424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要求本次所投交换机板卡与现有华为7706交换机完美兼容</w:t>
            </w:r>
          </w:p>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1.24端口万兆以太网光接口和24端口千兆以太网光接口板</w:t>
            </w:r>
          </w:p>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2.光模块-eSFP-GE-单模模块(1310nm,10km,LC)*24块，光模块-SFP+-10G-单模模块(1310nm,10km,LC)*24块</w:t>
            </w:r>
          </w:p>
        </w:tc>
      </w:tr>
    </w:tbl>
    <w:p>
      <w:pPr>
        <w:spacing w:line="580" w:lineRule="exact"/>
        <w:ind w:left="420"/>
        <w:rPr>
          <w:rFonts w:ascii="宋体" w:hAnsi="宋体" w:cs="宋体"/>
          <w:bCs/>
          <w:snapToGrid w:val="0"/>
          <w:kern w:val="0"/>
          <w:sz w:val="18"/>
          <w:szCs w:val="18"/>
        </w:rPr>
      </w:pPr>
    </w:p>
    <w:p>
      <w:pPr>
        <w:pStyle w:val="965"/>
        <w:pageBreakBefore w:val="0"/>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市民中心AC设备</w:t>
      </w:r>
    </w:p>
    <w:tbl>
      <w:tblPr>
        <w:tblStyle w:val="62"/>
        <w:tblW w:w="4999"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autofit"/>
        <w:tblCellMar>
          <w:top w:w="0" w:type="dxa"/>
          <w:left w:w="0" w:type="dxa"/>
          <w:bottom w:w="0" w:type="dxa"/>
          <w:right w:w="0" w:type="dxa"/>
        </w:tblCellMar>
      </w:tblPr>
      <w:tblGrid>
        <w:gridCol w:w="1199"/>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0" w:type="dxa"/>
            <w:left w:w="0" w:type="dxa"/>
            <w:bottom w:w="0" w:type="dxa"/>
            <w:right w:w="0" w:type="dxa"/>
          </w:tblCellMar>
        </w:tblPrEx>
        <w:trPr>
          <w:trHeight w:val="23" w:hRule="atLeast"/>
        </w:trPr>
        <w:tc>
          <w:tcPr>
            <w:tcW w:w="722" w:type="pct"/>
            <w:shd w:val="clear" w:color="auto" w:fill="FFFFFF" w:themeFill="background1"/>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77" w:type="pct"/>
            <w:shd w:val="clear" w:color="auto" w:fill="FFFFFF" w:themeFill="background1"/>
            <w:noWrap/>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22" w:type="pct"/>
            <w:shd w:val="clear" w:color="auto" w:fill="FFFFFF"/>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✰基本性能</w:t>
            </w:r>
          </w:p>
        </w:tc>
        <w:tc>
          <w:tcPr>
            <w:tcW w:w="4277" w:type="pct"/>
            <w:shd w:val="clear" w:color="auto" w:fill="FFFFFF"/>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现有AC扩容，要求与原有AC完全兼容，所投设备支持常规AP最大数量≥6144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22" w:type="pct"/>
            <w:shd w:val="clear" w:color="auto" w:fill="FFFFFF"/>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转发性能</w:t>
            </w:r>
          </w:p>
        </w:tc>
        <w:tc>
          <w:tcPr>
            <w:tcW w:w="4277" w:type="pct"/>
            <w:shd w:val="clear" w:color="auto" w:fill="FFFFFF"/>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数据转发性能≥100Gbps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22" w:type="pct"/>
            <w:vMerge w:val="restart"/>
            <w:shd w:val="clear" w:color="auto" w:fill="FFFFFF"/>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✰端口要求</w:t>
            </w:r>
          </w:p>
        </w:tc>
        <w:tc>
          <w:tcPr>
            <w:tcW w:w="4277" w:type="pct"/>
            <w:shd w:val="clear" w:color="auto" w:fill="FFFFFF"/>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千兆电端口≥8个</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SFP+/SFP端口≥12个</w:t>
            </w:r>
          </w:p>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QSFP+端口≥4个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22" w:type="pct"/>
            <w:vMerge w:val="continue"/>
            <w:shd w:val="clear" w:color="auto" w:fill="FFFFFF"/>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p>
        </w:tc>
        <w:tc>
          <w:tcPr>
            <w:tcW w:w="4277" w:type="pct"/>
            <w:shd w:val="clear" w:color="auto" w:fill="FFFFFF"/>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提供USB接口，配合U盘使用，可用于开局、传输配置文件、升级文件等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22" w:type="pct"/>
            <w:shd w:val="clear" w:color="auto" w:fill="FFFFFF"/>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电源</w:t>
            </w:r>
          </w:p>
        </w:tc>
        <w:tc>
          <w:tcPr>
            <w:tcW w:w="4277" w:type="pct"/>
            <w:shd w:val="clear" w:color="auto" w:fill="FFFFFF"/>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应支持双电源备份，并支持交流供和直流二种供电方式。</w:t>
            </w:r>
            <w:r>
              <w:rPr>
                <w:rFonts w:hint="eastAsia" w:ascii="宋体" w:hAnsi="宋体" w:cs="宋体"/>
                <w:bCs/>
                <w:kern w:val="0"/>
                <w:sz w:val="18"/>
                <w:szCs w:val="18"/>
                <w:lang w:eastAsia="en-US"/>
              </w:rPr>
              <w:t>支持电源模块热插拔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trPr>
        <w:tc>
          <w:tcPr>
            <w:tcW w:w="722" w:type="pct"/>
            <w:shd w:val="clear" w:color="auto" w:fill="FFFFFF"/>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认证加密</w:t>
            </w:r>
          </w:p>
        </w:tc>
        <w:tc>
          <w:tcPr>
            <w:tcW w:w="4277" w:type="pct"/>
            <w:shd w:val="clear" w:color="auto" w:fill="FFFFFF"/>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支持防PSK暴力破解，当用户密码错误超过预设的阀值之后，能够将该用户加入动态黑名单，一段时间内禁止其接入网络，要求提供权威机构的第三方测试报告</w:t>
            </w:r>
          </w:p>
        </w:tc>
      </w:tr>
    </w:tbl>
    <w:p>
      <w:pPr>
        <w:spacing w:line="580" w:lineRule="exact"/>
        <w:ind w:left="420"/>
        <w:rPr>
          <w:rFonts w:ascii="宋体" w:hAnsi="宋体" w:cs="宋体"/>
          <w:bCs/>
          <w:snapToGrid w:val="0"/>
          <w:kern w:val="0"/>
          <w:sz w:val="18"/>
          <w:szCs w:val="18"/>
        </w:rPr>
      </w:pPr>
    </w:p>
    <w:p>
      <w:pPr>
        <w:pStyle w:val="965"/>
        <w:pageBreakBefore w:val="0"/>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市民中心吸顶AP设备</w:t>
      </w:r>
    </w:p>
    <w:tbl>
      <w:tblPr>
        <w:tblStyle w:val="62"/>
        <w:tblW w:w="4999" w:type="pct"/>
        <w:tblInd w:w="0" w:type="dxa"/>
        <w:shd w:val="clear" w:color="auto" w:fill="FFFFFF" w:themeFill="background1"/>
        <w:tblLayout w:type="autofit"/>
        <w:tblCellMar>
          <w:top w:w="0" w:type="dxa"/>
          <w:left w:w="0" w:type="dxa"/>
          <w:bottom w:w="0" w:type="dxa"/>
          <w:right w:w="0" w:type="dxa"/>
        </w:tblCellMar>
      </w:tblPr>
      <w:tblGrid>
        <w:gridCol w:w="1199"/>
        <w:gridCol w:w="7102"/>
      </w:tblGrid>
      <w:tr>
        <w:tblPrEx>
          <w:shd w:val="clear" w:color="auto" w:fill="FFFFFF" w:themeFill="background1"/>
          <w:tblCellMar>
            <w:top w:w="0" w:type="dxa"/>
            <w:left w:w="0" w:type="dxa"/>
            <w:bottom w:w="0" w:type="dxa"/>
            <w:right w:w="0" w:type="dxa"/>
          </w:tblCellMar>
        </w:tblPrEx>
        <w:trPr>
          <w:trHeight w:val="23" w:hRule="atLeast"/>
        </w:trPr>
        <w:tc>
          <w:tcPr>
            <w:tcW w:w="72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7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CellMar>
            <w:top w:w="0" w:type="dxa"/>
            <w:left w:w="0" w:type="dxa"/>
            <w:bottom w:w="0" w:type="dxa"/>
            <w:right w:w="0" w:type="dxa"/>
          </w:tblCellMar>
        </w:tblPrEx>
        <w:trPr>
          <w:trHeight w:val="23" w:hRule="atLeast"/>
        </w:trPr>
        <w:tc>
          <w:tcPr>
            <w:tcW w:w="72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✰工作模式</w:t>
            </w:r>
          </w:p>
        </w:tc>
        <w:tc>
          <w:tcPr>
            <w:tcW w:w="427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采用整机双频4流设计，可同时工作在802.11a/b/g/n/ac/acwave2/ax模式。</w:t>
            </w:r>
          </w:p>
        </w:tc>
      </w:tr>
      <w:tr>
        <w:tblPrEx>
          <w:tblCellMar>
            <w:top w:w="0" w:type="dxa"/>
            <w:left w:w="0" w:type="dxa"/>
            <w:bottom w:w="0" w:type="dxa"/>
            <w:right w:w="0" w:type="dxa"/>
          </w:tblCellMar>
        </w:tblPrEx>
        <w:trPr>
          <w:trHeight w:val="23" w:hRule="atLeast"/>
        </w:trPr>
        <w:tc>
          <w:tcPr>
            <w:tcW w:w="72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✰协商速率</w:t>
            </w:r>
          </w:p>
        </w:tc>
        <w:tc>
          <w:tcPr>
            <w:tcW w:w="427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整机协商速率≥1.775Gbps，其中5G射频速率≥1.2G，2.4G速率≥0.575G。</w:t>
            </w:r>
          </w:p>
        </w:tc>
      </w:tr>
      <w:tr>
        <w:tblPrEx>
          <w:tblCellMar>
            <w:top w:w="0" w:type="dxa"/>
            <w:left w:w="0" w:type="dxa"/>
            <w:bottom w:w="0" w:type="dxa"/>
            <w:right w:w="0" w:type="dxa"/>
          </w:tblCellMar>
        </w:tblPrEx>
        <w:trPr>
          <w:trHeight w:val="23" w:hRule="atLeast"/>
        </w:trPr>
        <w:tc>
          <w:tcPr>
            <w:tcW w:w="72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接口设计</w:t>
            </w:r>
          </w:p>
        </w:tc>
        <w:tc>
          <w:tcPr>
            <w:tcW w:w="427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≥1个10/100/1000Mbps(RJ45)</w:t>
            </w:r>
            <w:r>
              <w:rPr>
                <w:rFonts w:hint="eastAsia" w:ascii="宋体" w:hAnsi="宋体" w:cs="宋体"/>
                <w:bCs/>
                <w:kern w:val="0"/>
                <w:sz w:val="18"/>
                <w:szCs w:val="18"/>
              </w:rPr>
              <w:t>。</w:t>
            </w:r>
          </w:p>
        </w:tc>
      </w:tr>
      <w:tr>
        <w:tblPrEx>
          <w:tblCellMar>
            <w:top w:w="0" w:type="dxa"/>
            <w:left w:w="0" w:type="dxa"/>
            <w:bottom w:w="0" w:type="dxa"/>
            <w:right w:w="0" w:type="dxa"/>
          </w:tblCellMar>
        </w:tblPrEx>
        <w:trPr>
          <w:trHeight w:val="23" w:hRule="atLeast"/>
        </w:trPr>
        <w:tc>
          <w:tcPr>
            <w:tcW w:w="72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接入规格</w:t>
            </w:r>
          </w:p>
        </w:tc>
        <w:tc>
          <w:tcPr>
            <w:tcW w:w="427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整机接入用户规格1024，要求提供官网链接以及官网截图证明。</w:t>
            </w:r>
          </w:p>
        </w:tc>
      </w:tr>
    </w:tbl>
    <w:p>
      <w:pPr>
        <w:spacing w:line="580" w:lineRule="exact"/>
        <w:rPr>
          <w:rFonts w:ascii="宋体" w:hAnsi="宋体" w:cs="宋体"/>
          <w:bCs/>
          <w:sz w:val="18"/>
          <w:szCs w:val="18"/>
        </w:rPr>
      </w:pPr>
    </w:p>
    <w:p>
      <w:pPr>
        <w:pStyle w:val="965"/>
        <w:pageBreakBefore w:val="0"/>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市民中心面板AP设备</w:t>
      </w:r>
    </w:p>
    <w:tbl>
      <w:tblPr>
        <w:tblStyle w:val="62"/>
        <w:tblW w:w="4999" w:type="pct"/>
        <w:tblInd w:w="0" w:type="dxa"/>
        <w:shd w:val="clear" w:color="auto" w:fill="FFFFFF" w:themeFill="background1"/>
        <w:tblLayout w:type="autofit"/>
        <w:tblCellMar>
          <w:top w:w="0" w:type="dxa"/>
          <w:left w:w="0" w:type="dxa"/>
          <w:bottom w:w="0" w:type="dxa"/>
          <w:right w:w="0" w:type="dxa"/>
        </w:tblCellMar>
      </w:tblPr>
      <w:tblGrid>
        <w:gridCol w:w="1207"/>
        <w:gridCol w:w="7094"/>
      </w:tblGrid>
      <w:tr>
        <w:tblPrEx>
          <w:shd w:val="clear" w:color="auto" w:fill="FFFFFF" w:themeFill="background1"/>
          <w:tblCellMar>
            <w:top w:w="0" w:type="dxa"/>
            <w:left w:w="0" w:type="dxa"/>
            <w:bottom w:w="0" w:type="dxa"/>
            <w:right w:w="0" w:type="dxa"/>
          </w:tblCellMar>
        </w:tblPrEx>
        <w:trPr>
          <w:trHeight w:val="23" w:hRule="atLeast"/>
        </w:trPr>
        <w:tc>
          <w:tcPr>
            <w:tcW w:w="72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rPr>
          <w:trHeight w:val="23" w:hRule="atLeast"/>
        </w:trPr>
        <w:tc>
          <w:tcPr>
            <w:tcW w:w="72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✰工作模式</w:t>
            </w:r>
          </w:p>
        </w:tc>
        <w:tc>
          <w:tcPr>
            <w:tcW w:w="42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采用整机双频4流设计，可同时工作在802.11a/b/g/n/ac/acwave2/ax模式</w:t>
            </w:r>
          </w:p>
        </w:tc>
      </w:tr>
      <w:tr>
        <w:trPr>
          <w:trHeight w:val="23" w:hRule="atLeast"/>
        </w:trPr>
        <w:tc>
          <w:tcPr>
            <w:tcW w:w="72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✰协商速率</w:t>
            </w:r>
          </w:p>
        </w:tc>
        <w:tc>
          <w:tcPr>
            <w:tcW w:w="42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整机协商速率≥1.775Gbps，其中5G射频速率≥1.2G，2.4G速率≥0.575</w:t>
            </w:r>
          </w:p>
        </w:tc>
      </w:tr>
      <w:tr>
        <w:tblPrEx>
          <w:tblCellMar>
            <w:top w:w="0" w:type="dxa"/>
            <w:left w:w="0" w:type="dxa"/>
            <w:bottom w:w="0" w:type="dxa"/>
            <w:right w:w="0" w:type="dxa"/>
          </w:tblCellMar>
        </w:tblPrEx>
        <w:trPr>
          <w:trHeight w:val="23" w:hRule="atLeast"/>
        </w:trPr>
        <w:tc>
          <w:tcPr>
            <w:tcW w:w="727"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接口设计</w:t>
            </w:r>
          </w:p>
        </w:tc>
        <w:tc>
          <w:tcPr>
            <w:tcW w:w="4272" w:type="pct"/>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整机接口≤1个10/100/1000Mbps(RJ45)千兆接口，设备不提供有线下行口。</w:t>
            </w:r>
          </w:p>
        </w:tc>
      </w:tr>
    </w:tbl>
    <w:p>
      <w:pPr>
        <w:spacing w:line="580" w:lineRule="exact"/>
        <w:rPr>
          <w:rFonts w:ascii="宋体" w:hAnsi="宋体" w:cs="宋体"/>
          <w:bCs/>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电子政务外网专业DNS服务设备</w:t>
      </w:r>
    </w:p>
    <w:p>
      <w:pPr>
        <w:spacing w:line="580" w:lineRule="exact"/>
        <w:jc w:val="center"/>
      </w:pPr>
    </w:p>
    <w:tbl>
      <w:tblPr>
        <w:tblStyle w:val="6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7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36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硬件规格</w:t>
            </w: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采用2U机架式专用硬件平台；采用2U冗余电源配置；固定业务接口，不低于6个千兆电口；2个万兆光口，存储介质，企业级存储介质、容量1TB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性能要求</w:t>
            </w:r>
          </w:p>
        </w:tc>
        <w:tc>
          <w:tcPr>
            <w:tcW w:w="436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DNSQPS指标不低于10万/秒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高可用性</w:t>
            </w: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部署方式：旁路模式部署，设备在客户实际网络中进行设备测试和验证过，以确保设备具备实际网络适用性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设备必须支持高可靠，高可用，支持HA自动切换功能和active-standby模式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渗透防护</w:t>
            </w:r>
          </w:p>
        </w:tc>
        <w:tc>
          <w:tcPr>
            <w:tcW w:w="436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支持登录认证页面产生加密随机数，可以和Session会话进行对比分析，预防CSRF攻击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一键断网</w:t>
            </w:r>
          </w:p>
        </w:tc>
        <w:tc>
          <w:tcPr>
            <w:tcW w:w="436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特殊时期或者网站出现问题的时候，通过该功能随时随地实现“一键断网”管理，中止服务器对外提供服务。支并持自定义设置资源关闭或开启的时间（提供产品运行时操作界面截图）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NTP服务</w:t>
            </w:r>
          </w:p>
        </w:tc>
        <w:tc>
          <w:tcPr>
            <w:tcW w:w="4361"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支持NTP协议，RFC1119、RFC1305等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36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支持通过NTP协议进行IP/MAC活跃度审计，审计信息包括：源客户端IP/端口，源客户端MAC地址，目的IP/端口，ETH网卡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管理功能</w:t>
            </w:r>
          </w:p>
        </w:tc>
        <w:tc>
          <w:tcPr>
            <w:tcW w:w="4361"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用户界面支持中文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支持双因子登录鉴别，支持动态令牌种子文件的导入，支持动态令牌+用户名/密码方式，防止密码重放性攻击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支持操作日志的完整记录与查询，包括登录日志和DNS配置变更日志等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支持将DNS等外部数据方便的导入，支持.xls和.xlsx格式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支持SYSLOG日志发送第三方日志服务器，可以配置日志发送的级别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DNS功能</w:t>
            </w:r>
          </w:p>
        </w:tc>
        <w:tc>
          <w:tcPr>
            <w:tcW w:w="436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支持对NS、SOA、A、AAAA、MX、CNAME、DNAME、TXT、PTR、SRV、NAPTR等记录的解析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标准DNS服务：系统必须支持标准的DNS服务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反向DNS解析：支持反向DNS解析功能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支持DNS主从实时备份机制，支持DNS全局和区域转发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支持DNS参数定义（如allow-transfer、allow-recursion、allow-query、allow-notify、acl、MinimalResponses、check-names、RRSet-Order、ServerTSIGkey等参数）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中文域名支持：支持中文域名，为企业定制中文的内部域名体系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支持IPv6，DNS解析服务支持IPv6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多级部署：支持域名服务系统的分布式部署，各节点数据统一下发，并能保证数据一致性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DNS负载均衡：支持DNS负载均衡，支持DNS记录轮循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DNS缓存处理：支持对缓存记录的显示管理，且能针对缓存记录进行删除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支持泛域名解析：支持泛域名解析，可有效防止用户输入错误而导致网页无法打开的问题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URL重定向：支持URL重定向功能，便于将繁琐较长的网站转成较短的网址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DNS解析排序：支持解析结果按照管理员设定的ISP所属网段返回，实现解析结果链路类型的负载应答控制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DNS智能解析：支持设定网通、电信、移动、教育、科技网等IP地址段，针对不同的地址段解析不同的IP，便于外部访问主页提高访问速度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DNS安全加固优化，支持配置操作系统资源限制，支持配置TCP最大连接数量，支持配置递归查询最大数量，支持配置缓存Cache可用数值，支持启用/关闭DNSSEC/EDNS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具有丰富的DNS解析日志及统计报告，所有节点DNS解析实时展示和统计，实时展现服务设备访问的并发数据，通过饼图、柱状图进行清晰展现，帮助网络管理员跟踪和快速解决与DNS配置有关的问题。包括QPS、Top域名、TopIP、解析记录统计；支持基于中国和世界的DNS访问排名统计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DNS安全</w:t>
            </w: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支持禁止DNSANY类型请求，支持防止DDOS攻击和放大攻击，支持基于IP或域名进行请求限速，支持自定义规则；</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支持DNS高性能防护，支持配置QPS告警阈值，当业务量突增能够自动关闭查询日志来保证DNS核心功能解析；</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支持DNS响应策略，支持恶意域名的识别和过滤，针对域名进行阻断，支持域名不存在/存在无响应/不启用策略/强制TCP/丢弃/域名劫持等操作；</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支持启用DNS隧道攻击防护，支持限制隧道攻击源IP地址范围，提高攻击者的信道部署代价；</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针对域名劫持，支持对重点域名的资源记录进行监测，同时定义重点域名对应的IP地址群，当有变化的时候，且变化后的内容不在给定的IP地址群中，则输出日志，发送告警信息；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支持DNS黑名单，自定义待过滤黑名单IP，实时生效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支持DNS域名过滤，自定义域名URL，实时生效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支持显示和下载已定义恶意域名的访问命中率报表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支持定义TSIG，确保Zone转换、Notify、动态升级更新、递归查询邮件等DNS消息的安全，预防DNS欺骗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支持DNSSEC，支持ZSK和KSK更新策略，支持定义密钥启用时间，不启用时间和终止时间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38" w:type="pct"/>
            <w:vMerge w:val="continue"/>
            <w:vAlign w:val="center"/>
          </w:tcPr>
          <w:p>
            <w:pPr>
              <w:widowControl/>
              <w:autoSpaceDE w:val="0"/>
              <w:autoSpaceDN w:val="0"/>
              <w:adjustRightInd/>
              <w:jc w:val="left"/>
              <w:rPr>
                <w:rFonts w:ascii="宋体" w:hAnsi="宋体" w:cs="宋体"/>
                <w:bCs/>
                <w:kern w:val="0"/>
                <w:sz w:val="18"/>
                <w:szCs w:val="18"/>
              </w:rPr>
            </w:pPr>
          </w:p>
        </w:tc>
        <w:tc>
          <w:tcPr>
            <w:tcW w:w="436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支持DNSQPS性能超过阈值告警功能，支持DNSQPS查询阈值设定</w:t>
            </w:r>
          </w:p>
        </w:tc>
      </w:tr>
    </w:tbl>
    <w:p>
      <w:pPr>
        <w:spacing w:line="580" w:lineRule="exact"/>
        <w:ind w:left="420"/>
        <w:rPr>
          <w:rFonts w:ascii="宋体" w:hAnsi="宋体" w:cs="宋体"/>
          <w:bCs/>
          <w:snapToGrid w:val="0"/>
          <w:kern w:val="0"/>
          <w:sz w:val="18"/>
          <w:szCs w:val="18"/>
        </w:rPr>
      </w:pPr>
    </w:p>
    <w:p>
      <w:pPr>
        <w:pStyle w:val="965"/>
        <w:pageBreakBefore w:val="0"/>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电子政务外网专业DHCP服务设备</w:t>
      </w:r>
    </w:p>
    <w:tbl>
      <w:tblPr>
        <w:tblStyle w:val="62"/>
        <w:tblpPr w:leftFromText="180" w:rightFromText="180" w:vertAnchor="text" w:horzAnchor="page" w:tblpX="1798" w:tblpY="1201"/>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1"/>
        <w:gridCol w:w="7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9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硬件规格</w:t>
            </w:r>
          </w:p>
        </w:tc>
        <w:tc>
          <w:tcPr>
            <w:tcW w:w="4298"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采用2U机架式专用硬件平台；采用2U冗余电源配置；固定业务接口，不低于6个千兆电口；2个万兆光口，存储介质，企业级存储介质、容量1TB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性能要求</w:t>
            </w:r>
          </w:p>
        </w:tc>
        <w:tc>
          <w:tcPr>
            <w:tcW w:w="429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DHCPLPS指标不低于2000/秒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渗透防护</w:t>
            </w: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支持登录认证页面产生加密随机数，可以和Session会话进行对比分析，预防CSRF攻击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一键断网</w:t>
            </w: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特殊时期或者网站出现问题的时候，通过该功能随时随地实现“一键断网”管理，中止服务器对外提供服务。支并持自定义设置资源关闭或开启的时间（提供产品运行时操作界面截图）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高可用性</w:t>
            </w:r>
          </w:p>
        </w:tc>
        <w:tc>
          <w:tcPr>
            <w:tcW w:w="429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设备必须支持HA（high-availability）自动切换功能和active-standby模式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管理功能</w:t>
            </w:r>
          </w:p>
        </w:tc>
        <w:tc>
          <w:tcPr>
            <w:tcW w:w="4298"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用户界面支持中文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支持双因子登录鉴别，支持动态令牌+用户名/密码方式，防止密码重放性攻击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支持将外部数据方便的导入，支持.xls和.xlsx格式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支持将数据库内容实时备份和定时备份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支持将设备的日志文件的导出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设备支持和主流的上网行为厂商（深信服、网康）进行接口联动，实现IP/MAC全程审计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支持实时显示设备CPU负载、空闲内存、磁盘使用、DNSQPS，DHCPv4LPS，DHCPv6LPS等设备参数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NTP服务</w:t>
            </w:r>
          </w:p>
        </w:tc>
        <w:tc>
          <w:tcPr>
            <w:tcW w:w="4298"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支持NTP协议，RFC1119、RFC1305等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支持通过NTP协议进行IP/MAC活跃度审计，审计信息包括：源客户端IP/端口，源客户端MAC地址，目的IP/端口，ETH网卡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DHCP功能</w:t>
            </w: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CIDR（无类域间路由）支持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支持业界标准的DHCPFailover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298"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支持DHCPOption60/Option82，支持高级DHCP选项编辑器，支持厂商自定义Option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298"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基于IP/MAC地址的静态绑定（IP保留地址分配）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实现地址的动态分配和回收，实时显示分配地址的状态和续租信息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支持DHCP系统指纹技术，支持BYOD（BringYourOwnDevice），自动识别智能手机、平板电脑等的系统指纹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支持DHCP指纹识别率98%以上，支持快速对DHCP未知指纹进行识别及添加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支持所有ISC预定义的DHCPoption空间（如Option1到Option125）和客户化的DHCPOption空间（如Option126到Option254）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支持DHCP参数强制下发，针对于非标准DHCP协议的客户端请求IP地址时确保参数此参数可以下发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支持DHCP模板功能，快速创建和复制DHCP参数配置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支持IP地址强制释放功能，针对部分终端DHCP租期到了不会主动续约并继续使用过期IP的情况，实现手工和周期性强制释放IP地址，以确保IP地址的利用率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支持DHCP实时在线用户趋势分析、DHCP响应包趋势分析、IP数据利用率实时统计分析、DHCP指纹数据实时统计等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01"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DHCP6支持</w:t>
            </w:r>
          </w:p>
        </w:tc>
        <w:tc>
          <w:tcPr>
            <w:tcW w:w="4298"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提供IPv6子网掩码计算功能，可计算IPv6网络的起始/终止地址、划分后的子网数量、划分后的前5个子网（提供产品运行时操作界面截图）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支持DHCPv6保留地址分配，支持DUID绑定，支持批量绑定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支持DHCPv6客户端参数设定，支持无状态地址信息刷新时间设定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支持DHCPv6有状态地址分配，支持自动发现设备DUID标识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IP地址管理</w:t>
            </w:r>
          </w:p>
        </w:tc>
        <w:tc>
          <w:tcPr>
            <w:tcW w:w="4298"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支持对IP数据进行统一集中管理，支持IPv4和IPv6双协议栈，支持分级分权管控，不同用户可管理不同范围的IP地址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支持IP地址规划，可以自定义分区域进行IP地址规划，包括子网划分等功能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支持地址扫描，提供子网中IP地址的可用性状态，可以定期对IP地址的在线状态进行检查，避免地址冲突。IP地址分配情况自动统计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要求支持图形化IP地址分配；支持基于IP地址的网络视图，能够轻松查找子网；从子网中标记IP地址的使用情况，保留、已分配等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支持按照不同字段搜索功能，支持模糊搜索，IP地址系统可以支持IP地址、MAC地址、设备名称的查询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支持IP地址回收功能，对于检测到的长期不使用的IP地址，系统可以自动或者手动回收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支持查看IP地址分配的历史明细及相关记录，具有IP地址分配审计功能，能够记录执行操作的用户、所做变更、时间等。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系统支持定义地址调和核查策略，形成基线对比，可以配置时间策略对比物理网络和IP地址管理系统内的地址变更情况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支持发现未知IP核查状态，此状态表明此IP由于各种原因没有被记录在系统中，如非法接入、手动私设地址等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701" w:type="pct"/>
            <w:vMerge w:val="continue"/>
            <w:vAlign w:val="center"/>
          </w:tcPr>
          <w:p>
            <w:pPr>
              <w:widowControl/>
              <w:autoSpaceDE w:val="0"/>
              <w:autoSpaceDN w:val="0"/>
              <w:adjustRightInd/>
              <w:jc w:val="left"/>
              <w:rPr>
                <w:rFonts w:ascii="宋体" w:hAnsi="宋体" w:cs="宋体"/>
                <w:bCs/>
                <w:kern w:val="0"/>
                <w:sz w:val="18"/>
                <w:szCs w:val="18"/>
              </w:rPr>
            </w:pPr>
          </w:p>
        </w:tc>
        <w:tc>
          <w:tcPr>
            <w:tcW w:w="4298"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支持待清除核查状态，此状态表明此IP地址长时间没有被使用</w:t>
            </w:r>
          </w:p>
        </w:tc>
      </w:tr>
    </w:tbl>
    <w:p>
      <w:pPr>
        <w:spacing w:line="580" w:lineRule="exact"/>
        <w:rPr>
          <w:rFonts w:ascii="宋体" w:hAnsi="宋体" w:cs="宋体"/>
          <w:bCs/>
          <w:snapToGrid w:val="0"/>
          <w:kern w:val="0"/>
          <w:sz w:val="18"/>
          <w:szCs w:val="18"/>
        </w:rPr>
      </w:pPr>
    </w:p>
    <w:p>
      <w:pPr>
        <w:spacing w:line="580" w:lineRule="exact"/>
        <w:jc w:val="left"/>
        <w:rPr>
          <w:rFonts w:ascii="宋体" w:hAnsi="宋体" w:cs="宋体"/>
          <w:sz w:val="18"/>
          <w:szCs w:val="18"/>
        </w:rPr>
      </w:pPr>
    </w:p>
    <w:p>
      <w:pPr>
        <w:pStyle w:val="965"/>
        <w:pageBreakBefore w:val="0"/>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短信服务</w:t>
      </w:r>
    </w:p>
    <w:p>
      <w:pPr>
        <w:spacing w:line="580" w:lineRule="exact"/>
        <w:rPr>
          <w:rFonts w:ascii="宋体" w:hAnsi="宋体" w:cs="宋体"/>
          <w:sz w:val="24"/>
        </w:rPr>
      </w:pPr>
      <w:r>
        <w:rPr>
          <w:rFonts w:hint="eastAsia" w:ascii="宋体" w:hAnsi="宋体" w:cs="宋体"/>
          <w:sz w:val="24"/>
        </w:rPr>
        <w:t>每年短信服务支持不少于20W条。</w:t>
      </w:r>
    </w:p>
    <w:p>
      <w:pPr>
        <w:pStyle w:val="23"/>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公共接入区防火墙设备</w:t>
      </w:r>
    </w:p>
    <w:tbl>
      <w:tblPr>
        <w:tblStyle w:val="62"/>
        <w:tblW w:w="5000" w:type="pct"/>
        <w:tblInd w:w="0" w:type="dxa"/>
        <w:tblLayout w:type="autofit"/>
        <w:tblCellMar>
          <w:top w:w="0" w:type="dxa"/>
          <w:left w:w="108" w:type="dxa"/>
          <w:bottom w:w="0" w:type="dxa"/>
          <w:right w:w="108" w:type="dxa"/>
        </w:tblCellMar>
      </w:tblPr>
      <w:tblGrid>
        <w:gridCol w:w="1592"/>
        <w:gridCol w:w="6903"/>
      </w:tblGrid>
      <w:tr>
        <w:tblPrEx>
          <w:tblCellMar>
            <w:top w:w="0" w:type="dxa"/>
            <w:left w:w="108" w:type="dxa"/>
            <w:bottom w:w="0" w:type="dxa"/>
            <w:right w:w="108" w:type="dxa"/>
          </w:tblCellMar>
        </w:tblPrEx>
        <w:trPr>
          <w:trHeight w:val="280" w:hRule="atLeast"/>
        </w:trPr>
        <w:tc>
          <w:tcPr>
            <w:tcW w:w="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CellMar>
            <w:top w:w="0" w:type="dxa"/>
            <w:left w:w="108" w:type="dxa"/>
            <w:bottom w:w="0" w:type="dxa"/>
            <w:right w:w="108" w:type="dxa"/>
          </w:tblCellMar>
        </w:tblPrEx>
        <w:trPr>
          <w:trHeight w:val="1093" w:hRule="atLeast"/>
        </w:trPr>
        <w:tc>
          <w:tcPr>
            <w:tcW w:w="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性能参数</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U机箱，冗余电源，标准配置板载16个10/100/1000M自适应电、6个SFP光接口和8个SFP+光接口（支持兼容千兆光口）,1个Console口，一个HA口；另外含有4个扩展插槽，支持液晶屏。网络处理能力60Gbps，并发连接≥1200万，每秒新建连接45万/秒。包含应用控制、病毒防护、入侵防御特征库服务。</w:t>
            </w:r>
          </w:p>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含8口千兆板卡两块</w:t>
            </w:r>
          </w:p>
        </w:tc>
      </w:tr>
      <w:tr>
        <w:tblPrEx>
          <w:tblCellMar>
            <w:top w:w="0" w:type="dxa"/>
            <w:left w:w="108" w:type="dxa"/>
            <w:bottom w:w="0" w:type="dxa"/>
            <w:right w:w="108" w:type="dxa"/>
          </w:tblCellMar>
        </w:tblPrEx>
        <w:trPr>
          <w:trHeight w:val="280" w:hRule="atLeast"/>
        </w:trPr>
        <w:tc>
          <w:tcPr>
            <w:tcW w:w="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系统架构</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硬件设计采用高性能一体化智能安全处理引擎</w:t>
            </w:r>
          </w:p>
        </w:tc>
      </w:tr>
      <w:tr>
        <w:tblPrEx>
          <w:tblCellMar>
            <w:top w:w="0" w:type="dxa"/>
            <w:left w:w="108" w:type="dxa"/>
            <w:bottom w:w="0" w:type="dxa"/>
            <w:right w:w="108" w:type="dxa"/>
          </w:tblCellMar>
        </w:tblPrEx>
        <w:trPr>
          <w:trHeight w:val="280" w:hRule="atLeast"/>
        </w:trPr>
        <w:tc>
          <w:tcPr>
            <w:tcW w:w="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部署模式　</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支持路由、透明、交换以及混合模式接入，满足复杂应用环境的接入需求。</w:t>
            </w:r>
            <w:r>
              <w:rPr>
                <w:rFonts w:hint="eastAsia" w:ascii="宋体" w:hAnsi="宋体" w:cs="宋体"/>
                <w:bCs/>
                <w:kern w:val="0"/>
                <w:sz w:val="18"/>
                <w:szCs w:val="18"/>
                <w:lang w:eastAsia="en-US"/>
              </w:rPr>
              <w:t>支持旁路模式</w:t>
            </w:r>
          </w:p>
        </w:tc>
      </w:tr>
      <w:tr>
        <w:tblPrEx>
          <w:tblCellMar>
            <w:top w:w="0" w:type="dxa"/>
            <w:left w:w="108" w:type="dxa"/>
            <w:bottom w:w="0" w:type="dxa"/>
            <w:right w:w="108" w:type="dxa"/>
          </w:tblCellMar>
        </w:tblPrEx>
        <w:trPr>
          <w:trHeight w:val="280" w:hRule="atLeast"/>
        </w:trPr>
        <w:tc>
          <w:tcPr>
            <w:tcW w:w="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网络协议　</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支持支持静态路由、策略路由及动态路由。策略路由支持用户自定义其优先级，动态路由应至少支持RIP v1/v2/ng， OSPFv2/v3，BGP4/4+协议</w:t>
            </w:r>
          </w:p>
        </w:tc>
      </w:tr>
      <w:tr>
        <w:tblPrEx>
          <w:tblCellMar>
            <w:top w:w="0" w:type="dxa"/>
            <w:left w:w="108" w:type="dxa"/>
            <w:bottom w:w="0" w:type="dxa"/>
            <w:right w:w="108" w:type="dxa"/>
          </w:tblCellMar>
        </w:tblPrEx>
        <w:trPr>
          <w:trHeight w:val="280" w:hRule="atLeast"/>
        </w:trPr>
        <w:tc>
          <w:tcPr>
            <w:tcW w:w="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路由协议　</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ISP路由负载均衡，最大可支持8条链路负载，支持自定义负载权重，支持基于优先级的ISP路由链路备份；支持基于IPv4或IPv6的TCP、HTTP、DNS、ICMP等方式的链路探测，同时TCP与HTTP可使用自定义目标端口进行测试（需要提供能够体现上述功能及配置选项的截图）</w:t>
            </w:r>
          </w:p>
        </w:tc>
      </w:tr>
      <w:tr>
        <w:tblPrEx>
          <w:tblCellMar>
            <w:top w:w="0" w:type="dxa"/>
            <w:left w:w="108" w:type="dxa"/>
            <w:bottom w:w="0" w:type="dxa"/>
            <w:right w:w="108" w:type="dxa"/>
          </w:tblCellMar>
        </w:tblPrEx>
        <w:trPr>
          <w:trHeight w:val="280" w:hRule="atLeast"/>
        </w:trPr>
        <w:tc>
          <w:tcPr>
            <w:tcW w:w="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高可靠性　</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路由模式、透明模式的HA高可靠性部署，可工作于主备、主主模式，会话、用户、配置可实时同步；HA高可靠性部署支持接口联动，某个端口失效（DOWN），属于同一接口组中其他端口都会进入失效状态（DOWN）；HA高可靠性部署支持配置接口权重；支持链路探测</w:t>
            </w:r>
          </w:p>
        </w:tc>
      </w:tr>
      <w:tr>
        <w:tblPrEx>
          <w:tblCellMar>
            <w:top w:w="0" w:type="dxa"/>
            <w:left w:w="108" w:type="dxa"/>
            <w:bottom w:w="0" w:type="dxa"/>
            <w:right w:w="108" w:type="dxa"/>
          </w:tblCellMar>
        </w:tblPrEx>
        <w:trPr>
          <w:trHeight w:val="280" w:hRule="atLeast"/>
        </w:trPr>
        <w:tc>
          <w:tcPr>
            <w:tcW w:w="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应用识别与控制　</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应用识别，应用特征库包含的应用数量（非应用协议的规则总数）大于2800种，可深度识别每种应用的属性，为每种应用提供预定义的风险系数，并将应用基于类型、使用场景、数据传输、风险等级等特征分类（需要提供能够体现上述功能及配置选项的截图）为每种应用提供预定义的风险系数，并将应用基于类型、使用场景、数据传输、风险等级等特征分类</w:t>
            </w:r>
          </w:p>
        </w:tc>
      </w:tr>
      <w:tr>
        <w:tblPrEx>
          <w:tblCellMar>
            <w:top w:w="0" w:type="dxa"/>
            <w:left w:w="108" w:type="dxa"/>
            <w:bottom w:w="0" w:type="dxa"/>
            <w:right w:w="108" w:type="dxa"/>
          </w:tblCellMar>
        </w:tblPrEx>
        <w:trPr>
          <w:trHeight w:val="280" w:hRule="atLeast"/>
        </w:trPr>
        <w:tc>
          <w:tcPr>
            <w:tcW w:w="93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用户识别与认证</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所投产品必须支持基于用户的访问控制，可与LDAP/Radius/证书/Active Directory/TACACS+/POP3等用户认证系统联动</w:t>
            </w:r>
          </w:p>
        </w:tc>
      </w:tr>
      <w:tr>
        <w:tblPrEx>
          <w:tblCellMar>
            <w:top w:w="0" w:type="dxa"/>
            <w:left w:w="108" w:type="dxa"/>
            <w:bottom w:w="0" w:type="dxa"/>
            <w:right w:w="108" w:type="dxa"/>
          </w:tblCellMar>
        </w:tblPrEx>
        <w:trPr>
          <w:trHeight w:val="280" w:hRule="atLeast"/>
        </w:trPr>
        <w:tc>
          <w:tcPr>
            <w:tcW w:w="93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所投产品必须支持802.1x认证，要求支持基于端口和MAC两种接入控制方式；所投产品支持管理用户、VPN用户、WebAuth用户的双因素认证；</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支持二层MAC地址IP地址绑定；支持跨三层MAC地址IP地址绑定</w:t>
            </w:r>
          </w:p>
        </w:tc>
      </w:tr>
      <w:tr>
        <w:tblPrEx>
          <w:tblCellMar>
            <w:top w:w="0" w:type="dxa"/>
            <w:left w:w="108" w:type="dxa"/>
            <w:bottom w:w="0" w:type="dxa"/>
            <w:right w:w="108" w:type="dxa"/>
          </w:tblCellMar>
        </w:tblPrEx>
        <w:trPr>
          <w:trHeight w:val="280" w:hRule="atLeast"/>
        </w:trPr>
        <w:tc>
          <w:tcPr>
            <w:tcW w:w="937"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文件过滤</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对应用的文件传输行为进行上传、下载、双向的文件类型过滤，应用至少包含即时通讯、常用协议、文件共享、论坛、博客、网页邮件五种分类；（需提供支持的应用分类和对应的设备配置截图）</w:t>
            </w:r>
          </w:p>
        </w:tc>
      </w:tr>
      <w:tr>
        <w:tblPrEx>
          <w:tblCellMar>
            <w:top w:w="0" w:type="dxa"/>
            <w:left w:w="108" w:type="dxa"/>
            <w:bottom w:w="0" w:type="dxa"/>
            <w:right w:w="108" w:type="dxa"/>
          </w:tblCellMar>
        </w:tblPrEx>
        <w:trPr>
          <w:trHeight w:val="280" w:hRule="atLeast"/>
        </w:trPr>
        <w:tc>
          <w:tcPr>
            <w:tcW w:w="937"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rPr>
            </w:pP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上传、下载、双向的文件内容过滤；内容过滤支持手工及文件批量导入两种方式进行敏感信息定义；内容过滤至少支持html、doc、docx、xls、xlsx、ppt、pptx、chm、7z等30种常见文件类型；文件类型识别基于文件特征而非扩展名，更改文件扩展名后仍可有效识别</w:t>
            </w:r>
          </w:p>
        </w:tc>
      </w:tr>
      <w:tr>
        <w:tblPrEx>
          <w:tblCellMar>
            <w:top w:w="0" w:type="dxa"/>
            <w:left w:w="108" w:type="dxa"/>
            <w:bottom w:w="0" w:type="dxa"/>
            <w:right w:w="108" w:type="dxa"/>
          </w:tblCellMar>
        </w:tblPrEx>
        <w:trPr>
          <w:trHeight w:val="280" w:hRule="atLeast"/>
        </w:trPr>
        <w:tc>
          <w:tcPr>
            <w:tcW w:w="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流量管理</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所投产品必须支持多调度类相互嵌套最大5级的带宽管理设置。支持设置每IP最大或最小带宽，支持对每IP进行带宽配额管理，可通过优先级实现多应用的差分服务，并支持对剩余带宽进行基于优先级的动态分配</w:t>
            </w:r>
          </w:p>
        </w:tc>
      </w:tr>
      <w:tr>
        <w:tblPrEx>
          <w:tblCellMar>
            <w:top w:w="0" w:type="dxa"/>
            <w:left w:w="108" w:type="dxa"/>
            <w:bottom w:w="0" w:type="dxa"/>
            <w:right w:w="108" w:type="dxa"/>
          </w:tblCellMar>
        </w:tblPrEx>
        <w:trPr>
          <w:trHeight w:val="280" w:hRule="atLeast"/>
        </w:trPr>
        <w:tc>
          <w:tcPr>
            <w:tcW w:w="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病毒防护</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所投产品必须能够对HTTP/FTP/POP3/SMTP/IMAP/SMB六种协议进行病毒查杀（需提供支持的应用分类和对应的设备配置截图）；</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本地病毒库规模大于3000万；支持对最多6级的压缩文件进行解压查杀</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支持基于MD5的自定义病毒签名；支持设置例外特征，对特定的病毒特征不进行查杀</w:t>
            </w:r>
          </w:p>
        </w:tc>
      </w:tr>
      <w:tr>
        <w:tblPrEx>
          <w:tblCellMar>
            <w:top w:w="0" w:type="dxa"/>
            <w:left w:w="108" w:type="dxa"/>
            <w:bottom w:w="0" w:type="dxa"/>
            <w:right w:w="108" w:type="dxa"/>
          </w:tblCellMar>
        </w:tblPrEx>
        <w:trPr>
          <w:trHeight w:val="280" w:hRule="atLeast"/>
        </w:trPr>
        <w:tc>
          <w:tcPr>
            <w:tcW w:w="937"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共享上网检测</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所投产品必须支持共享上网检测功能，支持共享接入检测和共享接入管控功能，可以通过设置管控地址和例外地址优化管控功能，同时支持阻断或告警动作</w:t>
            </w:r>
          </w:p>
        </w:tc>
      </w:tr>
      <w:tr>
        <w:tblPrEx>
          <w:tblCellMar>
            <w:top w:w="0" w:type="dxa"/>
            <w:left w:w="108" w:type="dxa"/>
            <w:bottom w:w="0" w:type="dxa"/>
            <w:right w:w="108" w:type="dxa"/>
          </w:tblCellMar>
        </w:tblPrEx>
        <w:trPr>
          <w:trHeight w:val="280" w:hRule="atLeast"/>
        </w:trPr>
        <w:tc>
          <w:tcPr>
            <w:tcW w:w="937" w:type="pct"/>
            <w:vMerge w:val="restart"/>
            <w:tcBorders>
              <w:top w:val="single" w:color="auto" w:sz="4" w:space="0"/>
              <w:left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运维管理</w:t>
            </w: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所投产品必须支持业务接口下Netflow功能，能够通过Netflow实现对网络进行监控，对接口流量进行抓包，并在可将Netflow抓包文件数据外发（投标文件需提供能够体现上述功能及配置选项截图）</w:t>
            </w:r>
          </w:p>
        </w:tc>
      </w:tr>
      <w:tr>
        <w:tblPrEx>
          <w:tblCellMar>
            <w:top w:w="0" w:type="dxa"/>
            <w:left w:w="108" w:type="dxa"/>
            <w:bottom w:w="0" w:type="dxa"/>
            <w:right w:w="108" w:type="dxa"/>
          </w:tblCellMar>
        </w:tblPrEx>
        <w:trPr>
          <w:trHeight w:val="280" w:hRule="atLeast"/>
        </w:trPr>
        <w:tc>
          <w:tcPr>
            <w:tcW w:w="937" w:type="pct"/>
            <w:vMerge w:val="continue"/>
            <w:tcBorders>
              <w:left w:val="single" w:color="auto" w:sz="4" w:space="0"/>
              <w:bottom w:val="single" w:color="auto" w:sz="4" w:space="0"/>
              <w:right w:val="single" w:color="auto" w:sz="4" w:space="0"/>
            </w:tcBorders>
            <w:shd w:val="clear" w:color="auto" w:fill="auto"/>
            <w:noWrap/>
            <w:vAlign w:val="center"/>
          </w:tcPr>
          <w:p>
            <w:pPr>
              <w:widowControl/>
              <w:autoSpaceDE w:val="0"/>
              <w:autoSpaceDN w:val="0"/>
              <w:adjustRightInd/>
              <w:jc w:val="left"/>
              <w:rPr>
                <w:rFonts w:ascii="宋体" w:hAnsi="宋体" w:cs="宋体"/>
                <w:bCs/>
                <w:kern w:val="0"/>
                <w:sz w:val="18"/>
                <w:szCs w:val="18"/>
              </w:rPr>
            </w:pPr>
          </w:p>
        </w:tc>
        <w:tc>
          <w:tcPr>
            <w:tcW w:w="4063" w:type="pct"/>
            <w:tcBorders>
              <w:top w:val="single" w:color="auto" w:sz="4" w:space="0"/>
              <w:left w:val="nil"/>
              <w:bottom w:val="single" w:color="auto" w:sz="4" w:space="0"/>
              <w:right w:val="single" w:color="auto" w:sz="4"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资产管理，能够通过设置资产监控、VPN、源安全域来控制资产识别范围，支持scanner或onvif类型的扫描方式和网段，实现自动或手动资产扫描；支持通过设置IP地址、MAC地址、资产类型、生效市场、厂商、位置等信息来制定黑/白名单，方便日常资产管理，支持通过设置IP地址、MAC地址、资产类型、操作系统、应用、开放的端口和访问的端口等信息来制定资产指纹库</w:t>
            </w:r>
          </w:p>
        </w:tc>
      </w:tr>
    </w:tbl>
    <w:p>
      <w:pPr>
        <w:spacing w:line="580" w:lineRule="exact"/>
        <w:rPr>
          <w:rFonts w:ascii="宋体" w:hAnsi="宋体" w:cs="宋体"/>
          <w:sz w:val="18"/>
          <w:szCs w:val="18"/>
        </w:rPr>
      </w:pPr>
    </w:p>
    <w:p>
      <w:pPr>
        <w:pStyle w:val="965"/>
        <w:keepLines w:val="0"/>
        <w:pageBreakBefore w:val="0"/>
        <w:widowControl w:val="0"/>
        <w:numPr>
          <w:ilvl w:val="2"/>
          <w:numId w:val="5"/>
        </w:numPr>
        <w:tabs>
          <w:tab w:val="clear" w:pos="0"/>
        </w:tabs>
        <w:kinsoku/>
        <w:wordWrap/>
        <w:overflowPunct/>
        <w:topLinePunct w:val="0"/>
        <w:bidi w:val="0"/>
        <w:adjustRightInd w:val="0"/>
        <w:snapToGrid/>
        <w:spacing w:line="360" w:lineRule="auto"/>
        <w:textAlignment w:val="auto"/>
        <w:outlineLvl w:val="4"/>
        <w:rPr>
          <w:rFonts w:ascii="宋体" w:hAnsi="宋体" w:eastAsia="宋体" w:cs="宋体"/>
          <w:b w:val="0"/>
          <w:sz w:val="24"/>
          <w:szCs w:val="24"/>
        </w:rPr>
      </w:pPr>
      <w:r>
        <w:rPr>
          <w:rFonts w:hint="eastAsia" w:ascii="宋体" w:hAnsi="宋体" w:eastAsia="宋体" w:cs="宋体"/>
          <w:b w:val="0"/>
          <w:sz w:val="24"/>
          <w:szCs w:val="24"/>
        </w:rPr>
        <w:t>公共接入区数据安全交换系统设备</w:t>
      </w:r>
    </w:p>
    <w:p>
      <w:pPr>
        <w:keepLines w:val="0"/>
        <w:widowControl w:val="0"/>
        <w:numPr>
          <w:ilvl w:val="0"/>
          <w:numId w:val="6"/>
        </w:numPr>
        <w:kinsoku/>
        <w:wordWrap/>
        <w:overflowPunct/>
        <w:topLinePunct w:val="0"/>
        <w:bidi w:val="0"/>
        <w:adjustRightInd w:val="0"/>
        <w:snapToGrid/>
        <w:spacing w:line="360" w:lineRule="auto"/>
        <w:ind w:left="0" w:firstLine="425"/>
        <w:textAlignment w:val="auto"/>
        <w:rPr>
          <w:rFonts w:ascii="宋体" w:hAnsi="宋体" w:cs="宋体"/>
          <w:sz w:val="24"/>
        </w:rPr>
      </w:pPr>
      <w:r>
        <w:rPr>
          <w:rFonts w:hint="eastAsia" w:ascii="宋体" w:hAnsi="宋体" w:cs="宋体"/>
          <w:sz w:val="24"/>
        </w:rPr>
        <w:t>包括数据交换前置机、隔离网闸和数据交换后置机三部分组成。系统设计采用一种基于FPGA和DSP的国密加密安全数据交换卡及交换方法；产品厂商入围《通过公安部组织测试的接入平台厂商名单》；产品通过公安部信息安全等级保护评估中心检测；</w:t>
      </w:r>
    </w:p>
    <w:p>
      <w:pPr>
        <w:keepLines w:val="0"/>
        <w:widowControl w:val="0"/>
        <w:numPr>
          <w:ilvl w:val="0"/>
          <w:numId w:val="6"/>
        </w:numPr>
        <w:kinsoku/>
        <w:wordWrap/>
        <w:overflowPunct/>
        <w:topLinePunct w:val="0"/>
        <w:bidi w:val="0"/>
        <w:adjustRightInd w:val="0"/>
        <w:snapToGrid/>
        <w:spacing w:line="360" w:lineRule="auto"/>
        <w:ind w:left="0" w:firstLine="425"/>
        <w:textAlignment w:val="auto"/>
        <w:rPr>
          <w:rFonts w:ascii="宋体" w:hAnsi="宋体" w:cs="宋体"/>
          <w:sz w:val="24"/>
        </w:rPr>
      </w:pPr>
      <w:r>
        <w:rPr>
          <w:rFonts w:hint="eastAsia" w:ascii="宋体" w:hAnsi="宋体" w:cs="宋体"/>
          <w:sz w:val="24"/>
        </w:rPr>
        <w:t>数据交换前置机与数据交换后置机网络接口分别为：千兆电口≥6，万兆光口≥2；隔离网闸网络接口：千兆电口≥12，万兆光口≥4；</w:t>
      </w:r>
    </w:p>
    <w:p>
      <w:pPr>
        <w:keepLines w:val="0"/>
        <w:widowControl w:val="0"/>
        <w:numPr>
          <w:ilvl w:val="0"/>
          <w:numId w:val="6"/>
        </w:numPr>
        <w:kinsoku/>
        <w:wordWrap/>
        <w:overflowPunct/>
        <w:topLinePunct w:val="0"/>
        <w:bidi w:val="0"/>
        <w:adjustRightInd w:val="0"/>
        <w:snapToGrid/>
        <w:spacing w:line="360" w:lineRule="auto"/>
        <w:ind w:left="0" w:firstLine="425"/>
        <w:textAlignment w:val="auto"/>
        <w:rPr>
          <w:rFonts w:ascii="宋体" w:hAnsi="宋体" w:cs="宋体"/>
          <w:sz w:val="24"/>
        </w:rPr>
      </w:pPr>
      <w:r>
        <w:rPr>
          <w:rFonts w:hint="eastAsia" w:ascii="宋体" w:hAnsi="宋体" w:cs="宋体"/>
          <w:sz w:val="24"/>
        </w:rPr>
        <w:t>交换能力：≥8Gbps；并发会话：30000个；数据库到数据库交换记录数（&gt;100Kb/记录）：≥10300条/秒；数据文件处理文件数（&gt;100Kb/记录）：≥1500个/秒；数据文件处理吞吐量：≥8Gbps；应用层数据交换速度（FTP）：≥800Mbps；最大数据文件：≥30G；任务调度粒度：秒级；目录监控触发时间：&lt;1秒；最大传输延时：&lt;30ms；</w:t>
      </w:r>
    </w:p>
    <w:p>
      <w:pPr>
        <w:keepLines w:val="0"/>
        <w:widowControl w:val="0"/>
        <w:numPr>
          <w:ilvl w:val="0"/>
          <w:numId w:val="6"/>
        </w:numPr>
        <w:kinsoku/>
        <w:wordWrap/>
        <w:overflowPunct/>
        <w:topLinePunct w:val="0"/>
        <w:bidi w:val="0"/>
        <w:adjustRightInd w:val="0"/>
        <w:snapToGrid/>
        <w:spacing w:line="360" w:lineRule="auto"/>
        <w:ind w:left="0" w:firstLine="425"/>
        <w:textAlignment w:val="auto"/>
        <w:rPr>
          <w:rFonts w:ascii="宋体" w:hAnsi="宋体" w:cs="宋体"/>
          <w:sz w:val="24"/>
        </w:rPr>
      </w:pPr>
      <w:r>
        <w:rPr>
          <w:rFonts w:hint="eastAsia" w:ascii="宋体" w:hAnsi="宋体" w:cs="宋体"/>
          <w:sz w:val="24"/>
        </w:rPr>
        <w:t>支持主流数据库交换，包括：Oracle、DB2、SQL Server、Sybase及MYSQL的各种版本，支持国产数据库如：达梦、神舟通用等；</w:t>
      </w:r>
    </w:p>
    <w:p>
      <w:pPr>
        <w:keepLines w:val="0"/>
        <w:widowControl w:val="0"/>
        <w:numPr>
          <w:ilvl w:val="0"/>
          <w:numId w:val="6"/>
        </w:numPr>
        <w:kinsoku/>
        <w:wordWrap/>
        <w:overflowPunct/>
        <w:topLinePunct w:val="0"/>
        <w:bidi w:val="0"/>
        <w:adjustRightInd w:val="0"/>
        <w:snapToGrid/>
        <w:spacing w:line="360" w:lineRule="auto"/>
        <w:ind w:left="0" w:firstLine="425"/>
        <w:textAlignment w:val="auto"/>
        <w:rPr>
          <w:rFonts w:ascii="宋体" w:hAnsi="宋体" w:cs="宋体"/>
          <w:sz w:val="24"/>
        </w:rPr>
      </w:pPr>
      <w:r>
        <w:rPr>
          <w:rFonts w:hint="eastAsia" w:ascii="宋体" w:hAnsi="宋体" w:cs="宋体"/>
          <w:sz w:val="24"/>
        </w:rPr>
        <w:t>支持多种数据库获取方式，包括：全表镜像模式、增量模式、快照日志模式、触发器模式和同表双向模式；</w:t>
      </w:r>
    </w:p>
    <w:p>
      <w:pPr>
        <w:keepLines w:val="0"/>
        <w:widowControl w:val="0"/>
        <w:numPr>
          <w:ilvl w:val="0"/>
          <w:numId w:val="6"/>
        </w:numPr>
        <w:kinsoku/>
        <w:wordWrap/>
        <w:overflowPunct/>
        <w:topLinePunct w:val="0"/>
        <w:bidi w:val="0"/>
        <w:adjustRightInd w:val="0"/>
        <w:snapToGrid/>
        <w:spacing w:line="360" w:lineRule="auto"/>
        <w:ind w:left="0" w:firstLine="425"/>
        <w:textAlignment w:val="auto"/>
        <w:rPr>
          <w:rFonts w:ascii="宋体" w:hAnsi="宋体" w:cs="宋体"/>
          <w:sz w:val="24"/>
        </w:rPr>
      </w:pPr>
      <w:r>
        <w:rPr>
          <w:rFonts w:hint="eastAsia" w:ascii="宋体" w:hAnsi="宋体" w:cs="宋体"/>
          <w:sz w:val="24"/>
        </w:rPr>
        <w:t>支持各种数据库之间的异构数据转换，包括：不同数据库、同类数据库不同版本的转换、异构表、异构字段名、异构字段类型的转换、异构字符类型、异构数据库字符集的转换、大字段的异构等；</w:t>
      </w:r>
    </w:p>
    <w:p>
      <w:pPr>
        <w:pStyle w:val="965"/>
        <w:keepLines w:val="0"/>
        <w:widowControl w:val="0"/>
        <w:numPr>
          <w:ilvl w:val="2"/>
          <w:numId w:val="5"/>
        </w:numPr>
        <w:tabs>
          <w:tab w:val="clear" w:pos="0"/>
        </w:tabs>
        <w:kinsoku/>
        <w:wordWrap/>
        <w:overflowPunct/>
        <w:topLinePunct w:val="0"/>
        <w:bidi w:val="0"/>
        <w:adjustRightInd w:val="0"/>
        <w:snapToGrid/>
        <w:spacing w:line="360" w:lineRule="auto"/>
        <w:textAlignment w:val="auto"/>
        <w:outlineLvl w:val="4"/>
        <w:rPr>
          <w:rFonts w:ascii="宋体" w:hAnsi="宋体" w:eastAsia="宋体" w:cs="宋体"/>
          <w:b w:val="0"/>
          <w:sz w:val="24"/>
          <w:szCs w:val="24"/>
        </w:rPr>
      </w:pPr>
      <w:r>
        <w:rPr>
          <w:rFonts w:hint="eastAsia" w:ascii="宋体" w:hAnsi="宋体" w:eastAsia="宋体" w:cs="宋体"/>
          <w:b w:val="0"/>
          <w:sz w:val="24"/>
          <w:szCs w:val="24"/>
        </w:rPr>
        <w:t>公共接入区视频安全交换系统设备</w:t>
      </w:r>
    </w:p>
    <w:p>
      <w:pPr>
        <w:keepLines w:val="0"/>
        <w:widowControl w:val="0"/>
        <w:numPr>
          <w:ilvl w:val="0"/>
          <w:numId w:val="7"/>
        </w:numPr>
        <w:kinsoku/>
        <w:wordWrap/>
        <w:overflowPunct/>
        <w:topLinePunct w:val="0"/>
        <w:bidi w:val="0"/>
        <w:adjustRightInd w:val="0"/>
        <w:snapToGrid/>
        <w:spacing w:line="360" w:lineRule="auto"/>
        <w:ind w:left="0" w:firstLine="420"/>
        <w:textAlignment w:val="auto"/>
        <w:rPr>
          <w:rFonts w:ascii="宋体" w:hAnsi="宋体" w:cs="宋体"/>
          <w:sz w:val="24"/>
        </w:rPr>
      </w:pPr>
      <w:r>
        <w:rPr>
          <w:rFonts w:hint="eastAsia" w:ascii="宋体" w:hAnsi="宋体" w:cs="宋体"/>
          <w:sz w:val="24"/>
        </w:rPr>
        <w:t>由视频用户认证服务器、安全隔离设备和视频接入认证服务器三部分组成。用于支撑可信网络内的用户安全访问不可信网络中的视频资源。产品通过GB/T28181-2016公共安全视频监控联网系统信息传输、交换、控制技术要求 产品获得公安部销售许可证，产品获得公安部安全与警用电子产品质量检测中心检测，产品厂商入围《通过安全测评的视频安全交换产品及厂商目录内厂商生产产品》；</w:t>
      </w:r>
    </w:p>
    <w:p>
      <w:pPr>
        <w:keepLines w:val="0"/>
        <w:widowControl w:val="0"/>
        <w:numPr>
          <w:ilvl w:val="0"/>
          <w:numId w:val="7"/>
        </w:numPr>
        <w:kinsoku/>
        <w:wordWrap/>
        <w:overflowPunct/>
        <w:topLinePunct w:val="0"/>
        <w:bidi w:val="0"/>
        <w:adjustRightInd w:val="0"/>
        <w:snapToGrid/>
        <w:spacing w:line="360" w:lineRule="auto"/>
        <w:ind w:left="0" w:firstLine="420"/>
        <w:textAlignment w:val="auto"/>
        <w:rPr>
          <w:rFonts w:ascii="宋体" w:hAnsi="宋体" w:cs="宋体"/>
          <w:sz w:val="24"/>
        </w:rPr>
      </w:pPr>
      <w:r>
        <w:rPr>
          <w:rFonts w:hint="eastAsia" w:ascii="宋体" w:hAnsi="宋体" w:cs="宋体"/>
          <w:sz w:val="24"/>
        </w:rPr>
        <w:t>视频用户认证服务器：性能要求：千兆电口≥6，万兆光口≥2；支持2000路D1图象（2Mbps）或≥1000路高清（4Mbps）；网络吞吐量≥4Gbps；</w:t>
      </w:r>
    </w:p>
    <w:p>
      <w:pPr>
        <w:keepLines w:val="0"/>
        <w:widowControl w:val="0"/>
        <w:numPr>
          <w:ilvl w:val="0"/>
          <w:numId w:val="7"/>
        </w:numPr>
        <w:kinsoku/>
        <w:wordWrap/>
        <w:overflowPunct/>
        <w:topLinePunct w:val="0"/>
        <w:bidi w:val="0"/>
        <w:adjustRightInd w:val="0"/>
        <w:snapToGrid/>
        <w:spacing w:line="360" w:lineRule="auto"/>
        <w:ind w:left="0" w:firstLine="420"/>
        <w:textAlignment w:val="auto"/>
        <w:rPr>
          <w:rFonts w:ascii="宋体" w:hAnsi="宋体" w:cs="宋体"/>
          <w:sz w:val="24"/>
        </w:rPr>
      </w:pPr>
      <w:r>
        <w:rPr>
          <w:rFonts w:hint="eastAsia" w:ascii="宋体" w:hAnsi="宋体" w:cs="宋体"/>
          <w:sz w:val="24"/>
        </w:rPr>
        <w:t>功能描述：提供基于https的图形化安全管理，支持用户名/口令、数字证书等多种认证管理方式；管理员及审计员区分并独立，支持分权管理，对管理员角色定制，可以添加多个管理员角色，并定制权限；支持管理员登录失败锁定次数、锁定时间和超时时间的设定；通过界面能够查看到多核CPU使用率、设备运行状态检测、系统资源监控；视频分辨率支持D1、VGA、2/3D1、1/2D1、SIF等多种分辨率，具有低延迟、低丢包率等特性；支持视频压缩标准：MPEG4、H.264等数字图像编解码标准；</w:t>
      </w:r>
    </w:p>
    <w:p>
      <w:pPr>
        <w:keepLines w:val="0"/>
        <w:widowControl w:val="0"/>
        <w:numPr>
          <w:ilvl w:val="0"/>
          <w:numId w:val="7"/>
        </w:numPr>
        <w:kinsoku/>
        <w:wordWrap/>
        <w:overflowPunct/>
        <w:topLinePunct w:val="0"/>
        <w:bidi w:val="0"/>
        <w:adjustRightInd w:val="0"/>
        <w:snapToGrid/>
        <w:spacing w:line="360" w:lineRule="auto"/>
        <w:ind w:left="0" w:firstLine="420"/>
        <w:textAlignment w:val="auto"/>
        <w:rPr>
          <w:rFonts w:ascii="宋体" w:hAnsi="宋体" w:cs="宋体"/>
          <w:sz w:val="24"/>
        </w:rPr>
      </w:pPr>
      <w:r>
        <w:rPr>
          <w:rFonts w:hint="eastAsia" w:ascii="宋体" w:hAnsi="宋体" w:cs="宋体"/>
          <w:sz w:val="24"/>
        </w:rPr>
        <w:t>视频接入认证服务器：性能要求：千兆电口≥6，万兆光口≥2；支持2000路D1图象（2Mbps）或≥1000路高清（4Mbps）；网络吞吐量≥4Gbps；</w:t>
      </w:r>
    </w:p>
    <w:p>
      <w:pPr>
        <w:keepLines w:val="0"/>
        <w:widowControl w:val="0"/>
        <w:numPr>
          <w:ilvl w:val="0"/>
          <w:numId w:val="7"/>
        </w:numPr>
        <w:kinsoku/>
        <w:wordWrap/>
        <w:overflowPunct/>
        <w:topLinePunct w:val="0"/>
        <w:bidi w:val="0"/>
        <w:adjustRightInd w:val="0"/>
        <w:snapToGrid/>
        <w:spacing w:line="360" w:lineRule="auto"/>
        <w:ind w:left="0" w:firstLine="420"/>
        <w:textAlignment w:val="auto"/>
        <w:rPr>
          <w:rFonts w:ascii="宋体" w:hAnsi="宋体" w:cs="宋体"/>
          <w:sz w:val="24"/>
        </w:rPr>
      </w:pPr>
      <w:r>
        <w:rPr>
          <w:rFonts w:hint="eastAsia" w:ascii="宋体" w:hAnsi="宋体" w:cs="宋体"/>
          <w:sz w:val="24"/>
        </w:rPr>
        <w:t>安全隔离设备：性能要求：千兆电口≥12，万兆光口≥4；网络吞吐量≥4Gbps；</w:t>
      </w:r>
    </w:p>
    <w:p>
      <w:pPr>
        <w:keepLines w:val="0"/>
        <w:widowControl w:val="0"/>
        <w:numPr>
          <w:ilvl w:val="0"/>
          <w:numId w:val="7"/>
        </w:numPr>
        <w:kinsoku/>
        <w:wordWrap/>
        <w:overflowPunct/>
        <w:topLinePunct w:val="0"/>
        <w:bidi w:val="0"/>
        <w:adjustRightInd w:val="0"/>
        <w:snapToGrid/>
        <w:spacing w:line="360" w:lineRule="auto"/>
        <w:ind w:left="0" w:firstLine="420"/>
        <w:textAlignment w:val="auto"/>
        <w:rPr>
          <w:rFonts w:ascii="宋体" w:hAnsi="宋体" w:cs="宋体"/>
          <w:sz w:val="24"/>
        </w:rPr>
      </w:pPr>
      <w:r>
        <w:rPr>
          <w:rFonts w:hint="eastAsia" w:ascii="宋体" w:hAnsi="宋体" w:cs="宋体"/>
          <w:sz w:val="24"/>
        </w:rPr>
        <w:t>视频专网隔离区专用网闸，系统内部采用“2+1”模块结构设计，即包括外网主机模块、内网主机模块和隔离交换模块；内外端机为网络协议终点，彻底阻断各种网络协议，保证信任网络和非信任网络之间链路层的断开，彻底阻断TCP/IP协议以及其他网络协议；</w:t>
      </w:r>
    </w:p>
    <w:p>
      <w:pPr>
        <w:pStyle w:val="23"/>
        <w:keepLines w:val="0"/>
        <w:widowControl w:val="0"/>
        <w:kinsoku/>
        <w:wordWrap/>
        <w:overflowPunct/>
        <w:topLinePunct w:val="0"/>
        <w:bidi w:val="0"/>
        <w:adjustRightInd w:val="0"/>
        <w:snapToGrid/>
        <w:spacing w:line="360" w:lineRule="auto"/>
        <w:textAlignment w:val="auto"/>
      </w:pPr>
    </w:p>
    <w:p>
      <w:pPr>
        <w:pStyle w:val="965"/>
        <w:keepLines w:val="0"/>
        <w:pageBreakBefore w:val="0"/>
        <w:widowControl w:val="0"/>
        <w:numPr>
          <w:ilvl w:val="2"/>
          <w:numId w:val="5"/>
        </w:numPr>
        <w:tabs>
          <w:tab w:val="clear" w:pos="0"/>
        </w:tabs>
        <w:kinsoku/>
        <w:wordWrap/>
        <w:overflowPunct/>
        <w:topLinePunct w:val="0"/>
        <w:bidi w:val="0"/>
        <w:adjustRightInd w:val="0"/>
        <w:snapToGrid/>
        <w:spacing w:line="360" w:lineRule="auto"/>
        <w:textAlignment w:val="auto"/>
        <w:outlineLvl w:val="4"/>
        <w:rPr>
          <w:rFonts w:ascii="宋体" w:hAnsi="宋体" w:eastAsia="宋体" w:cs="宋体"/>
          <w:b w:val="0"/>
          <w:sz w:val="24"/>
          <w:szCs w:val="24"/>
        </w:rPr>
      </w:pPr>
      <w:r>
        <w:rPr>
          <w:rFonts w:hint="eastAsia" w:ascii="宋体" w:hAnsi="宋体" w:eastAsia="宋体" w:cs="宋体"/>
          <w:b w:val="0"/>
          <w:sz w:val="24"/>
          <w:szCs w:val="24"/>
        </w:rPr>
        <w:t>机房优化</w:t>
      </w:r>
    </w:p>
    <w:p>
      <w:pPr>
        <w:keepLines w:val="0"/>
        <w:widowControl w:val="0"/>
        <w:kinsoku/>
        <w:wordWrap/>
        <w:overflowPunct/>
        <w:topLinePunct w:val="0"/>
        <w:bidi w:val="0"/>
        <w:adjustRightInd w:val="0"/>
        <w:snapToGrid/>
        <w:spacing w:line="360" w:lineRule="auto"/>
        <w:textAlignment w:val="auto"/>
        <w:rPr>
          <w:sz w:val="24"/>
        </w:rPr>
      </w:pPr>
      <w:r>
        <w:rPr>
          <w:rFonts w:hint="eastAsia" w:ascii="宋体" w:hAnsi="宋体" w:cs="宋体"/>
          <w:color w:val="000000"/>
          <w:kern w:val="0"/>
          <w:sz w:val="24"/>
          <w:lang w:bidi="ar"/>
        </w:rPr>
        <w:t>将机房中政务云节点搬迁至运营商机房，并且对机房进行优化，满足实际要求。</w:t>
      </w:r>
    </w:p>
    <w:p>
      <w:pPr>
        <w:pStyle w:val="965"/>
        <w:keepLines w:val="0"/>
        <w:pageBreakBefore w:val="0"/>
        <w:widowControl w:val="0"/>
        <w:numPr>
          <w:ilvl w:val="2"/>
          <w:numId w:val="5"/>
        </w:numPr>
        <w:tabs>
          <w:tab w:val="clear" w:pos="0"/>
        </w:tabs>
        <w:kinsoku/>
        <w:wordWrap/>
        <w:overflowPunct/>
        <w:topLinePunct w:val="0"/>
        <w:bidi w:val="0"/>
        <w:adjustRightInd w:val="0"/>
        <w:snapToGrid/>
        <w:spacing w:line="360" w:lineRule="auto"/>
        <w:textAlignment w:val="auto"/>
        <w:outlineLvl w:val="4"/>
        <w:rPr>
          <w:rFonts w:ascii="宋体" w:hAnsi="宋体" w:eastAsia="宋体" w:cs="宋体"/>
          <w:b w:val="0"/>
          <w:sz w:val="24"/>
          <w:szCs w:val="24"/>
        </w:rPr>
      </w:pPr>
      <w:r>
        <w:rPr>
          <w:rFonts w:hint="eastAsia" w:ascii="宋体" w:hAnsi="宋体" w:eastAsia="宋体" w:cs="宋体"/>
          <w:b w:val="0"/>
          <w:sz w:val="24"/>
          <w:szCs w:val="24"/>
        </w:rPr>
        <w:t>一键封堵</w:t>
      </w:r>
    </w:p>
    <w:p>
      <w:pPr>
        <w:keepLines w:val="0"/>
        <w:widowControl w:val="0"/>
        <w:numPr>
          <w:ilvl w:val="0"/>
          <w:numId w:val="8"/>
        </w:numPr>
        <w:kinsoku/>
        <w:wordWrap/>
        <w:overflowPunct/>
        <w:topLinePunct w:val="0"/>
        <w:bidi w:val="0"/>
        <w:adjustRightInd w:val="0"/>
        <w:snapToGrid/>
        <w:spacing w:line="360" w:lineRule="auto"/>
        <w:textAlignment w:val="auto"/>
        <w:rPr>
          <w:sz w:val="24"/>
        </w:rPr>
      </w:pPr>
      <w:r>
        <w:rPr>
          <w:rFonts w:hint="eastAsia"/>
          <w:sz w:val="24"/>
        </w:rPr>
        <w:t>实现和安全管控平台对接，对政务外网实现一键封堵。</w:t>
      </w:r>
    </w:p>
    <w:p>
      <w:pPr>
        <w:keepLines w:val="0"/>
        <w:widowControl w:val="0"/>
        <w:numPr>
          <w:ilvl w:val="0"/>
          <w:numId w:val="8"/>
        </w:numPr>
        <w:kinsoku/>
        <w:wordWrap/>
        <w:overflowPunct/>
        <w:topLinePunct w:val="0"/>
        <w:bidi w:val="0"/>
        <w:adjustRightInd w:val="0"/>
        <w:snapToGrid/>
        <w:spacing w:line="360" w:lineRule="auto"/>
        <w:textAlignment w:val="auto"/>
        <w:rPr>
          <w:sz w:val="24"/>
        </w:rPr>
      </w:pPr>
      <w:r>
        <w:rPr>
          <w:rFonts w:hint="eastAsia"/>
          <w:sz w:val="24"/>
        </w:rPr>
        <w:t>实现市政务外网基础网络边界设备的一键封堵，做到7*24小时不间断封堵，支持对接第三方平台。</w:t>
      </w: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省市边界防火墙</w:t>
      </w:r>
    </w:p>
    <w:p>
      <w:pPr>
        <w:spacing w:line="580" w:lineRule="exact"/>
        <w:rPr>
          <w:rFonts w:ascii="宋体" w:hAnsi="宋体" w:cs="宋体"/>
          <w:sz w:val="24"/>
        </w:rPr>
      </w:pPr>
    </w:p>
    <w:tbl>
      <w:tblPr>
        <w:tblStyle w:val="6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9"/>
        <w:gridCol w:w="63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7" w:type="pct"/>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功能参数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8" w:hRule="atLeast"/>
        </w:trPr>
        <w:tc>
          <w:tcPr>
            <w:tcW w:w="1247" w:type="pct"/>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性能参数</w:t>
            </w: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下一代防火墙系统软件；含应用控制、URL过滤、病毒防护、入侵防御、威胁情报检测、IPSec VPN；多核AMP+架构，网络层吞吐量≥60G，并发连接≥850万，每秒新建连接数≥60万，标准2U机箱，冗余电源， 标准配置1个Console口 、1个HA接口，1个MGT接口，4个万兆光口，支持2路万兆光口bypass；支持3个扩展插槽；支持液晶屏。含硬件维保服务，全功能模块升级订阅服务包（含应用识别库、URL分类特征库、病毒防护特征库、入侵防御特征库升级服务及威胁情报订阅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7" w:type="pct"/>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部署模式　</w:t>
            </w: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支持路由、透明、交换以及混合模式接入，满足复杂应用环境的接入需求。</w:t>
            </w:r>
            <w:r>
              <w:rPr>
                <w:rFonts w:hint="eastAsia" w:ascii="宋体" w:hAnsi="宋体" w:cs="宋体"/>
                <w:bCs/>
                <w:kern w:val="0"/>
                <w:sz w:val="18"/>
                <w:szCs w:val="18"/>
                <w:lang w:eastAsia="en-US"/>
              </w:rPr>
              <w:t>支持旁路模式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7" w:type="pct"/>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网络协议　</w:t>
            </w: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必须支持MPLS流量透传，对带有MPLS数据包流量进行封装/解封装，对数据包内容进行安全检查和分析，进而按照既定安全策略，进行转发和抛弃处理，对于转发的数据包还原标记并进行封装转发。支持针对MPLS流量的安全审查，包括漏洞防护、防病毒、流量控制、内容过滤、URL过滤、基于终端状态访问控制等安全防护功能；（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7" w:type="pct"/>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路由协议　</w:t>
            </w: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ISP路由负载均衡，最大可支持8条链路负载，支持自定义负载权重，支持基于优先级的ISP路由链路备份；支持基于IPv4或IPv6的TCP、HTTP、DNS、ICMP等方式的链路探测，同时TCP与HTTP可使用自定义目标端口进行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7" w:type="pct"/>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高可靠性　</w:t>
            </w: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路由模式、透明模式的HA高可靠性部署，可工作于主备、主主模式，会话、用户、配置可实时同步；HA高可靠性部署支持接口联动，某个端口失效（DOWN），属于同一接口组中其他端口都会进入失效状态（DOWN）；HA高可靠性部署支持配置接口权重；支持链路探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7" w:type="pct"/>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网元管理</w:t>
            </w: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将其他硬件安全设备（包括但不限于防火墙、IPS、IDS、WAF、行为管理、流量探针等）加入网元组，并接受流量编排；支持将同类型安全设备划归同一网元组，组成硬件安全资源池（如WAF安全资源池），并将流量通过负载均衡的方法编排给组内所有网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7" w:type="pct"/>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服务链配置</w:t>
            </w: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支持灵活的服务链编排配置，支持串接链和旁路链，支持网元组的方向和位置设置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7" w:type="pct"/>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引流功能</w:t>
            </w: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支持灵活的细粒度引流策略，可基于源安全域、目的安全域、源用户、源地址、目的地址、服务、VLAN、服务链、流量方向（内网到外网/外网到内网）的引流策略，并详细记录日志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7" w:type="pct"/>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编排流量监控</w:t>
            </w: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支持对编排的流量进行监控，至少能从网元组、引流策略两个维度对编排流量监控统计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2119" w:type="dxa"/>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SSL 解密</w:t>
            </w:r>
          </w:p>
        </w:tc>
        <w:tc>
          <w:tcPr>
            <w:tcW w:w="6376"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IPv4和IPv6流量的HTTPS、POP3S、SMTPS、IMAPS协议进行解密，支持配置基于源安全域、目的安全域、源地址、目的地址、SSL协议服务的解密策略，动作可以设置解密或不解密，并可基于安全域、IPv4和IPv6地址进行例外设置，同时支持将解密后流量镜像到其他设备进行分析统计（提供功能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7" w:type="pct"/>
            <w:vMerge w:val="restart"/>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运维管理</w:t>
            </w: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所投产品必须支持业务接口下Netflow功能，能够通过Netflow实现对网络进行监控，对接口流量进行抓包，并在可将Netflow抓包文件数据外发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7" w:type="pct"/>
            <w:vMerge w:val="continue"/>
            <w:shd w:val="clear" w:color="auto" w:fill="auto"/>
            <w:noWrap/>
            <w:vAlign w:val="center"/>
          </w:tcPr>
          <w:p>
            <w:pPr>
              <w:widowControl/>
              <w:autoSpaceDE w:val="0"/>
              <w:autoSpaceDN w:val="0"/>
              <w:adjustRightInd/>
              <w:jc w:val="left"/>
              <w:rPr>
                <w:rFonts w:ascii="宋体" w:hAnsi="宋体" w:cs="宋体"/>
                <w:bCs/>
                <w:kern w:val="0"/>
                <w:sz w:val="18"/>
                <w:szCs w:val="18"/>
              </w:rPr>
            </w:pP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必须支持资产管理，能够通过设置资产监控、VPN、源安全域来控制资产识别范围，支持scanner或onvif类型的扫描方式和网段，实现自动或手动资产扫描；支持通过设置IP地址、MAC地址、资产类型、生效市场、厂商、位置等信息来制定黑/白名单，方便日常资产管理，支持通过设置IP地址、MAC地址、资产类型、操作系统、应用、开放的端口和访问的端口等信息来制定资产指纹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47" w:type="pct"/>
            <w:shd w:val="clear" w:color="auto" w:fill="auto"/>
            <w:noWrap/>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第三方对接</w:t>
            </w:r>
          </w:p>
        </w:tc>
        <w:tc>
          <w:tcPr>
            <w:tcW w:w="3752" w:type="pct"/>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支持提供IP地址封禁、解封的相关接口至第三方平台进行IP地址联动封禁</w:t>
            </w:r>
          </w:p>
        </w:tc>
      </w:tr>
    </w:tbl>
    <w:p>
      <w:pPr>
        <w:pStyle w:val="234"/>
      </w:pPr>
    </w:p>
    <w:p>
      <w:pPr>
        <w:pStyle w:val="965"/>
        <w:pageBreakBefore w:val="0"/>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运维区防火墙</w:t>
      </w:r>
    </w:p>
    <w:p>
      <w:pPr>
        <w:spacing w:line="580" w:lineRule="exact"/>
        <w:rPr>
          <w:rFonts w:ascii="宋体" w:hAnsi="宋体" w:cs="宋体"/>
          <w:sz w:val="24"/>
        </w:rPr>
      </w:pPr>
    </w:p>
    <w:tbl>
      <w:tblPr>
        <w:tblStyle w:val="62"/>
        <w:tblW w:w="85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7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39"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功能指标</w:t>
            </w: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1139"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资源配置</w:t>
            </w: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性能不低于：网络层吞吐量：15G，应用层吞吐量：8G，防病毒吞吐量：1G，IPS吞吐量：1G，全威胁吞吐量：800M，并发连接数：200万，HTTP新建连接数：9万。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39"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软件要求</w:t>
            </w: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含WEB应用防护识别库、IPS特征库、僵尸网络防护库、实时漏洞分析识别库和URL&amp;应用识别库；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39" w:type="dxa"/>
            <w:vMerge w:val="restart"/>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路由支持</w:t>
            </w: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bookmarkStart w:id="41" w:name="_Hlk56095092"/>
            <w:r>
              <w:rPr>
                <w:rFonts w:hint="eastAsia" w:ascii="宋体" w:hAnsi="宋体" w:cs="宋体"/>
                <w:bCs/>
                <w:kern w:val="0"/>
                <w:sz w:val="18"/>
                <w:szCs w:val="18"/>
              </w:rPr>
              <w:t>产品支持IPv4/IPv6双栈工作模式，以适应IPv6发展趋势。</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bookmarkStart w:id="42" w:name="_Hlk56174638"/>
            <w:r>
              <w:rPr>
                <w:rFonts w:hint="eastAsia" w:ascii="宋体" w:hAnsi="宋体" w:cs="宋体"/>
                <w:bCs/>
                <w:kern w:val="0"/>
                <w:sz w:val="18"/>
                <w:szCs w:val="18"/>
                <w:lang w:eastAsia="en-US"/>
              </w:rPr>
              <w:t>产品支持IPsec VPN和SSL VPN功能。</w:t>
            </w:r>
            <w:bookmarkEnd w:id="4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产品支持基于地区维度设置流控策略，实现多区域流量批量快速管控功能。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bookmarkStart w:id="43" w:name="_Hlk56175110"/>
            <w:r>
              <w:rPr>
                <w:rFonts w:hint="eastAsia" w:ascii="宋体" w:hAnsi="宋体" w:cs="宋体"/>
                <w:bCs/>
                <w:kern w:val="0"/>
                <w:sz w:val="18"/>
                <w:szCs w:val="18"/>
              </w:rPr>
              <w:t>为满足组网兼容性，IPSec VPN需支持IKEv1和IKEv2协议，支持基于主模式和野蛮模式建立加密隧道。</w:t>
            </w:r>
            <w:bookmarkEnd w:id="4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为满足业务未来组网要求，投标人所投产品应支持IPSec VPN智能选路功能，根据线路质量实现自动链路切换。（提供界面截图证明）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9"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用户识别与认证</w:t>
            </w: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bookmarkStart w:id="44" w:name="_Hlk56177120"/>
            <w:r>
              <w:rPr>
                <w:rFonts w:hint="eastAsia" w:ascii="宋体" w:hAnsi="宋体" w:cs="宋体"/>
                <w:bCs/>
                <w:kern w:val="0"/>
                <w:sz w:val="18"/>
                <w:szCs w:val="18"/>
              </w:rPr>
              <w:t>产品支持多种用户认证方式，用户认证方式要求支持本地密码认证、外部密码认证和单点登陆等方式。</w:t>
            </w:r>
            <w:bookmarkEnd w:id="4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139" w:type="dxa"/>
            <w:vMerge w:val="restart"/>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应用控制</w:t>
            </w: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为满足业务人员安全防护要求，投标人所投产品应支持对各种应用的识别和控制，应用类型包括游戏、购物、图书百科、工作招聘、P2P下载、聊天工具、旅游出行、股票软件等类型应用进行检测与控制。（提供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产品支持多维度流量控制功能，支持基于IP地址、用户、应用、时间设置流量控制策略，保证关键业务带宽日常需求。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bookmarkStart w:id="45" w:name="_Hlk57276805"/>
            <w:r>
              <w:rPr>
                <w:rFonts w:hint="eastAsia" w:ascii="宋体" w:hAnsi="宋体" w:cs="宋体"/>
                <w:bCs/>
                <w:kern w:val="0"/>
                <w:sz w:val="18"/>
                <w:szCs w:val="18"/>
              </w:rPr>
              <w:t>产品支持基于IP对象的会话控制策略，实现并发连接数的合理限制。</w:t>
            </w:r>
            <w:bookmarkEnd w:id="4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9"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访问控制</w:t>
            </w: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产品支持多维度安全策略设置，可基于时间、用户、应用、IP、域名等内容进行安全策略设置。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9" w:type="dxa"/>
            <w:vMerge w:val="restart"/>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安全防护策略</w:t>
            </w: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bookmarkStart w:id="46" w:name="_Hlk57283665"/>
            <w:r>
              <w:rPr>
                <w:rFonts w:hint="eastAsia" w:ascii="宋体" w:hAnsi="宋体" w:cs="宋体"/>
                <w:bCs/>
                <w:kern w:val="0"/>
                <w:sz w:val="18"/>
                <w:szCs w:val="18"/>
              </w:rPr>
              <w:t>产品支持全面的URL分类库，针对网站类别实现细粒度管控，杜绝非法、违规网站的访问行为。</w:t>
            </w:r>
            <w:bookmarkEnd w:id="4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bookmarkStart w:id="47" w:name="_Hlk57284408"/>
            <w:r>
              <w:rPr>
                <w:rFonts w:hint="eastAsia" w:ascii="宋体" w:hAnsi="宋体" w:cs="宋体"/>
                <w:bCs/>
                <w:kern w:val="0"/>
                <w:sz w:val="18"/>
                <w:szCs w:val="18"/>
              </w:rPr>
              <w:t>产品支持对文件传输行为进行安全过滤，支持基于上传、下载、双向的文件内容过滤，内容过滤类型至少支持网页、脚本、压缩文件、图片、可执行文件、适配、文本等常见文件类型。</w:t>
            </w:r>
            <w:bookmarkEnd w:id="4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bookmarkStart w:id="48" w:name="_Hlk57297264"/>
            <w:r>
              <w:rPr>
                <w:rFonts w:hint="eastAsia" w:ascii="宋体" w:hAnsi="宋体" w:cs="宋体"/>
                <w:bCs/>
                <w:kern w:val="0"/>
                <w:sz w:val="18"/>
                <w:szCs w:val="18"/>
              </w:rPr>
              <w:t>产品内置不低于10000种漏洞规则，</w:t>
            </w:r>
            <w:bookmarkStart w:id="49" w:name="_Hlk57297665"/>
            <w:r>
              <w:rPr>
                <w:rFonts w:hint="eastAsia" w:ascii="宋体" w:hAnsi="宋体" w:cs="宋体"/>
                <w:bCs/>
                <w:kern w:val="0"/>
                <w:sz w:val="18"/>
                <w:szCs w:val="18"/>
              </w:rPr>
              <w:t>同时支持在控制台界面通过漏洞ID、漏洞名称、危险等级、漏洞CVE标识、漏洞描述等条件查询漏洞特征信息，支持用户自定义IPS规则</w:t>
            </w:r>
            <w:bookmarkEnd w:id="49"/>
            <w:r>
              <w:rPr>
                <w:rFonts w:hint="eastAsia" w:ascii="宋体" w:hAnsi="宋体" w:cs="宋体"/>
                <w:bCs/>
                <w:kern w:val="0"/>
                <w:sz w:val="18"/>
                <w:szCs w:val="18"/>
              </w:rPr>
              <w:t>。</w:t>
            </w:r>
            <w:bookmarkEnd w:id="4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bookmarkStart w:id="50" w:name="_Hlk57284504"/>
            <w:r>
              <w:rPr>
                <w:rFonts w:hint="eastAsia" w:ascii="宋体" w:hAnsi="宋体" w:cs="宋体"/>
                <w:bCs/>
                <w:kern w:val="0"/>
                <w:sz w:val="18"/>
                <w:szCs w:val="18"/>
              </w:rPr>
              <w:t>产品支持对HTTPS协议加密流量进行解密，支持配置基于区域、对象、业务类型、服务器IP/端口的解密策略。</w:t>
            </w:r>
            <w:bookmarkEnd w:id="5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产品支持勒索病毒检测与防御功能。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压缩文件病毒防护：产品支持对多重压缩文件的病毒检测能力，支持不小于15层压缩文件病毒检测与处置。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僵尸网络防护：产品支持僵尸网络与病毒防护功能功能，产品预定义特征库超过150万种。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漏洞防护：产品内置不低于10000种漏洞规则，提供漏洞防护能力。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产品支持CC攻击防护功能。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bookmarkStart w:id="51" w:name="_Hlk57311075"/>
            <w:r>
              <w:rPr>
                <w:rFonts w:hint="eastAsia" w:ascii="宋体" w:hAnsi="宋体" w:cs="宋体"/>
                <w:bCs/>
                <w:kern w:val="0"/>
                <w:sz w:val="18"/>
                <w:szCs w:val="18"/>
              </w:rPr>
              <w:t>产品支持用户账号全生命周期保护功能，包括用户账号多余入口检测、用户账号弱口令检测、用户账号暴力破解检测、失陷账号检测，防止因账号被暴力破解导致的非法提权情况发生。</w:t>
            </w:r>
            <w:bookmarkEnd w:id="5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bookmarkStart w:id="52" w:name="_Hlk57310897"/>
            <w:bookmarkStart w:id="53" w:name="_Hlk57310800"/>
            <w:r>
              <w:rPr>
                <w:rFonts w:hint="eastAsia" w:ascii="宋体" w:hAnsi="宋体" w:cs="宋体"/>
                <w:bCs/>
                <w:kern w:val="0"/>
                <w:sz w:val="18"/>
                <w:szCs w:val="18"/>
              </w:rPr>
              <w:t>产品支持文件目录防护功能，通过对用户账号进行认证，对网站内容的修改行为进行合法性控制</w:t>
            </w:r>
            <w:bookmarkEnd w:id="52"/>
            <w:r>
              <w:rPr>
                <w:rFonts w:hint="eastAsia" w:ascii="宋体" w:hAnsi="宋体" w:cs="宋体"/>
                <w:bCs/>
                <w:kern w:val="0"/>
                <w:sz w:val="18"/>
                <w:szCs w:val="18"/>
              </w:rPr>
              <w:t>。</w:t>
            </w:r>
            <w:bookmarkEnd w:id="5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9" w:type="dxa"/>
            <w:vMerge w:val="restart"/>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安全策略管理</w:t>
            </w: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bookmarkStart w:id="54" w:name="_Hlk57315111"/>
            <w:r>
              <w:rPr>
                <w:rFonts w:hint="eastAsia" w:ascii="宋体" w:hAnsi="宋体" w:cs="宋体"/>
                <w:bCs/>
                <w:kern w:val="0"/>
                <w:sz w:val="18"/>
                <w:szCs w:val="18"/>
              </w:rPr>
              <w:t>产品支持安全策略有效性分析功能，分析内容至少包括策略冗余分析、策略匹配分析、风险端口风险等内容，提供安全策略优化建议。</w:t>
            </w:r>
            <w:bookmarkEnd w:id="5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9" w:type="dxa"/>
            <w:vMerge w:val="continue"/>
            <w:shd w:val="clear" w:color="auto" w:fill="auto"/>
            <w:vAlign w:val="center"/>
          </w:tcPr>
          <w:p>
            <w:pPr>
              <w:widowControl/>
              <w:autoSpaceDE w:val="0"/>
              <w:autoSpaceDN w:val="0"/>
              <w:adjustRightInd/>
              <w:jc w:val="left"/>
              <w:rPr>
                <w:rFonts w:ascii="宋体" w:hAnsi="宋体" w:cs="宋体"/>
                <w:bCs/>
                <w:kern w:val="0"/>
                <w:sz w:val="18"/>
                <w:szCs w:val="18"/>
              </w:rPr>
            </w:pP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支持联动现有的态势感知平台，同步链路信息日志、上报CPU、内存、网卡流量等信息，实现通过现有平台进行设备的集中管理、集中监控、多日志关联分析。（提供界面截图证明）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jc w:val="center"/>
        </w:trPr>
        <w:tc>
          <w:tcPr>
            <w:tcW w:w="1139"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高可用性</w:t>
            </w: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bookmarkStart w:id="55" w:name="_Hlk57316621"/>
            <w:r>
              <w:rPr>
                <w:rFonts w:hint="eastAsia" w:ascii="宋体" w:hAnsi="宋体" w:cs="宋体"/>
                <w:bCs/>
                <w:kern w:val="0"/>
                <w:sz w:val="18"/>
                <w:szCs w:val="18"/>
              </w:rPr>
              <w:t>产品支持主主、主备两种双机模式部署。</w:t>
            </w:r>
            <w:bookmarkEnd w:id="5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1139"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第三方对接</w:t>
            </w:r>
          </w:p>
        </w:tc>
        <w:tc>
          <w:tcPr>
            <w:tcW w:w="7397"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支持提供IP地址封禁、解封的相关接口至第三方平台进行IP地址联动封禁</w:t>
            </w:r>
          </w:p>
        </w:tc>
      </w:tr>
    </w:tbl>
    <w:p>
      <w:pPr>
        <w:spacing w:line="580" w:lineRule="exact"/>
        <w:rPr>
          <w:rFonts w:ascii="宋体" w:hAnsi="宋体" w:cs="宋体"/>
          <w:sz w:val="24"/>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电子政务外网违规外联检测设备</w:t>
      </w:r>
    </w:p>
    <w:tbl>
      <w:tblPr>
        <w:tblStyle w:val="6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2"/>
        <w:gridCol w:w="7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02"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97"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702"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硬件规格</w:t>
            </w:r>
          </w:p>
        </w:tc>
        <w:tc>
          <w:tcPr>
            <w:tcW w:w="4297"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采用高性能规格的机架式1U硬件设备，全内置封闭式结构，专用安全加固Linux操作系统。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02"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硬件参数</w:t>
            </w:r>
          </w:p>
        </w:tc>
        <w:tc>
          <w:tcPr>
            <w:tcW w:w="4297"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处理器：Intel酷睿i7，内存≥16GB（最大支持16GB*2），硬盘：≥128GB硬盘，网络接口：≥6个千兆电口，≥2个万兆光口，其他接口：≥1个VGA接口，≥2个USB接口。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702"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性能指标</w:t>
            </w:r>
          </w:p>
        </w:tc>
        <w:tc>
          <w:tcPr>
            <w:tcW w:w="4297"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最大镜像流量：20Gbps，最大扫描扫描速率：50Mb/s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702"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内外网互联</w:t>
            </w:r>
          </w:p>
        </w:tc>
        <w:tc>
          <w:tcPr>
            <w:tcW w:w="4297"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1.在无需安装客户端的情况下，支持通过镜像流量分析自动发现管理域内同时连接内网和互联网的设备，可在外联服务器上取证，取证信息包含外联设备内网IP、外联出口IP、首次发现时间和最后更新时间等信息。</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2.支持在外联服务器上取证，取证信息包含：外联设备内网IP、外联出口IP、发现次数、首次发现时间和最后更新时间等信息。</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3.支持数据在外联告警系统与内网管理系统间的导出和导入。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02"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非授权外联</w:t>
            </w:r>
          </w:p>
        </w:tc>
        <w:tc>
          <w:tcPr>
            <w:tcW w:w="4297"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1.在无需安装客户端的情况下，支持自动发现管理域内曾经脱离内网并且连接过互联网的设备，可在外联服务器上取证，取证信息包含外联设备内网IP、首次发现时间和最后更新时间等信息。</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2.支持在外联服务器上取证，取证信息包含：外联设备内网IP、外联出口IP、发现次数、首次发现时间和最后更新时间等信息。</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3.支持数据在外联告警系统与内网管理系统间的导出和导入。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jc w:val="center"/>
        </w:trPr>
        <w:tc>
          <w:tcPr>
            <w:tcW w:w="702"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线路外联</w:t>
            </w:r>
          </w:p>
        </w:tc>
        <w:tc>
          <w:tcPr>
            <w:tcW w:w="4297"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支持在不依赖于客户端技术的情况下，自动发现管理域内内网网络设备（如：交换机、路由器等）与其他网络（如：互联网）相连，造成大量内网设备外联的情况。（需提供公安部信息安全产品检测中心等权威测评机构对该项功能的检测结果作为证明）。</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2.支持在外联服务器上取证，取证信息包含：外联设备管理口IP、外联设备MAC、外联出口IP、发现次数、首次发现时间和最后更新时间等信息。</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3.支持识别外联设备的厂商信息，辅助对外联设备进行定位和取证。</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4.支持数据在外联告警系统与内网管理系统间的导出和导入。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02"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网页外泄</w:t>
            </w:r>
          </w:p>
        </w:tc>
        <w:tc>
          <w:tcPr>
            <w:tcW w:w="4297"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1.支持自动发现管理域内将内网应用系统或网站页面保存后，拷贝至其他网络（如：互联网）计算机打开的疑似信息外泄行为。</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2.支持在外联服务器上取证，取证信息包含：设备内网IP、外泄时外网IP、首次发现时间、最后更新时间和外泄网址等信息。</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3.支持数据在外联告警系统与内网管理系统间的导出和导入。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jc w:val="center"/>
        </w:trPr>
        <w:tc>
          <w:tcPr>
            <w:tcW w:w="702"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外联事件辅助查证</w:t>
            </w:r>
          </w:p>
        </w:tc>
        <w:tc>
          <w:tcPr>
            <w:tcW w:w="4297"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支持配置内网IP归属区域信息，与发现的外联信息关联分析，提供外联IP的网络归属，可辅助外联行为的调查。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02"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NAT接入</w:t>
            </w:r>
          </w:p>
        </w:tc>
        <w:tc>
          <w:tcPr>
            <w:tcW w:w="4297"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支持自动发现管理域内的NAT设备和通过该设备私自搭建的局域网，同时上报其边界点设备IP地址、运行状态、首次发现时间、最后更新时间等信息，并能发现NAT子网中设备的IP地址等信息。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02"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移动设备接入</w:t>
            </w:r>
          </w:p>
        </w:tc>
        <w:tc>
          <w:tcPr>
            <w:tcW w:w="4297"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在支持不依赖于客户端技术的情况下，支持自动发现管理域内的移动设备接入行为，上报设备的IP、操作系统、厂商类型等信息。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02"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边界备案</w:t>
            </w:r>
          </w:p>
        </w:tc>
        <w:tc>
          <w:tcPr>
            <w:tcW w:w="4297"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支持对上报的边界点进行人工备案管理，包括完善其边界基础信息，明确其责任人、责任部门、联系电话、用途等信息，通过人工报备方式对已知边界进行人工备案管理。</w:t>
            </w:r>
          </w:p>
        </w:tc>
      </w:tr>
    </w:tbl>
    <w:p>
      <w:pPr>
        <w:spacing w:line="580" w:lineRule="exact"/>
        <w:rPr>
          <w:rFonts w:ascii="宋体" w:hAnsi="宋体" w:cs="宋体"/>
          <w:bCs/>
          <w:sz w:val="18"/>
          <w:szCs w:val="18"/>
        </w:rPr>
      </w:pPr>
    </w:p>
    <w:p>
      <w:pPr>
        <w:spacing w:line="580" w:lineRule="exact"/>
        <w:rPr>
          <w:rFonts w:ascii="宋体" w:hAnsi="宋体" w:cs="宋体"/>
          <w:bCs/>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电子政务网态势感知设备</w:t>
      </w:r>
    </w:p>
    <w:p>
      <w:pPr>
        <w:pStyle w:val="42"/>
        <w:spacing w:line="580" w:lineRule="exact"/>
        <w:ind w:left="840" w:hanging="420"/>
        <w:rPr>
          <w:rFonts w:ascii="宋体" w:hAnsi="宋体" w:cs="宋体"/>
          <w:snapToGrid w:val="0"/>
          <w:sz w:val="18"/>
          <w:szCs w:val="18"/>
        </w:rPr>
      </w:pPr>
    </w:p>
    <w:tbl>
      <w:tblPr>
        <w:tblStyle w:val="6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4"/>
        <w:gridCol w:w="7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trPr>
        <w:tc>
          <w:tcPr>
            <w:tcW w:w="703"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96"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03"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✰基础性能</w:t>
            </w: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不低于以下要求：</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性能参数:存储容量:32T，在带宽性能1Gbps时存储时长:1800天/1Gbps。</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硬件参数:规格:2U，内存:8*32GB；系统盘:1*240GBSATASSD，数据盘:12*4TB，标配盘位数:12，电源:白金，冗余电源,接口:6千兆电口+2万兆光口。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03"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部署功能</w:t>
            </w: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支持与原有态势感知集群化部署，提高态势感知平台整体性能。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3"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大屏功能</w:t>
            </w:r>
          </w:p>
        </w:tc>
        <w:tc>
          <w:tcPr>
            <w:tcW w:w="4296"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支持不同安全视角展示16个独立的大屏展示功能，包括全网安全态势感知大屏、分支安全态势、安全事件态势、通报预警态势、资产态势大屏等，同时能满足多种场景的监控，比如日常运维、护网场景。</w:t>
            </w:r>
            <w:r>
              <w:rPr>
                <w:rFonts w:hint="eastAsia" w:ascii="宋体" w:hAnsi="宋体" w:cs="宋体"/>
                <w:bCs/>
                <w:kern w:val="0"/>
                <w:sz w:val="18"/>
                <w:szCs w:val="18"/>
                <w:lang w:eastAsia="en-US"/>
              </w:rPr>
              <w:t>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3"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可基于数据中心、总部、租户等按照风险等级（优秀、良、中、差）来展示数据中心的情况。支持对数据中心正常反问的趋势和攻击者监视和分析威胁的说明。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3"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资产中心</w:t>
            </w: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支持自定义分支管理权限，分支管理员具备独立的管理页面，只能管理和查看所属分支的业务和终端资产的安全信息且具备完整的功能展示。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3" w:type="pct"/>
            <w:vMerge w:val="continue"/>
            <w:vAlign w:val="center"/>
          </w:tcPr>
          <w:p>
            <w:pPr>
              <w:widowControl/>
              <w:autoSpaceDE w:val="0"/>
              <w:autoSpaceDN w:val="0"/>
              <w:adjustRightInd/>
              <w:jc w:val="left"/>
              <w:rPr>
                <w:rFonts w:ascii="宋体" w:hAnsi="宋体" w:cs="宋体"/>
                <w:bCs/>
                <w:kern w:val="0"/>
                <w:sz w:val="18"/>
                <w:szCs w:val="18"/>
              </w:rPr>
            </w:pP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资产属性重新识别，当发现资产数据不准确时，可清空该资产属性，如主机名、备注、操作系统、标签、地理位置、硬件信息、应用软件信息、账号信息、责任人信息、端口信息等，重新发起识别后，平台会自动补齐资产属性，可批量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703" w:type="pct"/>
            <w:vMerge w:val="continue"/>
            <w:vAlign w:val="center"/>
          </w:tcPr>
          <w:p>
            <w:pPr>
              <w:widowControl/>
              <w:autoSpaceDE w:val="0"/>
              <w:autoSpaceDN w:val="0"/>
              <w:adjustRightInd/>
              <w:jc w:val="left"/>
              <w:rPr>
                <w:rFonts w:ascii="宋体" w:hAnsi="宋体" w:cs="宋体"/>
                <w:bCs/>
                <w:kern w:val="0"/>
                <w:sz w:val="18"/>
                <w:szCs w:val="18"/>
              </w:rPr>
            </w:pP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支持跨三层取MAC地址，识别资产MAC地址，并能够解决不同资产IP冲突问题，以及DHCP场景IP变更的问题。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3"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脆弱性管理中心</w:t>
            </w: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弱密码检测技术基于UEBA学习技术（无监督自我学习）提取登陆成功的特征，通过UEBA技术对响应体内容和登录跳转路径进行持续学习训练登录成功特征。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3" w:type="pct"/>
            <w:vMerge w:val="continue"/>
            <w:vAlign w:val="center"/>
          </w:tcPr>
          <w:p>
            <w:pPr>
              <w:widowControl/>
              <w:autoSpaceDE w:val="0"/>
              <w:autoSpaceDN w:val="0"/>
              <w:adjustRightInd/>
              <w:jc w:val="left"/>
              <w:rPr>
                <w:rFonts w:ascii="宋体" w:hAnsi="宋体" w:cs="宋体"/>
                <w:bCs/>
                <w:kern w:val="0"/>
                <w:sz w:val="18"/>
                <w:szCs w:val="18"/>
              </w:rPr>
            </w:pP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弱密码检测规则支持高度自定义，包括规则名称、生效域名、长度规则、字符规则、字典序、web空密码、账号白名单、密码白名单、txt文件格式导入。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3" w:type="pct"/>
            <w:vMerge w:val="continue"/>
            <w:vAlign w:val="center"/>
          </w:tcPr>
          <w:p>
            <w:pPr>
              <w:widowControl/>
              <w:autoSpaceDE w:val="0"/>
              <w:autoSpaceDN w:val="0"/>
              <w:adjustRightInd/>
              <w:jc w:val="left"/>
              <w:rPr>
                <w:rFonts w:ascii="宋体" w:hAnsi="宋体" w:cs="宋体"/>
                <w:bCs/>
                <w:kern w:val="0"/>
                <w:sz w:val="18"/>
                <w:szCs w:val="18"/>
              </w:rPr>
            </w:pP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流量实时识别漏洞分析，漏洞分析类型包含配置错误漏洞、OpenSSH漏洞、OpenLDAP等操作系统、数据库、Web应用等，页面上支持展示业务脆弱性风险分布、漏洞类型分析、漏洞态势与危害和处置建议，并支持导出脆弱性感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3"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威胁分析检测</w:t>
            </w: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支持DNS服务器日志导入，可以接入DNS服务器的日志，安全分析引擎将结合DNS服务器的日志，定位出DNS服务器代理风险外连场景下真实源IP，从而有效地进行风险处置闭环。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3" w:type="pct"/>
            <w:vMerge w:val="continue"/>
            <w:vAlign w:val="center"/>
          </w:tcPr>
          <w:p>
            <w:pPr>
              <w:widowControl/>
              <w:autoSpaceDE w:val="0"/>
              <w:autoSpaceDN w:val="0"/>
              <w:adjustRightInd/>
              <w:jc w:val="left"/>
              <w:rPr>
                <w:rFonts w:ascii="宋体" w:hAnsi="宋体" w:cs="宋体"/>
                <w:bCs/>
                <w:kern w:val="0"/>
                <w:sz w:val="18"/>
                <w:szCs w:val="18"/>
              </w:rPr>
            </w:pPr>
          </w:p>
        </w:tc>
        <w:tc>
          <w:tcPr>
            <w:tcW w:w="4296"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能够针对HTTP、FTP、LDAP、VMWARE、ORACLE、VNC等弱密码协议进行检测，提供具备CMA（中国计量委员会）认证的第三方权威机构相关检测报告。</w:t>
            </w:r>
            <w:r>
              <w:rPr>
                <w:rFonts w:hint="eastAsia" w:ascii="宋体" w:hAnsi="宋体" w:cs="宋体"/>
                <w:bCs/>
                <w:kern w:val="0"/>
                <w:sz w:val="18"/>
                <w:szCs w:val="18"/>
                <w:lang w:eastAsia="en-US"/>
              </w:rPr>
              <w:t>提供产品报告截图。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703"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具备恶意文件的检测引擎，对已知家族变种的查杀能力强。如勒索病毒检测达到业界领先的检出率，包括影响广泛的WannaCry、BadRabbit等病毒；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3"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工单系统</w:t>
            </w: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支持随机生成临时管理员用户名和密码，随机用户名为临时自动创建管理员，只具备指定资产对应的：处置中心、脆弱性、日志检索的查看和操作权限，具备处置、上传附件等下级管理处置的权限。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3" w:type="pct"/>
            <w:vMerge w:val="continue"/>
            <w:vAlign w:val="center"/>
          </w:tcPr>
          <w:p>
            <w:pPr>
              <w:widowControl/>
              <w:autoSpaceDE w:val="0"/>
              <w:autoSpaceDN w:val="0"/>
              <w:adjustRightInd/>
              <w:jc w:val="left"/>
              <w:rPr>
                <w:rFonts w:ascii="宋体" w:hAnsi="宋体" w:cs="宋体"/>
                <w:bCs/>
                <w:kern w:val="0"/>
                <w:sz w:val="18"/>
                <w:szCs w:val="18"/>
              </w:rPr>
            </w:pP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支持下级管理员批量认领上级通报的事件，新增“实际处理时间（天）”，从工单认领开始计时，当处理时间超时，显示：实际处理天数/超时天数。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3"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设备对接</w:t>
            </w: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支持SIEM日志关联分析结果的可视化展示。支持第三方日志源接入包括syslog、snmp、kafka等常见类型，提供产品界面截图。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703"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重保中心</w:t>
            </w: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具备实战化攻防中心，支持备战阶段的对外服务器外网暴露面分析、内网服务器暴露面梳理。实战阶段的实时攻击分析，实时展受害者IP、攻击者IP、XFF、攻击结果、攻击次数、事件类型、威胁等级、联动响应、状态码、确定性等级等20个以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703" w:type="pct"/>
            <w:vMerge w:val="continue"/>
            <w:vAlign w:val="center"/>
          </w:tcPr>
          <w:p>
            <w:pPr>
              <w:widowControl/>
              <w:autoSpaceDE w:val="0"/>
              <w:autoSpaceDN w:val="0"/>
              <w:adjustRightInd/>
              <w:jc w:val="left"/>
              <w:rPr>
                <w:rFonts w:ascii="宋体" w:hAnsi="宋体" w:cs="宋体"/>
                <w:bCs/>
                <w:kern w:val="0"/>
                <w:sz w:val="18"/>
                <w:szCs w:val="18"/>
              </w:rPr>
            </w:pP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支持自动化溯源，可自动化复现受害者从最开始的遭受攻击到权限维持各个阶段的黑客行为，包括攻击入口溯源。支持基于可视化的形式展示威胁的影响面，能够直观的看到失陷主机的威胁影响面。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703" w:type="pct"/>
            <w:vMerge w:val="continue"/>
            <w:vAlign w:val="center"/>
          </w:tcPr>
          <w:p>
            <w:pPr>
              <w:widowControl/>
              <w:autoSpaceDE w:val="0"/>
              <w:autoSpaceDN w:val="0"/>
              <w:adjustRightInd/>
              <w:jc w:val="left"/>
              <w:rPr>
                <w:rFonts w:ascii="宋体" w:hAnsi="宋体" w:cs="宋体"/>
                <w:bCs/>
                <w:kern w:val="0"/>
                <w:sz w:val="18"/>
                <w:szCs w:val="18"/>
              </w:rPr>
            </w:pP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支持综合安全风险、主机安全风险、脆弱性感知、外部感知、工单、摘要、处置报告多种方式呈现，也支持自定义时间导出PPT报告。可快速生成月度、季度、年度PPT报表。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703"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产品资质</w:t>
            </w:r>
          </w:p>
        </w:tc>
        <w:tc>
          <w:tcPr>
            <w:tcW w:w="429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具备中国信息安全测评中心颁发的“国家信息安全漏洞库”兼容性证书。</w:t>
            </w:r>
          </w:p>
        </w:tc>
      </w:tr>
    </w:tbl>
    <w:p>
      <w:pPr>
        <w:spacing w:line="580" w:lineRule="exact"/>
        <w:rPr>
          <w:rFonts w:ascii="宋体" w:hAnsi="宋体" w:cs="宋体"/>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市民中心数据流量探针设备</w:t>
      </w:r>
    </w:p>
    <w:tbl>
      <w:tblPr>
        <w:tblStyle w:val="6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7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98" w:type="pct"/>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bookmarkStart w:id="56" w:name="_Hlk56410708"/>
            <w:r>
              <w:rPr>
                <w:rFonts w:hint="eastAsia" w:ascii="宋体" w:hAnsi="宋体" w:cs="宋体"/>
                <w:bCs/>
                <w:kern w:val="0"/>
                <w:sz w:val="18"/>
                <w:szCs w:val="18"/>
                <w:lang w:eastAsia="en-US"/>
              </w:rPr>
              <w:t>指标项</w:t>
            </w:r>
          </w:p>
        </w:tc>
        <w:tc>
          <w:tcPr>
            <w:tcW w:w="4301" w:type="pct"/>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98"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性能配置</w:t>
            </w:r>
          </w:p>
        </w:tc>
        <w:tc>
          <w:tcPr>
            <w:tcW w:w="430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不低于以下要求：标准2U机架设备，网络吞吐量≥3Gbps，内存≥32G，接口不少于6个千兆电口、2个万兆光口，冗余电源。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98"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部署模式</w:t>
            </w:r>
          </w:p>
        </w:tc>
        <w:tc>
          <w:tcPr>
            <w:tcW w:w="430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旁路部署，支持探针接入多个镜像口，每个接口相互独立且不影响。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98"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资产发现</w:t>
            </w:r>
          </w:p>
        </w:tc>
        <w:tc>
          <w:tcPr>
            <w:tcW w:w="430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具备主动发送少量探测报文，发现潜在的服务器（影子资产）以及学习服务器的基础信息，如：操作系统、开放的端口号等。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698"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流量采集</w:t>
            </w:r>
          </w:p>
        </w:tc>
        <w:tc>
          <w:tcPr>
            <w:tcW w:w="4301"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支持对全流量进行采集、检测和提取，具备IDS检测功能，并能将提取到的数据上报给现有的安全感知平台，上报的内容需包括http、DNS、SMB协议审计日志，违规访问日志，漏洞利用日志等。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9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基础检测功能</w:t>
            </w:r>
          </w:p>
        </w:tc>
        <w:tc>
          <w:tcPr>
            <w:tcW w:w="430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具备报文检测引擎,具备多种的入侵攻击模式或恶意UR监测模式。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jc w:val="center"/>
        </w:trPr>
        <w:tc>
          <w:tcPr>
            <w:tcW w:w="69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网站攻击检测</w:t>
            </w:r>
          </w:p>
        </w:tc>
        <w:tc>
          <w:tcPr>
            <w:tcW w:w="430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支持SQL注入、XSS攻击、网页木马、网站扫描、WEBSHELL等网站攻击检测。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9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敏感信息检测</w:t>
            </w:r>
          </w:p>
        </w:tc>
        <w:tc>
          <w:tcPr>
            <w:tcW w:w="430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支持敏感数据泄密功能检测能力，可自定义敏感信息，支持根据文件类型和敏感关键字进行信息过滤。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jc w:val="center"/>
        </w:trPr>
        <w:tc>
          <w:tcPr>
            <w:tcW w:w="698"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高级检测</w:t>
            </w:r>
          </w:p>
        </w:tc>
        <w:tc>
          <w:tcPr>
            <w:tcW w:w="430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支持多种类型日志传输模式,必须包含标准模式、精简模式、自定义模式，以适应不同应用场景需求。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98" w:type="pct"/>
            <w:vMerge w:val="continue"/>
            <w:vAlign w:val="center"/>
          </w:tcPr>
          <w:p>
            <w:pPr>
              <w:widowControl/>
              <w:autoSpaceDE w:val="0"/>
              <w:autoSpaceDN w:val="0"/>
              <w:adjustRightInd/>
              <w:jc w:val="left"/>
              <w:rPr>
                <w:rFonts w:ascii="宋体" w:hAnsi="宋体" w:cs="宋体"/>
                <w:bCs/>
                <w:kern w:val="0"/>
                <w:sz w:val="18"/>
                <w:szCs w:val="18"/>
              </w:rPr>
            </w:pPr>
          </w:p>
        </w:tc>
        <w:tc>
          <w:tcPr>
            <w:tcW w:w="4301"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支持传输协议审计日志，必须包括https协议日志、DNS协议审计日志、邮件协议审计日志、SMB协议审计日志等。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69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违规访问检测</w:t>
            </w:r>
          </w:p>
        </w:tc>
        <w:tc>
          <w:tcPr>
            <w:tcW w:w="4301"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支持IP，IP组，服务，端口，访问时间等定义访问策略，主动建立针对性的业务和应用访问逻辑规则，包括白名单和黑名单方式。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69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特征库</w:t>
            </w:r>
          </w:p>
        </w:tc>
        <w:tc>
          <w:tcPr>
            <w:tcW w:w="430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内置URL库、IPS漏洞特征识别库、应用识别库、WEB应用防护识别库、僵尸网络识别库、实时漏洞分析识别库、恶意链接库、白名单库。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698"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抓包分析</w:t>
            </w:r>
          </w:p>
        </w:tc>
        <w:tc>
          <w:tcPr>
            <w:tcW w:w="4301"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支持流量抓包分析，可定义抓包数量、接口、IP地址、端口或自定义过滤表达式。</w:t>
            </w:r>
          </w:p>
        </w:tc>
      </w:tr>
      <w:bookmarkEnd w:id="56"/>
    </w:tbl>
    <w:p>
      <w:pPr>
        <w:spacing w:line="580" w:lineRule="exact"/>
        <w:rPr>
          <w:rFonts w:ascii="宋体" w:hAnsi="宋体" w:cs="宋体"/>
          <w:bCs/>
          <w:sz w:val="18"/>
          <w:szCs w:val="18"/>
        </w:rPr>
      </w:pPr>
    </w:p>
    <w:p>
      <w:pPr>
        <w:spacing w:line="580" w:lineRule="exact"/>
        <w:rPr>
          <w:rFonts w:ascii="宋体" w:hAnsi="宋体" w:cs="宋体"/>
          <w:bCs/>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电子政务外网VPN设备</w:t>
      </w:r>
    </w:p>
    <w:p>
      <w:pPr>
        <w:spacing w:line="580" w:lineRule="exact"/>
        <w:rPr>
          <w:rFonts w:ascii="宋体" w:hAnsi="宋体" w:cs="宋体"/>
          <w:sz w:val="18"/>
          <w:szCs w:val="18"/>
        </w:rPr>
      </w:pPr>
    </w:p>
    <w:tbl>
      <w:tblPr>
        <w:tblStyle w:val="6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912"/>
        <w:gridCol w:w="6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控制中心</w:t>
            </w:r>
          </w:p>
        </w:tc>
        <w:tc>
          <w:tcPr>
            <w:tcW w:w="537"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w:t>
            </w: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lang w:eastAsia="en-US"/>
              </w:rPr>
              <w:t xml:space="preserve">性能参数：最大理论加密流量：600Mbps，最大理论并发用户数（个）：6000，最大理论https并发连接数（个）：60000，理论https新建连接数（个/秒）：400。 </w:t>
            </w:r>
            <w:r>
              <w:rPr>
                <w:rFonts w:hint="eastAsia" w:ascii="宋体" w:hAnsi="宋体" w:cs="宋体"/>
                <w:bCs/>
                <w:kern w:val="0"/>
                <w:sz w:val="18"/>
                <w:szCs w:val="18"/>
              </w:rPr>
              <w:t>硬件参数：规格：1U，内存大小：16G，硬盘容量：128G SSD，电源：冗余电源，接口：6千兆电口+4千兆光口SFP。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设备部署</w:t>
            </w: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了满足灵活部署的要求，控制中心应支持IPV4/IPV6双栈网络IP配置，可自主选择配置LAN口或WAN口。为了保护设备的安全，可支持默认限制所有IP通过WAN口访问系统，支持通过配置IP白名单的方式来放通WAN口接入的特殊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资源发布能力</w:t>
            </w: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通过隧道模式，可以支持基于TCP、UDP、ICMP等协议代理访问业务资源，支持发布IP、IP范围、IP段、具体域名及通配符域名等形式的服务器地址，满足常见办公业务的代理，收缩业务暴露面。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Merge w:val="continue"/>
            <w:vAlign w:val="center"/>
          </w:tcPr>
          <w:p>
            <w:pPr>
              <w:widowControl/>
              <w:autoSpaceDE w:val="0"/>
              <w:autoSpaceDN w:val="0"/>
              <w:adjustRightInd/>
              <w:jc w:val="left"/>
              <w:rPr>
                <w:rFonts w:ascii="宋体" w:hAnsi="宋体" w:cs="宋体"/>
                <w:bCs/>
                <w:kern w:val="0"/>
                <w:sz w:val="18"/>
                <w:szCs w:val="18"/>
              </w:rPr>
            </w:pPr>
          </w:p>
        </w:tc>
        <w:tc>
          <w:tcPr>
            <w:tcW w:w="4066"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通过WEB模式，可以支持基于http或https协议代理访问业务资源，支持发布IP或域名形式的后端服务器地址，可配置业务应用的具体访问URL路径。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537"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系统应支持针对发布的WEB应用开启WEB水印，水印内容至少包括：用户名+当前年月日，起到威慑与溯源作用，有效预防数据泄露。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Merge w:val="continue"/>
            <w:vAlign w:val="center"/>
          </w:tcPr>
          <w:p>
            <w:pPr>
              <w:widowControl/>
              <w:autoSpaceDE w:val="0"/>
              <w:autoSpaceDN w:val="0"/>
              <w:adjustRightInd/>
              <w:jc w:val="left"/>
              <w:rPr>
                <w:rFonts w:ascii="宋体" w:hAnsi="宋体" w:cs="宋体"/>
                <w:bCs/>
                <w:kern w:val="0"/>
                <w:sz w:val="18"/>
                <w:szCs w:val="18"/>
              </w:rPr>
            </w:pPr>
          </w:p>
        </w:tc>
        <w:tc>
          <w:tcPr>
            <w:tcW w:w="4066"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在业务应用兼容性良好的情况下，支持以隧道模式发布http/https协议的资源，以增加在隧道模式下发布的资源的URL级别审计能力，同时支持为隧道资源添加WEB水印以及单点登录功能。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lang w:eastAsia="en-US"/>
              </w:rPr>
            </w:pPr>
          </w:p>
        </w:tc>
        <w:tc>
          <w:tcPr>
            <w:tcW w:w="537"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客户端兼容性</w:t>
            </w: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为了不改变原有使用习惯，保障使用体验，需支持以下主流浏览器访问WEB资源：</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1、支持IE8及以上版本浏览器访问WEB资源</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2、支持Chrome 69及以上版本访问WEB资源</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3、支持Edge、Firefox、Opera、Safari等其他主流浏览器访问WEB资源</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4、支持微信内置浏览器、钉钉内置浏览器访问WEB资源</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5、支持Android、iOS各大手机厂商的自带浏览器访问WEB资源</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6、支持国产操作系统浏览器接入并访问WEB资源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Merge w:val="continue"/>
            <w:vAlign w:val="center"/>
          </w:tcPr>
          <w:p>
            <w:pPr>
              <w:widowControl/>
              <w:autoSpaceDE w:val="0"/>
              <w:autoSpaceDN w:val="0"/>
              <w:adjustRightInd/>
              <w:jc w:val="left"/>
              <w:rPr>
                <w:rFonts w:ascii="宋体" w:hAnsi="宋体" w:cs="宋体"/>
                <w:bCs/>
                <w:kern w:val="0"/>
                <w:sz w:val="18"/>
                <w:szCs w:val="18"/>
              </w:rPr>
            </w:pP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了保障未来在国产化终端上的正常业务访问，客户端应兼容主流国产硬件CPU的国产操作系统终端，包括但不限于麒麟V10×龙芯、麒麟V10×龙芯LoongArch、麒麟V10×飞腾、麒麟V10×鲲鹏、麒麟V10×兆芯、麒麟V10×海光、麒麟V10×海思麒麟；统信V20×龙芯（3A3000、3A4000）、统信V20×龙芯（3A5000）、统信V20×飞腾、统信V20×鲲鹏、统信V20×海光、统信V20×兆芯等。</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提供不少于国产化终端接入授权50个。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终端接入能力</w:t>
            </w: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支持不同平台的终端同时在线，管理员可分别设置可同时在线的PC或移动终端个数，配置范围不小于0-1000，当超过终端个数时，可以注销最早登录的终端，且被注销的终端有对应的注销提醒；</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管理员可设置允许终端在线数为0，以禁止用户通过此类终端接入访问。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Merge w:val="continue"/>
            <w:vAlign w:val="center"/>
          </w:tcPr>
          <w:p>
            <w:pPr>
              <w:widowControl/>
              <w:autoSpaceDE w:val="0"/>
              <w:autoSpaceDN w:val="0"/>
              <w:adjustRightInd/>
              <w:jc w:val="left"/>
              <w:rPr>
                <w:rFonts w:ascii="宋体" w:hAnsi="宋体" w:cs="宋体"/>
                <w:bCs/>
                <w:kern w:val="0"/>
                <w:sz w:val="18"/>
                <w:szCs w:val="18"/>
              </w:rPr>
            </w:pP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支持终端设备可视管理</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1、支持用户自助查看在线或离线终端列表，并注销其他终端，避免账号盗用；</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2、支持查看同账号登录过的终端信息，包括但不限于设备名称、设备系统类型、接入地址、最后登录时间等。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Merge w:val="continue"/>
            <w:vAlign w:val="center"/>
          </w:tcPr>
          <w:p>
            <w:pPr>
              <w:widowControl/>
              <w:autoSpaceDE w:val="0"/>
              <w:autoSpaceDN w:val="0"/>
              <w:adjustRightInd/>
              <w:jc w:val="left"/>
              <w:rPr>
                <w:rFonts w:ascii="宋体" w:hAnsi="宋体" w:cs="宋体"/>
                <w:bCs/>
                <w:kern w:val="0"/>
                <w:sz w:val="18"/>
                <w:szCs w:val="18"/>
              </w:rPr>
            </w:pP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为了提升系统维护的便利性，管理员可配置是否允许用户通过短信验证码等方式自助找回密码。用户在PC端和手机端的登录页面均可通过点击忘记密码来重置密码。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CDN接入能力</w:t>
            </w: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支持配置CDN作为客户端下载地址，以降低设备本身的非业务访问带宽压力。支持获取CDN加速前的访问IP，并在日志中记录此IP为客户端IP。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可信应用</w:t>
            </w: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为有效防止木马入侵系统后攻击服务器，系统内置了一些常见攻击工具进程黑名单，降低被攻击的安全风险。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Merge w:val="continue"/>
            <w:vAlign w:val="center"/>
          </w:tcPr>
          <w:p>
            <w:pPr>
              <w:widowControl/>
              <w:autoSpaceDE w:val="0"/>
              <w:autoSpaceDN w:val="0"/>
              <w:adjustRightInd/>
              <w:jc w:val="left"/>
              <w:rPr>
                <w:rFonts w:ascii="宋体" w:hAnsi="宋体" w:cs="宋体"/>
                <w:bCs/>
                <w:kern w:val="0"/>
                <w:sz w:val="18"/>
                <w:szCs w:val="18"/>
              </w:rPr>
            </w:pP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1、管理员可根据采集到的进程信息选择信任/不信任</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2、支持管理员自定义可信/不可信的进程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Merge w:val="continue"/>
            <w:vAlign w:val="center"/>
          </w:tcPr>
          <w:p>
            <w:pPr>
              <w:widowControl/>
              <w:autoSpaceDE w:val="0"/>
              <w:autoSpaceDN w:val="0"/>
              <w:adjustRightInd/>
              <w:jc w:val="left"/>
              <w:rPr>
                <w:rFonts w:ascii="宋体" w:hAnsi="宋体" w:cs="宋体"/>
                <w:bCs/>
                <w:kern w:val="0"/>
                <w:sz w:val="18"/>
                <w:szCs w:val="18"/>
              </w:rPr>
            </w:pP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对所有采集到的进程信息、管理员的处理进度进行统计。包括但不限于：全部进程，以及常见攻击工具/孤立进程/未签名进程/未知风险的进程数量；管理员未处理的常见攻击工具/孤立进程/未签名进程/未知风险的进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96" w:type="pct"/>
            <w:vMerge w:val="continue"/>
            <w:vAlign w:val="center"/>
          </w:tcPr>
          <w:p>
            <w:pPr>
              <w:widowControl/>
              <w:autoSpaceDE w:val="0"/>
              <w:autoSpaceDN w:val="0"/>
              <w:adjustRightInd/>
              <w:jc w:val="left"/>
              <w:rPr>
                <w:rFonts w:ascii="宋体" w:hAnsi="宋体" w:cs="宋体"/>
                <w:bCs/>
                <w:kern w:val="0"/>
                <w:sz w:val="18"/>
                <w:szCs w:val="18"/>
              </w:rPr>
            </w:pPr>
          </w:p>
        </w:tc>
        <w:tc>
          <w:tcPr>
            <w:tcW w:w="537"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虚拟专线</w:t>
            </w:r>
          </w:p>
        </w:tc>
        <w:tc>
          <w:tcPr>
            <w:tcW w:w="406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针对Windows系统用户，支持配置虚拟专线功能，当用户登录客户端之后，自动断开互联网连接，避免互联网威胁影响内网业务系统。</w:t>
            </w:r>
          </w:p>
        </w:tc>
      </w:tr>
    </w:tbl>
    <w:p>
      <w:pPr>
        <w:spacing w:line="580" w:lineRule="exact"/>
        <w:rPr>
          <w:rFonts w:ascii="宋体" w:hAnsi="宋体" w:cs="宋体"/>
          <w:sz w:val="18"/>
          <w:szCs w:val="18"/>
        </w:rPr>
      </w:pPr>
    </w:p>
    <w:p>
      <w:pPr>
        <w:pStyle w:val="965"/>
        <w:pageBreakBefore w:val="0"/>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内网数据防护设备</w:t>
      </w:r>
    </w:p>
    <w:p>
      <w:pPr>
        <w:spacing w:line="580" w:lineRule="exact"/>
        <w:ind w:firstLine="360" w:firstLineChars="200"/>
        <w:rPr>
          <w:rFonts w:ascii="宋体" w:hAnsi="宋体" w:cs="宋体"/>
          <w:sz w:val="18"/>
          <w:szCs w:val="18"/>
          <w:lang w:bidi="en-US"/>
        </w:rPr>
      </w:pPr>
    </w:p>
    <w:tbl>
      <w:tblPr>
        <w:tblStyle w:val="62"/>
        <w:tblW w:w="4999" w:type="pct"/>
        <w:jc w:val="center"/>
        <w:shd w:val="clear" w:color="auto" w:fill="FFFFFF" w:themeFill="background1"/>
        <w:tblLayout w:type="autofit"/>
        <w:tblCellMar>
          <w:top w:w="0" w:type="dxa"/>
          <w:left w:w="108" w:type="dxa"/>
          <w:bottom w:w="0" w:type="dxa"/>
          <w:right w:w="108" w:type="dxa"/>
        </w:tblCellMar>
      </w:tblPr>
      <w:tblGrid>
        <w:gridCol w:w="1427"/>
        <w:gridCol w:w="7066"/>
      </w:tblGrid>
      <w:tr>
        <w:tblPrEx>
          <w:shd w:val="clear" w:color="auto" w:fill="FFFFFF" w:themeFill="background1"/>
          <w:tblCellMar>
            <w:top w:w="0" w:type="dxa"/>
            <w:left w:w="108" w:type="dxa"/>
            <w:bottom w:w="0" w:type="dxa"/>
            <w:right w:w="108" w:type="dxa"/>
          </w:tblCellMar>
        </w:tblPrEx>
        <w:trPr>
          <w:jc w:val="center"/>
        </w:trPr>
        <w:tc>
          <w:tcPr>
            <w:tcW w:w="8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159" w:type="pct"/>
            <w:tcBorders>
              <w:top w:val="single" w:color="auto" w:sz="4" w:space="0"/>
              <w:left w:val="nil"/>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840" w:type="pct"/>
            <w:tcBorders>
              <w:top w:val="single" w:color="auto" w:sz="4" w:space="0"/>
              <w:left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性能配置</w:t>
            </w:r>
          </w:p>
        </w:tc>
        <w:tc>
          <w:tcPr>
            <w:tcW w:w="4159" w:type="pct"/>
            <w:tcBorders>
              <w:top w:val="single" w:color="auto" w:sz="4" w:space="0"/>
              <w:left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产品不少于4个千兆电口、4个万兆光口SFP+，支持2个USB口和1个RJ45串口，1U机箱。网络层吞吐量≥1.2Gb，最大并发数≥40万。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8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部署方式</w:t>
            </w: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支持旁路模式，无需更改网络配置，实现数据安全审计。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统一监控</w:t>
            </w: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支持向态势感知平台上报设备CPU、内存、上下行流量、上报数据量等状态。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jc w:val="center"/>
        </w:trPr>
        <w:tc>
          <w:tcPr>
            <w:tcW w:w="8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IPv6支持</w:t>
            </w: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支持部署在IPv6环境中，设备接口及部署模式均支持ipv6配置。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840" w:type="pct"/>
            <w:vMerge w:val="restart"/>
            <w:tcBorders>
              <w:left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上网安全</w:t>
            </w: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对私接无线上网的行为管理，要求设备能自动发现网络中通过无线上网的热点和移动终端的IP和终端类型，匹配管理员配置的热点信任列表，对信任列表外非法接入的热点和终端能够进行阻止上网，支持冻结用户IP，并通过邮件形式告警通知管理员，支持显示以IP或用户名的维度统计一段时间内的趋势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840" w:type="pct"/>
            <w:vMerge w:val="continue"/>
            <w:tcBorders>
              <w:left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为确保我单位不会通过SSL加密内容发生通过互联网出口泄密事件，要求设备必须能够识别并过滤SSL加密的钓鱼网站、金融购物网站；识别和审计加密的邮箱（如GMAIL）等。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 w:hRule="atLeast"/>
          <w:jc w:val="center"/>
        </w:trPr>
        <w:tc>
          <w:tcPr>
            <w:tcW w:w="840" w:type="pct"/>
            <w:vMerge w:val="continue"/>
            <w:tcBorders>
              <w:left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针对内网用户的web访问质量进行检测，对整体网络提供清晰的整体网络质量评级，支持以列表形式展示访问质量差的用户名单，支持对单用户进行定向web访问质量检测。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8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应用细分控制</w:t>
            </w: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1.能够对新浪微博、腾讯微博、网易微博等进行细分控制，如：登录、浏览、发微博、上传附件等；</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2.能够对teamview、QQ远程桌面等远程控制应用做细分控制，如：接受对方远程控制；</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3.能够对Github、百度网盘、百度文库等网络应用的上传动作进行细分控制；</w:t>
            </w:r>
          </w:p>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功能提供截图证明。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8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URL访问及关键字控制</w:t>
            </w: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要求设备内置海量的URL地址库，可根据访问URL的网页关键字进行过滤控制，特别对于SSL加密的网页、论坛、BBS上的发帖行为也需要支持关键字过滤控制。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移动APP审计</w:t>
            </w: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支持常见论坛（天涯社区、猫扑社区、百度贴吧、新浪论坛、搜狐社区等）、微博（新浪）、新闻评论类（腾讯新闻、网易新闻、搜狐新闻、新浪新闻）的移动APP内容审计。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IM审计</w:t>
            </w: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支持对QQ（客户端版本）、阿里旺旺、万德（Wind）、路透等应用的聊天，群聊天等内容的审计。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bookmarkStart w:id="57" w:name="OLE_LINK21"/>
            <w:bookmarkStart w:id="58" w:name="OLE_LINK22"/>
            <w:r>
              <w:rPr>
                <w:rFonts w:hint="eastAsia" w:ascii="宋体" w:hAnsi="宋体" w:cs="宋体"/>
                <w:bCs/>
                <w:kern w:val="0"/>
                <w:sz w:val="18"/>
                <w:szCs w:val="18"/>
              </w:rPr>
              <w:t>SSL加密</w:t>
            </w:r>
            <w:bookmarkEnd w:id="57"/>
            <w:bookmarkEnd w:id="58"/>
            <w:r>
              <w:rPr>
                <w:rFonts w:hint="eastAsia" w:ascii="宋体" w:hAnsi="宋体" w:cs="宋体"/>
                <w:bCs/>
                <w:kern w:val="0"/>
                <w:sz w:val="18"/>
                <w:szCs w:val="18"/>
              </w:rPr>
              <w:t>内容审计和过滤</w:t>
            </w: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bookmarkStart w:id="59" w:name="OLE_LINK24"/>
            <w:bookmarkStart w:id="60" w:name="OLE_LINK23"/>
            <w:r>
              <w:rPr>
                <w:rFonts w:hint="eastAsia" w:ascii="宋体" w:hAnsi="宋体" w:cs="宋体"/>
                <w:bCs/>
                <w:kern w:val="0"/>
                <w:sz w:val="18"/>
                <w:szCs w:val="18"/>
              </w:rPr>
              <w:t>支持识别并过滤SSL加密的钓鱼网站、金融购物网站、非法网站等</w:t>
            </w:r>
            <w:bookmarkEnd w:id="59"/>
            <w:bookmarkEnd w:id="60"/>
            <w:r>
              <w:rPr>
                <w:rFonts w:hint="eastAsia" w:ascii="宋体" w:hAnsi="宋体" w:cs="宋体"/>
                <w:bCs/>
                <w:kern w:val="0"/>
                <w:sz w:val="18"/>
                <w:szCs w:val="18"/>
              </w:rPr>
              <w:t>，同时支持SSL硬件加速卡解密，从而可提高SSL全流量解密性能。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8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加密证书自动分发</w:t>
            </w: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审计SSL网页时，支持加密证书自动分发功能，用户点击网页上的工具即可一次性安装完成。解决管理员给每台PC单独安装证书的问题。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jc w:val="center"/>
        </w:trPr>
        <w:tc>
          <w:tcPr>
            <w:tcW w:w="8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单用户行为分析</w:t>
            </w: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针对单用户的行为分析（包括：应用流速趋势、应用流量排行、域名流量排行、应用时长排行、域名时长排行、行为汇总排行等）。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 w:hRule="atLeast"/>
          <w:jc w:val="center"/>
        </w:trPr>
        <w:tc>
          <w:tcPr>
            <w:tcW w:w="840"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数据中心</w:t>
            </w:r>
          </w:p>
        </w:tc>
        <w:tc>
          <w:tcPr>
            <w:tcW w:w="4159"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要求设备必须支持将审计数据备份到外置数据中心，实现海量存储；支持通过USBKEY方式对数据中心管理员进行身份验证，确保我单位核心数据不会外泄。</w:t>
            </w:r>
          </w:p>
        </w:tc>
      </w:tr>
    </w:tbl>
    <w:p>
      <w:pPr>
        <w:spacing w:line="580" w:lineRule="exact"/>
        <w:rPr>
          <w:rFonts w:ascii="宋体" w:hAnsi="宋体" w:cs="宋体"/>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数据库审计设备</w:t>
      </w:r>
    </w:p>
    <w:tbl>
      <w:tblPr>
        <w:tblStyle w:val="62"/>
        <w:tblpPr w:leftFromText="180" w:rightFromText="180" w:vertAnchor="text" w:horzAnchor="page" w:tblpX="1808" w:tblpY="568"/>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7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blHeader/>
        </w:trPr>
        <w:tc>
          <w:tcPr>
            <w:tcW w:w="778"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21" w:type="pct"/>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性能配置</w:t>
            </w: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所投产品应为软硬件一体化1U机架设备，吞吐量≥3Gbps，SQL处理性能≥30000条SQL/秒，至少具备6个千兆电口、2个千兆光口SFP。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78" w:type="pct"/>
            <w:vMerge w:val="restart"/>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审计功能</w:t>
            </w: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支持主流数据库Oracle、SQL-Server、DB2、MySQL、Informix、Sybase、Postgresql、Cache、达梦、人大金仓、南大通用等。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78" w:type="pct"/>
            <w:vMerge w:val="continue"/>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支持同时审计多种数据库及跨多种数据库平台操作。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78" w:type="pct"/>
            <w:vMerge w:val="continue"/>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支持白名单审计，系统使用审计白名单将非关注的内容进行过滤，不进行记录，降低了存储空间和无用信息的堆砌。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 w:hRule="atLeast"/>
        </w:trPr>
        <w:tc>
          <w:tcPr>
            <w:tcW w:w="778" w:type="pct"/>
            <w:vMerge w:val="continue"/>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允许查看SQL语句会话日志。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pct"/>
            <w:vMerge w:val="restart"/>
            <w:tcBorders>
              <w:top w:val="single" w:color="auto" w:sz="4" w:space="0"/>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统计功能</w:t>
            </w: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支持以图表方式（饼图、柱图、曲线图、清单列表）显示日志数据分布情况。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778"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支持自定义报备拖拽，通过自定义报表拖拽功能可以随意拖拽用户预期的统计报表，帮助用户提升通过高级选项筛选报表的可读性，更方便达到预期效果。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trPr>
        <w:tc>
          <w:tcPr>
            <w:tcW w:w="778"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支持以风险级别、源IP、业务主机、数据库用户、风险类型为维度的数据库风险排行。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78" w:type="pct"/>
            <w:vMerge w:val="restart"/>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数据库安全</w:t>
            </w: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支持自定义数据库安全策略，可根据业务需要自定义各种场景的安全规则，对于违规的数据库访问可进行实时警告和阻断。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778"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支持向现有的安全感知平台同步数据库风险日志、管理员操作日志、正常审计日志等日志信息，实现数据的统一审计和威胁的关联分析，并在现有的安全感知平台上显示接入状态。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可以对SQL语句进行安全检测，并识别当前的SQL操作是否有暴库、撞库等严重性安全问题，如果命中了安全风险规则，那么可根据动作进行阻断、告警、记录等操作，可提示管理员作出相应的防御措施。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78"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支持基于SQL命令的webshell检测。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78" w:type="pct"/>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日志中心</w:t>
            </w: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支持审计日志的增量备份、全部备份，支持备份文件转储，转储方式支持FTP、NFS，支持备份文件下载到本地。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78" w:type="pct"/>
            <w:vMerge w:val="restart"/>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响应方式</w:t>
            </w: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支持Syslog告警、SNMPtrap告警、邮件告警，短信告警。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778"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支持WEB界面备份及日志恢复导入工作。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trPr>
        <w:tc>
          <w:tcPr>
            <w:tcW w:w="778" w:type="pct"/>
            <w:vMerge w:val="continue"/>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支持自动与手动两种备份归档方式。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pct"/>
            <w:vMerge w:val="restart"/>
            <w:tcBorders>
              <w:left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系统管理</w:t>
            </w: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支持审计系统用户（组）管理（添加、修改、删除、停用、启用）。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pct"/>
            <w:vMerge w:val="continue"/>
            <w:tcBorders>
              <w:left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提供管理员权限设置和分权管理，提供三权分立功能，系统可以对使用人员的操作进行审计记录，可以由审计员进行查询，具有自身安全审计功能。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78" w:type="pct"/>
            <w:vMerge w:val="continue"/>
            <w:tcBorders>
              <w:left w:val="single" w:color="auto" w:sz="4" w:space="0"/>
              <w:right w:val="single" w:color="auto" w:sz="4" w:space="0"/>
            </w:tcBorders>
          </w:tcPr>
          <w:p>
            <w:pPr>
              <w:widowControl/>
              <w:autoSpaceDE w:val="0"/>
              <w:autoSpaceDN w:val="0"/>
              <w:adjustRightInd/>
              <w:jc w:val="left"/>
              <w:rPr>
                <w:rFonts w:ascii="宋体" w:hAnsi="宋体" w:cs="宋体"/>
                <w:bCs/>
                <w:kern w:val="0"/>
                <w:sz w:val="18"/>
                <w:szCs w:val="18"/>
              </w:rPr>
            </w:pPr>
          </w:p>
        </w:tc>
        <w:tc>
          <w:tcPr>
            <w:tcW w:w="422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可以实时监控系统的CPU使用率，内存使用率和磁盘占用率。快速定位系统的负载压力和系统运行状况。</w:t>
            </w:r>
          </w:p>
        </w:tc>
      </w:tr>
    </w:tbl>
    <w:p>
      <w:pPr>
        <w:spacing w:line="580" w:lineRule="exact"/>
        <w:ind w:firstLine="360" w:firstLineChars="200"/>
        <w:rPr>
          <w:rFonts w:ascii="宋体" w:hAnsi="宋体" w:cs="宋体"/>
          <w:sz w:val="18"/>
          <w:szCs w:val="18"/>
          <w:lang w:bidi="en-US"/>
        </w:rPr>
      </w:pPr>
    </w:p>
    <w:p>
      <w:pPr>
        <w:spacing w:line="580" w:lineRule="exact"/>
        <w:ind w:left="420"/>
        <w:rPr>
          <w:rFonts w:ascii="宋体" w:hAnsi="宋体" w:cs="宋体"/>
          <w:bCs/>
          <w:snapToGrid w:val="0"/>
          <w:kern w:val="0"/>
          <w:sz w:val="18"/>
          <w:szCs w:val="18"/>
        </w:rPr>
      </w:pPr>
    </w:p>
    <w:p>
      <w:pPr>
        <w:spacing w:line="580" w:lineRule="exact"/>
        <w:rPr>
          <w:rFonts w:ascii="宋体" w:hAnsi="宋体" w:cs="宋体"/>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电子政务外网与政务云边界防护设备</w:t>
      </w:r>
    </w:p>
    <w:p>
      <w:pPr>
        <w:spacing w:line="580" w:lineRule="exact"/>
        <w:rPr>
          <w:rFonts w:ascii="宋体" w:hAnsi="宋体" w:cs="宋体"/>
          <w:sz w:val="18"/>
          <w:szCs w:val="18"/>
        </w:rPr>
      </w:pPr>
    </w:p>
    <w:tbl>
      <w:tblPr>
        <w:tblStyle w:val="62"/>
        <w:tblW w:w="499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0"/>
        <w:gridCol w:w="7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28" w:hRule="atLeast"/>
        </w:trPr>
        <w:tc>
          <w:tcPr>
            <w:tcW w:w="994" w:type="dxa"/>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7532" w:type="dxa"/>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03" w:hRule="atLeast"/>
        </w:trPr>
        <w:tc>
          <w:tcPr>
            <w:tcW w:w="583"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w:t>
            </w:r>
          </w:p>
        </w:tc>
        <w:tc>
          <w:tcPr>
            <w:tcW w:w="441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产品采用多核并行处理架构，6个千兆电口、6个万兆光口SFP+，支持冗余电源，2U机箱。</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网络层吞吐量≥55Gbps，并发连接数≥420万，每秒新建连接数≥31万。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6" w:hRule="atLeast"/>
        </w:trPr>
        <w:tc>
          <w:tcPr>
            <w:tcW w:w="583" w:type="pc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功能要求</w:t>
            </w:r>
          </w:p>
        </w:tc>
        <w:tc>
          <w:tcPr>
            <w:tcW w:w="441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1、基础网络特性 支持路由、透明、虚拟网线、旁路镜像、混合等多种部署方式，适应复杂使用环境的接入要求。</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2、具备链路故障检测功能，通过ARP、DNS、PING协议等方式检测目标主机的可达性，确认接口链路是否有效，并可自定义检测频率。</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3、支持基于IP地址、端口、地域、协议、应用等维度配置策略路由策略，支持多种负载均衡算法，包括加权、带宽比例、轮询、线路排序等。</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4、支持IPv4/IPv6双栈工作模式。</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5、支持IPv6环境的安全策略设置，实现入侵防御、防病毒、Web应用防护等等安全功能。</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6、访问控制：支持基于区域、IP地址、域名、端口、用户、应用、服务、时间等多个维度设置应用控制策略。</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7、支持基于对象、区域和地域维度设置安全访问控制策略，允许或拒绝特定国家或者地区的对象访问内部网络，保障业务重大时期安全可靠性。</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8、应用控制：产品内置应用特征识别库，支持不少于10000种应用规则，支持对游戏、P2P下载工具、聊天工具、网上银行、视频软件、股票软件、木马控制软件等类型应用进行检测与控制。</w:t>
            </w:r>
          </w:p>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9、安全防护 支持SYNFlood、ICMPFlood、UDPFlood、DNSFlood、ARPFlood等泛洪类攻击防护，支持IP地址扫描和端口扫描攻击防护。</w:t>
            </w:r>
          </w:p>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10、支持ARP欺骗类攻击防护。</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11、支持对HTTPS协议加密会话进行解密分析，支持基于区域、对象、业务类型、服务器IP/端口设置解密策略。</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12、产品内置IPS检测引擎，支持口令暴力破解、僵尸网络、恶意软件、服务器与终端漏洞攻击等检测和防护，支持超过7000种特征规则。</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13、具备僵尸网络检测功能，可基于僵尸网络检测引擎发现主机的异常外联行为，并提供威胁等级和非法外联次数作为举证。</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14、高级威胁分析 支持将安全日志、应用控制日志等上报到现有态势感知平台上，实现威胁的深度关联分析，提供截图证明。</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15、支持联动现有的态势感知平台，可通过态势感知平台联动对风险主机进行封锁，封锁其出入站方向，封锁时间支持自定义。</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16、安全策略管理 支持应用控制策略有效性检测，保障策略持续优化。</w:t>
            </w:r>
          </w:p>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17、支持应用控制策略生命周期管理，包含安全策略的变更时间、变更类型和策略变更用户，并对变更内容记录日志，方便策略的管理和运维。</w:t>
            </w:r>
          </w:p>
        </w:tc>
      </w:tr>
    </w:tbl>
    <w:p>
      <w:pPr>
        <w:pStyle w:val="23"/>
      </w:pPr>
    </w:p>
    <w:p>
      <w:pPr>
        <w:spacing w:line="580" w:lineRule="exact"/>
        <w:rPr>
          <w:rFonts w:ascii="宋体" w:hAnsi="宋体" w:cs="宋体"/>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市民中心局委办与电子政务外网边界防护设备</w:t>
      </w:r>
    </w:p>
    <w:tbl>
      <w:tblPr>
        <w:tblStyle w:val="62"/>
        <w:tblpPr w:leftFromText="180" w:rightFromText="180" w:vertAnchor="text" w:horzAnchor="page" w:tblpX="1808" w:tblpY="627"/>
        <w:tblOverlap w:val="never"/>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4"/>
        <w:gridCol w:w="7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shd w:val="clear" w:color="auto" w:fill="FFFFFF" w:themeFill="background1"/>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37" w:type="pct"/>
            <w:shd w:val="clear" w:color="auto" w:fill="FFFFFF" w:themeFill="background1"/>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硬件要求</w:t>
            </w: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产品采用多核并行处理架构，不少于6个千兆电口、6个万兆光口SFP+，支持冗余电源，2U机箱。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性能要求</w:t>
            </w: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网络层吞吐量≥50Gbps，并发连接数≥410万，每秒新建连接数≥30万。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restar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基础网络特性</w:t>
            </w: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支持路由、透明、虚拟网线、旁路镜像、混合等多种部署方式，适应复杂使用环境的接入要求。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continue"/>
          </w:tcPr>
          <w:p>
            <w:pPr>
              <w:widowControl/>
              <w:autoSpaceDE w:val="0"/>
              <w:autoSpaceDN w:val="0"/>
              <w:adjustRightInd/>
              <w:jc w:val="left"/>
              <w:rPr>
                <w:rFonts w:ascii="宋体" w:hAnsi="宋体" w:cs="宋体"/>
                <w:bCs/>
                <w:kern w:val="0"/>
                <w:sz w:val="18"/>
                <w:szCs w:val="18"/>
              </w:rPr>
            </w:pP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具备链路故障检测功能，通过ARP、DNS、PING协议等方式检测目标主机的可达性，确认接口链路是否有效，并可自定义检测频率。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continue"/>
          </w:tcPr>
          <w:p>
            <w:pPr>
              <w:widowControl/>
              <w:autoSpaceDE w:val="0"/>
              <w:autoSpaceDN w:val="0"/>
              <w:adjustRightInd/>
              <w:jc w:val="left"/>
              <w:rPr>
                <w:rFonts w:ascii="宋体" w:hAnsi="宋体" w:cs="宋体"/>
                <w:bCs/>
                <w:kern w:val="0"/>
                <w:sz w:val="18"/>
                <w:szCs w:val="18"/>
              </w:rPr>
            </w:pP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支持基于IP地址、端口、地域、协议、应用等维度配置策略路由策略，支持多种负载均衡算法，包括加权、带宽比例、轮询、线路排序等。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continue"/>
          </w:tcPr>
          <w:p>
            <w:pPr>
              <w:widowControl/>
              <w:autoSpaceDE w:val="0"/>
              <w:autoSpaceDN w:val="0"/>
              <w:adjustRightInd/>
              <w:jc w:val="left"/>
              <w:rPr>
                <w:rFonts w:ascii="宋体" w:hAnsi="宋体" w:cs="宋体"/>
                <w:bCs/>
                <w:kern w:val="0"/>
                <w:sz w:val="18"/>
                <w:szCs w:val="18"/>
              </w:rPr>
            </w:pP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支持IPv4/IPv6双栈工作模式。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continue"/>
          </w:tcPr>
          <w:p>
            <w:pPr>
              <w:widowControl/>
              <w:autoSpaceDE w:val="0"/>
              <w:autoSpaceDN w:val="0"/>
              <w:adjustRightInd/>
              <w:jc w:val="left"/>
              <w:rPr>
                <w:rFonts w:ascii="宋体" w:hAnsi="宋体" w:cs="宋体"/>
                <w:bCs/>
                <w:kern w:val="0"/>
                <w:sz w:val="18"/>
                <w:szCs w:val="18"/>
              </w:rPr>
            </w:pP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支持IPv6环境的安全策略设置，实现入侵防御、防病毒、Web应用防护等等安全功能。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restar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访问控制</w:t>
            </w: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支持基于区域、IP地址、域名、端口、用户、应用、服务、时间等多个维度设置应用控制策略。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continue"/>
          </w:tcPr>
          <w:p>
            <w:pPr>
              <w:widowControl/>
              <w:autoSpaceDE w:val="0"/>
              <w:autoSpaceDN w:val="0"/>
              <w:adjustRightInd/>
              <w:jc w:val="left"/>
              <w:rPr>
                <w:rFonts w:ascii="宋体" w:hAnsi="宋体" w:cs="宋体"/>
                <w:bCs/>
                <w:kern w:val="0"/>
                <w:sz w:val="18"/>
                <w:szCs w:val="18"/>
              </w:rPr>
            </w:pP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支持基于对象、区域和地域维度设置安全访问控制策略，允许或拒绝特定国家或者地区的对象访问内部网络，保障业务重大时期安全可靠性。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应用控制</w:t>
            </w: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产品内置应用特征识别库，支持不少于10000种应用规则，支持对游戏、P2P下载工具、聊天工具、网上银行、视频软件、股票软件、木马控制软件等类型应用进行检测与控制。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restar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安全防护</w:t>
            </w:r>
          </w:p>
        </w:tc>
        <w:tc>
          <w:tcPr>
            <w:tcW w:w="4237"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支持SYNFlood、ICMPFlood、UDPFlood、DNSFlood、ARPFlood等泛洪类攻击防护，支持IP地址扫描和端口扫描攻击防护。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continue"/>
          </w:tcPr>
          <w:p>
            <w:pPr>
              <w:widowControl/>
              <w:autoSpaceDE w:val="0"/>
              <w:autoSpaceDN w:val="0"/>
              <w:adjustRightInd/>
              <w:jc w:val="left"/>
              <w:rPr>
                <w:rFonts w:ascii="宋体" w:hAnsi="宋体" w:cs="宋体"/>
                <w:bCs/>
                <w:kern w:val="0"/>
                <w:sz w:val="18"/>
                <w:szCs w:val="18"/>
                <w:lang w:eastAsia="en-US"/>
              </w:rPr>
            </w:pP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支持ARP欺骗类攻击防护。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continue"/>
          </w:tcPr>
          <w:p>
            <w:pPr>
              <w:widowControl/>
              <w:autoSpaceDE w:val="0"/>
              <w:autoSpaceDN w:val="0"/>
              <w:adjustRightInd/>
              <w:jc w:val="left"/>
              <w:rPr>
                <w:rFonts w:ascii="宋体" w:hAnsi="宋体" w:cs="宋体"/>
                <w:bCs/>
                <w:kern w:val="0"/>
                <w:sz w:val="18"/>
                <w:szCs w:val="18"/>
              </w:rPr>
            </w:pP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支持对HTTPS协议加密会话进行解密分析，支持基于区域、对象、业务类型、服务器IP/端口设置解密策略。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continue"/>
          </w:tcPr>
          <w:p>
            <w:pPr>
              <w:widowControl/>
              <w:autoSpaceDE w:val="0"/>
              <w:autoSpaceDN w:val="0"/>
              <w:adjustRightInd/>
              <w:jc w:val="left"/>
              <w:rPr>
                <w:rFonts w:ascii="宋体" w:hAnsi="宋体" w:cs="宋体"/>
                <w:bCs/>
                <w:kern w:val="0"/>
                <w:sz w:val="18"/>
                <w:szCs w:val="18"/>
              </w:rPr>
            </w:pP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产品内置IPS检测引擎，支持口令暴力破解、僵尸网络、恶意软件、服务器与终端漏洞攻击等检测和防护，支持超过7000种特征规则。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continue"/>
          </w:tcPr>
          <w:p>
            <w:pPr>
              <w:widowControl/>
              <w:autoSpaceDE w:val="0"/>
              <w:autoSpaceDN w:val="0"/>
              <w:adjustRightInd/>
              <w:jc w:val="left"/>
              <w:rPr>
                <w:rFonts w:ascii="宋体" w:hAnsi="宋体" w:cs="宋体"/>
                <w:bCs/>
                <w:kern w:val="0"/>
                <w:sz w:val="18"/>
                <w:szCs w:val="18"/>
              </w:rPr>
            </w:pP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具备僵尸网络检测功能，可基于僵尸网络检测引擎发现主机的异常外联行为，并提供威胁等级和非法外联次数作为举证。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高级威胁分析</w:t>
            </w: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支持将安全日志、应用控制日志等上报到现有态势感知平台上，实现威胁的深度关联分析。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continue"/>
          </w:tcPr>
          <w:p>
            <w:pPr>
              <w:widowControl/>
              <w:autoSpaceDE w:val="0"/>
              <w:autoSpaceDN w:val="0"/>
              <w:adjustRightInd/>
              <w:jc w:val="left"/>
              <w:rPr>
                <w:rFonts w:ascii="宋体" w:hAnsi="宋体" w:cs="宋体"/>
                <w:bCs/>
                <w:kern w:val="0"/>
                <w:sz w:val="18"/>
                <w:szCs w:val="18"/>
              </w:rPr>
            </w:pP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支持联动现有的态势感知平台，可通过态势感知平台联动对风险主机进行封锁，封锁其出入站方向，封锁时间支持自定义。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restar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安全策略管理</w:t>
            </w: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支持应用控制策略有效性检测，保障策略持续优化。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continue"/>
          </w:tcPr>
          <w:p>
            <w:pPr>
              <w:widowControl/>
              <w:autoSpaceDE w:val="0"/>
              <w:autoSpaceDN w:val="0"/>
              <w:adjustRightInd/>
              <w:jc w:val="left"/>
              <w:rPr>
                <w:rFonts w:ascii="宋体" w:hAnsi="宋体" w:cs="宋体"/>
                <w:bCs/>
                <w:kern w:val="0"/>
                <w:sz w:val="18"/>
                <w:szCs w:val="18"/>
              </w:rPr>
            </w:pPr>
          </w:p>
        </w:tc>
        <w:tc>
          <w:tcPr>
            <w:tcW w:w="4237"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支持应用控制策略生命周期管理，包含安全策略的变更时间、变更类型和策略变更用户，并对变更内容记录日志，方便策略的管理和运维。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产品资质</w:t>
            </w:r>
          </w:p>
        </w:tc>
        <w:tc>
          <w:tcPr>
            <w:tcW w:w="4237"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产品具备国家信息安全漏洞库兼容性资质证书，需提供有效证书复印件证明。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762" w:type="pct"/>
            <w:vMerge w:val="continue"/>
            <w:vAlign w:val="center"/>
          </w:tcPr>
          <w:p>
            <w:pPr>
              <w:widowControl/>
              <w:autoSpaceDE w:val="0"/>
              <w:autoSpaceDN w:val="0"/>
              <w:adjustRightInd/>
              <w:jc w:val="left"/>
              <w:rPr>
                <w:rFonts w:ascii="宋体" w:hAnsi="宋体" w:cs="宋体"/>
                <w:bCs/>
                <w:kern w:val="0"/>
                <w:sz w:val="18"/>
                <w:szCs w:val="18"/>
              </w:rPr>
            </w:pPr>
          </w:p>
        </w:tc>
        <w:tc>
          <w:tcPr>
            <w:tcW w:w="4237"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产品具备中国人民共和国国家版权局颁发的关于“账号安全保护、主动防御”功能的软件著作权，需提供有效证书复印件证明。</w:t>
            </w:r>
          </w:p>
        </w:tc>
      </w:tr>
    </w:tbl>
    <w:p>
      <w:pPr>
        <w:spacing w:line="580" w:lineRule="exact"/>
        <w:rPr>
          <w:rFonts w:ascii="宋体" w:hAnsi="宋体" w:cs="宋体"/>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市民中心外围局委办边界（鸿鼎、劳技PE侧边界）设备</w:t>
      </w:r>
    </w:p>
    <w:tbl>
      <w:tblPr>
        <w:tblStyle w:val="6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shd w:val="clear" w:color="auto" w:fill="FFFFFF" w:themeFill="background1"/>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36" w:type="pct"/>
            <w:shd w:val="clear" w:color="auto" w:fill="FFFFFF" w:themeFill="background1"/>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硬件要求</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产品采用多核并行处理架构，不少于6个千兆电口、6个万兆光口SFP+，支持冗余电源，2U机箱。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性能要求</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网络层吞吐量≥50Gbps，并发连接数≥410万，每秒新建连接数≥30万。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restar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基础网络特性</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支持路由、透明、虚拟网线、旁路镜像、混合等多种部署方式，适应复杂使用环境的接入要求。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具备链路故障检测功能，通过ARP、DNS、PING协议等方式检测目标主机的可达性，确认接口链路是否有效，并可自定义检测频率。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支持基于IP地址、端口、地域、协议、应用等维度配置策略路由策略，支持多种负载均衡算法，包括加权、带宽比例、轮询、线路排序等。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支持IPv4/IPv6双栈工作模式。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支持IPv6环境的安全策略设置，实现入侵防御、防病毒、Web应用防护等等安全功能。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restar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访问控制</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支持基于区域、IP地址、域名、端口、用户、应用、服务、时间等多个维度设置应用控制策略。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支持基于对象、区域和地域维度设置安全访问控制策略，允许或拒绝特定国家或者地区的对象访问内部网络，保障业务重大时期安全可靠性。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应用控制</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产品内置应用特征识别库，支持不少于10000种应用规则，支持对游戏、P2P下载工具、聊天工具、网上银行、视频软件、股票软件、木马控制软件等类型应用进行检测与控制。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restar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安全防护</w:t>
            </w:r>
          </w:p>
        </w:tc>
        <w:tc>
          <w:tcPr>
            <w:tcW w:w="4236"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支持SYNFlood、ICMPFlood、UDPFlood、DNSFlood、ARPFlood等泛洪类攻击防护，支持IP地址扫描和端口扫描攻击防护。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continue"/>
          </w:tcPr>
          <w:p>
            <w:pPr>
              <w:widowControl/>
              <w:autoSpaceDE w:val="0"/>
              <w:autoSpaceDN w:val="0"/>
              <w:adjustRightInd/>
              <w:jc w:val="left"/>
              <w:rPr>
                <w:rFonts w:ascii="宋体" w:hAnsi="宋体" w:cs="宋体"/>
                <w:bCs/>
                <w:kern w:val="0"/>
                <w:sz w:val="18"/>
                <w:szCs w:val="18"/>
                <w:lang w:eastAsia="en-US"/>
              </w:rPr>
            </w:pPr>
          </w:p>
        </w:tc>
        <w:tc>
          <w:tcPr>
            <w:tcW w:w="4236" w:type="pct"/>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提供具备CMA认证的第三方权威机构关于“勒索软件通信防护”功能项的检测报告，提供产品报告截图。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支持ARP欺骗类攻击防护。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支持对HTTPS协议加密会话进行解密分析，支持基于区域、对象、业务类型、服务器IP/端口设置解密策略。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产品内置IPS检测引擎，支持口令暴力破解、僵尸网络、恶意软件、服务器与终端漏洞攻击等检测和防护，支持超过7000种特征规则。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具备僵尸网络检测功能，可基于僵尸网络检测引擎发现主机的异常外联行为，并提供威胁等级和非法外联次数作为举证。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高级威胁分析</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支持将安全日志、应用控制日志等上报到现有态势感知平台上，实现威胁的深度关联分析。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支持联动现有的态势感知平台，可通过态势感知平台联动对风险主机进行封锁，封锁其出入站方向，封锁时间支持自定义。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restar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安全策略管理</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支持应用控制策略有效性检测，保障策略持续优化。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支持应用控制策略生命周期管理，包含安全策略的变更时间、变更类型和策略变更用户，并对变更内容记录日志，方便策略的管理和运维。</w:t>
            </w:r>
          </w:p>
        </w:tc>
      </w:tr>
    </w:tbl>
    <w:p>
      <w:pPr>
        <w:spacing w:line="580" w:lineRule="exact"/>
        <w:rPr>
          <w:rFonts w:ascii="宋体" w:hAnsi="宋体" w:cs="宋体"/>
          <w:sz w:val="18"/>
          <w:szCs w:val="18"/>
        </w:rPr>
      </w:pPr>
    </w:p>
    <w:p>
      <w:pPr>
        <w:spacing w:line="580" w:lineRule="exact"/>
        <w:rPr>
          <w:rFonts w:ascii="宋体" w:hAnsi="宋体" w:cs="宋体"/>
          <w:sz w:val="18"/>
          <w:szCs w:val="18"/>
        </w:rPr>
      </w:pPr>
    </w:p>
    <w:p>
      <w:pPr>
        <w:pStyle w:val="965"/>
        <w:numPr>
          <w:ilvl w:val="2"/>
          <w:numId w:val="5"/>
        </w:numPr>
        <w:tabs>
          <w:tab w:val="clear" w:pos="0"/>
        </w:tabs>
        <w:spacing w:line="580" w:lineRule="exact"/>
        <w:outlineLvl w:val="4"/>
        <w:rPr>
          <w:rFonts w:ascii="宋体" w:hAnsi="宋体" w:eastAsia="宋体" w:cs="宋体"/>
          <w:b w:val="0"/>
          <w:sz w:val="24"/>
          <w:szCs w:val="24"/>
        </w:rPr>
      </w:pPr>
      <w:r>
        <w:rPr>
          <w:rFonts w:hint="eastAsia" w:ascii="宋体" w:hAnsi="宋体" w:eastAsia="宋体" w:cs="宋体"/>
          <w:b w:val="0"/>
          <w:sz w:val="24"/>
          <w:szCs w:val="24"/>
        </w:rPr>
        <w:t>市民中心外围局委办边界（干休所、高银巷PE侧边界）设备</w:t>
      </w:r>
    </w:p>
    <w:tbl>
      <w:tblPr>
        <w:tblStyle w:val="6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6"/>
        <w:gridCol w:w="7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shd w:val="clear" w:color="auto" w:fill="FFFFFF" w:themeFill="background1"/>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指标项</w:t>
            </w:r>
          </w:p>
        </w:tc>
        <w:tc>
          <w:tcPr>
            <w:tcW w:w="4236" w:type="pct"/>
            <w:shd w:val="clear" w:color="auto" w:fill="FFFFFF" w:themeFill="background1"/>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指标要求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硬件要求</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产品采用多核并行处理架构，不少于6个千兆电口、6个万兆光口SFP+，支持冗余电源，2U机箱。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性能要求</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网络层吞吐量≥55Gbps，并发连接数≥420万，每秒新建连接数≥31万。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restar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基础网络特性</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支持路由、透明、虚拟网线、旁路镜像、混合等多种部署方式，适应复杂使用环境的接入要求。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具备链路故障检测功能，通过ARP、DNS、PING协议等方式检测目标主机的可达性，确认接口链路是否有效，并可自定义检测频率。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支持基于IP地址、端口、地域、协议、应用等维度配置策略路由策略，支持多种负载均衡算法，包括加权、带宽比例、轮询、线路排序等。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支持IPv4/IPv6双栈工作模式。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支持IPv6环境的安全策略设置，实现入侵防御、防病毒、Web应用防护等等安全功能。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restar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访问控制</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支持基于区域、IP地址、域名、端口、用户、应用、服务、时间等多个维度设置应用控制策略。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支持基于对象、区域和地域维度设置安全访问控制策略，允许或拒绝特定国家或者地区的对象访问内部网络，保障业务重大时期安全可靠性。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应用控制</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产品内置应用特征识别库，支持不少于10000种应用规则，支持对游戏、P2P下载工具、聊天工具、网上银行、视频软件、股票软件、木马控制软件等类型应用进行检测与控制。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restar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安全防护</w:t>
            </w:r>
          </w:p>
        </w:tc>
        <w:tc>
          <w:tcPr>
            <w:tcW w:w="4236" w:type="pc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支持SYNFlood、ICMPFlood、UDPFlood、DNSFlood、ARPFlood等泛洪类攻击防护，支持IP地址扫描和端口扫描攻击防护。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continue"/>
          </w:tcPr>
          <w:p>
            <w:pPr>
              <w:widowControl/>
              <w:autoSpaceDE w:val="0"/>
              <w:autoSpaceDN w:val="0"/>
              <w:adjustRightInd/>
              <w:jc w:val="left"/>
              <w:rPr>
                <w:rFonts w:ascii="宋体" w:hAnsi="宋体" w:cs="宋体"/>
                <w:bCs/>
                <w:kern w:val="0"/>
                <w:sz w:val="18"/>
                <w:szCs w:val="18"/>
                <w:lang w:eastAsia="en-US"/>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支持ARP欺骗类攻击防护。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支持对HTTPS协议加密会话进行解密分析，支持基于区域、对象、业务类型、服务器IP/端口设置解密策略。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产品内置IPS检测引擎，支持口令暴力破解、僵尸网络、恶意软件、服务器与终端漏洞攻击等检测和防护，支持超过7000种特征规则。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具备僵尸网络检测功能，可基于僵尸网络检测引擎发现主机的异常外联行为，并提供威胁等级和非法外联次数作为举证。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restart"/>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高级威胁分析</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支持将安全日志、应用控制日志等上报到现有态势感知平台上，实现威胁的深度关联分析，提供截图证明。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支持联动现有的态势感知平台，可通过态势感知平台联动对风险主机进行封锁，封锁其出入站方向，封锁时间支持自定义。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restart"/>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安全策略管理</w:t>
            </w: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支持应用控制策略有效性检测，保障策略持续优化。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 w:hRule="atLeast"/>
          <w:jc w:val="center"/>
        </w:trPr>
        <w:tc>
          <w:tcPr>
            <w:tcW w:w="763" w:type="pct"/>
            <w:vMerge w:val="continue"/>
          </w:tcPr>
          <w:p>
            <w:pPr>
              <w:widowControl/>
              <w:autoSpaceDE w:val="0"/>
              <w:autoSpaceDN w:val="0"/>
              <w:adjustRightInd/>
              <w:jc w:val="left"/>
              <w:rPr>
                <w:rFonts w:ascii="宋体" w:hAnsi="宋体" w:cs="宋体"/>
                <w:bCs/>
                <w:kern w:val="0"/>
                <w:sz w:val="18"/>
                <w:szCs w:val="18"/>
              </w:rPr>
            </w:pPr>
          </w:p>
        </w:tc>
        <w:tc>
          <w:tcPr>
            <w:tcW w:w="4236" w:type="pct"/>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支持应用控制策略生命周期管理，包含安全策略的变更时间、变更类型和策略变更用户，并对变更内容记录日志，方便策略的管理和运维。</w:t>
            </w:r>
          </w:p>
        </w:tc>
      </w:tr>
    </w:tbl>
    <w:p>
      <w:pPr>
        <w:numPr>
          <w:ilvl w:val="0"/>
          <w:numId w:val="0"/>
        </w:numPr>
        <w:tabs>
          <w:tab w:val="left" w:pos="0"/>
        </w:tabs>
        <w:spacing w:line="580" w:lineRule="exact"/>
        <w:ind w:leftChars="0"/>
        <w:rPr>
          <w:rFonts w:hint="eastAsia" w:ascii="宋体" w:hAnsi="宋体" w:cs="宋体"/>
          <w:lang w:val="en-US" w:eastAsia="zh-CN"/>
        </w:rPr>
      </w:pPr>
    </w:p>
    <w:p>
      <w:pPr>
        <w:pStyle w:val="965"/>
        <w:keepNext/>
        <w:keepLines w:val="0"/>
        <w:pageBreakBefore w:val="0"/>
        <w:widowControl w:val="0"/>
        <w:numPr>
          <w:ilvl w:val="2"/>
          <w:numId w:val="5"/>
        </w:numPr>
        <w:tabs>
          <w:tab w:val="clear" w:pos="0"/>
        </w:tabs>
        <w:kinsoku/>
        <w:wordWrap/>
        <w:overflowPunct/>
        <w:topLinePunct w:val="0"/>
        <w:autoSpaceDE/>
        <w:autoSpaceDN/>
        <w:bidi w:val="0"/>
        <w:adjustRightInd w:val="0"/>
        <w:snapToGrid/>
        <w:spacing w:line="580" w:lineRule="exact"/>
        <w:ind w:left="850" w:hanging="850"/>
        <w:textAlignment w:val="auto"/>
        <w:outlineLvl w:val="4"/>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CPE租赁</w:t>
      </w:r>
    </w:p>
    <w:p>
      <w:pPr>
        <w:numPr>
          <w:ilvl w:val="0"/>
          <w:numId w:val="0"/>
        </w:numPr>
        <w:tabs>
          <w:tab w:val="left" w:pos="0"/>
        </w:tabs>
        <w:spacing w:line="580" w:lineRule="exact"/>
        <w:ind w:leftChars="0"/>
        <w:rPr>
          <w:rFonts w:hint="eastAsia" w:ascii="宋体" w:hAnsi="宋体" w:cs="宋体"/>
          <w:lang w:val="en-US" w:eastAsia="zh-CN"/>
        </w:rPr>
      </w:pPr>
    </w:p>
    <w:tbl>
      <w:tblPr>
        <w:tblStyle w:val="6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1"/>
        <w:gridCol w:w="6614"/>
        <w:gridCol w:w="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81" w:type="dxa"/>
          </w:tcPr>
          <w:p>
            <w:pPr>
              <w:widowControl/>
              <w:autoSpaceDE w:val="0"/>
              <w:autoSpaceDN w:val="0"/>
              <w:adjustRightInd/>
              <w:jc w:val="left"/>
              <w:rPr>
                <w:rFonts w:hint="default" w:ascii="宋体" w:hAnsi="宋体" w:eastAsia="宋体" w:cs="宋体"/>
                <w:bCs/>
                <w:kern w:val="0"/>
                <w:sz w:val="18"/>
                <w:szCs w:val="18"/>
                <w:lang w:val="en-US" w:eastAsia="zh-CN"/>
              </w:rPr>
            </w:pPr>
            <w:r>
              <w:rPr>
                <w:rFonts w:hint="eastAsia" w:ascii="宋体" w:hAnsi="宋体" w:eastAsia="宋体" w:cs="宋体"/>
                <w:bCs/>
                <w:kern w:val="0"/>
                <w:sz w:val="18"/>
                <w:szCs w:val="18"/>
                <w:lang w:val="en-US" w:eastAsia="zh-CN"/>
              </w:rPr>
              <w:t>便携式CPE</w:t>
            </w:r>
          </w:p>
        </w:tc>
        <w:tc>
          <w:tcPr>
            <w:tcW w:w="6614" w:type="dxa"/>
          </w:tcPr>
          <w:p>
            <w:pPr>
              <w:widowControl/>
              <w:autoSpaceDE w:val="0"/>
              <w:autoSpaceDN w:val="0"/>
              <w:adjustRightInd/>
              <w:jc w:val="left"/>
              <w:rPr>
                <w:rFonts w:hint="default" w:ascii="宋体" w:hAnsi="宋体" w:eastAsia="宋体" w:cs="宋体"/>
                <w:bCs/>
                <w:kern w:val="0"/>
                <w:sz w:val="18"/>
                <w:szCs w:val="18"/>
                <w:lang w:val="en-US" w:eastAsia="zh-CN"/>
              </w:rPr>
            </w:pPr>
            <w:r>
              <w:rPr>
                <w:rFonts w:hint="eastAsia" w:ascii="宋体" w:hAnsi="宋体" w:eastAsia="宋体" w:cs="宋体"/>
                <w:bCs/>
                <w:kern w:val="0"/>
                <w:sz w:val="18"/>
                <w:szCs w:val="18"/>
                <w:lang w:val="en-US" w:eastAsia="zh-CN"/>
              </w:rPr>
              <w:t>满足主要领导出差访问使用（含国内外1年流量）</w:t>
            </w:r>
          </w:p>
        </w:tc>
        <w:tc>
          <w:tcPr>
            <w:tcW w:w="600" w:type="dxa"/>
          </w:tcPr>
          <w:p>
            <w:pPr>
              <w:widowControl/>
              <w:autoSpaceDE w:val="0"/>
              <w:autoSpaceDN w:val="0"/>
              <w:adjustRightInd/>
              <w:jc w:val="left"/>
              <w:rPr>
                <w:rFonts w:hint="default" w:ascii="宋体" w:hAnsi="宋体" w:eastAsia="宋体" w:cs="宋体"/>
                <w:bCs/>
                <w:kern w:val="0"/>
                <w:sz w:val="18"/>
                <w:szCs w:val="18"/>
                <w:lang w:val="en-US" w:eastAsia="zh-CN"/>
              </w:rPr>
            </w:pPr>
            <w:r>
              <w:rPr>
                <w:rFonts w:hint="eastAsia" w:ascii="宋体" w:hAnsi="宋体" w:eastAsia="宋体" w:cs="宋体"/>
                <w:bCs/>
                <w:kern w:val="0"/>
                <w:sz w:val="18"/>
                <w:szCs w:val="18"/>
                <w:lang w:val="en-US" w:eastAsia="zh-CN"/>
              </w:rPr>
              <w:t>1套</w:t>
            </w:r>
          </w:p>
        </w:tc>
      </w:tr>
    </w:tbl>
    <w:p>
      <w:pPr>
        <w:numPr>
          <w:ilvl w:val="0"/>
          <w:numId w:val="0"/>
        </w:numPr>
        <w:tabs>
          <w:tab w:val="left" w:pos="0"/>
        </w:tabs>
        <w:spacing w:line="580" w:lineRule="exact"/>
        <w:ind w:leftChars="0"/>
        <w:rPr>
          <w:rFonts w:hint="default" w:ascii="宋体" w:hAnsi="宋体" w:cs="宋体"/>
          <w:lang w:val="en-US" w:eastAsia="zh-CN"/>
        </w:rPr>
      </w:pPr>
    </w:p>
    <w:p>
      <w:pPr>
        <w:pStyle w:val="965"/>
        <w:keepNext w:val="0"/>
        <w:numPr>
          <w:ilvl w:val="1"/>
          <w:numId w:val="4"/>
        </w:numPr>
        <w:spacing w:line="580" w:lineRule="exact"/>
        <w:rPr>
          <w:rFonts w:ascii="宋体" w:hAnsi="宋体" w:eastAsia="宋体" w:cs="宋体"/>
          <w:sz w:val="24"/>
          <w:szCs w:val="24"/>
        </w:rPr>
      </w:pPr>
      <w:r>
        <w:rPr>
          <w:rFonts w:hint="eastAsia" w:ascii="宋体" w:hAnsi="宋体" w:eastAsia="宋体" w:cs="宋体"/>
          <w:sz w:val="24"/>
          <w:szCs w:val="24"/>
        </w:rPr>
        <w:t>政务外网平台化运维能力租赁服务</w:t>
      </w:r>
    </w:p>
    <w:p>
      <w:pPr>
        <w:tabs>
          <w:tab w:val="left" w:pos="0"/>
        </w:tabs>
        <w:spacing w:line="580" w:lineRule="exact"/>
        <w:ind w:left="567"/>
        <w:rPr>
          <w:rFonts w:ascii="仿宋" w:hAnsi="Cambria" w:eastAsia="仿宋"/>
          <w:sz w:val="28"/>
          <w:szCs w:val="28"/>
        </w:rPr>
      </w:pPr>
    </w:p>
    <w:tbl>
      <w:tblPr>
        <w:tblStyle w:val="62"/>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6"/>
        <w:gridCol w:w="2828"/>
        <w:gridCol w:w="5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06"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1</w:t>
            </w:r>
          </w:p>
        </w:tc>
        <w:tc>
          <w:tcPr>
            <w:tcW w:w="2828"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电子政务外网申请审批服务</w:t>
            </w:r>
          </w:p>
        </w:tc>
        <w:tc>
          <w:tcPr>
            <w:tcW w:w="5056"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政务外网VPN申请、墙口开通、有线、无线网络开通关闭，割接报备等流程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06"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2</w:t>
            </w:r>
          </w:p>
        </w:tc>
        <w:tc>
          <w:tcPr>
            <w:tcW w:w="2828"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数据采集服务</w:t>
            </w:r>
          </w:p>
        </w:tc>
        <w:tc>
          <w:tcPr>
            <w:tcW w:w="5056"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政务外网设备和政务外网线路相关性能状态数据采集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06"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3</w:t>
            </w:r>
          </w:p>
        </w:tc>
        <w:tc>
          <w:tcPr>
            <w:tcW w:w="2828"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性能自动化告警服务</w:t>
            </w:r>
          </w:p>
        </w:tc>
        <w:tc>
          <w:tcPr>
            <w:tcW w:w="5056"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通过web界面中的告警首页，实时展示所有告警状态，告警节点、告警类型和告警内容，使网络管理员能清晰直观的知道网络中存在的问题，快速并准确的对应到告警设备，并对告警内容进行相对应的的处理。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06"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4</w:t>
            </w:r>
          </w:p>
        </w:tc>
        <w:tc>
          <w:tcPr>
            <w:tcW w:w="2828"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数据展示服务</w:t>
            </w:r>
          </w:p>
        </w:tc>
        <w:tc>
          <w:tcPr>
            <w:tcW w:w="5056"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可视化呈现拓扑关系，展示对应设备的运行情况、实时展示所选线路信息，线路流量上限、线路实时流量等、按日、周、月统计设备运行情况、按分钟、日统计网络线路流量分布情况、可视化呈现封堵IP数量、黑名单数量、处理告警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06"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5</w:t>
            </w:r>
          </w:p>
        </w:tc>
        <w:tc>
          <w:tcPr>
            <w:tcW w:w="2828"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机房管理服务</w:t>
            </w:r>
          </w:p>
        </w:tc>
        <w:tc>
          <w:tcPr>
            <w:tcW w:w="5056"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对接机房感知设备，获得机房运行实时情况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06"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6</w:t>
            </w:r>
          </w:p>
        </w:tc>
        <w:tc>
          <w:tcPr>
            <w:tcW w:w="2828"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数据看板对接服务</w:t>
            </w:r>
          </w:p>
        </w:tc>
        <w:tc>
          <w:tcPr>
            <w:tcW w:w="5056"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和数字杭州数字数据看板对接，提供所需要的数据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06"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7</w:t>
            </w:r>
          </w:p>
        </w:tc>
        <w:tc>
          <w:tcPr>
            <w:tcW w:w="2828"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政务网线路精细化管理服务</w:t>
            </w:r>
          </w:p>
        </w:tc>
        <w:tc>
          <w:tcPr>
            <w:tcW w:w="5056"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对现在的政务外网线路，进行精细化管理，涵盖所有政务网情况，并且提供申请，变更，撤销，提醒等服务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06"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8</w:t>
            </w:r>
          </w:p>
        </w:tc>
        <w:tc>
          <w:tcPr>
            <w:tcW w:w="2828"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DHCP数据清洗服务租用</w:t>
            </w:r>
          </w:p>
        </w:tc>
        <w:tc>
          <w:tcPr>
            <w:tcW w:w="5056"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存储，查询历史DHCP分配数据，为安全事件溯源提供数据支撑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06" w:type="dxa"/>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9</w:t>
            </w:r>
          </w:p>
        </w:tc>
        <w:tc>
          <w:tcPr>
            <w:tcW w:w="2828" w:type="dxa"/>
            <w:shd w:val="clear" w:color="auto" w:fill="auto"/>
            <w:vAlign w:val="center"/>
          </w:tcPr>
          <w:p>
            <w:pPr>
              <w:keepNext w:val="0"/>
              <w:keepLines w:val="0"/>
              <w:widowControl/>
              <w:suppressLineNumbers w:val="0"/>
              <w:autoSpaceDE w:val="0"/>
              <w:autoSpaceDN w:val="0"/>
              <w:adjustRightInd/>
              <w:ind w:left="0" w:leftChars="0" w:firstLine="0" w:firstLineChars="0"/>
              <w:jc w:val="left"/>
              <w:textAlignment w:val="auto"/>
              <w:rPr>
                <w:rFonts w:hint="eastAsia" w:ascii="宋体" w:hAnsi="宋体" w:eastAsia="宋体" w:cs="宋体"/>
                <w:bCs/>
                <w:i w:val="0"/>
                <w:iCs w:val="0"/>
                <w:kern w:val="0"/>
                <w:sz w:val="18"/>
                <w:szCs w:val="18"/>
                <w:u w:val="none"/>
                <w:lang w:val="en-US" w:eastAsia="zh-CN" w:bidi="ar"/>
              </w:rPr>
            </w:pPr>
            <w:r>
              <w:rPr>
                <w:rFonts w:hint="eastAsia" w:ascii="宋体" w:hAnsi="宋体" w:eastAsia="宋体" w:cs="宋体"/>
                <w:bCs/>
                <w:i w:val="0"/>
                <w:iCs w:val="0"/>
                <w:kern w:val="0"/>
                <w:sz w:val="18"/>
                <w:szCs w:val="18"/>
                <w:u w:val="none"/>
                <w:lang w:val="en-US" w:eastAsia="zh-CN" w:bidi="ar"/>
              </w:rPr>
              <w:t>电子政务外网态势感知数据清洗服务租用</w:t>
            </w:r>
          </w:p>
        </w:tc>
        <w:tc>
          <w:tcPr>
            <w:tcW w:w="5056" w:type="dxa"/>
            <w:shd w:val="clear" w:color="auto" w:fill="auto"/>
            <w:vAlign w:val="center"/>
          </w:tcPr>
          <w:p>
            <w:pPr>
              <w:keepNext w:val="0"/>
              <w:keepLines w:val="0"/>
              <w:widowControl/>
              <w:suppressLineNumbers w:val="0"/>
              <w:autoSpaceDE w:val="0"/>
              <w:autoSpaceDN w:val="0"/>
              <w:adjustRightInd/>
              <w:ind w:left="0" w:leftChars="0" w:firstLine="0" w:firstLineChars="0"/>
              <w:jc w:val="left"/>
              <w:textAlignment w:val="auto"/>
              <w:rPr>
                <w:rFonts w:hint="eastAsia" w:ascii="宋体" w:hAnsi="宋体" w:eastAsia="宋体" w:cs="宋体"/>
                <w:bCs/>
                <w:i w:val="0"/>
                <w:iCs w:val="0"/>
                <w:kern w:val="0"/>
                <w:sz w:val="18"/>
                <w:szCs w:val="18"/>
                <w:u w:val="none"/>
                <w:lang w:val="en-US" w:eastAsia="zh-CN" w:bidi="ar"/>
              </w:rPr>
            </w:pPr>
            <w:r>
              <w:rPr>
                <w:rFonts w:hint="eastAsia" w:ascii="宋体" w:hAnsi="宋体" w:eastAsia="宋体" w:cs="宋体"/>
                <w:bCs/>
                <w:i w:val="0"/>
                <w:iCs w:val="0"/>
                <w:kern w:val="0"/>
                <w:sz w:val="18"/>
                <w:szCs w:val="18"/>
                <w:u w:val="none"/>
                <w:lang w:val="en-US" w:eastAsia="zh-CN" w:bidi="ar"/>
              </w:rPr>
              <w:t>现有态势感知数据初步清洗后同步至市安全管控平台，为安全管控平台提供可用的网络区域的安全基础数据。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606" w:type="dxa"/>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val="en-US" w:eastAsia="zh-CN"/>
              </w:rPr>
              <w:t>10</w:t>
            </w:r>
          </w:p>
        </w:tc>
        <w:tc>
          <w:tcPr>
            <w:tcW w:w="2828"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骨干网全年无故障率指标服务租用</w:t>
            </w:r>
          </w:p>
        </w:tc>
        <w:tc>
          <w:tcPr>
            <w:tcW w:w="5056" w:type="dxa"/>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自动采集骨干链路数据形成全年无故障率指标</w:t>
            </w:r>
          </w:p>
        </w:tc>
      </w:tr>
    </w:tbl>
    <w:p>
      <w:pPr>
        <w:numPr>
          <w:ilvl w:val="255"/>
          <w:numId w:val="0"/>
        </w:numPr>
        <w:spacing w:line="580" w:lineRule="exact"/>
        <w:ind w:firstLine="480" w:firstLineChars="200"/>
        <w:rPr>
          <w:rFonts w:ascii="Songti SC Regular" w:hAnsi="Songti SC Regular" w:eastAsia="Songti SC Regular" w:cs="Songti SC Regular"/>
          <w:color w:val="000000"/>
          <w:kern w:val="0"/>
          <w:sz w:val="24"/>
          <w:lang w:bidi="ar"/>
        </w:rPr>
      </w:pPr>
    </w:p>
    <w:p>
      <w:pPr>
        <w:pStyle w:val="965"/>
        <w:keepNext w:val="0"/>
        <w:numPr>
          <w:ilvl w:val="1"/>
          <w:numId w:val="4"/>
        </w:numPr>
        <w:spacing w:line="580" w:lineRule="exact"/>
        <w:rPr>
          <w:rFonts w:ascii="宋体" w:hAnsi="宋体" w:eastAsia="宋体" w:cs="宋体"/>
          <w:sz w:val="24"/>
          <w:szCs w:val="24"/>
        </w:rPr>
      </w:pPr>
      <w:r>
        <w:rPr>
          <w:rFonts w:hint="eastAsia" w:ascii="宋体" w:hAnsi="宋体" w:eastAsia="宋体" w:cs="宋体"/>
          <w:sz w:val="24"/>
          <w:szCs w:val="24"/>
        </w:rPr>
        <w:t>市民中心机房设备租赁服务</w:t>
      </w:r>
    </w:p>
    <w:p>
      <w:pPr>
        <w:pStyle w:val="965"/>
        <w:keepLines w:val="0"/>
        <w:pageBreakBefore w:val="0"/>
        <w:widowControl w:val="0"/>
        <w:numPr>
          <w:ilvl w:val="255"/>
          <w:numId w:val="0"/>
        </w:numPr>
        <w:kinsoku/>
        <w:wordWrap/>
        <w:overflowPunct/>
        <w:topLinePunct w:val="0"/>
        <w:bidi w:val="0"/>
        <w:spacing w:line="360" w:lineRule="auto"/>
        <w:textAlignment w:val="auto"/>
        <w:outlineLvl w:val="4"/>
        <w:rPr>
          <w:rFonts w:ascii="宋体" w:hAnsi="宋体" w:eastAsia="宋体" w:cs="宋体"/>
          <w:b w:val="0"/>
          <w:sz w:val="24"/>
          <w:szCs w:val="24"/>
        </w:rPr>
      </w:pPr>
      <w:r>
        <w:rPr>
          <w:rFonts w:hint="eastAsia" w:ascii="宋体" w:hAnsi="宋体" w:eastAsia="宋体" w:cs="宋体"/>
          <w:b w:val="0"/>
          <w:sz w:val="24"/>
          <w:szCs w:val="24"/>
        </w:rPr>
        <w:t>2.3.1核心及汇聚机房、UPS机房（共8个机房）摄像机、录像机、电子门禁、防盗报警、静电地板吸水贴面、静电消除设备租赁服务。</w:t>
      </w:r>
    </w:p>
    <w:p>
      <w:pPr>
        <w:pStyle w:val="258"/>
        <w:keepLines w:val="0"/>
        <w:widowControl w:val="0"/>
        <w:kinsoku/>
        <w:wordWrap/>
        <w:overflowPunct/>
        <w:topLinePunct w:val="0"/>
        <w:autoSpaceDE w:val="0"/>
        <w:autoSpaceDN w:val="0"/>
        <w:bidi w:val="0"/>
        <w:adjustRightInd/>
        <w:spacing w:line="360" w:lineRule="auto"/>
        <w:ind w:firstLine="0" w:firstLineChars="0"/>
        <w:textAlignment w:val="auto"/>
        <w:outlineLvl w:val="5"/>
        <w:rPr>
          <w:rFonts w:ascii="宋体" w:hAnsi="宋体" w:eastAsia="宋体" w:cs="宋体"/>
          <w:bCs/>
        </w:rPr>
      </w:pPr>
      <w:r>
        <w:rPr>
          <w:rFonts w:hint="eastAsia" w:ascii="宋体" w:hAnsi="宋体" w:eastAsia="宋体" w:cs="宋体"/>
          <w:bCs/>
        </w:rPr>
        <w:t>（1）摄像机</w:t>
      </w:r>
    </w:p>
    <w:p>
      <w:pPr>
        <w:pStyle w:val="258"/>
        <w:keepLines w:val="0"/>
        <w:widowControl w:val="0"/>
        <w:numPr>
          <w:ilvl w:val="0"/>
          <w:numId w:val="9"/>
        </w:numPr>
        <w:kinsoku/>
        <w:wordWrap/>
        <w:overflowPunct/>
        <w:topLinePunct w:val="0"/>
        <w:autoSpaceDE w:val="0"/>
        <w:autoSpaceDN w:val="0"/>
        <w:bidi w:val="0"/>
        <w:adjustRightInd/>
        <w:spacing w:line="360" w:lineRule="auto"/>
        <w:ind w:firstLineChars="0"/>
        <w:textAlignment w:val="auto"/>
        <w:rPr>
          <w:rFonts w:ascii="宋体" w:hAnsi="宋体" w:eastAsia="宋体" w:cs="宋体"/>
          <w:bCs/>
        </w:rPr>
      </w:pPr>
      <w:r>
        <w:rPr>
          <w:rFonts w:hint="eastAsia" w:ascii="宋体" w:hAnsi="宋体" w:eastAsia="宋体" w:cs="宋体"/>
          <w:bCs/>
        </w:rPr>
        <w:t>汇聚机房摄像机</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黑光级1/2.7"CMOS</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支持混合补光，人脸抓拍3~6m，普通监控15m</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最低照度:彩色：0.0005Lux@（F1.2，AGCON）;黑白：0.0001Lux@（F1.2，AGCON），0LuxwithIR</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宽动态:数字宽动态</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网络:1个RJ4510M/100M自适应以太网口</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防护:IP66</w:t>
      </w:r>
    </w:p>
    <w:p>
      <w:pPr>
        <w:pStyle w:val="258"/>
        <w:keepLines w:val="0"/>
        <w:widowControl w:val="0"/>
        <w:numPr>
          <w:ilvl w:val="0"/>
          <w:numId w:val="9"/>
        </w:numPr>
        <w:kinsoku/>
        <w:wordWrap/>
        <w:overflowPunct/>
        <w:topLinePunct w:val="0"/>
        <w:autoSpaceDE w:val="0"/>
        <w:autoSpaceDN w:val="0"/>
        <w:bidi w:val="0"/>
        <w:adjustRightInd/>
        <w:spacing w:line="360" w:lineRule="auto"/>
        <w:ind w:firstLineChars="0"/>
        <w:textAlignment w:val="auto"/>
        <w:rPr>
          <w:rFonts w:ascii="宋体" w:hAnsi="宋体" w:eastAsia="宋体" w:cs="宋体"/>
          <w:bCs/>
        </w:rPr>
      </w:pPr>
      <w:r>
        <w:rPr>
          <w:rFonts w:hint="eastAsia" w:ascii="宋体" w:hAnsi="宋体" w:eastAsia="宋体" w:cs="宋体"/>
          <w:bCs/>
        </w:rPr>
        <w:t>核心机房、UPS机房摄像机</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黑光级1/2.7"CMOS</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支持混合补光，人脸抓拍3~6m，普通监控15m</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最低照度:彩色：0.0005Lux@（F1.2，AGCON）;黑白：0.0001Lux@（F1.2，AGCON），0LuxwithIR</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宽动态:数字宽动态</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网络:1个RJ4510M/100M自适应以太网口</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防护:IP66</w:t>
      </w:r>
    </w:p>
    <w:p>
      <w:pPr>
        <w:pStyle w:val="258"/>
        <w:keepLines w:val="0"/>
        <w:widowControl w:val="0"/>
        <w:kinsoku/>
        <w:wordWrap/>
        <w:overflowPunct/>
        <w:topLinePunct w:val="0"/>
        <w:autoSpaceDE w:val="0"/>
        <w:autoSpaceDN w:val="0"/>
        <w:bidi w:val="0"/>
        <w:adjustRightInd/>
        <w:spacing w:line="360" w:lineRule="auto"/>
        <w:ind w:firstLine="0" w:firstLineChars="0"/>
        <w:textAlignment w:val="auto"/>
        <w:outlineLvl w:val="5"/>
        <w:rPr>
          <w:rFonts w:ascii="宋体" w:hAnsi="宋体" w:eastAsia="宋体" w:cs="宋体"/>
          <w:bCs/>
        </w:rPr>
      </w:pPr>
      <w:r>
        <w:rPr>
          <w:rFonts w:hint="eastAsia" w:ascii="宋体" w:hAnsi="宋体" w:eastAsia="宋体" w:cs="宋体"/>
          <w:bCs/>
        </w:rPr>
        <w:t>（2）录像机</w:t>
      </w:r>
    </w:p>
    <w:p>
      <w:pPr>
        <w:pStyle w:val="258"/>
        <w:keepLines w:val="0"/>
        <w:widowControl w:val="0"/>
        <w:numPr>
          <w:ilvl w:val="0"/>
          <w:numId w:val="9"/>
        </w:numPr>
        <w:kinsoku/>
        <w:wordWrap/>
        <w:overflowPunct/>
        <w:topLinePunct w:val="0"/>
        <w:autoSpaceDE w:val="0"/>
        <w:autoSpaceDN w:val="0"/>
        <w:bidi w:val="0"/>
        <w:adjustRightInd/>
        <w:spacing w:line="360" w:lineRule="auto"/>
        <w:ind w:firstLineChars="0"/>
        <w:textAlignment w:val="auto"/>
        <w:rPr>
          <w:rFonts w:ascii="宋体" w:hAnsi="宋体" w:eastAsia="宋体" w:cs="宋体"/>
          <w:bCs/>
        </w:rPr>
      </w:pPr>
      <w:r>
        <w:rPr>
          <w:rFonts w:hint="eastAsia" w:ascii="宋体" w:hAnsi="宋体" w:eastAsia="宋体" w:cs="宋体"/>
          <w:bCs/>
        </w:rPr>
        <w:t>汇聚机房硬盘录像机</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标准机架式</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1个HDMI，1个VGA，同源输出，8盘位，2个千兆网口</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本次配置2块6T硬盘</w:t>
      </w:r>
    </w:p>
    <w:p>
      <w:pPr>
        <w:pStyle w:val="258"/>
        <w:keepLines w:val="0"/>
        <w:widowControl w:val="0"/>
        <w:numPr>
          <w:ilvl w:val="0"/>
          <w:numId w:val="9"/>
        </w:numPr>
        <w:kinsoku/>
        <w:wordWrap/>
        <w:overflowPunct/>
        <w:topLinePunct w:val="0"/>
        <w:autoSpaceDE w:val="0"/>
        <w:autoSpaceDN w:val="0"/>
        <w:bidi w:val="0"/>
        <w:adjustRightInd/>
        <w:spacing w:line="360" w:lineRule="auto"/>
        <w:ind w:firstLineChars="0"/>
        <w:textAlignment w:val="auto"/>
        <w:rPr>
          <w:rFonts w:ascii="宋体" w:hAnsi="宋体" w:eastAsia="宋体" w:cs="宋体"/>
          <w:bCs/>
        </w:rPr>
      </w:pPr>
      <w:r>
        <w:rPr>
          <w:rFonts w:hint="eastAsia" w:ascii="宋体" w:hAnsi="宋体" w:eastAsia="宋体" w:cs="宋体"/>
          <w:bCs/>
        </w:rPr>
        <w:t>核心机房、UPS机房监控服务（硬盘录像机）</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标准机架式</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1个HDMI，1个VGA，同源输出，8盘位，2个千兆网口</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本次配置2块6T硬盘</w:t>
      </w:r>
    </w:p>
    <w:p>
      <w:pPr>
        <w:pStyle w:val="258"/>
        <w:keepLines w:val="0"/>
        <w:widowControl w:val="0"/>
        <w:kinsoku/>
        <w:wordWrap/>
        <w:overflowPunct/>
        <w:topLinePunct w:val="0"/>
        <w:autoSpaceDE w:val="0"/>
        <w:autoSpaceDN w:val="0"/>
        <w:bidi w:val="0"/>
        <w:adjustRightInd/>
        <w:spacing w:line="360" w:lineRule="auto"/>
        <w:ind w:firstLine="0" w:firstLineChars="0"/>
        <w:textAlignment w:val="auto"/>
        <w:outlineLvl w:val="5"/>
        <w:rPr>
          <w:rFonts w:ascii="宋体" w:hAnsi="宋体" w:eastAsia="宋体" w:cs="宋体"/>
          <w:bCs/>
        </w:rPr>
      </w:pPr>
      <w:r>
        <w:rPr>
          <w:rFonts w:hint="eastAsia" w:ascii="宋体" w:hAnsi="宋体" w:eastAsia="宋体" w:cs="宋体"/>
          <w:bCs/>
        </w:rPr>
        <w:t>（3）核心及汇聚机房电子门禁服务</w:t>
      </w:r>
    </w:p>
    <w:p>
      <w:pPr>
        <w:pStyle w:val="258"/>
        <w:keepLines w:val="0"/>
        <w:widowControl w:val="0"/>
        <w:numPr>
          <w:ilvl w:val="0"/>
          <w:numId w:val="9"/>
        </w:numPr>
        <w:kinsoku/>
        <w:wordWrap/>
        <w:overflowPunct/>
        <w:topLinePunct w:val="0"/>
        <w:autoSpaceDE w:val="0"/>
        <w:autoSpaceDN w:val="0"/>
        <w:bidi w:val="0"/>
        <w:adjustRightInd/>
        <w:spacing w:line="360" w:lineRule="auto"/>
        <w:ind w:firstLineChars="0"/>
        <w:textAlignment w:val="auto"/>
        <w:rPr>
          <w:rFonts w:ascii="宋体" w:hAnsi="宋体" w:eastAsia="宋体" w:cs="宋体"/>
          <w:bCs/>
        </w:rPr>
      </w:pPr>
      <w:r>
        <w:rPr>
          <w:rFonts w:hint="eastAsia" w:ascii="宋体" w:hAnsi="宋体" w:eastAsia="宋体" w:cs="宋体"/>
          <w:bCs/>
        </w:rPr>
        <w:t>汇聚机房电子门禁</w:t>
      </w:r>
    </w:p>
    <w:p>
      <w:pPr>
        <w:keepLines w:val="0"/>
        <w:widowControl w:val="0"/>
        <w:kinsoku/>
        <w:wordWrap/>
        <w:overflowPunct/>
        <w:topLinePunct w:val="0"/>
        <w:autoSpaceDE w:val="0"/>
        <w:autoSpaceDN w:val="0"/>
        <w:bidi w:val="0"/>
        <w:adjustRightInd/>
        <w:spacing w:line="360" w:lineRule="auto"/>
        <w:ind w:firstLine="480" w:firstLineChars="200"/>
        <w:textAlignment w:val="auto"/>
        <w:rPr>
          <w:rFonts w:ascii="宋体" w:hAnsi="宋体" w:cs="宋体"/>
          <w:bCs/>
          <w:sz w:val="24"/>
        </w:rPr>
      </w:pPr>
      <w:r>
        <w:rPr>
          <w:rFonts w:hint="eastAsia" w:ascii="宋体" w:hAnsi="宋体" w:cs="宋体"/>
          <w:bCs/>
          <w:sz w:val="24"/>
        </w:rPr>
        <w:t>人脸识别读卡器（银色），3.5寸高清电阻屏，RJ45接口.支持多种开门方式。门禁系统接入机房动环管理平台，能实现记录查看人员出入、开门纪录等操作。</w:t>
      </w:r>
    </w:p>
    <w:p>
      <w:pPr>
        <w:pStyle w:val="258"/>
        <w:keepLines w:val="0"/>
        <w:widowControl w:val="0"/>
        <w:numPr>
          <w:ilvl w:val="0"/>
          <w:numId w:val="9"/>
        </w:numPr>
        <w:kinsoku/>
        <w:wordWrap/>
        <w:overflowPunct/>
        <w:topLinePunct w:val="0"/>
        <w:autoSpaceDE w:val="0"/>
        <w:autoSpaceDN w:val="0"/>
        <w:bidi w:val="0"/>
        <w:adjustRightInd/>
        <w:spacing w:line="360" w:lineRule="auto"/>
        <w:ind w:firstLineChars="0"/>
        <w:textAlignment w:val="auto"/>
        <w:rPr>
          <w:rFonts w:ascii="宋体" w:hAnsi="宋体" w:eastAsia="宋体" w:cs="宋体"/>
          <w:bCs/>
        </w:rPr>
      </w:pPr>
      <w:r>
        <w:rPr>
          <w:rFonts w:hint="eastAsia" w:ascii="宋体" w:hAnsi="宋体" w:eastAsia="宋体" w:cs="宋体"/>
          <w:bCs/>
        </w:rPr>
        <w:t>UPS机房监控（门禁）</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基于密码技术的非接触式射频IC卡专用门禁读卡器。读卡器硬件CPU部分芯片采用32位ARM技术平台开发的高性能集成芯片，射频部分采用高性能射频芯片，具有读卡速度快、读卡稳定等特点；采用3DES国际标准算法，防止卡片复制，加密性强、安全性高。</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2、内置支持SM1算法PSAM模块，保证卡片的绝对加密性。</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3、支持通过配置卡灵活配置读卡器的各类输出参数，例如卡片密钥、卡号输出格式、韦根模式、读卡模式等。</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4、提供独立密码发卡软件系统，第三方门禁系统不需要作任何修改，即可实现复旦密码与第三方门禁管理系统的无缝对接。</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5、密码用户卡的读卡号距离5cm，密码用户卡的读内容距离4cm。</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6、读物理卡号在有效距离内数据接收时间小于80ms。密码认证读内容在有效距离内数据接收时间小于200ms。</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7、门禁系统含280KG磁力锁，门禁控制器，发卡器等。</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sz w:val="24"/>
        </w:rPr>
      </w:pPr>
    </w:p>
    <w:p>
      <w:pPr>
        <w:pStyle w:val="258"/>
        <w:keepLines w:val="0"/>
        <w:widowControl w:val="0"/>
        <w:kinsoku/>
        <w:wordWrap/>
        <w:overflowPunct/>
        <w:topLinePunct w:val="0"/>
        <w:autoSpaceDE w:val="0"/>
        <w:autoSpaceDN w:val="0"/>
        <w:bidi w:val="0"/>
        <w:adjustRightInd/>
        <w:spacing w:line="360" w:lineRule="auto"/>
        <w:ind w:firstLine="0" w:firstLineChars="0"/>
        <w:textAlignment w:val="auto"/>
        <w:outlineLvl w:val="5"/>
        <w:rPr>
          <w:rFonts w:ascii="宋体" w:hAnsi="宋体" w:eastAsia="宋体" w:cs="宋体"/>
          <w:bCs/>
        </w:rPr>
      </w:pPr>
      <w:r>
        <w:rPr>
          <w:rFonts w:hint="eastAsia" w:ascii="宋体" w:hAnsi="宋体" w:eastAsia="宋体" w:cs="宋体"/>
          <w:bCs/>
        </w:rPr>
        <w:t>（4）核心及汇聚机房防盗报警服务防盗报警</w:t>
      </w:r>
    </w:p>
    <w:p>
      <w:pPr>
        <w:keepLines w:val="0"/>
        <w:widowControl w:val="0"/>
        <w:kinsoku/>
        <w:wordWrap/>
        <w:overflowPunct/>
        <w:topLinePunct w:val="0"/>
        <w:autoSpaceDE w:val="0"/>
        <w:autoSpaceDN w:val="0"/>
        <w:bidi w:val="0"/>
        <w:adjustRightInd/>
        <w:spacing w:line="360" w:lineRule="auto"/>
        <w:ind w:firstLine="480" w:firstLineChars="200"/>
        <w:textAlignment w:val="auto"/>
        <w:rPr>
          <w:rFonts w:ascii="宋体" w:hAnsi="宋体" w:cs="宋体"/>
          <w:bCs/>
          <w:sz w:val="24"/>
        </w:rPr>
      </w:pPr>
      <w:r>
        <w:rPr>
          <w:rFonts w:hint="eastAsia" w:ascii="宋体" w:hAnsi="宋体" w:cs="宋体"/>
          <w:bCs/>
          <w:sz w:val="24"/>
        </w:rPr>
        <w:t>报警主机自带8防区，支持本地8路防区/2线制防区防拆/支持定时撤布防/时控输出。报警主机接入机房现有的管理平台，可以实现远程管理，远程布防。含报警主机、电源、扩展模块、外设、探测器等。</w:t>
      </w:r>
    </w:p>
    <w:p>
      <w:pPr>
        <w:pStyle w:val="258"/>
        <w:keepLines w:val="0"/>
        <w:widowControl w:val="0"/>
        <w:kinsoku/>
        <w:wordWrap/>
        <w:overflowPunct/>
        <w:topLinePunct w:val="0"/>
        <w:autoSpaceDE w:val="0"/>
        <w:autoSpaceDN w:val="0"/>
        <w:bidi w:val="0"/>
        <w:adjustRightInd/>
        <w:spacing w:line="360" w:lineRule="auto"/>
        <w:ind w:firstLine="0" w:firstLineChars="0"/>
        <w:textAlignment w:val="auto"/>
        <w:outlineLvl w:val="5"/>
        <w:rPr>
          <w:rFonts w:ascii="宋体" w:hAnsi="宋体" w:eastAsia="宋体" w:cs="宋体"/>
          <w:bCs/>
        </w:rPr>
      </w:pPr>
      <w:r>
        <w:rPr>
          <w:rFonts w:hint="eastAsia" w:ascii="宋体" w:hAnsi="宋体" w:eastAsia="宋体" w:cs="宋体"/>
          <w:bCs/>
        </w:rPr>
        <w:t>（5）核心及汇聚机房</w:t>
      </w:r>
      <w:r>
        <w:rPr>
          <w:rFonts w:hint="eastAsia" w:ascii="宋体" w:hAnsi="宋体" w:eastAsia="宋体" w:cs="宋体"/>
        </w:rPr>
        <w:t>静电地板吸水贴面</w:t>
      </w:r>
    </w:p>
    <w:p>
      <w:pPr>
        <w:keepLines w:val="0"/>
        <w:widowControl w:val="0"/>
        <w:kinsoku/>
        <w:wordWrap/>
        <w:overflowPunct/>
        <w:topLinePunct w:val="0"/>
        <w:autoSpaceDE w:val="0"/>
        <w:autoSpaceDN w:val="0"/>
        <w:bidi w:val="0"/>
        <w:adjustRightInd/>
        <w:spacing w:line="360" w:lineRule="auto"/>
        <w:ind w:firstLine="480" w:firstLineChars="200"/>
        <w:textAlignment w:val="auto"/>
        <w:rPr>
          <w:rFonts w:ascii="宋体" w:hAnsi="宋体" w:cs="宋体"/>
          <w:bCs/>
          <w:sz w:val="24"/>
        </w:rPr>
      </w:pPr>
      <w:r>
        <w:rPr>
          <w:rFonts w:hint="eastAsia" w:ascii="宋体" w:hAnsi="宋体" w:cs="宋体"/>
          <w:bCs/>
          <w:sz w:val="24"/>
        </w:rPr>
        <w:t>静电地板下吸水贴面。</w:t>
      </w:r>
    </w:p>
    <w:p>
      <w:pPr>
        <w:pStyle w:val="258"/>
        <w:keepLines w:val="0"/>
        <w:widowControl w:val="0"/>
        <w:kinsoku/>
        <w:wordWrap/>
        <w:overflowPunct/>
        <w:topLinePunct w:val="0"/>
        <w:autoSpaceDE w:val="0"/>
        <w:autoSpaceDN w:val="0"/>
        <w:bidi w:val="0"/>
        <w:adjustRightInd/>
        <w:spacing w:line="360" w:lineRule="auto"/>
        <w:ind w:firstLine="0" w:firstLineChars="0"/>
        <w:textAlignment w:val="auto"/>
        <w:outlineLvl w:val="5"/>
        <w:rPr>
          <w:rFonts w:ascii="宋体" w:hAnsi="宋体" w:eastAsia="宋体" w:cs="宋体"/>
          <w:bCs/>
        </w:rPr>
      </w:pPr>
      <w:r>
        <w:rPr>
          <w:rFonts w:hint="eastAsia" w:ascii="宋体" w:hAnsi="宋体" w:eastAsia="宋体" w:cs="宋体"/>
          <w:bCs/>
        </w:rPr>
        <w:t>（6）核心及汇聚机房</w:t>
      </w:r>
      <w:r>
        <w:rPr>
          <w:rFonts w:hint="eastAsia" w:ascii="宋体" w:hAnsi="宋体" w:eastAsia="宋体" w:cs="宋体"/>
        </w:rPr>
        <w:t>静电消除设备</w:t>
      </w:r>
    </w:p>
    <w:p>
      <w:pPr>
        <w:keepLines w:val="0"/>
        <w:widowControl w:val="0"/>
        <w:kinsoku/>
        <w:wordWrap/>
        <w:overflowPunct/>
        <w:topLinePunct w:val="0"/>
        <w:autoSpaceDE w:val="0"/>
        <w:autoSpaceDN w:val="0"/>
        <w:bidi w:val="0"/>
        <w:adjustRightInd/>
        <w:spacing w:line="360" w:lineRule="auto"/>
        <w:ind w:firstLine="480" w:firstLineChars="200"/>
        <w:textAlignment w:val="auto"/>
        <w:rPr>
          <w:rFonts w:ascii="宋体" w:hAnsi="宋体" w:cs="宋体"/>
          <w:bCs/>
          <w:sz w:val="24"/>
        </w:rPr>
      </w:pPr>
      <w:r>
        <w:rPr>
          <w:rFonts w:hint="eastAsia" w:ascii="宋体" w:hAnsi="宋体" w:cs="宋体"/>
          <w:bCs/>
          <w:sz w:val="24"/>
        </w:rPr>
        <w:t>采用304不锈钢材质，安全稳固，亚导体触摸球体，操作简单，触摸球体3秒以上即可安全有效的消除人体静电，声光报警。</w:t>
      </w:r>
    </w:p>
    <w:p>
      <w:pPr>
        <w:keepLines w:val="0"/>
        <w:widowControl w:val="0"/>
        <w:kinsoku/>
        <w:wordWrap/>
        <w:overflowPunct/>
        <w:topLinePunct w:val="0"/>
        <w:autoSpaceDE w:val="0"/>
        <w:autoSpaceDN w:val="0"/>
        <w:bidi w:val="0"/>
        <w:adjustRightInd/>
        <w:spacing w:line="360" w:lineRule="auto"/>
        <w:ind w:firstLine="480" w:firstLineChars="200"/>
        <w:textAlignment w:val="auto"/>
        <w:rPr>
          <w:rFonts w:ascii="宋体" w:hAnsi="宋体" w:cs="宋体"/>
          <w:sz w:val="24"/>
        </w:rPr>
      </w:pPr>
      <w:r>
        <w:rPr>
          <w:rFonts w:hint="eastAsia" w:ascii="宋体" w:hAnsi="宋体" w:cs="宋体"/>
          <w:bCs/>
          <w:sz w:val="24"/>
        </w:rPr>
        <w:t>防静电手环防静电性强，安全可靠。</w:t>
      </w:r>
    </w:p>
    <w:p>
      <w:pPr>
        <w:pStyle w:val="965"/>
        <w:keepLines w:val="0"/>
        <w:widowControl w:val="0"/>
        <w:numPr>
          <w:ilvl w:val="255"/>
          <w:numId w:val="0"/>
        </w:numPr>
        <w:kinsoku/>
        <w:wordWrap/>
        <w:overflowPunct/>
        <w:topLinePunct w:val="0"/>
        <w:bidi w:val="0"/>
        <w:spacing w:line="360" w:lineRule="auto"/>
        <w:textAlignment w:val="auto"/>
        <w:outlineLvl w:val="4"/>
        <w:rPr>
          <w:rFonts w:ascii="宋体" w:hAnsi="宋体" w:eastAsia="宋体" w:cs="宋体"/>
          <w:bCs w:val="0"/>
          <w:sz w:val="24"/>
          <w:szCs w:val="24"/>
        </w:rPr>
      </w:pPr>
      <w:r>
        <w:rPr>
          <w:rFonts w:hint="eastAsia" w:ascii="宋体" w:hAnsi="宋体" w:eastAsia="宋体" w:cs="宋体"/>
          <w:bCs w:val="0"/>
          <w:sz w:val="24"/>
          <w:szCs w:val="24"/>
        </w:rPr>
        <w:t>2.3.2 A座3F机房网络柜精密空调租赁服务</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1、精密空调额定制冷量12.5kW；EC风机，最大风量3000m3/h;单冷型；支持上下走管；含冷凝水泵；精密空调标配封闭框组件、带式水浸传感器，空调前后全封闭钣金门，带微动开关。</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2、精密空调尺寸≤300mm（宽）*1400mm（深）*2000mm（高）。</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3、精密空调前后门均应为全封闭钣金门，与内部行间空调前送冷风、后回热风的方式相结合，形成冷热通道均密封且互相隔离的效果。</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4、精密空调前部内侧应敷设保温棉，减少柜内冷气与室内环境空气发生的热交换，节省空调能耗。</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5、精密空调外观与颜色应与机房原有空调外观一致。</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6、采用EC变容量压缩机，额定制冷量≥12.5kW（回风温度37℃），应支持在20%～100%冷量范围内按需柔性制冷；</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7、列间空调应与利旧空调形成Teamwork群控功能，包括：</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主备：一个或几个机组可以被定为备机，当运行的机组发生故障，备用的机组启动运行。</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轮巡：机组按照设定的时间轮流运行。</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层叠：运行机组不能满足温湿度负荷需要时，启动备用的机组以增加温湿度控制能力。</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需求分配：主控设备通过对所有机组的测量数据的监测，计算出群组的总控制需求，按照一定的规则下发给从控设备，作为它们控制的依据或参考。</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防止竞争：避免同一机房内多台空调机组同时运行在相反的运行状态（制冷/加热，加湿/除湿），达到节能目的。</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8、采用EC风机，最大风量≥3000m3/h，风机数量≥4个，在行间空调正面高度方向均匀分布，水平前部送风背部回风。为保障微模块内气流循环的持续性，风机应采用冗余设计；</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9、温度调节范围：18℃~40℃；</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10、温度调节精度：±1℃，温度变化率＜5℃/小时；</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11、应采用环保制冷剂R410A或R407C；</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12、应采用电子膨胀阀，可无级调节开度10%~100%，精确快速地控制流量；</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13、制冷剂管路均应支持上下走管；</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14、冷凝器工作环境温度范围不小于-15℃～+45℃；</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15、冷凝器应能根据冷凝器管道内部压力变化自动调节冷凝风扇的运转速度；</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16、冷凝器应具有良好的刚性和防腐性能，适应多种环境条件；</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sz w:val="24"/>
        </w:rPr>
      </w:pPr>
    </w:p>
    <w:p>
      <w:pPr>
        <w:pStyle w:val="965"/>
        <w:keepLines w:val="0"/>
        <w:widowControl w:val="0"/>
        <w:numPr>
          <w:ilvl w:val="255"/>
          <w:numId w:val="0"/>
        </w:numPr>
        <w:kinsoku/>
        <w:wordWrap/>
        <w:overflowPunct/>
        <w:topLinePunct w:val="0"/>
        <w:bidi w:val="0"/>
        <w:spacing w:line="360" w:lineRule="auto"/>
        <w:textAlignment w:val="auto"/>
        <w:outlineLvl w:val="4"/>
        <w:rPr>
          <w:rFonts w:ascii="宋体" w:hAnsi="宋体" w:eastAsia="宋体" w:cs="宋体"/>
          <w:bCs w:val="0"/>
          <w:sz w:val="24"/>
          <w:szCs w:val="24"/>
        </w:rPr>
      </w:pPr>
      <w:r>
        <w:rPr>
          <w:rFonts w:hint="eastAsia" w:ascii="宋体" w:hAnsi="宋体" w:eastAsia="宋体" w:cs="宋体"/>
          <w:bCs w:val="0"/>
          <w:sz w:val="24"/>
          <w:szCs w:val="24"/>
        </w:rPr>
        <w:t>2.3.3 A座3F机房网络柜蓄电池设备租赁服务（部署于负二楼UPS间）</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1.单体电池容量：12V100AH；</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2.单体电池浮充电压：13.5-13.7V；</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3.单体电池均衡充电电压：13.8-14.40V；</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4.当蓄电池运行温度在-20--+50℃条件下，其性能指标应满足正常使用要求；</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5.蓄电池设计寿命≥10年；</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6.阻燃性能：蓄电池间连接条、终端接头应选择导电性能优良的材料，并具有防腐蚀措施。蓄电池槽、盖等材料应具有阻燃性，其阻燃标准应符合YD/T799-2010的阻燃等级要求。</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7.蓄电池极性正确，正负极性及端子应有明显标志，便于连接。</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8.安全阀动作：蓄电池在使用期间安全阀应自动开启闭合，闭阀压力应在1kPa～10kPa范围内，开阀压力应在10kPa～30kPa范围内；</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9.大电流放电：蓄电池在以30I10的电流放电3分钟，极柱不应熔断，其外观不得出现异常；</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10.耐过充能力：蓄电池组完全充电后的电池以0.3I10A连续充电160h，无变形、无漏液；</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11.荷电保持能力：蓄电池静置28天后，其荷电保持能力不应低于97%；</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12.密封反应效率：蓄电池的密封反应效率不应低于98%；</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13.防爆性能：充电过程中遇明火、内部不引燃、不引爆；</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14.防酸雾性能应满足完全充电后的电池以0.2I10A电流连续再充电4h，PH值应呈中性。</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15.封口剂性能应满足环境温度-30℃~+65℃之间，封口剂无裂纹与溢流现象。</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16.低温敏感性应满足10h率容量≥0.9C10；外观无破裂、过度膨胀及槽、盖分离现象。</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17.电池重量不小于30KG，提供彩页证明。</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sz w:val="24"/>
        </w:rPr>
      </w:pPr>
    </w:p>
    <w:p>
      <w:pPr>
        <w:pStyle w:val="965"/>
        <w:keepLines w:val="0"/>
        <w:pageBreakBefore w:val="0"/>
        <w:widowControl w:val="0"/>
        <w:numPr>
          <w:ilvl w:val="255"/>
          <w:numId w:val="0"/>
        </w:numPr>
        <w:kinsoku/>
        <w:wordWrap/>
        <w:overflowPunct/>
        <w:topLinePunct w:val="0"/>
        <w:bidi w:val="0"/>
        <w:spacing w:line="360" w:lineRule="auto"/>
        <w:textAlignment w:val="auto"/>
        <w:outlineLvl w:val="4"/>
        <w:rPr>
          <w:rFonts w:ascii="宋体" w:hAnsi="宋体" w:eastAsia="宋体" w:cs="宋体"/>
          <w:bCs w:val="0"/>
          <w:sz w:val="24"/>
          <w:szCs w:val="24"/>
        </w:rPr>
      </w:pPr>
      <w:r>
        <w:rPr>
          <w:rFonts w:hint="eastAsia" w:ascii="宋体" w:hAnsi="宋体" w:eastAsia="宋体" w:cs="宋体"/>
          <w:bCs w:val="0"/>
          <w:sz w:val="24"/>
          <w:szCs w:val="24"/>
        </w:rPr>
        <w:t>2.3.4UPS机房消防钢瓶、气体灭火控制盘设备租赁服务</w:t>
      </w:r>
    </w:p>
    <w:p>
      <w:pPr>
        <w:pStyle w:val="258"/>
        <w:keepLines w:val="0"/>
        <w:widowControl w:val="0"/>
        <w:kinsoku/>
        <w:wordWrap/>
        <w:overflowPunct/>
        <w:topLinePunct w:val="0"/>
        <w:autoSpaceDE w:val="0"/>
        <w:autoSpaceDN w:val="0"/>
        <w:bidi w:val="0"/>
        <w:adjustRightInd/>
        <w:spacing w:line="360" w:lineRule="auto"/>
        <w:ind w:firstLine="0" w:firstLineChars="0"/>
        <w:textAlignment w:val="auto"/>
        <w:outlineLvl w:val="5"/>
        <w:rPr>
          <w:rFonts w:ascii="宋体" w:hAnsi="宋体" w:eastAsia="宋体" w:cs="宋体"/>
          <w:bCs/>
        </w:rPr>
      </w:pPr>
      <w:r>
        <w:rPr>
          <w:rFonts w:hint="eastAsia" w:ascii="宋体" w:hAnsi="宋体" w:eastAsia="宋体" w:cs="宋体"/>
          <w:bCs/>
        </w:rPr>
        <w:t>（1）UPS机房消防钢瓶</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1、含瓶组、容器阀、压力信号装置、压力表、立柜、转换接头、低泄高密阀、安全阀、高压连接管、喷头、启动装置，每瓶充装药剂110kg。</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2、气体灭火柜：充装量120kg；</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3、采用柜式结构，静电喷塑；</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4、贮存压力：2.5MPa；</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5、灭火方式：全淹没；</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6、具有手动、自动、机械应急操作启动方式。</w:t>
      </w:r>
    </w:p>
    <w:p>
      <w:pPr>
        <w:keepLines w:val="0"/>
        <w:widowControl w:val="0"/>
        <w:kinsoku/>
        <w:wordWrap/>
        <w:overflowPunct/>
        <w:topLinePunct w:val="0"/>
        <w:autoSpaceDE w:val="0"/>
        <w:autoSpaceDN w:val="0"/>
        <w:bidi w:val="0"/>
        <w:adjustRightInd/>
        <w:spacing w:line="360" w:lineRule="auto"/>
        <w:textAlignment w:val="auto"/>
        <w:rPr>
          <w:rFonts w:ascii="宋体" w:hAnsi="宋体" w:cs="宋体"/>
          <w:bCs/>
          <w:sz w:val="24"/>
        </w:rPr>
      </w:pPr>
      <w:r>
        <w:rPr>
          <w:rFonts w:hint="eastAsia" w:ascii="宋体" w:hAnsi="宋体" w:cs="宋体"/>
          <w:bCs/>
          <w:sz w:val="24"/>
        </w:rPr>
        <w:t>7、七氟丙烷纯度99.99%；无色、无味的气体，其臭氧耗损潜能值（ODP）为零，在ISO认可的洁净气体灭火剂中，其洁净性最好，具有清洁、低毒、电绝缘性能好、灭火效率高等特点。</w:t>
      </w:r>
    </w:p>
    <w:p>
      <w:pPr>
        <w:pStyle w:val="258"/>
        <w:keepLines w:val="0"/>
        <w:widowControl w:val="0"/>
        <w:kinsoku/>
        <w:wordWrap/>
        <w:overflowPunct/>
        <w:topLinePunct w:val="0"/>
        <w:autoSpaceDE w:val="0"/>
        <w:autoSpaceDN w:val="0"/>
        <w:bidi w:val="0"/>
        <w:adjustRightInd/>
        <w:spacing w:line="360" w:lineRule="auto"/>
        <w:ind w:firstLine="0" w:firstLineChars="0"/>
        <w:textAlignment w:val="auto"/>
        <w:outlineLvl w:val="5"/>
        <w:rPr>
          <w:rFonts w:ascii="宋体" w:hAnsi="宋体" w:eastAsia="宋体" w:cs="宋体"/>
          <w:bCs/>
        </w:rPr>
      </w:pPr>
      <w:r>
        <w:rPr>
          <w:rFonts w:hint="eastAsia" w:ascii="宋体" w:hAnsi="宋体" w:eastAsia="宋体" w:cs="宋体"/>
          <w:bCs/>
        </w:rPr>
        <w:t>（2）UPS机房气体灭火控制盘</w:t>
      </w:r>
    </w:p>
    <w:p>
      <w:pPr>
        <w:pStyle w:val="23"/>
        <w:keepLines w:val="0"/>
        <w:widowControl w:val="0"/>
        <w:kinsoku/>
        <w:wordWrap/>
        <w:overflowPunct/>
        <w:topLinePunct w:val="0"/>
        <w:bidi w:val="0"/>
        <w:spacing w:line="360" w:lineRule="auto"/>
        <w:textAlignment w:val="auto"/>
      </w:pPr>
      <w:r>
        <w:rPr>
          <w:rFonts w:hint="eastAsia"/>
        </w:rPr>
        <w:t>1、气体灭火控制装置，可配接感烟/感温/火焰探测器、手动报警按钮、紧急启/停按钮、声光警报器、气体喷洒指示灯、手自动转换开关以及输出模块等，具有火灾探测和气体灭火控制功能，可实现1个防火区的火灾报警和气体灭火控制。</w:t>
      </w:r>
    </w:p>
    <w:p>
      <w:pPr>
        <w:pStyle w:val="23"/>
        <w:keepLines w:val="0"/>
        <w:widowControl w:val="0"/>
        <w:kinsoku/>
        <w:wordWrap/>
        <w:overflowPunct/>
        <w:topLinePunct w:val="0"/>
        <w:bidi w:val="0"/>
        <w:spacing w:line="360" w:lineRule="auto"/>
        <w:textAlignment w:val="auto"/>
      </w:pPr>
      <w:r>
        <w:rPr>
          <w:rFonts w:hint="eastAsia"/>
        </w:rPr>
        <w:t>2、功耗:监视状态功耗≤30W;大功耗≤380W;</w:t>
      </w:r>
    </w:p>
    <w:p>
      <w:pPr>
        <w:pStyle w:val="23"/>
        <w:keepLines w:val="0"/>
        <w:widowControl w:val="0"/>
        <w:kinsoku/>
        <w:wordWrap/>
        <w:overflowPunct/>
        <w:topLinePunct w:val="0"/>
        <w:bidi w:val="0"/>
        <w:spacing w:line="360" w:lineRule="auto"/>
        <w:textAlignment w:val="auto"/>
      </w:pPr>
      <w:r>
        <w:rPr>
          <w:rFonts w:hint="eastAsia"/>
        </w:rPr>
        <w:t>3、备用电源:2个DC12V/7Ah密封铅电池;</w:t>
      </w:r>
    </w:p>
    <w:p>
      <w:pPr>
        <w:pStyle w:val="23"/>
        <w:keepLines w:val="0"/>
        <w:widowControl w:val="0"/>
        <w:kinsoku/>
        <w:wordWrap/>
        <w:overflowPunct/>
        <w:topLinePunct w:val="0"/>
        <w:bidi w:val="0"/>
        <w:spacing w:line="360" w:lineRule="auto"/>
        <w:textAlignment w:val="auto"/>
      </w:pPr>
      <w:r>
        <w:rPr>
          <w:rFonts w:hint="eastAsia"/>
        </w:rPr>
        <w:t>4、气体喷洒输出:各区DC24V/3A,脉冲方式/持续方式,可调;</w:t>
      </w:r>
    </w:p>
    <w:p>
      <w:pPr>
        <w:pStyle w:val="23"/>
        <w:keepLines w:val="0"/>
        <w:widowControl w:val="0"/>
        <w:kinsoku/>
        <w:wordWrap/>
        <w:overflowPunct/>
        <w:topLinePunct w:val="0"/>
        <w:bidi w:val="0"/>
        <w:spacing w:line="360" w:lineRule="auto"/>
        <w:textAlignment w:val="auto"/>
      </w:pPr>
      <w:r>
        <w:rPr>
          <w:rFonts w:hint="eastAsia"/>
        </w:rPr>
        <w:t>5、电池充电电流:1.0A~1.7A;</w:t>
      </w:r>
    </w:p>
    <w:p>
      <w:pPr>
        <w:pStyle w:val="23"/>
        <w:keepLines w:val="0"/>
        <w:widowControl w:val="0"/>
        <w:kinsoku/>
        <w:wordWrap/>
        <w:overflowPunct/>
        <w:topLinePunct w:val="0"/>
        <w:bidi w:val="0"/>
        <w:spacing w:line="360" w:lineRule="auto"/>
        <w:textAlignment w:val="auto"/>
      </w:pPr>
      <w:r>
        <w:rPr>
          <w:rFonts w:hint="eastAsia"/>
        </w:rPr>
        <w:t>6、工作电压:交流AC220V50/60Hz,允许电压变化范围C176V~AC264V;</w:t>
      </w:r>
    </w:p>
    <w:p>
      <w:pPr>
        <w:pStyle w:val="23"/>
        <w:keepLines w:val="0"/>
        <w:widowControl w:val="0"/>
        <w:kinsoku/>
        <w:wordWrap/>
        <w:overflowPunct/>
        <w:topLinePunct w:val="0"/>
        <w:bidi w:val="0"/>
        <w:spacing w:line="360" w:lineRule="auto"/>
        <w:textAlignment w:val="auto"/>
      </w:pPr>
      <w:r>
        <w:rPr>
          <w:rFonts w:hint="eastAsia"/>
        </w:rPr>
        <w:t>7、液晶屏规格:128×64点,可同屏显示32个汉字信息;</w:t>
      </w:r>
    </w:p>
    <w:p>
      <w:pPr>
        <w:pStyle w:val="23"/>
        <w:keepLines w:val="0"/>
        <w:widowControl w:val="0"/>
        <w:kinsoku/>
        <w:wordWrap/>
        <w:overflowPunct/>
        <w:topLinePunct w:val="0"/>
        <w:bidi w:val="0"/>
        <w:spacing w:line="360" w:lineRule="auto"/>
        <w:textAlignment w:val="auto"/>
      </w:pPr>
      <w:r>
        <w:rPr>
          <w:rFonts w:hint="eastAsia"/>
        </w:rPr>
        <w:t>8、使用环境:工作温度:0℃~40℃</w:t>
      </w:r>
    </w:p>
    <w:p>
      <w:pPr>
        <w:pStyle w:val="23"/>
        <w:keepLines w:val="0"/>
        <w:widowControl w:val="0"/>
        <w:kinsoku/>
        <w:wordWrap/>
        <w:overflowPunct/>
        <w:topLinePunct w:val="0"/>
        <w:bidi w:val="0"/>
        <w:spacing w:line="360" w:lineRule="auto"/>
        <w:textAlignment w:val="auto"/>
      </w:pPr>
      <w:r>
        <w:rPr>
          <w:rFonts w:hint="eastAsia"/>
        </w:rPr>
        <w:t>9、相对湿度:≤95%,不凝露(10)</w:t>
      </w:r>
    </w:p>
    <w:p>
      <w:pPr>
        <w:pStyle w:val="23"/>
        <w:keepLines w:val="0"/>
        <w:widowControl w:val="0"/>
        <w:kinsoku/>
        <w:wordWrap/>
        <w:overflowPunct/>
        <w:topLinePunct w:val="0"/>
        <w:bidi w:val="0"/>
        <w:spacing w:line="360" w:lineRule="auto"/>
        <w:textAlignment w:val="auto"/>
      </w:pPr>
      <w:r>
        <w:rPr>
          <w:rFonts w:hint="eastAsia"/>
        </w:rPr>
        <w:t>10、外形尺寸:宽420mm×厚200mm×高590mm</w:t>
      </w:r>
    </w:p>
    <w:p>
      <w:pPr>
        <w:keepLines w:val="0"/>
        <w:widowControl w:val="0"/>
        <w:kinsoku/>
        <w:wordWrap/>
        <w:overflowPunct/>
        <w:topLinePunct w:val="0"/>
        <w:bidi w:val="0"/>
        <w:spacing w:line="360" w:lineRule="auto"/>
        <w:textAlignment w:val="auto"/>
        <w:rPr>
          <w:rFonts w:ascii="宋体" w:hAnsi="宋体" w:cs="宋体"/>
          <w:szCs w:val="28"/>
        </w:rPr>
      </w:pPr>
    </w:p>
    <w:p>
      <w:pPr>
        <w:keepLines w:val="0"/>
        <w:widowControl w:val="0"/>
        <w:numPr>
          <w:ilvl w:val="0"/>
          <w:numId w:val="4"/>
        </w:numPr>
        <w:kinsoku/>
        <w:wordWrap/>
        <w:overflowPunct/>
        <w:topLinePunct w:val="0"/>
        <w:bidi w:val="0"/>
        <w:snapToGrid w:val="0"/>
        <w:spacing w:line="360" w:lineRule="auto"/>
        <w:textAlignment w:val="auto"/>
        <w:outlineLvl w:val="2"/>
        <w:rPr>
          <w:rFonts w:ascii="宋体" w:hAnsi="宋体" w:cs="宋体"/>
          <w:b/>
          <w:sz w:val="24"/>
        </w:rPr>
      </w:pPr>
      <w:bookmarkStart w:id="61" w:name="_Toc23706"/>
      <w:r>
        <w:rPr>
          <w:rFonts w:hint="eastAsia" w:ascii="宋体" w:hAnsi="宋体" w:cs="宋体"/>
          <w:b/>
          <w:sz w:val="24"/>
        </w:rPr>
        <w:t>设备维保服务</w:t>
      </w:r>
      <w:bookmarkEnd w:id="61"/>
    </w:p>
    <w:p>
      <w:pPr>
        <w:pStyle w:val="23"/>
      </w:pPr>
    </w:p>
    <w:tbl>
      <w:tblPr>
        <w:tblStyle w:val="62"/>
        <w:tblW w:w="5069" w:type="pct"/>
        <w:tblInd w:w="0" w:type="dxa"/>
        <w:tblLayout w:type="autofit"/>
        <w:tblCellMar>
          <w:top w:w="0" w:type="dxa"/>
          <w:left w:w="108" w:type="dxa"/>
          <w:bottom w:w="0" w:type="dxa"/>
          <w:right w:w="108" w:type="dxa"/>
        </w:tblCellMar>
      </w:tblPr>
      <w:tblGrid>
        <w:gridCol w:w="498"/>
        <w:gridCol w:w="2329"/>
        <w:gridCol w:w="1459"/>
        <w:gridCol w:w="2706"/>
        <w:gridCol w:w="498"/>
        <w:gridCol w:w="505"/>
        <w:gridCol w:w="617"/>
      </w:tblGrid>
      <w:tr>
        <w:tblPrEx>
          <w:tblCellMar>
            <w:top w:w="0" w:type="dxa"/>
            <w:left w:w="108" w:type="dxa"/>
            <w:bottom w:w="0" w:type="dxa"/>
            <w:right w:w="108" w:type="dxa"/>
          </w:tblCellMar>
        </w:tblPrEx>
        <w:trPr>
          <w:trHeight w:val="367" w:hRule="atLeast"/>
        </w:trPr>
        <w:tc>
          <w:tcPr>
            <w:tcW w:w="4642" w:type="pct"/>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设备维保服务</w:t>
            </w:r>
          </w:p>
        </w:tc>
        <w:tc>
          <w:tcPr>
            <w:tcW w:w="358"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290"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1352"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市民中心路由交换设备维保服务</w:t>
            </w:r>
          </w:p>
        </w:tc>
        <w:tc>
          <w:tcPr>
            <w:tcW w:w="84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核心交换机</w:t>
            </w:r>
          </w:p>
        </w:tc>
        <w:tc>
          <w:tcPr>
            <w:tcW w:w="157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H3C S7608X</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35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原厂</w:t>
            </w: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4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核心路由器</w:t>
            </w:r>
          </w:p>
        </w:tc>
        <w:tc>
          <w:tcPr>
            <w:tcW w:w="157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H3C SR-8803-X-S</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35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47"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汇聚交换机</w:t>
            </w:r>
          </w:p>
        </w:tc>
        <w:tc>
          <w:tcPr>
            <w:tcW w:w="157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H3CS7506E-NP4</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4</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35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47"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57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华为S7706</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4</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台</w:t>
            </w:r>
          </w:p>
        </w:tc>
        <w:tc>
          <w:tcPr>
            <w:tcW w:w="35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4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准入认证</w:t>
            </w:r>
          </w:p>
        </w:tc>
        <w:tc>
          <w:tcPr>
            <w:tcW w:w="157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H3C DR2000</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套</w:t>
            </w:r>
          </w:p>
        </w:tc>
        <w:tc>
          <w:tcPr>
            <w:tcW w:w="35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290"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2</w:t>
            </w:r>
          </w:p>
        </w:tc>
        <w:tc>
          <w:tcPr>
            <w:tcW w:w="1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4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核心PE设备</w:t>
            </w:r>
          </w:p>
        </w:tc>
        <w:tc>
          <w:tcPr>
            <w:tcW w:w="157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华为NE20E-S8</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6</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35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原厂</w:t>
            </w: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4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P设备</w:t>
            </w:r>
          </w:p>
        </w:tc>
        <w:tc>
          <w:tcPr>
            <w:tcW w:w="157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华为S7706</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6</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35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847"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汇聚交换机</w:t>
            </w:r>
          </w:p>
        </w:tc>
        <w:tc>
          <w:tcPr>
            <w:tcW w:w="1571"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华为 S5730-68C-SI-AC</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12</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35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290"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3</w:t>
            </w:r>
          </w:p>
        </w:tc>
        <w:tc>
          <w:tcPr>
            <w:tcW w:w="1352"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市民中心机房维保服务</w:t>
            </w:r>
          </w:p>
        </w:tc>
        <w:tc>
          <w:tcPr>
            <w:tcW w:w="2418"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机房配电系统</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1</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358" w:type="pct"/>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rPr>
              <w:t>原厂</w:t>
            </w:r>
            <w:r>
              <w:rPr>
                <w:rFonts w:hint="eastAsia" w:ascii="宋体" w:hAnsi="宋体" w:cs="宋体"/>
                <w:bCs/>
                <w:kern w:val="0"/>
                <w:sz w:val="18"/>
                <w:szCs w:val="18"/>
                <w:lang w:eastAsia="en-US"/>
              </w:rPr>
              <w:t>1年</w:t>
            </w:r>
          </w:p>
        </w:tc>
      </w:tr>
      <w:tr>
        <w:tblPrEx>
          <w:tblCellMar>
            <w:top w:w="0" w:type="dxa"/>
            <w:left w:w="108" w:type="dxa"/>
            <w:bottom w:w="0" w:type="dxa"/>
            <w:right w:w="108" w:type="dxa"/>
          </w:tblCellMar>
        </w:tblPrEx>
        <w:trPr>
          <w:trHeight w:val="375"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2418"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汇聚机房气体灭火系统</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3</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套</w:t>
            </w:r>
          </w:p>
        </w:tc>
        <w:tc>
          <w:tcPr>
            <w:tcW w:w="35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2418"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机房精密空调</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5</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套</w:t>
            </w:r>
          </w:p>
        </w:tc>
        <w:tc>
          <w:tcPr>
            <w:tcW w:w="35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2418"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机房冷通道动环监控</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val="en-US" w:eastAsia="zh-CN"/>
              </w:rPr>
            </w:pPr>
            <w:r>
              <w:rPr>
                <w:rFonts w:hint="eastAsia" w:ascii="宋体" w:hAnsi="宋体" w:cs="宋体"/>
                <w:bCs/>
                <w:kern w:val="0"/>
                <w:sz w:val="18"/>
                <w:szCs w:val="18"/>
                <w:lang w:val="en-US" w:eastAsia="zh-CN"/>
              </w:rPr>
              <w:t>2</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套</w:t>
            </w:r>
          </w:p>
        </w:tc>
        <w:tc>
          <w:tcPr>
            <w:tcW w:w="35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2418"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rPr>
            </w:pPr>
            <w:r>
              <w:rPr>
                <w:rFonts w:hint="eastAsia" w:ascii="宋体" w:hAnsi="宋体" w:cs="宋体"/>
                <w:bCs/>
                <w:kern w:val="0"/>
                <w:sz w:val="18"/>
                <w:szCs w:val="18"/>
              </w:rPr>
              <w:t>部署于市民中心A座3楼机房机房UPS（主机）</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2</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hint="eastAsia" w:ascii="宋体" w:hAnsi="宋体" w:eastAsia="宋体" w:cs="宋体"/>
                <w:bCs/>
                <w:kern w:val="0"/>
                <w:sz w:val="18"/>
                <w:szCs w:val="18"/>
                <w:lang w:eastAsia="zh-CN"/>
              </w:rPr>
            </w:pPr>
            <w:r>
              <w:rPr>
                <w:rFonts w:hint="eastAsia" w:ascii="宋体" w:hAnsi="宋体" w:cs="宋体"/>
                <w:bCs/>
                <w:kern w:val="0"/>
                <w:sz w:val="18"/>
                <w:szCs w:val="18"/>
                <w:lang w:val="en-US" w:eastAsia="zh-CN"/>
              </w:rPr>
              <w:t>台</w:t>
            </w:r>
          </w:p>
        </w:tc>
        <w:tc>
          <w:tcPr>
            <w:tcW w:w="35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r>
      <w:tr>
        <w:tblPrEx>
          <w:tblCellMar>
            <w:top w:w="0" w:type="dxa"/>
            <w:left w:w="108" w:type="dxa"/>
            <w:bottom w:w="0" w:type="dxa"/>
            <w:right w:w="108" w:type="dxa"/>
          </w:tblCellMar>
        </w:tblPrEx>
        <w:trPr>
          <w:trHeight w:val="375" w:hRule="atLeast"/>
        </w:trPr>
        <w:tc>
          <w:tcPr>
            <w:tcW w:w="290"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1352"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c>
          <w:tcPr>
            <w:tcW w:w="2418" w:type="pct"/>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汇聚机房(A、B、C、D、E、F)UPS维保</w:t>
            </w:r>
          </w:p>
        </w:tc>
        <w:tc>
          <w:tcPr>
            <w:tcW w:w="289"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6</w:t>
            </w:r>
          </w:p>
        </w:tc>
        <w:tc>
          <w:tcPr>
            <w:tcW w:w="293" w:type="pc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r>
              <w:rPr>
                <w:rFonts w:hint="eastAsia" w:ascii="宋体" w:hAnsi="宋体" w:cs="宋体"/>
                <w:bCs/>
                <w:kern w:val="0"/>
                <w:sz w:val="18"/>
                <w:szCs w:val="18"/>
                <w:lang w:eastAsia="en-US"/>
              </w:rPr>
              <w:t>项</w:t>
            </w:r>
          </w:p>
        </w:tc>
        <w:tc>
          <w:tcPr>
            <w:tcW w:w="358" w:type="pct"/>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autoSpaceDE w:val="0"/>
              <w:autoSpaceDN w:val="0"/>
              <w:adjustRightInd/>
              <w:jc w:val="left"/>
              <w:rPr>
                <w:rFonts w:ascii="宋体" w:hAnsi="宋体" w:cs="宋体"/>
                <w:bCs/>
                <w:kern w:val="0"/>
                <w:sz w:val="18"/>
                <w:szCs w:val="18"/>
                <w:lang w:eastAsia="en-US"/>
              </w:rPr>
            </w:pPr>
          </w:p>
        </w:tc>
      </w:tr>
    </w:tbl>
    <w:p>
      <w:pPr>
        <w:pStyle w:val="5"/>
        <w:spacing w:line="580" w:lineRule="exact"/>
        <w:rPr>
          <w:rFonts w:ascii="仿宋_GB2312" w:eastAsia="仿宋_GB2312"/>
          <w:color w:val="auto"/>
          <w:szCs w:val="28"/>
        </w:rPr>
      </w:pPr>
    </w:p>
    <w:p>
      <w:pPr>
        <w:pStyle w:val="5"/>
        <w:spacing w:line="580" w:lineRule="exact"/>
        <w:ind w:firstLine="0"/>
        <w:rPr>
          <w:rFonts w:ascii="仿宋_GB2312" w:eastAsia="仿宋_GB2312"/>
          <w:b/>
          <w:bCs/>
          <w:color w:val="auto"/>
          <w:szCs w:val="28"/>
        </w:rPr>
      </w:pPr>
      <w:r>
        <w:rPr>
          <w:rFonts w:hint="eastAsia" w:hAnsi="宋体" w:cs="宋体"/>
          <w:color w:val="auto"/>
          <w:sz w:val="24"/>
        </w:rPr>
        <w:t>▲</w:t>
      </w:r>
      <w:r>
        <w:rPr>
          <w:rFonts w:hint="eastAsia" w:ascii="仿宋_GB2312" w:eastAsia="仿宋_GB2312"/>
          <w:b/>
          <w:bCs/>
          <w:color w:val="auto"/>
          <w:szCs w:val="28"/>
        </w:rPr>
        <w:t>投标</w:t>
      </w:r>
      <w:r>
        <w:rPr>
          <w:rFonts w:hint="eastAsia" w:ascii="仿宋_GB2312" w:eastAsia="仿宋_GB2312"/>
          <w:b/>
          <w:bCs/>
          <w:color w:val="auto"/>
          <w:szCs w:val="28"/>
          <w:lang w:eastAsia="zh-CN"/>
        </w:rPr>
        <w:t>人</w:t>
      </w:r>
      <w:r>
        <w:rPr>
          <w:rFonts w:hint="eastAsia" w:ascii="仿宋_GB2312" w:eastAsia="仿宋_GB2312"/>
          <w:b/>
          <w:bCs/>
          <w:color w:val="auto"/>
          <w:szCs w:val="28"/>
        </w:rPr>
        <w:t>必须以承诺函形式在投标文件中承诺在</w:t>
      </w:r>
      <w:r>
        <w:rPr>
          <w:rFonts w:hint="eastAsia" w:ascii="仿宋_GB2312" w:eastAsia="仿宋_GB2312"/>
          <w:b/>
          <w:bCs/>
          <w:color w:val="auto"/>
          <w:szCs w:val="28"/>
          <w:lang w:val="en-US" w:eastAsia="zh-CN"/>
        </w:rPr>
        <w:t>服务周期开始前</w:t>
      </w:r>
      <w:r>
        <w:rPr>
          <w:rFonts w:hint="eastAsia" w:ascii="仿宋_GB2312" w:eastAsia="仿宋_GB2312"/>
          <w:b/>
          <w:bCs/>
          <w:color w:val="auto"/>
          <w:szCs w:val="28"/>
        </w:rPr>
        <w:t>准时提供完整上述标的物（出口线路，租用的设备和维保），确保杭州市电子政务网络正常运行。否则投标无效。</w:t>
      </w:r>
    </w:p>
    <w:p>
      <w:pPr>
        <w:pStyle w:val="5"/>
        <w:spacing w:line="580" w:lineRule="exact"/>
        <w:ind w:firstLine="0"/>
        <w:rPr>
          <w:rFonts w:ascii="仿宋_GB2312" w:eastAsia="仿宋_GB2312"/>
          <w:b/>
          <w:bCs/>
          <w:color w:val="auto"/>
          <w:szCs w:val="28"/>
        </w:rPr>
      </w:pPr>
    </w:p>
    <w:p>
      <w:pPr>
        <w:numPr>
          <w:ilvl w:val="0"/>
          <w:numId w:val="4"/>
        </w:numPr>
        <w:snapToGrid w:val="0"/>
        <w:spacing w:line="580" w:lineRule="exact"/>
        <w:outlineLvl w:val="2"/>
        <w:rPr>
          <w:rFonts w:ascii="宋体" w:hAnsi="宋体" w:cs="宋体"/>
          <w:b/>
          <w:sz w:val="24"/>
        </w:rPr>
      </w:pPr>
      <w:r>
        <w:rPr>
          <w:rFonts w:hint="eastAsia" w:ascii="宋体" w:hAnsi="宋体" w:cs="宋体"/>
          <w:b/>
          <w:sz w:val="24"/>
        </w:rPr>
        <w:t>其他</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安全责任（中标方义务）</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外包服务机构的网络、数据安全责任及违约条款</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一、安全责任（中标方义务）</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1.中标方应按照《中华人民共和国网络安全法》《中华人民共和国数据安全法》《中华人民共和国个人信息保护法》等法律法规及规章制度的要求，履行网络和数据安全保护义务。</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2.本项目所涉及的中标方工作人员均需签订《保密承诺书》，且中标方应对项目涉及工作人员进行背景审查，存在泄密风险的中标方工作人员不得接触项目。中标方应做好人员保密教育工作。</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3.中标方应当采取技术措施和其他必要措施，确保其网络和数据安全，防止出现信息泄露、毁损、丢失等风险。在发生或者可能发生信息泄露、毁损、丢失等情况时，应当立即采取补救措施，并将相关情况及时告知</w:t>
      </w:r>
      <w:r>
        <w:rPr>
          <w:rFonts w:hint="eastAsia" w:ascii="宋体" w:hAnsi="宋体" w:cs="宋体"/>
          <w:sz w:val="24"/>
          <w:lang w:eastAsia="zh-CN"/>
        </w:rPr>
        <w:t>采购人</w:t>
      </w:r>
      <w:r>
        <w:rPr>
          <w:rFonts w:hint="eastAsia" w:ascii="宋体" w:hAnsi="宋体" w:cs="宋体"/>
          <w:sz w:val="24"/>
        </w:rPr>
        <w:t>。</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4.项目中所包含的建设、运营、运维的信息系统、应用、数据库等，中标方开通相关账号、权限等必须经过</w:t>
      </w:r>
      <w:r>
        <w:rPr>
          <w:rFonts w:hint="eastAsia" w:ascii="宋体" w:hAnsi="宋体" w:cs="宋体"/>
          <w:sz w:val="24"/>
          <w:lang w:eastAsia="zh-CN"/>
        </w:rPr>
        <w:t>采购人</w:t>
      </w:r>
      <w:r>
        <w:rPr>
          <w:rFonts w:hint="eastAsia" w:ascii="宋体" w:hAnsi="宋体" w:cs="宋体"/>
          <w:sz w:val="24"/>
        </w:rPr>
        <w:t>审批允许，不得私开账号、擅自更改权限等。</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5.中标方应合理使用操作账号，严禁中标方存在多名（2人及以上）工作人员共用一个操作账号的情形，同时操作账号应采用高强度的密码，中标方应妥善保管密码并定期更新账号密码。</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6.未经</w:t>
      </w:r>
      <w:r>
        <w:rPr>
          <w:rFonts w:hint="eastAsia" w:ascii="宋体" w:hAnsi="宋体" w:cs="宋体"/>
          <w:sz w:val="24"/>
          <w:lang w:eastAsia="zh-CN"/>
        </w:rPr>
        <w:t>采购人</w:t>
      </w:r>
      <w:r>
        <w:rPr>
          <w:rFonts w:hint="eastAsia" w:ascii="宋体" w:hAnsi="宋体" w:cs="宋体"/>
          <w:sz w:val="24"/>
        </w:rPr>
        <w:t>允许，中标方不得对项目云资源私开端口，不得利用项目资源进行与该项目无关的工作，不得将政务网和互联网私自打通。</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7.中标方应严格按照相关要求收集、归集、存储、加工、传输、共享、开放、利用数据资源。做好数据落地相应的数据保护工作，严格执行数据安全技术标准和安全管理措施，避免相关数据出现篡改、破坏、泄露、丢失、非法利用等风险。</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8.中标方应认真组织开展各项数据处理活动，查找项目数据安全隐患和漏洞，对薄弱环节和潜在威胁采取有力措施并进行及时整改，避免和消除数据安全风险，履行数据安全保护义务。</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9.中标方应加强网络和数据安全风险监测，制定网络与数据安全应急预案，完善应急机制。一旦发现数据安全缺陷、漏洞等风险时，立即采取补救措施；发生数据安全事件时，立即采取处置措施。确保第一时间监测发现，第一时间应急处置，第一时间向</w:t>
      </w:r>
      <w:r>
        <w:rPr>
          <w:rFonts w:hint="eastAsia" w:ascii="宋体" w:hAnsi="宋体" w:cs="宋体"/>
          <w:sz w:val="24"/>
          <w:lang w:eastAsia="zh-CN"/>
        </w:rPr>
        <w:t>采购人</w:t>
      </w:r>
      <w:r>
        <w:rPr>
          <w:rFonts w:hint="eastAsia" w:ascii="宋体" w:hAnsi="宋体" w:cs="宋体"/>
          <w:sz w:val="24"/>
        </w:rPr>
        <w:t>报告。</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10.中标方应及时响应、处置</w:t>
      </w:r>
      <w:r>
        <w:rPr>
          <w:rFonts w:hint="eastAsia" w:ascii="宋体" w:hAnsi="宋体" w:cs="宋体"/>
          <w:sz w:val="24"/>
          <w:lang w:eastAsia="zh-CN"/>
        </w:rPr>
        <w:t>采购人</w:t>
      </w:r>
      <w:r>
        <w:rPr>
          <w:rFonts w:hint="eastAsia" w:ascii="宋体" w:hAnsi="宋体" w:cs="宋体"/>
          <w:sz w:val="24"/>
        </w:rPr>
        <w:t>布置的安全工作，对其主管的系统、组件、云资源等所属安全事件、隐患及时发现、阻断、排查、处置、溯源（包括但不限于攻防演练等相关活动中发现的）。</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11.项目中所建设的系统、提供的基础设施服务等，中标方应无偿提供操作、告警等安全日志以及资产清单，并且按照规范要求与</w:t>
      </w:r>
      <w:r>
        <w:rPr>
          <w:rFonts w:hint="eastAsia" w:ascii="宋体" w:hAnsi="宋体" w:cs="宋体"/>
          <w:sz w:val="24"/>
          <w:lang w:eastAsia="zh-CN"/>
        </w:rPr>
        <w:t>采购人</w:t>
      </w:r>
      <w:r>
        <w:rPr>
          <w:rFonts w:hint="eastAsia" w:ascii="宋体" w:hAnsi="宋体" w:cs="宋体"/>
          <w:sz w:val="24"/>
        </w:rPr>
        <w:t>审计平台实现对接，并且提供相关解析服务（如日志字典等）供</w:t>
      </w:r>
      <w:r>
        <w:rPr>
          <w:rFonts w:hint="eastAsia" w:ascii="宋体" w:hAnsi="宋体" w:cs="宋体"/>
          <w:sz w:val="24"/>
          <w:lang w:eastAsia="zh-CN"/>
        </w:rPr>
        <w:t>采购人</w:t>
      </w:r>
      <w:r>
        <w:rPr>
          <w:rFonts w:hint="eastAsia" w:ascii="宋体" w:hAnsi="宋体" w:cs="宋体"/>
          <w:sz w:val="24"/>
        </w:rPr>
        <w:t>进行安全审计。</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12.</w:t>
      </w:r>
      <w:r>
        <w:rPr>
          <w:rFonts w:hint="eastAsia" w:ascii="宋体" w:hAnsi="宋体" w:cs="宋体"/>
          <w:sz w:val="24"/>
          <w:lang w:eastAsia="zh-CN"/>
        </w:rPr>
        <w:t>中标方</w:t>
      </w:r>
      <w:r>
        <w:rPr>
          <w:rFonts w:hint="eastAsia" w:ascii="宋体" w:hAnsi="宋体" w:cs="宋体"/>
          <w:sz w:val="24"/>
        </w:rPr>
        <w:t>派驻的驻场人员应按照</w:t>
      </w:r>
      <w:r>
        <w:rPr>
          <w:rFonts w:hint="eastAsia" w:ascii="宋体" w:hAnsi="宋体" w:cs="宋体"/>
          <w:sz w:val="24"/>
          <w:lang w:eastAsia="zh-CN"/>
        </w:rPr>
        <w:t>采购人</w:t>
      </w:r>
      <w:r>
        <w:rPr>
          <w:rFonts w:hint="eastAsia" w:ascii="宋体" w:hAnsi="宋体" w:cs="宋体"/>
          <w:sz w:val="24"/>
        </w:rPr>
        <w:t>要求办理入场、离场等手续，入驻全省ISV系统，并且遵守</w:t>
      </w:r>
      <w:r>
        <w:rPr>
          <w:rFonts w:hint="eastAsia" w:ascii="宋体" w:hAnsi="宋体" w:cs="宋体"/>
          <w:sz w:val="24"/>
          <w:lang w:eastAsia="zh-CN"/>
        </w:rPr>
        <w:t>采购人</w:t>
      </w:r>
      <w:r>
        <w:rPr>
          <w:rFonts w:hint="eastAsia" w:ascii="宋体" w:hAnsi="宋体" w:cs="宋体"/>
          <w:sz w:val="24"/>
        </w:rPr>
        <w:t>劳动、工作纪律，按照</w:t>
      </w:r>
      <w:r>
        <w:rPr>
          <w:rFonts w:hint="eastAsia" w:ascii="宋体" w:hAnsi="宋体" w:cs="宋体"/>
          <w:sz w:val="24"/>
          <w:lang w:eastAsia="zh-CN"/>
        </w:rPr>
        <w:t>采购人</w:t>
      </w:r>
      <w:r>
        <w:rPr>
          <w:rFonts w:hint="eastAsia" w:ascii="宋体" w:hAnsi="宋体" w:cs="宋体"/>
          <w:sz w:val="24"/>
        </w:rPr>
        <w:t>要求的工作时间进行出勤。</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 xml:space="preserve">13. </w:t>
      </w:r>
      <w:r>
        <w:rPr>
          <w:rFonts w:hint="eastAsia" w:ascii="宋体" w:hAnsi="宋体" w:cs="宋体"/>
          <w:sz w:val="24"/>
          <w:lang w:eastAsia="zh-CN"/>
        </w:rPr>
        <w:t>中标方</w:t>
      </w:r>
      <w:r>
        <w:rPr>
          <w:rFonts w:hint="eastAsia" w:ascii="宋体" w:hAnsi="宋体" w:cs="宋体"/>
          <w:sz w:val="24"/>
        </w:rPr>
        <w:t>应配合</w:t>
      </w:r>
      <w:r>
        <w:rPr>
          <w:rFonts w:hint="eastAsia" w:ascii="宋体" w:hAnsi="宋体" w:cs="宋体"/>
          <w:sz w:val="24"/>
          <w:lang w:eastAsia="zh-CN"/>
        </w:rPr>
        <w:t>采购人</w:t>
      </w:r>
      <w:r>
        <w:rPr>
          <w:rFonts w:hint="eastAsia" w:ascii="宋体" w:hAnsi="宋体" w:cs="宋体"/>
          <w:sz w:val="24"/>
        </w:rPr>
        <w:t>对项目涉及的资源、系统等常态化安全漏洞扫描，并且及时修复漏洞。</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14.</w:t>
      </w:r>
      <w:r>
        <w:rPr>
          <w:rFonts w:hint="eastAsia" w:ascii="宋体" w:hAnsi="宋体" w:cs="宋体"/>
          <w:sz w:val="24"/>
          <w:lang w:eastAsia="zh-CN"/>
        </w:rPr>
        <w:t>中标方</w:t>
      </w:r>
      <w:r>
        <w:rPr>
          <w:rFonts w:hint="eastAsia" w:ascii="宋体" w:hAnsi="宋体" w:cs="宋体"/>
          <w:sz w:val="24"/>
        </w:rPr>
        <w:t>应配合</w:t>
      </w:r>
      <w:r>
        <w:rPr>
          <w:rFonts w:hint="eastAsia" w:ascii="宋体" w:hAnsi="宋体" w:cs="宋体"/>
          <w:sz w:val="24"/>
          <w:lang w:eastAsia="zh-CN"/>
        </w:rPr>
        <w:t>采购人</w:t>
      </w:r>
      <w:r>
        <w:rPr>
          <w:rFonts w:hint="eastAsia" w:ascii="宋体" w:hAnsi="宋体" w:cs="宋体"/>
          <w:sz w:val="24"/>
        </w:rPr>
        <w:t>完成项目中所建设、运营的应用系统、服务等的网络数据安全检查，并且按要求及时完成检查中发现问题的整改。</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15.未经</w:t>
      </w:r>
      <w:r>
        <w:rPr>
          <w:rFonts w:hint="eastAsia" w:ascii="宋体" w:hAnsi="宋体" w:cs="宋体"/>
          <w:sz w:val="24"/>
          <w:lang w:eastAsia="zh-CN"/>
        </w:rPr>
        <w:t>采购人</w:t>
      </w:r>
      <w:r>
        <w:rPr>
          <w:rFonts w:hint="eastAsia" w:ascii="宋体" w:hAnsi="宋体" w:cs="宋体"/>
          <w:sz w:val="24"/>
        </w:rPr>
        <w:t>允许，</w:t>
      </w:r>
      <w:r>
        <w:rPr>
          <w:rFonts w:hint="eastAsia" w:ascii="宋体" w:hAnsi="宋体" w:cs="宋体"/>
          <w:sz w:val="24"/>
          <w:lang w:eastAsia="zh-CN"/>
        </w:rPr>
        <w:t>中标方</w:t>
      </w:r>
      <w:r>
        <w:rPr>
          <w:rFonts w:hint="eastAsia" w:ascii="宋体" w:hAnsi="宋体" w:cs="宋体"/>
          <w:sz w:val="24"/>
        </w:rPr>
        <w:t>不得擅自将项目中涉及的数据拷贝、转移出指定数据区域外进行开发、调试等，包括不限于</w:t>
      </w:r>
      <w:r>
        <w:rPr>
          <w:rFonts w:hint="eastAsia" w:ascii="宋体" w:hAnsi="宋体" w:cs="宋体"/>
          <w:sz w:val="24"/>
          <w:lang w:eastAsia="zh-CN"/>
        </w:rPr>
        <w:t>中标方</w:t>
      </w:r>
      <w:r>
        <w:rPr>
          <w:rFonts w:hint="eastAsia" w:ascii="宋体" w:hAnsi="宋体" w:cs="宋体"/>
          <w:sz w:val="24"/>
        </w:rPr>
        <w:t>公司、第三方公司的服务器等。</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16．每次通报后，</w:t>
      </w:r>
      <w:r>
        <w:rPr>
          <w:rFonts w:hint="eastAsia" w:ascii="宋体" w:hAnsi="宋体" w:cs="宋体"/>
          <w:sz w:val="24"/>
          <w:lang w:eastAsia="zh-CN"/>
        </w:rPr>
        <w:t>中标方</w:t>
      </w:r>
      <w:r>
        <w:rPr>
          <w:rFonts w:hint="eastAsia" w:ascii="宋体" w:hAnsi="宋体" w:cs="宋体"/>
          <w:sz w:val="24"/>
        </w:rPr>
        <w:t>应当及时解决并向</w:t>
      </w:r>
      <w:r>
        <w:rPr>
          <w:rFonts w:hint="eastAsia" w:ascii="宋体" w:hAnsi="宋体" w:cs="宋体"/>
          <w:sz w:val="24"/>
          <w:lang w:eastAsia="zh-CN"/>
        </w:rPr>
        <w:t>采购人</w:t>
      </w:r>
      <w:r>
        <w:rPr>
          <w:rFonts w:hint="eastAsia" w:ascii="宋体" w:hAnsi="宋体" w:cs="宋体"/>
          <w:sz w:val="24"/>
        </w:rPr>
        <w:t>提交整改报告并根据整改报告内容进行及时整改。</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17.</w:t>
      </w:r>
      <w:r>
        <w:rPr>
          <w:rFonts w:hint="eastAsia" w:ascii="宋体" w:hAnsi="宋体" w:cs="宋体"/>
          <w:sz w:val="24"/>
          <w:lang w:eastAsia="zh-CN"/>
        </w:rPr>
        <w:t>中标方</w:t>
      </w:r>
      <w:r>
        <w:rPr>
          <w:rFonts w:hint="eastAsia" w:ascii="宋体" w:hAnsi="宋体" w:cs="宋体"/>
          <w:sz w:val="24"/>
        </w:rPr>
        <w:t>在项目中所承建信息系统的开发、测试环境，不允许出现</w:t>
      </w:r>
      <w:r>
        <w:rPr>
          <w:rFonts w:hint="eastAsia" w:ascii="宋体" w:hAnsi="宋体" w:cs="宋体"/>
          <w:sz w:val="24"/>
          <w:lang w:eastAsia="zh-CN"/>
        </w:rPr>
        <w:t>采购人</w:t>
      </w:r>
      <w:r>
        <w:rPr>
          <w:rFonts w:hint="eastAsia" w:ascii="宋体" w:hAnsi="宋体" w:cs="宋体"/>
          <w:sz w:val="24"/>
        </w:rPr>
        <w:t>及项目相关的标识名称，并且在项目建成后及时下架测试环境。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18.</w:t>
      </w:r>
      <w:r>
        <w:rPr>
          <w:rFonts w:hint="eastAsia" w:ascii="宋体" w:hAnsi="宋体" w:cs="宋体"/>
          <w:sz w:val="24"/>
          <w:lang w:eastAsia="zh-CN"/>
        </w:rPr>
        <w:t>中标方</w:t>
      </w:r>
      <w:r>
        <w:rPr>
          <w:rFonts w:hint="eastAsia" w:ascii="宋体" w:hAnsi="宋体" w:cs="宋体"/>
          <w:sz w:val="24"/>
        </w:rPr>
        <w:t>应承担在项目运维期中的安全责任，履行运维期的项目、应用系统、云资源的安全义务。</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19.</w:t>
      </w:r>
      <w:r>
        <w:rPr>
          <w:rFonts w:hint="eastAsia" w:ascii="宋体" w:hAnsi="宋体" w:cs="宋体"/>
          <w:sz w:val="24"/>
          <w:lang w:eastAsia="zh-CN"/>
        </w:rPr>
        <w:t>中标方</w:t>
      </w:r>
      <w:r>
        <w:rPr>
          <w:rFonts w:hint="eastAsia" w:ascii="宋体" w:hAnsi="宋体" w:cs="宋体"/>
          <w:sz w:val="24"/>
        </w:rPr>
        <w:t>驻场人员应在重要活动、会议期间，根据</w:t>
      </w:r>
      <w:r>
        <w:rPr>
          <w:rFonts w:hint="eastAsia" w:ascii="宋体" w:hAnsi="宋体" w:cs="宋体"/>
          <w:sz w:val="24"/>
          <w:lang w:eastAsia="zh-CN"/>
        </w:rPr>
        <w:t>采购人</w:t>
      </w:r>
      <w:r>
        <w:rPr>
          <w:rFonts w:hint="eastAsia" w:ascii="宋体" w:hAnsi="宋体" w:cs="宋体"/>
          <w:sz w:val="24"/>
        </w:rPr>
        <w:t>安全保障要求，参与重保值班值守工作。</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20.</w:t>
      </w:r>
      <w:r>
        <w:rPr>
          <w:rFonts w:hint="eastAsia" w:ascii="宋体" w:hAnsi="宋体" w:cs="宋体"/>
          <w:sz w:val="24"/>
          <w:lang w:eastAsia="zh-CN"/>
        </w:rPr>
        <w:t>中标方</w:t>
      </w:r>
      <w:r>
        <w:rPr>
          <w:rFonts w:hint="eastAsia" w:ascii="宋体" w:hAnsi="宋体" w:cs="宋体"/>
          <w:sz w:val="24"/>
        </w:rPr>
        <w:t>应按照</w:t>
      </w:r>
      <w:r>
        <w:rPr>
          <w:rFonts w:hint="eastAsia" w:ascii="宋体" w:hAnsi="宋体" w:cs="宋体"/>
          <w:sz w:val="24"/>
          <w:lang w:eastAsia="zh-CN"/>
        </w:rPr>
        <w:t>采购人</w:t>
      </w:r>
      <w:r>
        <w:rPr>
          <w:rFonts w:hint="eastAsia" w:ascii="宋体" w:hAnsi="宋体" w:cs="宋体"/>
          <w:sz w:val="24"/>
        </w:rPr>
        <w:t>业务要求，围绕项目内容，提供</w:t>
      </w:r>
      <w:r>
        <w:rPr>
          <w:rFonts w:hint="eastAsia" w:ascii="宋体" w:hAnsi="宋体" w:cs="宋体"/>
          <w:sz w:val="24"/>
          <w:lang w:eastAsia="zh-CN"/>
        </w:rPr>
        <w:t>采购人</w:t>
      </w:r>
      <w:r>
        <w:rPr>
          <w:rFonts w:hint="eastAsia" w:ascii="宋体" w:hAnsi="宋体" w:cs="宋体"/>
          <w:sz w:val="24"/>
        </w:rPr>
        <w:t>所需要的业务相关进展及数据，最迟须在</w:t>
      </w:r>
      <w:r>
        <w:rPr>
          <w:rFonts w:hint="eastAsia" w:ascii="宋体" w:hAnsi="宋体" w:cs="宋体"/>
          <w:sz w:val="24"/>
          <w:lang w:eastAsia="zh-CN"/>
        </w:rPr>
        <w:t>采购人</w:t>
      </w:r>
      <w:r>
        <w:rPr>
          <w:rFonts w:hint="eastAsia" w:ascii="宋体" w:hAnsi="宋体" w:cs="宋体"/>
          <w:sz w:val="24"/>
        </w:rPr>
        <w:t>要求的24小时内提供准确的信息。</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21.</w:t>
      </w:r>
      <w:r>
        <w:rPr>
          <w:rFonts w:hint="eastAsia" w:ascii="宋体" w:hAnsi="宋体" w:cs="宋体"/>
          <w:sz w:val="24"/>
          <w:lang w:eastAsia="zh-CN"/>
        </w:rPr>
        <w:t>中标方</w:t>
      </w:r>
      <w:r>
        <w:rPr>
          <w:rFonts w:hint="eastAsia" w:ascii="宋体" w:hAnsi="宋体" w:cs="宋体"/>
          <w:sz w:val="24"/>
        </w:rPr>
        <w:t>在项目中所建设、运营的应用系统、应用服务等涉及鉴权登录的，应使用浙政钉/浙里办扫码方式，若使用账号口令方式的，需要经</w:t>
      </w:r>
      <w:r>
        <w:rPr>
          <w:rFonts w:hint="eastAsia" w:ascii="宋体" w:hAnsi="宋体" w:cs="宋体"/>
          <w:sz w:val="24"/>
          <w:lang w:eastAsia="zh-CN"/>
        </w:rPr>
        <w:t>采购人</w:t>
      </w:r>
      <w:r>
        <w:rPr>
          <w:rFonts w:hint="eastAsia" w:ascii="宋体" w:hAnsi="宋体" w:cs="宋体"/>
          <w:sz w:val="24"/>
        </w:rPr>
        <w:t>允许后，并且采用二次验证的方式。</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22.</w:t>
      </w:r>
      <w:r>
        <w:rPr>
          <w:rFonts w:hint="eastAsia" w:ascii="宋体" w:hAnsi="宋体" w:cs="宋体"/>
          <w:sz w:val="24"/>
          <w:lang w:eastAsia="zh-CN"/>
        </w:rPr>
        <w:t>中标方</w:t>
      </w:r>
      <w:r>
        <w:rPr>
          <w:rFonts w:hint="eastAsia" w:ascii="宋体" w:hAnsi="宋体" w:cs="宋体"/>
          <w:sz w:val="24"/>
        </w:rPr>
        <w:t>驻场人员原则上需按照</w:t>
      </w:r>
      <w:r>
        <w:rPr>
          <w:rFonts w:hint="eastAsia" w:ascii="宋体" w:hAnsi="宋体" w:cs="宋体"/>
          <w:sz w:val="24"/>
          <w:lang w:eastAsia="zh-CN"/>
        </w:rPr>
        <w:t>采购人</w:t>
      </w:r>
      <w:r>
        <w:rPr>
          <w:rFonts w:hint="eastAsia" w:ascii="宋体" w:hAnsi="宋体" w:cs="宋体"/>
          <w:sz w:val="24"/>
        </w:rPr>
        <w:t>要求，从事项目中约定的相关驻场工作，不得参与其他项目，不得从事项目中已单独支付服务费的等非驻场工作。</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二、安全部分违约责任</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1.由于</w:t>
      </w:r>
      <w:r>
        <w:rPr>
          <w:rFonts w:hint="eastAsia" w:ascii="宋体" w:hAnsi="宋体" w:cs="宋体"/>
          <w:sz w:val="24"/>
          <w:lang w:eastAsia="zh-CN"/>
        </w:rPr>
        <w:t>中标方</w:t>
      </w:r>
      <w:r>
        <w:rPr>
          <w:rFonts w:hint="eastAsia" w:ascii="宋体" w:hAnsi="宋体" w:cs="宋体"/>
          <w:sz w:val="24"/>
        </w:rPr>
        <w:t>原因，受到国家级安全问题通报的、或造成特别重大事故的，每通报一个问题或发生一次事故，从合同金额内扣除10万元。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2.由于</w:t>
      </w:r>
      <w:r>
        <w:rPr>
          <w:rFonts w:hint="eastAsia" w:ascii="宋体" w:hAnsi="宋体" w:cs="宋体"/>
          <w:sz w:val="24"/>
          <w:lang w:eastAsia="zh-CN"/>
        </w:rPr>
        <w:t>中标方</w:t>
      </w:r>
      <w:r>
        <w:rPr>
          <w:rFonts w:hint="eastAsia" w:ascii="宋体" w:hAnsi="宋体" w:cs="宋体"/>
          <w:sz w:val="24"/>
        </w:rPr>
        <w:t>原因，受到省级安全问题通报的、或造成重大事故的，每通报一个问题或发生一次事故，从合同金额扣除5万元。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3.由于</w:t>
      </w:r>
      <w:r>
        <w:rPr>
          <w:rFonts w:hint="eastAsia" w:ascii="宋体" w:hAnsi="宋体" w:cs="宋体"/>
          <w:sz w:val="24"/>
          <w:lang w:eastAsia="zh-CN"/>
        </w:rPr>
        <w:t>中标方</w:t>
      </w:r>
      <w:r>
        <w:rPr>
          <w:rFonts w:hint="eastAsia" w:ascii="宋体" w:hAnsi="宋体" w:cs="宋体"/>
          <w:sz w:val="24"/>
        </w:rPr>
        <w:t>原因，受到市级安全问题通报的、或造成较大事故（一般事故）的，每通报一个问题或发生一次事故，从合同金额扣除1万元。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4.</w:t>
      </w:r>
      <w:r>
        <w:rPr>
          <w:rFonts w:hint="eastAsia" w:ascii="宋体" w:hAnsi="宋体" w:cs="宋体"/>
          <w:sz w:val="24"/>
          <w:lang w:eastAsia="zh-CN"/>
        </w:rPr>
        <w:t>中标方</w:t>
      </w:r>
      <w:r>
        <w:rPr>
          <w:rFonts w:hint="eastAsia" w:ascii="宋体" w:hAnsi="宋体" w:cs="宋体"/>
          <w:sz w:val="24"/>
        </w:rPr>
        <w:t>未按照</w:t>
      </w:r>
      <w:r>
        <w:rPr>
          <w:rFonts w:hint="eastAsia" w:ascii="宋体" w:hAnsi="宋体" w:cs="宋体"/>
          <w:sz w:val="24"/>
          <w:lang w:eastAsia="zh-CN"/>
        </w:rPr>
        <w:t>采购人</w:t>
      </w:r>
      <w:r>
        <w:rPr>
          <w:rFonts w:hint="eastAsia" w:ascii="宋体" w:hAnsi="宋体" w:cs="宋体"/>
          <w:sz w:val="24"/>
        </w:rPr>
        <w:t>要求及时处置所属安全事件、隐患的，每发生一次，从合同金额扣除1万元。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5.</w:t>
      </w:r>
      <w:r>
        <w:rPr>
          <w:rFonts w:hint="eastAsia" w:ascii="宋体" w:hAnsi="宋体" w:cs="宋体"/>
          <w:sz w:val="24"/>
          <w:lang w:eastAsia="zh-CN"/>
        </w:rPr>
        <w:t>中标方</w:t>
      </w:r>
      <w:r>
        <w:rPr>
          <w:rFonts w:hint="eastAsia" w:ascii="宋体" w:hAnsi="宋体" w:cs="宋体"/>
          <w:sz w:val="24"/>
        </w:rPr>
        <w:t>存在多名（2人及以上）工作人员共用一个操作账户的，或所主管的系统、云资源等账号出现弱口令的（强口令需至少包含数字、大小写字母、特殊字符等，且无明显规律），每出现1次，从合同金额扣除1000元。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6.未经</w:t>
      </w:r>
      <w:r>
        <w:rPr>
          <w:rFonts w:hint="eastAsia" w:ascii="宋体" w:hAnsi="宋体" w:cs="宋体"/>
          <w:sz w:val="24"/>
          <w:lang w:eastAsia="zh-CN"/>
        </w:rPr>
        <w:t>采购人</w:t>
      </w:r>
      <w:r>
        <w:rPr>
          <w:rFonts w:hint="eastAsia" w:ascii="宋体" w:hAnsi="宋体" w:cs="宋体"/>
          <w:sz w:val="24"/>
        </w:rPr>
        <w:t>审批允许，</w:t>
      </w:r>
      <w:r>
        <w:rPr>
          <w:rFonts w:hint="eastAsia" w:ascii="宋体" w:hAnsi="宋体" w:cs="宋体"/>
          <w:sz w:val="24"/>
          <w:lang w:eastAsia="zh-CN"/>
        </w:rPr>
        <w:t>中标方</w:t>
      </w:r>
      <w:r>
        <w:rPr>
          <w:rFonts w:hint="eastAsia" w:ascii="宋体" w:hAnsi="宋体" w:cs="宋体"/>
          <w:sz w:val="24"/>
        </w:rPr>
        <w:t>不得私开账号、擅自更改权限，不得对项目云资源私开端口，不得利用项目资源进行与该项目无关的工作，不得将政务网和互联网私自打通的。每出现一次，从合同金额中扣除1000元。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7.</w:t>
      </w:r>
      <w:r>
        <w:rPr>
          <w:rFonts w:hint="eastAsia" w:ascii="宋体" w:hAnsi="宋体" w:cs="宋体"/>
          <w:sz w:val="24"/>
          <w:lang w:eastAsia="zh-CN"/>
        </w:rPr>
        <w:t>中标方</w:t>
      </w:r>
      <w:r>
        <w:rPr>
          <w:rFonts w:hint="eastAsia" w:ascii="宋体" w:hAnsi="宋体" w:cs="宋体"/>
          <w:sz w:val="24"/>
        </w:rPr>
        <w:t>发现数据安全缺陷、漏洞等风险时，未立即采取补救措施的；或发生数字安全事件时，未立即采取处置措施的；相关情况未第一时间向</w:t>
      </w:r>
      <w:r>
        <w:rPr>
          <w:rFonts w:hint="eastAsia" w:ascii="宋体" w:hAnsi="宋体" w:cs="宋体"/>
          <w:sz w:val="24"/>
          <w:lang w:eastAsia="zh-CN"/>
        </w:rPr>
        <w:t>采购人</w:t>
      </w:r>
      <w:r>
        <w:rPr>
          <w:rFonts w:hint="eastAsia" w:ascii="宋体" w:hAnsi="宋体" w:cs="宋体"/>
          <w:sz w:val="24"/>
        </w:rPr>
        <w:t>报告的；每出现一次，从合同金额中扣除1万元。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8.若</w:t>
      </w:r>
      <w:r>
        <w:rPr>
          <w:rFonts w:hint="eastAsia" w:ascii="宋体" w:hAnsi="宋体" w:cs="宋体"/>
          <w:sz w:val="24"/>
          <w:lang w:eastAsia="zh-CN"/>
        </w:rPr>
        <w:t>中标方</w:t>
      </w:r>
      <w:r>
        <w:rPr>
          <w:rFonts w:hint="eastAsia" w:ascii="宋体" w:hAnsi="宋体" w:cs="宋体"/>
          <w:sz w:val="24"/>
        </w:rPr>
        <w:t>未按需提供日志，或提供的操作记录、安全日志等不完整、存在缺失的，每发现一次，每次从合同金额扣除1万元。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9.</w:t>
      </w:r>
      <w:r>
        <w:rPr>
          <w:rFonts w:hint="eastAsia" w:ascii="宋体" w:hAnsi="宋体" w:cs="宋体"/>
          <w:sz w:val="24"/>
          <w:lang w:eastAsia="zh-CN"/>
        </w:rPr>
        <w:t>中标方</w:t>
      </w:r>
      <w:r>
        <w:rPr>
          <w:rFonts w:hint="eastAsia" w:ascii="宋体" w:hAnsi="宋体" w:cs="宋体"/>
          <w:sz w:val="24"/>
        </w:rPr>
        <w:t>拒不配合网络数据安全检查或经检查后拒不进行整改的，每出现一次从合同金额中扣除1万元。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10.项目结束后，</w:t>
      </w:r>
      <w:r>
        <w:rPr>
          <w:rFonts w:hint="eastAsia" w:ascii="宋体" w:hAnsi="宋体" w:cs="宋体"/>
          <w:sz w:val="24"/>
          <w:lang w:eastAsia="zh-CN"/>
        </w:rPr>
        <w:t>中标方</w:t>
      </w:r>
      <w:r>
        <w:rPr>
          <w:rFonts w:hint="eastAsia" w:ascii="宋体" w:hAnsi="宋体" w:cs="宋体"/>
          <w:sz w:val="24"/>
        </w:rPr>
        <w:t>未按约删除其在项目过程中获取的数据资料并擅自使用或许可他人使用的，承担项目合同总金额10%的违约责任。</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11.</w:t>
      </w:r>
      <w:r>
        <w:rPr>
          <w:rFonts w:hint="eastAsia" w:ascii="宋体" w:hAnsi="宋体" w:cs="宋体"/>
          <w:sz w:val="24"/>
          <w:lang w:eastAsia="zh-CN"/>
        </w:rPr>
        <w:t>中标方</w:t>
      </w:r>
      <w:r>
        <w:rPr>
          <w:rFonts w:hint="eastAsia" w:ascii="宋体" w:hAnsi="宋体" w:cs="宋体"/>
          <w:sz w:val="24"/>
        </w:rPr>
        <w:t>未配合</w:t>
      </w:r>
      <w:r>
        <w:rPr>
          <w:rFonts w:hint="eastAsia" w:ascii="宋体" w:hAnsi="宋体" w:cs="宋体"/>
          <w:sz w:val="24"/>
          <w:lang w:eastAsia="zh-CN"/>
        </w:rPr>
        <w:t>采购人</w:t>
      </w:r>
      <w:r>
        <w:rPr>
          <w:rFonts w:hint="eastAsia" w:ascii="宋体" w:hAnsi="宋体" w:cs="宋体"/>
          <w:sz w:val="24"/>
        </w:rPr>
        <w:t>对项目涉及的资源、系统等常态化安全漏洞扫描，或未及时修复漏洞的，每出现一次，从合同金额扣除1万元。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 xml:space="preserve">12. </w:t>
      </w:r>
      <w:r>
        <w:rPr>
          <w:rFonts w:hint="eastAsia" w:ascii="宋体" w:hAnsi="宋体" w:cs="宋体"/>
          <w:sz w:val="24"/>
          <w:lang w:eastAsia="zh-CN"/>
        </w:rPr>
        <w:t>中标方</w:t>
      </w:r>
      <w:r>
        <w:rPr>
          <w:rFonts w:hint="eastAsia" w:ascii="宋体" w:hAnsi="宋体" w:cs="宋体"/>
          <w:sz w:val="24"/>
        </w:rPr>
        <w:t>未配合</w:t>
      </w:r>
      <w:r>
        <w:rPr>
          <w:rFonts w:hint="eastAsia" w:ascii="宋体" w:hAnsi="宋体" w:cs="宋体"/>
          <w:sz w:val="24"/>
          <w:lang w:eastAsia="zh-CN"/>
        </w:rPr>
        <w:t>采购人</w:t>
      </w:r>
      <w:r>
        <w:rPr>
          <w:rFonts w:hint="eastAsia" w:ascii="宋体" w:hAnsi="宋体" w:cs="宋体"/>
          <w:sz w:val="24"/>
        </w:rPr>
        <w:t>完成项目中所建设、运营的应用系统、服务等的网络数据安全检查，并且按要求及时完成检查中发现问题的整改,每出现一次，从合同金额中扣除1万元。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13.</w:t>
      </w:r>
      <w:r>
        <w:rPr>
          <w:rFonts w:hint="eastAsia" w:ascii="宋体" w:hAnsi="宋体" w:cs="宋体"/>
          <w:sz w:val="24"/>
          <w:lang w:eastAsia="zh-CN"/>
        </w:rPr>
        <w:t>中标方</w:t>
      </w:r>
      <w:r>
        <w:rPr>
          <w:rFonts w:hint="eastAsia" w:ascii="宋体" w:hAnsi="宋体" w:cs="宋体"/>
          <w:sz w:val="24"/>
        </w:rPr>
        <w:t>未按照</w:t>
      </w:r>
      <w:r>
        <w:rPr>
          <w:rFonts w:hint="eastAsia" w:ascii="宋体" w:hAnsi="宋体" w:cs="宋体"/>
          <w:sz w:val="24"/>
          <w:lang w:eastAsia="zh-CN"/>
        </w:rPr>
        <w:t>采购人</w:t>
      </w:r>
      <w:r>
        <w:rPr>
          <w:rFonts w:hint="eastAsia" w:ascii="宋体" w:hAnsi="宋体" w:cs="宋体"/>
          <w:sz w:val="24"/>
        </w:rPr>
        <w:t>相关要求，签订《保密承诺书》，办理入场、离场手续的、未入驻全省ISV系统，出现1人次，每人次从合同金额扣除1万元。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14．</w:t>
      </w:r>
      <w:r>
        <w:rPr>
          <w:rFonts w:hint="eastAsia" w:ascii="宋体" w:hAnsi="宋体" w:cs="宋体"/>
          <w:sz w:val="24"/>
          <w:lang w:eastAsia="zh-CN"/>
        </w:rPr>
        <w:t>中标方</w:t>
      </w:r>
      <w:r>
        <w:rPr>
          <w:rFonts w:hint="eastAsia" w:ascii="宋体" w:hAnsi="宋体" w:cs="宋体"/>
          <w:sz w:val="24"/>
        </w:rPr>
        <w:t>派驻的驻场人员未按照</w:t>
      </w:r>
      <w:r>
        <w:rPr>
          <w:rFonts w:hint="eastAsia" w:ascii="宋体" w:hAnsi="宋体" w:cs="宋体"/>
          <w:sz w:val="24"/>
          <w:lang w:eastAsia="zh-CN"/>
        </w:rPr>
        <w:t>采购人</w:t>
      </w:r>
      <w:r>
        <w:rPr>
          <w:rFonts w:hint="eastAsia" w:ascii="宋体" w:hAnsi="宋体" w:cs="宋体"/>
          <w:sz w:val="24"/>
        </w:rPr>
        <w:t>工作要求进行出勤的，每出现1人次从合同金额扣除500元。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15.</w:t>
      </w:r>
      <w:r>
        <w:rPr>
          <w:rFonts w:hint="eastAsia" w:ascii="宋体" w:hAnsi="宋体" w:cs="宋体"/>
          <w:sz w:val="24"/>
          <w:lang w:eastAsia="zh-CN"/>
        </w:rPr>
        <w:t>中标方</w:t>
      </w:r>
      <w:r>
        <w:rPr>
          <w:rFonts w:hint="eastAsia" w:ascii="宋体" w:hAnsi="宋体" w:cs="宋体"/>
          <w:sz w:val="24"/>
        </w:rPr>
        <w:t>不得擅自将项目中涉及的数据拷贝、转移出指定数据区域外进行开发、调试等，包括不限于</w:t>
      </w:r>
      <w:r>
        <w:rPr>
          <w:rFonts w:hint="eastAsia" w:ascii="宋体" w:hAnsi="宋体" w:cs="宋体"/>
          <w:sz w:val="24"/>
          <w:lang w:eastAsia="zh-CN"/>
        </w:rPr>
        <w:t>中标方</w:t>
      </w:r>
      <w:r>
        <w:rPr>
          <w:rFonts w:hint="eastAsia" w:ascii="宋体" w:hAnsi="宋体" w:cs="宋体"/>
          <w:sz w:val="24"/>
        </w:rPr>
        <w:t>公司、第三方公司的服务器等，每出现一次，从合同金额扣除1万元。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16.每次通报后，若</w:t>
      </w:r>
      <w:r>
        <w:rPr>
          <w:rFonts w:hint="eastAsia" w:ascii="宋体" w:hAnsi="宋体" w:cs="宋体"/>
          <w:sz w:val="24"/>
          <w:lang w:eastAsia="zh-CN"/>
        </w:rPr>
        <w:t>中标方</w:t>
      </w:r>
      <w:r>
        <w:rPr>
          <w:rFonts w:hint="eastAsia" w:ascii="宋体" w:hAnsi="宋体" w:cs="宋体"/>
          <w:sz w:val="24"/>
        </w:rPr>
        <w:t>未及时提供整改报告的；或未根据通报内容及时进行整改的，每出现一次，从合同金额扣除1万元。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 xml:space="preserve">17. </w:t>
      </w:r>
      <w:r>
        <w:rPr>
          <w:rFonts w:hint="eastAsia" w:ascii="宋体" w:hAnsi="宋体" w:cs="宋体"/>
          <w:sz w:val="24"/>
          <w:lang w:eastAsia="zh-CN"/>
        </w:rPr>
        <w:t>中标方</w:t>
      </w:r>
      <w:r>
        <w:rPr>
          <w:rFonts w:hint="eastAsia" w:ascii="宋体" w:hAnsi="宋体" w:cs="宋体"/>
          <w:sz w:val="24"/>
        </w:rPr>
        <w:t>在项目中所承建信息系统的开发、测试环境，出现</w:t>
      </w:r>
      <w:r>
        <w:rPr>
          <w:rFonts w:hint="eastAsia" w:ascii="宋体" w:hAnsi="宋体" w:cs="宋体"/>
          <w:sz w:val="24"/>
          <w:lang w:eastAsia="zh-CN"/>
        </w:rPr>
        <w:t>采购人</w:t>
      </w:r>
      <w:r>
        <w:rPr>
          <w:rFonts w:hint="eastAsia" w:ascii="宋体" w:hAnsi="宋体" w:cs="宋体"/>
          <w:sz w:val="24"/>
        </w:rPr>
        <w:t>及项目相关的标识名称，或在项目建成后未及时下架测试环境，每出现一次，从合同金额扣除1万元。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 xml:space="preserve">18. </w:t>
      </w:r>
      <w:r>
        <w:rPr>
          <w:rFonts w:hint="eastAsia" w:ascii="宋体" w:hAnsi="宋体" w:cs="宋体"/>
          <w:sz w:val="24"/>
          <w:lang w:eastAsia="zh-CN"/>
        </w:rPr>
        <w:t>中标方</w:t>
      </w:r>
      <w:r>
        <w:rPr>
          <w:rFonts w:hint="eastAsia" w:ascii="宋体" w:hAnsi="宋体" w:cs="宋体"/>
          <w:sz w:val="24"/>
        </w:rPr>
        <w:t>驻场人员在重要活动、会议期间，未按照</w:t>
      </w:r>
      <w:r>
        <w:rPr>
          <w:rFonts w:hint="eastAsia" w:ascii="宋体" w:hAnsi="宋体" w:cs="宋体"/>
          <w:sz w:val="24"/>
          <w:lang w:eastAsia="zh-CN"/>
        </w:rPr>
        <w:t>采购人</w:t>
      </w:r>
      <w:r>
        <w:rPr>
          <w:rFonts w:hint="eastAsia" w:ascii="宋体" w:hAnsi="宋体" w:cs="宋体"/>
          <w:sz w:val="24"/>
        </w:rPr>
        <w:t>安全保障要求，参与重保值班值守工作，每出现一人次天，从合同金额扣除1千元。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 xml:space="preserve">19. </w:t>
      </w:r>
      <w:r>
        <w:rPr>
          <w:rFonts w:hint="eastAsia" w:ascii="宋体" w:hAnsi="宋体" w:cs="宋体"/>
          <w:sz w:val="24"/>
          <w:lang w:eastAsia="zh-CN"/>
        </w:rPr>
        <w:t>中标方</w:t>
      </w:r>
      <w:r>
        <w:rPr>
          <w:rFonts w:hint="eastAsia" w:ascii="宋体" w:hAnsi="宋体" w:cs="宋体"/>
          <w:sz w:val="24"/>
        </w:rPr>
        <w:t>未按照</w:t>
      </w:r>
      <w:r>
        <w:rPr>
          <w:rFonts w:hint="eastAsia" w:ascii="宋体" w:hAnsi="宋体" w:cs="宋体"/>
          <w:sz w:val="24"/>
          <w:lang w:eastAsia="zh-CN"/>
        </w:rPr>
        <w:t>采购人</w:t>
      </w:r>
      <w:r>
        <w:rPr>
          <w:rFonts w:hint="eastAsia" w:ascii="宋体" w:hAnsi="宋体" w:cs="宋体"/>
          <w:sz w:val="24"/>
        </w:rPr>
        <w:t>业务要求，围绕项目内容，未及时提供</w:t>
      </w:r>
      <w:r>
        <w:rPr>
          <w:rFonts w:hint="eastAsia" w:ascii="宋体" w:hAnsi="宋体" w:cs="宋体"/>
          <w:sz w:val="24"/>
          <w:lang w:eastAsia="zh-CN"/>
        </w:rPr>
        <w:t>采购人</w:t>
      </w:r>
      <w:r>
        <w:rPr>
          <w:rFonts w:hint="eastAsia" w:ascii="宋体" w:hAnsi="宋体" w:cs="宋体"/>
          <w:sz w:val="24"/>
        </w:rPr>
        <w:t>所需要的业务相关进展及数据，每出现一次，从合同金额扣除1千元。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 xml:space="preserve">20. </w:t>
      </w:r>
      <w:r>
        <w:rPr>
          <w:rFonts w:hint="eastAsia" w:ascii="宋体" w:hAnsi="宋体" w:cs="宋体"/>
          <w:sz w:val="24"/>
          <w:lang w:eastAsia="zh-CN"/>
        </w:rPr>
        <w:t>中标方</w:t>
      </w:r>
      <w:r>
        <w:rPr>
          <w:rFonts w:hint="eastAsia" w:ascii="宋体" w:hAnsi="宋体" w:cs="宋体"/>
          <w:sz w:val="24"/>
        </w:rPr>
        <w:t>在项目中所建设、运营的应用系统、应用服务等涉及鉴权登录的，未使用浙政钉/浙里办扫码方式、二次验证的方式的，每发现一次，从合同金额扣除1千元。</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 xml:space="preserve">21. </w:t>
      </w:r>
      <w:r>
        <w:rPr>
          <w:rFonts w:hint="eastAsia" w:ascii="宋体" w:hAnsi="宋体" w:cs="宋体"/>
          <w:sz w:val="24"/>
          <w:lang w:eastAsia="zh-CN"/>
        </w:rPr>
        <w:t>中标方</w:t>
      </w:r>
      <w:r>
        <w:rPr>
          <w:rFonts w:hint="eastAsia" w:ascii="宋体" w:hAnsi="宋体" w:cs="宋体"/>
          <w:sz w:val="24"/>
        </w:rPr>
        <w:t>驻场人员未按照</w:t>
      </w:r>
      <w:r>
        <w:rPr>
          <w:rFonts w:hint="eastAsia" w:ascii="宋体" w:hAnsi="宋体" w:cs="宋体"/>
          <w:sz w:val="24"/>
          <w:lang w:eastAsia="zh-CN"/>
        </w:rPr>
        <w:t>采购人</w:t>
      </w:r>
      <w:r>
        <w:rPr>
          <w:rFonts w:hint="eastAsia" w:ascii="宋体" w:hAnsi="宋体" w:cs="宋体"/>
          <w:sz w:val="24"/>
        </w:rPr>
        <w:t>约定允许，从事其他项目内容、本项目中已额外单独支付服务费的相关工作，</w:t>
      </w:r>
      <w:r>
        <w:rPr>
          <w:rFonts w:hint="eastAsia" w:ascii="宋体" w:hAnsi="宋体" w:cs="宋体"/>
          <w:sz w:val="24"/>
          <w:lang w:eastAsia="zh-CN"/>
        </w:rPr>
        <w:t>采购人</w:t>
      </w:r>
      <w:r>
        <w:rPr>
          <w:rFonts w:hint="eastAsia" w:ascii="宋体" w:hAnsi="宋体" w:cs="宋体"/>
          <w:sz w:val="24"/>
        </w:rPr>
        <w:t>有权扣除涉及的驻场人员服务费。</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22．</w:t>
      </w:r>
      <w:r>
        <w:rPr>
          <w:rFonts w:hint="eastAsia" w:ascii="宋体" w:hAnsi="宋体" w:cs="宋体"/>
          <w:sz w:val="24"/>
          <w:lang w:eastAsia="zh-CN"/>
        </w:rPr>
        <w:t>中标方</w:t>
      </w:r>
      <w:r>
        <w:rPr>
          <w:rFonts w:hint="eastAsia" w:ascii="宋体" w:hAnsi="宋体" w:cs="宋体"/>
          <w:sz w:val="24"/>
        </w:rPr>
        <w:t>应当按照《中华人民共和国网络安全法》《中华人民共和国数据安全法》《中华人民共和国个人信息保护法》等法律法规及规章制度要求开展工作，</w:t>
      </w:r>
      <w:r>
        <w:rPr>
          <w:rFonts w:hint="eastAsia" w:ascii="宋体" w:hAnsi="宋体" w:cs="宋体"/>
          <w:sz w:val="24"/>
          <w:lang w:eastAsia="zh-CN"/>
        </w:rPr>
        <w:t>中标方</w:t>
      </w:r>
      <w:r>
        <w:rPr>
          <w:rFonts w:hint="eastAsia" w:ascii="宋体" w:hAnsi="宋体" w:cs="宋体"/>
          <w:sz w:val="24"/>
        </w:rPr>
        <w:t>不履行合同义务或者履行合同义务不符合约定的，应当依照法律及合同约定承担相应责任。</w:t>
      </w:r>
    </w:p>
    <w:p>
      <w:pPr>
        <w:keepNext w:val="0"/>
        <w:keepLines w:val="0"/>
        <w:pageBreakBefore w:val="0"/>
        <w:numPr>
          <w:ilvl w:val="255"/>
          <w:numId w:val="0"/>
        </w:numPr>
        <w:kinsoku/>
        <w:wordWrap/>
        <w:overflowPunct/>
        <w:topLinePunct w:val="0"/>
        <w:autoSpaceDE w:val="0"/>
        <w:autoSpaceDN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未经</w:t>
      </w:r>
      <w:r>
        <w:rPr>
          <w:rFonts w:hint="eastAsia" w:ascii="宋体" w:hAnsi="宋体" w:cs="宋体"/>
          <w:sz w:val="24"/>
          <w:lang w:eastAsia="zh-CN"/>
        </w:rPr>
        <w:t>采购人</w:t>
      </w:r>
      <w:r>
        <w:rPr>
          <w:rFonts w:hint="eastAsia" w:ascii="宋体" w:hAnsi="宋体" w:cs="宋体"/>
          <w:sz w:val="24"/>
        </w:rPr>
        <w:t>同意，中标方私下接入杭州市电子政务外网，一经发现，终止合同并且追究责任。</w:t>
      </w:r>
    </w:p>
    <w:p>
      <w:pPr>
        <w:keepNext w:val="0"/>
        <w:keepLines w:val="0"/>
        <w:pageBreakBefore w:val="0"/>
        <w:kinsoku/>
        <w:wordWrap/>
        <w:overflowPunct/>
        <w:topLinePunct w:val="0"/>
        <w:bidi w:val="0"/>
        <w:adjustRightInd w:val="0"/>
        <w:snapToGrid/>
        <w:spacing w:line="360" w:lineRule="auto"/>
        <w:ind w:firstLine="480" w:firstLineChars="200"/>
        <w:textAlignment w:val="auto"/>
        <w:rPr>
          <w:rFonts w:ascii="宋体" w:hAnsi="宋体" w:cs="宋体"/>
          <w:sz w:val="24"/>
        </w:rPr>
      </w:pPr>
      <w:r>
        <w:rPr>
          <w:rFonts w:hint="eastAsia" w:ascii="宋体" w:hAnsi="宋体" w:cs="宋体"/>
          <w:sz w:val="24"/>
        </w:rPr>
        <w:t>其它：招标文件第四部分评分办法中评审因素相应的其它要求及第五部分采购合同中相应的其他要求。</w:t>
      </w:r>
    </w:p>
    <w:p>
      <w:pPr>
        <w:keepNext w:val="0"/>
        <w:keepLines w:val="0"/>
        <w:pageBreakBefore w:val="0"/>
        <w:kinsoku/>
        <w:wordWrap/>
        <w:overflowPunct/>
        <w:topLinePunct w:val="0"/>
        <w:bidi w:val="0"/>
        <w:adjustRightInd w:val="0"/>
        <w:snapToGrid/>
        <w:spacing w:line="360" w:lineRule="auto"/>
        <w:jc w:val="center"/>
        <w:textAlignment w:val="auto"/>
        <w:outlineLvl w:val="0"/>
        <w:rPr>
          <w:rFonts w:ascii="宋体" w:hAnsi="宋体" w:cs="宋体"/>
          <w:b/>
          <w:sz w:val="36"/>
          <w:szCs w:val="36"/>
          <w:highlight w:val="none"/>
        </w:rPr>
      </w:pPr>
      <w:r>
        <w:rPr>
          <w:rFonts w:hint="eastAsia" w:ascii="宋体" w:hAnsi="宋体" w:cs="宋体"/>
          <w:b/>
          <w:sz w:val="24"/>
          <w:highlight w:val="none"/>
        </w:rPr>
        <w:br w:type="page"/>
      </w:r>
      <w:r>
        <w:rPr>
          <w:rFonts w:hint="eastAsia" w:ascii="宋体" w:hAnsi="宋体" w:cs="宋体"/>
          <w:b/>
          <w:sz w:val="36"/>
          <w:szCs w:val="36"/>
          <w:highlight w:val="none"/>
        </w:rPr>
        <w:t xml:space="preserve">第四部分   </w:t>
      </w:r>
      <w:bookmarkStart w:id="62" w:name="_Toc184313309"/>
      <w:bookmarkEnd w:id="62"/>
      <w:bookmarkStart w:id="63" w:name="_Toc184313268"/>
      <w:bookmarkEnd w:id="63"/>
      <w:bookmarkStart w:id="64" w:name="_Toc184308052"/>
      <w:bookmarkEnd w:id="64"/>
      <w:bookmarkStart w:id="65" w:name="_Toc184313271"/>
      <w:bookmarkEnd w:id="65"/>
      <w:bookmarkStart w:id="66" w:name="_Toc184308063"/>
      <w:bookmarkEnd w:id="66"/>
      <w:bookmarkStart w:id="67" w:name="_Toc184314477"/>
      <w:bookmarkEnd w:id="67"/>
      <w:bookmarkStart w:id="68" w:name="_Toc184308045"/>
      <w:bookmarkEnd w:id="68"/>
      <w:bookmarkStart w:id="69" w:name="_Toc184308099"/>
      <w:bookmarkEnd w:id="69"/>
      <w:bookmarkStart w:id="70" w:name="_Toc184314416"/>
      <w:bookmarkEnd w:id="70"/>
      <w:bookmarkStart w:id="71" w:name="_Toc184312091"/>
      <w:bookmarkEnd w:id="71"/>
      <w:bookmarkStart w:id="72" w:name="_Toc184310305"/>
      <w:bookmarkEnd w:id="72"/>
      <w:bookmarkStart w:id="73" w:name="_Toc184310292"/>
      <w:bookmarkEnd w:id="73"/>
      <w:bookmarkStart w:id="74" w:name="_Toc184314419"/>
      <w:bookmarkEnd w:id="74"/>
      <w:bookmarkStart w:id="75" w:name="_Toc184314426"/>
      <w:bookmarkEnd w:id="75"/>
      <w:bookmarkStart w:id="76" w:name="_Toc184308050"/>
      <w:bookmarkEnd w:id="76"/>
      <w:bookmarkStart w:id="77" w:name="_Toc184310343"/>
      <w:bookmarkEnd w:id="77"/>
      <w:bookmarkStart w:id="78" w:name="_Toc184310282"/>
      <w:bookmarkEnd w:id="78"/>
      <w:bookmarkStart w:id="79" w:name="_Toc184308082"/>
      <w:bookmarkEnd w:id="79"/>
      <w:bookmarkStart w:id="80" w:name="_Toc184313249"/>
      <w:bookmarkEnd w:id="80"/>
      <w:bookmarkStart w:id="81" w:name="_Toc184310332"/>
      <w:bookmarkEnd w:id="81"/>
      <w:bookmarkStart w:id="82" w:name="_Toc184314459"/>
      <w:bookmarkEnd w:id="82"/>
      <w:bookmarkStart w:id="83" w:name="_Toc184312069"/>
      <w:bookmarkEnd w:id="83"/>
      <w:bookmarkStart w:id="84" w:name="_Toc184312077"/>
      <w:bookmarkEnd w:id="84"/>
      <w:bookmarkStart w:id="85" w:name="_Toc184308064"/>
      <w:bookmarkEnd w:id="85"/>
      <w:bookmarkStart w:id="86" w:name="_Toc184314458"/>
      <w:bookmarkEnd w:id="86"/>
      <w:bookmarkStart w:id="87" w:name="_Toc184310274"/>
      <w:bookmarkEnd w:id="87"/>
      <w:bookmarkStart w:id="88" w:name="_Toc184312076"/>
      <w:bookmarkEnd w:id="88"/>
      <w:bookmarkStart w:id="89" w:name="_Toc184313273"/>
      <w:bookmarkEnd w:id="89"/>
      <w:bookmarkStart w:id="90" w:name="_Toc184310340"/>
      <w:bookmarkEnd w:id="90"/>
      <w:bookmarkStart w:id="91" w:name="_Toc184313302"/>
      <w:bookmarkEnd w:id="91"/>
      <w:bookmarkStart w:id="92" w:name="_Toc184313292"/>
      <w:bookmarkEnd w:id="92"/>
      <w:bookmarkStart w:id="93" w:name="_Toc184308042"/>
      <w:bookmarkEnd w:id="93"/>
      <w:bookmarkStart w:id="94" w:name="_Toc184312095"/>
      <w:bookmarkEnd w:id="94"/>
      <w:bookmarkStart w:id="95" w:name="_Toc184308093"/>
      <w:bookmarkEnd w:id="95"/>
      <w:bookmarkStart w:id="96" w:name="_Toc184314412"/>
      <w:bookmarkEnd w:id="96"/>
      <w:bookmarkStart w:id="97" w:name="_Toc184312125"/>
      <w:bookmarkEnd w:id="97"/>
      <w:bookmarkStart w:id="98" w:name="_Toc184314429"/>
      <w:bookmarkEnd w:id="98"/>
      <w:bookmarkStart w:id="99" w:name="_Toc184312139"/>
      <w:bookmarkEnd w:id="99"/>
      <w:bookmarkStart w:id="100" w:name="_Toc184312080"/>
      <w:bookmarkEnd w:id="100"/>
      <w:bookmarkStart w:id="101" w:name="_Toc184314468"/>
      <w:bookmarkEnd w:id="101"/>
      <w:bookmarkStart w:id="102" w:name="_Toc184312092"/>
      <w:bookmarkEnd w:id="102"/>
      <w:bookmarkStart w:id="103" w:name="_Toc184313288"/>
      <w:bookmarkEnd w:id="103"/>
      <w:bookmarkStart w:id="104" w:name="_Toc184312096"/>
      <w:bookmarkEnd w:id="104"/>
      <w:bookmarkStart w:id="105" w:name="_Toc184312117"/>
      <w:bookmarkEnd w:id="105"/>
      <w:bookmarkStart w:id="106" w:name="_Toc184312108"/>
      <w:bookmarkEnd w:id="106"/>
      <w:bookmarkStart w:id="107" w:name="_Toc184308043"/>
      <w:bookmarkEnd w:id="107"/>
      <w:bookmarkStart w:id="108" w:name="_Toc184312103"/>
      <w:bookmarkEnd w:id="108"/>
      <w:bookmarkStart w:id="109" w:name="_Toc184314411"/>
      <w:bookmarkEnd w:id="109"/>
      <w:bookmarkStart w:id="110" w:name="_Toc184310329"/>
      <w:bookmarkEnd w:id="110"/>
      <w:bookmarkStart w:id="111" w:name="_Toc184312116"/>
      <w:bookmarkEnd w:id="111"/>
      <w:bookmarkStart w:id="112" w:name="_Toc184312110"/>
      <w:bookmarkEnd w:id="112"/>
      <w:bookmarkStart w:id="113" w:name="_Toc184312093"/>
      <w:bookmarkEnd w:id="113"/>
      <w:bookmarkStart w:id="114" w:name="_Toc184312070"/>
      <w:bookmarkEnd w:id="114"/>
      <w:bookmarkStart w:id="115" w:name="_Toc184312113"/>
      <w:bookmarkEnd w:id="115"/>
      <w:bookmarkStart w:id="116" w:name="_Toc184310286"/>
      <w:bookmarkEnd w:id="116"/>
      <w:bookmarkStart w:id="117" w:name="_Toc184313304"/>
      <w:bookmarkEnd w:id="117"/>
      <w:bookmarkStart w:id="118" w:name="_Toc184313275"/>
      <w:bookmarkEnd w:id="118"/>
      <w:bookmarkStart w:id="119" w:name="_Toc184308096"/>
      <w:bookmarkEnd w:id="119"/>
      <w:bookmarkStart w:id="120" w:name="_Toc184310335"/>
      <w:bookmarkEnd w:id="120"/>
      <w:bookmarkStart w:id="121" w:name="_Toc184310328"/>
      <w:bookmarkEnd w:id="121"/>
      <w:bookmarkStart w:id="122" w:name="_Toc184308104"/>
      <w:bookmarkEnd w:id="122"/>
      <w:bookmarkStart w:id="123" w:name="_Toc184314471"/>
      <w:bookmarkEnd w:id="123"/>
      <w:bookmarkStart w:id="124" w:name="_Toc184312086"/>
      <w:bookmarkEnd w:id="124"/>
      <w:bookmarkStart w:id="125" w:name="_Toc184314430"/>
      <w:bookmarkEnd w:id="125"/>
      <w:bookmarkStart w:id="126" w:name="_Toc184312105"/>
      <w:bookmarkEnd w:id="126"/>
      <w:bookmarkStart w:id="127" w:name="_Toc184313247"/>
      <w:bookmarkEnd w:id="127"/>
      <w:bookmarkStart w:id="128" w:name="_Toc184310300"/>
      <w:bookmarkEnd w:id="128"/>
      <w:bookmarkStart w:id="129" w:name="_Toc184308098"/>
      <w:bookmarkEnd w:id="129"/>
      <w:bookmarkStart w:id="130" w:name="_Toc184314451"/>
      <w:bookmarkEnd w:id="130"/>
      <w:bookmarkStart w:id="131" w:name="_Toc184308068"/>
      <w:bookmarkEnd w:id="131"/>
      <w:bookmarkStart w:id="132" w:name="_Toc184313252"/>
      <w:bookmarkEnd w:id="132"/>
      <w:bookmarkStart w:id="133" w:name="_Toc184310325"/>
      <w:bookmarkEnd w:id="133"/>
      <w:bookmarkStart w:id="134" w:name="_Toc184313264"/>
      <w:bookmarkEnd w:id="134"/>
      <w:bookmarkStart w:id="135" w:name="_Toc184312130"/>
      <w:bookmarkEnd w:id="135"/>
      <w:bookmarkStart w:id="136" w:name="_Toc184313298"/>
      <w:bookmarkEnd w:id="136"/>
      <w:bookmarkStart w:id="137" w:name="_Toc184310278"/>
      <w:bookmarkEnd w:id="137"/>
      <w:bookmarkStart w:id="138" w:name="_Toc184312132"/>
      <w:bookmarkEnd w:id="138"/>
      <w:bookmarkStart w:id="139" w:name="_Toc184312136"/>
      <w:bookmarkEnd w:id="139"/>
      <w:bookmarkStart w:id="140" w:name="_Toc184308046"/>
      <w:bookmarkEnd w:id="140"/>
      <w:bookmarkStart w:id="141" w:name="_Toc184310321"/>
      <w:bookmarkEnd w:id="141"/>
      <w:bookmarkStart w:id="142" w:name="_Toc184310304"/>
      <w:bookmarkEnd w:id="142"/>
      <w:bookmarkStart w:id="143" w:name="_Toc184308085"/>
      <w:bookmarkEnd w:id="143"/>
      <w:bookmarkStart w:id="144" w:name="_Toc184310324"/>
      <w:bookmarkEnd w:id="144"/>
      <w:bookmarkStart w:id="145" w:name="_Toc184310294"/>
      <w:bookmarkEnd w:id="145"/>
      <w:bookmarkStart w:id="146" w:name="_Toc184310314"/>
      <w:bookmarkEnd w:id="146"/>
      <w:bookmarkStart w:id="147" w:name="_Toc184313281"/>
      <w:bookmarkEnd w:id="147"/>
      <w:bookmarkStart w:id="148" w:name="_Toc184312114"/>
      <w:bookmarkEnd w:id="148"/>
      <w:bookmarkStart w:id="149" w:name="_Toc184314417"/>
      <w:bookmarkEnd w:id="149"/>
      <w:bookmarkStart w:id="150" w:name="_Toc184313301"/>
      <w:bookmarkEnd w:id="150"/>
      <w:bookmarkStart w:id="151" w:name="_Toc184312127"/>
      <w:bookmarkEnd w:id="151"/>
      <w:bookmarkStart w:id="152" w:name="_Toc184308059"/>
      <w:bookmarkEnd w:id="152"/>
      <w:bookmarkStart w:id="153" w:name="_Toc184310308"/>
      <w:bookmarkEnd w:id="153"/>
      <w:bookmarkStart w:id="154" w:name="_Toc184312111"/>
      <w:bookmarkEnd w:id="154"/>
      <w:bookmarkStart w:id="155" w:name="_Toc184313243"/>
      <w:bookmarkEnd w:id="155"/>
      <w:bookmarkStart w:id="156" w:name="_Toc184313267"/>
      <w:bookmarkEnd w:id="156"/>
      <w:bookmarkStart w:id="157" w:name="_Toc184308049"/>
      <w:bookmarkEnd w:id="157"/>
      <w:bookmarkStart w:id="158" w:name="_Toc184312087"/>
      <w:bookmarkEnd w:id="158"/>
      <w:bookmarkStart w:id="159" w:name="_Toc184308088"/>
      <w:bookmarkEnd w:id="159"/>
      <w:bookmarkStart w:id="160" w:name="_Toc184314447"/>
      <w:bookmarkEnd w:id="160"/>
      <w:bookmarkStart w:id="161" w:name="_Toc184308066"/>
      <w:bookmarkEnd w:id="161"/>
      <w:bookmarkStart w:id="162" w:name="_Toc184310287"/>
      <w:bookmarkEnd w:id="162"/>
      <w:bookmarkStart w:id="163" w:name="_Toc184312081"/>
      <w:bookmarkEnd w:id="163"/>
      <w:bookmarkStart w:id="164" w:name="_Toc184312134"/>
      <w:bookmarkEnd w:id="164"/>
      <w:bookmarkStart w:id="165" w:name="_Toc184312119"/>
      <w:bookmarkEnd w:id="165"/>
      <w:bookmarkStart w:id="166" w:name="_Toc184314442"/>
      <w:bookmarkEnd w:id="166"/>
      <w:bookmarkStart w:id="167" w:name="_Toc184314480"/>
      <w:bookmarkEnd w:id="167"/>
      <w:bookmarkStart w:id="168" w:name="_Toc184308083"/>
      <w:bookmarkEnd w:id="168"/>
      <w:bookmarkStart w:id="169" w:name="_Toc184314434"/>
      <w:bookmarkEnd w:id="169"/>
      <w:bookmarkStart w:id="170" w:name="_Toc184312088"/>
      <w:bookmarkEnd w:id="170"/>
      <w:bookmarkStart w:id="171" w:name="_Toc184308106"/>
      <w:bookmarkEnd w:id="171"/>
      <w:bookmarkStart w:id="172" w:name="_Toc184310316"/>
      <w:bookmarkEnd w:id="172"/>
      <w:bookmarkStart w:id="173" w:name="_Toc184310342"/>
      <w:bookmarkEnd w:id="173"/>
      <w:bookmarkStart w:id="174" w:name="_Toc184308067"/>
      <w:bookmarkEnd w:id="174"/>
      <w:bookmarkStart w:id="175" w:name="_Toc184308072"/>
      <w:bookmarkEnd w:id="175"/>
      <w:bookmarkStart w:id="176" w:name="_Toc184313260"/>
      <w:bookmarkEnd w:id="176"/>
      <w:bookmarkStart w:id="177" w:name="_Toc184308090"/>
      <w:bookmarkEnd w:id="177"/>
      <w:bookmarkStart w:id="178" w:name="_Toc184313261"/>
      <w:bookmarkEnd w:id="178"/>
      <w:bookmarkStart w:id="179" w:name="_Toc184313256"/>
      <w:bookmarkEnd w:id="179"/>
      <w:bookmarkStart w:id="180" w:name="_Toc184310273"/>
      <w:bookmarkEnd w:id="180"/>
      <w:bookmarkStart w:id="181" w:name="_Toc184310333"/>
      <w:bookmarkEnd w:id="181"/>
      <w:bookmarkStart w:id="182" w:name="_Toc184310331"/>
      <w:bookmarkEnd w:id="182"/>
      <w:bookmarkStart w:id="183" w:name="_Toc184312073"/>
      <w:bookmarkEnd w:id="183"/>
      <w:bookmarkStart w:id="184" w:name="_Toc184310277"/>
      <w:bookmarkEnd w:id="184"/>
      <w:bookmarkStart w:id="185" w:name="_Toc184308071"/>
      <w:bookmarkEnd w:id="185"/>
      <w:bookmarkStart w:id="186" w:name="_Toc184310311"/>
      <w:bookmarkEnd w:id="186"/>
      <w:bookmarkStart w:id="187" w:name="_Toc184314473"/>
      <w:bookmarkEnd w:id="187"/>
      <w:bookmarkStart w:id="188" w:name="_Toc184314457"/>
      <w:bookmarkEnd w:id="188"/>
      <w:bookmarkStart w:id="189" w:name="_Toc184310279"/>
      <w:bookmarkEnd w:id="189"/>
      <w:bookmarkStart w:id="190" w:name="_Toc184313245"/>
      <w:bookmarkEnd w:id="190"/>
      <w:bookmarkStart w:id="191" w:name="_Toc184308038"/>
      <w:bookmarkEnd w:id="191"/>
      <w:bookmarkStart w:id="192" w:name="_Toc184308086"/>
      <w:bookmarkEnd w:id="192"/>
      <w:bookmarkStart w:id="193" w:name="_Toc184314418"/>
      <w:bookmarkEnd w:id="193"/>
      <w:bookmarkStart w:id="194" w:name="_Toc184310339"/>
      <w:bookmarkEnd w:id="194"/>
      <w:bookmarkStart w:id="195" w:name="_Toc184312106"/>
      <w:bookmarkEnd w:id="195"/>
      <w:bookmarkStart w:id="196" w:name="_Toc184314479"/>
      <w:bookmarkEnd w:id="196"/>
      <w:bookmarkStart w:id="197" w:name="_Toc184312129"/>
      <w:bookmarkEnd w:id="197"/>
      <w:bookmarkStart w:id="198" w:name="_Toc184314432"/>
      <w:bookmarkEnd w:id="198"/>
      <w:bookmarkStart w:id="199" w:name="_Toc184314438"/>
      <w:bookmarkEnd w:id="199"/>
      <w:bookmarkStart w:id="200" w:name="_Toc184312089"/>
      <w:bookmarkEnd w:id="200"/>
      <w:bookmarkStart w:id="201" w:name="_Toc184314431"/>
      <w:bookmarkEnd w:id="201"/>
      <w:bookmarkStart w:id="202" w:name="_Toc184314476"/>
      <w:bookmarkEnd w:id="202"/>
      <w:bookmarkStart w:id="203" w:name="_Toc184310344"/>
      <w:bookmarkEnd w:id="203"/>
      <w:bookmarkStart w:id="204" w:name="_Toc184314461"/>
      <w:bookmarkEnd w:id="204"/>
      <w:bookmarkStart w:id="205" w:name="_Toc184308037"/>
      <w:bookmarkEnd w:id="205"/>
      <w:bookmarkStart w:id="206" w:name="_Toc184310285"/>
      <w:bookmarkEnd w:id="206"/>
      <w:bookmarkStart w:id="207" w:name="_Toc184310275"/>
      <w:bookmarkEnd w:id="207"/>
      <w:bookmarkStart w:id="208" w:name="_Toc184314413"/>
      <w:bookmarkEnd w:id="208"/>
      <w:bookmarkStart w:id="209" w:name="_Toc184314465"/>
      <w:bookmarkEnd w:id="209"/>
      <w:bookmarkStart w:id="210" w:name="_Toc184308102"/>
      <w:bookmarkEnd w:id="210"/>
      <w:bookmarkStart w:id="211" w:name="_Toc184314446"/>
      <w:bookmarkEnd w:id="211"/>
      <w:bookmarkStart w:id="212" w:name="_Toc184310290"/>
      <w:bookmarkEnd w:id="212"/>
      <w:bookmarkStart w:id="213" w:name="_Toc184313266"/>
      <w:bookmarkEnd w:id="213"/>
      <w:bookmarkStart w:id="214" w:name="_Toc184313310"/>
      <w:bookmarkEnd w:id="214"/>
      <w:bookmarkStart w:id="215" w:name="_Toc184313259"/>
      <w:bookmarkEnd w:id="215"/>
      <w:bookmarkStart w:id="216" w:name="_Toc184313285"/>
      <w:bookmarkEnd w:id="216"/>
      <w:bookmarkStart w:id="217" w:name="_Toc184313239"/>
      <w:bookmarkEnd w:id="217"/>
      <w:bookmarkStart w:id="218" w:name="_Toc184310301"/>
      <w:bookmarkEnd w:id="218"/>
      <w:bookmarkStart w:id="219" w:name="_Toc184314467"/>
      <w:bookmarkEnd w:id="219"/>
      <w:bookmarkStart w:id="220" w:name="_Toc184312071"/>
      <w:bookmarkEnd w:id="220"/>
      <w:bookmarkStart w:id="221" w:name="_Toc184308091"/>
      <w:bookmarkEnd w:id="221"/>
      <w:bookmarkStart w:id="222" w:name="_Toc184308061"/>
      <w:bookmarkEnd w:id="222"/>
      <w:bookmarkStart w:id="223" w:name="_Toc184312097"/>
      <w:bookmarkEnd w:id="223"/>
      <w:bookmarkStart w:id="224" w:name="_Toc184312072"/>
      <w:bookmarkEnd w:id="224"/>
      <w:bookmarkStart w:id="225" w:name="_Toc184313246"/>
      <w:bookmarkEnd w:id="225"/>
      <w:bookmarkStart w:id="226" w:name="_Toc184313248"/>
      <w:bookmarkEnd w:id="226"/>
      <w:bookmarkStart w:id="227" w:name="_Toc184308103"/>
      <w:bookmarkEnd w:id="227"/>
      <w:bookmarkStart w:id="228" w:name="_Toc184314462"/>
      <w:bookmarkEnd w:id="228"/>
      <w:bookmarkStart w:id="229" w:name="_Toc184308065"/>
      <w:bookmarkEnd w:id="229"/>
      <w:bookmarkStart w:id="230" w:name="_Toc184313308"/>
      <w:bookmarkEnd w:id="230"/>
      <w:bookmarkStart w:id="231" w:name="_Toc184314440"/>
      <w:bookmarkEnd w:id="231"/>
      <w:bookmarkStart w:id="232" w:name="_Toc184310303"/>
      <w:bookmarkEnd w:id="232"/>
      <w:bookmarkStart w:id="233" w:name="_Toc184314441"/>
      <w:bookmarkEnd w:id="233"/>
      <w:bookmarkStart w:id="234" w:name="_Toc184312120"/>
      <w:bookmarkEnd w:id="234"/>
      <w:bookmarkStart w:id="235" w:name="_Toc184314474"/>
      <w:bookmarkEnd w:id="235"/>
      <w:bookmarkStart w:id="236" w:name="_Toc184314436"/>
      <w:bookmarkEnd w:id="236"/>
      <w:bookmarkStart w:id="237" w:name="_Toc184314425"/>
      <w:bookmarkEnd w:id="237"/>
      <w:bookmarkStart w:id="238" w:name="_Toc184308040"/>
      <w:bookmarkEnd w:id="238"/>
      <w:bookmarkStart w:id="239" w:name="_Toc184308056"/>
      <w:bookmarkEnd w:id="239"/>
      <w:bookmarkStart w:id="240" w:name="_Toc184313272"/>
      <w:bookmarkEnd w:id="240"/>
      <w:bookmarkStart w:id="241" w:name="_Toc184313270"/>
      <w:bookmarkEnd w:id="241"/>
      <w:bookmarkStart w:id="242" w:name="_Toc184308087"/>
      <w:bookmarkEnd w:id="242"/>
      <w:bookmarkStart w:id="243" w:name="_Toc184313265"/>
      <w:bookmarkEnd w:id="243"/>
      <w:bookmarkStart w:id="244" w:name="_Toc184314433"/>
      <w:bookmarkEnd w:id="244"/>
      <w:bookmarkStart w:id="245" w:name="_Toc184308075"/>
      <w:bookmarkEnd w:id="245"/>
      <w:bookmarkStart w:id="246" w:name="_Toc184314424"/>
      <w:bookmarkEnd w:id="246"/>
      <w:bookmarkStart w:id="247" w:name="_Toc184310334"/>
      <w:bookmarkEnd w:id="247"/>
      <w:bookmarkStart w:id="248" w:name="_Toc184308057"/>
      <w:bookmarkEnd w:id="248"/>
      <w:bookmarkStart w:id="249" w:name="_Toc184312068"/>
      <w:bookmarkEnd w:id="249"/>
      <w:bookmarkStart w:id="250" w:name="_Toc184308062"/>
      <w:bookmarkEnd w:id="250"/>
      <w:bookmarkStart w:id="251" w:name="_Toc184312082"/>
      <w:bookmarkEnd w:id="251"/>
      <w:bookmarkStart w:id="252" w:name="_Toc184313257"/>
      <w:bookmarkEnd w:id="252"/>
      <w:bookmarkStart w:id="253" w:name="_Toc184308054"/>
      <w:bookmarkEnd w:id="253"/>
      <w:bookmarkStart w:id="254" w:name="_Toc184314470"/>
      <w:bookmarkEnd w:id="254"/>
      <w:bookmarkStart w:id="255" w:name="_Toc184313263"/>
      <w:bookmarkEnd w:id="255"/>
      <w:bookmarkStart w:id="256" w:name="_Toc184310291"/>
      <w:bookmarkEnd w:id="256"/>
      <w:bookmarkStart w:id="257" w:name="_Toc184312083"/>
      <w:bookmarkEnd w:id="257"/>
      <w:bookmarkStart w:id="258" w:name="_Toc184312078"/>
      <w:bookmarkEnd w:id="258"/>
      <w:bookmarkStart w:id="259" w:name="_Toc184310326"/>
      <w:bookmarkEnd w:id="259"/>
      <w:bookmarkStart w:id="260" w:name="_Toc184308077"/>
      <w:bookmarkEnd w:id="260"/>
      <w:bookmarkStart w:id="261" w:name="_Toc184313255"/>
      <w:bookmarkEnd w:id="261"/>
      <w:bookmarkStart w:id="262" w:name="_Toc184310322"/>
      <w:bookmarkEnd w:id="262"/>
      <w:bookmarkStart w:id="263" w:name="_Toc184314453"/>
      <w:bookmarkEnd w:id="263"/>
      <w:bookmarkStart w:id="264" w:name="_Toc184312137"/>
      <w:bookmarkEnd w:id="264"/>
      <w:bookmarkStart w:id="265" w:name="_Toc184313258"/>
      <w:bookmarkEnd w:id="265"/>
      <w:bookmarkStart w:id="266" w:name="_Toc184312074"/>
      <w:bookmarkEnd w:id="266"/>
      <w:bookmarkStart w:id="267" w:name="_Toc184313241"/>
      <w:bookmarkEnd w:id="267"/>
      <w:bookmarkStart w:id="268" w:name="_Toc184308081"/>
      <w:bookmarkEnd w:id="268"/>
      <w:bookmarkStart w:id="269" w:name="_Toc184314460"/>
      <w:bookmarkEnd w:id="269"/>
      <w:bookmarkStart w:id="270" w:name="_Toc184310276"/>
      <w:bookmarkEnd w:id="270"/>
      <w:bookmarkStart w:id="271" w:name="_Toc184312079"/>
      <w:bookmarkEnd w:id="271"/>
      <w:bookmarkStart w:id="272" w:name="_Toc184314454"/>
      <w:bookmarkEnd w:id="272"/>
      <w:bookmarkStart w:id="273" w:name="_Toc184314463"/>
      <w:bookmarkEnd w:id="273"/>
      <w:bookmarkStart w:id="274" w:name="_Toc184312102"/>
      <w:bookmarkEnd w:id="274"/>
      <w:bookmarkStart w:id="275" w:name="_Toc184314444"/>
      <w:bookmarkEnd w:id="275"/>
      <w:bookmarkStart w:id="276" w:name="_Toc184308055"/>
      <w:bookmarkEnd w:id="276"/>
      <w:bookmarkStart w:id="277" w:name="_Toc184310341"/>
      <w:bookmarkEnd w:id="277"/>
      <w:bookmarkStart w:id="278" w:name="_Toc184312084"/>
      <w:bookmarkEnd w:id="278"/>
      <w:bookmarkStart w:id="279" w:name="_Toc184308073"/>
      <w:bookmarkEnd w:id="279"/>
      <w:bookmarkStart w:id="280" w:name="_Toc184314466"/>
      <w:bookmarkEnd w:id="280"/>
      <w:bookmarkStart w:id="281" w:name="_Toc184308048"/>
      <w:bookmarkEnd w:id="281"/>
      <w:bookmarkStart w:id="282" w:name="_Toc184308079"/>
      <w:bookmarkEnd w:id="282"/>
      <w:bookmarkStart w:id="283" w:name="_Toc184312123"/>
      <w:bookmarkEnd w:id="283"/>
      <w:bookmarkStart w:id="284" w:name="_Toc184314439"/>
      <w:bookmarkEnd w:id="284"/>
      <w:bookmarkStart w:id="285" w:name="_Toc184310288"/>
      <w:bookmarkEnd w:id="285"/>
      <w:bookmarkStart w:id="286" w:name="_Toc184312121"/>
      <w:bookmarkEnd w:id="286"/>
      <w:bookmarkStart w:id="287" w:name="_Toc184314443"/>
      <w:bookmarkEnd w:id="287"/>
      <w:bookmarkStart w:id="288" w:name="_Toc184310317"/>
      <w:bookmarkEnd w:id="288"/>
      <w:bookmarkStart w:id="289" w:name="_Toc184312104"/>
      <w:bookmarkEnd w:id="289"/>
      <w:bookmarkStart w:id="290" w:name="_Toc184312109"/>
      <w:bookmarkEnd w:id="290"/>
      <w:bookmarkStart w:id="291" w:name="_Toc184310338"/>
      <w:bookmarkEnd w:id="291"/>
      <w:bookmarkStart w:id="292" w:name="_Toc184313284"/>
      <w:bookmarkEnd w:id="292"/>
      <w:bookmarkStart w:id="293" w:name="_Toc184310315"/>
      <w:bookmarkEnd w:id="293"/>
      <w:bookmarkStart w:id="294" w:name="_Toc184310297"/>
      <w:bookmarkEnd w:id="294"/>
      <w:bookmarkStart w:id="295" w:name="_Toc184312107"/>
      <w:bookmarkEnd w:id="295"/>
      <w:bookmarkStart w:id="296" w:name="_Toc184310323"/>
      <w:bookmarkEnd w:id="296"/>
      <w:bookmarkStart w:id="297" w:name="_Toc184312100"/>
      <w:bookmarkEnd w:id="297"/>
      <w:bookmarkStart w:id="298" w:name="_Toc184308092"/>
      <w:bookmarkEnd w:id="298"/>
      <w:bookmarkStart w:id="299" w:name="_Toc184310289"/>
      <w:bookmarkEnd w:id="299"/>
      <w:bookmarkStart w:id="300" w:name="_Toc184308036"/>
      <w:bookmarkEnd w:id="300"/>
      <w:bookmarkStart w:id="301" w:name="_Toc184312138"/>
      <w:bookmarkEnd w:id="301"/>
      <w:bookmarkStart w:id="302" w:name="_Toc184312135"/>
      <w:bookmarkEnd w:id="302"/>
      <w:bookmarkStart w:id="303" w:name="_Toc184313305"/>
      <w:bookmarkEnd w:id="303"/>
      <w:bookmarkStart w:id="304" w:name="_Toc184312094"/>
      <w:bookmarkEnd w:id="304"/>
      <w:bookmarkStart w:id="305" w:name="_Toc184310337"/>
      <w:bookmarkEnd w:id="305"/>
      <w:bookmarkStart w:id="306" w:name="_Toc184308105"/>
      <w:bookmarkEnd w:id="306"/>
      <w:bookmarkStart w:id="307" w:name="_Toc184313242"/>
      <w:bookmarkEnd w:id="307"/>
      <w:bookmarkStart w:id="308" w:name="_Toc184310281"/>
      <w:bookmarkEnd w:id="308"/>
      <w:bookmarkStart w:id="309" w:name="_Toc184313283"/>
      <w:bookmarkEnd w:id="309"/>
      <w:bookmarkStart w:id="310" w:name="_Toc184313240"/>
      <w:bookmarkEnd w:id="310"/>
      <w:bookmarkStart w:id="311" w:name="_Toc184308058"/>
      <w:bookmarkEnd w:id="311"/>
      <w:bookmarkStart w:id="312" w:name="_Toc184312128"/>
      <w:bookmarkEnd w:id="312"/>
      <w:bookmarkStart w:id="313" w:name="_Toc184313286"/>
      <w:bookmarkEnd w:id="313"/>
      <w:bookmarkStart w:id="314" w:name="_Toc184308089"/>
      <w:bookmarkEnd w:id="314"/>
      <w:bookmarkStart w:id="315" w:name="_Toc184313269"/>
      <w:bookmarkEnd w:id="315"/>
      <w:bookmarkStart w:id="316" w:name="_Toc184314455"/>
      <w:bookmarkEnd w:id="316"/>
      <w:bookmarkStart w:id="317" w:name="_Toc184312118"/>
      <w:bookmarkEnd w:id="317"/>
      <w:bookmarkStart w:id="318" w:name="_Toc184314445"/>
      <w:bookmarkEnd w:id="318"/>
      <w:bookmarkStart w:id="319" w:name="_Toc184310293"/>
      <w:bookmarkEnd w:id="319"/>
      <w:bookmarkStart w:id="320" w:name="_Toc184312112"/>
      <w:bookmarkEnd w:id="320"/>
      <w:bookmarkStart w:id="321" w:name="_Toc184313300"/>
      <w:bookmarkEnd w:id="321"/>
      <w:bookmarkStart w:id="322" w:name="_Toc184308094"/>
      <w:bookmarkEnd w:id="322"/>
      <w:bookmarkStart w:id="323" w:name="_Toc184310320"/>
      <w:bookmarkEnd w:id="323"/>
      <w:bookmarkStart w:id="324" w:name="_Toc184310295"/>
      <w:bookmarkEnd w:id="324"/>
      <w:bookmarkStart w:id="325" w:name="_Toc184313278"/>
      <w:bookmarkEnd w:id="325"/>
      <w:bookmarkStart w:id="326" w:name="_Toc184313254"/>
      <w:bookmarkEnd w:id="326"/>
      <w:bookmarkStart w:id="327" w:name="_Toc184312098"/>
      <w:bookmarkEnd w:id="327"/>
      <w:bookmarkStart w:id="328" w:name="_Toc184313250"/>
      <w:bookmarkEnd w:id="328"/>
      <w:bookmarkStart w:id="329" w:name="_Toc184310309"/>
      <w:bookmarkEnd w:id="329"/>
      <w:bookmarkStart w:id="330" w:name="_Toc184308039"/>
      <w:bookmarkEnd w:id="330"/>
      <w:bookmarkStart w:id="331" w:name="_Toc184308047"/>
      <w:bookmarkEnd w:id="331"/>
      <w:bookmarkStart w:id="332" w:name="_Toc184312133"/>
      <w:bookmarkEnd w:id="332"/>
      <w:bookmarkStart w:id="333" w:name="_Toc184308078"/>
      <w:bookmarkEnd w:id="333"/>
      <w:bookmarkStart w:id="334" w:name="_Toc184308097"/>
      <w:bookmarkEnd w:id="334"/>
      <w:bookmarkStart w:id="335" w:name="_Toc184308069"/>
      <w:bookmarkEnd w:id="335"/>
      <w:bookmarkStart w:id="336" w:name="_Toc184310313"/>
      <w:bookmarkEnd w:id="336"/>
      <w:bookmarkStart w:id="337" w:name="_Toc184310298"/>
      <w:bookmarkEnd w:id="337"/>
      <w:bookmarkStart w:id="338" w:name="_Toc184308107"/>
      <w:bookmarkEnd w:id="338"/>
      <w:bookmarkStart w:id="339" w:name="_Toc184313299"/>
      <w:bookmarkEnd w:id="339"/>
      <w:bookmarkStart w:id="340" w:name="_Toc184313251"/>
      <w:bookmarkEnd w:id="340"/>
      <w:bookmarkStart w:id="341" w:name="_Toc184312122"/>
      <w:bookmarkEnd w:id="341"/>
      <w:bookmarkStart w:id="342" w:name="_Toc184310272"/>
      <w:bookmarkEnd w:id="342"/>
      <w:bookmarkStart w:id="343" w:name="_Toc184313287"/>
      <w:bookmarkEnd w:id="343"/>
      <w:bookmarkStart w:id="344" w:name="_Toc184312126"/>
      <w:bookmarkEnd w:id="344"/>
      <w:bookmarkStart w:id="345" w:name="_Toc184308100"/>
      <w:bookmarkEnd w:id="345"/>
      <w:bookmarkStart w:id="346" w:name="_Toc184313296"/>
      <w:bookmarkEnd w:id="346"/>
      <w:bookmarkStart w:id="347" w:name="_Toc184314475"/>
      <w:bookmarkEnd w:id="347"/>
      <w:bookmarkStart w:id="348" w:name="_Toc184314423"/>
      <w:bookmarkEnd w:id="348"/>
      <w:bookmarkStart w:id="349" w:name="_Toc184308084"/>
      <w:bookmarkEnd w:id="349"/>
      <w:bookmarkStart w:id="350" w:name="_Toc184310299"/>
      <w:bookmarkEnd w:id="350"/>
      <w:bookmarkStart w:id="351" w:name="_Toc184313295"/>
      <w:bookmarkEnd w:id="351"/>
      <w:bookmarkStart w:id="352" w:name="_Toc184313244"/>
      <w:bookmarkEnd w:id="352"/>
      <w:bookmarkStart w:id="353" w:name="_Toc184308070"/>
      <w:bookmarkEnd w:id="353"/>
      <w:bookmarkStart w:id="354" w:name="_Toc184310280"/>
      <w:bookmarkEnd w:id="354"/>
      <w:bookmarkStart w:id="355" w:name="_Toc184314452"/>
      <w:bookmarkEnd w:id="355"/>
      <w:bookmarkStart w:id="356" w:name="_Toc184308051"/>
      <w:bookmarkEnd w:id="356"/>
      <w:bookmarkStart w:id="357" w:name="_Toc184308074"/>
      <w:bookmarkEnd w:id="357"/>
      <w:bookmarkStart w:id="358" w:name="_Toc184308080"/>
      <w:bookmarkEnd w:id="358"/>
      <w:bookmarkStart w:id="359" w:name="_Toc184314482"/>
      <w:bookmarkEnd w:id="359"/>
      <w:bookmarkStart w:id="360" w:name="_Toc184310336"/>
      <w:bookmarkEnd w:id="360"/>
      <w:bookmarkStart w:id="361" w:name="_Toc184313297"/>
      <w:bookmarkEnd w:id="361"/>
      <w:bookmarkStart w:id="362" w:name="_Toc184313280"/>
      <w:bookmarkEnd w:id="362"/>
      <w:bookmarkStart w:id="363" w:name="_Toc184313306"/>
      <w:bookmarkEnd w:id="363"/>
      <w:bookmarkStart w:id="364" w:name="_Toc184314469"/>
      <w:bookmarkEnd w:id="364"/>
      <w:bookmarkStart w:id="365" w:name="_Toc184310310"/>
      <w:bookmarkEnd w:id="365"/>
      <w:bookmarkStart w:id="366" w:name="_Toc184314427"/>
      <w:bookmarkEnd w:id="366"/>
      <w:bookmarkStart w:id="367" w:name="_Toc184314414"/>
      <w:bookmarkEnd w:id="367"/>
      <w:bookmarkStart w:id="368" w:name="_Toc184313291"/>
      <w:bookmarkEnd w:id="368"/>
      <w:bookmarkStart w:id="369" w:name="_Toc184308101"/>
      <w:bookmarkEnd w:id="369"/>
      <w:bookmarkStart w:id="370" w:name="_Toc184314481"/>
      <w:bookmarkEnd w:id="370"/>
      <w:bookmarkStart w:id="371" w:name="_Toc184313303"/>
      <w:bookmarkEnd w:id="371"/>
      <w:bookmarkStart w:id="372" w:name="_Toc184312099"/>
      <w:bookmarkEnd w:id="372"/>
      <w:bookmarkStart w:id="373" w:name="_Toc184308044"/>
      <w:bookmarkEnd w:id="373"/>
      <w:bookmarkStart w:id="374" w:name="_Toc184310312"/>
      <w:bookmarkEnd w:id="374"/>
      <w:bookmarkStart w:id="375" w:name="_Toc184310307"/>
      <w:bookmarkEnd w:id="375"/>
      <w:bookmarkStart w:id="376" w:name="_Toc184314422"/>
      <w:bookmarkEnd w:id="376"/>
      <w:bookmarkStart w:id="377" w:name="_Toc184314421"/>
      <w:bookmarkEnd w:id="377"/>
      <w:bookmarkStart w:id="378" w:name="_Toc184312131"/>
      <w:bookmarkEnd w:id="378"/>
      <w:bookmarkStart w:id="379" w:name="_Toc184310302"/>
      <w:bookmarkEnd w:id="379"/>
      <w:bookmarkStart w:id="380" w:name="_Toc184313277"/>
      <w:bookmarkEnd w:id="380"/>
      <w:bookmarkStart w:id="381" w:name="_Toc184310330"/>
      <w:bookmarkEnd w:id="381"/>
      <w:bookmarkStart w:id="382" w:name="_Toc184314448"/>
      <w:bookmarkEnd w:id="382"/>
      <w:bookmarkStart w:id="383" w:name="_Toc184310296"/>
      <w:bookmarkEnd w:id="383"/>
      <w:bookmarkStart w:id="384" w:name="_Toc184310327"/>
      <w:bookmarkEnd w:id="384"/>
      <w:bookmarkStart w:id="385" w:name="_Toc184310284"/>
      <w:bookmarkEnd w:id="385"/>
      <w:bookmarkStart w:id="386" w:name="_Toc184313307"/>
      <w:bookmarkEnd w:id="386"/>
      <w:bookmarkStart w:id="387" w:name="_Toc184313293"/>
      <w:bookmarkEnd w:id="387"/>
      <w:bookmarkStart w:id="388" w:name="_Toc184310306"/>
      <w:bookmarkEnd w:id="388"/>
      <w:bookmarkStart w:id="389" w:name="_Toc184314478"/>
      <w:bookmarkEnd w:id="389"/>
      <w:bookmarkStart w:id="390" w:name="_Toc184313276"/>
      <w:bookmarkEnd w:id="390"/>
      <w:bookmarkStart w:id="391" w:name="_Toc184313290"/>
      <w:bookmarkEnd w:id="391"/>
      <w:bookmarkStart w:id="392" w:name="_Toc184312090"/>
      <w:bookmarkEnd w:id="392"/>
      <w:bookmarkStart w:id="393" w:name="_Toc184308076"/>
      <w:bookmarkEnd w:id="393"/>
      <w:bookmarkStart w:id="394" w:name="_Toc184314450"/>
      <w:bookmarkEnd w:id="394"/>
      <w:bookmarkStart w:id="395" w:name="_Toc184313274"/>
      <w:bookmarkEnd w:id="395"/>
      <w:bookmarkStart w:id="396" w:name="_Toc184314410"/>
      <w:bookmarkEnd w:id="396"/>
      <w:bookmarkStart w:id="397" w:name="_Toc184314420"/>
      <w:bookmarkEnd w:id="397"/>
      <w:bookmarkStart w:id="398" w:name="_Toc184314472"/>
      <w:bookmarkEnd w:id="398"/>
      <w:bookmarkStart w:id="399" w:name="_Toc184310283"/>
      <w:bookmarkEnd w:id="399"/>
      <w:bookmarkStart w:id="400" w:name="_Toc184312085"/>
      <w:bookmarkEnd w:id="400"/>
      <w:bookmarkStart w:id="401" w:name="_Toc184310318"/>
      <w:bookmarkEnd w:id="401"/>
      <w:bookmarkStart w:id="402" w:name="_Toc184312101"/>
      <w:bookmarkEnd w:id="402"/>
      <w:bookmarkStart w:id="403" w:name="_Toc184314464"/>
      <w:bookmarkEnd w:id="403"/>
      <w:bookmarkStart w:id="404" w:name="_Toc184314456"/>
      <w:bookmarkEnd w:id="404"/>
      <w:bookmarkStart w:id="405" w:name="_Toc184314435"/>
      <w:bookmarkEnd w:id="405"/>
      <w:bookmarkStart w:id="406" w:name="_Toc184308108"/>
      <w:bookmarkEnd w:id="406"/>
      <w:bookmarkStart w:id="407" w:name="_Toc184313282"/>
      <w:bookmarkEnd w:id="407"/>
      <w:bookmarkStart w:id="408" w:name="_Toc184314437"/>
      <w:bookmarkEnd w:id="408"/>
      <w:bookmarkStart w:id="409" w:name="_Toc184313289"/>
      <w:bookmarkEnd w:id="409"/>
      <w:bookmarkStart w:id="410" w:name="_Toc184313238"/>
      <w:bookmarkEnd w:id="410"/>
      <w:bookmarkStart w:id="411" w:name="_Toc184308053"/>
      <w:bookmarkEnd w:id="411"/>
      <w:bookmarkStart w:id="412" w:name="_Toc184312067"/>
      <w:bookmarkEnd w:id="412"/>
      <w:bookmarkStart w:id="413" w:name="_Toc184313279"/>
      <w:bookmarkEnd w:id="413"/>
      <w:bookmarkStart w:id="414" w:name="_Toc184314415"/>
      <w:bookmarkEnd w:id="414"/>
      <w:bookmarkStart w:id="415" w:name="_Toc184312124"/>
      <w:bookmarkEnd w:id="415"/>
      <w:bookmarkStart w:id="416" w:name="_Toc184308095"/>
      <w:bookmarkEnd w:id="416"/>
      <w:bookmarkStart w:id="417" w:name="_Toc184312075"/>
      <w:bookmarkEnd w:id="417"/>
      <w:bookmarkStart w:id="418" w:name="_Toc184310319"/>
      <w:bookmarkEnd w:id="418"/>
      <w:bookmarkStart w:id="419" w:name="_Toc184314428"/>
      <w:bookmarkEnd w:id="419"/>
      <w:bookmarkStart w:id="420" w:name="_Toc184314449"/>
      <w:bookmarkEnd w:id="420"/>
      <w:bookmarkStart w:id="421" w:name="_Toc184308060"/>
      <w:bookmarkEnd w:id="421"/>
      <w:bookmarkStart w:id="422" w:name="_Toc184313262"/>
      <w:bookmarkEnd w:id="422"/>
      <w:bookmarkStart w:id="423" w:name="_Toc184313294"/>
      <w:bookmarkEnd w:id="423"/>
      <w:bookmarkStart w:id="424" w:name="_Toc184312115"/>
      <w:bookmarkEnd w:id="424"/>
      <w:bookmarkStart w:id="425" w:name="_Toc184313253"/>
      <w:bookmarkEnd w:id="425"/>
      <w:bookmarkStart w:id="426" w:name="_Toc184308041"/>
      <w:bookmarkEnd w:id="426"/>
      <w:r>
        <w:rPr>
          <w:rFonts w:hint="eastAsia" w:ascii="宋体" w:hAnsi="宋体" w:cs="宋体"/>
          <w:b/>
          <w:sz w:val="36"/>
          <w:szCs w:val="36"/>
          <w:highlight w:val="none"/>
        </w:rPr>
        <w:t>评标办法</w:t>
      </w:r>
    </w:p>
    <w:p>
      <w:pPr>
        <w:snapToGrid w:val="0"/>
        <w:spacing w:line="360" w:lineRule="auto"/>
        <w:jc w:val="center"/>
        <w:rPr>
          <w:rFonts w:ascii="宋体" w:hAnsi="宋体" w:cs="宋体"/>
          <w:b/>
          <w:sz w:val="32"/>
          <w:szCs w:val="20"/>
          <w:highlight w:val="none"/>
        </w:rPr>
      </w:pPr>
      <w:r>
        <w:rPr>
          <w:rFonts w:hint="eastAsia" w:ascii="宋体" w:hAnsi="宋体" w:cs="宋体"/>
          <w:b/>
          <w:sz w:val="32"/>
          <w:szCs w:val="20"/>
          <w:highlight w:val="none"/>
        </w:rPr>
        <w:t>评标办法前附表</w:t>
      </w:r>
    </w:p>
    <w:tbl>
      <w:tblPr>
        <w:tblStyle w:val="6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6"/>
        <w:gridCol w:w="5412"/>
        <w:gridCol w:w="456"/>
        <w:gridCol w:w="1133"/>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68" w:type="pct"/>
            <w:vAlign w:val="center"/>
          </w:tcPr>
          <w:p>
            <w:pPr>
              <w:widowControl/>
              <w:spacing w:line="580" w:lineRule="exact"/>
              <w:jc w:val="center"/>
              <w:textAlignment w:val="center"/>
              <w:rPr>
                <w:rFonts w:ascii="宋体" w:hAnsi="宋体" w:cs="宋体"/>
                <w:sz w:val="24"/>
              </w:rPr>
            </w:pPr>
            <w:r>
              <w:rPr>
                <w:rFonts w:hint="eastAsia" w:ascii="宋体" w:hAnsi="宋体" w:cs="宋体"/>
                <w:kern w:val="0"/>
                <w:sz w:val="24"/>
                <w:lang w:bidi="ar"/>
              </w:rPr>
              <w:t>序号</w:t>
            </w:r>
          </w:p>
        </w:tc>
        <w:tc>
          <w:tcPr>
            <w:tcW w:w="3185" w:type="pct"/>
            <w:vAlign w:val="center"/>
          </w:tcPr>
          <w:p>
            <w:pPr>
              <w:widowControl/>
              <w:spacing w:line="580" w:lineRule="exact"/>
              <w:ind w:firstLine="1440" w:firstLineChars="600"/>
              <w:textAlignment w:val="center"/>
              <w:rPr>
                <w:rFonts w:ascii="宋体" w:hAnsi="宋体" w:cs="宋体"/>
                <w:sz w:val="24"/>
              </w:rPr>
            </w:pPr>
            <w:r>
              <w:rPr>
                <w:rFonts w:hint="eastAsia" w:ascii="宋体" w:hAnsi="宋体" w:cs="宋体"/>
                <w:kern w:val="0"/>
                <w:sz w:val="24"/>
                <w:lang w:bidi="ar"/>
              </w:rPr>
              <w:t>评标标准</w:t>
            </w:r>
          </w:p>
        </w:tc>
        <w:tc>
          <w:tcPr>
            <w:tcW w:w="268" w:type="pct"/>
            <w:vAlign w:val="center"/>
          </w:tcPr>
          <w:p>
            <w:pPr>
              <w:widowControl/>
              <w:spacing w:line="580" w:lineRule="exact"/>
              <w:jc w:val="center"/>
              <w:textAlignment w:val="center"/>
              <w:rPr>
                <w:rFonts w:ascii="宋体" w:hAnsi="宋体" w:cs="宋体"/>
                <w:sz w:val="24"/>
              </w:rPr>
            </w:pPr>
            <w:r>
              <w:rPr>
                <w:rFonts w:hint="eastAsia" w:ascii="宋体" w:hAnsi="宋体" w:cs="宋体"/>
                <w:kern w:val="0"/>
                <w:sz w:val="24"/>
                <w:lang w:bidi="ar"/>
              </w:rPr>
              <w:t>最高分值</w:t>
            </w:r>
          </w:p>
        </w:tc>
        <w:tc>
          <w:tcPr>
            <w:tcW w:w="667" w:type="pc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主观分/客观分属性</w:t>
            </w:r>
          </w:p>
        </w:tc>
        <w:tc>
          <w:tcPr>
            <w:tcW w:w="609" w:type="pc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投标文件中评标标准相应的商务技术资料目录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68" w:type="pct"/>
            <w:vMerge w:val="restart"/>
            <w:vAlign w:val="center"/>
          </w:tcPr>
          <w:p>
            <w:pPr>
              <w:widowControl/>
              <w:spacing w:line="580" w:lineRule="exact"/>
              <w:jc w:val="center"/>
              <w:textAlignment w:val="center"/>
              <w:rPr>
                <w:rFonts w:ascii="宋体" w:hAnsi="宋体" w:cs="宋体"/>
                <w:sz w:val="24"/>
              </w:rPr>
            </w:pPr>
            <w:r>
              <w:rPr>
                <w:rFonts w:hint="eastAsia" w:ascii="宋体" w:hAnsi="宋体" w:cs="宋体"/>
                <w:kern w:val="0"/>
                <w:sz w:val="24"/>
                <w:lang w:bidi="ar"/>
              </w:rPr>
              <w:t>1</w:t>
            </w:r>
          </w:p>
        </w:tc>
        <w:tc>
          <w:tcPr>
            <w:tcW w:w="3185" w:type="pct"/>
            <w:vAlign w:val="center"/>
          </w:tcPr>
          <w:p>
            <w:pPr>
              <w:widowControl/>
              <w:spacing w:line="580" w:lineRule="exact"/>
              <w:textAlignment w:val="center"/>
              <w:rPr>
                <w:rFonts w:ascii="宋体" w:hAnsi="宋体" w:cs="宋体"/>
                <w:b/>
                <w:bCs/>
                <w:sz w:val="24"/>
              </w:rPr>
            </w:pPr>
            <w:r>
              <w:rPr>
                <w:rFonts w:hint="eastAsia" w:ascii="宋体" w:hAnsi="宋体" w:cs="宋体"/>
                <w:b/>
                <w:bCs/>
                <w:kern w:val="0"/>
                <w:sz w:val="24"/>
                <w:lang w:bidi="ar"/>
              </w:rPr>
              <w:t>（1）项目整体要求（23分）：</w:t>
            </w:r>
            <w:r>
              <w:rPr>
                <w:rFonts w:hint="eastAsia" w:ascii="宋体" w:hAnsi="宋体" w:cs="宋体"/>
                <w:kern w:val="0"/>
                <w:sz w:val="24"/>
                <w:lang w:bidi="ar"/>
              </w:rPr>
              <w:t>本次服务包含下列三块内容，根据招标文件编制相应整体方案，评标专家根据投标方案进行打分。</w:t>
            </w:r>
          </w:p>
        </w:tc>
        <w:tc>
          <w:tcPr>
            <w:tcW w:w="268" w:type="pct"/>
            <w:vMerge w:val="restar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23</w:t>
            </w:r>
          </w:p>
        </w:tc>
        <w:tc>
          <w:tcPr>
            <w:tcW w:w="667" w:type="pct"/>
            <w:vMerge w:val="restar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主观分</w:t>
            </w:r>
          </w:p>
        </w:tc>
        <w:tc>
          <w:tcPr>
            <w:tcW w:w="609" w:type="pct"/>
            <w:vMerge w:val="restar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（一）项目整体要求响应情况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b/>
                <w:bCs/>
                <w:sz w:val="24"/>
              </w:rPr>
            </w:pPr>
            <w:r>
              <w:rPr>
                <w:rFonts w:hint="eastAsia" w:ascii="宋体" w:hAnsi="宋体" w:cs="宋体"/>
                <w:b/>
                <w:bCs/>
                <w:kern w:val="0"/>
                <w:sz w:val="24"/>
                <w:lang w:bidi="ar"/>
              </w:rPr>
              <w:t>①互联网出口带宽服务方案：</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详细阐述政务外网互联网带宽如何与现有负载设备对接方案，包含①物理端口部署方案、②虚拟端口部署方案及③带宽分配方案。每一项满足得1分，部分满足得0.5分，不满足不得分，共3分（3分）。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b/>
                <w:bCs/>
                <w:sz w:val="24"/>
              </w:rPr>
            </w:pPr>
            <w:r>
              <w:rPr>
                <w:rFonts w:hint="eastAsia" w:ascii="宋体" w:hAnsi="宋体" w:cs="宋体"/>
                <w:b/>
                <w:bCs/>
                <w:kern w:val="0"/>
                <w:sz w:val="24"/>
                <w:lang w:bidi="ar"/>
              </w:rPr>
              <w:t>②市民中心设备租赁服务方案：</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a、投标人需详细阐述杭州市电子政务外网现有网络情况、设备物理环境、政务网物理光纤链路情况，提供网络系统架构图，并详细阐述割接升级方案的重点及难点，确保系统整体可用性和可靠性。满足得5分，部分满足得2.5分，不满足不得分（5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kern w:val="0"/>
                <w:sz w:val="24"/>
                <w:lang w:bidi="ar"/>
              </w:rPr>
            </w:pPr>
            <w:r>
              <w:rPr>
                <w:rFonts w:hint="eastAsia" w:ascii="宋体" w:hAnsi="宋体" w:cs="宋体"/>
                <w:kern w:val="0"/>
                <w:sz w:val="24"/>
                <w:lang w:bidi="ar"/>
              </w:rPr>
              <w:t>b、投标人需对政务外网运维平台的工单服务台，自定义流程，自定义表单，IP地址管理方案做详细阐述，并附功能截图。满足得5分，部分满足得2.5分，不满足不得分（5分）。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c、详细阐述本次服务的安全设备部署的如何与现有政务网无缝衔接，提供安全系统架构图。满足得4分，部分满足得2分，不满足不得分（4分）。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d、详细阐述市民中心核心机房系统情况，包括①空调、②UPS、③机柜的布置图、④详细配电系统图纸。每一项满足得1分，部分满足得0.5分，不满足不得分。共4分（4分）。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b/>
                <w:bCs/>
                <w:sz w:val="24"/>
              </w:rPr>
            </w:pPr>
            <w:r>
              <w:rPr>
                <w:rFonts w:ascii="Calibri" w:hAnsi="Calibri" w:cs="Calibri"/>
                <w:b/>
                <w:bCs/>
                <w:kern w:val="0"/>
                <w:sz w:val="24"/>
                <w:lang w:bidi="ar"/>
              </w:rPr>
              <w:t>③</w:t>
            </w:r>
            <w:r>
              <w:rPr>
                <w:rFonts w:hint="eastAsia" w:ascii="宋体" w:hAnsi="宋体" w:cs="宋体"/>
                <w:b/>
                <w:bCs/>
                <w:kern w:val="0"/>
                <w:sz w:val="24"/>
                <w:lang w:bidi="ar"/>
              </w:rPr>
              <w:t>现有设备维保方案</w:t>
            </w:r>
            <w:r>
              <w:rPr>
                <w:rFonts w:hint="eastAsia" w:ascii="宋体" w:hAnsi="宋体" w:cs="宋体"/>
                <w:kern w:val="0"/>
                <w:sz w:val="24"/>
                <w:lang w:bidi="ar"/>
              </w:rPr>
              <w:t>。包括（1）政务外网现有线路基本情况及主备网线路冗余方案；（2）线路及设备巡检模式及巡检方案；（3）现有设备基本情况及整体维保方案；（4）重保及应急方案；根据提供的方案内容进行评分，每一项方案内容完整且合理、可行、满足需求的得 0.5 分，不满足的不得分，共2分（2分）。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8" w:type="pct"/>
            <w:vMerge w:val="restart"/>
            <w:vAlign w:val="center"/>
          </w:tcPr>
          <w:p>
            <w:pPr>
              <w:widowControl/>
              <w:spacing w:line="580" w:lineRule="exact"/>
              <w:jc w:val="center"/>
              <w:textAlignment w:val="center"/>
              <w:rPr>
                <w:rFonts w:ascii="宋体" w:hAnsi="宋体" w:cs="宋体"/>
                <w:sz w:val="24"/>
              </w:rPr>
            </w:pPr>
            <w:r>
              <w:rPr>
                <w:rFonts w:hint="eastAsia" w:ascii="宋体" w:hAnsi="宋体" w:cs="宋体"/>
                <w:kern w:val="0"/>
                <w:sz w:val="24"/>
                <w:lang w:bidi="ar"/>
              </w:rPr>
              <w:t>2</w:t>
            </w:r>
          </w:p>
        </w:tc>
        <w:tc>
          <w:tcPr>
            <w:tcW w:w="3185" w:type="pct"/>
            <w:vAlign w:val="center"/>
          </w:tcPr>
          <w:p>
            <w:pPr>
              <w:widowControl/>
              <w:spacing w:line="580" w:lineRule="exact"/>
              <w:textAlignment w:val="center"/>
              <w:rPr>
                <w:rFonts w:ascii="宋体" w:hAnsi="宋体" w:cs="宋体"/>
                <w:b/>
                <w:bCs/>
                <w:sz w:val="24"/>
              </w:rPr>
            </w:pPr>
            <w:r>
              <w:rPr>
                <w:rFonts w:hint="eastAsia" w:ascii="宋体" w:hAnsi="宋体" w:cs="宋体"/>
                <w:b/>
                <w:bCs/>
                <w:kern w:val="0"/>
                <w:sz w:val="24"/>
                <w:lang w:bidi="ar"/>
              </w:rPr>
              <w:t>（2）下列服务内容满足情况（36分）：</w:t>
            </w:r>
          </w:p>
        </w:tc>
        <w:tc>
          <w:tcPr>
            <w:tcW w:w="268" w:type="pct"/>
            <w:vMerge w:val="restar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36</w:t>
            </w:r>
          </w:p>
        </w:tc>
        <w:tc>
          <w:tcPr>
            <w:tcW w:w="667" w:type="pct"/>
            <w:vMerge w:val="restar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客观分</w:t>
            </w:r>
          </w:p>
        </w:tc>
        <w:tc>
          <w:tcPr>
            <w:tcW w:w="609" w:type="pct"/>
            <w:vMerge w:val="restar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（二）四大类服务内容满足情况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 xml:space="preserve"> </w:t>
            </w:r>
            <w:r>
              <w:rPr>
                <w:rFonts w:hint="eastAsia" w:ascii="宋体" w:hAnsi="宋体" w:cs="宋体"/>
                <w:b/>
                <w:bCs/>
                <w:kern w:val="0"/>
                <w:sz w:val="24"/>
                <w:lang w:bidi="ar"/>
              </w:rPr>
              <w:t>●线路资源租赁服务要求满足情况（6分）：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包含①互联网出口带宽≥8.3G；②政务网相关链路租用须不少于147条；③统一运维服务满足情况；每一项满足得2分，不满足不得分，最高得6分（6分）。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b/>
                <w:bCs/>
                <w:sz w:val="24"/>
              </w:rPr>
            </w:pPr>
            <w:r>
              <w:rPr>
                <w:rFonts w:hint="eastAsia" w:ascii="宋体" w:hAnsi="宋体" w:cs="宋体"/>
                <w:b/>
                <w:bCs/>
                <w:kern w:val="0"/>
                <w:sz w:val="24"/>
                <w:lang w:bidi="ar"/>
              </w:rPr>
              <w:t>●设备租赁服务要求满足情况（26分）：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关于网络、安全设备租赁服务，政务外网运维平台租赁服务，市民中心机房设备租赁服务技术要求，投标人需根据招标文件要求提供点对点应答，对参数不满足或缺失的每一项扣1分，带有</w:t>
            </w:r>
            <w:r>
              <w:rPr>
                <w:rFonts w:hint="eastAsia" w:ascii="MS Gothic" w:hAnsi="MS Gothic" w:eastAsia="MS Gothic" w:cs="MS Gothic"/>
                <w:kern w:val="0"/>
                <w:sz w:val="24"/>
                <w:lang w:bidi="ar"/>
              </w:rPr>
              <w:t>✰</w:t>
            </w:r>
            <w:r>
              <w:rPr>
                <w:rFonts w:hint="eastAsia" w:ascii="宋体" w:hAnsi="宋体" w:cs="宋体"/>
                <w:kern w:val="0"/>
                <w:sz w:val="24"/>
                <w:lang w:bidi="ar"/>
              </w:rPr>
              <w:t>的参数不满足或缺失每一项扣2分，共26分，扣完为止（26分）。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jc w:val="left"/>
              <w:textAlignment w:val="center"/>
              <w:rPr>
                <w:rFonts w:ascii="宋体" w:hAnsi="宋体" w:cs="宋体"/>
                <w:b/>
                <w:bCs/>
                <w:sz w:val="24"/>
              </w:rPr>
            </w:pPr>
            <w:r>
              <w:rPr>
                <w:rFonts w:hint="eastAsia" w:ascii="宋体" w:hAnsi="宋体" w:cs="宋体"/>
                <w:b/>
                <w:bCs/>
                <w:kern w:val="0"/>
                <w:sz w:val="24"/>
                <w:lang w:bidi="ar"/>
              </w:rPr>
              <w:t>●关于现有设备维保服务求满足情况（4分）：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涉及内容包括：市民中心路由交换设备维保服务、市民中心机房设备（具体见附表）服务，根据要求编制投标文件，投标人需根据招标文件要求提供点对点应答，对参数不满足或缺失的每一项扣1分，带有✰的参数不满足或缺失每一项扣2分，共4分，扣完为止（4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8" w:type="pct"/>
            <w:vMerge w:val="restart"/>
            <w:vAlign w:val="center"/>
          </w:tcPr>
          <w:p>
            <w:pPr>
              <w:widowControl/>
              <w:spacing w:line="580" w:lineRule="exact"/>
              <w:jc w:val="center"/>
              <w:textAlignment w:val="center"/>
              <w:rPr>
                <w:rFonts w:ascii="宋体" w:hAnsi="宋体" w:cs="宋体"/>
                <w:sz w:val="24"/>
              </w:rPr>
            </w:pPr>
            <w:r>
              <w:rPr>
                <w:rFonts w:hint="eastAsia" w:ascii="宋体" w:hAnsi="宋体" w:cs="宋体"/>
                <w:kern w:val="0"/>
                <w:sz w:val="24"/>
                <w:lang w:bidi="ar"/>
              </w:rPr>
              <w:t>3</w:t>
            </w:r>
          </w:p>
        </w:tc>
        <w:tc>
          <w:tcPr>
            <w:tcW w:w="3185" w:type="pct"/>
            <w:vAlign w:val="center"/>
          </w:tcPr>
          <w:p>
            <w:pPr>
              <w:widowControl/>
              <w:spacing w:line="580" w:lineRule="exact"/>
              <w:textAlignment w:val="center"/>
              <w:rPr>
                <w:rFonts w:ascii="宋体" w:hAnsi="宋体" w:cs="宋体"/>
                <w:b/>
                <w:bCs/>
                <w:sz w:val="24"/>
              </w:rPr>
            </w:pPr>
            <w:r>
              <w:rPr>
                <w:rFonts w:hint="eastAsia" w:ascii="宋体" w:hAnsi="宋体" w:cs="宋体"/>
                <w:b/>
                <w:bCs/>
                <w:kern w:val="0"/>
                <w:sz w:val="24"/>
                <w:lang w:bidi="ar"/>
              </w:rPr>
              <w:t>（3）售后服务方案情况（14分）：</w:t>
            </w:r>
          </w:p>
        </w:tc>
        <w:tc>
          <w:tcPr>
            <w:tcW w:w="268" w:type="pct"/>
            <w:vMerge w:val="restar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14</w:t>
            </w:r>
          </w:p>
        </w:tc>
        <w:tc>
          <w:tcPr>
            <w:tcW w:w="667" w:type="pct"/>
            <w:vMerge w:val="restar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主观分</w:t>
            </w:r>
          </w:p>
        </w:tc>
        <w:tc>
          <w:tcPr>
            <w:tcW w:w="609" w:type="pct"/>
            <w:vMerge w:val="restar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（三）售后服务方案情况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满足采购人提出的服务要求，包括①建立针对本项目建立服务保障体系；②提供设备（系统）软件更新、升级、维护、检测、排障；③提供设备（系统）硬件故障检测、排障，备件免费更换；④能提供快速的售后服务响应，故障在15分钟内响应，30分钟到现场，2小时以内解决问题；不能当场修复的，必须采取提供备品、备件或备机等措施以上情况需提供证明材料；⑤提供设备巡检服务；⑥在维保服务过程中，要求向采购人提供网络优化及支持服务；⑦承诺在项目过程中提交满足要求的维护文档。每一项满足得2分，部分满足得1分，不满足不得分。总计14分（14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68" w:type="pct"/>
            <w:vMerge w:val="restart"/>
            <w:vAlign w:val="center"/>
          </w:tcPr>
          <w:p>
            <w:pPr>
              <w:widowControl/>
              <w:spacing w:line="580" w:lineRule="exact"/>
              <w:jc w:val="center"/>
              <w:textAlignment w:val="center"/>
              <w:rPr>
                <w:rFonts w:ascii="宋体" w:hAnsi="宋体" w:cs="宋体"/>
                <w:sz w:val="24"/>
              </w:rPr>
            </w:pPr>
            <w:r>
              <w:rPr>
                <w:rFonts w:hint="eastAsia" w:ascii="宋体" w:hAnsi="宋体" w:cs="宋体"/>
                <w:kern w:val="0"/>
                <w:sz w:val="24"/>
                <w:lang w:bidi="ar"/>
              </w:rPr>
              <w:t>4</w:t>
            </w:r>
          </w:p>
        </w:tc>
        <w:tc>
          <w:tcPr>
            <w:tcW w:w="3185" w:type="pct"/>
            <w:vAlign w:val="center"/>
          </w:tcPr>
          <w:p>
            <w:pPr>
              <w:widowControl/>
              <w:spacing w:line="580" w:lineRule="exact"/>
              <w:textAlignment w:val="center"/>
              <w:rPr>
                <w:rFonts w:ascii="宋体" w:hAnsi="宋体" w:cs="宋体"/>
                <w:b/>
                <w:bCs/>
                <w:sz w:val="24"/>
              </w:rPr>
            </w:pPr>
            <w:r>
              <w:rPr>
                <w:rFonts w:hint="eastAsia" w:ascii="宋体" w:hAnsi="宋体" w:cs="宋体"/>
                <w:b/>
                <w:bCs/>
                <w:kern w:val="0"/>
                <w:sz w:val="24"/>
                <w:lang w:bidi="ar"/>
              </w:rPr>
              <w:t>（4）项目组人员素质情况（16分）：</w:t>
            </w:r>
          </w:p>
        </w:tc>
        <w:tc>
          <w:tcPr>
            <w:tcW w:w="268" w:type="pct"/>
            <w:vMerge w:val="restar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16</w:t>
            </w:r>
          </w:p>
        </w:tc>
        <w:tc>
          <w:tcPr>
            <w:tcW w:w="667" w:type="pct"/>
            <w:vMerge w:val="restar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客观分</w:t>
            </w:r>
          </w:p>
        </w:tc>
        <w:tc>
          <w:tcPr>
            <w:tcW w:w="609" w:type="pct"/>
            <w:vMerge w:val="restar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（四）项目组人员素质情况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●项目经理具有信息系统项目管理师证书、网络工程师证书，全部具备得3分，每缺一项扣1.5分。（需提供证书复印件作为凭证）（3分）。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●拟派技术负责人须具有系统架构设计师（高级）、</w:t>
            </w:r>
            <w:r>
              <w:rPr>
                <w:rFonts w:ascii="宋体" w:hAnsi="宋体" w:cs="宋体"/>
                <w:kern w:val="0"/>
                <w:sz w:val="24"/>
                <w:lang w:bidi="ar"/>
              </w:rPr>
              <w:t>系统分析师</w:t>
            </w:r>
            <w:r>
              <w:rPr>
                <w:rFonts w:hint="eastAsia" w:ascii="宋体" w:hAnsi="宋体" w:cs="宋体"/>
                <w:kern w:val="0"/>
                <w:sz w:val="24"/>
                <w:lang w:bidi="ar"/>
              </w:rPr>
              <w:t>（高级）、</w:t>
            </w:r>
            <w:r>
              <w:rPr>
                <w:rFonts w:ascii="宋体" w:hAnsi="宋体" w:cs="宋体"/>
                <w:kern w:val="0"/>
                <w:sz w:val="24"/>
                <w:lang w:bidi="ar"/>
              </w:rPr>
              <w:t>信息系统项目管理师</w:t>
            </w:r>
            <w:r>
              <w:rPr>
                <w:rFonts w:hint="eastAsia" w:ascii="宋体" w:hAnsi="宋体" w:cs="宋体"/>
                <w:kern w:val="0"/>
                <w:sz w:val="24"/>
                <w:lang w:bidi="ar"/>
              </w:rPr>
              <w:t>（</w:t>
            </w:r>
            <w:r>
              <w:rPr>
                <w:rFonts w:ascii="宋体" w:hAnsi="宋体" w:cs="宋体"/>
                <w:kern w:val="0"/>
                <w:sz w:val="24"/>
                <w:lang w:bidi="ar"/>
              </w:rPr>
              <w:t>高级</w:t>
            </w:r>
            <w:r>
              <w:rPr>
                <w:rFonts w:hint="eastAsia" w:ascii="宋体" w:hAnsi="宋体" w:cs="宋体"/>
                <w:kern w:val="0"/>
                <w:sz w:val="24"/>
                <w:lang w:bidi="ar"/>
              </w:rPr>
              <w:t>）证书，全部具备得3分，每缺一项扣1分。（需提供证书复印件作为凭证）（3分）。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w:t>
            </w:r>
            <w:r>
              <w:rPr>
                <w:rFonts w:hint="eastAsia" w:ascii="宋体" w:hAnsi="宋体" w:cs="宋体"/>
                <w:sz w:val="24"/>
              </w:rPr>
              <w:t>服务人员需具备相应的资质，投标人拟派团队其他人员中（项目经理和项目技术负责人2人除外）具备网络工程师证的人员不少于4人，得2分；否则不得分（2分）。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5" w:hRule="atLeast"/>
        </w:trPr>
        <w:tc>
          <w:tcPr>
            <w:tcW w:w="268" w:type="pct"/>
            <w:vMerge w:val="continue"/>
            <w:vAlign w:val="center"/>
          </w:tcPr>
          <w:p>
            <w:pPr>
              <w:spacing w:line="580" w:lineRule="exact"/>
              <w:jc w:val="center"/>
              <w:rPr>
                <w:rFonts w:ascii="宋体" w:hAnsi="宋体" w:cs="宋体"/>
                <w:sz w:val="24"/>
              </w:rPr>
            </w:pPr>
          </w:p>
        </w:tc>
        <w:tc>
          <w:tcPr>
            <w:tcW w:w="3185" w:type="pct"/>
            <w:vAlign w:val="center"/>
          </w:tcPr>
          <w:p>
            <w:pPr>
              <w:widowControl/>
              <w:spacing w:line="580" w:lineRule="exact"/>
              <w:textAlignment w:val="center"/>
              <w:rPr>
                <w:rFonts w:ascii="宋体" w:hAnsi="宋体" w:cs="宋体"/>
                <w:sz w:val="24"/>
              </w:rPr>
            </w:pPr>
            <w:r>
              <w:rPr>
                <w:rFonts w:hint="eastAsia" w:ascii="宋体" w:hAnsi="宋体" w:cs="宋体"/>
                <w:kern w:val="0"/>
                <w:sz w:val="24"/>
                <w:lang w:bidi="ar"/>
              </w:rPr>
              <w:t>●驻场网络支持工程师要求：①要求有大专以上学历，1年以上网络设计、建设、管理、维护工作经验，②要求在采购人驻所5×8驻场工作，工作日接受采购人日常考勤和工作任务分配（包括提供相关文档、资料整理、日常管理、系统配置、故障诊断、故障排除等），③应急（或故障）情况下、采购人网络调整（或升级）时，能在非工作时间接受采购人指令工作，并在采购人认为必要时在非工作时间到达设备现场工作，且能做到及时响应和有效处置；④承诺驻场网络支持工程师要求满足95％以上出勤率（到位率）满足一项得2分，不满足不得分，总计8分（8分）。</w:t>
            </w:r>
          </w:p>
        </w:tc>
        <w:tc>
          <w:tcPr>
            <w:tcW w:w="268" w:type="pct"/>
            <w:vMerge w:val="continue"/>
          </w:tcPr>
          <w:p>
            <w:pPr>
              <w:spacing w:line="580" w:lineRule="exact"/>
              <w:jc w:val="center"/>
              <w:rPr>
                <w:rFonts w:ascii="宋体" w:hAnsi="宋体" w:cs="宋体"/>
                <w:sz w:val="24"/>
              </w:rPr>
            </w:pPr>
          </w:p>
        </w:tc>
        <w:tc>
          <w:tcPr>
            <w:tcW w:w="667" w:type="pct"/>
            <w:vMerge w:val="continue"/>
          </w:tcPr>
          <w:p>
            <w:pPr>
              <w:spacing w:line="580" w:lineRule="exact"/>
              <w:jc w:val="center"/>
              <w:rPr>
                <w:rFonts w:ascii="宋体" w:hAnsi="宋体" w:cs="宋体"/>
                <w:sz w:val="24"/>
              </w:rPr>
            </w:pPr>
          </w:p>
        </w:tc>
        <w:tc>
          <w:tcPr>
            <w:tcW w:w="609" w:type="pct"/>
            <w:vMerge w:val="continue"/>
          </w:tcPr>
          <w:p>
            <w:pPr>
              <w:spacing w:line="58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5" w:hRule="atLeast"/>
        </w:trPr>
        <w:tc>
          <w:tcPr>
            <w:tcW w:w="268" w:type="pct"/>
            <w:vAlign w:val="center"/>
          </w:tcPr>
          <w:p>
            <w:pPr>
              <w:widowControl/>
              <w:spacing w:line="580" w:lineRule="exact"/>
              <w:jc w:val="center"/>
              <w:textAlignment w:val="center"/>
              <w:rPr>
                <w:rFonts w:ascii="宋体" w:hAnsi="宋体" w:cs="宋体"/>
                <w:sz w:val="24"/>
              </w:rPr>
            </w:pPr>
            <w:r>
              <w:rPr>
                <w:rFonts w:hint="eastAsia" w:ascii="宋体" w:hAnsi="宋体" w:cs="宋体"/>
                <w:kern w:val="0"/>
                <w:sz w:val="24"/>
                <w:lang w:bidi="ar"/>
              </w:rPr>
              <w:t>5</w:t>
            </w:r>
          </w:p>
        </w:tc>
        <w:tc>
          <w:tcPr>
            <w:tcW w:w="3185" w:type="pct"/>
            <w:vAlign w:val="center"/>
          </w:tcPr>
          <w:p>
            <w:pPr>
              <w:widowControl/>
              <w:spacing w:line="580" w:lineRule="exact"/>
              <w:textAlignment w:val="center"/>
              <w:rPr>
                <w:rFonts w:ascii="宋体" w:hAnsi="宋体" w:cs="宋体"/>
                <w:b/>
                <w:bCs/>
                <w:sz w:val="24"/>
              </w:rPr>
            </w:pPr>
            <w:r>
              <w:rPr>
                <w:rFonts w:hint="eastAsia" w:ascii="宋体" w:hAnsi="宋体" w:cs="宋体"/>
                <w:b/>
                <w:bCs/>
                <w:kern w:val="0"/>
                <w:sz w:val="24"/>
                <w:lang w:bidi="ar"/>
              </w:rPr>
              <w:t>（5）投标人类似项目建设的成功经验（1分）：</w:t>
            </w:r>
            <w:r>
              <w:rPr>
                <w:rFonts w:hint="eastAsia" w:ascii="宋体" w:hAnsi="宋体" w:cs="宋体"/>
                <w:kern w:val="0"/>
                <w:sz w:val="24"/>
                <w:lang w:bidi="ar"/>
              </w:rPr>
              <w:t>投标截止时间前三年内，投标人承担类似项目实施的经验情况。依照投标人提供的合同、合格的用户验收报告。只提供合同的案例（以合同签订时间为准），每个得0.25分，最高得0.5分；同时提供合同和合格的用户验收报告的案例（以验收报告时间为准），每个得0.5分，最高得1分。同一业绩不重复计分，本项最高得1分。</w:t>
            </w:r>
          </w:p>
        </w:tc>
        <w:tc>
          <w:tcPr>
            <w:tcW w:w="268" w:type="pc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1</w:t>
            </w:r>
          </w:p>
        </w:tc>
        <w:tc>
          <w:tcPr>
            <w:tcW w:w="667" w:type="pc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客观分</w:t>
            </w:r>
          </w:p>
        </w:tc>
        <w:tc>
          <w:tcPr>
            <w:tcW w:w="609" w:type="pc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（五）类似项目建设的经验情况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268" w:type="pct"/>
            <w:vAlign w:val="center"/>
          </w:tcPr>
          <w:p>
            <w:pPr>
              <w:widowControl/>
              <w:spacing w:line="580" w:lineRule="exact"/>
              <w:jc w:val="center"/>
              <w:textAlignment w:val="center"/>
              <w:rPr>
                <w:rFonts w:ascii="宋体" w:hAnsi="宋体" w:cs="宋体"/>
                <w:sz w:val="24"/>
              </w:rPr>
            </w:pPr>
            <w:r>
              <w:rPr>
                <w:rFonts w:hint="eastAsia" w:ascii="宋体" w:hAnsi="宋体" w:cs="宋体"/>
                <w:kern w:val="0"/>
                <w:sz w:val="24"/>
                <w:lang w:bidi="ar"/>
              </w:rPr>
              <w:t>6</w:t>
            </w:r>
          </w:p>
        </w:tc>
        <w:tc>
          <w:tcPr>
            <w:tcW w:w="3185" w:type="pct"/>
          </w:tcPr>
          <w:p>
            <w:pPr>
              <w:widowControl/>
              <w:spacing w:line="580" w:lineRule="exact"/>
              <w:textAlignment w:val="center"/>
              <w:rPr>
                <w:rFonts w:ascii="宋体" w:hAnsi="宋体" w:cs="宋体"/>
                <w:kern w:val="0"/>
                <w:sz w:val="24"/>
                <w:lang w:bidi="ar"/>
              </w:rPr>
            </w:pPr>
            <w:r>
              <w:rPr>
                <w:rFonts w:hint="eastAsia" w:ascii="宋体" w:hAnsi="宋体" w:cs="宋体"/>
                <w:kern w:val="0"/>
                <w:sz w:val="24"/>
                <w:lang w:bidi="ar"/>
              </w:rPr>
              <w:t>（6）有效投标报价的最低价作为评标基准价，其最低报价为满分；按［投标报价得分=（评标基准价/投标报价）*最高分值］的计算公式计算。</w:t>
            </w:r>
          </w:p>
          <w:p>
            <w:pPr>
              <w:widowControl/>
              <w:spacing w:line="580" w:lineRule="exact"/>
              <w:textAlignment w:val="center"/>
              <w:rPr>
                <w:rFonts w:ascii="宋体" w:hAnsi="宋体" w:cs="宋体"/>
                <w:kern w:val="0"/>
                <w:sz w:val="24"/>
                <w:lang w:bidi="ar"/>
              </w:rPr>
            </w:pPr>
            <w:r>
              <w:rPr>
                <w:rFonts w:hint="eastAsia" w:ascii="宋体" w:hAnsi="宋体" w:cs="宋体"/>
                <w:kern w:val="0"/>
                <w:sz w:val="24"/>
                <w:lang w:bidi="ar"/>
              </w:rPr>
              <w:t>评标过程中，不得去掉报价中的最高报价和最低报价。</w:t>
            </w:r>
          </w:p>
          <w:p>
            <w:pPr>
              <w:widowControl/>
              <w:spacing w:line="580" w:lineRule="exact"/>
              <w:textAlignment w:val="center"/>
            </w:pPr>
            <w:r>
              <w:rPr>
                <w:rFonts w:hint="eastAsia" w:ascii="宋体" w:hAnsi="宋体" w:cs="宋体"/>
                <w:kern w:val="0"/>
                <w:sz w:val="24"/>
                <w:lang w:bidi="ar"/>
              </w:rPr>
              <w:t>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268" w:type="pc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10</w:t>
            </w:r>
          </w:p>
        </w:tc>
        <w:tc>
          <w:tcPr>
            <w:tcW w:w="667" w:type="pct"/>
          </w:tcPr>
          <w:p>
            <w:pPr>
              <w:spacing w:line="580" w:lineRule="exact"/>
              <w:jc w:val="center"/>
              <w:rPr>
                <w:rFonts w:ascii="宋体" w:hAnsi="宋体" w:cs="宋体"/>
                <w:sz w:val="24"/>
              </w:rPr>
            </w:pPr>
          </w:p>
        </w:tc>
        <w:tc>
          <w:tcPr>
            <w:tcW w:w="609" w:type="pct"/>
          </w:tcPr>
          <w:p>
            <w:pPr>
              <w:widowControl/>
              <w:spacing w:line="580" w:lineRule="exact"/>
              <w:jc w:val="center"/>
              <w:textAlignment w:val="top"/>
              <w:rPr>
                <w:rFonts w:ascii="宋体" w:hAnsi="宋体" w:cs="宋体"/>
                <w:sz w:val="24"/>
              </w:rPr>
            </w:pPr>
            <w:r>
              <w:rPr>
                <w:rFonts w:hint="eastAsia" w:ascii="宋体" w:hAnsi="宋体" w:cs="宋体"/>
                <w:kern w:val="0"/>
                <w:sz w:val="24"/>
                <w:lang w:bidi="ar"/>
              </w:rPr>
              <w:t>/</w:t>
            </w:r>
          </w:p>
        </w:tc>
      </w:tr>
    </w:tbl>
    <w:p>
      <w:pPr>
        <w:snapToGrid w:val="0"/>
        <w:spacing w:line="360" w:lineRule="auto"/>
        <w:rPr>
          <w:rFonts w:ascii="宋体" w:hAnsi="宋体" w:cs="宋体"/>
          <w:b/>
          <w:sz w:val="24"/>
          <w:highlight w:val="none"/>
        </w:rPr>
      </w:pPr>
      <w:r>
        <w:rPr>
          <w:rFonts w:hint="eastAsia" w:ascii="宋体" w:hAnsi="宋体" w:cs="宋体"/>
          <w:sz w:val="20"/>
          <w:szCs w:val="20"/>
          <w:highlight w:val="none"/>
          <w:shd w:val="clear" w:color="auto" w:fill="FFFFFF"/>
        </w:rPr>
        <w:t> *</w:t>
      </w:r>
      <w:r>
        <w:rPr>
          <w:rFonts w:hint="eastAsia" w:ascii="宋体" w:hAnsi="宋体" w:cs="宋体"/>
          <w:b/>
          <w:sz w:val="24"/>
          <w:highlight w:val="none"/>
        </w:rPr>
        <w:t>备注：</w:t>
      </w:r>
      <w:r>
        <w:rPr>
          <w:rFonts w:hint="eastAsia" w:ascii="宋体" w:hAnsi="宋体" w:cs="宋体"/>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highlight w:val="none"/>
        </w:rPr>
      </w:pPr>
      <w:r>
        <w:rPr>
          <w:rFonts w:hint="eastAsia" w:ascii="宋体" w:hAnsi="宋体" w:cs="宋体"/>
          <w:b/>
          <w:sz w:val="32"/>
          <w:highlight w:val="none"/>
        </w:rPr>
        <w:t>一、评标方法</w:t>
      </w:r>
    </w:p>
    <w:p>
      <w:pPr>
        <w:adjustRightInd/>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1.本项目采用综合评分法。</w:t>
      </w:r>
      <w:r>
        <w:rPr>
          <w:rFonts w:hint="eastAsia" w:ascii="宋体" w:hAnsi="宋体" w:cs="宋体"/>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highlight w:val="none"/>
        </w:rPr>
      </w:pPr>
      <w:r>
        <w:rPr>
          <w:rFonts w:hint="eastAsia" w:ascii="宋体" w:hAnsi="宋体" w:cs="宋体"/>
          <w:b/>
          <w:sz w:val="32"/>
          <w:highlight w:val="none"/>
        </w:rPr>
        <w:t>二、评标标准</w:t>
      </w:r>
    </w:p>
    <w:p>
      <w:pPr>
        <w:spacing w:line="360" w:lineRule="auto"/>
        <w:ind w:firstLine="472" w:firstLineChars="196"/>
        <w:rPr>
          <w:rFonts w:ascii="宋体" w:hAnsi="宋体" w:cs="宋体"/>
          <w:b/>
          <w:sz w:val="24"/>
          <w:highlight w:val="none"/>
        </w:rPr>
      </w:pPr>
      <w:r>
        <w:rPr>
          <w:rFonts w:hint="eastAsia" w:ascii="宋体" w:hAnsi="宋体" w:cs="宋体"/>
          <w:b/>
          <w:sz w:val="24"/>
          <w:highlight w:val="none"/>
        </w:rPr>
        <w:t>2.</w:t>
      </w:r>
      <w:r>
        <w:rPr>
          <w:rFonts w:hint="eastAsia" w:ascii="宋体" w:hAnsi="宋体" w:cs="宋体"/>
          <w:highlight w:val="none"/>
        </w:rPr>
        <w:t xml:space="preserve"> </w:t>
      </w:r>
      <w:r>
        <w:rPr>
          <w:rFonts w:hint="eastAsia" w:ascii="宋体" w:hAnsi="宋体" w:cs="宋体"/>
          <w:b/>
          <w:sz w:val="24"/>
          <w:highlight w:val="none"/>
        </w:rPr>
        <w:t>评标标准：</w:t>
      </w:r>
      <w:r>
        <w:rPr>
          <w:rFonts w:hint="eastAsia" w:ascii="宋体" w:hAnsi="宋体" w:cs="宋体"/>
          <w:kern w:val="0"/>
          <w:sz w:val="24"/>
          <w:highlight w:val="none"/>
        </w:rPr>
        <w:t>见评标办法前附表。</w:t>
      </w:r>
    </w:p>
    <w:p>
      <w:pPr>
        <w:spacing w:line="360" w:lineRule="auto"/>
        <w:outlineLvl w:val="0"/>
        <w:rPr>
          <w:rFonts w:ascii="宋体" w:hAnsi="宋体" w:cs="宋体"/>
          <w:b/>
          <w:sz w:val="36"/>
          <w:szCs w:val="36"/>
          <w:highlight w:val="none"/>
        </w:rPr>
      </w:pPr>
      <w:r>
        <w:rPr>
          <w:rFonts w:hint="eastAsia" w:ascii="宋体" w:hAnsi="宋体" w:cs="宋体"/>
          <w:b/>
          <w:sz w:val="36"/>
          <w:szCs w:val="36"/>
          <w:highlight w:val="none"/>
        </w:rPr>
        <w:t>三、评标程序</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3.1符合性审查。</w:t>
      </w:r>
      <w:r>
        <w:rPr>
          <w:rFonts w:hint="eastAsia" w:ascii="宋体" w:hAnsi="宋体" w:cs="宋体"/>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3.2 比较与评价。</w:t>
      </w:r>
      <w:r>
        <w:rPr>
          <w:rFonts w:hint="eastAsia" w:ascii="宋体" w:hAnsi="宋体" w:cs="宋体"/>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3.3汇总商务技术得分。</w:t>
      </w:r>
      <w:r>
        <w:rPr>
          <w:rFonts w:hint="eastAsia" w:ascii="宋体" w:hAnsi="宋体" w:cs="宋体"/>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highlight w:val="none"/>
        </w:rPr>
      </w:pPr>
      <w:r>
        <w:rPr>
          <w:rFonts w:hint="eastAsia" w:ascii="宋体" w:hAnsi="宋体" w:cs="宋体"/>
          <w:b/>
          <w:kern w:val="0"/>
          <w:sz w:val="24"/>
          <w:highlight w:val="none"/>
        </w:rPr>
        <w:t>3.4报价评审。</w:t>
      </w:r>
    </w:p>
    <w:p>
      <w:pPr>
        <w:pStyle w:val="130"/>
        <w:spacing w:before="0"/>
        <w:ind w:firstLine="508" w:firstLineChars="212"/>
        <w:rPr>
          <w:rFonts w:ascii="宋体" w:hAnsi="宋体" w:cs="宋体"/>
          <w:kern w:val="0"/>
          <w:highlight w:val="none"/>
        </w:rPr>
      </w:pPr>
      <w:r>
        <w:rPr>
          <w:rFonts w:hint="eastAsia" w:ascii="宋体" w:hAnsi="宋体" w:cs="宋体"/>
          <w:kern w:val="0"/>
          <w:highlight w:val="none"/>
        </w:rPr>
        <w:t>3.4.1投标文件报价出现前后不一致的，按照下列规定修正：</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3.4.1.1投标文件中开标一览表(报价表)内容与投标文件中相应内容不一致的，以开标一览表(报价表)为准;</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3.4.1.2大写金额和小写金额不一致的，以大写金额为准;</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3.4.1.3单价金额小数点或者百分比有明显错位的，以开标一览表的总价为准，并修改单价;</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3.4.1.4总价金额与按单价汇总金额不一致的，以单价金额计算结果为准。</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kern w:val="0"/>
          <w:sz w:val="24"/>
          <w:highlight w:val="none"/>
        </w:rPr>
      </w:pPr>
      <w:r>
        <w:rPr>
          <w:rFonts w:hint="eastAsia" w:ascii="宋体" w:hAnsi="宋体" w:cs="宋体"/>
          <w:kern w:val="0"/>
          <w:sz w:val="24"/>
          <w:highlight w:val="none"/>
        </w:rPr>
        <w:t>3.4.3投标报价超过招标文件中规定的预算金额或者最高限价的，投标无效。</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kern w:val="0"/>
          <w:szCs w:val="24"/>
          <w:highlight w:val="none"/>
        </w:rPr>
      </w:pPr>
      <w:r>
        <w:rPr>
          <w:rFonts w:hint="eastAsia" w:ascii="宋体" w:hAnsi="宋体" w:cs="宋体"/>
          <w:kern w:val="0"/>
          <w:szCs w:val="24"/>
          <w:highlight w:val="none"/>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highlight w:val="none"/>
        </w:rPr>
        <w:t>20</w:t>
      </w:r>
      <w:r>
        <w:rPr>
          <w:rFonts w:hint="eastAsia" w:ascii="宋体" w:hAnsi="宋体" w:cs="宋体"/>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highlight w:val="none"/>
        </w:rPr>
        <w:t>6</w:t>
      </w:r>
      <w:r>
        <w:rPr>
          <w:rFonts w:hint="eastAsia" w:ascii="宋体" w:hAnsi="宋体" w:cs="宋体"/>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highlight w:val="none"/>
        </w:rPr>
      </w:pPr>
      <w:r>
        <w:rPr>
          <w:rFonts w:hint="eastAsia" w:ascii="宋体" w:hAnsi="宋体" w:cs="宋体"/>
          <w:b/>
          <w:kern w:val="0"/>
          <w:sz w:val="24"/>
          <w:highlight w:val="none"/>
        </w:rPr>
        <w:t>3.5排序与推荐。</w:t>
      </w:r>
      <w:r>
        <w:rPr>
          <w:rFonts w:hint="eastAsia" w:ascii="宋体" w:hAnsi="宋体" w:cs="宋体"/>
          <w:kern w:val="0"/>
          <w:sz w:val="24"/>
          <w:highlight w:val="none"/>
        </w:rPr>
        <w:t>采用综合评分法的，评标结果按评审后得分由高到低顺序排列。得分相同的，按投标</w:t>
      </w:r>
      <w:r>
        <w:rPr>
          <w:rFonts w:hint="eastAsia" w:ascii="宋体" w:hAnsi="宋体" w:cs="宋体"/>
          <w:color w:val="auto"/>
          <w:kern w:val="0"/>
          <w:sz w:val="24"/>
          <w:highlight w:val="none"/>
        </w:rPr>
        <w:t>报价由低到高顺序排列。得分且投标报价相同的并列。投标文件满足招标文件全部实质性要求，且按照评审因素的量化指标评审得分最高的投标人为排名第一的中标候</w:t>
      </w:r>
      <w:r>
        <w:rPr>
          <w:rFonts w:hint="eastAsia" w:ascii="宋体" w:hAnsi="宋体" w:cs="宋体"/>
          <w:kern w:val="0"/>
          <w:sz w:val="24"/>
          <w:highlight w:val="none"/>
        </w:rPr>
        <w:t>选人。</w:t>
      </w:r>
    </w:p>
    <w:p>
      <w:pPr>
        <w:spacing w:line="360" w:lineRule="auto"/>
        <w:ind w:firstLine="480" w:firstLineChars="200"/>
        <w:rPr>
          <w:rFonts w:ascii="宋体" w:hAnsi="宋体" w:cs="宋体"/>
          <w:b/>
          <w:kern w:val="0"/>
          <w:sz w:val="24"/>
          <w:highlight w:val="none"/>
        </w:rPr>
      </w:pPr>
      <w:r>
        <w:rPr>
          <w:rFonts w:hint="eastAsia" w:ascii="宋体" w:hAnsi="宋体" w:cs="宋体"/>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highlight w:val="none"/>
        </w:rPr>
      </w:pPr>
      <w:r>
        <w:rPr>
          <w:rFonts w:hint="eastAsia" w:ascii="宋体" w:hAnsi="宋体" w:cs="宋体"/>
          <w:b/>
          <w:kern w:val="0"/>
          <w:sz w:val="24"/>
          <w:highlight w:val="none"/>
        </w:rPr>
        <w:t>3.6编写评标报告。</w:t>
      </w:r>
      <w:r>
        <w:rPr>
          <w:rFonts w:hint="eastAsia" w:ascii="宋体" w:hAnsi="宋体" w:cs="宋体"/>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highlight w:val="none"/>
        </w:rPr>
      </w:pPr>
      <w:r>
        <w:rPr>
          <w:rFonts w:hint="eastAsia" w:ascii="宋体" w:hAnsi="宋体" w:cs="宋体"/>
          <w:b/>
          <w:sz w:val="32"/>
          <w:highlight w:val="none"/>
        </w:rPr>
        <w:t>四、评标中的其他事项</w:t>
      </w:r>
    </w:p>
    <w:p>
      <w:pPr>
        <w:pStyle w:val="130"/>
        <w:spacing w:before="0"/>
        <w:ind w:firstLine="472" w:firstLineChars="196"/>
        <w:rPr>
          <w:rFonts w:ascii="宋体" w:hAnsi="宋体" w:cs="宋体"/>
          <w:kern w:val="0"/>
          <w:szCs w:val="24"/>
          <w:highlight w:val="none"/>
        </w:rPr>
      </w:pPr>
      <w:r>
        <w:rPr>
          <w:rFonts w:hint="eastAsia" w:ascii="宋体" w:hAnsi="宋体" w:cs="宋体"/>
          <w:b/>
          <w:kern w:val="0"/>
          <w:szCs w:val="24"/>
          <w:highlight w:val="none"/>
        </w:rPr>
        <w:t>4.1投标人澄清、说明或者补正。</w:t>
      </w:r>
      <w:r>
        <w:rPr>
          <w:rFonts w:hint="eastAsia" w:ascii="宋体" w:hAnsi="宋体" w:cs="宋体"/>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szCs w:val="21"/>
          <w:highlight w:val="none"/>
        </w:rPr>
      </w:pPr>
      <w:r>
        <w:rPr>
          <w:rFonts w:hint="eastAsia" w:cs="宋体"/>
          <w:b/>
          <w:kern w:val="0"/>
          <w:highlight w:val="none"/>
        </w:rPr>
        <w:t>4.2投标无效。</w:t>
      </w:r>
      <w:r>
        <w:rPr>
          <w:rFonts w:hint="eastAsia" w:cs="宋体"/>
          <w:szCs w:val="21"/>
          <w:highlight w:val="none"/>
        </w:rPr>
        <w:t>有下列情形之一的，投标无效：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4.2.2投标文件未按照招标文件要求签署、盖章的；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4.2.4投标文件含有采购人不能接受的附加条件的；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highlight w:val="none"/>
        </w:rPr>
      </w:pPr>
      <w:r>
        <w:rPr>
          <w:rFonts w:hint="eastAsia" w:ascii="宋体" w:hAnsi="宋体" w:cs="宋体"/>
          <w:kern w:val="0"/>
          <w:sz w:val="24"/>
          <w:highlight w:val="none"/>
        </w:rPr>
        <w:t xml:space="preserve">   4.2.6投标文件出现不是唯一的、有选择性投标报价的;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4.2.7投标报价超过招标文件中规定的预算金额或者最高限价的; 投标报价低于项目预算50%，未在报价文件中详细阐述不影响产品质量或者诚信履约的具体原因的；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4.2.9投标人对根据修正原则修正后的报价不确认的；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4.2.10投标人提供虚假材料投标的；</w:t>
      </w:r>
    </w:p>
    <w:p>
      <w:pPr>
        <w:spacing w:line="360" w:lineRule="auto"/>
        <w:ind w:firstLine="240" w:firstLineChars="100"/>
        <w:rPr>
          <w:rFonts w:ascii="宋体" w:hAnsi="宋体" w:cs="宋体"/>
          <w:kern w:val="0"/>
          <w:sz w:val="24"/>
          <w:highlight w:val="none"/>
        </w:rPr>
      </w:pPr>
      <w:r>
        <w:rPr>
          <w:rFonts w:hint="eastAsia" w:ascii="宋体" w:hAnsi="宋体" w:cs="宋体"/>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4.2.13投标人未提供样品或提供的样品不满足采购需求实质性条件的，投标无效；</w:t>
      </w:r>
    </w:p>
    <w:p>
      <w:pPr>
        <w:pStyle w:val="3"/>
        <w:ind w:left="862" w:leftChars="205"/>
        <w:rPr>
          <w:rFonts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4.2.14 投标文件不满足招标文件的其它实质性要求的；</w:t>
      </w:r>
    </w:p>
    <w:p>
      <w:pPr>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rPr>
        <w:t>4.2.15法律、法规、规章（适用本市的）及省级以上规范性文件（适用本市的）规定的其他无效情形。</w:t>
      </w:r>
    </w:p>
    <w:p>
      <w:pPr>
        <w:pStyle w:val="24"/>
        <w:snapToGrid w:val="0"/>
        <w:spacing w:line="360" w:lineRule="auto"/>
        <w:ind w:firstLine="472" w:firstLineChars="196"/>
        <w:rPr>
          <w:rFonts w:cs="宋体"/>
          <w:highlight w:val="none"/>
        </w:rPr>
      </w:pPr>
      <w:r>
        <w:rPr>
          <w:rFonts w:hint="eastAsia" w:cs="宋体"/>
          <w:b/>
          <w:highlight w:val="none"/>
        </w:rPr>
        <w:t>5.废标。</w:t>
      </w:r>
      <w:r>
        <w:rPr>
          <w:rFonts w:hint="eastAsia" w:cs="宋体"/>
          <w:highlight w:val="none"/>
        </w:rPr>
        <w:t>根据《中华人民共和国政府采购法》第三十六条之规定，在采购中，出现下列情形之一的，应予废标：</w:t>
      </w:r>
    </w:p>
    <w:p>
      <w:pPr>
        <w:pStyle w:val="24"/>
        <w:snapToGrid w:val="0"/>
        <w:spacing w:line="360" w:lineRule="auto"/>
        <w:rPr>
          <w:rFonts w:cs="宋体"/>
          <w:highlight w:val="none"/>
        </w:rPr>
      </w:pPr>
      <w:r>
        <w:rPr>
          <w:rFonts w:hint="eastAsia" w:cs="宋体"/>
          <w:highlight w:val="none"/>
        </w:rPr>
        <w:t>5.1符合专业条件的供应商或者对招标文件作实质响应的供应商不足3家的；</w:t>
      </w:r>
    </w:p>
    <w:p>
      <w:pPr>
        <w:pStyle w:val="24"/>
        <w:snapToGrid w:val="0"/>
        <w:spacing w:line="360" w:lineRule="auto"/>
        <w:rPr>
          <w:rFonts w:cs="宋体"/>
          <w:highlight w:val="none"/>
        </w:rPr>
      </w:pPr>
      <w:r>
        <w:rPr>
          <w:rFonts w:hint="eastAsia" w:cs="宋体"/>
          <w:highlight w:val="none"/>
        </w:rPr>
        <w:t>5.2出现影响采购公正的违法、违规行为的；</w:t>
      </w:r>
    </w:p>
    <w:p>
      <w:pPr>
        <w:pStyle w:val="24"/>
        <w:snapToGrid w:val="0"/>
        <w:spacing w:line="360" w:lineRule="auto"/>
        <w:rPr>
          <w:rFonts w:cs="宋体"/>
          <w:highlight w:val="none"/>
        </w:rPr>
      </w:pPr>
      <w:r>
        <w:rPr>
          <w:rFonts w:hint="eastAsia" w:cs="宋体"/>
          <w:highlight w:val="none"/>
        </w:rPr>
        <w:t>5.3投标人的报价均超过了采购预算，采购人不能支付的；</w:t>
      </w:r>
    </w:p>
    <w:p>
      <w:pPr>
        <w:pStyle w:val="24"/>
        <w:snapToGrid w:val="0"/>
        <w:spacing w:line="360" w:lineRule="auto"/>
        <w:rPr>
          <w:rFonts w:cs="宋体"/>
          <w:highlight w:val="none"/>
        </w:rPr>
      </w:pPr>
      <w:r>
        <w:rPr>
          <w:rFonts w:hint="eastAsia" w:cs="宋体"/>
          <w:highlight w:val="none"/>
        </w:rPr>
        <w:t>5.4因重大变故，采购任务取消的。</w:t>
      </w:r>
    </w:p>
    <w:p>
      <w:pPr>
        <w:pStyle w:val="24"/>
        <w:snapToGrid w:val="0"/>
        <w:spacing w:line="360" w:lineRule="auto"/>
        <w:rPr>
          <w:rFonts w:cs="宋体"/>
          <w:highlight w:val="none"/>
        </w:rPr>
      </w:pPr>
      <w:r>
        <w:rPr>
          <w:rFonts w:hint="eastAsia" w:cs="宋体"/>
          <w:highlight w:val="none"/>
        </w:rPr>
        <w:t>废标后，采购机构应当将废标理由通知所有投标人。</w:t>
      </w:r>
    </w:p>
    <w:p>
      <w:pPr>
        <w:pStyle w:val="24"/>
        <w:snapToGrid w:val="0"/>
        <w:spacing w:line="360" w:lineRule="auto"/>
        <w:ind w:firstLine="590" w:firstLineChars="245"/>
        <w:rPr>
          <w:rFonts w:cs="宋体"/>
          <w:highlight w:val="none"/>
        </w:rPr>
      </w:pPr>
      <w:r>
        <w:rPr>
          <w:rFonts w:hint="eastAsia" w:cs="宋体"/>
          <w:b/>
          <w:highlight w:val="none"/>
        </w:rPr>
        <w:t>6.修改招标文件，重新组织采购活动。</w:t>
      </w:r>
      <w:r>
        <w:rPr>
          <w:rFonts w:hint="eastAsia"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24"/>
        <w:snapToGrid w:val="0"/>
        <w:spacing w:line="360" w:lineRule="auto"/>
        <w:ind w:firstLine="482"/>
        <w:rPr>
          <w:rFonts w:cs="宋体"/>
          <w:highlight w:val="none"/>
        </w:rPr>
      </w:pPr>
      <w:r>
        <w:rPr>
          <w:rFonts w:hint="eastAsia" w:cs="宋体"/>
          <w:b/>
          <w:kern w:val="0"/>
          <w:highlight w:val="none"/>
        </w:rPr>
        <w:t>7.重新开展采购。</w:t>
      </w:r>
      <w:r>
        <w:rPr>
          <w:rFonts w:hint="eastAsia" w:cs="宋体"/>
          <w:highlight w:val="none"/>
        </w:rPr>
        <w:t>有政府采购法第七十一条、第七十二条规定的违法行为之一，影响或者可能影响中标结果的，依照下列规定处理：</w:t>
      </w:r>
    </w:p>
    <w:p>
      <w:pPr>
        <w:pStyle w:val="24"/>
        <w:snapToGrid w:val="0"/>
        <w:spacing w:line="360" w:lineRule="auto"/>
        <w:rPr>
          <w:rFonts w:cs="宋体"/>
          <w:highlight w:val="none"/>
        </w:rPr>
      </w:pPr>
      <w:r>
        <w:rPr>
          <w:rFonts w:hint="eastAsia" w:cs="宋体"/>
          <w:highlight w:val="none"/>
        </w:rPr>
        <w:t>7.1未确定中标供应商的，终止本次政府采购活动，重新开展政府采购活动。</w:t>
      </w:r>
    </w:p>
    <w:p>
      <w:pPr>
        <w:pStyle w:val="24"/>
        <w:snapToGrid w:val="0"/>
        <w:spacing w:line="360" w:lineRule="auto"/>
        <w:rPr>
          <w:rFonts w:cs="宋体"/>
          <w:highlight w:val="none"/>
        </w:rPr>
      </w:pPr>
      <w:r>
        <w:rPr>
          <w:rFonts w:hint="eastAsia" w:cs="宋体"/>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highlight w:val="none"/>
        </w:rPr>
      </w:pPr>
      <w:r>
        <w:rPr>
          <w:rFonts w:hint="eastAsia" w:cs="宋体"/>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highlight w:val="none"/>
        </w:rPr>
      </w:pPr>
      <w:r>
        <w:rPr>
          <w:rFonts w:hint="eastAsia" w:cs="宋体"/>
          <w:highlight w:val="none"/>
        </w:rPr>
        <w:t>7.4政府采购合同已经履行，给采购人、供应商造成损失的，由责任人承担赔偿责任。</w:t>
      </w:r>
    </w:p>
    <w:p>
      <w:pPr>
        <w:pStyle w:val="24"/>
        <w:snapToGrid w:val="0"/>
        <w:spacing w:line="360" w:lineRule="auto"/>
        <w:rPr>
          <w:rFonts w:cs="宋体"/>
          <w:highlight w:val="none"/>
        </w:rPr>
      </w:pPr>
      <w:r>
        <w:rPr>
          <w:rFonts w:hint="eastAsia" w:cs="宋体"/>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widowControl/>
        <w:adjustRightInd/>
        <w:jc w:val="left"/>
        <w:rPr>
          <w:rFonts w:ascii="宋体" w:hAnsi="宋体" w:cs="宋体"/>
          <w:b/>
          <w:sz w:val="36"/>
          <w:szCs w:val="36"/>
          <w:highlight w:val="none"/>
        </w:rPr>
      </w:pPr>
      <w:bookmarkStart w:id="427" w:name="第五部分"/>
      <w:bookmarkStart w:id="428" w:name="_Toc86217003"/>
      <w:r>
        <w:rPr>
          <w:rFonts w:ascii="宋体" w:hAnsi="宋体" w:cs="宋体"/>
          <w:b/>
          <w:sz w:val="36"/>
          <w:szCs w:val="36"/>
          <w:highlight w:val="none"/>
        </w:rPr>
        <w:br w:type="page"/>
      </w:r>
    </w:p>
    <w:p>
      <w:pPr>
        <w:spacing w:line="360" w:lineRule="auto"/>
        <w:ind w:left="720" w:leftChars="343" w:firstLine="1084" w:firstLineChars="300"/>
        <w:outlineLvl w:val="0"/>
        <w:rPr>
          <w:rFonts w:ascii="宋体" w:hAnsi="宋体" w:cs="宋体"/>
          <w:b/>
          <w:sz w:val="36"/>
          <w:szCs w:val="36"/>
          <w:highlight w:val="none"/>
        </w:rPr>
      </w:pPr>
      <w:r>
        <w:rPr>
          <w:rFonts w:hint="eastAsia" w:ascii="宋体" w:hAnsi="宋体" w:cs="宋体"/>
          <w:b/>
          <w:sz w:val="36"/>
          <w:szCs w:val="36"/>
          <w:highlight w:val="none"/>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2"/>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3"/>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9"/>
        <w:spacing w:before="120" w:line="22" w:lineRule="atLeast"/>
        <w:rPr>
          <w:rFonts w:ascii="宋体" w:hAnsi="宋体" w:eastAsia="宋体" w:cs="宋体"/>
          <w:szCs w:val="24"/>
        </w:rPr>
      </w:pPr>
    </w:p>
    <w:p>
      <w:pPr>
        <w:pStyle w:val="599"/>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rPr>
          <w:rFonts w:ascii="宋体" w:hAnsi="宋体" w:cs="宋体"/>
          <w:b/>
          <w:sz w:val="24"/>
        </w:rPr>
      </w:pPr>
    </w:p>
    <w:p>
      <w:pPr>
        <w:spacing w:line="560" w:lineRule="exact"/>
        <w:ind w:firstLine="480" w:firstLineChars="200"/>
        <w:rPr>
          <w:rFonts w:ascii="宋体" w:hAnsi="宋体"/>
          <w:color w:val="auto"/>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ascii="宋体" w:hAnsi="宋体"/>
          <w:color w:val="auto"/>
          <w:sz w:val="24"/>
          <w:u w:val="single"/>
          <w:lang w:val="zh-CN"/>
        </w:rPr>
        <w:t xml:space="preserve">  </w:t>
      </w:r>
      <w:r>
        <w:rPr>
          <w:rFonts w:hint="eastAsia" w:ascii="宋体" w:hAnsi="宋体"/>
          <w:color w:val="auto"/>
          <w:sz w:val="24"/>
          <w:lang w:val="zh-CN"/>
        </w:rPr>
        <w:t>日</w:t>
      </w:r>
      <w:r>
        <w:rPr>
          <w:rFonts w:hint="eastAsia" w:ascii="宋体" w:hAnsi="宋体"/>
          <w:color w:val="auto"/>
          <w:sz w:val="24"/>
        </w:rPr>
        <w:t>，</w:t>
      </w:r>
      <w:r>
        <w:rPr>
          <w:rFonts w:ascii="宋体" w:hAnsi="宋体"/>
          <w:color w:val="auto"/>
          <w:sz w:val="24"/>
          <w:u w:val="single"/>
        </w:rPr>
        <w:t xml:space="preserve">   </w:t>
      </w:r>
      <w:r>
        <w:rPr>
          <w:rFonts w:hint="eastAsia" w:ascii="宋体" w:hAnsi="宋体" w:cs="宋体"/>
          <w:color w:val="auto"/>
          <w:sz w:val="24"/>
          <w:u w:val="single"/>
          <w:lang w:eastAsia="zh-CN"/>
        </w:rPr>
        <w:t>杭州市数据资源管理局</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eastAsia="zh-CN"/>
        </w:rPr>
        <w:t>杭州市智慧电子政务外网（2024）项目</w:t>
      </w:r>
      <w:r>
        <w:rPr>
          <w:rFonts w:hint="eastAsia" w:ascii="宋体" w:hAnsi="宋体" w:cs="宋体"/>
          <w:color w:val="auto"/>
          <w:sz w:val="24"/>
          <w:highlight w:val="none"/>
          <w:u w:val="single"/>
          <w:lang w:eastAsia="zh-CN"/>
        </w:rPr>
        <w:t>HZZFCG-2024-081</w:t>
      </w:r>
      <w:r>
        <w:rPr>
          <w:rFonts w:hint="eastAsia" w:ascii="宋体" w:hAnsi="宋体" w:cs="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项目进行了采购。经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w:t>
      </w:r>
      <w:r>
        <w:rPr>
          <w:rFonts w:hint="eastAsia" w:ascii="宋体" w:hAnsi="宋体"/>
          <w:color w:val="auto"/>
          <w:sz w:val="24"/>
          <w:u w:val="single"/>
          <w:lang w:eastAsia="zh-CN"/>
        </w:rPr>
        <w:t>杭州市数据资源管理局</w:t>
      </w:r>
      <w:r>
        <w:rPr>
          <w:rFonts w:ascii="宋体" w:hAnsi="宋体"/>
          <w:color w:val="auto"/>
          <w:sz w:val="24"/>
          <w:u w:val="single"/>
        </w:rPr>
        <w:t xml:space="preserve">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lang w:val="en-US" w:eastAsia="zh-CN"/>
        </w:rPr>
        <w:t>标</w:t>
      </w:r>
      <w:r>
        <w:rPr>
          <w:rFonts w:hint="eastAsia" w:ascii="宋体" w:hAnsi="宋体"/>
          <w:color w:val="auto"/>
          <w:sz w:val="24"/>
          <w:u w:val="single"/>
        </w:rPr>
        <w:t>或者成交</w:t>
      </w:r>
      <w:r>
        <w:rPr>
          <w:rFonts w:ascii="宋体" w:hAnsi="宋体"/>
          <w:color w:val="auto"/>
          <w:sz w:val="24"/>
          <w:u w:val="single"/>
        </w:rPr>
        <w:t xml:space="preserve">供应商名称）   </w:t>
      </w:r>
      <w:r>
        <w:rPr>
          <w:rFonts w:ascii="宋体" w:hAnsi="宋体"/>
          <w:color w:val="auto"/>
          <w:sz w:val="24"/>
          <w:lang w:val="zh-CN"/>
        </w:rPr>
        <w:t>(以下简称：乙方)</w:t>
      </w:r>
      <w:r>
        <w:rPr>
          <w:rFonts w:ascii="宋体" w:hAnsi="宋体"/>
          <w:sz w:val="24"/>
          <w:lang w:val="zh-CN"/>
        </w:rPr>
        <w:t>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r>
        <w:rPr>
          <w:rFonts w:ascii="宋体" w:hAnsi="宋体"/>
          <w:b/>
          <w:sz w:val="24"/>
        </w:rPr>
        <w:t xml:space="preserve">1.1 </w:t>
      </w:r>
      <w:r>
        <w:rPr>
          <w:rFonts w:hint="eastAsia" w:ascii="宋体" w:hAnsi="宋体"/>
          <w:b/>
          <w:sz w:val="24"/>
        </w:rPr>
        <w:t>合同组成部分</w:t>
      </w:r>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r>
        <w:rPr>
          <w:rFonts w:ascii="宋体" w:hAnsi="宋体"/>
          <w:b/>
          <w:sz w:val="24"/>
        </w:rPr>
        <w:t xml:space="preserve">1.2 </w:t>
      </w:r>
      <w:r>
        <w:rPr>
          <w:rFonts w:hint="eastAsia" w:ascii="宋体" w:hAnsi="宋体"/>
          <w:b/>
          <w:sz w:val="24"/>
        </w:rPr>
        <w:t>标的</w:t>
      </w:r>
    </w:p>
    <w:p>
      <w:pPr>
        <w:spacing w:line="360" w:lineRule="auto"/>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360" w:lineRule="auto"/>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60"/>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否）涉及货物。若涉及货物的，则：</w:t>
      </w:r>
    </w:p>
    <w:p>
      <w:pPr>
        <w:spacing w:line="360" w:lineRule="auto"/>
        <w:ind w:firstLine="480" w:firstLineChars="200"/>
        <w:rPr>
          <w:rFonts w:ascii="宋体" w:hAnsi="宋体" w:cs="宋体"/>
          <w:sz w:val="24"/>
          <w:u w:val="single"/>
        </w:rPr>
      </w:pPr>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b/>
          <w:i/>
          <w:sz w:val="24"/>
          <w:u w:val="single"/>
        </w:rPr>
        <w:t>合同专用条款</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jc w:val="center"/>
              <w:rPr>
                <w:rFonts w:hAnsi="宋体"/>
                <w:sz w:val="24"/>
                <w:szCs w:val="24"/>
              </w:rPr>
            </w:pPr>
            <w:r>
              <w:rPr>
                <w:rFonts w:hAnsi="宋体"/>
                <w:sz w:val="24"/>
                <w:szCs w:val="24"/>
              </w:rPr>
              <w:t>序号</w:t>
            </w:r>
          </w:p>
        </w:tc>
        <w:tc>
          <w:tcPr>
            <w:tcW w:w="3402" w:type="dxa"/>
            <w:vAlign w:val="center"/>
          </w:tcPr>
          <w:p>
            <w:pPr>
              <w:pStyle w:val="320"/>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20"/>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sz w:val="24"/>
                <w:szCs w:val="24"/>
              </w:rPr>
            </w:pPr>
          </w:p>
        </w:tc>
        <w:tc>
          <w:tcPr>
            <w:tcW w:w="3402" w:type="dxa"/>
            <w:vAlign w:val="center"/>
          </w:tcPr>
          <w:p>
            <w:pPr>
              <w:pStyle w:val="320"/>
              <w:spacing w:line="560" w:lineRule="exact"/>
              <w:ind w:firstLine="200"/>
              <w:jc w:val="center"/>
              <w:rPr>
                <w:rFonts w:hAnsi="宋体"/>
                <w:sz w:val="24"/>
                <w:szCs w:val="24"/>
              </w:rPr>
            </w:pPr>
          </w:p>
        </w:tc>
        <w:tc>
          <w:tcPr>
            <w:tcW w:w="2552" w:type="dxa"/>
            <w:vAlign w:val="center"/>
          </w:tcPr>
          <w:p>
            <w:pPr>
              <w:pStyle w:val="320"/>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sz w:val="24"/>
                <w:szCs w:val="24"/>
              </w:rPr>
            </w:pPr>
          </w:p>
        </w:tc>
        <w:tc>
          <w:tcPr>
            <w:tcW w:w="3402" w:type="dxa"/>
            <w:vAlign w:val="center"/>
          </w:tcPr>
          <w:p>
            <w:pPr>
              <w:pStyle w:val="320"/>
              <w:spacing w:line="560" w:lineRule="exact"/>
              <w:ind w:firstLine="200"/>
              <w:jc w:val="center"/>
              <w:rPr>
                <w:rFonts w:hAnsi="宋体"/>
                <w:sz w:val="24"/>
                <w:szCs w:val="24"/>
              </w:rPr>
            </w:pPr>
          </w:p>
        </w:tc>
        <w:tc>
          <w:tcPr>
            <w:tcW w:w="2552" w:type="dxa"/>
            <w:vAlign w:val="center"/>
          </w:tcPr>
          <w:p>
            <w:pPr>
              <w:pStyle w:val="320"/>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sz w:val="24"/>
                <w:szCs w:val="24"/>
              </w:rPr>
            </w:pPr>
          </w:p>
        </w:tc>
        <w:tc>
          <w:tcPr>
            <w:tcW w:w="3402" w:type="dxa"/>
            <w:vAlign w:val="center"/>
          </w:tcPr>
          <w:p>
            <w:pPr>
              <w:pStyle w:val="320"/>
              <w:spacing w:line="560" w:lineRule="exact"/>
              <w:ind w:firstLine="200"/>
              <w:jc w:val="center"/>
              <w:rPr>
                <w:rFonts w:hAnsi="宋体"/>
                <w:sz w:val="24"/>
                <w:szCs w:val="24"/>
              </w:rPr>
            </w:pPr>
          </w:p>
        </w:tc>
        <w:tc>
          <w:tcPr>
            <w:tcW w:w="2552" w:type="dxa"/>
            <w:vAlign w:val="center"/>
          </w:tcPr>
          <w:p>
            <w:pPr>
              <w:pStyle w:val="320"/>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20"/>
              <w:spacing w:line="560" w:lineRule="exact"/>
              <w:ind w:firstLine="200"/>
              <w:jc w:val="center"/>
              <w:rPr>
                <w:rFonts w:hAnsi="宋体"/>
                <w:sz w:val="24"/>
                <w:szCs w:val="24"/>
              </w:rPr>
            </w:pPr>
          </w:p>
        </w:tc>
        <w:tc>
          <w:tcPr>
            <w:tcW w:w="3402" w:type="dxa"/>
            <w:vAlign w:val="center"/>
          </w:tcPr>
          <w:p>
            <w:pPr>
              <w:pStyle w:val="320"/>
              <w:spacing w:line="560" w:lineRule="exact"/>
              <w:ind w:firstLine="200"/>
              <w:jc w:val="center"/>
              <w:rPr>
                <w:rFonts w:hAnsi="宋体"/>
                <w:sz w:val="24"/>
                <w:szCs w:val="24"/>
              </w:rPr>
            </w:pPr>
          </w:p>
        </w:tc>
        <w:tc>
          <w:tcPr>
            <w:tcW w:w="2552" w:type="dxa"/>
            <w:vAlign w:val="center"/>
          </w:tcPr>
          <w:p>
            <w:pPr>
              <w:pStyle w:val="320"/>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20"/>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20"/>
              <w:spacing w:line="560" w:lineRule="exact"/>
              <w:ind w:firstLine="200"/>
              <w:jc w:val="center"/>
              <w:rPr>
                <w:rFonts w:hAnsi="宋体"/>
                <w:sz w:val="24"/>
                <w:szCs w:val="24"/>
              </w:rPr>
            </w:pPr>
          </w:p>
        </w:tc>
      </w:tr>
    </w:tbl>
    <w:p>
      <w:pPr>
        <w:spacing w:line="560" w:lineRule="exact"/>
        <w:ind w:firstLine="480" w:firstLineChars="200"/>
        <w:rPr>
          <w:rFonts w:hint="eastAsia" w:ascii="宋体" w:hAnsi="宋体"/>
          <w:sz w:val="24"/>
        </w:rPr>
      </w:pPr>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79"/>
        <w:spacing w:after="313" w:afterLines="100"/>
        <w:rPr>
          <w:lang w:val="en-US"/>
        </w:rPr>
      </w:pP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p>
      <w:pPr>
        <w:pStyle w:val="960"/>
        <w:spacing w:before="0" w:beforeAutospacing="0" w:after="313" w:afterLines="100" w:afterAutospacing="0" w:line="360" w:lineRule="auto"/>
        <w:ind w:firstLine="480"/>
        <w:rPr>
          <w:b/>
        </w:rPr>
      </w:pPr>
      <w:bookmarkStart w:id="429" w:name="_Toc22618"/>
      <w:bookmarkStart w:id="430" w:name="_Toc1814"/>
      <w:bookmarkStart w:id="431" w:name="_Toc10340"/>
      <w:r>
        <w:rPr>
          <w:rFonts w:hint="eastAsia"/>
          <w:b/>
        </w:rPr>
        <w:t>1.4履约保证金</w:t>
      </w:r>
    </w:p>
    <w:p>
      <w:pPr>
        <w:pStyle w:val="960"/>
        <w:spacing w:before="0" w:beforeAutospacing="0" w:after="0" w:afterAutospacing="0" w:line="360" w:lineRule="auto"/>
        <w:ind w:firstLine="480"/>
      </w:pPr>
      <w:r>
        <w:rPr>
          <w:rFonts w:hint="eastAsia"/>
        </w:rPr>
        <w:t>乙方</w:t>
      </w:r>
      <w:r>
        <w:rPr>
          <w:rFonts w:hint="eastAsia"/>
          <w:u w:val="single"/>
        </w:rPr>
        <w:t xml:space="preserve">  </w:t>
      </w:r>
      <w:r>
        <w:rPr>
          <w:rFonts w:hint="eastAsia" w:ascii="宋体" w:hAnsi="宋体" w:cs="宋体"/>
          <w:b/>
          <w:i/>
          <w:sz w:val="24"/>
          <w:u w:val="single"/>
        </w:rPr>
        <w:t>合同专用条款</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3"/>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lang w:val="en-US" w:eastAsia="zh-CN"/>
        </w:rPr>
        <w:t>5</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29"/>
      <w:bookmarkEnd w:id="430"/>
      <w:bookmarkEnd w:id="431"/>
      <w:r>
        <w:rPr>
          <w:rFonts w:hint="eastAsia" w:ascii="宋体" w:hAnsi="宋体" w:cs="宋体"/>
          <w:b/>
          <w:sz w:val="24"/>
        </w:rPr>
        <w:t>预付款</w:t>
      </w:r>
    </w:p>
    <w:p>
      <w:pPr>
        <w:pStyle w:val="960"/>
        <w:spacing w:before="0" w:beforeAutospacing="0" w:after="0" w:afterAutospacing="0" w:line="360" w:lineRule="auto"/>
        <w:ind w:firstLine="480"/>
      </w:pPr>
      <w:r>
        <w:rPr>
          <w:rFonts w:hint="eastAsia"/>
        </w:rPr>
        <w:t>甲方</w:t>
      </w:r>
      <w:r>
        <w:rPr>
          <w:rFonts w:hint="eastAsia"/>
          <w:u w:val="single"/>
        </w:rPr>
        <w:t xml:space="preserve">  </w:t>
      </w:r>
      <w:r>
        <w:rPr>
          <w:rFonts w:hint="eastAsia" w:ascii="宋体" w:hAnsi="宋体" w:cs="宋体"/>
          <w:b/>
          <w:i/>
          <w:sz w:val="24"/>
          <w:u w:val="single"/>
        </w:rPr>
        <w:t>合同专用条款</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60"/>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60"/>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60"/>
        <w:spacing w:before="0" w:beforeAutospacing="0" w:after="0" w:afterAutospacing="0" w:line="360" w:lineRule="auto"/>
        <w:ind w:firstLine="480"/>
        <w:rPr>
          <w:b/>
          <w:bCs/>
        </w:rPr>
      </w:pPr>
      <w:r>
        <w:rPr>
          <w:rFonts w:hint="eastAsia"/>
          <w:b/>
          <w:bCs/>
        </w:rPr>
        <w:t>1.6资金支付</w:t>
      </w:r>
    </w:p>
    <w:p>
      <w:pPr>
        <w:pStyle w:val="960"/>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hint="eastAsia" w:ascii="宋体" w:hAnsi="宋体" w:cs="宋体"/>
          <w:color w:val="0000FF"/>
          <w:kern w:val="0"/>
          <w:sz w:val="24"/>
          <w:u w:val="single"/>
          <w:lang w:val="en-US" w:eastAsia="zh-CN"/>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3"/>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0.05</w:t>
      </w:r>
      <w:r>
        <w:rPr>
          <w:rFonts w:hint="eastAsia" w:ascii="宋体" w:hAnsi="宋体" w:eastAsia="宋体" w:cs="宋体"/>
          <w:b w:val="0"/>
          <w:bCs w:val="0"/>
          <w:color w:val="0000FF"/>
          <w:sz w:val="24"/>
          <w:szCs w:val="24"/>
          <w:u w:val="single"/>
          <w:lang w:val="en-US"/>
        </w:rPr>
        <w:t xml:space="preserve">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2" w:firstLineChars="200"/>
        <w:outlineLvl w:val="0"/>
        <w:rPr>
          <w:rFonts w:ascii="宋体" w:hAnsi="宋体" w:cs="宋体"/>
          <w:b/>
          <w:sz w:val="24"/>
        </w:rPr>
      </w:pPr>
      <w:bookmarkStart w:id="432" w:name="_Toc28375"/>
      <w:bookmarkStart w:id="433" w:name="_Toc15583"/>
      <w:bookmarkStart w:id="434" w:name="_Toc16021"/>
      <w:r>
        <w:rPr>
          <w:rFonts w:hint="eastAsia" w:ascii="宋体" w:hAnsi="宋体" w:cs="宋体"/>
          <w:b/>
          <w:sz w:val="24"/>
        </w:rPr>
        <w:t>1.9合同争议的解决</w:t>
      </w:r>
      <w:bookmarkEnd w:id="432"/>
      <w:bookmarkEnd w:id="433"/>
      <w:bookmarkEnd w:id="434"/>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合同专用条款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35" w:name="_Toc15322"/>
      <w:bookmarkStart w:id="436" w:name="_Toc11173"/>
      <w:bookmarkStart w:id="437" w:name="_Toc7245"/>
      <w:r>
        <w:rPr>
          <w:rFonts w:hint="eastAsia" w:ascii="宋体" w:hAnsi="宋体" w:cs="宋体"/>
          <w:b/>
          <w:sz w:val="24"/>
          <w:lang w:val="en-US" w:eastAsia="zh-CN"/>
        </w:rPr>
        <w:t>1</w:t>
      </w:r>
      <w:r>
        <w:rPr>
          <w:rFonts w:hint="eastAsia" w:ascii="宋体" w:hAnsi="宋体" w:cs="宋体"/>
          <w:b/>
          <w:sz w:val="24"/>
        </w:rPr>
        <w:t>.</w:t>
      </w:r>
      <w:r>
        <w:rPr>
          <w:rFonts w:hint="eastAsia" w:ascii="宋体" w:hAnsi="宋体" w:cs="宋体"/>
          <w:b/>
          <w:sz w:val="24"/>
          <w:lang w:val="en-US" w:eastAsia="zh-CN"/>
        </w:rPr>
        <w:t>10</w:t>
      </w:r>
      <w:r>
        <w:rPr>
          <w:rFonts w:hint="eastAsia" w:ascii="宋体" w:hAnsi="宋体" w:cs="宋体"/>
          <w:b/>
          <w:sz w:val="24"/>
        </w:rPr>
        <w:t xml:space="preserve"> 合同生效</w:t>
      </w:r>
      <w:bookmarkEnd w:id="435"/>
      <w:bookmarkEnd w:id="436"/>
      <w:bookmarkEnd w:id="437"/>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adjustRightInd/>
        <w:jc w:val="left"/>
        <w:rPr>
          <w:rFonts w:ascii="宋体" w:hAnsi="宋体"/>
          <w:b/>
          <w:sz w:val="24"/>
        </w:rPr>
      </w:pPr>
      <w:r>
        <w:rPr>
          <w:rFonts w:ascii="宋体" w:hAnsi="宋体"/>
          <w:b/>
        </w:rPr>
        <w:br w:type="page"/>
      </w:r>
    </w:p>
    <w:p>
      <w:pPr>
        <w:pStyle w:val="702"/>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r>
        <w:rPr>
          <w:rFonts w:ascii="宋体" w:hAnsi="宋体"/>
          <w:b/>
          <w:sz w:val="24"/>
        </w:rPr>
        <w:t>2.1 定义</w:t>
      </w:r>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r>
        <w:rPr>
          <w:rFonts w:ascii="宋体" w:hAnsi="宋体"/>
          <w:b/>
          <w:sz w:val="24"/>
        </w:rPr>
        <w:t>2.2 技术规范</w:t>
      </w:r>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r>
        <w:rPr>
          <w:rFonts w:ascii="宋体" w:hAnsi="宋体"/>
          <w:b/>
          <w:sz w:val="24"/>
        </w:rPr>
        <w:t>2.3 知识产权</w:t>
      </w:r>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r>
        <w:rPr>
          <w:rFonts w:ascii="宋体" w:hAnsi="宋体"/>
          <w:b/>
          <w:sz w:val="24"/>
        </w:rPr>
        <w:t>2.5 结算方式和付款条件</w:t>
      </w:r>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r>
        <w:rPr>
          <w:rFonts w:ascii="宋体" w:hAnsi="宋体"/>
          <w:b/>
          <w:sz w:val="24"/>
        </w:rPr>
        <w:t>2.6 技术资料和保密义务</w:t>
      </w:r>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r>
        <w:rPr>
          <w:rFonts w:ascii="宋体" w:hAnsi="宋体"/>
          <w:b/>
          <w:sz w:val="24"/>
        </w:rPr>
        <w:t xml:space="preserve">2.7 </w:t>
      </w:r>
      <w:r>
        <w:rPr>
          <w:rFonts w:hint="eastAsia" w:ascii="宋体" w:hAnsi="宋体"/>
          <w:b/>
          <w:sz w:val="24"/>
        </w:rPr>
        <w:t>质量保证</w:t>
      </w:r>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r>
        <w:rPr>
          <w:rFonts w:ascii="宋体" w:hAnsi="宋体"/>
          <w:b/>
          <w:sz w:val="24"/>
        </w:rPr>
        <w:t xml:space="preserve">2.8 </w:t>
      </w:r>
      <w:r>
        <w:rPr>
          <w:rFonts w:hint="eastAsia" w:ascii="宋体" w:hAnsi="宋体"/>
          <w:b/>
          <w:sz w:val="24"/>
        </w:rPr>
        <w:t>延迟履行</w:t>
      </w:r>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r>
        <w:rPr>
          <w:rFonts w:ascii="宋体" w:hAnsi="宋体"/>
          <w:b/>
          <w:sz w:val="24"/>
        </w:rPr>
        <w:t xml:space="preserve">2.9 </w:t>
      </w:r>
      <w:r>
        <w:rPr>
          <w:rFonts w:hint="eastAsia" w:ascii="宋体" w:hAnsi="宋体"/>
          <w:b/>
          <w:sz w:val="24"/>
        </w:rPr>
        <w:t>合同变更</w:t>
      </w:r>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r>
        <w:rPr>
          <w:rFonts w:ascii="宋体" w:hAnsi="宋体"/>
          <w:b/>
          <w:sz w:val="24"/>
        </w:rPr>
        <w:t>2.10 合同转让和分包</w:t>
      </w:r>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lang w:val="en-US" w:eastAsia="zh-CN"/>
        </w:rPr>
        <w:t>书面</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r>
        <w:rPr>
          <w:rFonts w:ascii="宋体" w:hAnsi="宋体"/>
          <w:b/>
          <w:sz w:val="24"/>
        </w:rPr>
        <w:t>2.11 不可抗力</w:t>
      </w:r>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r>
        <w:rPr>
          <w:rFonts w:ascii="宋体" w:hAnsi="宋体"/>
          <w:b/>
          <w:sz w:val="24"/>
        </w:rPr>
        <w:t>2.12 税费</w:t>
      </w:r>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r>
        <w:rPr>
          <w:rFonts w:ascii="宋体" w:hAnsi="宋体"/>
          <w:b/>
          <w:sz w:val="24"/>
        </w:rPr>
        <w:t>2.13 乙方破产</w:t>
      </w:r>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r>
        <w:rPr>
          <w:rFonts w:ascii="宋体" w:hAnsi="宋体"/>
          <w:b/>
          <w:sz w:val="24"/>
        </w:rPr>
        <w:t>2.14 合同中止、终止</w:t>
      </w:r>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r>
        <w:rPr>
          <w:rFonts w:ascii="宋体" w:hAnsi="宋体"/>
          <w:b/>
          <w:sz w:val="24"/>
        </w:rPr>
        <w:t>2.15 检验和验收</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r>
        <w:rPr>
          <w:rFonts w:ascii="宋体" w:hAnsi="宋体"/>
          <w:b/>
          <w:sz w:val="24"/>
        </w:rPr>
        <w:t>2.16 通知和送达</w:t>
      </w:r>
    </w:p>
    <w:p>
      <w:pPr>
        <w:spacing w:line="560" w:lineRule="exact"/>
        <w:ind w:firstLine="480" w:firstLineChars="200"/>
        <w:rPr>
          <w:rFonts w:ascii="宋体" w:hAnsi="宋体"/>
          <w:sz w:val="24"/>
        </w:rPr>
      </w:pPr>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p>
    <w:p>
      <w:pPr>
        <w:spacing w:line="560" w:lineRule="exact"/>
        <w:ind w:firstLine="482" w:firstLineChars="200"/>
        <w:outlineLvl w:val="0"/>
        <w:rPr>
          <w:rFonts w:ascii="宋体" w:hAnsi="宋体"/>
          <w:b/>
          <w:sz w:val="24"/>
        </w:rPr>
      </w:pPr>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438" w:name="_Toc30599"/>
      <w:bookmarkStart w:id="439" w:name="_Toc4355"/>
      <w:bookmarkStart w:id="440" w:name="_Toc18540"/>
      <w:r>
        <w:rPr>
          <w:rFonts w:hint="eastAsia" w:ascii="宋体" w:hAnsi="宋体" w:cs="宋体"/>
          <w:b/>
          <w:sz w:val="24"/>
        </w:rPr>
        <w:t>2.18 计量单位</w:t>
      </w:r>
      <w:bookmarkEnd w:id="438"/>
      <w:bookmarkEnd w:id="439"/>
      <w:bookmarkEnd w:id="440"/>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r>
        <w:rPr>
          <w:rFonts w:hint="eastAsia" w:ascii="宋体" w:hAnsi="宋体" w:cs="宋体"/>
          <w:b/>
          <w:sz w:val="24"/>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580" w:lineRule="exact"/>
              <w:jc w:val="center"/>
              <w:rPr>
                <w:rFonts w:ascii="宋体" w:hAnsi="宋体" w:cs="宋体"/>
                <w:b/>
                <w:sz w:val="24"/>
              </w:rPr>
            </w:pPr>
            <w:r>
              <w:rPr>
                <w:rFonts w:hint="eastAsia" w:ascii="宋体" w:hAnsi="宋体" w:cs="宋体"/>
                <w:b/>
                <w:sz w:val="24"/>
              </w:rPr>
              <w:t>条款号</w:t>
            </w:r>
          </w:p>
        </w:tc>
        <w:tc>
          <w:tcPr>
            <w:tcW w:w="4464" w:type="pct"/>
            <w:vAlign w:val="center"/>
          </w:tcPr>
          <w:p>
            <w:pPr>
              <w:spacing w:line="580" w:lineRule="exact"/>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580" w:lineRule="exact"/>
              <w:rPr>
                <w:rFonts w:ascii="宋体" w:hAnsi="宋体" w:cs="宋体"/>
                <w:b/>
                <w:sz w:val="24"/>
              </w:rPr>
            </w:pPr>
            <w:r>
              <w:rPr>
                <w:rFonts w:hint="eastAsia" w:ascii="宋体" w:hAnsi="宋体" w:cs="宋体"/>
                <w:bCs/>
                <w:sz w:val="24"/>
              </w:rPr>
              <w:t>1.3</w:t>
            </w:r>
          </w:p>
        </w:tc>
        <w:tc>
          <w:tcPr>
            <w:tcW w:w="4464" w:type="pct"/>
            <w:vAlign w:val="center"/>
          </w:tcPr>
          <w:p>
            <w:pPr>
              <w:spacing w:line="580" w:lineRule="exact"/>
              <w:rPr>
                <w:rFonts w:ascii="宋体" w:hAnsi="宋体" w:cs="宋体"/>
                <w:b/>
                <w:sz w:val="24"/>
              </w:rPr>
            </w:pPr>
            <w:r>
              <w:rPr>
                <w:rFonts w:hint="eastAsia" w:ascii="宋体" w:hAnsi="宋体" w:cs="宋体"/>
                <w:sz w:val="24"/>
              </w:rPr>
              <w:t>本项目采用以下第</w:t>
            </w:r>
            <w:r>
              <w:rPr>
                <w:rFonts w:hint="eastAsia" w:ascii="宋体" w:hAnsi="宋体" w:cs="宋体"/>
                <w:sz w:val="24"/>
                <w:u w:val="single"/>
              </w:rPr>
              <w:t xml:space="preserve">  1  </w:t>
            </w:r>
            <w:r>
              <w:rPr>
                <w:rFonts w:hint="eastAsia" w:ascii="宋体" w:hAnsi="宋体" w:cs="宋体"/>
                <w:sz w:val="24"/>
              </w:rPr>
              <w:t>条款规定的计价方式计价。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1.3.1</w:t>
            </w:r>
          </w:p>
        </w:tc>
        <w:tc>
          <w:tcPr>
            <w:tcW w:w="4464" w:type="pct"/>
            <w:vAlign w:val="center"/>
          </w:tcPr>
          <w:p>
            <w:pPr>
              <w:pStyle w:val="23"/>
              <w:rPr>
                <w:snapToGrid/>
              </w:rPr>
            </w:pPr>
            <w:r>
              <w:rPr>
                <w:rFonts w:hint="eastAsia"/>
                <w:snapToGrid/>
              </w:rPr>
              <w:t>本次项目合同金额为大写人民币  整（￥  元），采用分期付款方式，具体如下：</w:t>
            </w:r>
          </w:p>
          <w:p>
            <w:pPr>
              <w:pStyle w:val="23"/>
              <w:rPr>
                <w:snapToGrid/>
              </w:rPr>
            </w:pPr>
            <w:r>
              <w:rPr>
                <w:rFonts w:hint="eastAsia"/>
                <w:snapToGrid/>
              </w:rPr>
              <w:t>第一期付款：合同签订后，甲方在5个工作日内支付项目合同金额的45%，计人民币    整（￥     元）。</w:t>
            </w:r>
          </w:p>
          <w:p>
            <w:pPr>
              <w:pStyle w:val="23"/>
              <w:rPr>
                <w:snapToGrid/>
              </w:rPr>
            </w:pPr>
            <w:r>
              <w:rPr>
                <w:rFonts w:hint="eastAsia"/>
                <w:snapToGrid/>
              </w:rPr>
              <w:t>第二期付款：完成项目阶段性验收后，甲方收到乙方提供的增值税普通发票后5个工作日内支付项目合同金额的20%，计人民币  整（￥      元）。</w:t>
            </w:r>
          </w:p>
          <w:p>
            <w:pPr>
              <w:pStyle w:val="23"/>
              <w:rPr>
                <w:snapToGrid/>
              </w:rPr>
            </w:pPr>
            <w:r>
              <w:rPr>
                <w:rFonts w:hint="eastAsia"/>
                <w:snapToGrid/>
              </w:rPr>
              <w:t>第三期付款：完成项目终验后，甲方收到乙方提供的增值税普通发票后5个工作日支付项目合同金额的35%，计人民币      整（￥    元）。</w:t>
            </w:r>
          </w:p>
          <w:p>
            <w:pPr>
              <w:spacing w:line="580" w:lineRule="exact"/>
              <w:rPr>
                <w:rFonts w:ascii="宋体" w:hAnsi="宋体" w:cs="宋体"/>
                <w:sz w:val="24"/>
              </w:rPr>
            </w:pPr>
            <w:r>
              <w:rPr>
                <w:rFonts w:hint="eastAsia" w:hAnsi="宋体"/>
                <w:sz w:val="24"/>
              </w:rPr>
              <w:t>甲方无故逾期支付服务费用的，按照每逾期一日支付本期应支付服务费额度的5‰承担违约责任。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1.4</w:t>
            </w:r>
          </w:p>
        </w:tc>
        <w:tc>
          <w:tcPr>
            <w:tcW w:w="4464" w:type="pct"/>
            <w:vAlign w:val="center"/>
          </w:tcPr>
          <w:p>
            <w:pPr>
              <w:spacing w:line="580" w:lineRule="exact"/>
              <w:rPr>
                <w:rFonts w:ascii="宋体" w:hAnsi="宋体" w:cs="宋体"/>
                <w:sz w:val="24"/>
              </w:rPr>
            </w:pPr>
            <w:r>
              <w:rPr>
                <w:rFonts w:hint="eastAsia"/>
                <w:sz w:val="24"/>
              </w:rPr>
              <w:t>乙方</w:t>
            </w:r>
            <w:r>
              <w:rPr>
                <w:rFonts w:hint="eastAsia"/>
                <w:sz w:val="24"/>
                <w:u w:val="single"/>
              </w:rPr>
              <w:t xml:space="preserve">  否  </w:t>
            </w:r>
            <w:r>
              <w:rPr>
                <w:rFonts w:hint="eastAsia"/>
                <w:sz w:val="24"/>
              </w:rPr>
              <w:t>（是</w:t>
            </w:r>
            <w:r>
              <w:rPr>
                <w:rFonts w:hint="eastAsia" w:ascii="仿宋" w:hAnsi="仿宋" w:eastAsia="仿宋" w:cs="仿宋"/>
                <w:sz w:val="24"/>
              </w:rPr>
              <w:t>/</w:t>
            </w:r>
            <w:r>
              <w:rPr>
                <w:rFonts w:hint="eastAsia"/>
                <w:sz w:val="24"/>
              </w:rPr>
              <w:t>否）需要支付履约保证金。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1.4.1</w:t>
            </w:r>
          </w:p>
        </w:tc>
        <w:tc>
          <w:tcPr>
            <w:tcW w:w="4464" w:type="pct"/>
            <w:vAlign w:val="center"/>
          </w:tcPr>
          <w:p>
            <w:pPr>
              <w:spacing w:line="580" w:lineRule="exact"/>
              <w:rPr>
                <w:sz w:val="24"/>
              </w:rPr>
            </w:pPr>
            <w:r>
              <w:rPr>
                <w:rFonts w:hint="eastAsia" w:ascii="宋体" w:hAnsi="宋体" w:cs="宋体"/>
                <w:kern w:val="0"/>
                <w:sz w:val="24"/>
              </w:rPr>
              <w:t>履约保证金的比例为合同金额的</w:t>
            </w:r>
            <w:r>
              <w:rPr>
                <w:rFonts w:hint="eastAsia" w:ascii="宋体" w:hAnsi="宋体" w:cs="宋体"/>
                <w:kern w:val="0"/>
                <w:sz w:val="24"/>
                <w:u w:val="single"/>
              </w:rPr>
              <w:t xml:space="preserve">  /  </w:t>
            </w:r>
            <w:r>
              <w:rPr>
                <w:rFonts w:hint="eastAsia" w:ascii="宋体" w:hAnsi="宋体" w:cs="宋体"/>
                <w:kern w:val="0"/>
                <w:sz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1.4.2</w:t>
            </w:r>
          </w:p>
        </w:tc>
        <w:tc>
          <w:tcPr>
            <w:tcW w:w="4464" w:type="pct"/>
            <w:vAlign w:val="center"/>
          </w:tcPr>
          <w:p>
            <w:pPr>
              <w:spacing w:line="580" w:lineRule="exact"/>
              <w:rPr>
                <w:rFonts w:hint="default"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1.5</w:t>
            </w:r>
          </w:p>
        </w:tc>
        <w:tc>
          <w:tcPr>
            <w:tcW w:w="4464" w:type="pct"/>
            <w:vAlign w:val="center"/>
          </w:tcPr>
          <w:p>
            <w:pPr>
              <w:spacing w:line="580" w:lineRule="exact"/>
              <w:rPr>
                <w:rFonts w:ascii="宋体" w:hAnsi="宋体" w:cs="宋体"/>
                <w:sz w:val="24"/>
              </w:rPr>
            </w:pPr>
            <w:r>
              <w:rPr>
                <w:rFonts w:hint="eastAsia"/>
                <w:sz w:val="24"/>
              </w:rPr>
              <w:t>甲方</w:t>
            </w:r>
            <w:r>
              <w:rPr>
                <w:rFonts w:hint="eastAsia"/>
                <w:sz w:val="24"/>
                <w:u w:val="single"/>
              </w:rPr>
              <w:t xml:space="preserve">   否  </w:t>
            </w:r>
            <w:r>
              <w:rPr>
                <w:rFonts w:hint="eastAsia"/>
                <w:sz w:val="24"/>
              </w:rPr>
              <w:t>（是</w:t>
            </w:r>
            <w:r>
              <w:rPr>
                <w:rFonts w:hint="eastAsia" w:ascii="仿宋" w:hAnsi="仿宋" w:eastAsia="仿宋" w:cs="仿宋"/>
                <w:sz w:val="24"/>
              </w:rPr>
              <w:t>/</w:t>
            </w:r>
            <w:r>
              <w:rPr>
                <w:rFonts w:hint="eastAsia"/>
                <w:sz w:val="24"/>
              </w:rPr>
              <w:t>否）需要支付预付款。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 xml:space="preserve">1.5.1 </w:t>
            </w:r>
          </w:p>
        </w:tc>
        <w:tc>
          <w:tcPr>
            <w:tcW w:w="4464" w:type="pct"/>
            <w:vAlign w:val="center"/>
          </w:tcPr>
          <w:p>
            <w:pPr>
              <w:spacing w:line="580" w:lineRule="exact"/>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1.5.2</w:t>
            </w:r>
          </w:p>
        </w:tc>
        <w:tc>
          <w:tcPr>
            <w:tcW w:w="4464" w:type="pct"/>
            <w:vAlign w:val="center"/>
          </w:tcPr>
          <w:p>
            <w:pPr>
              <w:spacing w:line="580" w:lineRule="exact"/>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 xml:space="preserve">1.5.3 </w:t>
            </w:r>
          </w:p>
        </w:tc>
        <w:tc>
          <w:tcPr>
            <w:tcW w:w="4464" w:type="pct"/>
            <w:vAlign w:val="center"/>
          </w:tcPr>
          <w:p>
            <w:pPr>
              <w:spacing w:line="580" w:lineRule="exact"/>
              <w:rPr>
                <w:rFonts w:hint="eastAsia" w:ascii="宋体" w:hAnsi="宋体" w:eastAsia="宋体" w:cs="宋体"/>
                <w:sz w:val="24"/>
                <w:lang w:val="en-US" w:eastAsia="zh-CN"/>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1.6.2</w:t>
            </w:r>
          </w:p>
        </w:tc>
        <w:tc>
          <w:tcPr>
            <w:tcW w:w="4464" w:type="pct"/>
            <w:vAlign w:val="center"/>
          </w:tcPr>
          <w:p>
            <w:pPr>
              <w:pStyle w:val="23"/>
              <w:rPr>
                <w:snapToGrid/>
              </w:rPr>
            </w:pPr>
            <w:r>
              <w:rPr>
                <w:rFonts w:hint="eastAsia"/>
                <w:snapToGrid/>
              </w:rPr>
              <w:t>本次项目合同金额为大写人民币  整（￥  元），采用分期付款方式，具体如下：</w:t>
            </w:r>
          </w:p>
          <w:p>
            <w:pPr>
              <w:pStyle w:val="23"/>
              <w:rPr>
                <w:snapToGrid/>
              </w:rPr>
            </w:pPr>
            <w:r>
              <w:rPr>
                <w:rFonts w:hint="eastAsia"/>
                <w:snapToGrid/>
              </w:rPr>
              <w:t>第一期付款：合同签订后，甲方收到乙方提供的增值税普通发票确认无误后5个工作日内支付项目合同金额的45%，计人民币    整（￥     元）。</w:t>
            </w:r>
          </w:p>
          <w:p>
            <w:pPr>
              <w:pStyle w:val="23"/>
              <w:rPr>
                <w:snapToGrid/>
              </w:rPr>
            </w:pPr>
            <w:r>
              <w:rPr>
                <w:rFonts w:hint="eastAsia"/>
                <w:snapToGrid/>
              </w:rPr>
              <w:t>第二期付款：完成项目阶段性验收，甲方收到乙方提供的增值税普通发票后确认无误后5个工作日内支付项目合同金额的20%，计人民币  整（￥      元）。</w:t>
            </w:r>
          </w:p>
          <w:p>
            <w:pPr>
              <w:pStyle w:val="23"/>
              <w:rPr>
                <w:snapToGrid/>
              </w:rPr>
            </w:pPr>
            <w:r>
              <w:rPr>
                <w:rFonts w:hint="eastAsia"/>
                <w:snapToGrid/>
              </w:rPr>
              <w:t>第三期付款：完成项目终验后，甲方收到乙方提供的增值税普通发票确认无误后5个工作日支付项目合同金额的35%，计人民币      整（￥    元）。</w:t>
            </w:r>
          </w:p>
          <w:p>
            <w:pPr>
              <w:spacing w:line="580" w:lineRule="exact"/>
              <w:rPr>
                <w:rFonts w:ascii="宋体" w:hAnsi="宋体" w:cs="宋体"/>
                <w:sz w:val="24"/>
              </w:rPr>
            </w:pPr>
            <w:r>
              <w:rPr>
                <w:rFonts w:hint="eastAsia" w:hAnsi="宋体"/>
                <w:sz w:val="24"/>
              </w:rPr>
              <w:t>甲方无故逾期支付服务费用的，按照每逾期一日支付本期应支付服务费额度的5‰承担违约责任。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1.7.1</w:t>
            </w:r>
          </w:p>
        </w:tc>
        <w:tc>
          <w:tcPr>
            <w:tcW w:w="4464" w:type="pct"/>
            <w:vAlign w:val="center"/>
          </w:tcPr>
          <w:p>
            <w:pPr>
              <w:spacing w:line="580" w:lineRule="exact"/>
              <w:rPr>
                <w:rFonts w:ascii="宋体" w:hAnsi="宋体" w:cs="宋体"/>
                <w:sz w:val="24"/>
              </w:rPr>
            </w:pPr>
            <w:r>
              <w:rPr>
                <w:rFonts w:hint="eastAsia" w:ascii="宋体" w:hAnsi="宋体" w:cs="宋体"/>
                <w:sz w:val="24"/>
              </w:rPr>
              <w:t>2024.7.1-2025.6.30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1.7.2</w:t>
            </w:r>
          </w:p>
        </w:tc>
        <w:tc>
          <w:tcPr>
            <w:tcW w:w="4464" w:type="pct"/>
            <w:vAlign w:val="center"/>
          </w:tcPr>
          <w:p>
            <w:pPr>
              <w:spacing w:line="580" w:lineRule="exact"/>
              <w:rPr>
                <w:rFonts w:ascii="宋体" w:hAnsi="宋体" w:cs="宋体"/>
                <w:sz w:val="24"/>
              </w:rPr>
            </w:pPr>
            <w:r>
              <w:rPr>
                <w:rFonts w:hint="eastAsia" w:ascii="宋体" w:hAnsi="宋体" w:cs="宋体"/>
                <w:sz w:val="24"/>
              </w:rPr>
              <w:t>甲方指定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1.7.3</w:t>
            </w:r>
          </w:p>
        </w:tc>
        <w:tc>
          <w:tcPr>
            <w:tcW w:w="4464" w:type="pct"/>
            <w:vAlign w:val="center"/>
          </w:tcPr>
          <w:p>
            <w:pPr>
              <w:spacing w:line="580" w:lineRule="exact"/>
              <w:rPr>
                <w:rFonts w:ascii="宋体" w:hAnsi="宋体" w:cs="宋体"/>
                <w:sz w:val="24"/>
              </w:rPr>
            </w:pPr>
            <w:r>
              <w:rPr>
                <w:rFonts w:hint="eastAsia" w:ascii="宋体" w:hAnsi="宋体" w:cs="宋体"/>
                <w:sz w:val="24"/>
              </w:rPr>
              <w:t>甲方指定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1.7.4.1</w:t>
            </w:r>
          </w:p>
        </w:tc>
        <w:tc>
          <w:tcPr>
            <w:tcW w:w="4464" w:type="pct"/>
            <w:vAlign w:val="center"/>
          </w:tcPr>
          <w:p>
            <w:pPr>
              <w:spacing w:line="580" w:lineRule="exact"/>
              <w:rPr>
                <w:rFonts w:ascii="宋体" w:hAnsi="宋体" w:cs="宋体"/>
                <w:sz w:val="24"/>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1.7.4.2</w:t>
            </w:r>
          </w:p>
        </w:tc>
        <w:tc>
          <w:tcPr>
            <w:tcW w:w="4464" w:type="pct"/>
            <w:vAlign w:val="center"/>
          </w:tcPr>
          <w:p>
            <w:pPr>
              <w:spacing w:line="580" w:lineRule="exact"/>
              <w:rPr>
                <w:rFonts w:ascii="宋体" w:hAnsi="宋体" w:cs="宋体"/>
                <w:sz w:val="24"/>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1.7.4.3</w:t>
            </w:r>
          </w:p>
        </w:tc>
        <w:tc>
          <w:tcPr>
            <w:tcW w:w="4464" w:type="pct"/>
            <w:vAlign w:val="center"/>
          </w:tcPr>
          <w:p>
            <w:pPr>
              <w:spacing w:line="580" w:lineRule="exact"/>
              <w:rPr>
                <w:rFonts w:ascii="宋体" w:hAnsi="宋体" w:cs="宋体"/>
                <w:sz w:val="24"/>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1.8.7</w:t>
            </w:r>
          </w:p>
        </w:tc>
        <w:tc>
          <w:tcPr>
            <w:tcW w:w="4464" w:type="pct"/>
            <w:vAlign w:val="center"/>
          </w:tcPr>
          <w:p>
            <w:pPr>
              <w:spacing w:line="580" w:lineRule="exact"/>
              <w:rPr>
                <w:rFonts w:ascii="宋体" w:hAnsi="宋体" w:cs="宋体"/>
                <w:sz w:val="24"/>
              </w:rPr>
            </w:pPr>
            <w:r>
              <w:rPr>
                <w:rFonts w:hint="eastAsia" w:ascii="宋体" w:hAnsi="宋体" w:cs="宋体"/>
                <w:sz w:val="24"/>
                <w:lang w:val="en-US"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1.9</w:t>
            </w:r>
          </w:p>
        </w:tc>
        <w:tc>
          <w:tcPr>
            <w:tcW w:w="4464" w:type="pct"/>
            <w:vAlign w:val="center"/>
          </w:tcPr>
          <w:p>
            <w:pPr>
              <w:spacing w:line="580" w:lineRule="exact"/>
              <w:rPr>
                <w:rFonts w:ascii="宋体" w:hAnsi="宋体" w:cs="宋体"/>
                <w:sz w:val="24"/>
              </w:rPr>
            </w:pPr>
            <w:r>
              <w:rPr>
                <w:rFonts w:hint="eastAsia" w:ascii="宋体" w:hAnsi="宋体" w:cs="宋体"/>
                <w:sz w:val="24"/>
              </w:rPr>
              <w:t>当地法院起诉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1.9.1</w:t>
            </w:r>
          </w:p>
        </w:tc>
        <w:tc>
          <w:tcPr>
            <w:tcW w:w="4464" w:type="pct"/>
            <w:vAlign w:val="center"/>
          </w:tcPr>
          <w:p>
            <w:pPr>
              <w:spacing w:line="580" w:lineRule="exact"/>
              <w:rPr>
                <w:rFonts w:ascii="宋体" w:hAnsi="宋体" w:cs="宋体"/>
                <w:sz w:val="24"/>
              </w:rPr>
            </w:pPr>
            <w:r>
              <w:rPr>
                <w:rFonts w:hint="eastAsia" w:ascii="宋体" w:hAnsi="宋体" w:cs="宋体"/>
                <w:sz w:val="24"/>
              </w:rPr>
              <w:t>杭州市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1.9.2</w:t>
            </w:r>
          </w:p>
        </w:tc>
        <w:tc>
          <w:tcPr>
            <w:tcW w:w="4464" w:type="pct"/>
            <w:vAlign w:val="center"/>
          </w:tcPr>
          <w:p>
            <w:pPr>
              <w:spacing w:line="580" w:lineRule="exact"/>
              <w:rPr>
                <w:rFonts w:ascii="宋体" w:hAnsi="宋体" w:cs="宋体"/>
                <w:sz w:val="24"/>
              </w:rPr>
            </w:pPr>
            <w:r>
              <w:rPr>
                <w:rFonts w:hint="eastAsia" w:ascii="宋体" w:hAnsi="宋体" w:cs="宋体"/>
                <w:sz w:val="24"/>
              </w:rPr>
              <w:t>杭州市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2.3.2</w:t>
            </w:r>
          </w:p>
        </w:tc>
        <w:tc>
          <w:tcPr>
            <w:tcW w:w="4464" w:type="pct"/>
            <w:vAlign w:val="center"/>
          </w:tcPr>
          <w:p>
            <w:pPr>
              <w:spacing w:line="580" w:lineRule="exact"/>
              <w:ind w:left="-420" w:leftChars="-200" w:right="-420" w:rightChars="-200" w:firstLine="480" w:firstLineChars="200"/>
              <w:rPr>
                <w:rFonts w:ascii="宋体" w:hAnsi="宋体" w:cs="宋体"/>
                <w:sz w:val="24"/>
              </w:rPr>
            </w:pPr>
            <w:r>
              <w:rPr>
                <w:rFonts w:hint="eastAsia" w:ascii="宋体" w:hAnsi="宋体" w:cs="宋体"/>
                <w:sz w:val="24"/>
              </w:rPr>
              <w:t>归甲方所有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pStyle w:val="23"/>
              <w:rPr>
                <w:snapToGrid/>
              </w:rPr>
            </w:pPr>
            <w:r>
              <w:rPr>
                <w:rFonts w:hint="eastAsia"/>
                <w:snapToGrid/>
              </w:rPr>
              <w:t>本次项目合同金额为大写人民币  整（￥  元），采用分期付款方式，具体如下：</w:t>
            </w:r>
          </w:p>
          <w:p>
            <w:pPr>
              <w:pStyle w:val="23"/>
              <w:rPr>
                <w:snapToGrid/>
              </w:rPr>
            </w:pPr>
            <w:r>
              <w:rPr>
                <w:rFonts w:hint="eastAsia"/>
                <w:snapToGrid/>
              </w:rPr>
              <w:t>第一期付款：合同签订后，甲方在5个工作日内支付项目合同金额的45%，计人民币    整（￥     元）。</w:t>
            </w:r>
          </w:p>
          <w:p>
            <w:pPr>
              <w:pStyle w:val="23"/>
              <w:rPr>
                <w:snapToGrid/>
              </w:rPr>
            </w:pPr>
            <w:r>
              <w:rPr>
                <w:rFonts w:hint="eastAsia"/>
                <w:snapToGrid/>
              </w:rPr>
              <w:t>第二期付款：完成项目阶段性验收后，甲方收到乙方提供的增值税普通发票后5个工作日内支付项目合同金额的20%，计人民币  整（￥      元）。</w:t>
            </w:r>
          </w:p>
          <w:p>
            <w:pPr>
              <w:pStyle w:val="23"/>
              <w:rPr>
                <w:snapToGrid/>
              </w:rPr>
            </w:pPr>
            <w:r>
              <w:rPr>
                <w:rFonts w:hint="eastAsia"/>
                <w:snapToGrid/>
              </w:rPr>
              <w:t>第三期付款：完成项目终验后，甲方收到乙方提供的增值税普通发票后5个工作日支付项目合同金额的35%，计人民币      整（￥    元）。</w:t>
            </w:r>
          </w:p>
          <w:p>
            <w:pPr>
              <w:spacing w:line="580" w:lineRule="exact"/>
              <w:ind w:left="-420" w:leftChars="-200" w:right="-420" w:rightChars="-200" w:firstLine="480" w:firstLineChars="200"/>
              <w:rPr>
                <w:rFonts w:ascii="宋体" w:hAnsi="宋体" w:cs="宋体"/>
                <w:sz w:val="24"/>
              </w:rPr>
            </w:pPr>
            <w:r>
              <w:rPr>
                <w:rFonts w:hint="eastAsia" w:hAnsi="宋体"/>
                <w:sz w:val="24"/>
              </w:rPr>
              <w:t>甲方无故逾期支付服务费用的，按照每逾期一日支付本期应支付服务费额度的5‰承担违约责任。</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580" w:lineRule="exact"/>
              <w:rPr>
                <w:rFonts w:ascii="宋体" w:hAnsi="宋体" w:cs="宋体"/>
                <w:sz w:val="24"/>
              </w:rPr>
            </w:pPr>
            <w:r>
              <w:rPr>
                <w:rFonts w:hint="eastAsia" w:ascii="宋体" w:hAnsi="宋体" w:cs="宋体"/>
                <w:sz w:val="24"/>
              </w:rPr>
              <w:t>提前一个月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580" w:lineRule="exact"/>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580" w:lineRule="exact"/>
              <w:rPr>
                <w:rFonts w:ascii="宋体" w:hAnsi="宋体" w:cs="宋体"/>
                <w:sz w:val="24"/>
              </w:rPr>
            </w:pPr>
            <w:r>
              <w:rPr>
                <w:rFonts w:hint="eastAsia" w:ascii="宋体" w:hAnsi="宋体" w:cs="宋体"/>
                <w:sz w:val="24"/>
              </w:rPr>
              <w:t>提前一个月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580" w:lineRule="exact"/>
              <w:rPr>
                <w:rFonts w:ascii="宋体" w:hAnsi="宋体" w:cs="宋体"/>
                <w:sz w:val="24"/>
              </w:rPr>
            </w:pPr>
            <w:r>
              <w:rPr>
                <w:rFonts w:hint="eastAsia" w:ascii="宋体" w:hAnsi="宋体" w:cs="宋体"/>
                <w:sz w:val="24"/>
              </w:rPr>
              <w:t>提前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580" w:lineRule="exact"/>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580" w:lineRule="exact"/>
              <w:rPr>
                <w:rFonts w:ascii="宋体" w:hAnsi="宋体" w:cs="宋体"/>
                <w:sz w:val="24"/>
              </w:rPr>
            </w:pPr>
            <w:r>
              <w:rPr>
                <w:rFonts w:hint="eastAsia" w:ascii="宋体" w:hAnsi="宋体" w:cs="宋体"/>
                <w:sz w:val="24"/>
              </w:rPr>
              <w:t>招标要求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580" w:lineRule="exact"/>
              <w:rPr>
                <w:rFonts w:ascii="宋体" w:hAnsi="宋体" w:cs="宋体"/>
                <w:sz w:val="24"/>
              </w:rPr>
            </w:pPr>
            <w:r>
              <w:rPr>
                <w:rFonts w:hint="eastAsia" w:ascii="宋体" w:hAnsi="宋体" w:cs="宋体"/>
                <w:sz w:val="24"/>
              </w:rPr>
              <w:t>2.19</w:t>
            </w:r>
          </w:p>
        </w:tc>
        <w:tc>
          <w:tcPr>
            <w:tcW w:w="4464" w:type="pct"/>
          </w:tcPr>
          <w:p>
            <w:pPr>
              <w:spacing w:line="580" w:lineRule="exact"/>
              <w:rPr>
                <w:rFonts w:hint="eastAsia" w:ascii="宋体" w:hAnsi="宋体" w:eastAsia="宋体" w:cs="宋体"/>
                <w:sz w:val="24"/>
                <w:lang w:eastAsia="zh-CN"/>
              </w:rPr>
            </w:pPr>
            <w:r>
              <w:rPr>
                <w:rFonts w:hint="default" w:ascii="宋体" w:hAnsi="宋体" w:cs="宋体"/>
                <w:sz w:val="24"/>
                <w:lang w:val="en-US"/>
              </w:rPr>
              <w:t>合同份数陆份，甲乙各执叁份，每份均具有同等法律效力</w:t>
            </w:r>
          </w:p>
        </w:tc>
      </w:tr>
    </w:tbl>
    <w:p>
      <w:pPr>
        <w:spacing w:line="560" w:lineRule="exact"/>
        <w:ind w:left="-420" w:leftChars="-200" w:right="-420" w:rightChars="-200" w:firstLine="420" w:firstLineChars="200"/>
        <w:rPr>
          <w:rFonts w:ascii="宋体" w:hAnsi="宋体" w:cs="宋体"/>
        </w:rPr>
      </w:pPr>
    </w:p>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firstLine="480" w:firstLineChars="200"/>
        <w:rPr>
          <w:rFonts w:ascii="宋体" w:hAnsi="宋体" w:cs="宋体"/>
          <w:sz w:val="24"/>
          <w:highlight w:val="none"/>
        </w:rPr>
      </w:pPr>
    </w:p>
    <w:p>
      <w:pPr>
        <w:spacing w:line="360" w:lineRule="auto"/>
        <w:ind w:left="-420" w:leftChars="-200" w:right="-420" w:rightChars="-20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spacing w:line="360" w:lineRule="auto"/>
        <w:ind w:left="-420" w:leftChars="-200" w:right="-420" w:rightChars="-200" w:firstLine="480" w:firstLineChars="200"/>
        <w:jc w:val="center"/>
        <w:outlineLvl w:val="0"/>
        <w:rPr>
          <w:rFonts w:ascii="宋体" w:hAnsi="宋体" w:cs="宋体"/>
          <w:sz w:val="24"/>
          <w:highlight w:val="none"/>
        </w:rPr>
      </w:pPr>
    </w:p>
    <w:p>
      <w:pPr>
        <w:widowControl/>
        <w:adjustRightInd/>
        <w:jc w:val="left"/>
        <w:rPr>
          <w:rFonts w:ascii="宋体" w:hAnsi="宋体" w:cs="宋体"/>
          <w:b/>
          <w:sz w:val="36"/>
          <w:szCs w:val="20"/>
          <w:highlight w:val="none"/>
        </w:rPr>
      </w:pPr>
      <w:r>
        <w:rPr>
          <w:rFonts w:ascii="宋体" w:hAnsi="宋体" w:cs="宋体"/>
          <w:b/>
          <w:sz w:val="36"/>
          <w:szCs w:val="20"/>
          <w:highlight w:val="none"/>
        </w:rPr>
        <w:br w:type="page"/>
      </w:r>
    </w:p>
    <w:p>
      <w:pPr>
        <w:spacing w:line="360" w:lineRule="auto"/>
        <w:jc w:val="center"/>
        <w:outlineLvl w:val="0"/>
        <w:rPr>
          <w:rFonts w:ascii="宋体" w:hAnsi="宋体" w:cs="宋体"/>
          <w:b/>
          <w:sz w:val="36"/>
          <w:szCs w:val="20"/>
          <w:highlight w:val="none"/>
        </w:rPr>
      </w:pPr>
      <w:r>
        <w:rPr>
          <w:rFonts w:hint="eastAsia" w:ascii="宋体" w:hAnsi="宋体" w:cs="宋体"/>
          <w:b/>
          <w:sz w:val="36"/>
          <w:szCs w:val="20"/>
          <w:highlight w:val="none"/>
        </w:rPr>
        <w:t>第六部分</w:t>
      </w:r>
      <w:bookmarkEnd w:id="427"/>
      <w:r>
        <w:rPr>
          <w:rFonts w:hint="eastAsia" w:ascii="宋体" w:hAnsi="宋体" w:cs="宋体"/>
          <w:b/>
          <w:sz w:val="36"/>
          <w:szCs w:val="20"/>
          <w:highlight w:val="none"/>
        </w:rPr>
        <w:t xml:space="preserve"> </w:t>
      </w:r>
      <w:bookmarkEnd w:id="428"/>
      <w:r>
        <w:rPr>
          <w:rFonts w:hint="eastAsia" w:ascii="宋体" w:hAnsi="宋体" w:cs="宋体"/>
          <w:b/>
          <w:sz w:val="36"/>
          <w:szCs w:val="20"/>
          <w:highlight w:val="none"/>
        </w:rPr>
        <w:t>应提交的有关格式范例</w:t>
      </w:r>
    </w:p>
    <w:p>
      <w:pPr>
        <w:spacing w:line="360" w:lineRule="auto"/>
        <w:jc w:val="center"/>
        <w:outlineLvl w:val="0"/>
        <w:rPr>
          <w:rFonts w:ascii="宋体" w:hAnsi="宋体" w:cs="宋体"/>
          <w:b/>
          <w:kern w:val="0"/>
          <w:sz w:val="36"/>
          <w:szCs w:val="36"/>
          <w:highlight w:val="none"/>
        </w:r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资格文件部分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kern w:val="0"/>
          <w:sz w:val="36"/>
          <w:szCs w:val="36"/>
          <w:highlight w:val="none"/>
        </w:rPr>
      </w:pPr>
    </w:p>
    <w:p>
      <w:pPr>
        <w:snapToGrid w:val="0"/>
        <w:spacing w:line="360" w:lineRule="auto"/>
        <w:rPr>
          <w:rFonts w:ascii="宋体" w:hAnsi="宋体" w:cs="宋体"/>
          <w:sz w:val="24"/>
          <w:highlight w:val="none"/>
        </w:rPr>
      </w:pPr>
      <w:r>
        <w:rPr>
          <w:rFonts w:hint="eastAsia" w:ascii="宋体" w:hAnsi="宋体" w:cs="宋体"/>
          <w:sz w:val="24"/>
          <w:highlight w:val="none"/>
        </w:rPr>
        <w:t>（1）符合参加政府采购活动应当具备的一般条件的承诺函……………（页码）</w:t>
      </w:r>
    </w:p>
    <w:p>
      <w:pPr>
        <w:snapToGrid w:val="0"/>
        <w:spacing w:line="360" w:lineRule="auto"/>
        <w:rPr>
          <w:rFonts w:ascii="宋体" w:hAnsi="宋体" w:cs="宋体"/>
          <w:sz w:val="24"/>
          <w:highlight w:val="none"/>
        </w:rPr>
      </w:pPr>
      <w:r>
        <w:rPr>
          <w:rFonts w:hint="eastAsia" w:ascii="宋体" w:hAnsi="宋体" w:cs="宋体"/>
          <w:snapToGrid w:val="0"/>
          <w:kern w:val="28"/>
          <w:sz w:val="24"/>
          <w:szCs w:val="20"/>
          <w:highlight w:val="none"/>
        </w:rPr>
        <w:t>（2）联合协议</w:t>
      </w:r>
      <w:r>
        <w:rPr>
          <w:rFonts w:hint="eastAsia" w:ascii="宋体" w:hAnsi="宋体" w:cs="宋体"/>
          <w:sz w:val="24"/>
          <w:highlight w:val="none"/>
        </w:rPr>
        <w:t>………………………………………………………………（页码）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）落实政府采购政策需满足的资格要求………………………………（页码）</w:t>
      </w:r>
    </w:p>
    <w:p>
      <w:pPr>
        <w:snapToGrid w:val="0"/>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）本项目的特定资格要求………………………………………………（页码）</w:t>
      </w:r>
    </w:p>
    <w:p>
      <w:pPr>
        <w:snapToGrid w:val="0"/>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snapToGrid w:val="0"/>
        <w:spacing w:line="360" w:lineRule="auto"/>
        <w:ind w:right="480"/>
        <w:jc w:val="center"/>
        <w:rPr>
          <w:rFonts w:ascii="宋体" w:hAnsi="宋体" w:cs="宋体"/>
          <w:b/>
          <w:kern w:val="0"/>
          <w:sz w:val="32"/>
          <w:szCs w:val="32"/>
          <w:highlight w:val="none"/>
        </w:rPr>
      </w:pPr>
      <w:r>
        <w:rPr>
          <w:rFonts w:hint="eastAsia" w:ascii="宋体" w:hAnsi="宋体" w:cs="宋体"/>
          <w:kern w:val="0"/>
          <w:sz w:val="24"/>
          <w:highlight w:val="none"/>
        </w:rPr>
        <w:br w:type="page"/>
      </w:r>
      <w:r>
        <w:rPr>
          <w:rFonts w:hint="eastAsia" w:ascii="宋体" w:hAnsi="宋体" w:cs="宋体"/>
          <w:b/>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杭州市数据资源管理局</w:t>
      </w:r>
      <w:r>
        <w:rPr>
          <w:rFonts w:hint="eastAsia" w:ascii="宋体" w:hAnsi="宋体" w:cs="宋体"/>
          <w:color w:val="auto"/>
          <w:sz w:val="24"/>
          <w:highlight w:val="none"/>
        </w:rPr>
        <w:t>、杭州市公共资源交易中心：</w:t>
      </w:r>
    </w:p>
    <w:p>
      <w:pPr>
        <w:snapToGrid w:val="0"/>
        <w:spacing w:line="360" w:lineRule="auto"/>
        <w:ind w:firstLine="480" w:firstLineChars="200"/>
        <w:rPr>
          <w:rFonts w:ascii="宋体" w:hAnsi="宋体" w:cs="宋体"/>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杭州市智慧电子政务外网（2024）项目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HZZFCG-2024-081</w:t>
      </w:r>
      <w:r>
        <w:rPr>
          <w:rFonts w:hint="eastAsia" w:ascii="宋体" w:hAnsi="宋体" w:cs="宋体"/>
          <w:color w:val="auto"/>
          <w:sz w:val="24"/>
          <w:highlight w:val="none"/>
        </w:rPr>
        <w:t>】政府采购活动，郑重承</w:t>
      </w:r>
      <w:r>
        <w:rPr>
          <w:rFonts w:hint="eastAsia" w:ascii="宋体" w:hAnsi="宋体" w:cs="宋体"/>
          <w:sz w:val="24"/>
          <w:highlight w:val="none"/>
        </w:rPr>
        <w:t>诺：</w:t>
      </w:r>
    </w:p>
    <w:p>
      <w:pPr>
        <w:snapToGrid w:val="0"/>
        <w:spacing w:line="360" w:lineRule="auto"/>
        <w:ind w:firstLine="360" w:firstLineChars="150"/>
        <w:rPr>
          <w:rFonts w:ascii="宋体" w:hAnsi="宋体" w:cs="宋体"/>
          <w:sz w:val="24"/>
          <w:highlight w:val="none"/>
        </w:rPr>
      </w:pPr>
      <w:r>
        <w:rPr>
          <w:rFonts w:hint="eastAsia" w:ascii="宋体" w:hAnsi="宋体" w:cs="宋体"/>
          <w:sz w:val="24"/>
          <w:highlight w:val="none"/>
        </w:rPr>
        <w:t>（一）具备《中华人民共和国政府采购法》第二十二条第一款规定的条件：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1、具有独立承担民事责任的能力；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 xml:space="preserve">2、具有良好的商业信誉和健全的财务会计制度； </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3、具有履行合同所必需的设备和专业技术能力；</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4、有依法缴纳税收和社会保障资金的良好记录；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5、参加政府采购活动前三年内，在经营活动中没有重大违法记录；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6、具有法律、行政法规规定的其他条件。</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（三）不存在以下情况：</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highlight w:val="none"/>
        </w:rPr>
      </w:pPr>
      <w:r>
        <w:rPr>
          <w:rFonts w:hint="eastAsia" w:ascii="宋体" w:hAnsi="宋体" w:cs="宋体"/>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highlight w:val="none"/>
        </w:rPr>
      </w:pPr>
      <w:r>
        <w:rPr>
          <w:rFonts w:hint="eastAsia" w:ascii="宋体" w:hAnsi="宋体" w:cs="宋体"/>
          <w:kern w:val="0"/>
          <w:sz w:val="24"/>
          <w:highlight w:val="none"/>
          <w:lang w:val="zh-CN"/>
        </w:rPr>
        <w:t>投标人名称(电子签名)：</w:t>
      </w:r>
    </w:p>
    <w:p>
      <w:pPr>
        <w:snapToGrid w:val="0"/>
        <w:spacing w:line="360" w:lineRule="auto"/>
        <w:rPr>
          <w:rFonts w:ascii="宋体" w:hAnsi="宋体" w:cs="宋体"/>
          <w:kern w:val="0"/>
          <w:sz w:val="24"/>
          <w:highlight w:val="none"/>
        </w:rPr>
      </w:pPr>
      <w:r>
        <w:rPr>
          <w:rFonts w:hint="eastAsia" w:ascii="宋体" w:hAnsi="宋体" w:cs="宋体"/>
          <w:kern w:val="0"/>
          <w:sz w:val="24"/>
          <w:highlight w:val="none"/>
          <w:lang w:val="zh-CN"/>
        </w:rPr>
        <w:t xml:space="preserve">                        </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日期</w:t>
      </w:r>
      <w:r>
        <w:rPr>
          <w:rFonts w:hint="eastAsia" w:ascii="宋体" w:hAnsi="宋体" w:cs="宋体"/>
          <w:kern w:val="0"/>
          <w:sz w:val="24"/>
          <w:highlight w:val="none"/>
        </w:rPr>
        <w:t xml:space="preserve">：  年  </w:t>
      </w:r>
      <w:r>
        <w:rPr>
          <w:rFonts w:hint="eastAsia" w:ascii="宋体" w:hAnsi="宋体" w:cs="宋体"/>
          <w:kern w:val="0"/>
          <w:sz w:val="24"/>
          <w:highlight w:val="none"/>
          <w:lang w:val="zh-CN"/>
        </w:rPr>
        <w:t>月</w:t>
      </w:r>
      <w:r>
        <w:rPr>
          <w:rFonts w:hint="eastAsia" w:ascii="宋体" w:hAnsi="宋体" w:cs="宋体"/>
          <w:kern w:val="0"/>
          <w:sz w:val="24"/>
          <w:highlight w:val="none"/>
        </w:rPr>
        <w:t xml:space="preserve">   </w:t>
      </w:r>
      <w:r>
        <w:rPr>
          <w:rFonts w:hint="eastAsia" w:ascii="宋体" w:hAnsi="宋体" w:cs="宋体"/>
          <w:kern w:val="0"/>
          <w:sz w:val="24"/>
          <w:highlight w:val="none"/>
          <w:lang w:val="zh-CN"/>
        </w:rPr>
        <w:t>日</w:t>
      </w:r>
    </w:p>
    <w:p>
      <w:pPr>
        <w:snapToGrid w:val="0"/>
        <w:spacing w:line="360" w:lineRule="auto"/>
        <w:ind w:right="480" w:firstLine="480" w:firstLineChars="200"/>
        <w:jc w:val="left"/>
        <w:rPr>
          <w:rFonts w:ascii="宋体" w:hAnsi="宋体" w:cs="宋体"/>
          <w:b/>
          <w:kern w:val="0"/>
          <w:sz w:val="32"/>
          <w:szCs w:val="32"/>
          <w:highlight w:val="none"/>
        </w:rPr>
      </w:pPr>
      <w:r>
        <w:rPr>
          <w:rFonts w:hint="eastAsia" w:cs="仿宋_GB2312" w:asciiTheme="minorEastAsia" w:hAnsiTheme="minorEastAsia" w:eastAsiaTheme="minorEastAsia"/>
          <w:sz w:val="24"/>
          <w:highlight w:val="none"/>
        </w:rPr>
        <w:t>注：根据《</w:t>
      </w:r>
      <w:r>
        <w:rPr>
          <w:rFonts w:cs="仿宋_GB2312" w:asciiTheme="minorEastAsia" w:hAnsiTheme="minorEastAsia" w:eastAsiaTheme="minorEastAsia"/>
          <w:sz w:val="24"/>
          <w:highlight w:val="none"/>
        </w:rPr>
        <w:t>关于规范政府采购供应商资格设定及资格审查的通知</w:t>
      </w:r>
      <w:r>
        <w:rPr>
          <w:rFonts w:hint="eastAsia" w:cs="仿宋_GB2312" w:asciiTheme="minorEastAsia" w:hAnsiTheme="minorEastAsia" w:eastAsiaTheme="minorEastAsia"/>
          <w:sz w:val="24"/>
          <w:highlight w:val="none"/>
        </w:rPr>
        <w:t>》（</w:t>
      </w:r>
      <w:r>
        <w:rPr>
          <w:rFonts w:cs="仿宋_GB2312" w:asciiTheme="minorEastAsia" w:hAnsiTheme="minorEastAsia" w:eastAsiaTheme="minorEastAsia"/>
          <w:sz w:val="24"/>
          <w:highlight w:val="none"/>
        </w:rPr>
        <w:t>浙财采监[2013]24号</w:t>
      </w:r>
      <w:r>
        <w:rPr>
          <w:rFonts w:hint="eastAsia" w:cs="仿宋_GB2312" w:asciiTheme="minorEastAsia" w:hAnsiTheme="minorEastAsia" w:eastAsiaTheme="minorEastAsia"/>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jc w:val="left"/>
        <w:rPr>
          <w:rFonts w:ascii="宋体" w:hAnsi="宋体" w:cs="宋体"/>
          <w:b/>
          <w:kern w:val="0"/>
          <w:sz w:val="32"/>
          <w:szCs w:val="32"/>
          <w:highlight w:val="none"/>
        </w:rPr>
      </w:pPr>
      <w:r>
        <w:rPr>
          <w:rFonts w:ascii="宋体" w:hAnsi="宋体" w:cs="宋体"/>
          <w:b/>
          <w:kern w:val="0"/>
          <w:sz w:val="32"/>
          <w:szCs w:val="32"/>
          <w:highlight w:val="none"/>
        </w:rPr>
        <w:br w:type="page"/>
      </w:r>
    </w:p>
    <w:p>
      <w:pPr>
        <w:widowControl/>
        <w:spacing w:line="360" w:lineRule="auto"/>
        <w:ind w:firstLine="643" w:firstLineChars="200"/>
        <w:jc w:val="center"/>
        <w:rPr>
          <w:rFonts w:ascii="宋体" w:hAnsi="宋体" w:cs="宋体"/>
          <w:b/>
          <w:color w:val="auto"/>
          <w:kern w:val="0"/>
          <w:sz w:val="32"/>
          <w:szCs w:val="32"/>
          <w:highlight w:val="none"/>
        </w:rPr>
      </w:pPr>
      <w:r>
        <w:rPr>
          <w:rFonts w:hint="eastAsia" w:ascii="宋体" w:hAnsi="宋体" w:cs="宋体"/>
          <w:b/>
          <w:kern w:val="0"/>
          <w:sz w:val="32"/>
          <w:szCs w:val="32"/>
          <w:highlight w:val="none"/>
        </w:rPr>
        <w:t>二、联合</w:t>
      </w:r>
      <w:r>
        <w:rPr>
          <w:rFonts w:hint="eastAsia" w:ascii="宋体" w:hAnsi="宋体" w:cs="宋体"/>
          <w:b/>
          <w:color w:val="auto"/>
          <w:kern w:val="0"/>
          <w:sz w:val="32"/>
          <w:szCs w:val="32"/>
          <w:highlight w:val="none"/>
        </w:rPr>
        <w:t>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sz w:val="24"/>
          <w:highlight w:val="none"/>
        </w:rPr>
      </w:pPr>
      <w:r>
        <w:rPr>
          <w:rFonts w:hint="eastAsia" w:ascii="宋体" w:hAnsi="宋体" w:cs="宋体"/>
          <w:color w:val="auto"/>
          <w:sz w:val="24"/>
          <w:highlight w:val="none"/>
        </w:rPr>
        <w:t>（根据招标公告落实政府采购政策需满足的资格要求选择提供相应的材料</w:t>
      </w:r>
      <w:r>
        <w:rPr>
          <w:rFonts w:hint="eastAsia" w:ascii="宋体" w:hAnsi="宋体" w:cs="宋体"/>
          <w:sz w:val="24"/>
          <w:highlight w:val="none"/>
        </w:rPr>
        <w:t>；未要求的，无需提供）</w:t>
      </w:r>
    </w:p>
    <w:p>
      <w:pPr>
        <w:snapToGrid w:val="0"/>
        <w:spacing w:before="50" w:after="50" w:line="360" w:lineRule="auto"/>
        <w:ind w:firstLine="472" w:firstLineChars="196"/>
        <w:jc w:val="left"/>
        <w:rPr>
          <w:rFonts w:ascii="宋体" w:hAnsi="宋体" w:cs="宋体"/>
          <w:sz w:val="24"/>
          <w:highlight w:val="none"/>
        </w:rPr>
      </w:pPr>
      <w:r>
        <w:rPr>
          <w:rFonts w:hint="eastAsia" w:ascii="宋体" w:hAnsi="宋体" w:cs="宋体"/>
          <w:b/>
          <w:sz w:val="24"/>
          <w:highlight w:val="none"/>
        </w:rPr>
        <w:t>A</w:t>
      </w:r>
      <w:r>
        <w:rPr>
          <w:rFonts w:hint="eastAsia" w:ascii="宋体" w:hAnsi="宋体" w:cs="宋体"/>
          <w:sz w:val="24"/>
          <w:highlight w:val="none"/>
        </w:rPr>
        <w:t>.专门面向中小企业，服务全部由符合政策要求的中小企业（或小微企业）承接的，提供相应的中小企业声明函（附件</w:t>
      </w:r>
      <w:r>
        <w:rPr>
          <w:rFonts w:ascii="宋体" w:hAnsi="宋体" w:cs="宋体"/>
          <w:sz w:val="24"/>
          <w:highlight w:val="none"/>
        </w:rPr>
        <w:t>7</w:t>
      </w:r>
      <w:r>
        <w:rPr>
          <w:rFonts w:hint="eastAsia" w:ascii="宋体" w:hAnsi="宋体" w:cs="宋体"/>
          <w:sz w:val="24"/>
          <w:highlight w:val="none"/>
        </w:rPr>
        <w:t xml:space="preserve">）。 </w:t>
      </w:r>
    </w:p>
    <w:p>
      <w:pPr>
        <w:widowControl/>
        <w:spacing w:line="360" w:lineRule="auto"/>
        <w:ind w:firstLine="480"/>
        <w:jc w:val="left"/>
        <w:rPr>
          <w:rFonts w:ascii="宋体" w:hAnsi="宋体" w:cs="宋体"/>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sz w:val="24"/>
          <w:highlight w:val="none"/>
        </w:rPr>
        <w:t>B.</w:t>
      </w:r>
      <w:r>
        <w:rPr>
          <w:rFonts w:hint="eastAsia" w:ascii="宋体" w:hAnsi="宋体" w:cs="宋体"/>
          <w:sz w:val="24"/>
          <w:highlight w:val="none"/>
        </w:rPr>
        <w:t>要求以联合体形式参加的，提供联合协议（附件</w:t>
      </w:r>
      <w:r>
        <w:rPr>
          <w:rFonts w:ascii="宋体" w:hAnsi="宋体" w:cs="宋体"/>
          <w:sz w:val="24"/>
          <w:highlight w:val="none"/>
        </w:rPr>
        <w:t>5</w:t>
      </w:r>
      <w:r>
        <w:rPr>
          <w:rFonts w:hint="eastAsia" w:ascii="宋体" w:hAnsi="宋体" w:cs="宋体"/>
          <w:sz w:val="24"/>
          <w:highlight w:val="none"/>
        </w:rPr>
        <w:t>）和中小企业声明函（附件</w:t>
      </w:r>
      <w:r>
        <w:rPr>
          <w:rFonts w:ascii="宋体" w:hAnsi="宋体" w:cs="宋体"/>
          <w:sz w:val="24"/>
          <w:highlight w:val="none"/>
        </w:rPr>
        <w:t>7</w:t>
      </w:r>
      <w:r>
        <w:rPr>
          <w:rFonts w:hint="eastAsia" w:ascii="宋体" w:hAnsi="宋体" w:cs="宋体"/>
          <w:sz w:val="24"/>
          <w:highlight w:val="none"/>
        </w:rPr>
        <w:t>），联合协议中中小企业合同金额应当达</w:t>
      </w:r>
      <w:r>
        <w:rPr>
          <w:rFonts w:hint="eastAsia" w:ascii="宋体" w:hAnsi="宋体" w:cs="宋体"/>
          <w:color w:val="auto"/>
          <w:sz w:val="24"/>
          <w:highlight w:val="none"/>
        </w:rPr>
        <w:t>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kern w:val="0"/>
          <w:sz w:val="32"/>
          <w:szCs w:val="32"/>
          <w:highlight w:val="none"/>
        </w:rPr>
      </w:pPr>
    </w:p>
    <w:p>
      <w:pPr>
        <w:widowControl/>
        <w:spacing w:line="360" w:lineRule="auto"/>
        <w:ind w:left="150"/>
        <w:jc w:val="center"/>
        <w:rPr>
          <w:rFonts w:ascii="宋体" w:hAnsi="宋体" w:cs="宋体"/>
          <w:b/>
          <w:kern w:val="0"/>
          <w:sz w:val="32"/>
          <w:szCs w:val="32"/>
          <w:highlight w:val="none"/>
        </w:rPr>
      </w:pPr>
      <w:r>
        <w:rPr>
          <w:rFonts w:hint="eastAsia" w:ascii="宋体" w:hAnsi="宋体" w:cs="宋体"/>
          <w:b/>
          <w:kern w:val="0"/>
          <w:sz w:val="32"/>
          <w:szCs w:val="32"/>
          <w:highlight w:val="none"/>
        </w:rPr>
        <w:t>四、本项目的特定资格</w:t>
      </w:r>
      <w:r>
        <w:rPr>
          <w:rFonts w:hint="eastAsia" w:ascii="宋体" w:hAnsi="宋体" w:cs="宋体"/>
          <w:b/>
          <w:color w:val="auto"/>
          <w:kern w:val="0"/>
          <w:sz w:val="32"/>
          <w:szCs w:val="32"/>
          <w:highlight w:val="none"/>
        </w:rPr>
        <w:t>要求（如果有）</w:t>
      </w:r>
    </w:p>
    <w:p>
      <w:pPr>
        <w:spacing w:line="360" w:lineRule="auto"/>
        <w:jc w:val="center"/>
        <w:rPr>
          <w:rFonts w:ascii="宋体" w:hAnsi="宋体" w:cs="宋体"/>
          <w:sz w:val="24"/>
          <w:highlight w:val="none"/>
        </w:rPr>
      </w:pPr>
      <w:r>
        <w:rPr>
          <w:rFonts w:hint="eastAsia" w:ascii="宋体" w:hAnsi="宋体" w:cs="宋体"/>
          <w:sz w:val="24"/>
          <w:highlight w:val="none"/>
        </w:rPr>
        <w:t>（根据招标公告本项目的特定资格要求提供相应的材料；未要求的，无需提供）</w:t>
      </w:r>
    </w:p>
    <w:p>
      <w:pPr>
        <w:rPr>
          <w:rFonts w:ascii="宋体" w:hAnsi="宋体" w:cs="宋体"/>
          <w:highlight w:val="none"/>
        </w:rPr>
      </w:pPr>
    </w:p>
    <w:p>
      <w:pPr>
        <w:snapToGrid w:val="0"/>
        <w:spacing w:line="360" w:lineRule="auto"/>
        <w:ind w:right="480"/>
        <w:jc w:val="center"/>
        <w:rPr>
          <w:rFonts w:ascii="宋体" w:hAnsi="宋体" w:cs="宋体"/>
          <w:b/>
          <w:kern w:val="0"/>
          <w:sz w:val="32"/>
          <w:szCs w:val="32"/>
          <w:highlight w:val="none"/>
        </w:rPr>
      </w:pPr>
    </w:p>
    <w:p>
      <w:pPr>
        <w:widowControl/>
        <w:adjustRightInd/>
        <w:jc w:val="left"/>
        <w:rPr>
          <w:rFonts w:ascii="宋体" w:hAnsi="宋体" w:cs="宋体"/>
          <w:b/>
          <w:kern w:val="0"/>
          <w:sz w:val="36"/>
          <w:szCs w:val="36"/>
          <w:highlight w:val="none"/>
        </w:rPr>
      </w:pPr>
      <w:r>
        <w:rPr>
          <w:rFonts w:ascii="宋体" w:hAnsi="宋体" w:cs="宋体"/>
          <w:b/>
          <w:kern w:val="0"/>
          <w:sz w:val="36"/>
          <w:szCs w:val="36"/>
          <w:highlight w:val="none"/>
        </w:rPr>
        <w:br w:type="page"/>
      </w:r>
    </w:p>
    <w:p>
      <w:pPr>
        <w:spacing w:line="360" w:lineRule="auto"/>
        <w:ind w:right="420" w:firstLine="3614" w:firstLineChars="1000"/>
        <w:rPr>
          <w:rFonts w:ascii="宋体" w:hAnsi="宋体" w:cs="宋体"/>
          <w:b/>
          <w:kern w:val="0"/>
          <w:sz w:val="36"/>
          <w:szCs w:val="36"/>
          <w:highlight w:val="none"/>
        </w:rPr>
      </w:pPr>
      <w:r>
        <w:rPr>
          <w:rFonts w:hint="eastAsia" w:ascii="宋体" w:hAnsi="宋体" w:cs="宋体"/>
          <w:b/>
          <w:kern w:val="0"/>
          <w:sz w:val="36"/>
          <w:szCs w:val="36"/>
          <w:highlight w:val="none"/>
        </w:rPr>
        <w:t>商务技术文件部分</w:t>
      </w:r>
    </w:p>
    <w:p>
      <w:pPr>
        <w:spacing w:line="360" w:lineRule="auto"/>
        <w:jc w:val="center"/>
        <w:outlineLvl w:val="0"/>
        <w:rPr>
          <w:rFonts w:ascii="宋体" w:hAnsi="宋体" w:cs="宋体"/>
          <w:b/>
          <w:kern w:val="0"/>
          <w:sz w:val="24"/>
          <w:highlight w:val="none"/>
        </w:rPr>
      </w:pPr>
    </w:p>
    <w:p>
      <w:pPr>
        <w:spacing w:line="360" w:lineRule="auto"/>
        <w:jc w:val="center"/>
        <w:outlineLvl w:val="0"/>
        <w:rPr>
          <w:rFonts w:ascii="宋体" w:hAnsi="宋体" w:cs="宋体"/>
          <w:b/>
          <w:kern w:val="0"/>
          <w:sz w:val="28"/>
          <w:szCs w:val="28"/>
          <w:highlight w:val="none"/>
        </w:rPr>
      </w:pPr>
      <w:r>
        <w:rPr>
          <w:rFonts w:hint="eastAsia" w:ascii="宋体" w:hAnsi="宋体" w:cs="宋体"/>
          <w:b/>
          <w:kern w:val="0"/>
          <w:sz w:val="28"/>
          <w:szCs w:val="28"/>
          <w:highlight w:val="none"/>
        </w:rPr>
        <w:t>目录</w:t>
      </w:r>
    </w:p>
    <w:p>
      <w:pPr>
        <w:snapToGrid w:val="0"/>
        <w:spacing w:line="360" w:lineRule="auto"/>
        <w:ind w:left="479" w:leftChars="228"/>
        <w:rPr>
          <w:rFonts w:ascii="宋体" w:hAnsi="宋体" w:cs="宋体"/>
          <w:highlight w:val="none"/>
        </w:rPr>
      </w:pPr>
      <w:r>
        <w:rPr>
          <w:rFonts w:hint="eastAsia" w:ascii="宋体" w:hAnsi="宋体" w:cs="宋体"/>
          <w:sz w:val="24"/>
          <w:highlight w:val="none"/>
        </w:rPr>
        <w:t>（1）投标函</w:t>
      </w:r>
      <w:r>
        <w:rPr>
          <w:rFonts w:hint="eastAsia" w:ascii="宋体" w:hAnsi="宋体" w:cs="宋体"/>
          <w:highlight w:val="none"/>
        </w:rPr>
        <w:t>…………………………………………………………………………………（页码）</w:t>
      </w:r>
      <w:r>
        <w:rPr>
          <w:rFonts w:hint="eastAsia" w:ascii="宋体" w:hAnsi="宋体" w:cs="宋体"/>
          <w:sz w:val="24"/>
          <w:highlight w:val="none"/>
        </w:rPr>
        <w:t>（2）授权委托书或法定代表人（单位负责人、自然人本人）身份证明</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3</w:t>
      </w:r>
      <w:r>
        <w:rPr>
          <w:rFonts w:hint="eastAsia" w:ascii="宋体" w:hAnsi="宋体" w:cs="宋体"/>
          <w:sz w:val="24"/>
          <w:highlight w:val="none"/>
        </w:rPr>
        <w:t>）分包意向协议</w:t>
      </w:r>
      <w:r>
        <w:rPr>
          <w:rFonts w:hint="eastAsia" w:ascii="宋体" w:hAnsi="宋体" w:cs="宋体"/>
          <w:highlight w:val="none"/>
        </w:rPr>
        <w:t>…………………………………………………………………………（页码）</w:t>
      </w:r>
    </w:p>
    <w:p>
      <w:pPr>
        <w:snapToGrid w:val="0"/>
        <w:spacing w:line="360" w:lineRule="auto"/>
        <w:ind w:firstLine="480" w:firstLineChars="200"/>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4</w:t>
      </w:r>
      <w:r>
        <w:rPr>
          <w:rFonts w:hint="eastAsia" w:ascii="宋体" w:hAnsi="宋体" w:cs="宋体"/>
          <w:sz w:val="24"/>
          <w:highlight w:val="none"/>
        </w:rPr>
        <w:t>）符合性审查资料</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rPr>
        <w:t>（</w:t>
      </w:r>
      <w:r>
        <w:rPr>
          <w:rFonts w:ascii="宋体" w:hAnsi="宋体" w:cs="宋体"/>
          <w:sz w:val="24"/>
          <w:highlight w:val="none"/>
        </w:rPr>
        <w:t>5</w:t>
      </w:r>
      <w:r>
        <w:rPr>
          <w:rFonts w:hint="eastAsia" w:ascii="宋体" w:hAnsi="宋体" w:cs="宋体"/>
          <w:sz w:val="24"/>
          <w:highlight w:val="none"/>
        </w:rPr>
        <w:t>）评标标准相应的商务技术资料</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ascii="宋体" w:hAnsi="宋体" w:cs="宋体"/>
          <w:sz w:val="24"/>
          <w:highlight w:val="none"/>
        </w:rPr>
        <w:t>6</w:t>
      </w:r>
      <w:r>
        <w:rPr>
          <w:rFonts w:hint="eastAsia" w:ascii="宋体" w:hAnsi="宋体" w:cs="宋体"/>
          <w:sz w:val="24"/>
          <w:highlight w:val="none"/>
        </w:rPr>
        <w:t>）投标标的清单</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w:t>
      </w:r>
      <w:r>
        <w:rPr>
          <w:rFonts w:hint="eastAsia" w:ascii="宋体" w:hAnsi="宋体" w:cs="宋体"/>
          <w:sz w:val="24"/>
          <w:highlight w:val="none"/>
        </w:rPr>
        <w:t>…</w:t>
      </w:r>
      <w:r>
        <w:rPr>
          <w:rFonts w:hint="eastAsia" w:ascii="宋体" w:hAnsi="宋体" w:cs="宋体"/>
          <w:highlight w:val="none"/>
        </w:rPr>
        <w:t>……………（页码）</w:t>
      </w:r>
      <w:r>
        <w:rPr>
          <w:rFonts w:hint="eastAsia" w:ascii="宋体" w:hAnsi="宋体" w:cs="宋体"/>
          <w:sz w:val="24"/>
          <w:highlight w:val="none"/>
        </w:rPr>
        <w:t>（</w:t>
      </w:r>
      <w:r>
        <w:rPr>
          <w:rFonts w:ascii="宋体" w:hAnsi="宋体" w:cs="宋体"/>
          <w:sz w:val="24"/>
          <w:highlight w:val="none"/>
        </w:rPr>
        <w:t>7</w:t>
      </w:r>
      <w:r>
        <w:rPr>
          <w:rFonts w:hint="eastAsia" w:ascii="宋体" w:hAnsi="宋体" w:cs="宋体"/>
          <w:sz w:val="24"/>
          <w:highlight w:val="none"/>
        </w:rPr>
        <w:t>）商务技术偏离表</w:t>
      </w:r>
      <w:r>
        <w:rPr>
          <w:rFonts w:hint="eastAsia" w:ascii="宋体" w:hAnsi="宋体" w:cs="宋体"/>
          <w:highlight w:val="none"/>
        </w:rPr>
        <w:t>………………………………………………………………………（页码）</w:t>
      </w:r>
    </w:p>
    <w:p>
      <w:pPr>
        <w:snapToGrid w:val="0"/>
        <w:spacing w:line="360" w:lineRule="auto"/>
        <w:ind w:left="479" w:leftChars="228"/>
        <w:rPr>
          <w:rFonts w:ascii="宋体" w:hAnsi="宋体" w:cs="宋体"/>
          <w:highlight w:val="none"/>
        </w:rPr>
      </w:pPr>
      <w:r>
        <w:rPr>
          <w:rFonts w:hint="eastAsia" w:ascii="宋体" w:hAnsi="宋体" w:cs="宋体"/>
          <w:sz w:val="24"/>
          <w:highlight w:val="none"/>
          <w:lang w:val="zh-CN"/>
        </w:rPr>
        <w:t>（</w:t>
      </w:r>
      <w:r>
        <w:rPr>
          <w:rFonts w:ascii="宋体" w:hAnsi="宋体" w:cs="宋体"/>
          <w:sz w:val="24"/>
          <w:highlight w:val="none"/>
        </w:rPr>
        <w:t>8</w:t>
      </w:r>
      <w:r>
        <w:rPr>
          <w:rFonts w:hint="eastAsia" w:ascii="宋体" w:hAnsi="宋体" w:cs="宋体"/>
          <w:sz w:val="24"/>
          <w:highlight w:val="none"/>
          <w:lang w:val="zh-CN"/>
        </w:rPr>
        <w:t>）政府采购供应商廉洁自律承诺书</w:t>
      </w:r>
      <w:r>
        <w:rPr>
          <w:rFonts w:hint="eastAsia" w:ascii="宋体" w:hAnsi="宋体" w:cs="宋体"/>
          <w:highlight w:val="none"/>
        </w:rPr>
        <w:t>…………………………………………………（页码）</w:t>
      </w: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snapToGrid w:val="0"/>
        <w:spacing w:line="360" w:lineRule="auto"/>
        <w:jc w:val="center"/>
        <w:rPr>
          <w:rFonts w:ascii="宋体" w:hAnsi="宋体" w:cs="宋体"/>
          <w:b/>
          <w:kern w:val="0"/>
          <w:sz w:val="32"/>
          <w:szCs w:val="32"/>
          <w:highlight w:val="none"/>
          <w:lang w:val="zh-CN"/>
        </w:rPr>
      </w:pPr>
    </w:p>
    <w:p>
      <w:pPr>
        <w:rPr>
          <w:rFonts w:ascii="宋体" w:hAnsi="宋体" w:cs="宋体"/>
          <w:b/>
          <w:kern w:val="0"/>
          <w:sz w:val="32"/>
          <w:szCs w:val="32"/>
          <w:highlight w:val="none"/>
          <w:lang w:val="zh-CN"/>
        </w:rPr>
      </w:pPr>
    </w:p>
    <w:p>
      <w:pPr>
        <w:widowControl/>
        <w:adjustRightInd/>
        <w:jc w:val="left"/>
        <w:rPr>
          <w:rFonts w:ascii="宋体" w:hAnsi="宋体" w:cs="宋体"/>
          <w:b/>
          <w:kern w:val="0"/>
          <w:sz w:val="32"/>
          <w:szCs w:val="32"/>
          <w:highlight w:val="none"/>
        </w:rPr>
      </w:pPr>
      <w:r>
        <w:rPr>
          <w:rFonts w:ascii="宋体" w:hAnsi="宋体" w:cs="宋体"/>
          <w:b/>
          <w:kern w:val="0"/>
          <w:sz w:val="32"/>
          <w:szCs w:val="32"/>
          <w:highlight w:val="none"/>
        </w:rPr>
        <w:br w:type="page"/>
      </w:r>
    </w:p>
    <w:p>
      <w:pPr>
        <w:snapToGrid w:val="0"/>
        <w:spacing w:line="360" w:lineRule="auto"/>
        <w:jc w:val="center"/>
        <w:outlineLvl w:val="0"/>
        <w:rPr>
          <w:rFonts w:ascii="宋体" w:hAnsi="宋体" w:cs="宋体"/>
          <w:b/>
          <w:sz w:val="32"/>
          <w:szCs w:val="32"/>
          <w:highlight w:val="none"/>
        </w:rPr>
      </w:pPr>
      <w:r>
        <w:rPr>
          <w:rFonts w:hint="eastAsia" w:ascii="宋体" w:hAnsi="宋体" w:cs="宋体"/>
          <w:b/>
          <w:kern w:val="0"/>
          <w:sz w:val="32"/>
          <w:szCs w:val="32"/>
          <w:highlight w:val="none"/>
        </w:rPr>
        <w:t>一、投标</w:t>
      </w:r>
      <w:r>
        <w:rPr>
          <w:rFonts w:hint="eastAsia" w:ascii="宋体" w:hAnsi="宋体" w:cs="宋体"/>
          <w:b/>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杭州市数据资源管理局</w:t>
      </w:r>
      <w:r>
        <w:rPr>
          <w:rFonts w:hint="eastAsia" w:ascii="宋体" w:hAnsi="宋体" w:cs="宋体"/>
          <w:color w:val="auto"/>
          <w:sz w:val="24"/>
          <w:highlight w:val="none"/>
        </w:rPr>
        <w:t>、杭州市公共资源交易中心：</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杭州市智慧电子政务外网（2024）项目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HZZFCG-2024-081</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41" w:name="_Hlk101257010"/>
      <w:r>
        <w:rPr>
          <w:rFonts w:hint="eastAsia" w:ascii="宋体" w:hAnsi="宋体" w:cs="宋体"/>
          <w:color w:val="auto"/>
          <w:sz w:val="24"/>
          <w:highlight w:val="none"/>
        </w:rPr>
        <w:t>（如果有)</w:t>
      </w:r>
      <w:bookmarkEnd w:id="441"/>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2.3.2 报价情况说明（如果有）；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r>
        <w:rPr>
          <w:rFonts w:hint="eastAsia" w:ascii="宋体" w:hAnsi="宋体" w:eastAsia="宋体" w:cs="宋体"/>
          <w:color w:val="auto"/>
          <w:sz w:val="24"/>
        </w:rPr>
        <w:t>对投标文件中材料的真实性、合法性负责。</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sz w:val="24"/>
          <w:highlight w:val="none"/>
        </w:rPr>
      </w:pPr>
      <w:r>
        <w:rPr>
          <w:rFonts w:hint="eastAsia" w:ascii="宋体" w:hAnsi="宋体" w:cs="宋体"/>
          <w:sz w:val="24"/>
          <w:highlight w:val="none"/>
        </w:rPr>
        <w:t>5、其他补充说明:</w:t>
      </w:r>
      <w:r>
        <w:rPr>
          <w:rFonts w:hint="eastAsia" w:ascii="宋体" w:hAnsi="宋体" w:cs="宋体"/>
          <w:sz w:val="24"/>
          <w:highlight w:val="none"/>
          <w:u w:val="single"/>
        </w:rPr>
        <w:t xml:space="preserve">                                        </w:t>
      </w:r>
      <w:r>
        <w:rPr>
          <w:rFonts w:hint="eastAsia" w:ascii="宋体" w:hAnsi="宋体" w:cs="宋体"/>
          <w:sz w:val="24"/>
          <w:highlight w:val="none"/>
        </w:rPr>
        <w:t>。</w:t>
      </w:r>
    </w:p>
    <w:p>
      <w:pPr>
        <w:spacing w:line="360" w:lineRule="auto"/>
        <w:ind w:firstLine="3600" w:firstLineChars="1500"/>
        <w:rPr>
          <w:rFonts w:ascii="宋体" w:hAnsi="宋体" w:cs="宋体"/>
          <w:sz w:val="24"/>
          <w:highlight w:val="none"/>
        </w:rPr>
      </w:pPr>
      <w:r>
        <w:rPr>
          <w:rFonts w:hint="eastAsia" w:ascii="宋体" w:hAnsi="宋体" w:cs="宋体"/>
          <w:sz w:val="24"/>
          <w:highlight w:val="none"/>
        </w:rPr>
        <w:t xml:space="preserve">投标人名称（电子签名）：                          </w:t>
      </w:r>
    </w:p>
    <w:p>
      <w:pPr>
        <w:spacing w:line="360" w:lineRule="auto"/>
        <w:jc w:val="center"/>
        <w:rPr>
          <w:rFonts w:ascii="宋体" w:hAnsi="宋体" w:cs="宋体"/>
          <w:sz w:val="24"/>
          <w:highlight w:val="none"/>
        </w:rPr>
      </w:pPr>
      <w:r>
        <w:rPr>
          <w:rFonts w:hint="eastAsia" w:ascii="宋体" w:hAnsi="宋体" w:cs="宋体"/>
          <w:sz w:val="24"/>
          <w:highlight w:val="none"/>
        </w:rPr>
        <w:t xml:space="preserve">     日期：  年   月   日</w:t>
      </w:r>
    </w:p>
    <w:p>
      <w:pPr>
        <w:snapToGrid w:val="0"/>
        <w:spacing w:line="360" w:lineRule="auto"/>
        <w:ind w:left="420" w:leftChars="200" w:firstLine="4200" w:firstLineChars="1750"/>
        <w:rPr>
          <w:rFonts w:ascii="宋体" w:hAnsi="宋体" w:cs="宋体"/>
          <w:kern w:val="0"/>
          <w:sz w:val="24"/>
          <w:highlight w:val="none"/>
          <w:u w:val="singl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napToGrid w:val="0"/>
        <w:spacing w:line="360" w:lineRule="auto"/>
        <w:jc w:val="center"/>
        <w:rPr>
          <w:rFonts w:ascii="宋体" w:hAnsi="宋体" w:cs="宋体"/>
          <w:b/>
          <w:kern w:val="0"/>
          <w:sz w:val="32"/>
          <w:szCs w:val="32"/>
          <w:highlight w:val="none"/>
        </w:rPr>
      </w:pPr>
    </w:p>
    <w:p>
      <w:pPr>
        <w:snapToGrid w:val="0"/>
        <w:spacing w:line="360" w:lineRule="auto"/>
        <w:rPr>
          <w:rFonts w:ascii="宋体" w:hAnsi="宋体" w:cs="宋体"/>
          <w:sz w:val="24"/>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pStyle w:val="3"/>
        <w:rPr>
          <w:highlight w:val="none"/>
          <w:lang w:val="en-US"/>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r>
        <w:rPr>
          <w:rFonts w:ascii="宋体" w:hAnsi="宋体" w:cs="宋体"/>
          <w:b/>
          <w:kern w:val="0"/>
          <w:sz w:val="32"/>
          <w:szCs w:val="32"/>
          <w:highlight w:val="none"/>
        </w:rPr>
        <w:br w:type="page"/>
      </w:r>
    </w:p>
    <w:p>
      <w:pPr>
        <w:jc w:val="center"/>
        <w:rPr>
          <w:rFonts w:ascii="宋体" w:hAnsi="宋体" w:cs="宋体"/>
          <w:b/>
          <w:kern w:val="0"/>
          <w:sz w:val="32"/>
          <w:szCs w:val="32"/>
          <w:highlight w:val="none"/>
          <w:lang w:val="zh-CN"/>
        </w:rPr>
      </w:pPr>
      <w:r>
        <w:rPr>
          <w:rFonts w:hint="eastAsia" w:ascii="宋体" w:hAnsi="宋体" w:cs="宋体"/>
          <w:b/>
          <w:kern w:val="0"/>
          <w:sz w:val="32"/>
          <w:szCs w:val="32"/>
          <w:highlight w:val="none"/>
          <w:lang w:val="zh-CN"/>
        </w:rPr>
        <w:t>二、授权委托书或法定代表人（单位负责人、自然人本人）身份证明</w:t>
      </w:r>
    </w:p>
    <w:p>
      <w:pPr>
        <w:snapToGrid w:val="0"/>
        <w:spacing w:line="360" w:lineRule="auto"/>
        <w:rPr>
          <w:rFonts w:ascii="宋体" w:hAnsi="宋体" w:cs="宋体"/>
          <w:sz w:val="24"/>
          <w:highlight w:val="none"/>
        </w:rPr>
      </w:pPr>
      <w:r>
        <w:rPr>
          <w:rFonts w:hint="eastAsia" w:ascii="宋体" w:hAnsi="宋体" w:cs="宋体"/>
          <w:sz w:val="24"/>
          <w:highlight w:val="none"/>
        </w:rPr>
        <w:t xml:space="preserve">                                </w:t>
      </w:r>
    </w:p>
    <w:p>
      <w:pPr>
        <w:snapToGrid w:val="0"/>
        <w:spacing w:line="360" w:lineRule="auto"/>
        <w:ind w:firstLine="2872" w:firstLineChars="894"/>
        <w:rPr>
          <w:rFonts w:ascii="宋体" w:hAnsi="宋体" w:cs="宋体"/>
          <w:highlight w:val="none"/>
        </w:rPr>
      </w:pPr>
      <w:r>
        <w:rPr>
          <w:rFonts w:hint="eastAsia" w:ascii="宋体" w:hAnsi="宋体" w:cs="宋体"/>
          <w:b/>
          <w:kern w:val="0"/>
          <w:sz w:val="32"/>
          <w:szCs w:val="32"/>
          <w:highlight w:val="none"/>
          <w:lang w:val="zh-CN"/>
        </w:rPr>
        <w:t>授权委托书（适用于非联合体投标）</w:t>
      </w:r>
      <w:r>
        <w:rPr>
          <w:rFonts w:hint="eastAsia" w:ascii="宋体" w:hAnsi="宋体" w:cs="宋体"/>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杭州市数据资源管理局</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杭州市智慧电子政务外网（2024）项目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杭州市数据资源管理局</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u w:val="none"/>
          <w:lang w:val="en-US" w:eastAsia="zh-CN"/>
        </w:rPr>
        <w:t>，所在单位：</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杭州市智慧电子政务外网（2024）项目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48"/>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48"/>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first"/>
          <w:footerReference r:id="rId11" w:type="first"/>
          <w:headerReference r:id="rId8"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中标后以分包方式履行合同的，提供分包意向协议(附件6</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1</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投标文件按照招标文件要求签署、盖章。</w:t>
            </w:r>
          </w:p>
        </w:tc>
        <w:tc>
          <w:tcPr>
            <w:tcW w:w="2551" w:type="dxa"/>
            <w:vAlign w:val="center"/>
          </w:tcPr>
          <w:p>
            <w:pPr>
              <w:rPr>
                <w:rFonts w:ascii="宋体" w:hAnsi="宋体" w:cs="宋体"/>
                <w:sz w:val="24"/>
                <w:highlight w:val="none"/>
              </w:rPr>
            </w:pPr>
            <w:r>
              <w:rPr>
                <w:rFonts w:hint="eastAsia" w:ascii="宋体" w:hAnsi="宋体" w:cs="宋体"/>
                <w:sz w:val="24"/>
                <w:highlight w:val="none"/>
              </w:rPr>
              <w:t>需要使用电子签名或者签字盖章的投标文件的组成部分</w:t>
            </w:r>
          </w:p>
        </w:tc>
        <w:tc>
          <w:tcPr>
            <w:tcW w:w="1418" w:type="dxa"/>
          </w:tcPr>
          <w:p>
            <w:pPr>
              <w:rPr>
                <w:rFonts w:ascii="宋体" w:hAnsi="宋体" w:cs="宋体"/>
                <w:sz w:val="24"/>
                <w:highlight w:val="none"/>
              </w:rPr>
            </w:pPr>
          </w:p>
          <w:p>
            <w:pPr>
              <w:rPr>
                <w:rFonts w:ascii="宋体" w:hAnsi="宋体" w:cs="宋体"/>
                <w:sz w:val="24"/>
                <w:highlight w:val="none"/>
              </w:rPr>
            </w:pPr>
            <w:r>
              <w:rPr>
                <w:rFonts w:hint="eastAsia" w:ascii="宋体" w:hAnsi="宋体" w:cs="宋体"/>
                <w:sz w:val="24"/>
                <w:highlight w:val="none"/>
              </w:rPr>
              <w:t>见投标文件</w:t>
            </w:r>
          </w:p>
          <w:p>
            <w:pPr>
              <w:rPr>
                <w:rFonts w:ascii="宋体" w:hAnsi="宋体" w:cs="宋体"/>
                <w:highlight w:val="none"/>
              </w:rPr>
            </w:pPr>
            <w:r>
              <w:rPr>
                <w:rFonts w:hint="eastAsia" w:ascii="宋体" w:hAnsi="宋体" w:cs="宋体"/>
                <w:sz w:val="24"/>
                <w:highlight w:val="none"/>
              </w:rPr>
              <w:t>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2</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投标文件中承诺的投标有效期不少于招标文件中载明的投标有效期。</w:t>
            </w:r>
          </w:p>
        </w:tc>
        <w:tc>
          <w:tcPr>
            <w:tcW w:w="2551" w:type="dxa"/>
            <w:vAlign w:val="center"/>
          </w:tcPr>
          <w:p>
            <w:pPr>
              <w:rPr>
                <w:rFonts w:ascii="宋体" w:hAnsi="宋体" w:cs="宋体"/>
                <w:sz w:val="24"/>
                <w:highlight w:val="none"/>
              </w:rPr>
            </w:pPr>
            <w:r>
              <w:rPr>
                <w:rFonts w:hint="eastAsia" w:ascii="宋体" w:hAnsi="宋体" w:cs="宋体"/>
                <w:sz w:val="24"/>
                <w:highlight w:val="none"/>
              </w:rPr>
              <w:t>投标函</w:t>
            </w:r>
          </w:p>
        </w:tc>
        <w:tc>
          <w:tcPr>
            <w:tcW w:w="1418" w:type="dxa"/>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60" w:hRule="atLeast"/>
        </w:trPr>
        <w:tc>
          <w:tcPr>
            <w:tcW w:w="646" w:type="dxa"/>
            <w:vAlign w:val="center"/>
          </w:tcPr>
          <w:p>
            <w:pPr>
              <w:jc w:val="center"/>
              <w:rPr>
                <w:rFonts w:ascii="宋体" w:hAnsi="宋体" w:cs="宋体"/>
                <w:sz w:val="24"/>
                <w:highlight w:val="none"/>
              </w:rPr>
            </w:pPr>
            <w:r>
              <w:rPr>
                <w:rFonts w:hint="eastAsia" w:ascii="宋体" w:hAnsi="宋体" w:cs="宋体"/>
                <w:sz w:val="24"/>
                <w:highlight w:val="none"/>
              </w:rPr>
              <w:t>3</w:t>
            </w:r>
          </w:p>
        </w:tc>
        <w:tc>
          <w:tcPr>
            <w:tcW w:w="4991" w:type="dxa"/>
          </w:tcPr>
          <w:p>
            <w:pPr>
              <w:spacing w:line="360" w:lineRule="auto"/>
              <w:rPr>
                <w:rFonts w:ascii="宋体" w:hAnsi="宋体" w:cs="宋体"/>
                <w:sz w:val="24"/>
                <w:highlight w:val="none"/>
              </w:rPr>
            </w:pPr>
            <w:r>
              <w:rPr>
                <w:rFonts w:hint="eastAsia" w:ascii="宋体" w:hAnsi="宋体" w:cs="宋体"/>
                <w:sz w:val="24"/>
                <w:highlight w:val="none"/>
              </w:rPr>
              <w:t>投标文件满足招标文件的其它实质性要求。</w:t>
            </w:r>
          </w:p>
        </w:tc>
        <w:tc>
          <w:tcPr>
            <w:tcW w:w="2551" w:type="dxa"/>
            <w:vAlign w:val="center"/>
          </w:tcPr>
          <w:p>
            <w:pPr>
              <w:rPr>
                <w:rFonts w:ascii="宋体" w:hAnsi="宋体" w:cs="宋体"/>
                <w:sz w:val="24"/>
                <w:highlight w:val="none"/>
              </w:rPr>
            </w:pPr>
            <w:r>
              <w:rPr>
                <w:rFonts w:hint="eastAsia" w:ascii="宋体" w:hAnsi="宋体" w:cs="宋体"/>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highlight w:val="none"/>
              </w:rPr>
            </w:pPr>
            <w:r>
              <w:rPr>
                <w:rFonts w:hint="eastAsia" w:ascii="宋体" w:hAnsi="宋体" w:cs="宋体"/>
                <w:sz w:val="24"/>
                <w:highlight w:val="none"/>
              </w:rPr>
              <w:t>见投标文件第</w:t>
            </w:r>
            <w:r>
              <w:rPr>
                <w:rFonts w:hint="eastAsia" w:ascii="宋体" w:hAnsi="宋体" w:cs="宋体"/>
                <w:sz w:val="24"/>
                <w:highlight w:val="none"/>
                <w:u w:val="single"/>
              </w:rPr>
              <w:t xml:space="preserve">  </w:t>
            </w:r>
            <w:r>
              <w:rPr>
                <w:rFonts w:hint="eastAsia" w:ascii="宋体" w:hAnsi="宋体" w:cs="宋体"/>
                <w:sz w:val="24"/>
                <w:highlight w:val="none"/>
              </w:rPr>
              <w:t>页</w:t>
            </w: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 xml:space="preserve">            </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widowControl/>
        <w:adjustRightInd/>
        <w:jc w:val="left"/>
        <w:rPr>
          <w:rFonts w:ascii="宋体" w:hAnsi="宋体" w:cs="宋体"/>
          <w:b/>
          <w:kern w:val="0"/>
          <w:sz w:val="32"/>
          <w:szCs w:val="32"/>
          <w:highlight w:val="none"/>
        </w:rPr>
      </w:pPr>
      <w:r>
        <w:rPr>
          <w:rFonts w:ascii="宋体" w:hAnsi="宋体" w:cs="宋体"/>
          <w:b/>
          <w:kern w:val="0"/>
          <w:sz w:val="32"/>
          <w:szCs w:val="32"/>
          <w:highlight w:val="none"/>
        </w:rPr>
        <w:br w:type="page"/>
      </w:r>
    </w:p>
    <w:p>
      <w:pPr>
        <w:jc w:val="center"/>
        <w:rPr>
          <w:rFonts w:ascii="宋体" w:hAnsi="宋体" w:cs="宋体"/>
          <w:highlight w:val="none"/>
        </w:rPr>
      </w:pPr>
      <w:r>
        <w:rPr>
          <w:rFonts w:hint="eastAsia" w:ascii="宋体" w:hAnsi="宋体" w:cs="宋体"/>
          <w:b/>
          <w:kern w:val="0"/>
          <w:sz w:val="32"/>
          <w:szCs w:val="32"/>
          <w:highlight w:val="none"/>
        </w:rPr>
        <w:t>五、评标标准相应的商务技术资料</w:t>
      </w:r>
    </w:p>
    <w:p>
      <w:pPr>
        <w:snapToGrid w:val="0"/>
        <w:spacing w:line="360" w:lineRule="auto"/>
        <w:jc w:val="left"/>
        <w:rPr>
          <w:rFonts w:ascii="宋体" w:hAnsi="宋体" w:cs="宋体"/>
          <w:b/>
          <w:sz w:val="24"/>
          <w:highlight w:val="none"/>
        </w:rPr>
      </w:pPr>
      <w:r>
        <w:rPr>
          <w:rFonts w:hint="eastAsia" w:ascii="宋体" w:hAnsi="宋体" w:cs="宋体"/>
          <w:b/>
          <w:sz w:val="24"/>
          <w:highlight w:val="none"/>
        </w:rPr>
        <w:t>（按招标文件第四部分评标办法前附表中“投标文件中评标标准相应的商务技术资料目录”提供资料。）</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ind w:firstLine="2891" w:firstLineChars="900"/>
        <w:rPr>
          <w:rFonts w:ascii="宋体" w:hAnsi="宋体" w:cs="宋体"/>
          <w:b/>
          <w:kern w:val="0"/>
          <w:sz w:val="32"/>
          <w:szCs w:val="32"/>
          <w:highlight w:val="none"/>
        </w:rPr>
      </w:pPr>
      <w:r>
        <w:rPr>
          <w:rFonts w:hint="eastAsia" w:ascii="宋体" w:hAnsi="宋体" w:cs="宋体"/>
          <w:b/>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名称</w:t>
            </w:r>
          </w:p>
        </w:tc>
        <w:tc>
          <w:tcPr>
            <w:tcW w:w="111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r>
              <w:rPr>
                <w:rFonts w:hint="eastAsia" w:ascii="宋体" w:hAnsi="宋体" w:cs="宋体"/>
                <w:b/>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highlight w:val="none"/>
              </w:rPr>
            </w:pPr>
          </w:p>
          <w:p>
            <w:pPr>
              <w:spacing w:line="360" w:lineRule="auto"/>
              <w:jc w:val="center"/>
              <w:rPr>
                <w:rFonts w:ascii="宋体" w:hAnsi="宋体" w:cs="宋体"/>
                <w:b/>
                <w:sz w:val="24"/>
                <w:highlight w:val="none"/>
              </w:rPr>
            </w:pPr>
            <w:r>
              <w:rPr>
                <w:rFonts w:hint="eastAsia" w:ascii="宋体" w:hAnsi="宋体" w:cs="宋体"/>
                <w:b/>
                <w:sz w:val="24"/>
                <w:highlight w:val="none"/>
              </w:rPr>
              <w:t>备注（如果有）</w:t>
            </w:r>
          </w:p>
          <w:p>
            <w:pPr>
              <w:spacing w:line="360" w:lineRule="auto"/>
              <w:jc w:val="center"/>
              <w:rPr>
                <w:rFonts w:ascii="宋体" w:hAnsi="宋体" w:cs="宋体"/>
                <w:b/>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r>
              <w:rPr>
                <w:rFonts w:hint="eastAsia" w:ascii="宋体" w:hAnsi="宋体" w:cs="宋体"/>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highlight w:val="none"/>
              </w:rPr>
            </w:pPr>
          </w:p>
        </w:tc>
      </w:tr>
    </w:tbl>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p>
    <w:p>
      <w:pPr>
        <w:jc w:val="center"/>
        <w:rPr>
          <w:rFonts w:ascii="宋体" w:hAnsi="宋体" w:cs="宋体"/>
          <w:b/>
          <w:kern w:val="0"/>
          <w:sz w:val="32"/>
          <w:szCs w:val="32"/>
          <w:highlight w:val="none"/>
        </w:rPr>
      </w:pPr>
      <w:r>
        <w:rPr>
          <w:rFonts w:hint="eastAsia" w:ascii="宋体" w:hAnsi="宋体" w:cs="宋体"/>
          <w:b/>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ascii="宋体" w:hAnsi="宋体" w:cs="宋体"/>
                <w:b/>
                <w:bCs/>
                <w:sz w:val="24"/>
                <w:highlight w:val="none"/>
              </w:rPr>
            </w:pPr>
            <w:r>
              <w:rPr>
                <w:rFonts w:hint="eastAsia" w:ascii="宋体" w:hAnsi="宋体" w:cs="宋体"/>
                <w:b/>
                <w:bCs/>
                <w:sz w:val="24"/>
                <w:highlight w:val="none"/>
              </w:rPr>
              <w:t>序号</w:t>
            </w:r>
          </w:p>
        </w:tc>
        <w:tc>
          <w:tcPr>
            <w:tcW w:w="3683" w:type="dxa"/>
          </w:tcPr>
          <w:p>
            <w:pPr>
              <w:jc w:val="center"/>
              <w:rPr>
                <w:rFonts w:ascii="宋体" w:hAnsi="宋体" w:cs="宋体"/>
                <w:b/>
                <w:bCs/>
                <w:sz w:val="24"/>
                <w:highlight w:val="none"/>
              </w:rPr>
            </w:pPr>
            <w:r>
              <w:rPr>
                <w:rFonts w:hint="eastAsia" w:ascii="宋体" w:hAnsi="宋体" w:cs="宋体"/>
                <w:b/>
                <w:bCs/>
                <w:sz w:val="24"/>
                <w:highlight w:val="none"/>
              </w:rPr>
              <w:t>招标文件章节及具体内容</w:t>
            </w:r>
          </w:p>
        </w:tc>
        <w:tc>
          <w:tcPr>
            <w:tcW w:w="3546" w:type="dxa"/>
          </w:tcPr>
          <w:p>
            <w:pPr>
              <w:jc w:val="center"/>
              <w:rPr>
                <w:rFonts w:ascii="宋体" w:hAnsi="宋体" w:cs="宋体"/>
                <w:b/>
                <w:bCs/>
                <w:sz w:val="24"/>
                <w:highlight w:val="none"/>
              </w:rPr>
            </w:pPr>
            <w:r>
              <w:rPr>
                <w:rFonts w:hint="eastAsia" w:ascii="宋体" w:hAnsi="宋体" w:cs="宋体"/>
                <w:b/>
                <w:bCs/>
                <w:sz w:val="24"/>
                <w:highlight w:val="none"/>
              </w:rPr>
              <w:t>投标文件章节及具体内容</w:t>
            </w:r>
          </w:p>
        </w:tc>
        <w:tc>
          <w:tcPr>
            <w:tcW w:w="1276" w:type="dxa"/>
          </w:tcPr>
          <w:p>
            <w:pPr>
              <w:jc w:val="center"/>
              <w:rPr>
                <w:rFonts w:ascii="宋体" w:hAnsi="宋体" w:cs="宋体"/>
                <w:b/>
                <w:bCs/>
                <w:sz w:val="24"/>
                <w:highlight w:val="none"/>
              </w:rPr>
            </w:pPr>
            <w:r>
              <w:rPr>
                <w:rFonts w:hint="eastAsia" w:ascii="宋体" w:hAnsi="宋体" w:cs="宋体"/>
                <w:b/>
                <w:bCs/>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1</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2</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highlight w:val="none"/>
              </w:rPr>
            </w:pPr>
            <w:r>
              <w:rPr>
                <w:rFonts w:hint="eastAsia" w:ascii="宋体" w:hAnsi="宋体" w:cs="宋体"/>
                <w:kern w:val="0"/>
                <w:sz w:val="24"/>
                <w:highlight w:val="none"/>
              </w:rPr>
              <w:t>……</w:t>
            </w:r>
          </w:p>
        </w:tc>
        <w:tc>
          <w:tcPr>
            <w:tcW w:w="3683" w:type="dxa"/>
          </w:tcPr>
          <w:p>
            <w:pPr>
              <w:jc w:val="center"/>
              <w:rPr>
                <w:rFonts w:ascii="宋体" w:hAnsi="宋体" w:cs="宋体"/>
                <w:b/>
                <w:kern w:val="0"/>
                <w:sz w:val="32"/>
                <w:szCs w:val="32"/>
                <w:highlight w:val="none"/>
              </w:rPr>
            </w:pPr>
          </w:p>
        </w:tc>
        <w:tc>
          <w:tcPr>
            <w:tcW w:w="3546" w:type="dxa"/>
          </w:tcPr>
          <w:p>
            <w:pPr>
              <w:jc w:val="center"/>
              <w:rPr>
                <w:rFonts w:ascii="宋体" w:hAnsi="宋体" w:cs="宋体"/>
                <w:b/>
                <w:kern w:val="0"/>
                <w:sz w:val="32"/>
                <w:szCs w:val="32"/>
                <w:highlight w:val="none"/>
              </w:rPr>
            </w:pPr>
          </w:p>
        </w:tc>
        <w:tc>
          <w:tcPr>
            <w:tcW w:w="1276" w:type="dxa"/>
          </w:tcPr>
          <w:p>
            <w:pPr>
              <w:jc w:val="center"/>
              <w:rPr>
                <w:rFonts w:ascii="宋体" w:hAnsi="宋体" w:cs="宋体"/>
                <w:b/>
                <w:kern w:val="0"/>
                <w:sz w:val="32"/>
                <w:szCs w:val="32"/>
                <w:highlight w:val="none"/>
              </w:rPr>
            </w:pPr>
          </w:p>
        </w:tc>
      </w:tr>
    </w:tbl>
    <w:p>
      <w:pPr>
        <w:jc w:val="left"/>
        <w:rPr>
          <w:rFonts w:ascii="宋体" w:hAnsi="宋体" w:cs="宋体"/>
          <w:kern w:val="0"/>
          <w:sz w:val="24"/>
          <w:highlight w:val="none"/>
        </w:rPr>
      </w:pPr>
      <w:r>
        <w:rPr>
          <w:rFonts w:hint="eastAsia" w:ascii="宋体" w:hAnsi="宋体" w:cs="宋体"/>
          <w:kern w:val="0"/>
          <w:sz w:val="24"/>
          <w:highlight w:val="none"/>
        </w:rPr>
        <w:t>投标人保证：除商务技术偏离表列出的偏离外，投标人响应招标文件的全部要求</w:t>
      </w:r>
    </w:p>
    <w:p>
      <w:pPr>
        <w:jc w:val="center"/>
        <w:rPr>
          <w:rFonts w:ascii="宋体" w:hAnsi="宋体" w:cs="宋体"/>
          <w:b/>
          <w:kern w:val="0"/>
          <w:sz w:val="32"/>
          <w:szCs w:val="32"/>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ind w:firstLine="1911" w:firstLineChars="595"/>
        <w:rPr>
          <w:rFonts w:ascii="宋体" w:hAnsi="宋体" w:cs="宋体"/>
          <w:b/>
          <w:bCs/>
          <w:sz w:val="32"/>
          <w:szCs w:val="32"/>
          <w:highlight w:val="none"/>
        </w:rPr>
      </w:pPr>
    </w:p>
    <w:p>
      <w:pPr>
        <w:widowControl/>
        <w:adjustRightInd/>
        <w:jc w:val="left"/>
        <w:rPr>
          <w:rFonts w:ascii="宋体" w:hAnsi="宋体" w:cs="宋体"/>
          <w:b/>
          <w:bCs/>
          <w:sz w:val="32"/>
          <w:szCs w:val="32"/>
          <w:highlight w:val="none"/>
        </w:rPr>
      </w:pPr>
      <w:r>
        <w:rPr>
          <w:rFonts w:ascii="宋体" w:hAnsi="宋体" w:cs="宋体"/>
          <w:b/>
          <w:bCs/>
          <w:sz w:val="32"/>
          <w:szCs w:val="32"/>
          <w:highlight w:val="none"/>
        </w:rPr>
        <w:br w:type="page"/>
      </w:r>
    </w:p>
    <w:p>
      <w:pPr>
        <w:ind w:firstLine="1911" w:firstLineChars="595"/>
        <w:rPr>
          <w:rFonts w:ascii="宋体" w:hAnsi="宋体" w:cs="宋体"/>
          <w:b/>
          <w:kern w:val="0"/>
          <w:sz w:val="32"/>
          <w:szCs w:val="32"/>
          <w:highlight w:val="none"/>
        </w:rPr>
      </w:pPr>
      <w:r>
        <w:rPr>
          <w:rFonts w:hint="eastAsia" w:ascii="宋体" w:hAnsi="宋体" w:cs="宋体"/>
          <w:b/>
          <w:bCs/>
          <w:sz w:val="32"/>
          <w:szCs w:val="32"/>
          <w:highlight w:val="none"/>
        </w:rPr>
        <w:t>八</w:t>
      </w:r>
      <w:r>
        <w:rPr>
          <w:rFonts w:hint="eastAsia" w:ascii="宋体" w:hAnsi="宋体" w:cs="宋体"/>
          <w:b/>
          <w:kern w:val="0"/>
          <w:sz w:val="32"/>
          <w:szCs w:val="32"/>
          <w:highlight w:val="none"/>
        </w:rPr>
        <w:t>、</w:t>
      </w:r>
      <w:r>
        <w:rPr>
          <w:rFonts w:hint="eastAsia" w:ascii="宋体" w:hAnsi="宋体" w:cs="宋体"/>
          <w:b/>
          <w:kern w:val="0"/>
          <w:sz w:val="32"/>
          <w:szCs w:val="32"/>
          <w:highlight w:val="none"/>
          <w:lang w:val="zh-CN"/>
        </w:rPr>
        <w:t>政府采购供应商廉洁自律承诺书</w:t>
      </w:r>
    </w:p>
    <w:p>
      <w:pPr>
        <w:snapToGrid w:val="0"/>
        <w:spacing w:line="360" w:lineRule="auto"/>
        <w:rPr>
          <w:rFonts w:ascii="宋体" w:hAnsi="宋体" w:cs="宋体"/>
          <w:sz w:val="24"/>
          <w:highlight w:val="none"/>
        </w:rPr>
      </w:pPr>
    </w:p>
    <w:p>
      <w:pPr>
        <w:snapToGrid w:val="0"/>
        <w:spacing w:line="360" w:lineRule="auto"/>
        <w:rPr>
          <w:rFonts w:ascii="宋体" w:hAnsi="宋体" w:cs="宋体"/>
          <w:kern w:val="0"/>
          <w:sz w:val="24"/>
          <w:highlight w:val="none"/>
        </w:rPr>
      </w:pPr>
      <w:r>
        <w:rPr>
          <w:rFonts w:hint="eastAsia" w:ascii="宋体" w:hAnsi="宋体" w:cs="宋体"/>
          <w:color w:val="auto"/>
          <w:sz w:val="24"/>
          <w:highlight w:val="none"/>
          <w:lang w:eastAsia="zh-CN"/>
        </w:rPr>
        <w:t>杭州市数据资源管理局</w:t>
      </w:r>
      <w:r>
        <w:rPr>
          <w:rFonts w:hint="eastAsia" w:ascii="宋体" w:hAnsi="宋体" w:cs="宋体"/>
          <w:color w:val="auto"/>
          <w:sz w:val="24"/>
          <w:highlight w:val="none"/>
        </w:rPr>
        <w:t>、杭</w:t>
      </w:r>
      <w:r>
        <w:rPr>
          <w:rFonts w:hint="eastAsia" w:ascii="宋体" w:hAnsi="宋体" w:cs="宋体"/>
          <w:sz w:val="24"/>
          <w:highlight w:val="none"/>
        </w:rPr>
        <w:t>州市公共资源交易中心</w:t>
      </w:r>
      <w:r>
        <w:rPr>
          <w:rFonts w:hint="eastAsia" w:ascii="宋体" w:hAnsi="宋体" w:cs="宋体"/>
          <w:kern w:val="0"/>
          <w:sz w:val="24"/>
          <w:highlight w:val="none"/>
          <w:lang w:val="zh-CN"/>
        </w:rPr>
        <w:t>：</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我单位响应你</w:t>
      </w:r>
      <w:r>
        <w:rPr>
          <w:rFonts w:hint="eastAsia" w:ascii="宋体" w:hAnsi="宋体" w:cs="宋体"/>
          <w:sz w:val="24"/>
          <w:highlight w:val="none"/>
        </w:rPr>
        <w:t>单位</w:t>
      </w:r>
      <w:r>
        <w:rPr>
          <w:rFonts w:hint="eastAsia" w:ascii="宋体" w:hAnsi="宋体" w:cs="宋体"/>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好处；</w:t>
      </w:r>
    </w:p>
    <w:p>
      <w:pPr>
        <w:autoSpaceDE w:val="0"/>
        <w:autoSpaceDN w:val="0"/>
        <w:spacing w:line="360" w:lineRule="auto"/>
        <w:ind w:left="481" w:leftChars="229"/>
        <w:jc w:val="left"/>
        <w:rPr>
          <w:rFonts w:ascii="宋体" w:hAnsi="宋体" w:cs="宋体"/>
          <w:kern w:val="0"/>
          <w:sz w:val="24"/>
          <w:highlight w:val="none"/>
          <w:lang w:val="zh-CN"/>
        </w:rPr>
      </w:pPr>
      <w:r>
        <w:rPr>
          <w:rFonts w:hint="eastAsia" w:ascii="宋体" w:hAnsi="宋体" w:cs="宋体"/>
          <w:kern w:val="0"/>
          <w:sz w:val="24"/>
          <w:highlight w:val="none"/>
          <w:lang w:val="zh-CN"/>
        </w:rPr>
        <w:t>六、严格遵守《</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政府采购法》《</w:t>
      </w:r>
      <w:r>
        <w:rPr>
          <w:rFonts w:hint="eastAsia" w:ascii="宋体" w:hAnsi="宋体" w:cs="宋体"/>
          <w:sz w:val="24"/>
          <w:highlight w:val="none"/>
          <w:lang w:val="zh-CN"/>
        </w:rPr>
        <w:t>中华人民共和国</w:t>
      </w:r>
      <w:r>
        <w:rPr>
          <w:rFonts w:hint="eastAsia" w:ascii="宋体" w:hAnsi="宋体" w:cs="宋体"/>
          <w:kern w:val="0"/>
          <w:sz w:val="24"/>
          <w:highlight w:val="none"/>
          <w:lang w:val="zh-CN"/>
        </w:rPr>
        <w:t>招标投标</w:t>
      </w:r>
    </w:p>
    <w:p>
      <w:pPr>
        <w:autoSpaceDE w:val="0"/>
        <w:autoSpaceDN w:val="0"/>
        <w:spacing w:line="360" w:lineRule="auto"/>
        <w:jc w:val="left"/>
        <w:rPr>
          <w:rFonts w:ascii="宋体" w:hAnsi="宋体" w:cs="宋体"/>
          <w:kern w:val="0"/>
          <w:sz w:val="24"/>
          <w:highlight w:val="none"/>
          <w:lang w:val="zh-CN"/>
        </w:rPr>
      </w:pPr>
      <w:r>
        <w:rPr>
          <w:rFonts w:hint="eastAsia" w:ascii="宋体" w:hAnsi="宋体" w:cs="宋体"/>
          <w:kern w:val="0"/>
          <w:sz w:val="24"/>
          <w:highlight w:val="none"/>
          <w:lang w:val="zh-CN"/>
        </w:rPr>
        <w:t>法》</w:t>
      </w:r>
      <w:r>
        <w:rPr>
          <w:rFonts w:hint="eastAsia" w:ascii="宋体" w:hAnsi="宋体" w:cs="宋体"/>
          <w:sz w:val="24"/>
          <w:highlight w:val="none"/>
          <w:lang w:val="zh-CN"/>
        </w:rPr>
        <w:t>《中华人民共和国民法典》</w:t>
      </w:r>
      <w:r>
        <w:rPr>
          <w:rFonts w:hint="eastAsia" w:ascii="宋体" w:hAnsi="宋体" w:cs="宋体"/>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highlight w:val="none"/>
          <w:lang w:val="zh-CN"/>
        </w:rPr>
      </w:pPr>
      <w:r>
        <w:rPr>
          <w:rFonts w:hint="eastAsia" w:ascii="宋体" w:hAnsi="宋体" w:cs="宋体"/>
          <w:kern w:val="0"/>
          <w:sz w:val="24"/>
          <w:highlight w:val="none"/>
          <w:lang w:val="zh-CN"/>
        </w:rPr>
        <w:t>如违反上述承诺，你</w:t>
      </w:r>
      <w:r>
        <w:rPr>
          <w:rFonts w:hint="eastAsia" w:ascii="宋体" w:hAnsi="宋体" w:cs="宋体"/>
          <w:sz w:val="24"/>
          <w:highlight w:val="none"/>
        </w:rPr>
        <w:t>单位</w:t>
      </w:r>
      <w:r>
        <w:rPr>
          <w:rFonts w:hint="eastAsia" w:ascii="宋体" w:hAnsi="宋体" w:cs="宋体"/>
          <w:kern w:val="0"/>
          <w:sz w:val="24"/>
          <w:highlight w:val="none"/>
          <w:lang w:val="zh-CN"/>
        </w:rPr>
        <w:t>有权立即取消我单位投标、中标或在建项目的建设资格，有权拒绝我单位在一定时期内进入你</w:t>
      </w:r>
      <w:r>
        <w:rPr>
          <w:rFonts w:hint="eastAsia" w:ascii="宋体" w:hAnsi="宋体" w:cs="宋体"/>
          <w:sz w:val="24"/>
          <w:highlight w:val="none"/>
        </w:rPr>
        <w:t>单位</w:t>
      </w:r>
      <w:r>
        <w:rPr>
          <w:rFonts w:hint="eastAsia" w:ascii="宋体" w:hAnsi="宋体" w:cs="宋体"/>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jc w:val="left"/>
        <w:rPr>
          <w:rFonts w:ascii="宋体" w:hAnsi="宋体" w:cs="宋体"/>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kern w:val="0"/>
          <w:sz w:val="24"/>
          <w:highlight w:val="none"/>
          <w:lang w:val="zh-CN"/>
        </w:rPr>
      </w:pPr>
      <w:r>
        <w:rPr>
          <w:rFonts w:hint="eastAsia" w:ascii="宋体" w:hAnsi="宋体" w:cs="宋体"/>
          <w:kern w:val="0"/>
          <w:sz w:val="24"/>
          <w:highlight w:val="none"/>
          <w:lang w:val="zh-CN"/>
        </w:rPr>
        <w:t>投标人名称（</w:t>
      </w:r>
      <w:r>
        <w:rPr>
          <w:rFonts w:hint="eastAsia" w:ascii="宋体" w:hAnsi="宋体" w:cs="宋体"/>
          <w:sz w:val="24"/>
          <w:highlight w:val="none"/>
        </w:rPr>
        <w:t>电子签名</w:t>
      </w:r>
      <w:r>
        <w:rPr>
          <w:rFonts w:hint="eastAsia" w:ascii="宋体" w:hAnsi="宋体" w:cs="宋体"/>
          <w:kern w:val="0"/>
          <w:sz w:val="24"/>
          <w:highlight w:val="none"/>
          <w:lang w:val="zh-CN"/>
        </w:rPr>
        <w:t xml:space="preserve">）：                                                                                                                                                                                                               </w:t>
      </w:r>
    </w:p>
    <w:p>
      <w:pPr>
        <w:spacing w:line="360" w:lineRule="auto"/>
        <w:ind w:left="4620" w:leftChars="2200"/>
        <w:rPr>
          <w:rFonts w:ascii="宋体" w:hAnsi="宋体" w:cs="宋体"/>
          <w:sz w:val="24"/>
          <w:highlight w:val="none"/>
        </w:rPr>
      </w:pPr>
      <w:r>
        <w:rPr>
          <w:rFonts w:hint="eastAsia" w:ascii="宋体" w:hAnsi="宋体" w:cs="宋体"/>
          <w:kern w:val="0"/>
          <w:sz w:val="24"/>
          <w:highlight w:val="none"/>
          <w:lang w:val="zh-CN"/>
        </w:rPr>
        <w:t>日期</w:t>
      </w:r>
      <w:r>
        <w:rPr>
          <w:rFonts w:hint="eastAsia" w:ascii="宋体" w:hAnsi="宋体" w:cs="宋体"/>
          <w:kern w:val="0"/>
          <w:sz w:val="24"/>
          <w:highlight w:val="none"/>
        </w:rPr>
        <w:t>：</w:t>
      </w:r>
      <w:r>
        <w:rPr>
          <w:rFonts w:hint="eastAsia" w:ascii="宋体" w:hAnsi="宋体" w:cs="宋体"/>
          <w:kern w:val="0"/>
          <w:sz w:val="24"/>
          <w:highlight w:val="none"/>
          <w:lang w:val="zh-CN"/>
        </w:rPr>
        <w:t xml:space="preserve">   年   月   日</w:t>
      </w:r>
    </w:p>
    <w:p>
      <w:pPr>
        <w:spacing w:line="360" w:lineRule="auto"/>
        <w:jc w:val="center"/>
        <w:rPr>
          <w:rFonts w:ascii="宋体" w:hAnsi="宋体" w:cs="宋体"/>
          <w:b/>
          <w:bCs/>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spacing w:line="360" w:lineRule="auto"/>
        <w:jc w:val="center"/>
        <w:rPr>
          <w:rFonts w:ascii="宋体" w:hAnsi="宋体" w:cs="宋体"/>
          <w:b/>
          <w:bCs/>
          <w:sz w:val="24"/>
          <w:highlight w:val="none"/>
        </w:rPr>
        <w:sectPr>
          <w:headerReference r:id="rId13" w:type="first"/>
          <w:footerReference r:id="rId15" w:type="first"/>
          <w:headerReference r:id="rId12" w:type="default"/>
          <w:footerReference r:id="rId14"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报价文件部分</w:t>
      </w:r>
    </w:p>
    <w:p>
      <w:pPr>
        <w:spacing w:line="360" w:lineRule="auto"/>
        <w:jc w:val="center"/>
        <w:outlineLvl w:val="0"/>
        <w:rPr>
          <w:rFonts w:ascii="宋体" w:hAnsi="宋体" w:cs="宋体"/>
          <w:b/>
          <w:kern w:val="0"/>
          <w:sz w:val="36"/>
          <w:szCs w:val="36"/>
          <w:highlight w:val="none"/>
        </w:rPr>
      </w:pPr>
      <w:r>
        <w:rPr>
          <w:rFonts w:hint="eastAsia" w:ascii="宋体" w:hAnsi="宋体" w:cs="宋体"/>
          <w:b/>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hint="eastAsia" w:ascii="宋体" w:hAnsi="宋体" w:cs="宋体"/>
          <w:color w:val="auto"/>
          <w:sz w:val="24"/>
        </w:rPr>
      </w:pPr>
      <w:r>
        <w:rPr>
          <w:rFonts w:hint="eastAsia" w:ascii="宋体" w:hAnsi="宋体" w:cs="宋体"/>
          <w:color w:val="auto"/>
          <w:sz w:val="24"/>
        </w:rPr>
        <w:t>（</w:t>
      </w:r>
      <w:r>
        <w:rPr>
          <w:rFonts w:hint="eastAsia" w:ascii="宋体" w:hAnsi="宋体" w:cs="宋体"/>
          <w:color w:val="auto"/>
          <w:sz w:val="24"/>
          <w:lang w:val="en-US" w:eastAsia="zh-CN"/>
        </w:rPr>
        <w:t>2</w:t>
      </w:r>
      <w:r>
        <w:rPr>
          <w:rFonts w:hint="eastAsia" w:ascii="宋体" w:hAnsi="宋体" w:cs="宋体"/>
          <w:color w:val="auto"/>
          <w:sz w:val="24"/>
        </w:rPr>
        <w:t>）</w:t>
      </w:r>
      <w:r>
        <w:rPr>
          <w:rFonts w:hint="eastAsia" w:hAnsi="仿宋_GB2312" w:cs="仿宋_GB2312"/>
          <w:b w:val="0"/>
          <w:bCs/>
          <w:snapToGrid w:val="0"/>
          <w:color w:val="auto"/>
          <w:kern w:val="2"/>
          <w:sz w:val="24"/>
          <w:szCs w:val="24"/>
          <w:lang w:val="en-US" w:eastAsia="zh-CN" w:bidi="ar-SA"/>
        </w:rPr>
        <w:t>报价情况说明</w:t>
      </w:r>
      <w:r>
        <w:rPr>
          <w:rFonts w:hint="eastAsia" w:ascii="宋体" w:hAnsi="宋体" w:cs="宋体"/>
          <w:color w:val="auto"/>
          <w:sz w:val="24"/>
        </w:rPr>
        <w:t>………………………………………………………</w:t>
      </w:r>
      <w:r>
        <w:rPr>
          <w:rFonts w:hint="eastAsia" w:ascii="宋体" w:hAnsi="宋体" w:cs="宋体"/>
          <w:color w:val="auto"/>
          <w:sz w:val="24"/>
          <w:lang w:eastAsia="zh-CN"/>
        </w:rPr>
        <w:t>…………</w:t>
      </w:r>
      <w:r>
        <w:rPr>
          <w:rFonts w:hint="eastAsia" w:ascii="宋体" w:hAnsi="宋体" w:cs="宋体"/>
          <w:color w:val="auto"/>
          <w:sz w:val="24"/>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snapToGrid w:val="0"/>
        <w:spacing w:line="360" w:lineRule="auto"/>
        <w:ind w:right="480"/>
        <w:jc w:val="center"/>
        <w:rPr>
          <w:rFonts w:ascii="宋体" w:hAnsi="宋体" w:cs="宋体"/>
          <w:b/>
          <w:kern w:val="0"/>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sectPr>
          <w:headerReference r:id="rId17" w:type="first"/>
          <w:footerReference r:id="rId19" w:type="first"/>
          <w:headerReference r:id="rId16" w:type="default"/>
          <w:footerReference r:id="rId18" w:type="default"/>
          <w:pgSz w:w="11906" w:h="16838"/>
          <w:pgMar w:top="1276" w:right="1418" w:bottom="1247" w:left="1418" w:header="851" w:footer="992" w:gutter="0"/>
          <w:cols w:space="720" w:num="1"/>
          <w:titlePg/>
          <w:docGrid w:linePitch="312" w:charSpace="0"/>
        </w:sect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pPr>
      <w:r>
        <w:rPr>
          <w:rFonts w:hint="eastAsia" w:ascii="宋体" w:hAnsi="宋体" w:eastAsia="宋体" w:cs="宋体"/>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杭州市数据资源管理局</w:t>
      </w:r>
      <w:r>
        <w:rPr>
          <w:rFonts w:hint="eastAsia" w:ascii="宋体" w:hAnsi="宋体" w:cs="宋体"/>
          <w:color w:val="auto"/>
          <w:sz w:val="24"/>
          <w:highlight w:val="none"/>
        </w:rPr>
        <w:t>、杭州市公共资源交易中心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杭州市智慧电子政务外网（2024）项目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HZZFCG-2024-081</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kern w:val="0"/>
          <w:sz w:val="24"/>
          <w:highlight w:val="none"/>
          <w:lang w:val="zh-CN"/>
        </w:rPr>
      </w:pPr>
      <w:r>
        <w:rPr>
          <w:rFonts w:hint="eastAsia" w:ascii="宋体" w:hAnsi="宋体" w:cs="宋体"/>
          <w:b/>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color w:val="auto"/>
          <w:kern w:val="0"/>
          <w:sz w:val="24"/>
          <w:lang w:val="en-US" w:eastAsia="zh-CN"/>
        </w:rPr>
        <w:t>采购人不得向供应商索要或者接受供应商给予的赠品、回扣或者与采购无关的其他商品、服务；如供应商承诺提供赠品、回扣、采购预算中本身不包含的其他商品或服务，视作无效承诺，不得因无效承诺对供应商实行差别待遇或者歧视待遇，也不得将其作为中标（成交）条件或者合同</w:t>
      </w:r>
      <w:r>
        <w:rPr>
          <w:rFonts w:hint="eastAsia" w:ascii="宋体" w:hAnsi="宋体" w:eastAsia="宋体" w:cs="宋体"/>
          <w:color w:val="auto"/>
          <w:kern w:val="0"/>
          <w:sz w:val="24"/>
          <w:lang w:val="en-US" w:eastAsia="zh-CN"/>
        </w:rPr>
        <w:t>签订条件；</w:t>
      </w:r>
      <w:r>
        <w:rPr>
          <w:rFonts w:hint="eastAsia" w:ascii="宋体" w:hAnsi="宋体" w:eastAsia="宋体" w:cs="宋体"/>
          <w:color w:val="auto"/>
          <w:spacing w:val="0"/>
          <w:kern w:val="0"/>
          <w:sz w:val="24"/>
          <w:szCs w:val="24"/>
          <w:highlight w:val="none"/>
        </w:rPr>
        <w:t>总价</w:t>
      </w:r>
      <w:r>
        <w:rPr>
          <w:rFonts w:hint="eastAsia" w:ascii="宋体" w:hAnsi="宋体" w:eastAsia="宋体" w:cs="宋体"/>
          <w:color w:val="auto"/>
          <w:spacing w:val="0"/>
          <w:kern w:val="0"/>
          <w:sz w:val="24"/>
          <w:szCs w:val="24"/>
          <w:highlight w:val="none"/>
          <w:lang w:eastAsia="zh-CN"/>
        </w:rPr>
        <w:t>不为零</w:t>
      </w:r>
      <w:r>
        <w:rPr>
          <w:rFonts w:hint="eastAsia" w:ascii="宋体" w:hAnsi="宋体" w:eastAsia="宋体" w:cs="宋体"/>
          <w:color w:val="auto"/>
          <w:spacing w:val="0"/>
          <w:kern w:val="0"/>
          <w:sz w:val="24"/>
          <w:szCs w:val="24"/>
          <w:highlight w:val="none"/>
        </w:rPr>
        <w:t>，报价明细表中</w:t>
      </w:r>
      <w:r>
        <w:rPr>
          <w:rFonts w:hint="eastAsia" w:ascii="宋体" w:hAnsi="宋体" w:eastAsia="宋体" w:cs="宋体"/>
          <w:color w:val="auto"/>
          <w:spacing w:val="0"/>
          <w:kern w:val="0"/>
          <w:sz w:val="24"/>
          <w:szCs w:val="24"/>
          <w:highlight w:val="none"/>
          <w:lang w:eastAsia="zh-CN"/>
        </w:rPr>
        <w:t>部分</w:t>
      </w:r>
      <w:r>
        <w:rPr>
          <w:rFonts w:hint="eastAsia" w:ascii="宋体" w:hAnsi="宋体" w:eastAsia="宋体" w:cs="宋体"/>
          <w:color w:val="auto"/>
          <w:spacing w:val="0"/>
          <w:kern w:val="0"/>
          <w:sz w:val="24"/>
          <w:szCs w:val="24"/>
          <w:highlight w:val="none"/>
        </w:rPr>
        <w:t>产品、服务单价为零的，视作已包含在总价中</w:t>
      </w:r>
      <w:r>
        <w:rPr>
          <w:rFonts w:hint="eastAsia" w:ascii="宋体" w:hAnsi="宋体" w:eastAsia="宋体" w:cs="宋体"/>
          <w:color w:val="auto"/>
          <w:spacing w:val="0"/>
          <w:kern w:val="0"/>
          <w:sz w:val="24"/>
          <w:szCs w:val="24"/>
          <w:highlight w:val="none"/>
          <w:lang w:eastAsia="zh-CN"/>
        </w:rPr>
        <w:t>。</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highlight w:val="none"/>
          <w:lang w:val="zh-CN"/>
        </w:r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sz w:val="24"/>
          <w:highlight w:val="none"/>
        </w:rPr>
      </w:pPr>
    </w:p>
    <w:p>
      <w:pPr>
        <w:spacing w:line="360" w:lineRule="auto"/>
        <w:ind w:firstLine="482" w:firstLineChars="200"/>
        <w:rPr>
          <w:rFonts w:ascii="宋体" w:hAnsi="宋体" w:cs="宋体"/>
          <w:b/>
          <w:color w:val="auto"/>
          <w:kern w:val="0"/>
          <w:sz w:val="24"/>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color w:val="auto"/>
          <w:kern w:val="2"/>
          <w:sz w:val="32"/>
          <w:szCs w:val="32"/>
          <w:highlight w:val="none"/>
        </w:rPr>
      </w:pPr>
    </w:p>
    <w:p>
      <w:pPr>
        <w:pStyle w:val="693"/>
        <w:keepNext w:val="0"/>
        <w:pageBreakBefore w:val="0"/>
        <w:tabs>
          <w:tab w:val="clear" w:pos="720"/>
        </w:tabs>
        <w:snapToGrid w:val="0"/>
        <w:spacing w:before="120" w:after="120"/>
        <w:ind w:firstLine="643"/>
        <w:outlineLvl w:val="9"/>
        <w:rPr>
          <w:rFonts w:ascii="宋体" w:hAnsi="宋体" w:eastAsia="宋体" w:cs="宋体"/>
          <w:kern w:val="2"/>
          <w:sz w:val="32"/>
          <w:szCs w:val="32"/>
          <w:highlight w:val="none"/>
        </w:rPr>
        <w:sectPr>
          <w:pgSz w:w="16838" w:h="11906" w:orient="landscape"/>
          <w:pgMar w:top="1418" w:right="1247" w:bottom="1418" w:left="1276" w:header="851" w:footer="992" w:gutter="0"/>
          <w:cols w:space="720" w:num="1"/>
          <w:titlePg/>
          <w:docGrid w:linePitch="312" w:charSpace="0"/>
        </w:sectPr>
      </w:pPr>
    </w:p>
    <w:p>
      <w:pPr>
        <w:pStyle w:val="693"/>
        <w:keepNext w:val="0"/>
        <w:pageBreakBefore w:val="0"/>
        <w:numPr>
          <w:ilvl w:val="-1"/>
          <w:numId w:val="0"/>
        </w:numPr>
        <w:tabs>
          <w:tab w:val="clear" w:pos="720"/>
        </w:tabs>
        <w:snapToGrid w:val="0"/>
        <w:spacing w:before="120" w:after="120"/>
        <w:ind w:firstLine="0"/>
        <w:outlineLvl w:val="9"/>
        <w:rPr>
          <w:rFonts w:hint="eastAsia" w:ascii="宋体" w:hAnsi="宋体" w:eastAsia="宋体" w:cs="宋体"/>
          <w:color w:val="auto"/>
          <w:kern w:val="2"/>
          <w:sz w:val="32"/>
          <w:szCs w:val="32"/>
          <w:lang w:val="en-US" w:eastAsia="zh-CN"/>
        </w:rPr>
      </w:pPr>
      <w:r>
        <w:rPr>
          <w:rFonts w:hint="eastAsia" w:ascii="宋体" w:hAnsi="宋体" w:eastAsia="宋体" w:cs="宋体"/>
          <w:color w:val="auto"/>
          <w:kern w:val="2"/>
          <w:sz w:val="32"/>
          <w:szCs w:val="32"/>
          <w:highlight w:val="none"/>
          <w:lang w:val="en-US" w:eastAsia="zh-CN"/>
        </w:rPr>
        <w:t>二、报</w:t>
      </w:r>
      <w:r>
        <w:rPr>
          <w:rFonts w:hint="eastAsia" w:ascii="宋体" w:hAnsi="宋体" w:eastAsia="宋体" w:cs="宋体"/>
          <w:color w:val="auto"/>
          <w:kern w:val="2"/>
          <w:sz w:val="32"/>
          <w:szCs w:val="32"/>
          <w:lang w:val="en-US" w:eastAsia="zh-CN"/>
        </w:rPr>
        <w:t>价情况说明（如果有）</w:t>
      </w:r>
    </w:p>
    <w:p>
      <w:pPr>
        <w:pStyle w:val="693"/>
        <w:keepNext w:val="0"/>
        <w:pageBreakBefore w:val="0"/>
        <w:tabs>
          <w:tab w:val="clear" w:pos="720"/>
        </w:tabs>
        <w:snapToGrid w:val="0"/>
        <w:spacing w:before="120" w:after="120"/>
        <w:ind w:firstLine="643"/>
        <w:jc w:val="left"/>
        <w:outlineLvl w:val="9"/>
        <w:rPr>
          <w:rFonts w:hint="eastAsia" w:ascii="宋体" w:hAnsi="宋体" w:eastAsia="宋体" w:cs="宋体"/>
          <w:b w:val="0"/>
          <w:bCs w:val="0"/>
          <w:color w:val="auto"/>
          <w:sz w:val="24"/>
          <w:szCs w:val="24"/>
          <w:lang w:val="en-US"/>
        </w:rPr>
      </w:pPr>
      <w:r>
        <w:rPr>
          <w:rFonts w:hint="eastAsia" w:ascii="宋体" w:hAnsi="宋体" w:eastAsia="宋体" w:cs="宋体"/>
          <w:b w:val="0"/>
          <w:bCs w:val="0"/>
          <w:color w:val="auto"/>
          <w:sz w:val="24"/>
          <w:szCs w:val="24"/>
          <w:lang w:val="en-US"/>
        </w:rPr>
        <w:t>（如供应商报价低于项目预算50%的，应当提交本文档，详细阐述不影响产品质量或者诚信履约的具体原因</w:t>
      </w:r>
      <w:r>
        <w:rPr>
          <w:rFonts w:hint="eastAsia" w:ascii="宋体" w:hAnsi="宋体" w:eastAsia="宋体" w:cs="宋体"/>
          <w:b/>
          <w:color w:val="auto"/>
          <w:kern w:val="2"/>
          <w:sz w:val="24"/>
          <w:szCs w:val="24"/>
          <w:highlight w:val="none"/>
        </w:rPr>
        <w:t>，否则投标无效</w:t>
      </w:r>
      <w:r>
        <w:rPr>
          <w:rFonts w:hint="eastAsia" w:ascii="宋体" w:hAnsi="宋体" w:eastAsia="宋体" w:cs="宋体"/>
          <w:b/>
          <w:bCs w:val="0"/>
          <w:color w:val="auto"/>
          <w:kern w:val="2"/>
          <w:sz w:val="24"/>
          <w:szCs w:val="24"/>
          <w:highlight w:val="none"/>
          <w:lang w:val="en-US" w:eastAsia="zh-CN"/>
        </w:rPr>
        <w:t>。</w:t>
      </w:r>
      <w:r>
        <w:rPr>
          <w:rFonts w:hint="eastAsia" w:ascii="宋体" w:hAnsi="宋体" w:eastAsia="宋体" w:cs="宋体"/>
          <w:b w:val="0"/>
          <w:bCs w:val="0"/>
          <w:color w:val="auto"/>
          <w:sz w:val="24"/>
          <w:szCs w:val="24"/>
          <w:lang w:val="en-US"/>
        </w:rPr>
        <w:t>）</w:t>
      </w:r>
    </w:p>
    <w:p>
      <w:pPr>
        <w:spacing w:line="360" w:lineRule="auto"/>
        <w:ind w:firstLine="482" w:firstLineChars="200"/>
        <w:rPr>
          <w:rFonts w:ascii="宋体" w:hAnsi="宋体" w:cs="宋体"/>
          <w:b/>
          <w:color w:val="auto"/>
          <w:sz w:val="24"/>
          <w:highlight w:val="none"/>
        </w:rPr>
      </w:pPr>
    </w:p>
    <w:p>
      <w:pPr>
        <w:pStyle w:val="693"/>
        <w:keepNext w:val="0"/>
        <w:pageBreakBefore w:val="0"/>
        <w:tabs>
          <w:tab w:val="clear" w:pos="720"/>
        </w:tabs>
        <w:snapToGrid w:val="0"/>
        <w:spacing w:before="120" w:after="120"/>
        <w:ind w:firstLine="643"/>
        <w:jc w:val="left"/>
        <w:outlineLvl w:val="9"/>
        <w:rPr>
          <w:rFonts w:hint="eastAsia" w:ascii="宋体" w:hAnsi="宋体" w:eastAsia="宋体" w:cs="宋体"/>
          <w:b w:val="0"/>
          <w:bCs w:val="0"/>
          <w:color w:val="auto"/>
          <w:sz w:val="24"/>
          <w:szCs w:val="24"/>
          <w:lang w:val="en-US"/>
        </w:rPr>
      </w:pPr>
    </w:p>
    <w:p>
      <w:pPr>
        <w:pStyle w:val="693"/>
        <w:keepNext w:val="0"/>
        <w:pageBreakBefore w:val="0"/>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sz w:val="32"/>
          <w:szCs w:val="32"/>
          <w:highlight w:val="none"/>
          <w:lang w:val="en-US" w:eastAsia="zh-CN"/>
        </w:rPr>
        <w:t>三、</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spacing w:line="360" w:lineRule="auto"/>
        <w:ind w:right="420" w:firstLine="3614" w:firstLineChars="1000"/>
        <w:rPr>
          <w:rFonts w:ascii="宋体" w:hAnsi="宋体" w:cs="宋体"/>
          <w:b/>
          <w:kern w:val="0"/>
          <w:sz w:val="36"/>
          <w:szCs w:val="36"/>
          <w:highlight w:val="none"/>
        </w:rPr>
      </w:pPr>
    </w:p>
    <w:p>
      <w:pPr>
        <w:pStyle w:val="2"/>
        <w:keepNext w:val="0"/>
        <w:keepLines w:val="0"/>
        <w:pageBreakBefore/>
        <w:widowControl/>
        <w:spacing w:before="100" w:beforeAutospacing="1" w:after="100" w:afterAutospacing="1" w:line="360" w:lineRule="auto"/>
        <w:ind w:left="1290" w:firstLine="3092" w:firstLineChars="700"/>
        <w:rPr>
          <w:rFonts w:ascii="宋体" w:hAnsi="宋体" w:cs="宋体"/>
          <w:highlight w:val="none"/>
        </w:rPr>
      </w:pPr>
      <w:r>
        <w:rPr>
          <w:rFonts w:hint="eastAsia" w:ascii="宋体" w:hAnsi="宋体" w:cs="宋体"/>
          <w:highlight w:val="none"/>
        </w:rPr>
        <w:t>附件</w:t>
      </w:r>
    </w:p>
    <w:p>
      <w:pPr>
        <w:spacing w:line="360" w:lineRule="auto"/>
        <w:rPr>
          <w:rFonts w:ascii="宋体" w:hAnsi="宋体" w:cs="宋体"/>
          <w:b/>
          <w:spacing w:val="6"/>
          <w:sz w:val="32"/>
          <w:szCs w:val="32"/>
          <w:highlight w:val="none"/>
        </w:rPr>
      </w:pPr>
      <w:r>
        <w:rPr>
          <w:rFonts w:hint="eastAsia" w:ascii="宋体" w:hAnsi="宋体" w:cs="宋体"/>
          <w:b/>
          <w:spacing w:val="6"/>
          <w:sz w:val="32"/>
          <w:szCs w:val="32"/>
          <w:highlight w:val="none"/>
        </w:rPr>
        <w:t>附件1：</w:t>
      </w:r>
    </w:p>
    <w:p>
      <w:pPr>
        <w:spacing w:line="360" w:lineRule="auto"/>
        <w:jc w:val="center"/>
        <w:rPr>
          <w:rFonts w:ascii="宋体" w:hAnsi="宋体" w:cs="宋体"/>
          <w:b/>
          <w:spacing w:val="6"/>
          <w:sz w:val="32"/>
          <w:szCs w:val="32"/>
          <w:highlight w:val="none"/>
        </w:rPr>
      </w:pPr>
      <w:bookmarkStart w:id="442" w:name="OLE_LINK14"/>
      <w:bookmarkStart w:id="443" w:name="OLE_LINK13"/>
      <w:r>
        <w:rPr>
          <w:rFonts w:hint="eastAsia" w:ascii="宋体" w:hAnsi="宋体" w:cs="宋体"/>
          <w:b/>
          <w:spacing w:val="6"/>
          <w:sz w:val="32"/>
          <w:szCs w:val="32"/>
          <w:highlight w:val="none"/>
        </w:rPr>
        <w:t>残疾人福利性单位声明函</w:t>
      </w:r>
    </w:p>
    <w:bookmarkEnd w:id="442"/>
    <w:bookmarkEnd w:id="443"/>
    <w:p>
      <w:pPr>
        <w:spacing w:line="360" w:lineRule="auto"/>
        <w:rPr>
          <w:rFonts w:ascii="宋体" w:hAnsi="宋体" w:cs="宋体"/>
          <w:b/>
          <w:spacing w:val="6"/>
          <w:sz w:val="30"/>
          <w:szCs w:val="30"/>
          <w:highlight w:val="none"/>
        </w:rPr>
      </w:pP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本单位郑重声明，根据《财政部 民政部 中国残疾人联合会关于促进残疾人就业政府采购政策的通知》（财库〔2017〕 141号）的规定，本单位为符合条件的残疾人福利性单位，且本单位参</w:t>
      </w:r>
      <w:r>
        <w:rPr>
          <w:rFonts w:hint="eastAsia" w:ascii="宋体" w:hAnsi="宋体" w:cs="宋体"/>
          <w:color w:val="auto"/>
          <w:sz w:val="24"/>
          <w:highlight w:val="none"/>
        </w:rPr>
        <w:t>加</w:t>
      </w:r>
      <w:r>
        <w:rPr>
          <w:rFonts w:hint="eastAsia" w:ascii="宋体" w:hAnsi="宋体" w:cs="宋体"/>
          <w:color w:val="auto"/>
          <w:sz w:val="24"/>
          <w:highlight w:val="none"/>
          <w:u w:val="single"/>
          <w:lang w:eastAsia="zh-CN"/>
        </w:rPr>
        <w:t>杭州市数据资源管理局</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杭州市智慧电子政务外网（2024）项目</w:t>
      </w:r>
      <w:r>
        <w:rPr>
          <w:rFonts w:hint="eastAsia" w:ascii="宋体" w:hAnsi="宋体" w:cs="宋体"/>
          <w:color w:val="auto"/>
          <w:sz w:val="24"/>
          <w:highlight w:val="none"/>
        </w:rPr>
        <w:t>项目采购活动提供本单</w:t>
      </w:r>
      <w:r>
        <w:rPr>
          <w:rFonts w:hint="eastAsia" w:ascii="宋体" w:hAnsi="宋体" w:cs="宋体"/>
          <w:sz w:val="24"/>
          <w:highlight w:val="none"/>
        </w:rPr>
        <w:t>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本单位对上述声明的真实性负责。如有虚假，将依法承担相应责任。</w:t>
      </w:r>
    </w:p>
    <w:p>
      <w:pPr>
        <w:spacing w:line="360" w:lineRule="auto"/>
        <w:ind w:firstLine="480" w:firstLineChars="200"/>
        <w:rPr>
          <w:rFonts w:ascii="宋体" w:hAnsi="宋体" w:cs="宋体"/>
          <w:sz w:val="24"/>
          <w:highlight w:val="none"/>
        </w:rPr>
      </w:pPr>
    </w:p>
    <w:p>
      <w:pPr>
        <w:spacing w:line="360" w:lineRule="auto"/>
        <w:ind w:firstLine="480" w:firstLineChars="200"/>
        <w:rPr>
          <w:rFonts w:ascii="宋体" w:hAnsi="宋体" w:cs="宋体"/>
          <w:sz w:val="24"/>
          <w:highlight w:val="none"/>
        </w:rPr>
      </w:pP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w:t>
      </w:r>
      <w:r>
        <w:rPr>
          <w:rFonts w:hint="eastAsia" w:ascii="宋体" w:hAnsi="宋体" w:cs="宋体"/>
          <w:kern w:val="0"/>
          <w:sz w:val="24"/>
          <w:highlight w:val="none"/>
          <w:lang w:val="zh-CN"/>
        </w:rPr>
        <w:t>投标人名称（电子签名）</w:t>
      </w:r>
      <w:r>
        <w:rPr>
          <w:rFonts w:hint="eastAsia" w:ascii="宋体" w:hAnsi="宋体" w:cs="宋体"/>
          <w:sz w:val="24"/>
          <w:highlight w:val="none"/>
        </w:rPr>
        <w:t>：</w:t>
      </w:r>
    </w:p>
    <w:p>
      <w:pPr>
        <w:tabs>
          <w:tab w:val="left" w:pos="4860"/>
        </w:tabs>
        <w:spacing w:line="360" w:lineRule="auto"/>
        <w:ind w:right="1560" w:firstLine="480" w:firstLineChars="200"/>
        <w:jc w:val="center"/>
        <w:rPr>
          <w:rFonts w:ascii="宋体" w:hAnsi="宋体" w:cs="宋体"/>
          <w:sz w:val="24"/>
          <w:highlight w:val="none"/>
        </w:rPr>
      </w:pPr>
      <w:r>
        <w:rPr>
          <w:rFonts w:hint="eastAsia" w:ascii="宋体" w:hAnsi="宋体" w:cs="宋体"/>
          <w:sz w:val="24"/>
          <w:highlight w:val="none"/>
        </w:rPr>
        <w:t xml:space="preserve">       日  期：</w:t>
      </w:r>
    </w:p>
    <w:p>
      <w:pPr>
        <w:spacing w:line="360" w:lineRule="auto"/>
        <w:ind w:firstLine="480" w:firstLineChars="200"/>
        <w:rPr>
          <w:rFonts w:ascii="宋体" w:hAnsi="宋体" w:cs="宋体"/>
          <w:sz w:val="24"/>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ind w:firstLine="420" w:firstLineChars="200"/>
        <w:rPr>
          <w:rFonts w:ascii="宋体" w:hAnsi="宋体" w:cs="宋体"/>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附件2：质疑函范本及制作说明</w:t>
      </w: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质疑函范本</w:t>
      </w:r>
    </w:p>
    <w:p>
      <w:pPr>
        <w:snapToGrid w:val="0"/>
        <w:spacing w:before="240" w:beforeLines="100" w:line="360" w:lineRule="auto"/>
        <w:rPr>
          <w:rFonts w:ascii="宋体" w:hAnsi="宋体" w:cs="宋体"/>
          <w:bCs/>
          <w:sz w:val="24"/>
          <w:highlight w:val="none"/>
        </w:rPr>
      </w:pPr>
      <w:r>
        <w:rPr>
          <w:rFonts w:hint="eastAsia" w:ascii="宋体" w:hAnsi="宋体" w:cs="宋体"/>
          <w:bCs/>
          <w:sz w:val="24"/>
          <w:highlight w:val="none"/>
        </w:rPr>
        <w:t>一、质疑供应商基本信息</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质疑供应商：</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地址：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 xml:space="preserve">地址： </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二、质疑项目基本情况</w:t>
      </w:r>
    </w:p>
    <w:p>
      <w:pPr>
        <w:snapToGrid w:val="0"/>
        <w:spacing w:line="360" w:lineRule="auto"/>
        <w:rPr>
          <w:rFonts w:ascii="宋体" w:hAnsi="宋体" w:cs="宋体"/>
          <w:sz w:val="24"/>
          <w:highlight w:val="none"/>
        </w:rPr>
      </w:pPr>
      <w:r>
        <w:rPr>
          <w:rFonts w:hint="eastAsia" w:ascii="宋体" w:hAnsi="宋体" w:cs="宋体"/>
          <w:sz w:val="24"/>
          <w:highlight w:val="none"/>
        </w:rPr>
        <w:t>质疑项目的名称：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质疑项目的编号：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采购人名称：</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rPr>
        <w:t>采购文件获取日期：</w:t>
      </w:r>
      <w:r>
        <w:rPr>
          <w:rFonts w:hint="eastAsia" w:ascii="宋体" w:hAnsi="宋体" w:cs="宋体"/>
          <w:sz w:val="24"/>
          <w:highlight w:val="none"/>
          <w:u w:val="dotted"/>
        </w:rPr>
        <w:t xml:space="preserve">                                           </w:t>
      </w:r>
    </w:p>
    <w:p>
      <w:pPr>
        <w:snapToGrid w:val="0"/>
        <w:spacing w:line="360" w:lineRule="auto"/>
        <w:rPr>
          <w:rFonts w:ascii="宋体" w:hAnsi="宋体" w:cs="宋体"/>
          <w:bCs/>
          <w:sz w:val="24"/>
          <w:highlight w:val="none"/>
        </w:rPr>
      </w:pPr>
      <w:r>
        <w:rPr>
          <w:rFonts w:hint="eastAsia" w:ascii="宋体" w:hAnsi="宋体" w:cs="宋体"/>
          <w:bCs/>
          <w:sz w:val="24"/>
          <w:highlight w:val="none"/>
        </w:rPr>
        <w:t>三、质疑事项具体内容</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质疑事项1：</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napToGrid w:val="0"/>
        <w:spacing w:line="360" w:lineRule="auto"/>
        <w:rPr>
          <w:rFonts w:ascii="宋体" w:hAnsi="宋体" w:cs="宋体"/>
          <w:sz w:val="24"/>
          <w:highlight w:val="none"/>
          <w:u w:val="dotted"/>
        </w:rPr>
      </w:pPr>
      <w:r>
        <w:rPr>
          <w:rFonts w:hint="eastAsia" w:ascii="宋体" w:hAnsi="宋体" w:cs="宋体"/>
          <w:sz w:val="24"/>
          <w:highlight w:val="none"/>
        </w:rPr>
        <w:t>质疑事项2</w:t>
      </w:r>
    </w:p>
    <w:p>
      <w:pPr>
        <w:snapToGrid w:val="0"/>
        <w:spacing w:line="360" w:lineRule="auto"/>
        <w:rPr>
          <w:rFonts w:ascii="宋体" w:hAnsi="宋体" w:cs="宋体"/>
          <w:sz w:val="24"/>
          <w:highlight w:val="none"/>
        </w:rPr>
      </w:pPr>
      <w:r>
        <w:rPr>
          <w:rFonts w:hint="eastAsia" w:ascii="宋体" w:hAnsi="宋体" w:cs="宋体"/>
          <w:sz w:val="24"/>
          <w:highlight w:val="none"/>
        </w:rPr>
        <w:t>……</w:t>
      </w:r>
    </w:p>
    <w:p>
      <w:pPr>
        <w:snapToGrid w:val="0"/>
        <w:spacing w:line="360" w:lineRule="auto"/>
        <w:rPr>
          <w:rFonts w:ascii="宋体" w:hAnsi="宋体" w:cs="宋体"/>
          <w:bCs/>
          <w:sz w:val="24"/>
          <w:highlight w:val="none"/>
        </w:rPr>
      </w:pPr>
      <w:r>
        <w:rPr>
          <w:rFonts w:hint="eastAsia" w:ascii="宋体" w:hAnsi="宋体" w:cs="宋体"/>
          <w:bCs/>
          <w:sz w:val="24"/>
          <w:highlight w:val="none"/>
        </w:rPr>
        <w:t>四、与质疑事项相关的质疑请求</w:t>
      </w:r>
    </w:p>
    <w:p>
      <w:pPr>
        <w:snapToGrid w:val="0"/>
        <w:spacing w:line="360" w:lineRule="auto"/>
        <w:rPr>
          <w:rFonts w:ascii="宋体" w:hAnsi="宋体" w:cs="宋体"/>
          <w:sz w:val="24"/>
          <w:highlight w:val="none"/>
          <w:u w:val="dotted"/>
        </w:rPr>
      </w:pPr>
      <w:r>
        <w:rPr>
          <w:rFonts w:hint="eastAsia" w:ascii="宋体" w:hAnsi="宋体" w:cs="宋体"/>
          <w:sz w:val="24"/>
          <w:highlight w:val="none"/>
        </w:rPr>
        <w:t>请求：</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jc w:val="center"/>
        <w:rPr>
          <w:rFonts w:ascii="宋体" w:hAnsi="宋体" w:cs="宋体"/>
          <w:b/>
          <w:bCs/>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质疑函制作说明：</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1.供应商提出质疑时，应提交质疑函和必要的证明材料。</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2.质疑供应商若委托代理人进行质疑的，质疑函应按要求列明“授权代表”的有关内容，并在附件中提交由质疑</w:t>
      </w:r>
      <w:r>
        <w:rPr>
          <w:rFonts w:hint="eastAsia" w:ascii="宋体" w:hAnsi="宋体" w:cs="宋体"/>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5.质疑函的质疑请求应与质疑事项相关。</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center"/>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p>
    <w:p>
      <w:pPr>
        <w:spacing w:line="360" w:lineRule="auto"/>
        <w:jc w:val="left"/>
        <w:rPr>
          <w:rFonts w:ascii="宋体" w:hAnsi="宋体" w:cs="宋体"/>
          <w:b/>
          <w:spacing w:val="6"/>
          <w:sz w:val="32"/>
          <w:szCs w:val="32"/>
          <w:highlight w:val="none"/>
        </w:rPr>
      </w:pPr>
      <w:r>
        <w:rPr>
          <w:rFonts w:hint="eastAsia" w:ascii="宋体" w:hAnsi="宋体" w:cs="宋体"/>
          <w:b/>
          <w:spacing w:val="6"/>
          <w:sz w:val="32"/>
          <w:szCs w:val="32"/>
          <w:highlight w:val="none"/>
        </w:rPr>
        <w:t>附件3：投诉书范本及制作说明</w:t>
      </w:r>
    </w:p>
    <w:p>
      <w:pPr>
        <w:spacing w:line="360" w:lineRule="auto"/>
        <w:jc w:val="center"/>
        <w:rPr>
          <w:rFonts w:ascii="宋体" w:hAnsi="宋体" w:cs="宋体"/>
          <w:b/>
          <w:sz w:val="24"/>
          <w:highlight w:val="none"/>
        </w:rPr>
      </w:pPr>
    </w:p>
    <w:p>
      <w:pPr>
        <w:spacing w:line="360" w:lineRule="auto"/>
        <w:jc w:val="center"/>
        <w:rPr>
          <w:rFonts w:ascii="宋体" w:hAnsi="宋体" w:cs="宋体"/>
          <w:b/>
          <w:spacing w:val="6"/>
          <w:sz w:val="32"/>
          <w:szCs w:val="32"/>
          <w:highlight w:val="none"/>
        </w:rPr>
      </w:pPr>
      <w:r>
        <w:rPr>
          <w:rFonts w:hint="eastAsia" w:ascii="宋体" w:hAnsi="宋体" w:cs="宋体"/>
          <w:b/>
          <w:spacing w:val="6"/>
          <w:sz w:val="32"/>
          <w:szCs w:val="32"/>
          <w:highlight w:val="none"/>
        </w:rPr>
        <w:t>投诉书范本</w:t>
      </w:r>
    </w:p>
    <w:p>
      <w:pPr>
        <w:spacing w:line="360" w:lineRule="auto"/>
        <w:rPr>
          <w:rFonts w:ascii="宋体" w:hAnsi="宋体" w:cs="宋体"/>
          <w:sz w:val="24"/>
          <w:highlight w:val="none"/>
        </w:rPr>
      </w:pPr>
      <w:r>
        <w:rPr>
          <w:rFonts w:hint="eastAsia" w:ascii="宋体" w:hAnsi="宋体" w:cs="宋体"/>
          <w:sz w:val="24"/>
          <w:highlight w:val="none"/>
        </w:rPr>
        <w:t>一、投诉相关主体基本情况</w:t>
      </w:r>
    </w:p>
    <w:p>
      <w:pPr>
        <w:spacing w:line="360" w:lineRule="auto"/>
        <w:rPr>
          <w:rFonts w:ascii="宋体" w:hAnsi="宋体" w:cs="宋体"/>
          <w:sz w:val="24"/>
          <w:highlight w:val="none"/>
          <w:u w:val="dotted"/>
        </w:rPr>
      </w:pPr>
      <w:r>
        <w:rPr>
          <w:rFonts w:hint="eastAsia" w:ascii="宋体" w:hAnsi="宋体" w:cs="宋体"/>
          <w:sz w:val="24"/>
          <w:highlight w:val="none"/>
        </w:rPr>
        <w:t>投诉人：</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tabs>
          <w:tab w:val="left" w:pos="6510"/>
        </w:tabs>
        <w:spacing w:line="360" w:lineRule="auto"/>
        <w:jc w:val="left"/>
        <w:rPr>
          <w:rFonts w:ascii="宋体" w:hAnsi="宋体" w:cs="宋体"/>
          <w:sz w:val="24"/>
          <w:highlight w:val="none"/>
        </w:rPr>
      </w:pPr>
      <w:r>
        <w:rPr>
          <w:rFonts w:hint="eastAsia" w:ascii="宋体" w:hAnsi="宋体" w:cs="宋体"/>
          <w:sz w:val="24"/>
          <w:highlight w:val="none"/>
        </w:rPr>
        <w:t>法定代表人/主要负责人：</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tabs>
          <w:tab w:val="left" w:pos="6510"/>
        </w:tabs>
        <w:spacing w:line="360" w:lineRule="auto"/>
        <w:rPr>
          <w:rFonts w:ascii="宋体" w:hAnsi="宋体" w:cs="宋体"/>
          <w:sz w:val="24"/>
          <w:highlight w:val="none"/>
          <w:u w:val="dotted"/>
        </w:rPr>
      </w:pP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授权代表：</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被投诉人1：</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被投诉人2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u w:val="single"/>
        </w:rPr>
      </w:pPr>
      <w:r>
        <w:rPr>
          <w:rFonts w:hint="eastAsia" w:ascii="宋体" w:hAnsi="宋体" w:cs="宋体"/>
          <w:sz w:val="24"/>
          <w:highlight w:val="none"/>
        </w:rPr>
        <w:t>相关供应商：</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地     址：</w:t>
      </w:r>
      <w:r>
        <w:rPr>
          <w:rFonts w:hint="eastAsia" w:ascii="宋体" w:hAnsi="宋体" w:cs="宋体"/>
          <w:sz w:val="24"/>
          <w:highlight w:val="none"/>
          <w:u w:val="dotted"/>
        </w:rPr>
        <w:t xml:space="preserve">                             </w:t>
      </w:r>
      <w:r>
        <w:rPr>
          <w:rFonts w:hint="eastAsia" w:ascii="宋体" w:hAnsi="宋体" w:cs="宋体"/>
          <w:sz w:val="24"/>
          <w:highlight w:val="none"/>
        </w:rPr>
        <w:t>邮编：</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联系人：</w:t>
      </w:r>
      <w:r>
        <w:rPr>
          <w:rFonts w:hint="eastAsia" w:ascii="宋体" w:hAnsi="宋体" w:cs="宋体"/>
          <w:sz w:val="24"/>
          <w:highlight w:val="none"/>
          <w:u w:val="dotted"/>
        </w:rPr>
        <w:t xml:space="preserve">               </w:t>
      </w:r>
      <w:r>
        <w:rPr>
          <w:rFonts w:hint="eastAsia" w:ascii="宋体" w:hAnsi="宋体" w:cs="宋体"/>
          <w:sz w:val="24"/>
          <w:highlight w:val="none"/>
        </w:rPr>
        <w:t>联系电话：</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rPr>
      </w:pPr>
      <w:r>
        <w:rPr>
          <w:rFonts w:hint="eastAsia" w:ascii="宋体" w:hAnsi="宋体" w:cs="宋体"/>
          <w:sz w:val="24"/>
          <w:highlight w:val="none"/>
        </w:rPr>
        <w:t>二、投诉项目基本情况</w:t>
      </w:r>
    </w:p>
    <w:p>
      <w:pPr>
        <w:spacing w:line="360" w:lineRule="auto"/>
        <w:rPr>
          <w:rFonts w:ascii="宋体" w:hAnsi="宋体" w:cs="宋体"/>
          <w:sz w:val="24"/>
          <w:highlight w:val="none"/>
          <w:u w:val="dotted"/>
        </w:rPr>
      </w:pPr>
      <w:r>
        <w:rPr>
          <w:rFonts w:hint="eastAsia" w:ascii="宋体" w:hAnsi="宋体" w:cs="宋体"/>
          <w:sz w:val="24"/>
          <w:highlight w:val="none"/>
        </w:rPr>
        <w:t>采购项目名称：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采购项目编号：</w:t>
      </w:r>
      <w:r>
        <w:rPr>
          <w:rFonts w:hint="eastAsia" w:ascii="宋体" w:hAnsi="宋体" w:cs="宋体"/>
          <w:sz w:val="24"/>
          <w:highlight w:val="none"/>
          <w:u w:val="dotted"/>
        </w:rPr>
        <w:t xml:space="preserve">                 </w:t>
      </w:r>
      <w:r>
        <w:rPr>
          <w:rFonts w:hint="eastAsia" w:ascii="宋体" w:hAnsi="宋体" w:cs="宋体"/>
          <w:sz w:val="24"/>
          <w:highlight w:val="none"/>
        </w:rPr>
        <w:t>包号：</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采购人名称：</w:t>
      </w:r>
      <w:r>
        <w:rPr>
          <w:rFonts w:hint="eastAsia" w:ascii="宋体" w:hAnsi="宋体" w:cs="宋体"/>
          <w:sz w:val="24"/>
          <w:highlight w:val="none"/>
          <w:u w:val="dotted"/>
        </w:rPr>
        <w:t xml:space="preserve">                                           </w:t>
      </w:r>
      <w:r>
        <w:rPr>
          <w:rFonts w:hint="eastAsia" w:ascii="宋体" w:hAnsi="宋体" w:cs="宋体"/>
          <w:sz w:val="24"/>
          <w:highlight w:val="none"/>
          <w:u w:val="singl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代理机构名称：</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rPr>
        <w:t>采购文件公告: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采购结果公告:</w:t>
      </w:r>
      <w:r>
        <w:rPr>
          <w:rFonts w:hint="eastAsia" w:ascii="宋体" w:hAnsi="宋体" w:cs="宋体"/>
          <w:sz w:val="24"/>
          <w:highlight w:val="none"/>
          <w:u w:val="dotted"/>
        </w:rPr>
        <w:t xml:space="preserve">是/否 </w:t>
      </w:r>
      <w:r>
        <w:rPr>
          <w:rFonts w:hint="eastAsia" w:ascii="宋体" w:hAnsi="宋体" w:cs="宋体"/>
          <w:sz w:val="24"/>
          <w:highlight w:val="none"/>
        </w:rPr>
        <w:t>公告期限：</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三、质疑基本情况</w:t>
      </w:r>
    </w:p>
    <w:p>
      <w:pPr>
        <w:spacing w:line="360" w:lineRule="auto"/>
        <w:ind w:firstLine="480" w:firstLineChars="200"/>
        <w:rPr>
          <w:rFonts w:ascii="宋体" w:hAnsi="宋体" w:cs="宋体"/>
          <w:sz w:val="24"/>
          <w:highlight w:val="none"/>
          <w:u w:val="dotted"/>
        </w:rPr>
      </w:pPr>
      <w:r>
        <w:rPr>
          <w:rFonts w:hint="eastAsia" w:ascii="宋体" w:hAnsi="宋体" w:cs="宋体"/>
          <w:sz w:val="24"/>
          <w:highlight w:val="none"/>
        </w:rPr>
        <w:t>投诉人于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日,向</w:t>
      </w:r>
      <w:r>
        <w:rPr>
          <w:rFonts w:hint="eastAsia" w:ascii="宋体" w:hAnsi="宋体" w:cs="宋体"/>
          <w:sz w:val="24"/>
          <w:highlight w:val="none"/>
          <w:u w:val="dotted"/>
        </w:rPr>
        <w:t xml:space="preserve">                   </w:t>
      </w:r>
      <w:r>
        <w:rPr>
          <w:rFonts w:hint="eastAsia" w:ascii="宋体" w:hAnsi="宋体" w:cs="宋体"/>
          <w:sz w:val="24"/>
          <w:highlight w:val="none"/>
        </w:rPr>
        <w:t>提出质疑，质疑事项为：</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ind w:firstLine="360" w:firstLineChars="150"/>
        <w:rPr>
          <w:rFonts w:ascii="宋体" w:hAnsi="宋体" w:cs="宋体"/>
          <w:sz w:val="24"/>
          <w:highlight w:val="none"/>
        </w:rPr>
      </w:pPr>
      <w:r>
        <w:rPr>
          <w:rFonts w:hint="eastAsia" w:ascii="宋体" w:hAnsi="宋体" w:cs="宋体"/>
          <w:sz w:val="24"/>
          <w:highlight w:val="none"/>
          <w:u w:val="dotted"/>
        </w:rPr>
        <w:t>采购人/代理机构</w:t>
      </w:r>
      <w:r>
        <w:rPr>
          <w:rFonts w:hint="eastAsia" w:ascii="宋体" w:hAnsi="宋体" w:cs="宋体"/>
          <w:sz w:val="24"/>
          <w:highlight w:val="none"/>
        </w:rPr>
        <w:t>于</w:t>
      </w:r>
      <w:r>
        <w:rPr>
          <w:rFonts w:hint="eastAsia" w:ascii="宋体" w:hAnsi="宋体" w:cs="宋体"/>
          <w:sz w:val="24"/>
          <w:highlight w:val="none"/>
          <w:u w:val="dotted"/>
        </w:rPr>
        <w:t xml:space="preserve">   </w:t>
      </w:r>
      <w:r>
        <w:rPr>
          <w:rFonts w:hint="eastAsia" w:ascii="宋体" w:hAnsi="宋体" w:cs="宋体"/>
          <w:sz w:val="24"/>
          <w:highlight w:val="none"/>
        </w:rPr>
        <w:t>年</w:t>
      </w:r>
      <w:r>
        <w:rPr>
          <w:rFonts w:hint="eastAsia" w:ascii="宋体" w:hAnsi="宋体" w:cs="宋体"/>
          <w:sz w:val="24"/>
          <w:highlight w:val="none"/>
          <w:u w:val="dotted"/>
        </w:rPr>
        <w:t xml:space="preserve">   </w:t>
      </w:r>
      <w:r>
        <w:rPr>
          <w:rFonts w:hint="eastAsia" w:ascii="宋体" w:hAnsi="宋体" w:cs="宋体"/>
          <w:sz w:val="24"/>
          <w:highlight w:val="none"/>
        </w:rPr>
        <w:t>月</w:t>
      </w:r>
      <w:r>
        <w:rPr>
          <w:rFonts w:hint="eastAsia" w:ascii="宋体" w:hAnsi="宋体" w:cs="宋体"/>
          <w:sz w:val="24"/>
          <w:highlight w:val="none"/>
          <w:u w:val="dotted"/>
        </w:rPr>
        <w:t xml:space="preserve">   </w:t>
      </w:r>
      <w:r>
        <w:rPr>
          <w:rFonts w:hint="eastAsia" w:ascii="宋体" w:hAnsi="宋体" w:cs="宋体"/>
          <w:sz w:val="24"/>
          <w:highlight w:val="none"/>
        </w:rPr>
        <w:t>日,就质疑事项作出了答复/没有在法定期限内作出答复。</w:t>
      </w:r>
    </w:p>
    <w:p>
      <w:pPr>
        <w:spacing w:line="360" w:lineRule="auto"/>
        <w:rPr>
          <w:rFonts w:ascii="宋体" w:hAnsi="宋体" w:cs="宋体"/>
          <w:sz w:val="24"/>
          <w:highlight w:val="none"/>
        </w:rPr>
      </w:pPr>
      <w:r>
        <w:rPr>
          <w:rFonts w:hint="eastAsia" w:ascii="宋体" w:hAnsi="宋体" w:cs="宋体"/>
          <w:sz w:val="24"/>
          <w:highlight w:val="none"/>
        </w:rPr>
        <w:t>四、投诉事项具体内容</w:t>
      </w:r>
    </w:p>
    <w:p>
      <w:pPr>
        <w:spacing w:line="360" w:lineRule="auto"/>
        <w:rPr>
          <w:rFonts w:ascii="宋体" w:hAnsi="宋体" w:cs="宋体"/>
          <w:sz w:val="24"/>
          <w:highlight w:val="none"/>
          <w:u w:val="single"/>
        </w:rPr>
      </w:pPr>
      <w:r>
        <w:rPr>
          <w:rFonts w:hint="eastAsia" w:ascii="宋体" w:hAnsi="宋体" w:cs="宋体"/>
          <w:sz w:val="24"/>
          <w:highlight w:val="none"/>
        </w:rPr>
        <w:t>投诉事项 1：</w:t>
      </w: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事实依据：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法律依据：</w:t>
      </w:r>
      <w:r>
        <w:rPr>
          <w:rFonts w:hint="eastAsia" w:ascii="宋体" w:hAnsi="宋体" w:cs="宋体"/>
          <w:sz w:val="24"/>
          <w:highlight w:val="none"/>
          <w:u w:val="dotted"/>
        </w:rPr>
        <w:t xml:space="preserve">                                          </w:t>
      </w:r>
    </w:p>
    <w:p>
      <w:pPr>
        <w:spacing w:line="360" w:lineRule="auto"/>
        <w:rPr>
          <w:rFonts w:ascii="宋体" w:hAnsi="宋体" w:cs="宋体"/>
          <w:sz w:val="24"/>
          <w:highlight w:val="none"/>
          <w:u w:val="dotted"/>
        </w:rPr>
      </w:pPr>
      <w:r>
        <w:rPr>
          <w:rFonts w:hint="eastAsia" w:ascii="宋体" w:hAnsi="宋体" w:cs="宋体"/>
          <w:sz w:val="24"/>
          <w:highlight w:val="none"/>
          <w:u w:val="dotted"/>
        </w:rPr>
        <w:t xml:space="preserve">                                                      </w:t>
      </w:r>
    </w:p>
    <w:p>
      <w:pPr>
        <w:spacing w:line="360" w:lineRule="auto"/>
        <w:rPr>
          <w:rFonts w:ascii="宋体" w:hAnsi="宋体" w:cs="宋体"/>
          <w:sz w:val="24"/>
          <w:highlight w:val="none"/>
        </w:rPr>
      </w:pPr>
      <w:r>
        <w:rPr>
          <w:rFonts w:hint="eastAsia" w:ascii="宋体" w:hAnsi="宋体" w:cs="宋体"/>
          <w:sz w:val="24"/>
          <w:highlight w:val="none"/>
        </w:rPr>
        <w:t>投诉事项2</w:t>
      </w:r>
    </w:p>
    <w:p>
      <w:pPr>
        <w:spacing w:line="360" w:lineRule="auto"/>
        <w:rPr>
          <w:rFonts w:ascii="宋体" w:hAnsi="宋体" w:cs="宋体"/>
          <w:sz w:val="24"/>
          <w:highlight w:val="none"/>
          <w:u w:val="dotted"/>
        </w:rPr>
      </w:pPr>
      <w:r>
        <w:rPr>
          <w:rFonts w:hint="eastAsia" w:ascii="宋体" w:hAnsi="宋体" w:cs="宋体"/>
          <w:sz w:val="24"/>
          <w:highlight w:val="none"/>
        </w:rPr>
        <w:t>……</w:t>
      </w:r>
    </w:p>
    <w:p>
      <w:pPr>
        <w:spacing w:line="360" w:lineRule="auto"/>
        <w:rPr>
          <w:rFonts w:ascii="宋体" w:hAnsi="宋体" w:cs="宋体"/>
          <w:sz w:val="24"/>
          <w:highlight w:val="none"/>
        </w:rPr>
      </w:pPr>
      <w:r>
        <w:rPr>
          <w:rFonts w:hint="eastAsia" w:ascii="宋体" w:hAnsi="宋体" w:cs="宋体"/>
          <w:sz w:val="24"/>
          <w:highlight w:val="none"/>
        </w:rPr>
        <w:t>五、与投诉事项相关的投诉请求</w:t>
      </w:r>
    </w:p>
    <w:p>
      <w:pPr>
        <w:spacing w:line="360" w:lineRule="auto"/>
        <w:rPr>
          <w:rFonts w:ascii="宋体" w:hAnsi="宋体" w:cs="宋体"/>
          <w:sz w:val="24"/>
          <w:highlight w:val="none"/>
        </w:rPr>
      </w:pPr>
      <w:r>
        <w:rPr>
          <w:rFonts w:hint="eastAsia" w:ascii="宋体" w:hAnsi="宋体" w:cs="宋体"/>
          <w:sz w:val="24"/>
          <w:highlight w:val="none"/>
        </w:rPr>
        <w:t>请求：</w:t>
      </w:r>
      <w:r>
        <w:rPr>
          <w:rFonts w:hint="eastAsia" w:ascii="宋体" w:hAnsi="宋体" w:cs="宋体"/>
          <w:sz w:val="24"/>
          <w:highlight w:val="none"/>
          <w:u w:val="dotted"/>
        </w:rPr>
        <w:t xml:space="preserve">                                              </w:t>
      </w:r>
      <w:r>
        <w:rPr>
          <w:rFonts w:hint="eastAsia" w:ascii="宋体" w:hAnsi="宋体" w:cs="宋体"/>
          <w:sz w:val="24"/>
          <w:highlight w:val="none"/>
        </w:rPr>
        <w:t xml:space="preserve"> </w:t>
      </w:r>
    </w:p>
    <w:p>
      <w:pPr>
        <w:spacing w:line="360" w:lineRule="auto"/>
        <w:rPr>
          <w:rFonts w:ascii="宋体" w:hAnsi="宋体" w:cs="宋体"/>
          <w:sz w:val="24"/>
          <w:highlight w:val="none"/>
          <w:u w:val="single"/>
        </w:rPr>
      </w:pPr>
      <w:r>
        <w:rPr>
          <w:rFonts w:hint="eastAsia" w:ascii="宋体" w:hAnsi="宋体" w:cs="宋体"/>
          <w:sz w:val="24"/>
          <w:highlight w:val="none"/>
        </w:rPr>
        <w:t xml:space="preserve">                                                                                                    </w:t>
      </w:r>
    </w:p>
    <w:p>
      <w:pPr>
        <w:spacing w:line="360" w:lineRule="auto"/>
        <w:rPr>
          <w:rFonts w:ascii="宋体" w:hAnsi="宋体" w:cs="宋体"/>
          <w:sz w:val="24"/>
          <w:highlight w:val="none"/>
        </w:rPr>
      </w:pPr>
      <w:r>
        <w:rPr>
          <w:rFonts w:hint="eastAsia" w:ascii="宋体" w:hAnsi="宋体" w:cs="宋体"/>
          <w:sz w:val="24"/>
          <w:highlight w:val="none"/>
        </w:rPr>
        <w:t xml:space="preserve">签字(签章)：                   公章：                      </w:t>
      </w:r>
    </w:p>
    <w:p>
      <w:pPr>
        <w:spacing w:line="360" w:lineRule="auto"/>
        <w:rPr>
          <w:rFonts w:ascii="宋体" w:hAnsi="宋体" w:cs="宋体"/>
          <w:sz w:val="24"/>
          <w:highlight w:val="none"/>
        </w:rPr>
      </w:pPr>
      <w:r>
        <w:rPr>
          <w:rFonts w:hint="eastAsia" w:ascii="宋体" w:hAnsi="宋体" w:cs="宋体"/>
          <w:sz w:val="24"/>
          <w:highlight w:val="none"/>
        </w:rPr>
        <w:t xml:space="preserve">日期：    </w:t>
      </w:r>
    </w:p>
    <w:p>
      <w:pPr>
        <w:spacing w:line="360" w:lineRule="auto"/>
        <w:rPr>
          <w:rFonts w:ascii="宋体" w:hAnsi="宋体" w:cs="宋体"/>
          <w:b/>
          <w:sz w:val="24"/>
          <w:highlight w:val="none"/>
        </w:rPr>
      </w:pPr>
    </w:p>
    <w:p>
      <w:pPr>
        <w:spacing w:line="360" w:lineRule="auto"/>
        <w:rPr>
          <w:rFonts w:ascii="宋体" w:hAnsi="宋体" w:cs="宋体"/>
          <w:b/>
          <w:sz w:val="24"/>
          <w:highlight w:val="none"/>
        </w:rPr>
      </w:pPr>
    </w:p>
    <w:p>
      <w:pPr>
        <w:spacing w:line="360" w:lineRule="auto"/>
        <w:rPr>
          <w:rFonts w:ascii="宋体" w:hAnsi="宋体" w:cs="宋体"/>
          <w:b/>
          <w:sz w:val="24"/>
          <w:highlight w:val="none"/>
        </w:rPr>
      </w:pPr>
      <w:r>
        <w:rPr>
          <w:rFonts w:hint="eastAsia" w:ascii="宋体" w:hAnsi="宋体" w:cs="宋体"/>
          <w:b/>
          <w:sz w:val="24"/>
          <w:highlight w:val="none"/>
        </w:rPr>
        <w:t>投诉书制作说明：</w:t>
      </w:r>
    </w:p>
    <w:p>
      <w:pPr>
        <w:widowControl/>
        <w:spacing w:line="360" w:lineRule="auto"/>
        <w:ind w:firstLine="480" w:firstLineChars="200"/>
        <w:rPr>
          <w:rFonts w:ascii="宋体" w:hAnsi="宋体" w:cs="宋体"/>
          <w:kern w:val="0"/>
          <w:sz w:val="24"/>
          <w:highlight w:val="none"/>
        </w:rPr>
      </w:pPr>
      <w:r>
        <w:rPr>
          <w:rFonts w:hint="eastAsia" w:ascii="宋体" w:hAnsi="宋体" w:cs="宋体"/>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2.投诉人若委托代理人进行投诉的，投诉书应按照要求列明“授权代表”的有关内容，并在附件中提交由</w:t>
      </w:r>
      <w:r>
        <w:rPr>
          <w:rFonts w:hint="eastAsia" w:ascii="宋体" w:hAnsi="宋体" w:cs="宋体"/>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sz w:val="24"/>
          <w:highlight w:val="none"/>
        </w:rPr>
      </w:pPr>
      <w:r>
        <w:rPr>
          <w:rFonts w:hint="eastAsia" w:ascii="宋体" w:hAnsi="宋体" w:cs="宋体"/>
          <w:sz w:val="24"/>
          <w:highlight w:val="none"/>
        </w:rPr>
        <w:t>6.投诉书的投诉请求应与投诉事项相关。</w:t>
      </w:r>
    </w:p>
    <w:p>
      <w:pPr>
        <w:widowControl/>
        <w:spacing w:line="360" w:lineRule="auto"/>
        <w:ind w:firstLine="480" w:firstLineChars="200"/>
        <w:jc w:val="left"/>
        <w:rPr>
          <w:rFonts w:ascii="宋体" w:hAnsi="宋体" w:cs="宋体"/>
          <w:kern w:val="0"/>
          <w:sz w:val="24"/>
          <w:highlight w:val="none"/>
        </w:rPr>
      </w:pPr>
      <w:r>
        <w:rPr>
          <w:rFonts w:hint="eastAsia" w:ascii="宋体" w:hAnsi="宋体" w:cs="宋体"/>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bCs/>
          <w:sz w:val="32"/>
          <w:szCs w:val="32"/>
          <w:highlight w:val="none"/>
        </w:rPr>
      </w:pPr>
      <w:r>
        <w:rPr>
          <w:rFonts w:hint="eastAsia" w:ascii="宋体" w:hAnsi="宋体" w:cs="宋体"/>
          <w:b/>
          <w:spacing w:val="6"/>
          <w:sz w:val="32"/>
          <w:szCs w:val="32"/>
          <w:highlight w:val="none"/>
        </w:rPr>
        <w:t>附件4：</w:t>
      </w:r>
      <w:r>
        <w:rPr>
          <w:rFonts w:hint="eastAsia" w:ascii="宋体" w:hAnsi="宋体" w:cs="宋体"/>
          <w:b/>
          <w:bCs/>
          <w:sz w:val="32"/>
          <w:szCs w:val="32"/>
          <w:highlight w:val="none"/>
        </w:rPr>
        <w:t>业务专用章使用说明函</w:t>
      </w:r>
    </w:p>
    <w:p>
      <w:pPr>
        <w:spacing w:line="360" w:lineRule="auto"/>
        <w:rPr>
          <w:rFonts w:ascii="宋体" w:hAnsi="宋体" w:cs="宋体"/>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杭州市数据资源管理局</w:t>
      </w:r>
      <w:r>
        <w:rPr>
          <w:rFonts w:hint="eastAsia" w:ascii="宋体" w:hAnsi="宋体" w:cs="宋体"/>
          <w:color w:val="auto"/>
          <w:sz w:val="24"/>
          <w:highlight w:val="none"/>
          <w:u w:val="single"/>
        </w:rPr>
        <w:t>、杭州市公共资源交易中心：</w:t>
      </w:r>
    </w:p>
    <w:p>
      <w:pPr>
        <w:spacing w:line="360" w:lineRule="auto"/>
        <w:ind w:firstLine="480" w:firstLineChars="200"/>
        <w:rPr>
          <w:rFonts w:ascii="宋体" w:hAnsi="宋体" w:cs="宋体"/>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杭州市智慧电子政务外网（2024）项目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HZZFCG-2024-081</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我方所使用的“XX专用章”与法定名称章具有同等的法律效力，对使用“XX专用</w:t>
      </w:r>
      <w:r>
        <w:rPr>
          <w:rFonts w:hint="eastAsia" w:ascii="宋体" w:hAnsi="宋体" w:cs="宋体"/>
          <w:sz w:val="24"/>
          <w:highlight w:val="none"/>
        </w:rPr>
        <w:t xml:space="preserve">章”的行为予以完全承认，并愿意承担相应责任。   </w:t>
      </w:r>
    </w:p>
    <w:p>
      <w:pPr>
        <w:spacing w:line="360" w:lineRule="auto"/>
        <w:ind w:firstLine="480" w:firstLineChars="200"/>
        <w:rPr>
          <w:rFonts w:ascii="宋体" w:hAnsi="宋体" w:cs="宋体"/>
          <w:sz w:val="24"/>
          <w:highlight w:val="none"/>
        </w:rPr>
      </w:pPr>
      <w:r>
        <w:rPr>
          <w:rFonts w:hint="eastAsia" w:ascii="宋体" w:hAnsi="宋体" w:cs="宋体"/>
          <w:sz w:val="24"/>
          <w:highlight w:val="none"/>
        </w:rPr>
        <w:t>特此说明。</w:t>
      </w: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firstLine="494"/>
        <w:rPr>
          <w:rFonts w:ascii="宋体" w:hAnsi="宋体" w:cs="宋体"/>
          <w:sz w:val="24"/>
          <w:highlight w:val="none"/>
        </w:rPr>
      </w:pPr>
    </w:p>
    <w:p>
      <w:pPr>
        <w:spacing w:line="360" w:lineRule="auto"/>
        <w:ind w:right="480" w:firstLine="4080" w:firstLineChars="1700"/>
        <w:rPr>
          <w:rFonts w:ascii="宋体" w:hAnsi="宋体" w:cs="宋体"/>
          <w:sz w:val="24"/>
          <w:highlight w:val="none"/>
        </w:rPr>
      </w:pPr>
      <w:r>
        <w:rPr>
          <w:rFonts w:hint="eastAsia" w:ascii="宋体" w:hAnsi="宋体" w:cs="宋体"/>
          <w:sz w:val="24"/>
          <w:highlight w:val="none"/>
        </w:rPr>
        <w:t>投标单位（法定名称章）：</w:t>
      </w:r>
    </w:p>
    <w:p>
      <w:pPr>
        <w:ind w:right="1440" w:firstLine="494"/>
        <w:jc w:val="center"/>
        <w:rPr>
          <w:rFonts w:ascii="宋体" w:hAnsi="宋体" w:cs="宋体"/>
          <w:sz w:val="24"/>
          <w:highlight w:val="none"/>
        </w:rPr>
      </w:pPr>
      <w:r>
        <w:rPr>
          <w:rFonts w:hint="eastAsia" w:ascii="宋体" w:hAnsi="宋体" w:cs="宋体"/>
          <w:sz w:val="24"/>
          <w:highlight w:val="none"/>
        </w:rPr>
        <w:t xml:space="preserve">                              日期：       年     月     日</w:t>
      </w:r>
    </w:p>
    <w:p>
      <w:pPr>
        <w:rPr>
          <w:rFonts w:ascii="宋体" w:hAnsi="宋体" w:cs="宋体"/>
          <w:sz w:val="24"/>
          <w:highlight w:val="none"/>
        </w:rPr>
      </w:pPr>
      <w:r>
        <w:rPr>
          <w:rFonts w:hint="eastAsia" w:ascii="宋体" w:hAnsi="宋体" w:cs="宋体"/>
          <w:b/>
          <w:bCs/>
          <w:sz w:val="24"/>
          <w:highlight w:val="none"/>
        </w:rPr>
        <w:t>附：</w:t>
      </w:r>
    </w:p>
    <w:p>
      <w:pPr>
        <w:spacing w:line="360" w:lineRule="auto"/>
        <w:rPr>
          <w:rFonts w:ascii="宋体" w:hAnsi="宋体" w:cs="宋体"/>
          <w:bCs/>
          <w:sz w:val="24"/>
          <w:highlight w:val="none"/>
        </w:rPr>
      </w:pPr>
      <w:r>
        <w:rPr>
          <w:rFonts w:hint="eastAsia" w:ascii="宋体" w:hAnsi="宋体" w:cs="宋体"/>
          <w:b/>
          <w:bCs/>
          <w:sz w:val="24"/>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highlight w:val="none"/>
        </w:rPr>
        <w:t>投标单位法定名称章（印模）                投标单位“XX专用章”（印模）</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kern w:val="0"/>
          <w:sz w:val="32"/>
          <w:szCs w:val="32"/>
          <w:highlight w:val="none"/>
          <w:lang w:val="zh-CN"/>
        </w:rPr>
      </w:pPr>
      <w:r>
        <w:rPr>
          <w:rFonts w:hint="eastAsia" w:ascii="宋体" w:hAnsi="宋体" w:cs="宋体"/>
          <w:b/>
          <w:spacing w:val="6"/>
          <w:sz w:val="32"/>
          <w:szCs w:val="32"/>
          <w:highlight w:val="none"/>
        </w:rPr>
        <w:t>附件</w:t>
      </w:r>
      <w:r>
        <w:rPr>
          <w:rFonts w:ascii="宋体" w:hAnsi="宋体" w:cs="宋体"/>
          <w:b/>
          <w:spacing w:val="6"/>
          <w:sz w:val="32"/>
          <w:szCs w:val="32"/>
          <w:highlight w:val="none"/>
        </w:rPr>
        <w:t>5</w:t>
      </w:r>
      <w:r>
        <w:rPr>
          <w:rFonts w:hint="eastAsia" w:ascii="宋体" w:hAnsi="宋体" w:cs="宋体"/>
          <w:b/>
          <w:spacing w:val="6"/>
          <w:sz w:val="32"/>
          <w:szCs w:val="32"/>
          <w:highlight w:val="none"/>
        </w:rPr>
        <w:t>：</w:t>
      </w:r>
      <w:r>
        <w:rPr>
          <w:rFonts w:hint="eastAsia" w:ascii="宋体" w:hAnsi="宋体" w:cs="宋体"/>
          <w:b/>
          <w:kern w:val="0"/>
          <w:sz w:val="32"/>
          <w:szCs w:val="32"/>
          <w:highlight w:val="none"/>
          <w:lang w:val="zh-CN"/>
        </w:rPr>
        <w:t>联合协议</w:t>
      </w:r>
    </w:p>
    <w:p>
      <w:pPr>
        <w:widowControl/>
        <w:spacing w:line="360" w:lineRule="auto"/>
        <w:ind w:firstLine="482" w:firstLineChars="200"/>
        <w:jc w:val="left"/>
        <w:rPr>
          <w:rFonts w:ascii="宋体" w:hAnsi="宋体" w:cs="宋体"/>
          <w:b/>
          <w:sz w:val="24"/>
          <w:highlight w:val="none"/>
        </w:rPr>
      </w:pPr>
      <w:r>
        <w:rPr>
          <w:rFonts w:hint="eastAsia" w:ascii="宋体" w:hAnsi="宋体" w:cs="宋体"/>
          <w:b/>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kern w:val="0"/>
          <w:sz w:val="24"/>
          <w:highlight w:val="none"/>
          <w:u w:val="single"/>
        </w:rPr>
        <w:t>（联合体所有成员名称）</w:t>
      </w:r>
      <w:r>
        <w:rPr>
          <w:rFonts w:hint="eastAsia" w:ascii="宋体" w:hAnsi="宋体" w:cs="宋体"/>
          <w:kern w:val="0"/>
          <w:sz w:val="24"/>
          <w:highlight w:val="none"/>
        </w:rPr>
        <w:t>自愿</w:t>
      </w:r>
      <w:r>
        <w:rPr>
          <w:rFonts w:hint="eastAsia" w:ascii="宋体" w:hAnsi="宋体" w:cs="宋体"/>
          <w:kern w:val="0"/>
          <w:sz w:val="24"/>
          <w:highlight w:val="none"/>
          <w:lang w:val="zh-CN"/>
        </w:rPr>
        <w:t>组成</w:t>
      </w:r>
      <w:r>
        <w:rPr>
          <w:rFonts w:hint="eastAsia" w:ascii="宋体" w:hAnsi="宋体" w:cs="宋体"/>
          <w:color w:val="auto"/>
          <w:kern w:val="0"/>
          <w:sz w:val="24"/>
          <w:highlight w:val="none"/>
          <w:lang w:val="zh-CN"/>
        </w:rPr>
        <w:t>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杭州市智慧电子政务外网（2024）项目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w:t>
      </w:r>
      <w:r>
        <w:rPr>
          <w:rFonts w:hint="eastAsia" w:ascii="宋体" w:hAnsi="宋体" w:cs="宋体"/>
          <w:sz w:val="24"/>
          <w:highlight w:val="none"/>
        </w:rPr>
        <w:t>所有联合体成员各方签署授权书，授权书载明的</w:t>
      </w:r>
      <w:r>
        <w:rPr>
          <w:rFonts w:hint="eastAsia" w:ascii="宋体" w:hAnsi="宋体" w:cs="宋体"/>
          <w:kern w:val="0"/>
          <w:sz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三、本次联合投标中，分工如下：</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（联合体成员1）</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（联合体成员</w:t>
      </w:r>
      <w:r>
        <w:rPr>
          <w:rFonts w:ascii="宋体" w:hAnsi="宋体" w:cs="宋体"/>
          <w:kern w:val="0"/>
          <w:sz w:val="24"/>
          <w:highlight w:val="none"/>
          <w:u w:val="single"/>
        </w:rPr>
        <w:t>2</w:t>
      </w:r>
      <w:r>
        <w:rPr>
          <w:rFonts w:hint="eastAsia" w:ascii="宋体" w:hAnsi="宋体" w:cs="宋体"/>
          <w:kern w:val="0"/>
          <w:sz w:val="24"/>
          <w:highlight w:val="none"/>
          <w:u w:val="single"/>
        </w:rPr>
        <w:t>）</w:t>
      </w:r>
      <w:r>
        <w:rPr>
          <w:rFonts w:hint="eastAsia" w:ascii="宋体" w:hAnsi="宋体" w:cs="宋体"/>
          <w:kern w:val="0"/>
          <w:sz w:val="24"/>
          <w:highlight w:val="none"/>
          <w:lang w:val="zh-CN"/>
        </w:rPr>
        <w:t>承担的工作和义务为：</w:t>
      </w:r>
      <w:r>
        <w:rPr>
          <w:rFonts w:hint="eastAsia" w:ascii="宋体" w:hAnsi="宋体" w:cs="宋体"/>
          <w:highlight w:val="none"/>
          <w:u w:val="single"/>
        </w:rPr>
        <w:t xml:space="preserve">             </w:t>
      </w: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四、联合体成员中小企业合同份额。</w:t>
      </w:r>
    </w:p>
    <w:p>
      <w:pPr>
        <w:snapToGrid w:val="0"/>
        <w:spacing w:line="360" w:lineRule="auto"/>
        <w:ind w:firstLine="576"/>
        <w:rPr>
          <w:rFonts w:ascii="宋体" w:hAnsi="宋体" w:cs="宋体"/>
          <w:b/>
          <w:kern w:val="0"/>
          <w:sz w:val="24"/>
          <w:highlight w:val="none"/>
          <w:lang w:val="zh-CN"/>
        </w:rPr>
      </w:pPr>
      <w:r>
        <w:rPr>
          <w:rFonts w:hint="eastAsia" w:ascii="宋体" w:hAnsi="宋体" w:cs="宋体"/>
          <w:kern w:val="0"/>
          <w:sz w:val="24"/>
          <w:highlight w:val="none"/>
          <w:lang w:val="zh-CN"/>
        </w:rPr>
        <w:t>1、</w:t>
      </w:r>
      <w:r>
        <w:rPr>
          <w:rFonts w:hint="eastAsia" w:ascii="宋体" w:hAnsi="宋体" w:cs="宋体"/>
          <w:kern w:val="0"/>
          <w:sz w:val="24"/>
          <w:highlight w:val="none"/>
          <w:u w:val="single"/>
        </w:rPr>
        <w:t>（</w:t>
      </w:r>
      <w:bookmarkStart w:id="444" w:name="_Hlk101131882"/>
      <w:r>
        <w:rPr>
          <w:rFonts w:hint="eastAsia" w:ascii="宋体" w:hAnsi="宋体" w:cs="宋体"/>
          <w:kern w:val="0"/>
          <w:sz w:val="24"/>
          <w:highlight w:val="none"/>
          <w:u w:val="single"/>
        </w:rPr>
        <w:t>联合体成员X</w:t>
      </w:r>
      <w:r>
        <w:rPr>
          <w:rFonts w:ascii="宋体" w:hAnsi="宋体" w:cs="宋体"/>
          <w:kern w:val="0"/>
          <w:sz w:val="24"/>
          <w:highlight w:val="none"/>
          <w:u w:val="single"/>
        </w:rPr>
        <w:t>,</w:t>
      </w:r>
      <w:r>
        <w:rPr>
          <w:rFonts w:hint="eastAsia" w:ascii="宋体" w:hAnsi="宋体" w:cs="宋体"/>
          <w:kern w:val="0"/>
          <w:sz w:val="24"/>
          <w:highlight w:val="none"/>
          <w:u w:val="single"/>
        </w:rPr>
        <w:t>……</w:t>
      </w:r>
      <w:bookmarkEnd w:id="444"/>
      <w:r>
        <w:rPr>
          <w:rFonts w:hint="eastAsia" w:ascii="宋体" w:hAnsi="宋体" w:cs="宋体"/>
          <w:kern w:val="0"/>
          <w:sz w:val="24"/>
          <w:highlight w:val="none"/>
          <w:u w:val="single"/>
        </w:rPr>
        <w:t>）</w:t>
      </w:r>
      <w:r>
        <w:rPr>
          <w:rFonts w:hint="eastAsia" w:ascii="宋体" w:hAnsi="宋体" w:cs="宋体"/>
          <w:kern w:val="0"/>
          <w:sz w:val="24"/>
          <w:highlight w:val="none"/>
        </w:rPr>
        <w:t>提供的服务由小微企业承接，其合同份额占到合同总金额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kern w:val="0"/>
          <w:sz w:val="24"/>
          <w:highlight w:val="none"/>
          <w:lang w:val="zh-CN"/>
        </w:rPr>
        <w:t>。</w:t>
      </w:r>
      <w:r>
        <w:rPr>
          <w:rFonts w:hint="eastAsia" w:ascii="宋体" w:hAnsi="宋体" w:cs="宋体"/>
          <w:b/>
          <w:kern w:val="0"/>
          <w:sz w:val="24"/>
          <w:highlight w:val="none"/>
          <w:lang w:val="zh-CN"/>
        </w:rPr>
        <w:t>（</w:t>
      </w:r>
      <w:bookmarkStart w:id="445" w:name="_Hlk101133598"/>
      <w:r>
        <w:rPr>
          <w:rFonts w:hint="eastAsia" w:ascii="宋体" w:hAnsi="宋体" w:cs="宋体"/>
          <w:b/>
          <w:kern w:val="0"/>
          <w:sz w:val="24"/>
          <w:highlight w:val="none"/>
          <w:lang w:val="zh-CN"/>
        </w:rPr>
        <w:t>未预留份额专门面向中小企业采购的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highlight w:val="none"/>
        </w:rPr>
        <w:t>拟享受以上价格扣除政策的，填写有关内容。</w:t>
      </w:r>
      <w:bookmarkEnd w:id="445"/>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w:t>
      </w:r>
      <w:bookmarkStart w:id="446" w:name="_Hlk101133173"/>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%，其中小微企业合同金额达到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highlight w:val="none"/>
          <w:lang w:val="zh-CN"/>
        </w:rPr>
        <w:t>）</w:t>
      </w:r>
      <w:bookmarkEnd w:id="446"/>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五、如果中标，</w:t>
      </w:r>
      <w:r>
        <w:rPr>
          <w:rFonts w:hint="eastAsia" w:ascii="宋体" w:hAnsi="宋体" w:cs="宋体"/>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六、有关本次联合投标的其他事宜：</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firstLine="5040" w:firstLineChars="2100"/>
        <w:rPr>
          <w:rFonts w:ascii="宋体" w:hAnsi="宋体" w:cs="宋体"/>
          <w:kern w:val="0"/>
          <w:sz w:val="24"/>
          <w:highlight w:val="none"/>
          <w:lang w:val="zh-CN"/>
        </w:rPr>
      </w:pPr>
      <w:r>
        <w:rPr>
          <w:rFonts w:hint="eastAsia" w:ascii="宋体" w:hAnsi="宋体" w:cs="宋体"/>
          <w:kern w:val="0"/>
          <w:sz w:val="24"/>
          <w:highlight w:val="none"/>
          <w:lang w:val="zh-CN"/>
        </w:rPr>
        <w:t>联合体成员名称(电子签名/公章)：</w:t>
      </w:r>
    </w:p>
    <w:p>
      <w:pPr>
        <w:snapToGrid w:val="0"/>
        <w:spacing w:line="360" w:lineRule="auto"/>
        <w:ind w:right="960"/>
        <w:jc w:val="center"/>
        <w:rPr>
          <w:rFonts w:ascii="宋体" w:hAnsi="宋体" w:cs="宋体"/>
          <w:kern w:val="0"/>
          <w:sz w:val="24"/>
          <w:highlight w:val="none"/>
          <w:lang w:val="zh-CN"/>
        </w:rPr>
      </w:pPr>
      <w:r>
        <w:rPr>
          <w:rFonts w:hint="eastAsia" w:ascii="宋体" w:hAnsi="宋体" w:cs="宋体"/>
          <w:kern w:val="0"/>
          <w:sz w:val="24"/>
          <w:highlight w:val="none"/>
          <w:lang w:val="zh-CN"/>
        </w:rPr>
        <w:t xml:space="preserve">                   ……</w:t>
      </w:r>
    </w:p>
    <w:p>
      <w:pPr>
        <w:snapToGrid w:val="0"/>
        <w:spacing w:line="360" w:lineRule="auto"/>
        <w:jc w:val="right"/>
        <w:rPr>
          <w:rFonts w:ascii="宋体" w:hAnsi="宋体" w:cs="宋体"/>
          <w:kern w:val="0"/>
          <w:sz w:val="24"/>
          <w:highlight w:val="none"/>
          <w:lang w:val="zh-CN"/>
        </w:rPr>
      </w:pPr>
      <w:r>
        <w:rPr>
          <w:rFonts w:hint="eastAsia" w:ascii="宋体" w:hAnsi="宋体" w:cs="宋体"/>
          <w:kern w:val="0"/>
          <w:sz w:val="24"/>
          <w:highlight w:val="none"/>
          <w:lang w:val="zh-CN"/>
        </w:rPr>
        <w:t>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snapToGrid w:val="0"/>
        <w:spacing w:line="360" w:lineRule="auto"/>
        <w:ind w:firstLine="3666" w:firstLineChars="1100"/>
        <w:rPr>
          <w:rFonts w:ascii="宋体" w:hAnsi="宋体" w:cs="宋体"/>
          <w:b/>
          <w:spacing w:val="6"/>
          <w:sz w:val="32"/>
          <w:szCs w:val="32"/>
          <w:highlight w:val="none"/>
        </w:rPr>
      </w:pPr>
    </w:p>
    <w:p>
      <w:pPr>
        <w:widowControl/>
        <w:adjustRightInd/>
        <w:jc w:val="left"/>
        <w:rPr>
          <w:rFonts w:ascii="宋体" w:hAnsi="宋体" w:cs="宋体"/>
          <w:b/>
          <w:spacing w:val="6"/>
          <w:sz w:val="32"/>
          <w:szCs w:val="32"/>
          <w:highlight w:val="none"/>
        </w:rPr>
      </w:pPr>
      <w:r>
        <w:rPr>
          <w:rFonts w:ascii="宋体" w:hAnsi="宋体" w:cs="宋体"/>
          <w:b/>
          <w:spacing w:val="6"/>
          <w:sz w:val="32"/>
          <w:szCs w:val="32"/>
          <w:highlight w:val="none"/>
        </w:rPr>
        <w:br w:type="page"/>
      </w:r>
    </w:p>
    <w:p>
      <w:pPr>
        <w:snapToGrid w:val="0"/>
        <w:spacing w:line="360" w:lineRule="auto"/>
        <w:ind w:firstLine="3666" w:firstLineChars="1100"/>
        <w:rPr>
          <w:rFonts w:ascii="宋体" w:hAnsi="宋体" w:cs="宋体"/>
          <w:b/>
          <w:kern w:val="0"/>
          <w:sz w:val="32"/>
          <w:szCs w:val="32"/>
          <w:highlight w:val="none"/>
        </w:rPr>
      </w:pPr>
      <w:r>
        <w:rPr>
          <w:rFonts w:hint="eastAsia" w:ascii="宋体" w:hAnsi="宋体" w:cs="宋体"/>
          <w:b/>
          <w:spacing w:val="6"/>
          <w:sz w:val="32"/>
          <w:szCs w:val="32"/>
          <w:highlight w:val="none"/>
        </w:rPr>
        <w:t>附件</w:t>
      </w:r>
      <w:r>
        <w:rPr>
          <w:rFonts w:ascii="宋体" w:hAnsi="宋体" w:cs="宋体"/>
          <w:b/>
          <w:spacing w:val="6"/>
          <w:sz w:val="32"/>
          <w:szCs w:val="32"/>
          <w:highlight w:val="none"/>
        </w:rPr>
        <w:t>6</w:t>
      </w:r>
      <w:r>
        <w:rPr>
          <w:rFonts w:hint="eastAsia" w:ascii="宋体" w:hAnsi="宋体" w:cs="宋体"/>
          <w:b/>
          <w:spacing w:val="6"/>
          <w:sz w:val="32"/>
          <w:szCs w:val="32"/>
          <w:highlight w:val="none"/>
        </w:rPr>
        <w:t>：</w:t>
      </w:r>
      <w:r>
        <w:rPr>
          <w:rFonts w:hint="eastAsia" w:ascii="宋体" w:hAnsi="宋体" w:cs="宋体"/>
          <w:b/>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sz w:val="24"/>
          <w:highlight w:val="none"/>
        </w:rPr>
        <w:t>（</w:t>
      </w:r>
      <w:r>
        <w:rPr>
          <w:rFonts w:hint="eastAsia" w:ascii="宋体" w:hAnsi="宋体" w:cs="宋体"/>
          <w:b/>
          <w:sz w:val="24"/>
          <w:highlight w:val="none"/>
        </w:rPr>
        <w:t>中标后以分包方式履行合同的，提供分包意向协议；采购人不同意分包或者投标人中标后不以分包方式履行合同的，</w:t>
      </w:r>
      <w:r>
        <w:rPr>
          <w:rFonts w:hint="eastAsia" w:ascii="宋体" w:hAnsi="宋体" w:cs="宋体"/>
          <w:b/>
          <w:color w:val="auto"/>
          <w:sz w:val="24"/>
          <w:highlight w:val="none"/>
        </w:rPr>
        <w:t>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杭州市智慧电子政务外网（2024）项目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HZZFCG-2024-081</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w:t>
      </w:r>
      <w:r>
        <w:rPr>
          <w:rFonts w:hint="eastAsia" w:ascii="宋体" w:hAnsi="宋体" w:cs="宋体"/>
          <w:kern w:val="0"/>
          <w:sz w:val="24"/>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一、分包标的及数量</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u w:val="single"/>
        </w:rPr>
        <w:t>（投标人名称）</w:t>
      </w:r>
      <w:r>
        <w:rPr>
          <w:rFonts w:hint="eastAsia" w:ascii="宋体" w:hAnsi="宋体" w:cs="宋体"/>
          <w:kern w:val="0"/>
          <w:sz w:val="24"/>
          <w:highlight w:val="none"/>
          <w:lang w:val="zh-CN"/>
        </w:rPr>
        <w:t>将</w:t>
      </w:r>
      <w:r>
        <w:rPr>
          <w:rFonts w:hint="eastAsia" w:ascii="宋体" w:hAnsi="宋体" w:cs="宋体"/>
          <w:highlight w:val="none"/>
          <w:u w:val="single"/>
        </w:rPr>
        <w:t xml:space="preserve">  </w:t>
      </w:r>
      <w:r>
        <w:rPr>
          <w:rFonts w:ascii="宋体" w:hAnsi="宋体" w:cs="宋体"/>
          <w:kern w:val="0"/>
          <w:sz w:val="24"/>
          <w:highlight w:val="none"/>
          <w:u w:val="single"/>
        </w:rPr>
        <w:t xml:space="preserve"> XX工作内容   </w:t>
      </w:r>
      <w:r>
        <w:rPr>
          <w:rFonts w:hint="eastAsia" w:ascii="宋体" w:hAnsi="宋体" w:cs="宋体"/>
          <w:sz w:val="24"/>
          <w:highlight w:val="none"/>
        </w:rPr>
        <w:t>分包给</w:t>
      </w:r>
      <w:r>
        <w:rPr>
          <w:rFonts w:hint="eastAsia" w:ascii="宋体" w:hAnsi="宋体" w:cs="宋体"/>
          <w:kern w:val="0"/>
          <w:sz w:val="24"/>
          <w:highlight w:val="none"/>
          <w:u w:val="single"/>
        </w:rPr>
        <w:t>（分包供应商1名称）</w:t>
      </w:r>
      <w:r>
        <w:rPr>
          <w:rFonts w:hint="eastAsia" w:ascii="宋体" w:hAnsi="宋体" w:cs="宋体"/>
          <w:kern w:val="0"/>
          <w:sz w:val="24"/>
          <w:highlight w:val="none"/>
          <w:lang w:val="zh-CN"/>
        </w:rPr>
        <w:t>，</w:t>
      </w:r>
      <w:r>
        <w:rPr>
          <w:rFonts w:hint="eastAsia" w:ascii="宋体" w:hAnsi="宋体" w:cs="宋体"/>
          <w:kern w:val="0"/>
          <w:sz w:val="24"/>
          <w:highlight w:val="none"/>
          <w:u w:val="single"/>
        </w:rPr>
        <w:t>（分包供应商2名称），</w:t>
      </w:r>
      <w:r>
        <w:rPr>
          <w:rFonts w:hint="eastAsia" w:ascii="宋体" w:hAnsi="宋体" w:cs="宋体"/>
          <w:kern w:val="0"/>
          <w:sz w:val="24"/>
          <w:highlight w:val="none"/>
          <w:lang w:val="zh-CN"/>
        </w:rPr>
        <w:t>具备承</w:t>
      </w:r>
      <w:r>
        <w:rPr>
          <w:rFonts w:hint="eastAsia" w:ascii="宋体" w:hAnsi="宋体" w:cs="宋体"/>
          <w:kern w:val="0"/>
          <w:sz w:val="24"/>
          <w:highlight w:val="none"/>
        </w:rPr>
        <w:t>担</w:t>
      </w:r>
      <w:r>
        <w:rPr>
          <w:rFonts w:hint="eastAsia" w:ascii="宋体" w:hAnsi="宋体" w:cs="宋体"/>
          <w:kern w:val="0"/>
          <w:sz w:val="24"/>
          <w:highlight w:val="none"/>
          <w:u w:val="single"/>
          <w:lang w:val="zh-CN"/>
        </w:rPr>
        <w:t>XX工作内容</w:t>
      </w:r>
      <w:r>
        <w:rPr>
          <w:rFonts w:hint="eastAsia" w:ascii="宋体" w:hAnsi="宋体" w:cs="宋体"/>
          <w:kern w:val="0"/>
          <w:sz w:val="24"/>
          <w:highlight w:val="none"/>
          <w:lang w:val="zh-CN"/>
        </w:rPr>
        <w:t>相应资质条件且不得再次分包；</w:t>
      </w:r>
    </w:p>
    <w:p>
      <w:pPr>
        <w:pStyle w:val="3"/>
        <w:ind w:left="664" w:leftChars="316" w:firstLine="229" w:firstLineChars="95"/>
        <w:rPr>
          <w:rFonts w:ascii="宋体" w:hAnsi="宋体" w:eastAsia="宋体" w:cs="宋体"/>
          <w:kern w:val="0"/>
          <w:sz w:val="24"/>
          <w:szCs w:val="24"/>
          <w:highlight w:val="none"/>
        </w:rPr>
      </w:pPr>
      <w:r>
        <w:rPr>
          <w:rFonts w:hint="eastAsia" w:ascii="宋体" w:hAnsi="宋体" w:eastAsia="宋体" w:cs="宋体"/>
          <w:kern w:val="0"/>
          <w:sz w:val="24"/>
          <w:szCs w:val="24"/>
          <w:highlight w:val="none"/>
        </w:rPr>
        <w:t>……</w:t>
      </w:r>
    </w:p>
    <w:p>
      <w:pPr>
        <w:rPr>
          <w:highlight w:val="none"/>
        </w:rPr>
      </w:pPr>
      <w:r>
        <w:rPr>
          <w:rFonts w:hint="eastAsia"/>
          <w:highlight w:val="none"/>
          <w:lang w:val="zh-CN"/>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二、分包供应商中小企业合同份额</w:t>
      </w:r>
    </w:p>
    <w:p>
      <w:pPr>
        <w:snapToGrid w:val="0"/>
        <w:spacing w:line="360" w:lineRule="auto"/>
        <w:ind w:firstLine="576"/>
        <w:rPr>
          <w:rFonts w:ascii="宋体" w:hAnsi="宋体" w:cs="宋体"/>
          <w:b/>
          <w:kern w:val="0"/>
          <w:sz w:val="24"/>
          <w:highlight w:val="none"/>
          <w:lang w:val="zh-CN"/>
        </w:rPr>
      </w:pPr>
      <w:r>
        <w:rPr>
          <w:rFonts w:ascii="宋体" w:hAnsi="宋体" w:cs="宋体"/>
          <w:kern w:val="0"/>
          <w:sz w:val="24"/>
          <w:highlight w:val="none"/>
        </w:rPr>
        <w:t>1、</w:t>
      </w:r>
      <w:r>
        <w:rPr>
          <w:rFonts w:hint="eastAsia" w:ascii="宋体" w:hAnsi="宋体" w:cs="宋体"/>
          <w:kern w:val="0"/>
          <w:sz w:val="24"/>
          <w:highlight w:val="none"/>
          <w:u w:val="single"/>
        </w:rPr>
        <w:t>（分包供应商X</w:t>
      </w:r>
      <w:r>
        <w:rPr>
          <w:rFonts w:ascii="宋体" w:hAnsi="宋体" w:cs="宋体"/>
          <w:kern w:val="0"/>
          <w:sz w:val="24"/>
          <w:highlight w:val="none"/>
          <w:u w:val="single"/>
        </w:rPr>
        <w:t>,</w:t>
      </w:r>
      <w:r>
        <w:rPr>
          <w:rFonts w:hint="eastAsia" w:ascii="宋体" w:hAnsi="宋体" w:cs="宋体"/>
          <w:kern w:val="0"/>
          <w:sz w:val="24"/>
          <w:highlight w:val="none"/>
          <w:u w:val="single"/>
        </w:rPr>
        <w:t>……）提供的服务全部由小微企业承接，</w:t>
      </w:r>
      <w:r>
        <w:rPr>
          <w:rFonts w:hint="eastAsia" w:ascii="宋体" w:hAnsi="宋体" w:cs="宋体"/>
          <w:kern w:val="0"/>
          <w:sz w:val="24"/>
          <w:highlight w:val="none"/>
        </w:rPr>
        <w:t>其合同份额占到合同总金额</w:t>
      </w:r>
      <w:r>
        <w:rPr>
          <w:rFonts w:hint="eastAsia" w:ascii="宋体" w:hAnsi="宋体" w:cs="宋体"/>
          <w:kern w:val="0"/>
          <w:sz w:val="24"/>
          <w:highlight w:val="none"/>
          <w:u w:val="single"/>
        </w:rPr>
        <w:t xml:space="preserve">     </w:t>
      </w:r>
      <w:r>
        <w:rPr>
          <w:rFonts w:hint="eastAsia" w:ascii="宋体" w:hAnsi="宋体" w:cs="宋体"/>
          <w:kern w:val="0"/>
          <w:sz w:val="24"/>
          <w:highlight w:val="none"/>
        </w:rPr>
        <w:t>%以上</w:t>
      </w:r>
      <w:r>
        <w:rPr>
          <w:rFonts w:hint="eastAsia" w:ascii="宋体" w:hAnsi="宋体" w:cs="宋体"/>
          <w:highlight w:val="none"/>
        </w:rPr>
        <w:t>。</w:t>
      </w:r>
      <w:r>
        <w:rPr>
          <w:rFonts w:hint="eastAsia" w:ascii="宋体" w:hAnsi="宋体" w:cs="宋体"/>
          <w:b/>
          <w:kern w:val="0"/>
          <w:sz w:val="24"/>
          <w:highlight w:val="none"/>
          <w:lang w:val="zh-CN"/>
        </w:rPr>
        <w:t>（未预留份额专门面向中小企业采购的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highlight w:val="none"/>
        </w:rPr>
        <w:t>拟享受以上价格扣除政策的，填写有关内容。</w:t>
      </w:r>
      <w:r>
        <w:rPr>
          <w:rFonts w:hint="eastAsia" w:ascii="宋体" w:hAnsi="宋体" w:cs="宋体"/>
          <w:b/>
          <w:kern w:val="0"/>
          <w:sz w:val="24"/>
          <w:highlight w:val="none"/>
          <w:lang w:val="zh-CN"/>
        </w:rPr>
        <w:t>）</w:t>
      </w:r>
    </w:p>
    <w:p>
      <w:pPr>
        <w:spacing w:line="360" w:lineRule="auto"/>
        <w:ind w:firstLine="480" w:firstLineChars="200"/>
        <w:rPr>
          <w:rFonts w:ascii="宋体" w:hAnsi="宋体" w:cs="宋体"/>
          <w:b/>
          <w:bCs/>
          <w:kern w:val="0"/>
          <w:sz w:val="24"/>
          <w:highlight w:val="none"/>
          <w:lang w:val="zh-CN"/>
        </w:rPr>
      </w:pPr>
      <w:r>
        <w:rPr>
          <w:rFonts w:hint="eastAsia" w:ascii="宋体" w:hAnsi="宋体" w:cs="宋体"/>
          <w:sz w:val="24"/>
          <w:highlight w:val="none"/>
        </w:rPr>
        <w:t>2、中小企业合同金额达到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%，其中小微企业合同金额达到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w:t>
      </w:r>
      <w:r>
        <w:rPr>
          <w:rFonts w:hint="eastAsia" w:ascii="宋体" w:hAnsi="宋体" w:cs="宋体"/>
          <w:b/>
          <w:bCs/>
          <w:kern w:val="0"/>
          <w:sz w:val="24"/>
          <w:highlight w:val="none"/>
          <w:lang w:val="zh-CN"/>
        </w:rPr>
        <w:t>（</w:t>
      </w:r>
      <w:r>
        <w:rPr>
          <w:rFonts w:hint="eastAsia" w:ascii="宋体" w:hAnsi="宋体" w:cs="宋体"/>
          <w:b/>
          <w:bCs/>
          <w:sz w:val="24"/>
          <w:highlight w:val="none"/>
        </w:rPr>
        <w:t>要求合同分包形式参加的项目或采购包，供应商按招标文件第一部分招标公告申请人的资格要求中规定的</w:t>
      </w:r>
      <w:r>
        <w:rPr>
          <w:rFonts w:hint="eastAsia" w:ascii="宋体" w:hAnsi="宋体" w:cs="宋体"/>
          <w:b/>
          <w:kern w:val="0"/>
          <w:sz w:val="24"/>
          <w:highlight w:val="none"/>
          <w:lang w:val="zh-CN"/>
        </w:rPr>
        <w:t>分包意向协议</w:t>
      </w:r>
      <w:r>
        <w:rPr>
          <w:rFonts w:hint="eastAsia" w:ascii="宋体" w:hAnsi="宋体" w:cs="宋体"/>
          <w:b/>
          <w:bCs/>
          <w:sz w:val="24"/>
          <w:highlight w:val="none"/>
        </w:rPr>
        <w:t>中中小企业、小微企业合同金额应当达到的比例要求填写。</w:t>
      </w:r>
      <w:r>
        <w:rPr>
          <w:rFonts w:hint="eastAsia" w:ascii="宋体" w:hAnsi="宋体" w:cs="宋体"/>
          <w:b/>
          <w:bCs/>
          <w:kern w:val="0"/>
          <w:sz w:val="24"/>
          <w:highlight w:val="none"/>
          <w:lang w:val="zh-CN"/>
        </w:rPr>
        <w:t>）</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三、分包工作履行期限、地点、方式</w:t>
      </w:r>
    </w:p>
    <w:p>
      <w:pPr>
        <w:snapToGrid w:val="0"/>
        <w:spacing w:line="360" w:lineRule="auto"/>
        <w:ind w:firstLine="576"/>
        <w:rPr>
          <w:rFonts w:ascii="宋体" w:hAnsi="宋体" w:cs="宋体"/>
          <w:highlight w:val="none"/>
          <w:u w:val="single"/>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四、质量</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五、价款或者报酬</w:t>
      </w:r>
    </w:p>
    <w:p>
      <w:pPr>
        <w:snapToGrid w:val="0"/>
        <w:spacing w:line="360" w:lineRule="auto"/>
        <w:ind w:left="573" w:leftChars="273"/>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left="573" w:leftChars="273"/>
        <w:rPr>
          <w:rFonts w:ascii="宋体" w:hAnsi="宋体" w:cs="宋体"/>
          <w:kern w:val="0"/>
          <w:sz w:val="24"/>
          <w:highlight w:val="none"/>
          <w:lang w:val="zh-CN"/>
        </w:rPr>
      </w:pPr>
      <w:r>
        <w:rPr>
          <w:rFonts w:hint="eastAsia" w:ascii="宋体" w:hAnsi="宋体" w:cs="宋体"/>
          <w:kern w:val="0"/>
          <w:sz w:val="24"/>
          <w:highlight w:val="none"/>
          <w:lang w:val="zh-CN"/>
        </w:rPr>
        <w:t>六、违约责任</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七、争议解决的办法</w:t>
      </w:r>
    </w:p>
    <w:p>
      <w:pPr>
        <w:snapToGrid w:val="0"/>
        <w:spacing w:line="360" w:lineRule="auto"/>
        <w:ind w:firstLine="576"/>
        <w:rPr>
          <w:rFonts w:ascii="宋体" w:hAnsi="宋体" w:cs="宋体"/>
          <w:kern w:val="0"/>
          <w:sz w:val="24"/>
          <w:highlight w:val="none"/>
          <w:lang w:val="zh-CN"/>
        </w:rPr>
      </w:pPr>
      <w:r>
        <w:rPr>
          <w:rFonts w:hint="eastAsia" w:ascii="宋体" w:hAnsi="宋体" w:cs="宋体"/>
          <w:highlight w:val="none"/>
          <w:u w:val="single"/>
        </w:rPr>
        <w:t xml:space="preserve">                                                                                  </w:t>
      </w:r>
    </w:p>
    <w:p>
      <w:pPr>
        <w:snapToGrid w:val="0"/>
        <w:spacing w:line="360" w:lineRule="auto"/>
        <w:ind w:firstLine="576"/>
        <w:rPr>
          <w:rFonts w:ascii="宋体" w:hAnsi="宋体" w:cs="宋体"/>
          <w:kern w:val="0"/>
          <w:sz w:val="24"/>
          <w:highlight w:val="none"/>
          <w:lang w:val="zh-CN"/>
        </w:rPr>
      </w:pPr>
      <w:r>
        <w:rPr>
          <w:rFonts w:hint="eastAsia" w:ascii="宋体" w:hAnsi="宋体" w:cs="宋体"/>
          <w:kern w:val="0"/>
          <w:sz w:val="24"/>
          <w:highlight w:val="none"/>
          <w:lang w:val="zh-CN"/>
        </w:rPr>
        <w:t>八、其他</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sz w:val="24"/>
          <w:highlight w:val="none"/>
        </w:rPr>
        <w:t>中小企业合同金额达到</w:t>
      </w:r>
      <w:r>
        <w:rPr>
          <w:rFonts w:hint="eastAsia" w:ascii="宋体" w:hAnsi="宋体" w:cs="宋体"/>
          <w:sz w:val="24"/>
          <w:highlight w:val="none"/>
          <w:u w:val="single"/>
        </w:rPr>
        <w:t xml:space="preserve">  </w:t>
      </w:r>
      <w:r>
        <w:rPr>
          <w:rFonts w:hint="eastAsia" w:ascii="宋体" w:hAnsi="宋体" w:cs="宋体"/>
          <w:sz w:val="24"/>
          <w:highlight w:val="none"/>
        </w:rPr>
        <w:t>%，小微企业合同金额达到</w:t>
      </w:r>
      <w:r>
        <w:rPr>
          <w:rFonts w:hint="eastAsia" w:ascii="宋体" w:hAnsi="宋体" w:cs="宋体"/>
          <w:sz w:val="24"/>
          <w:highlight w:val="none"/>
          <w:u w:val="single"/>
        </w:rPr>
        <w:t xml:space="preserve"> </w:t>
      </w:r>
      <w:r>
        <w:rPr>
          <w:rFonts w:hint="eastAsia" w:ascii="宋体" w:hAnsi="宋体" w:cs="宋体"/>
          <w:sz w:val="24"/>
          <w:highlight w:val="none"/>
        </w:rPr>
        <w:t>%</w:t>
      </w:r>
      <w:r>
        <w:rPr>
          <w:rFonts w:hint="eastAsia" w:ascii="宋体" w:hAnsi="宋体" w:cs="宋体"/>
          <w:kern w:val="0"/>
          <w:sz w:val="24"/>
          <w:highlight w:val="none"/>
          <w:lang w:val="zh-CN"/>
        </w:rPr>
        <w:t xml:space="preserve">  。                                           投标人名称(电子签名)：</w:t>
      </w:r>
    </w:p>
    <w:p>
      <w:pPr>
        <w:snapToGrid w:val="0"/>
        <w:spacing w:line="360" w:lineRule="auto"/>
        <w:jc w:val="right"/>
        <w:rPr>
          <w:rFonts w:ascii="宋体" w:hAnsi="宋体" w:cs="宋体"/>
          <w:kern w:val="0"/>
          <w:sz w:val="24"/>
          <w:highlight w:val="none"/>
          <w:lang w:val="zh-CN"/>
        </w:rPr>
      </w:pPr>
      <w:r>
        <w:rPr>
          <w:rFonts w:hint="eastAsia" w:ascii="宋体" w:hAnsi="宋体" w:cs="宋体"/>
          <w:kern w:val="0"/>
          <w:sz w:val="24"/>
          <w:highlight w:val="none"/>
          <w:lang w:val="zh-CN"/>
        </w:rPr>
        <w:t>分包供应商名称(电子签名/公章)：</w:t>
      </w:r>
    </w:p>
    <w:p>
      <w:pPr>
        <w:snapToGrid w:val="0"/>
        <w:spacing w:line="360" w:lineRule="auto"/>
        <w:ind w:firstLine="5760" w:firstLineChars="2400"/>
        <w:rPr>
          <w:rFonts w:ascii="宋体" w:hAnsi="宋体" w:cs="宋体"/>
          <w:highlight w:val="none"/>
        </w:rPr>
      </w:pPr>
      <w:r>
        <w:rPr>
          <w:rFonts w:hint="eastAsia" w:ascii="宋体" w:hAnsi="宋体" w:cs="宋体"/>
          <w:kern w:val="0"/>
          <w:sz w:val="24"/>
          <w:highlight w:val="none"/>
          <w:lang w:val="zh-CN"/>
        </w:rPr>
        <w:t>……</w:t>
      </w:r>
    </w:p>
    <w:p>
      <w:pPr>
        <w:snapToGrid w:val="0"/>
        <w:spacing w:line="360" w:lineRule="auto"/>
        <w:ind w:left="5758" w:leftChars="342" w:hanging="5040" w:hangingChars="2100"/>
        <w:rPr>
          <w:rFonts w:ascii="宋体" w:hAnsi="宋体" w:cs="宋体"/>
          <w:kern w:val="0"/>
          <w:sz w:val="24"/>
          <w:highlight w:val="none"/>
          <w:lang w:val="zh-CN"/>
        </w:rPr>
      </w:pPr>
      <w:r>
        <w:rPr>
          <w:rFonts w:hint="eastAsia" w:ascii="宋体" w:hAnsi="宋体" w:cs="宋体"/>
          <w:kern w:val="0"/>
          <w:sz w:val="24"/>
          <w:highlight w:val="none"/>
          <w:lang w:val="zh-CN"/>
        </w:rPr>
        <w:t xml:space="preserve">                                        日期：  年  月   日</w:t>
      </w:r>
    </w:p>
    <w:p>
      <w:pPr>
        <w:spacing w:line="360" w:lineRule="auto"/>
        <w:ind w:right="420"/>
        <w:rPr>
          <w:rFonts w:ascii="宋体" w:hAnsi="宋体" w:cs="宋体"/>
          <w:sz w:val="24"/>
          <w:highlight w:val="none"/>
        </w:rPr>
      </w:pPr>
      <w:r>
        <w:rPr>
          <w:rFonts w:hint="eastAsia" w:ascii="宋体" w:hAnsi="宋体" w:cs="宋体"/>
          <w:sz w:val="24"/>
          <w:highlight w:val="none"/>
        </w:rPr>
        <w:t>注：按本格式和要求提供。</w:t>
      </w: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autoSpaceDE w:val="0"/>
        <w:autoSpaceDN w:val="0"/>
        <w:jc w:val="center"/>
        <w:rPr>
          <w:rFonts w:ascii="宋体" w:hAnsi="宋体" w:cs="宋体"/>
          <w:b/>
          <w:spacing w:val="6"/>
          <w:sz w:val="32"/>
          <w:szCs w:val="32"/>
          <w:highlight w:val="none"/>
        </w:rPr>
      </w:pPr>
    </w:p>
    <w:p>
      <w:pPr>
        <w:spacing w:line="360" w:lineRule="auto"/>
        <w:jc w:val="left"/>
        <w:outlineLvl w:val="0"/>
        <w:rPr>
          <w:rFonts w:ascii="宋体" w:hAnsi="宋体" w:cs="宋体"/>
          <w:b/>
          <w:sz w:val="36"/>
          <w:szCs w:val="20"/>
          <w:highlight w:val="none"/>
        </w:rPr>
      </w:pPr>
      <w:r>
        <w:rPr>
          <w:rFonts w:hint="eastAsia" w:ascii="宋体" w:hAnsi="宋体" w:cs="宋体"/>
          <w:b/>
          <w:sz w:val="36"/>
          <w:szCs w:val="20"/>
          <w:highlight w:val="none"/>
        </w:rPr>
        <w:t>附件</w:t>
      </w:r>
      <w:r>
        <w:rPr>
          <w:rFonts w:ascii="宋体" w:hAnsi="宋体" w:cs="宋体"/>
          <w:b/>
          <w:sz w:val="36"/>
          <w:szCs w:val="20"/>
          <w:highlight w:val="none"/>
        </w:rPr>
        <w:t>7</w:t>
      </w:r>
      <w:r>
        <w:rPr>
          <w:rFonts w:hint="eastAsia" w:ascii="宋体" w:hAnsi="宋体" w:cs="宋体"/>
          <w:b/>
          <w:sz w:val="36"/>
          <w:szCs w:val="20"/>
          <w:highlight w:val="none"/>
        </w:rPr>
        <w:t>：中小企业声明函</w:t>
      </w:r>
    </w:p>
    <w:p>
      <w:pPr>
        <w:spacing w:line="360" w:lineRule="auto"/>
        <w:jc w:val="center"/>
        <w:rPr>
          <w:rFonts w:ascii="宋体" w:hAnsi="宋体" w:cs="宋体"/>
          <w:sz w:val="24"/>
          <w:highlight w:val="none"/>
          <w:u w:val="single"/>
        </w:rPr>
      </w:pPr>
    </w:p>
    <w:p>
      <w:pPr>
        <w:spacing w:line="360" w:lineRule="auto"/>
        <w:jc w:val="center"/>
        <w:rPr>
          <w:rFonts w:ascii="宋体" w:hAnsi="宋体" w:cs="宋体"/>
          <w:b/>
          <w:sz w:val="32"/>
          <w:szCs w:val="32"/>
          <w:highlight w:val="none"/>
        </w:rPr>
      </w:pPr>
      <w:r>
        <w:rPr>
          <w:rFonts w:hint="eastAsia" w:ascii="宋体" w:hAnsi="宋体" w:cs="宋体"/>
          <w:b/>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sz w:val="24"/>
          <w:highlight w:val="none"/>
        </w:rPr>
        <w:t>本公司（联合体）</w:t>
      </w:r>
      <w:r>
        <w:rPr>
          <w:rFonts w:hint="eastAsia" w:ascii="宋体" w:hAnsi="宋体" w:cs="宋体"/>
          <w:color w:val="auto"/>
          <w:sz w:val="24"/>
          <w:highlight w:val="none"/>
        </w:rPr>
        <w:t xml:space="preserve">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杭州市数据资源管理局</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杭州市智慧电子政务外网（2024）项目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宋体" w:hAnsi="宋体"/>
          <w:color w:val="auto"/>
          <w:sz w:val="24"/>
          <w:u w:val="single"/>
        </w:rPr>
        <w:t>杭州市智慧电子政务外网（2024）项目</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宋体" w:hAnsi="宋体"/>
          <w:color w:val="auto"/>
          <w:sz w:val="24"/>
          <w:u w:val="single"/>
        </w:rPr>
        <w:t>软件和信息技术服务业</w:t>
      </w:r>
      <w:r>
        <w:rPr>
          <w:rFonts w:hint="eastAsia" w:ascii="宋体" w:hAnsi="宋体" w:cs="宋体"/>
          <w:color w:val="auto"/>
          <w:sz w:val="24"/>
          <w:highlight w:val="none"/>
          <w:u w:val="single"/>
        </w:rPr>
        <w:t>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（中型企业、小型企业、微型企业）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highlight w:val="none"/>
        </w:rPr>
      </w:pPr>
      <w:r>
        <w:rPr>
          <w:rFonts w:hint="eastAsia" w:ascii="宋体" w:hAnsi="宋体" w:cs="宋体"/>
          <w:sz w:val="24"/>
          <w:highlight w:val="none"/>
        </w:rPr>
        <w:t>本企业对上述声明内容的真实性负责。如有虚假，将依法承担相应责任。</w:t>
      </w:r>
    </w:p>
    <w:p>
      <w:pPr>
        <w:spacing w:line="360" w:lineRule="auto"/>
        <w:ind w:right="1760"/>
        <w:jc w:val="right"/>
        <w:rPr>
          <w:rFonts w:ascii="宋体" w:hAnsi="宋体" w:cs="宋体"/>
          <w:sz w:val="24"/>
          <w:highlight w:val="none"/>
        </w:rPr>
      </w:pPr>
      <w:r>
        <w:rPr>
          <w:rFonts w:hint="eastAsia" w:ascii="宋体" w:hAnsi="宋体" w:cs="宋体"/>
          <w:sz w:val="24"/>
          <w:highlight w:val="none"/>
        </w:rPr>
        <w:t>投标人名称（电子签名）：</w:t>
      </w:r>
    </w:p>
    <w:p>
      <w:pPr>
        <w:spacing w:line="360" w:lineRule="auto"/>
        <w:ind w:right="1120" w:firstLine="4680" w:firstLineChars="1950"/>
        <w:rPr>
          <w:rFonts w:ascii="宋体" w:hAnsi="宋体" w:cs="宋体"/>
          <w:sz w:val="24"/>
          <w:highlight w:val="none"/>
        </w:rPr>
      </w:pPr>
      <w:r>
        <w:rPr>
          <w:rFonts w:hint="eastAsia" w:ascii="宋体" w:hAnsi="宋体" w:cs="宋体"/>
          <w:sz w:val="24"/>
          <w:highlight w:val="none"/>
        </w:rPr>
        <w:t>日 期：</w:t>
      </w:r>
    </w:p>
    <w:p>
      <w:pPr>
        <w:spacing w:line="360" w:lineRule="auto"/>
        <w:ind w:firstLine="310" w:firstLineChars="147"/>
        <w:jc w:val="left"/>
        <w:rPr>
          <w:rFonts w:ascii="宋体" w:hAnsi="宋体" w:cs="宋体"/>
          <w:b/>
          <w:szCs w:val="21"/>
          <w:highlight w:val="none"/>
        </w:rPr>
      </w:pPr>
      <w:r>
        <w:rPr>
          <w:rFonts w:hint="eastAsia" w:ascii="宋体" w:hAnsi="宋体" w:cs="宋体"/>
          <w:b/>
          <w:szCs w:val="21"/>
          <w:highlight w:val="none"/>
        </w:rPr>
        <w:t>从业人员、营业收入、资产总额填报上一年度数据，无上一年度数据的新成立企业可不填报。</w:t>
      </w:r>
    </w:p>
    <w:p>
      <w:pPr>
        <w:spacing w:line="360" w:lineRule="auto"/>
        <w:ind w:right="420"/>
        <w:rPr>
          <w:rFonts w:ascii="宋体" w:hAnsi="宋体" w:cs="宋体"/>
          <w:sz w:val="24"/>
          <w:highlight w:val="none"/>
        </w:rPr>
      </w:pPr>
    </w:p>
    <w:p>
      <w:pPr>
        <w:spacing w:line="360" w:lineRule="auto"/>
        <w:ind w:right="420"/>
        <w:rPr>
          <w:rFonts w:ascii="宋体" w:hAnsi="宋体" w:cs="宋体"/>
          <w:sz w:val="24"/>
          <w:highlight w:val="none"/>
        </w:rPr>
      </w:pPr>
      <w:r>
        <w:rPr>
          <w:rFonts w:hint="eastAsia" w:ascii="宋体" w:hAnsi="宋体" w:cs="宋体"/>
          <w:sz w:val="24"/>
          <w:highlight w:val="none"/>
        </w:rPr>
        <w:t xml:space="preserve">   注：</w:t>
      </w:r>
    </w:p>
    <w:p>
      <w:pPr>
        <w:spacing w:line="360" w:lineRule="auto"/>
        <w:ind w:right="420" w:firstLine="480" w:firstLineChars="200"/>
        <w:rPr>
          <w:rFonts w:ascii="宋体" w:hAnsi="宋体" w:cs="宋体"/>
          <w:sz w:val="24"/>
          <w:highlight w:val="none"/>
        </w:rPr>
      </w:pPr>
      <w:r>
        <w:rPr>
          <w:rFonts w:hint="eastAsia" w:ascii="宋体" w:hAnsi="宋体" w:cs="宋体"/>
          <w:sz w:val="24"/>
          <w:highlight w:val="none"/>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highlight w:val="none"/>
        </w:rPr>
      </w:pPr>
      <w:r>
        <w:rPr>
          <w:rFonts w:hint="eastAsia" w:ascii="宋体" w:hAnsi="宋体" w:cs="宋体"/>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3"/>
        <w:rPr>
          <w:rFonts w:ascii="宋体" w:hAnsi="宋体" w:eastAsia="宋体" w:cs="宋体"/>
          <w:highlight w:val="none"/>
          <w:lang w:val="en-US"/>
        </w:rPr>
      </w:pPr>
    </w:p>
    <w:p>
      <w:pPr>
        <w:spacing w:line="360" w:lineRule="auto"/>
        <w:ind w:right="420"/>
        <w:rPr>
          <w:rFonts w:ascii="宋体" w:hAnsi="宋体" w:cs="宋体"/>
          <w:highlight w:val="none"/>
        </w:rPr>
      </w:pPr>
    </w:p>
    <w:p>
      <w:pPr>
        <w:spacing w:line="360" w:lineRule="auto"/>
        <w:rPr>
          <w:rFonts w:ascii="宋体" w:hAnsi="宋体" w:cs="宋体"/>
          <w:bCs/>
          <w:sz w:val="24"/>
          <w:highlight w:val="none"/>
        </w:rPr>
      </w:pPr>
    </w:p>
    <w:sectPr>
      <w:headerReference r:id="rId21" w:type="first"/>
      <w:footerReference r:id="rId24" w:type="first"/>
      <w:headerReference r:id="rId20" w:type="default"/>
      <w:footerReference r:id="rId22" w:type="default"/>
      <w:footerReference r:id="rId23"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Lucida Sans">
    <w:panose1 w:val="020B0602030504020204"/>
    <w:charset w:val="00"/>
    <w:family w:val="swiss"/>
    <w:pitch w:val="default"/>
    <w:sig w:usb0="00000003" w:usb1="00000000" w:usb2="00000000" w:usb3="00000000" w:csb0="20000001"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ˎ̥">
    <w:altName w:val="微软雅黑"/>
    <w:panose1 w:val="00000000000000000000"/>
    <w:charset w:val="00"/>
    <w:family w:val="auto"/>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Times New Roman"/>
    <w:panose1 w:val="00000000000000000000"/>
    <w:charset w:val="00"/>
    <w:family w:val="swiss"/>
    <w:pitch w:val="default"/>
    <w:sig w:usb0="00000000" w:usb1="00000000" w:usb2="00000008" w:usb3="00000000" w:csb0="000001FF" w:csb1="00000000"/>
  </w:font>
  <w:font w:name="Arial Unicode MS">
    <w:panose1 w:val="020B0604020202020204"/>
    <w:charset w:val="86"/>
    <w:family w:val="swiss"/>
    <w:pitch w:val="default"/>
    <w:sig w:usb0="FFFFFFFF" w:usb1="E9FFFFFF" w:usb2="0000003F" w:usb3="00000000" w:csb0="603F01FF" w:csb1="FFFF0000"/>
  </w:font>
  <w:font w:name="Helvetica">
    <w:altName w:val="Arial"/>
    <w:panose1 w:val="020B0604020202020204"/>
    <w:charset w:val="00"/>
    <w:family w:val="swiss"/>
    <w:pitch w:val="default"/>
    <w:sig w:usb0="00000000" w:usb1="00000000" w:usb2="00000000" w:usb3="00000000" w:csb0="0000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10022FF" w:usb1="C000E47F" w:usb2="00000029" w:usb3="00000000" w:csb0="200001DF" w:csb1="20000000"/>
  </w:font>
  <w:font w:name="Latha">
    <w:panose1 w:val="020B0604020202020204"/>
    <w:charset w:val="00"/>
    <w:family w:val="swiss"/>
    <w:pitch w:val="default"/>
    <w:sig w:usb0="00100003"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Segoe UI Symbol">
    <w:panose1 w:val="020B0502040204020203"/>
    <w:charset w:val="00"/>
    <w:family w:val="swiss"/>
    <w:pitch w:val="default"/>
    <w:sig w:usb0="8000006F" w:usb1="1200FBEF" w:usb2="0064C000" w:usb3="00000002" w:csb0="00000001" w:csb1="40000000"/>
  </w:font>
  <w:font w:name="MS Gothic">
    <w:panose1 w:val="020B0609070205080204"/>
    <w:charset w:val="80"/>
    <w:family w:val="modern"/>
    <w:pitch w:val="default"/>
    <w:sig w:usb0="E00002FF" w:usb1="6AC7FDFB" w:usb2="00000012" w:usb3="00000000" w:csb0="4002009F" w:csb1="DFD70000"/>
  </w:font>
  <w:font w:name="MS Mincho">
    <w:panose1 w:val="02020609040205080304"/>
    <w:charset w:val="80"/>
    <w:family w:val="modern"/>
    <w:pitch w:val="default"/>
    <w:sig w:usb0="E00002FF" w:usb1="6AC7FDFB" w:usb2="00000012" w:usb3="00000000" w:csb0="4002009F" w:csb1="DFD70000"/>
  </w:font>
  <w:font w:name="Songti SC Regular">
    <w:altName w:val="宋体"/>
    <w:panose1 w:val="00000000000000000000"/>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29</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57</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69</w:t>
    </w:r>
    <w:r>
      <w:rPr>
        <w:rFonts w:hint="eastAsia" w:ascii="仿宋_GB2312" w:eastAsia="仿宋_GB2312"/>
        <w:kern w:val="0"/>
        <w:szCs w:val="21"/>
      </w:rPr>
      <w:fldChar w:fldCharType="end"/>
    </w:r>
    <w:bookmarkStart w:id="447" w:name="_Toc164085800"/>
    <w:bookmarkStart w:id="448" w:name="_Toc131845147"/>
    <w:bookmarkStart w:id="449" w:name="_Toc91899912"/>
    <w:bookmarkStart w:id="450" w:name="_Toc36110187"/>
    <w:r>
      <w:rPr>
        <w:rFonts w:hint="eastAsia" w:ascii="仿宋_GB2312" w:eastAsia="仿宋_GB2312"/>
        <w:kern w:val="0"/>
        <w:szCs w:val="21"/>
      </w:rPr>
      <w:t xml:space="preserve"> 页</w:t>
    </w:r>
    <w:bookmarkEnd w:id="447"/>
    <w:bookmarkEnd w:id="448"/>
    <w:bookmarkEnd w:id="449"/>
    <w:bookmarkEnd w:id="45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2"/>
      </w:rPr>
    </w:pPr>
    <w:r>
      <w:fldChar w:fldCharType="begin"/>
    </w:r>
    <w:r>
      <w:rPr>
        <w:rStyle w:val="72"/>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50</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56</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69</w:t>
    </w:r>
    <w:r>
      <w:rPr>
        <w:rFonts w:hint="eastAsia" w:ascii="仿宋_GB2312" w:eastAsia="仿宋_GB2312"/>
        <w:kern w:val="0"/>
      </w:rPr>
      <w:fldChar w:fldCharType="end"/>
    </w:r>
    <w:r>
      <w:rPr>
        <w:rFonts w:hint="eastAsia" w:ascii="仿宋_GB2312" w:eastAsia="仿宋_GB2312"/>
        <w:kern w:val="0"/>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t>杭州市政府采购公开招标文件</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lang w:val="zh-CN"/>
      </w:rPr>
      <w:t>杭州市政府采购公开招标文件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 xml:space="preserve">             杭州市政府采购公开招标文件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杭州市政府采购公开招标文件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t>杭州市政府采购公开招标文件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t>杭州市政府采购公开招标文件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t>杭州市政府采购公开招标文件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CB783"/>
    <w:multiLevelType w:val="multilevel"/>
    <w:tmpl w:val="BF2CB783"/>
    <w:lvl w:ilvl="0" w:tentative="0">
      <w:start w:val="1"/>
      <w:numFmt w:val="decimal"/>
      <w:suff w:val="space"/>
      <w:lvlText w:val="%1."/>
      <w:lvlJc w:val="left"/>
      <w:pPr>
        <w:tabs>
          <w:tab w:val="left" w:pos="0"/>
        </w:tabs>
        <w:ind w:left="426" w:hanging="425"/>
      </w:pPr>
      <w:rPr>
        <w:rFonts w:hint="default" w:ascii="宋体" w:hAnsi="宋体" w:eastAsia="宋体" w:cs="宋体"/>
        <w:b/>
        <w:bCs w:val="0"/>
        <w:i w:val="0"/>
        <w:iCs w:val="0"/>
        <w:caps w:val="0"/>
        <w:smallCaps w:val="0"/>
        <w:strike w:val="0"/>
        <w:dstrike w:val="0"/>
        <w:snapToGrid w:val="0"/>
        <w:vanish w:val="0"/>
        <w:color w:val="auto"/>
        <w:spacing w:val="0"/>
        <w:kern w:val="0"/>
        <w:position w:val="0"/>
        <w:sz w:val="24"/>
        <w:szCs w:val="24"/>
        <w:u w:val="none"/>
        <w:vertAlign w:val="baseline"/>
      </w:rPr>
    </w:lvl>
    <w:lvl w:ilvl="1" w:tentative="0">
      <w:start w:val="1"/>
      <w:numFmt w:val="decimal"/>
      <w:isLgl/>
      <w:suff w:val="space"/>
      <w:lvlText w:val="%1.%2"/>
      <w:lvlJc w:val="left"/>
      <w:pPr>
        <w:tabs>
          <w:tab w:val="left" w:pos="0"/>
        </w:tabs>
        <w:ind w:left="567" w:hanging="567"/>
      </w:pPr>
      <w:rPr>
        <w:rFonts w:hint="eastAsia"/>
        <w:b w:val="0"/>
        <w:bCs w:val="0"/>
        <w:i w:val="0"/>
        <w:iCs w:val="0"/>
        <w:caps w:val="0"/>
        <w:smallCaps w:val="0"/>
        <w:strike w:val="0"/>
        <w:dstrike w:val="0"/>
        <w:vanish w:val="0"/>
        <w:color w:val="000000"/>
        <w:spacing w:val="0"/>
        <w:position w:val="0"/>
        <w:sz w:val="24"/>
        <w:szCs w:val="24"/>
        <w:u w:val="none"/>
        <w:vertAlign w:val="baseline"/>
      </w:rPr>
    </w:lvl>
    <w:lvl w:ilvl="2" w:tentative="0">
      <w:start w:val="1"/>
      <w:numFmt w:val="decimal"/>
      <w:isLgl/>
      <w:suff w:val="space"/>
      <w:lvlText w:val="%1.%2.%3"/>
      <w:lvlJc w:val="left"/>
      <w:pPr>
        <w:ind w:left="1" w:hanging="851"/>
      </w:pPr>
      <w:rPr>
        <w:rFonts w:hint="eastAsia"/>
        <w:b w:val="0"/>
        <w:bCs w:val="0"/>
        <w:i w:val="0"/>
        <w:iCs w:val="0"/>
        <w:caps w:val="0"/>
        <w:smallCaps w:val="0"/>
        <w:strike w:val="0"/>
        <w:dstrike w:val="0"/>
        <w:vanish w:val="0"/>
        <w:color w:val="000000"/>
        <w:spacing w:val="0"/>
        <w:position w:val="0"/>
        <w:u w:val="none"/>
        <w:vertAlign w:val="baseline"/>
      </w:rPr>
    </w:lvl>
    <w:lvl w:ilvl="3" w:tentative="0">
      <w:start w:val="1"/>
      <w:numFmt w:val="decimal"/>
      <w:isLgl/>
      <w:suff w:val="space"/>
      <w:lvlText w:val="%1.%2.%3.%4"/>
      <w:lvlJc w:val="left"/>
      <w:pPr>
        <w:ind w:left="1"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isLgl/>
      <w:suff w:val="space"/>
      <w:lvlText w:val="%1.%2.%3.%4.%5."/>
      <w:lvlJc w:val="left"/>
      <w:pPr>
        <w:ind w:left="142" w:hanging="992"/>
      </w:pPr>
      <w:rPr>
        <w:rFonts w:hint="default" w:ascii="Times New Roman" w:hAnsi="Times New Roman" w:cs="Times New Roman"/>
      </w:rPr>
    </w:lvl>
    <w:lvl w:ilvl="5" w:tentative="0">
      <w:start w:val="1"/>
      <w:numFmt w:val="decimal"/>
      <w:isLgl/>
      <w:lvlText w:val="%1.%2.%3.%4.%5.%6."/>
      <w:lvlJc w:val="left"/>
      <w:pPr>
        <w:tabs>
          <w:tab w:val="left" w:pos="1134"/>
        </w:tabs>
        <w:ind w:left="284" w:hanging="1134"/>
      </w:pPr>
      <w:rPr>
        <w:rFonts w:hint="eastAsia"/>
      </w:rPr>
    </w:lvl>
    <w:lvl w:ilvl="6" w:tentative="0">
      <w:start w:val="1"/>
      <w:numFmt w:val="decimal"/>
      <w:isLgl/>
      <w:lvlText w:val="%1.%2.%3.%4.%5.%6.%7."/>
      <w:lvlJc w:val="left"/>
      <w:pPr>
        <w:tabs>
          <w:tab w:val="left" w:pos="1276"/>
        </w:tabs>
        <w:ind w:left="426" w:hanging="1276"/>
      </w:pPr>
      <w:rPr>
        <w:rFonts w:hint="eastAsia"/>
      </w:rPr>
    </w:lvl>
    <w:lvl w:ilvl="7" w:tentative="0">
      <w:start w:val="1"/>
      <w:numFmt w:val="decimal"/>
      <w:lvlText w:val="%1.%2.%3.%4.%5.%6.%7.%8."/>
      <w:lvlJc w:val="left"/>
      <w:pPr>
        <w:tabs>
          <w:tab w:val="left" w:pos="1418"/>
        </w:tabs>
        <w:ind w:left="568" w:hanging="1418"/>
      </w:pPr>
      <w:rPr>
        <w:rFonts w:hint="eastAsia"/>
      </w:rPr>
    </w:lvl>
    <w:lvl w:ilvl="8" w:tentative="0">
      <w:start w:val="1"/>
      <w:numFmt w:val="decimal"/>
      <w:lvlText w:val="%1.%2.%3.%4.%5.%6.%7.%8.%9."/>
      <w:lvlJc w:val="left"/>
      <w:pPr>
        <w:tabs>
          <w:tab w:val="left" w:pos="1559"/>
        </w:tabs>
        <w:ind w:left="709" w:hanging="1559"/>
      </w:pPr>
      <w:rPr>
        <w:rFonts w:hint="eastAsia"/>
      </w:rPr>
    </w:lvl>
  </w:abstractNum>
  <w:abstractNum w:abstractNumId="1">
    <w:nsid w:val="C257DEB4"/>
    <w:multiLevelType w:val="multilevel"/>
    <w:tmpl w:val="C257DEB4"/>
    <w:lvl w:ilvl="0" w:tentative="0">
      <w:start w:val="2"/>
      <w:numFmt w:val="decimal"/>
      <w:suff w:val="space"/>
      <w:lvlText w:val="%1."/>
      <w:lvlJc w:val="left"/>
      <w:pPr>
        <w:tabs>
          <w:tab w:val="left" w:pos="0"/>
        </w:tabs>
        <w:ind w:left="1276" w:hanging="425"/>
      </w:pPr>
      <w:rPr>
        <w:rFonts w:hint="default" w:ascii="宋体" w:hAnsi="宋体" w:eastAsia="宋体" w:cs="宋体"/>
        <w:b/>
        <w:bCs w:val="0"/>
        <w:i w:val="0"/>
        <w:iCs w:val="0"/>
        <w:caps w:val="0"/>
        <w:smallCaps w:val="0"/>
        <w:strike w:val="0"/>
        <w:dstrike w:val="0"/>
        <w:snapToGrid w:val="0"/>
        <w:vanish w:val="0"/>
        <w:color w:val="auto"/>
        <w:spacing w:val="0"/>
        <w:kern w:val="0"/>
        <w:position w:val="0"/>
        <w:sz w:val="24"/>
        <w:szCs w:val="24"/>
        <w:u w:val="none"/>
        <w:vertAlign w:val="baseline"/>
      </w:rPr>
    </w:lvl>
    <w:lvl w:ilvl="1" w:tentative="0">
      <w:start w:val="1"/>
      <w:numFmt w:val="decimal"/>
      <w:isLgl/>
      <w:suff w:val="space"/>
      <w:lvlText w:val="%1.%2"/>
      <w:lvlJc w:val="left"/>
      <w:pPr>
        <w:tabs>
          <w:tab w:val="left" w:pos="0"/>
        </w:tabs>
        <w:ind w:left="567" w:hanging="567"/>
      </w:pPr>
      <w:rPr>
        <w:rFonts w:hint="default" w:ascii="宋体" w:hAnsi="宋体" w:eastAsia="宋体" w:cs="宋体"/>
        <w:b w:val="0"/>
        <w:bCs w:val="0"/>
        <w:i w:val="0"/>
        <w:iCs w:val="0"/>
        <w:caps w:val="0"/>
        <w:smallCaps w:val="0"/>
        <w:strike w:val="0"/>
        <w:dstrike w:val="0"/>
        <w:vanish w:val="0"/>
        <w:color w:val="000000"/>
        <w:spacing w:val="0"/>
        <w:position w:val="0"/>
        <w:sz w:val="24"/>
        <w:szCs w:val="24"/>
        <w:u w:val="none"/>
        <w:vertAlign w:val="baseline"/>
      </w:rPr>
    </w:lvl>
    <w:lvl w:ilvl="2" w:tentative="0">
      <w:start w:val="1"/>
      <w:numFmt w:val="decimal"/>
      <w:isLgl/>
      <w:suff w:val="space"/>
      <w:lvlText w:val="%1.%2.%3"/>
      <w:lvlJc w:val="left"/>
      <w:pPr>
        <w:tabs>
          <w:tab w:val="left" w:pos="0"/>
        </w:tabs>
        <w:ind w:left="851" w:hanging="851"/>
      </w:pPr>
      <w:rPr>
        <w:rFonts w:hint="default" w:ascii="宋体" w:hAnsi="宋体" w:eastAsia="宋体" w:cs="宋体"/>
        <w:b w:val="0"/>
        <w:bCs w:val="0"/>
        <w:i w:val="0"/>
        <w:iCs w:val="0"/>
        <w:caps w:val="0"/>
        <w:smallCaps w:val="0"/>
        <w:strike w:val="0"/>
        <w:dstrike w:val="0"/>
        <w:vanish w:val="0"/>
        <w:color w:val="000000"/>
        <w:spacing w:val="0"/>
        <w:position w:val="0"/>
        <w:u w:val="none"/>
        <w:vertAlign w:val="baseline"/>
      </w:rPr>
    </w:lvl>
    <w:lvl w:ilvl="3" w:tentative="0">
      <w:start w:val="1"/>
      <w:numFmt w:val="decimal"/>
      <w:isLgl/>
      <w:suff w:val="space"/>
      <w:lvlText w:val="%1.%2.%3.%4"/>
      <w:lvlJc w:val="left"/>
      <w:pPr>
        <w:ind w:left="851" w:hanging="851"/>
      </w:pPr>
      <w:rPr>
        <w:rFonts w:hint="default" w:ascii="宋体" w:hAnsi="宋体" w:eastAsia="宋体" w:cs="宋体"/>
        <w:i w:val="0"/>
        <w:iCs w:val="0"/>
        <w:caps w:val="0"/>
        <w:smallCaps w:val="0"/>
        <w:strike w:val="0"/>
        <w:dstrike w:val="0"/>
        <w:vanish w:val="0"/>
        <w:color w:val="000000"/>
        <w:spacing w:val="0"/>
        <w:kern w:val="0"/>
        <w:position w:val="0"/>
        <w:u w:val="none"/>
        <w:vertAlign w:val="baseline"/>
      </w:rPr>
    </w:lvl>
    <w:lvl w:ilvl="4" w:tentative="0">
      <w:start w:val="1"/>
      <w:numFmt w:val="decimal"/>
      <w:isLgl/>
      <w:suff w:val="space"/>
      <w:lvlText w:val="%1.%2.%3.%4.%5."/>
      <w:lvlJc w:val="left"/>
      <w:pPr>
        <w:ind w:left="992" w:hanging="992"/>
      </w:pPr>
      <w:rPr>
        <w:rFonts w:hint="default" w:ascii="Times New Roman" w:hAnsi="Times New Roman" w:cs="Times New Roman"/>
      </w:rPr>
    </w:lvl>
    <w:lvl w:ilvl="5" w:tentative="0">
      <w:start w:val="1"/>
      <w:numFmt w:val="decimal"/>
      <w:isLgl/>
      <w:lvlText w:val="%1.%2.%3.%4.%5.%6."/>
      <w:lvlJc w:val="left"/>
      <w:pPr>
        <w:tabs>
          <w:tab w:val="left" w:pos="1134"/>
        </w:tabs>
        <w:ind w:left="1134" w:hanging="1134"/>
      </w:pPr>
      <w:rPr>
        <w:rFonts w:hint="eastAsia"/>
      </w:rPr>
    </w:lvl>
    <w:lvl w:ilvl="6" w:tentative="0">
      <w:start w:val="1"/>
      <w:numFmt w:val="decimal"/>
      <w:isLg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D45DB485"/>
    <w:multiLevelType w:val="singleLevel"/>
    <w:tmpl w:val="D45DB485"/>
    <w:lvl w:ilvl="0" w:tentative="0">
      <w:start w:val="1"/>
      <w:numFmt w:val="decimal"/>
      <w:lvlText w:val="%1."/>
      <w:lvlJc w:val="left"/>
      <w:pPr>
        <w:ind w:left="425" w:hanging="425"/>
      </w:pPr>
      <w:rPr>
        <w:rFonts w:hint="default"/>
      </w:rPr>
    </w:lvl>
  </w:abstractNum>
  <w:abstractNum w:abstractNumId="3">
    <w:nsid w:val="00000022"/>
    <w:multiLevelType w:val="multilevel"/>
    <w:tmpl w:val="00000022"/>
    <w:lvl w:ilvl="0" w:tentative="0">
      <w:start w:val="1"/>
      <w:numFmt w:val="decimal"/>
      <w:suff w:val="space"/>
      <w:lvlText w:val="第%1章"/>
      <w:lvlJc w:val="left"/>
      <w:pPr>
        <w:ind w:left="1276" w:hanging="425"/>
      </w:pPr>
      <w:rPr>
        <w:rFonts w:hint="eastAsia" w:ascii="微软雅黑" w:hAnsi="微软雅黑" w:eastAsia="微软雅黑" w:cs="Times New Roman"/>
        <w:b/>
        <w:bCs w:val="0"/>
        <w:i w:val="0"/>
        <w:iCs w:val="0"/>
        <w:caps w:val="0"/>
        <w:smallCaps w:val="0"/>
        <w:strike w:val="0"/>
        <w:dstrike w:val="0"/>
        <w:snapToGrid w:val="0"/>
        <w:vanish w:val="0"/>
        <w:color w:val="auto"/>
        <w:spacing w:val="0"/>
        <w:kern w:val="0"/>
        <w:position w:val="0"/>
        <w:sz w:val="32"/>
        <w:szCs w:val="32"/>
        <w:u w:val="none"/>
        <w:vertAlign w:val="baseline"/>
      </w:rPr>
    </w:lvl>
    <w:lvl w:ilvl="1" w:tentative="0">
      <w:start w:val="1"/>
      <w:numFmt w:val="decimal"/>
      <w:isLgl/>
      <w:suff w:val="space"/>
      <w:lvlText w:val="%1.%2"/>
      <w:lvlJc w:val="left"/>
      <w:pPr>
        <w:ind w:left="567" w:hanging="567"/>
      </w:pPr>
      <w:rPr>
        <w:rFonts w:hint="eastAsia"/>
        <w:b w:val="0"/>
        <w:bCs w:val="0"/>
        <w:i w:val="0"/>
        <w:iCs w:val="0"/>
        <w:caps w:val="0"/>
        <w:smallCaps w:val="0"/>
        <w:strike w:val="0"/>
        <w:dstrike w:val="0"/>
        <w:vanish w:val="0"/>
        <w:color w:val="000000"/>
        <w:spacing w:val="0"/>
        <w:position w:val="0"/>
        <w:sz w:val="24"/>
        <w:szCs w:val="24"/>
        <w:u w:val="none"/>
        <w:vertAlign w:val="baseline"/>
      </w:rPr>
    </w:lvl>
    <w:lvl w:ilvl="2" w:tentative="0">
      <w:start w:val="1"/>
      <w:numFmt w:val="decimal"/>
      <w:isLgl/>
      <w:suff w:val="space"/>
      <w:lvlText w:val="%1.%2.%3"/>
      <w:lvlJc w:val="left"/>
      <w:pPr>
        <w:ind w:left="851" w:hanging="851"/>
      </w:pPr>
      <w:rPr>
        <w:rFonts w:hint="eastAsia"/>
        <w:b w:val="0"/>
        <w:bCs w:val="0"/>
        <w:i w:val="0"/>
        <w:iCs w:val="0"/>
        <w:caps w:val="0"/>
        <w:smallCaps w:val="0"/>
        <w:strike w:val="0"/>
        <w:dstrike w:val="0"/>
        <w:vanish w:val="0"/>
        <w:color w:val="000000"/>
        <w:spacing w:val="0"/>
        <w:position w:val="0"/>
        <w:u w:val="none"/>
        <w:vertAlign w:val="baseline"/>
      </w:rPr>
    </w:lvl>
    <w:lvl w:ilvl="3" w:tentative="0">
      <w:start w:val="1"/>
      <w:numFmt w:val="decimal"/>
      <w:pStyle w:val="965"/>
      <w:isLgl/>
      <w:suff w:val="space"/>
      <w:lvlText w:val="%1.%2.%3.%4"/>
      <w:lvlJc w:val="left"/>
      <w:pPr>
        <w:ind w:left="851" w:hanging="851"/>
      </w:pPr>
      <w:rPr>
        <w:rFonts w:hint="default" w:ascii="Times New Roman" w:hAnsi="Times New Roman" w:cs="Times New Roman"/>
        <w:i w:val="0"/>
        <w:iCs w:val="0"/>
        <w:caps w:val="0"/>
        <w:smallCaps w:val="0"/>
        <w:strike w:val="0"/>
        <w:dstrike w:val="0"/>
        <w:vanish w:val="0"/>
        <w:color w:val="000000"/>
        <w:spacing w:val="0"/>
        <w:kern w:val="0"/>
        <w:position w:val="0"/>
        <w:u w:val="none"/>
        <w:vertAlign w:val="baseline"/>
      </w:rPr>
    </w:lvl>
    <w:lvl w:ilvl="4" w:tentative="0">
      <w:start w:val="1"/>
      <w:numFmt w:val="decimal"/>
      <w:isLgl/>
      <w:suff w:val="space"/>
      <w:lvlText w:val="%1.%2.%3.%4.%5."/>
      <w:lvlJc w:val="left"/>
      <w:pPr>
        <w:ind w:left="992" w:hanging="992"/>
      </w:pPr>
      <w:rPr>
        <w:rFonts w:hint="default" w:ascii="Times New Roman" w:hAnsi="Times New Roman" w:cs="Times New Roman"/>
      </w:rPr>
    </w:lvl>
    <w:lvl w:ilvl="5" w:tentative="0">
      <w:start w:val="1"/>
      <w:numFmt w:val="decimal"/>
      <w:isLgl/>
      <w:lvlText w:val="%1.%2.%3.%4.%5.%6."/>
      <w:lvlJc w:val="left"/>
      <w:pPr>
        <w:tabs>
          <w:tab w:val="left" w:pos="1134"/>
        </w:tabs>
        <w:ind w:left="1134" w:hanging="1134"/>
      </w:pPr>
      <w:rPr>
        <w:rFonts w:hint="eastAsia"/>
      </w:rPr>
    </w:lvl>
    <w:lvl w:ilvl="6" w:tentative="0">
      <w:start w:val="1"/>
      <w:numFmt w:val="decimal"/>
      <w:isLg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D4E27D8"/>
    <w:multiLevelType w:val="multilevel"/>
    <w:tmpl w:val="0D4E27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2723F3BE"/>
    <w:multiLevelType w:val="singleLevel"/>
    <w:tmpl w:val="2723F3BE"/>
    <w:lvl w:ilvl="0" w:tentative="0">
      <w:start w:val="1"/>
      <w:numFmt w:val="decimal"/>
      <w:lvlText w:val="%1."/>
      <w:lvlJc w:val="left"/>
      <w:pPr>
        <w:ind w:left="425" w:hanging="425"/>
      </w:pPr>
      <w:rPr>
        <w:rFonts w:hint="default"/>
      </w:rPr>
    </w:lvl>
  </w:abstractNum>
  <w:abstractNum w:abstractNumId="6">
    <w:nsid w:val="638F03D2"/>
    <w:multiLevelType w:val="singleLevel"/>
    <w:tmpl w:val="638F03D2"/>
    <w:lvl w:ilvl="0" w:tentative="0">
      <w:start w:val="1"/>
      <w:numFmt w:val="decimal"/>
      <w:lvlText w:val="%1."/>
      <w:lvlJc w:val="left"/>
      <w:pPr>
        <w:ind w:left="425" w:hanging="425"/>
      </w:pPr>
      <w:rPr>
        <w:rFonts w:hint="default"/>
      </w:rPr>
    </w:lvl>
  </w:abstractNum>
  <w:abstractNum w:abstractNumId="7">
    <w:nsid w:val="72FF7E50"/>
    <w:multiLevelType w:val="multilevel"/>
    <w:tmpl w:val="72FF7E5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D3F29EB"/>
    <w:multiLevelType w:val="multilevel"/>
    <w:tmpl w:val="7D3F29EB"/>
    <w:lvl w:ilvl="0" w:tentative="0">
      <w:start w:val="1"/>
      <w:numFmt w:val="bullet"/>
      <w:lvlText w:val=""/>
      <w:lvlJc w:val="left"/>
      <w:pPr>
        <w:ind w:left="480" w:hanging="480"/>
      </w:pPr>
      <w:rPr>
        <w:rFonts w:hint="default" w:ascii="Wingdings" w:hAnsi="Wingdings"/>
      </w:rPr>
    </w:lvl>
    <w:lvl w:ilvl="1" w:tentative="0">
      <w:start w:val="1"/>
      <w:numFmt w:val="bullet"/>
      <w:lvlText w:val=""/>
      <w:lvlJc w:val="left"/>
      <w:pPr>
        <w:ind w:left="960" w:hanging="480"/>
      </w:pPr>
      <w:rPr>
        <w:rFonts w:hint="default" w:ascii="Wingdings" w:hAnsi="Wingdings"/>
      </w:rPr>
    </w:lvl>
    <w:lvl w:ilvl="2" w:tentative="0">
      <w:start w:val="1"/>
      <w:numFmt w:val="bullet"/>
      <w:lvlText w:val=""/>
      <w:lvlJc w:val="left"/>
      <w:pPr>
        <w:ind w:left="1440" w:hanging="480"/>
      </w:pPr>
      <w:rPr>
        <w:rFonts w:hint="default" w:ascii="Wingdings" w:hAnsi="Wingdings"/>
      </w:rPr>
    </w:lvl>
    <w:lvl w:ilvl="3" w:tentative="0">
      <w:start w:val="1"/>
      <w:numFmt w:val="bullet"/>
      <w:lvlText w:val=""/>
      <w:lvlJc w:val="left"/>
      <w:pPr>
        <w:ind w:left="1920" w:hanging="480"/>
      </w:pPr>
      <w:rPr>
        <w:rFonts w:hint="default" w:ascii="Wingdings" w:hAnsi="Wingdings"/>
      </w:rPr>
    </w:lvl>
    <w:lvl w:ilvl="4" w:tentative="0">
      <w:start w:val="1"/>
      <w:numFmt w:val="bullet"/>
      <w:lvlText w:val=""/>
      <w:lvlJc w:val="left"/>
      <w:pPr>
        <w:ind w:left="2400" w:hanging="480"/>
      </w:pPr>
      <w:rPr>
        <w:rFonts w:hint="default" w:ascii="Wingdings" w:hAnsi="Wingdings"/>
      </w:rPr>
    </w:lvl>
    <w:lvl w:ilvl="5" w:tentative="0">
      <w:start w:val="1"/>
      <w:numFmt w:val="bullet"/>
      <w:lvlText w:val=""/>
      <w:lvlJc w:val="left"/>
      <w:pPr>
        <w:ind w:left="2880" w:hanging="480"/>
      </w:pPr>
      <w:rPr>
        <w:rFonts w:hint="default" w:ascii="Wingdings" w:hAnsi="Wingdings"/>
      </w:rPr>
    </w:lvl>
    <w:lvl w:ilvl="6" w:tentative="0">
      <w:start w:val="1"/>
      <w:numFmt w:val="bullet"/>
      <w:lvlText w:val=""/>
      <w:lvlJc w:val="left"/>
      <w:pPr>
        <w:ind w:left="3360" w:hanging="480"/>
      </w:pPr>
      <w:rPr>
        <w:rFonts w:hint="default" w:ascii="Wingdings" w:hAnsi="Wingdings"/>
      </w:rPr>
    </w:lvl>
    <w:lvl w:ilvl="7" w:tentative="0">
      <w:start w:val="1"/>
      <w:numFmt w:val="bullet"/>
      <w:lvlText w:val=""/>
      <w:lvlJc w:val="left"/>
      <w:pPr>
        <w:ind w:left="3840" w:hanging="480"/>
      </w:pPr>
      <w:rPr>
        <w:rFonts w:hint="default" w:ascii="Wingdings" w:hAnsi="Wingdings"/>
      </w:rPr>
    </w:lvl>
    <w:lvl w:ilvl="8" w:tentative="0">
      <w:start w:val="1"/>
      <w:numFmt w:val="bullet"/>
      <w:lvlText w:val=""/>
      <w:lvlJc w:val="left"/>
      <w:pPr>
        <w:ind w:left="4320" w:hanging="480"/>
      </w:pPr>
      <w:rPr>
        <w:rFonts w:hint="default" w:ascii="Wingdings" w:hAnsi="Wingdings"/>
      </w:rPr>
    </w:lvl>
  </w:abstractNum>
  <w:num w:numId="1">
    <w:abstractNumId w:val="3"/>
  </w:num>
  <w:num w:numId="2">
    <w:abstractNumId w:val="7"/>
  </w:num>
  <w:num w:numId="3">
    <w:abstractNumId w:val="8"/>
  </w:num>
  <w:num w:numId="4">
    <w:abstractNumId w:val="0"/>
  </w:num>
  <w:num w:numId="5">
    <w:abstractNumId w:val="1"/>
  </w:num>
  <w:num w:numId="6">
    <w:abstractNumId w:val="2"/>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xYmQ0YzIxZDU4NGY1YWZkYjE2NTMxZDc3YmUyZjMifQ=="/>
  </w:docVars>
  <w:rsids>
    <w:rsidRoot w:val="00172A27"/>
    <w:rsid w:val="00000451"/>
    <w:rsid w:val="0000108B"/>
    <w:rsid w:val="0000133D"/>
    <w:rsid w:val="00001509"/>
    <w:rsid w:val="00001E3F"/>
    <w:rsid w:val="000032B2"/>
    <w:rsid w:val="0000363B"/>
    <w:rsid w:val="000058BD"/>
    <w:rsid w:val="00005E72"/>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A63"/>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2BCF"/>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4C7"/>
    <w:rsid w:val="001248EF"/>
    <w:rsid w:val="00124AC0"/>
    <w:rsid w:val="00124FC4"/>
    <w:rsid w:val="001253AB"/>
    <w:rsid w:val="0012574C"/>
    <w:rsid w:val="001259B8"/>
    <w:rsid w:val="001264B9"/>
    <w:rsid w:val="0012693E"/>
    <w:rsid w:val="00126A3A"/>
    <w:rsid w:val="00127060"/>
    <w:rsid w:val="00127B83"/>
    <w:rsid w:val="00127ECE"/>
    <w:rsid w:val="001308AF"/>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0A3"/>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68CE"/>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688"/>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6A8"/>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3A2"/>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22F"/>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6EB9"/>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17C"/>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37D19"/>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3EF6"/>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BDB"/>
    <w:rsid w:val="004A2EF8"/>
    <w:rsid w:val="004A3A21"/>
    <w:rsid w:val="004A3F0B"/>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85F"/>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5A9E"/>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C76D2"/>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B74"/>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A4F"/>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A6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340"/>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3FF4"/>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6A"/>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1D14"/>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D6D"/>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0C0"/>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3CDD"/>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2B13"/>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2E3"/>
    <w:rsid w:val="008D7567"/>
    <w:rsid w:val="008E0EE4"/>
    <w:rsid w:val="008E12BE"/>
    <w:rsid w:val="008E13A6"/>
    <w:rsid w:val="008E13FD"/>
    <w:rsid w:val="008E1C24"/>
    <w:rsid w:val="008E2626"/>
    <w:rsid w:val="008E27A9"/>
    <w:rsid w:val="008E323C"/>
    <w:rsid w:val="008E32E0"/>
    <w:rsid w:val="008E35A6"/>
    <w:rsid w:val="008E36D9"/>
    <w:rsid w:val="008E3A5C"/>
    <w:rsid w:val="008E3A9A"/>
    <w:rsid w:val="008E429E"/>
    <w:rsid w:val="008E58A3"/>
    <w:rsid w:val="008E5938"/>
    <w:rsid w:val="008E5F67"/>
    <w:rsid w:val="008E6109"/>
    <w:rsid w:val="008E65E4"/>
    <w:rsid w:val="008E6A39"/>
    <w:rsid w:val="008E72B5"/>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7A91"/>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3AC"/>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43"/>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379A8"/>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27FB"/>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3F5C"/>
    <w:rsid w:val="00B3412E"/>
    <w:rsid w:val="00B343E0"/>
    <w:rsid w:val="00B35B6D"/>
    <w:rsid w:val="00B35D53"/>
    <w:rsid w:val="00B367C4"/>
    <w:rsid w:val="00B36D3E"/>
    <w:rsid w:val="00B37B8E"/>
    <w:rsid w:val="00B40222"/>
    <w:rsid w:val="00B404C3"/>
    <w:rsid w:val="00B41938"/>
    <w:rsid w:val="00B41A04"/>
    <w:rsid w:val="00B42743"/>
    <w:rsid w:val="00B42F49"/>
    <w:rsid w:val="00B430E9"/>
    <w:rsid w:val="00B4311F"/>
    <w:rsid w:val="00B431AE"/>
    <w:rsid w:val="00B44288"/>
    <w:rsid w:val="00B448BF"/>
    <w:rsid w:val="00B45A59"/>
    <w:rsid w:val="00B45D35"/>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28"/>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255"/>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58ED"/>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26E"/>
    <w:rsid w:val="00C72588"/>
    <w:rsid w:val="00C727B9"/>
    <w:rsid w:val="00C72F44"/>
    <w:rsid w:val="00C73670"/>
    <w:rsid w:val="00C737D1"/>
    <w:rsid w:val="00C738A0"/>
    <w:rsid w:val="00C73DE0"/>
    <w:rsid w:val="00C74609"/>
    <w:rsid w:val="00C749AB"/>
    <w:rsid w:val="00C7542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97463"/>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4E3"/>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902"/>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72B"/>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2B88"/>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1F71"/>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0BF6"/>
    <w:rsid w:val="00DB14D3"/>
    <w:rsid w:val="00DB154B"/>
    <w:rsid w:val="00DB1BDC"/>
    <w:rsid w:val="00DB3490"/>
    <w:rsid w:val="00DB3593"/>
    <w:rsid w:val="00DB440B"/>
    <w:rsid w:val="00DB4426"/>
    <w:rsid w:val="00DB4522"/>
    <w:rsid w:val="00DB4B40"/>
    <w:rsid w:val="00DB4CBE"/>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1C3"/>
    <w:rsid w:val="00DF1BA8"/>
    <w:rsid w:val="00DF1F63"/>
    <w:rsid w:val="00DF28F2"/>
    <w:rsid w:val="00DF2BFF"/>
    <w:rsid w:val="00DF339B"/>
    <w:rsid w:val="00DF3798"/>
    <w:rsid w:val="00DF393E"/>
    <w:rsid w:val="00DF4FF1"/>
    <w:rsid w:val="00DF53C0"/>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60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430"/>
    <w:rsid w:val="00EA6744"/>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BB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688"/>
    <w:rsid w:val="00EC3852"/>
    <w:rsid w:val="00EC4528"/>
    <w:rsid w:val="00EC4E90"/>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4AB"/>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DA2"/>
    <w:rsid w:val="00F83EC7"/>
    <w:rsid w:val="00F8421D"/>
    <w:rsid w:val="00F85329"/>
    <w:rsid w:val="00F85683"/>
    <w:rsid w:val="00F85841"/>
    <w:rsid w:val="00F86079"/>
    <w:rsid w:val="00F8610A"/>
    <w:rsid w:val="00F87282"/>
    <w:rsid w:val="00F878CD"/>
    <w:rsid w:val="00F87905"/>
    <w:rsid w:val="00F87A66"/>
    <w:rsid w:val="00F87E8E"/>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0FF7EA3"/>
    <w:rsid w:val="010651D9"/>
    <w:rsid w:val="011F6449"/>
    <w:rsid w:val="01236AFB"/>
    <w:rsid w:val="019F7441"/>
    <w:rsid w:val="01B37585"/>
    <w:rsid w:val="01D55165"/>
    <w:rsid w:val="01DF6BF8"/>
    <w:rsid w:val="01EC2C57"/>
    <w:rsid w:val="025F0711"/>
    <w:rsid w:val="0263637C"/>
    <w:rsid w:val="026B2E25"/>
    <w:rsid w:val="02794AFC"/>
    <w:rsid w:val="02824D4D"/>
    <w:rsid w:val="02DC4B10"/>
    <w:rsid w:val="02DD76CE"/>
    <w:rsid w:val="02F36323"/>
    <w:rsid w:val="02F5619C"/>
    <w:rsid w:val="0326446A"/>
    <w:rsid w:val="0327052D"/>
    <w:rsid w:val="032D5555"/>
    <w:rsid w:val="03443858"/>
    <w:rsid w:val="036634D2"/>
    <w:rsid w:val="036C34DA"/>
    <w:rsid w:val="03710AF1"/>
    <w:rsid w:val="03DD35E4"/>
    <w:rsid w:val="03DF62C8"/>
    <w:rsid w:val="04076900"/>
    <w:rsid w:val="041A5A3B"/>
    <w:rsid w:val="042311BA"/>
    <w:rsid w:val="042B157A"/>
    <w:rsid w:val="046E5030"/>
    <w:rsid w:val="048F763B"/>
    <w:rsid w:val="049F330E"/>
    <w:rsid w:val="04AA775C"/>
    <w:rsid w:val="04AF1889"/>
    <w:rsid w:val="04F66F48"/>
    <w:rsid w:val="05251E14"/>
    <w:rsid w:val="05452235"/>
    <w:rsid w:val="05A16594"/>
    <w:rsid w:val="05A7762D"/>
    <w:rsid w:val="060E5941"/>
    <w:rsid w:val="06110FAF"/>
    <w:rsid w:val="06141C07"/>
    <w:rsid w:val="06493CA7"/>
    <w:rsid w:val="065A6178"/>
    <w:rsid w:val="066F1CF3"/>
    <w:rsid w:val="06930BB8"/>
    <w:rsid w:val="07245D42"/>
    <w:rsid w:val="07264C62"/>
    <w:rsid w:val="0779354C"/>
    <w:rsid w:val="07EF3F42"/>
    <w:rsid w:val="08061376"/>
    <w:rsid w:val="08452D77"/>
    <w:rsid w:val="086401F8"/>
    <w:rsid w:val="08751CAA"/>
    <w:rsid w:val="08760957"/>
    <w:rsid w:val="087E4C40"/>
    <w:rsid w:val="08A871D0"/>
    <w:rsid w:val="08D66AD6"/>
    <w:rsid w:val="08DA33A3"/>
    <w:rsid w:val="08E80F13"/>
    <w:rsid w:val="09335624"/>
    <w:rsid w:val="0944690F"/>
    <w:rsid w:val="094B5940"/>
    <w:rsid w:val="09535675"/>
    <w:rsid w:val="095F057D"/>
    <w:rsid w:val="09642282"/>
    <w:rsid w:val="09733572"/>
    <w:rsid w:val="09772C16"/>
    <w:rsid w:val="098353B5"/>
    <w:rsid w:val="09A92330"/>
    <w:rsid w:val="09B06B87"/>
    <w:rsid w:val="09C13146"/>
    <w:rsid w:val="09E04166"/>
    <w:rsid w:val="0A1C0718"/>
    <w:rsid w:val="0A3E7710"/>
    <w:rsid w:val="0A5B7E63"/>
    <w:rsid w:val="0AA374A5"/>
    <w:rsid w:val="0AAB7649"/>
    <w:rsid w:val="0ABC5606"/>
    <w:rsid w:val="0AEC6CAF"/>
    <w:rsid w:val="0B30404E"/>
    <w:rsid w:val="0B464611"/>
    <w:rsid w:val="0B4C6C14"/>
    <w:rsid w:val="0B547599"/>
    <w:rsid w:val="0B631A88"/>
    <w:rsid w:val="0B683D45"/>
    <w:rsid w:val="0B723658"/>
    <w:rsid w:val="0B7F3F11"/>
    <w:rsid w:val="0B884417"/>
    <w:rsid w:val="0BF6188C"/>
    <w:rsid w:val="0BF73C91"/>
    <w:rsid w:val="0C170175"/>
    <w:rsid w:val="0C571A41"/>
    <w:rsid w:val="0C5C1171"/>
    <w:rsid w:val="0C5E1CBC"/>
    <w:rsid w:val="0C615B50"/>
    <w:rsid w:val="0C8445DA"/>
    <w:rsid w:val="0C87121B"/>
    <w:rsid w:val="0CBA4E1D"/>
    <w:rsid w:val="0CC007F7"/>
    <w:rsid w:val="0CC617AC"/>
    <w:rsid w:val="0CE618DF"/>
    <w:rsid w:val="0CFE707A"/>
    <w:rsid w:val="0D063BDA"/>
    <w:rsid w:val="0D08375F"/>
    <w:rsid w:val="0D184CFB"/>
    <w:rsid w:val="0D4A7419"/>
    <w:rsid w:val="0D570D57"/>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A30E6F"/>
    <w:rsid w:val="0FBF3FD2"/>
    <w:rsid w:val="0FBF7FF3"/>
    <w:rsid w:val="0FD20B69"/>
    <w:rsid w:val="10646583"/>
    <w:rsid w:val="107D4B15"/>
    <w:rsid w:val="108A3C80"/>
    <w:rsid w:val="10B169D0"/>
    <w:rsid w:val="10C26171"/>
    <w:rsid w:val="10F33360"/>
    <w:rsid w:val="10FC16EA"/>
    <w:rsid w:val="110F1D40"/>
    <w:rsid w:val="11266F33"/>
    <w:rsid w:val="113118BF"/>
    <w:rsid w:val="116457F1"/>
    <w:rsid w:val="118963A1"/>
    <w:rsid w:val="11C6522A"/>
    <w:rsid w:val="11E104CC"/>
    <w:rsid w:val="11E20309"/>
    <w:rsid w:val="120E7E53"/>
    <w:rsid w:val="12255233"/>
    <w:rsid w:val="12530213"/>
    <w:rsid w:val="127723A9"/>
    <w:rsid w:val="12862074"/>
    <w:rsid w:val="12883966"/>
    <w:rsid w:val="129E45B4"/>
    <w:rsid w:val="12D81596"/>
    <w:rsid w:val="12F11F28"/>
    <w:rsid w:val="13072A44"/>
    <w:rsid w:val="135F4BE2"/>
    <w:rsid w:val="139B1A0A"/>
    <w:rsid w:val="139D25C7"/>
    <w:rsid w:val="13BF3CE4"/>
    <w:rsid w:val="141008D8"/>
    <w:rsid w:val="14125FE6"/>
    <w:rsid w:val="146D271E"/>
    <w:rsid w:val="14982588"/>
    <w:rsid w:val="149A5AD9"/>
    <w:rsid w:val="14A7619D"/>
    <w:rsid w:val="14BA7E1E"/>
    <w:rsid w:val="150536C3"/>
    <w:rsid w:val="150C1963"/>
    <w:rsid w:val="151447A0"/>
    <w:rsid w:val="154A6454"/>
    <w:rsid w:val="15762120"/>
    <w:rsid w:val="16A8729C"/>
    <w:rsid w:val="16B33777"/>
    <w:rsid w:val="16BC70A7"/>
    <w:rsid w:val="16C6339E"/>
    <w:rsid w:val="172F2D79"/>
    <w:rsid w:val="17557BEF"/>
    <w:rsid w:val="17D349C1"/>
    <w:rsid w:val="1830729E"/>
    <w:rsid w:val="1870062C"/>
    <w:rsid w:val="18817102"/>
    <w:rsid w:val="18830A15"/>
    <w:rsid w:val="18852B28"/>
    <w:rsid w:val="188B5321"/>
    <w:rsid w:val="18C9062F"/>
    <w:rsid w:val="19932372"/>
    <w:rsid w:val="19A20DD5"/>
    <w:rsid w:val="19AE03F1"/>
    <w:rsid w:val="1A071A03"/>
    <w:rsid w:val="1A1F16AE"/>
    <w:rsid w:val="1A3B5C77"/>
    <w:rsid w:val="1A984BAD"/>
    <w:rsid w:val="1AB8220E"/>
    <w:rsid w:val="1AE4166C"/>
    <w:rsid w:val="1AF06CFB"/>
    <w:rsid w:val="1AF11B8D"/>
    <w:rsid w:val="1AFD0A64"/>
    <w:rsid w:val="1B11359C"/>
    <w:rsid w:val="1B2A271F"/>
    <w:rsid w:val="1B530544"/>
    <w:rsid w:val="1B713184"/>
    <w:rsid w:val="1B866CAC"/>
    <w:rsid w:val="1BA209CF"/>
    <w:rsid w:val="1BB4777D"/>
    <w:rsid w:val="1BD75AB8"/>
    <w:rsid w:val="1BD96C46"/>
    <w:rsid w:val="1C0459C2"/>
    <w:rsid w:val="1C1B3B4A"/>
    <w:rsid w:val="1C88086E"/>
    <w:rsid w:val="1CBF5FD1"/>
    <w:rsid w:val="1D156539"/>
    <w:rsid w:val="1D266CE1"/>
    <w:rsid w:val="1D3963AF"/>
    <w:rsid w:val="1D6A673C"/>
    <w:rsid w:val="1D9247AE"/>
    <w:rsid w:val="1DB567EC"/>
    <w:rsid w:val="1DF51A98"/>
    <w:rsid w:val="1E2F53D8"/>
    <w:rsid w:val="1E3D060F"/>
    <w:rsid w:val="1E3F7D2E"/>
    <w:rsid w:val="1E4134E4"/>
    <w:rsid w:val="1E5062B3"/>
    <w:rsid w:val="1E523514"/>
    <w:rsid w:val="1E5B61CE"/>
    <w:rsid w:val="1E714A66"/>
    <w:rsid w:val="1E802593"/>
    <w:rsid w:val="1E8B6156"/>
    <w:rsid w:val="1EA703CC"/>
    <w:rsid w:val="1EB7330C"/>
    <w:rsid w:val="1F0A0FF3"/>
    <w:rsid w:val="1F5771FF"/>
    <w:rsid w:val="1FE868A9"/>
    <w:rsid w:val="1FF22B62"/>
    <w:rsid w:val="20034907"/>
    <w:rsid w:val="20173E4B"/>
    <w:rsid w:val="204E48BC"/>
    <w:rsid w:val="208921B3"/>
    <w:rsid w:val="20973DEB"/>
    <w:rsid w:val="20B26522"/>
    <w:rsid w:val="20B44310"/>
    <w:rsid w:val="20F93EB3"/>
    <w:rsid w:val="211116EB"/>
    <w:rsid w:val="216133FC"/>
    <w:rsid w:val="21B5B083"/>
    <w:rsid w:val="21D56769"/>
    <w:rsid w:val="21E52EF3"/>
    <w:rsid w:val="21FB5D7B"/>
    <w:rsid w:val="22015E94"/>
    <w:rsid w:val="220B1C3D"/>
    <w:rsid w:val="221B2723"/>
    <w:rsid w:val="221D1D20"/>
    <w:rsid w:val="22334A87"/>
    <w:rsid w:val="22BE6801"/>
    <w:rsid w:val="233500BF"/>
    <w:rsid w:val="23377FF7"/>
    <w:rsid w:val="236B425F"/>
    <w:rsid w:val="23836192"/>
    <w:rsid w:val="23901F29"/>
    <w:rsid w:val="239C0061"/>
    <w:rsid w:val="23B908A4"/>
    <w:rsid w:val="23E95BEF"/>
    <w:rsid w:val="23FD0064"/>
    <w:rsid w:val="245375B0"/>
    <w:rsid w:val="24642C0A"/>
    <w:rsid w:val="24AB3460"/>
    <w:rsid w:val="24B22173"/>
    <w:rsid w:val="24B95AD9"/>
    <w:rsid w:val="24BE24DA"/>
    <w:rsid w:val="24CF5825"/>
    <w:rsid w:val="24D663E6"/>
    <w:rsid w:val="24D77F2B"/>
    <w:rsid w:val="250C30B2"/>
    <w:rsid w:val="258B00E2"/>
    <w:rsid w:val="25A917A6"/>
    <w:rsid w:val="25BE27CC"/>
    <w:rsid w:val="25F74A5C"/>
    <w:rsid w:val="2628662C"/>
    <w:rsid w:val="262D45DE"/>
    <w:rsid w:val="26871DC8"/>
    <w:rsid w:val="26A53EF9"/>
    <w:rsid w:val="26A94201"/>
    <w:rsid w:val="26AC274F"/>
    <w:rsid w:val="27044A29"/>
    <w:rsid w:val="271D34C8"/>
    <w:rsid w:val="276142BF"/>
    <w:rsid w:val="27783712"/>
    <w:rsid w:val="27907362"/>
    <w:rsid w:val="27DC773E"/>
    <w:rsid w:val="281C69CE"/>
    <w:rsid w:val="28333E1D"/>
    <w:rsid w:val="28454BD6"/>
    <w:rsid w:val="28455253"/>
    <w:rsid w:val="28551971"/>
    <w:rsid w:val="285B1C53"/>
    <w:rsid w:val="289F7086"/>
    <w:rsid w:val="28C32028"/>
    <w:rsid w:val="28CC490F"/>
    <w:rsid w:val="28DE40AA"/>
    <w:rsid w:val="292A6EC8"/>
    <w:rsid w:val="29345E77"/>
    <w:rsid w:val="294C65AD"/>
    <w:rsid w:val="29806583"/>
    <w:rsid w:val="298B3C4C"/>
    <w:rsid w:val="29AC5B2F"/>
    <w:rsid w:val="29DD3F3B"/>
    <w:rsid w:val="29F26D24"/>
    <w:rsid w:val="2A15033F"/>
    <w:rsid w:val="2A1662C1"/>
    <w:rsid w:val="2A1C7367"/>
    <w:rsid w:val="2A2815FA"/>
    <w:rsid w:val="2A4E081B"/>
    <w:rsid w:val="2A6D6092"/>
    <w:rsid w:val="2A7D76B4"/>
    <w:rsid w:val="2B437463"/>
    <w:rsid w:val="2B6D12EE"/>
    <w:rsid w:val="2B7807EE"/>
    <w:rsid w:val="2BA50BF7"/>
    <w:rsid w:val="2BBF00EC"/>
    <w:rsid w:val="2BC37CFD"/>
    <w:rsid w:val="2BD5237F"/>
    <w:rsid w:val="2BE536CE"/>
    <w:rsid w:val="2BE758D9"/>
    <w:rsid w:val="2C09049E"/>
    <w:rsid w:val="2C0A653C"/>
    <w:rsid w:val="2C191F85"/>
    <w:rsid w:val="2CE82D6F"/>
    <w:rsid w:val="2D343236"/>
    <w:rsid w:val="2DD15014"/>
    <w:rsid w:val="2DF72DE4"/>
    <w:rsid w:val="2DFD143F"/>
    <w:rsid w:val="2E0220AF"/>
    <w:rsid w:val="2E0B376C"/>
    <w:rsid w:val="2E4B082A"/>
    <w:rsid w:val="2E5D4E86"/>
    <w:rsid w:val="2E5D790B"/>
    <w:rsid w:val="2E6A7D67"/>
    <w:rsid w:val="2E9A3C18"/>
    <w:rsid w:val="2EBB0FEE"/>
    <w:rsid w:val="2EC63002"/>
    <w:rsid w:val="2F0A6B38"/>
    <w:rsid w:val="2F946CCB"/>
    <w:rsid w:val="2FD25781"/>
    <w:rsid w:val="2FDC745C"/>
    <w:rsid w:val="2FFD7934"/>
    <w:rsid w:val="30052628"/>
    <w:rsid w:val="30332B06"/>
    <w:rsid w:val="30733ACD"/>
    <w:rsid w:val="308C3862"/>
    <w:rsid w:val="309379D8"/>
    <w:rsid w:val="30A270F7"/>
    <w:rsid w:val="30C916BD"/>
    <w:rsid w:val="30DB023F"/>
    <w:rsid w:val="30DF1478"/>
    <w:rsid w:val="30EC586F"/>
    <w:rsid w:val="319C6071"/>
    <w:rsid w:val="31AC537E"/>
    <w:rsid w:val="31E3679B"/>
    <w:rsid w:val="31E732FD"/>
    <w:rsid w:val="32517576"/>
    <w:rsid w:val="32BE5C2C"/>
    <w:rsid w:val="32FB6478"/>
    <w:rsid w:val="33263B3F"/>
    <w:rsid w:val="33587748"/>
    <w:rsid w:val="336963EB"/>
    <w:rsid w:val="33816EEB"/>
    <w:rsid w:val="33EB55CD"/>
    <w:rsid w:val="33EC4C02"/>
    <w:rsid w:val="340D2360"/>
    <w:rsid w:val="3410665D"/>
    <w:rsid w:val="34211214"/>
    <w:rsid w:val="342E63AB"/>
    <w:rsid w:val="346E05B1"/>
    <w:rsid w:val="34950E68"/>
    <w:rsid w:val="34986E94"/>
    <w:rsid w:val="34AF62C9"/>
    <w:rsid w:val="34CB4388"/>
    <w:rsid w:val="34FA6E12"/>
    <w:rsid w:val="354D7158"/>
    <w:rsid w:val="358D5588"/>
    <w:rsid w:val="363A3B40"/>
    <w:rsid w:val="365302AE"/>
    <w:rsid w:val="36607A0A"/>
    <w:rsid w:val="366E227C"/>
    <w:rsid w:val="366F2E0D"/>
    <w:rsid w:val="367B6A5C"/>
    <w:rsid w:val="36A74ADA"/>
    <w:rsid w:val="36AD60D5"/>
    <w:rsid w:val="36B224F9"/>
    <w:rsid w:val="36EC0CC9"/>
    <w:rsid w:val="37227431"/>
    <w:rsid w:val="373F410B"/>
    <w:rsid w:val="37EE7094"/>
    <w:rsid w:val="38296C89"/>
    <w:rsid w:val="383002EB"/>
    <w:rsid w:val="38586797"/>
    <w:rsid w:val="38BC0149"/>
    <w:rsid w:val="38D87D1C"/>
    <w:rsid w:val="38F4304F"/>
    <w:rsid w:val="392A6A70"/>
    <w:rsid w:val="39463BE4"/>
    <w:rsid w:val="39636459"/>
    <w:rsid w:val="396B7F6C"/>
    <w:rsid w:val="39A55AE7"/>
    <w:rsid w:val="39B417A9"/>
    <w:rsid w:val="39B60304"/>
    <w:rsid w:val="39FC5695"/>
    <w:rsid w:val="3A006D8E"/>
    <w:rsid w:val="3A3651E5"/>
    <w:rsid w:val="3A744481"/>
    <w:rsid w:val="3A8C7BEF"/>
    <w:rsid w:val="3A906246"/>
    <w:rsid w:val="3B181276"/>
    <w:rsid w:val="3B2349B7"/>
    <w:rsid w:val="3B616CFF"/>
    <w:rsid w:val="3B6259F6"/>
    <w:rsid w:val="3B976654"/>
    <w:rsid w:val="3BC01EFC"/>
    <w:rsid w:val="3BCA786A"/>
    <w:rsid w:val="3BD31E2F"/>
    <w:rsid w:val="3BF15831"/>
    <w:rsid w:val="3C105946"/>
    <w:rsid w:val="3C471448"/>
    <w:rsid w:val="3C5F759A"/>
    <w:rsid w:val="3C6C525A"/>
    <w:rsid w:val="3CCE23CB"/>
    <w:rsid w:val="3CD17D17"/>
    <w:rsid w:val="3D3C7F39"/>
    <w:rsid w:val="3D440F09"/>
    <w:rsid w:val="3D4504A0"/>
    <w:rsid w:val="3D8734BB"/>
    <w:rsid w:val="3D9A11D4"/>
    <w:rsid w:val="3DA16D89"/>
    <w:rsid w:val="3DA364BE"/>
    <w:rsid w:val="3DBA0E43"/>
    <w:rsid w:val="3DBD6105"/>
    <w:rsid w:val="3DE041CB"/>
    <w:rsid w:val="3DE511B8"/>
    <w:rsid w:val="3E0D48F6"/>
    <w:rsid w:val="3E1868B4"/>
    <w:rsid w:val="3E377251"/>
    <w:rsid w:val="3E42664B"/>
    <w:rsid w:val="3E5A7334"/>
    <w:rsid w:val="3E636CAD"/>
    <w:rsid w:val="3E6F60C9"/>
    <w:rsid w:val="3E7B5D6B"/>
    <w:rsid w:val="3E843E66"/>
    <w:rsid w:val="3E8F51FE"/>
    <w:rsid w:val="3E926F87"/>
    <w:rsid w:val="3E9A59DE"/>
    <w:rsid w:val="3EA031FF"/>
    <w:rsid w:val="3EAF4836"/>
    <w:rsid w:val="3EC33DFA"/>
    <w:rsid w:val="3F060E16"/>
    <w:rsid w:val="3F1D1096"/>
    <w:rsid w:val="3F2F0234"/>
    <w:rsid w:val="3F450160"/>
    <w:rsid w:val="3F6363FE"/>
    <w:rsid w:val="3F756B8F"/>
    <w:rsid w:val="3F8954F2"/>
    <w:rsid w:val="3F95482B"/>
    <w:rsid w:val="3F994854"/>
    <w:rsid w:val="4019356B"/>
    <w:rsid w:val="40592157"/>
    <w:rsid w:val="406E1CAE"/>
    <w:rsid w:val="40A0133A"/>
    <w:rsid w:val="40C31A53"/>
    <w:rsid w:val="40FF545D"/>
    <w:rsid w:val="410067C8"/>
    <w:rsid w:val="418F0D2A"/>
    <w:rsid w:val="41D01505"/>
    <w:rsid w:val="42474939"/>
    <w:rsid w:val="424C3C57"/>
    <w:rsid w:val="42613FF3"/>
    <w:rsid w:val="42660D96"/>
    <w:rsid w:val="428667D2"/>
    <w:rsid w:val="42996133"/>
    <w:rsid w:val="42CD1CE0"/>
    <w:rsid w:val="42E1381E"/>
    <w:rsid w:val="42ED6459"/>
    <w:rsid w:val="42FE58DD"/>
    <w:rsid w:val="431247FD"/>
    <w:rsid w:val="43174B3D"/>
    <w:rsid w:val="434B790E"/>
    <w:rsid w:val="4360274F"/>
    <w:rsid w:val="43784FA8"/>
    <w:rsid w:val="43977AB6"/>
    <w:rsid w:val="43A3342B"/>
    <w:rsid w:val="43C77C27"/>
    <w:rsid w:val="43DE09EE"/>
    <w:rsid w:val="43E20674"/>
    <w:rsid w:val="44002FAD"/>
    <w:rsid w:val="449101DD"/>
    <w:rsid w:val="44DE1391"/>
    <w:rsid w:val="44E919BB"/>
    <w:rsid w:val="451B225C"/>
    <w:rsid w:val="452410C9"/>
    <w:rsid w:val="45317DFB"/>
    <w:rsid w:val="456D3CE4"/>
    <w:rsid w:val="4579042C"/>
    <w:rsid w:val="457F0571"/>
    <w:rsid w:val="45851176"/>
    <w:rsid w:val="45C63B94"/>
    <w:rsid w:val="460E7DA5"/>
    <w:rsid w:val="46422483"/>
    <w:rsid w:val="4659254A"/>
    <w:rsid w:val="465B0637"/>
    <w:rsid w:val="465E3F0D"/>
    <w:rsid w:val="466A16E6"/>
    <w:rsid w:val="46893F2B"/>
    <w:rsid w:val="46C4686E"/>
    <w:rsid w:val="47226FD9"/>
    <w:rsid w:val="477B778F"/>
    <w:rsid w:val="478203EC"/>
    <w:rsid w:val="47B025FA"/>
    <w:rsid w:val="4809698F"/>
    <w:rsid w:val="4811697D"/>
    <w:rsid w:val="4823125B"/>
    <w:rsid w:val="487A3E25"/>
    <w:rsid w:val="488B5503"/>
    <w:rsid w:val="48937E21"/>
    <w:rsid w:val="489A0361"/>
    <w:rsid w:val="48B94FF3"/>
    <w:rsid w:val="48E37AAB"/>
    <w:rsid w:val="48FD4B4C"/>
    <w:rsid w:val="490A68E0"/>
    <w:rsid w:val="491055FE"/>
    <w:rsid w:val="49235B72"/>
    <w:rsid w:val="495F5B3E"/>
    <w:rsid w:val="496F77D7"/>
    <w:rsid w:val="497654FD"/>
    <w:rsid w:val="4986381A"/>
    <w:rsid w:val="49B64211"/>
    <w:rsid w:val="49F6167F"/>
    <w:rsid w:val="4A064FA0"/>
    <w:rsid w:val="4A16615C"/>
    <w:rsid w:val="4A4424D7"/>
    <w:rsid w:val="4A6209BE"/>
    <w:rsid w:val="4AB82D0F"/>
    <w:rsid w:val="4AEB7664"/>
    <w:rsid w:val="4AFD7C19"/>
    <w:rsid w:val="4B0567D1"/>
    <w:rsid w:val="4B236AAE"/>
    <w:rsid w:val="4B6B53F2"/>
    <w:rsid w:val="4B707271"/>
    <w:rsid w:val="4B9739F7"/>
    <w:rsid w:val="4BEE2503"/>
    <w:rsid w:val="4C245A30"/>
    <w:rsid w:val="4CB6685F"/>
    <w:rsid w:val="4CC367FE"/>
    <w:rsid w:val="4CE4720A"/>
    <w:rsid w:val="4D077F3C"/>
    <w:rsid w:val="4D123355"/>
    <w:rsid w:val="4D2A3B31"/>
    <w:rsid w:val="4D312C52"/>
    <w:rsid w:val="4D905305"/>
    <w:rsid w:val="4D964A72"/>
    <w:rsid w:val="4D9C1254"/>
    <w:rsid w:val="4DF55447"/>
    <w:rsid w:val="4E54216E"/>
    <w:rsid w:val="4E793892"/>
    <w:rsid w:val="4E800872"/>
    <w:rsid w:val="4EB36B3B"/>
    <w:rsid w:val="4EC569ED"/>
    <w:rsid w:val="4ED50EA1"/>
    <w:rsid w:val="4EEC050C"/>
    <w:rsid w:val="4F104EC3"/>
    <w:rsid w:val="4F47354A"/>
    <w:rsid w:val="4F911C54"/>
    <w:rsid w:val="4FE625E0"/>
    <w:rsid w:val="5021480F"/>
    <w:rsid w:val="50267B3A"/>
    <w:rsid w:val="50962ECB"/>
    <w:rsid w:val="50A42E38"/>
    <w:rsid w:val="50A4577F"/>
    <w:rsid w:val="50B73D1F"/>
    <w:rsid w:val="50BD5BC9"/>
    <w:rsid w:val="50C11EEE"/>
    <w:rsid w:val="50E97CFC"/>
    <w:rsid w:val="50FA4028"/>
    <w:rsid w:val="50FB0FC7"/>
    <w:rsid w:val="510D65B7"/>
    <w:rsid w:val="511157AB"/>
    <w:rsid w:val="5142540C"/>
    <w:rsid w:val="5182713F"/>
    <w:rsid w:val="51864D34"/>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544462"/>
    <w:rsid w:val="53864205"/>
    <w:rsid w:val="538B62DA"/>
    <w:rsid w:val="5397158E"/>
    <w:rsid w:val="54013861"/>
    <w:rsid w:val="54487265"/>
    <w:rsid w:val="544D6070"/>
    <w:rsid w:val="54605E1E"/>
    <w:rsid w:val="54B3506A"/>
    <w:rsid w:val="54CA0D16"/>
    <w:rsid w:val="54D9161F"/>
    <w:rsid w:val="54DD4057"/>
    <w:rsid w:val="54E7490F"/>
    <w:rsid w:val="550764A4"/>
    <w:rsid w:val="550B2BF6"/>
    <w:rsid w:val="55214EB5"/>
    <w:rsid w:val="55364EFD"/>
    <w:rsid w:val="555D4828"/>
    <w:rsid w:val="557A4C8B"/>
    <w:rsid w:val="558931E1"/>
    <w:rsid w:val="55923347"/>
    <w:rsid w:val="55925180"/>
    <w:rsid w:val="55983B1B"/>
    <w:rsid w:val="55A8376B"/>
    <w:rsid w:val="55DC29B6"/>
    <w:rsid w:val="55DD424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8245E"/>
    <w:rsid w:val="585D60C3"/>
    <w:rsid w:val="58917D2F"/>
    <w:rsid w:val="5894085C"/>
    <w:rsid w:val="58AE4F0C"/>
    <w:rsid w:val="58B85899"/>
    <w:rsid w:val="58D701DF"/>
    <w:rsid w:val="58E363A9"/>
    <w:rsid w:val="595E1678"/>
    <w:rsid w:val="596D5BD4"/>
    <w:rsid w:val="597E3DD8"/>
    <w:rsid w:val="5999137D"/>
    <w:rsid w:val="59F80043"/>
    <w:rsid w:val="5A0507C0"/>
    <w:rsid w:val="5A09252F"/>
    <w:rsid w:val="5A0B2778"/>
    <w:rsid w:val="5A2A7C7B"/>
    <w:rsid w:val="5A3E2560"/>
    <w:rsid w:val="5A5D3B6E"/>
    <w:rsid w:val="5A637A76"/>
    <w:rsid w:val="5A6D33BA"/>
    <w:rsid w:val="5A792B1F"/>
    <w:rsid w:val="5A874767"/>
    <w:rsid w:val="5AA85BE2"/>
    <w:rsid w:val="5AAD6F28"/>
    <w:rsid w:val="5AD63A24"/>
    <w:rsid w:val="5B150ED7"/>
    <w:rsid w:val="5B2E1A1D"/>
    <w:rsid w:val="5B843A1C"/>
    <w:rsid w:val="5B873E3F"/>
    <w:rsid w:val="5BEF1728"/>
    <w:rsid w:val="5C003935"/>
    <w:rsid w:val="5C02690E"/>
    <w:rsid w:val="5C196DA7"/>
    <w:rsid w:val="5C2A048C"/>
    <w:rsid w:val="5C514191"/>
    <w:rsid w:val="5C585E94"/>
    <w:rsid w:val="5C80234E"/>
    <w:rsid w:val="5C8A680C"/>
    <w:rsid w:val="5D0C4701"/>
    <w:rsid w:val="5D0F0395"/>
    <w:rsid w:val="5D221076"/>
    <w:rsid w:val="5D397964"/>
    <w:rsid w:val="5D5A391C"/>
    <w:rsid w:val="5D5F10C0"/>
    <w:rsid w:val="5D891B7B"/>
    <w:rsid w:val="5DAD38EE"/>
    <w:rsid w:val="5E006862"/>
    <w:rsid w:val="5E0207B9"/>
    <w:rsid w:val="5E1834A1"/>
    <w:rsid w:val="5E261785"/>
    <w:rsid w:val="5E3D2C1E"/>
    <w:rsid w:val="5E4A7017"/>
    <w:rsid w:val="5E552BBA"/>
    <w:rsid w:val="5E604B5F"/>
    <w:rsid w:val="5E611C10"/>
    <w:rsid w:val="5E7A0F3F"/>
    <w:rsid w:val="5EDD7F5D"/>
    <w:rsid w:val="5EFC7377"/>
    <w:rsid w:val="5F06174D"/>
    <w:rsid w:val="5F3A3602"/>
    <w:rsid w:val="5F45733B"/>
    <w:rsid w:val="5F6277C6"/>
    <w:rsid w:val="5F6D0B1D"/>
    <w:rsid w:val="5F702B80"/>
    <w:rsid w:val="5F8D0B82"/>
    <w:rsid w:val="5FCC5339"/>
    <w:rsid w:val="5FE34A5B"/>
    <w:rsid w:val="5FFE1E36"/>
    <w:rsid w:val="60232584"/>
    <w:rsid w:val="607330CE"/>
    <w:rsid w:val="60825176"/>
    <w:rsid w:val="609F2AC4"/>
    <w:rsid w:val="60FA2EE8"/>
    <w:rsid w:val="61054A27"/>
    <w:rsid w:val="610A52BC"/>
    <w:rsid w:val="611D2366"/>
    <w:rsid w:val="61377DF9"/>
    <w:rsid w:val="61421856"/>
    <w:rsid w:val="615227C4"/>
    <w:rsid w:val="61654E3F"/>
    <w:rsid w:val="6182292A"/>
    <w:rsid w:val="619F7F92"/>
    <w:rsid w:val="61A905CB"/>
    <w:rsid w:val="61F94C26"/>
    <w:rsid w:val="61FC4B9F"/>
    <w:rsid w:val="62000E56"/>
    <w:rsid w:val="624C78D4"/>
    <w:rsid w:val="624F3E49"/>
    <w:rsid w:val="62632286"/>
    <w:rsid w:val="62885958"/>
    <w:rsid w:val="62EB7913"/>
    <w:rsid w:val="62F40B65"/>
    <w:rsid w:val="62FC2CFE"/>
    <w:rsid w:val="63024505"/>
    <w:rsid w:val="630755A9"/>
    <w:rsid w:val="632223E3"/>
    <w:rsid w:val="634E142A"/>
    <w:rsid w:val="635600A5"/>
    <w:rsid w:val="635B1DB5"/>
    <w:rsid w:val="63711FED"/>
    <w:rsid w:val="63880DDC"/>
    <w:rsid w:val="638D750D"/>
    <w:rsid w:val="63AC6CC0"/>
    <w:rsid w:val="64055776"/>
    <w:rsid w:val="64240056"/>
    <w:rsid w:val="643E143A"/>
    <w:rsid w:val="64432611"/>
    <w:rsid w:val="64491666"/>
    <w:rsid w:val="64502F80"/>
    <w:rsid w:val="648B6EEF"/>
    <w:rsid w:val="64C158BF"/>
    <w:rsid w:val="64CE2EAA"/>
    <w:rsid w:val="64EA656E"/>
    <w:rsid w:val="653C3090"/>
    <w:rsid w:val="65854376"/>
    <w:rsid w:val="658767BE"/>
    <w:rsid w:val="65892531"/>
    <w:rsid w:val="66195831"/>
    <w:rsid w:val="662E75B1"/>
    <w:rsid w:val="66342C2E"/>
    <w:rsid w:val="663E784C"/>
    <w:rsid w:val="668B6A45"/>
    <w:rsid w:val="672F3F24"/>
    <w:rsid w:val="673E055F"/>
    <w:rsid w:val="67551CE3"/>
    <w:rsid w:val="67A22552"/>
    <w:rsid w:val="67B22DCC"/>
    <w:rsid w:val="67BE71AA"/>
    <w:rsid w:val="67D90273"/>
    <w:rsid w:val="67DE5875"/>
    <w:rsid w:val="67E55852"/>
    <w:rsid w:val="67EB1AB4"/>
    <w:rsid w:val="67FA1285"/>
    <w:rsid w:val="68551F4F"/>
    <w:rsid w:val="68701E42"/>
    <w:rsid w:val="687C10C9"/>
    <w:rsid w:val="68840C16"/>
    <w:rsid w:val="68876EFB"/>
    <w:rsid w:val="68884654"/>
    <w:rsid w:val="689F444F"/>
    <w:rsid w:val="68B96DBB"/>
    <w:rsid w:val="68CA2805"/>
    <w:rsid w:val="68E937A3"/>
    <w:rsid w:val="68F87EF1"/>
    <w:rsid w:val="693E15D3"/>
    <w:rsid w:val="69627681"/>
    <w:rsid w:val="6977531D"/>
    <w:rsid w:val="69782D5D"/>
    <w:rsid w:val="69CC2BFF"/>
    <w:rsid w:val="69FD55B8"/>
    <w:rsid w:val="6A0B1C62"/>
    <w:rsid w:val="6A2406C8"/>
    <w:rsid w:val="6ADE0BD1"/>
    <w:rsid w:val="6AE96859"/>
    <w:rsid w:val="6B147746"/>
    <w:rsid w:val="6B24787C"/>
    <w:rsid w:val="6B3E3B32"/>
    <w:rsid w:val="6B453112"/>
    <w:rsid w:val="6B533A81"/>
    <w:rsid w:val="6B573233"/>
    <w:rsid w:val="6B5B6274"/>
    <w:rsid w:val="6B935D53"/>
    <w:rsid w:val="6BA936A1"/>
    <w:rsid w:val="6BF90264"/>
    <w:rsid w:val="6BFD39ED"/>
    <w:rsid w:val="6C0E1756"/>
    <w:rsid w:val="6C196F71"/>
    <w:rsid w:val="6C226FCB"/>
    <w:rsid w:val="6C31226F"/>
    <w:rsid w:val="6C552F0B"/>
    <w:rsid w:val="6C8C67B7"/>
    <w:rsid w:val="6C9D744C"/>
    <w:rsid w:val="6D167928"/>
    <w:rsid w:val="6D26299B"/>
    <w:rsid w:val="6D4772EC"/>
    <w:rsid w:val="6D9078AF"/>
    <w:rsid w:val="6DAA3FEF"/>
    <w:rsid w:val="6DC0172B"/>
    <w:rsid w:val="6DCB690C"/>
    <w:rsid w:val="6DD41A5B"/>
    <w:rsid w:val="6DF43C2E"/>
    <w:rsid w:val="6DF51CA3"/>
    <w:rsid w:val="6E8335BD"/>
    <w:rsid w:val="6E8E12EF"/>
    <w:rsid w:val="6E972936"/>
    <w:rsid w:val="6ED446C5"/>
    <w:rsid w:val="6EFC61DE"/>
    <w:rsid w:val="6F2A7D94"/>
    <w:rsid w:val="6F767D3E"/>
    <w:rsid w:val="6F79782E"/>
    <w:rsid w:val="6F8331F1"/>
    <w:rsid w:val="6FAE1A09"/>
    <w:rsid w:val="6FB86358"/>
    <w:rsid w:val="6FD75BF8"/>
    <w:rsid w:val="707723D0"/>
    <w:rsid w:val="707D6A8A"/>
    <w:rsid w:val="70F5661B"/>
    <w:rsid w:val="71360107"/>
    <w:rsid w:val="713B688E"/>
    <w:rsid w:val="7150636D"/>
    <w:rsid w:val="719A31FD"/>
    <w:rsid w:val="71D43752"/>
    <w:rsid w:val="71F1796A"/>
    <w:rsid w:val="72154626"/>
    <w:rsid w:val="72262B5D"/>
    <w:rsid w:val="72283FF7"/>
    <w:rsid w:val="722E7212"/>
    <w:rsid w:val="723A0474"/>
    <w:rsid w:val="725923E4"/>
    <w:rsid w:val="726E5CBB"/>
    <w:rsid w:val="72864BF7"/>
    <w:rsid w:val="729023FC"/>
    <w:rsid w:val="734463A5"/>
    <w:rsid w:val="735F4F8D"/>
    <w:rsid w:val="73C0646E"/>
    <w:rsid w:val="742222F5"/>
    <w:rsid w:val="74476126"/>
    <w:rsid w:val="74706664"/>
    <w:rsid w:val="747F3682"/>
    <w:rsid w:val="749C4185"/>
    <w:rsid w:val="75067759"/>
    <w:rsid w:val="752E6DCD"/>
    <w:rsid w:val="7551380D"/>
    <w:rsid w:val="75600BE5"/>
    <w:rsid w:val="7564475C"/>
    <w:rsid w:val="7583797F"/>
    <w:rsid w:val="75D20F1D"/>
    <w:rsid w:val="75DA2C18"/>
    <w:rsid w:val="75F54412"/>
    <w:rsid w:val="761D08E0"/>
    <w:rsid w:val="765D347C"/>
    <w:rsid w:val="76826699"/>
    <w:rsid w:val="76C87133"/>
    <w:rsid w:val="76CD08D5"/>
    <w:rsid w:val="76DB4B92"/>
    <w:rsid w:val="77052AA4"/>
    <w:rsid w:val="77136511"/>
    <w:rsid w:val="77170059"/>
    <w:rsid w:val="77340A39"/>
    <w:rsid w:val="77351FD0"/>
    <w:rsid w:val="77472422"/>
    <w:rsid w:val="776F7B60"/>
    <w:rsid w:val="777F31F2"/>
    <w:rsid w:val="77D1700D"/>
    <w:rsid w:val="77D53A70"/>
    <w:rsid w:val="77EC04CC"/>
    <w:rsid w:val="78775729"/>
    <w:rsid w:val="787B4617"/>
    <w:rsid w:val="78A42DB0"/>
    <w:rsid w:val="78A656AB"/>
    <w:rsid w:val="78B2245C"/>
    <w:rsid w:val="78E172CC"/>
    <w:rsid w:val="78EA1D1F"/>
    <w:rsid w:val="7904172F"/>
    <w:rsid w:val="790F7E27"/>
    <w:rsid w:val="792A231A"/>
    <w:rsid w:val="79316829"/>
    <w:rsid w:val="797E66A9"/>
    <w:rsid w:val="798518A4"/>
    <w:rsid w:val="79A97383"/>
    <w:rsid w:val="79C93160"/>
    <w:rsid w:val="79E00959"/>
    <w:rsid w:val="79E27E8B"/>
    <w:rsid w:val="79F850CE"/>
    <w:rsid w:val="79FD443C"/>
    <w:rsid w:val="7A1D1975"/>
    <w:rsid w:val="7A3E5150"/>
    <w:rsid w:val="7A4670D6"/>
    <w:rsid w:val="7A534B63"/>
    <w:rsid w:val="7A615382"/>
    <w:rsid w:val="7A67303B"/>
    <w:rsid w:val="7AAB1D04"/>
    <w:rsid w:val="7ABA4368"/>
    <w:rsid w:val="7AD05746"/>
    <w:rsid w:val="7B041F22"/>
    <w:rsid w:val="7B257FFD"/>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9A4E1F"/>
    <w:rsid w:val="7EA7723A"/>
    <w:rsid w:val="7ED52645"/>
    <w:rsid w:val="7EF56FBB"/>
    <w:rsid w:val="7F0768EB"/>
    <w:rsid w:val="7F143BEC"/>
    <w:rsid w:val="7F3177DE"/>
    <w:rsid w:val="7F715AF2"/>
    <w:rsid w:val="7F886E69"/>
    <w:rsid w:val="7FB64187"/>
    <w:rsid w:val="7FFE0F09"/>
    <w:rsid w:val="BB7FA927"/>
    <w:rsid w:val="D6DE5EB8"/>
    <w:rsid w:val="F5FFD31F"/>
    <w:rsid w:val="FB9C63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3"/>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7"/>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3"/>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7"/>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8"/>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autoRedefine/>
    <w:semiHidden/>
    <w:unhideWhenUsed/>
    <w:qFormat/>
    <w:uiPriority w:val="1"/>
  </w:style>
  <w:style w:type="table" w:default="1" w:styleId="62">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28"/>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1"/>
    <w:autoRedefine/>
    <w:qFormat/>
    <w:uiPriority w:val="0"/>
    <w:pPr>
      <w:shd w:val="clear" w:color="auto" w:fill="000080"/>
    </w:pPr>
  </w:style>
  <w:style w:type="paragraph" w:styleId="19">
    <w:name w:val="annotation text"/>
    <w:basedOn w:val="1"/>
    <w:link w:val="344"/>
    <w:autoRedefine/>
    <w:qFormat/>
    <w:uiPriority w:val="99"/>
    <w:pPr>
      <w:jc w:val="left"/>
    </w:pPr>
  </w:style>
  <w:style w:type="paragraph" w:styleId="20">
    <w:name w:val="Salutation"/>
    <w:basedOn w:val="1"/>
    <w:next w:val="1"/>
    <w:link w:val="298"/>
    <w:autoRedefine/>
    <w:qFormat/>
    <w:uiPriority w:val="0"/>
    <w:rPr>
      <w:rFonts w:ascii="仿宋_GB2312" w:eastAsia="仿宋_GB2312"/>
      <w:sz w:val="28"/>
      <w:szCs w:val="20"/>
    </w:rPr>
  </w:style>
  <w:style w:type="paragraph" w:styleId="21">
    <w:name w:val="Body Text 3"/>
    <w:basedOn w:val="1"/>
    <w:link w:val="330"/>
    <w:autoRedefine/>
    <w:qFormat/>
    <w:uiPriority w:val="0"/>
    <w:pPr>
      <w:jc w:val="center"/>
    </w:pPr>
    <w:rPr>
      <w:szCs w:val="20"/>
    </w:rPr>
  </w:style>
  <w:style w:type="paragraph" w:styleId="22">
    <w:name w:val="List Bullet 3"/>
    <w:basedOn w:val="1"/>
    <w:autoRedefine/>
    <w:unhideWhenUsed/>
    <w:qFormat/>
    <w:uiPriority w:val="0"/>
    <w:pPr>
      <w:snapToGrid w:val="0"/>
      <w:spacing w:line="360" w:lineRule="auto"/>
      <w:ind w:left="360" w:right="238" w:hanging="360"/>
      <w:contextualSpacing/>
    </w:pPr>
    <w:rPr>
      <w:sz w:val="24"/>
    </w:rPr>
  </w:style>
  <w:style w:type="paragraph" w:styleId="23">
    <w:name w:val="Body Text"/>
    <w:basedOn w:val="1"/>
    <w:next w:val="1"/>
    <w:link w:val="430"/>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265"/>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4"/>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0"/>
    <w:autoRedefine/>
    <w:qFormat/>
    <w:uiPriority w:val="0"/>
    <w:pPr>
      <w:ind w:left="100" w:leftChars="2500"/>
    </w:pPr>
    <w:rPr>
      <w:rFonts w:ascii="宋体"/>
      <w:sz w:val="24"/>
      <w:szCs w:val="21"/>
      <w:lang w:val="zh-CN"/>
    </w:rPr>
  </w:style>
  <w:style w:type="paragraph" w:styleId="36">
    <w:name w:val="Body Text Indent 2"/>
    <w:basedOn w:val="1"/>
    <w:link w:val="308"/>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2"/>
    <w:autoRedefine/>
    <w:qFormat/>
    <w:uiPriority w:val="0"/>
    <w:rPr>
      <w:lang w:val="zh-CN"/>
    </w:rPr>
  </w:style>
  <w:style w:type="paragraph" w:styleId="38">
    <w:name w:val="Balloon Text"/>
    <w:basedOn w:val="1"/>
    <w:link w:val="187"/>
    <w:autoRedefine/>
    <w:qFormat/>
    <w:uiPriority w:val="0"/>
    <w:rPr>
      <w:sz w:val="18"/>
      <w:szCs w:val="18"/>
    </w:rPr>
  </w:style>
  <w:style w:type="paragraph" w:styleId="39">
    <w:name w:val="footer"/>
    <w:basedOn w:val="1"/>
    <w:link w:val="383"/>
    <w:autoRedefine/>
    <w:qFormat/>
    <w:uiPriority w:val="99"/>
    <w:pPr>
      <w:tabs>
        <w:tab w:val="center" w:pos="4153"/>
        <w:tab w:val="right" w:pos="8306"/>
      </w:tabs>
      <w:snapToGrid w:val="0"/>
      <w:jc w:val="left"/>
    </w:pPr>
    <w:rPr>
      <w:sz w:val="18"/>
      <w:szCs w:val="18"/>
    </w:rPr>
  </w:style>
  <w:style w:type="paragraph" w:styleId="40">
    <w:name w:val="header"/>
    <w:basedOn w:val="1"/>
    <w:link w:val="392"/>
    <w:autoRedefine/>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345"/>
    <w:autoRedefine/>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autoRedefine/>
    <w:qFormat/>
    <w:uiPriority w:val="0"/>
  </w:style>
  <w:style w:type="paragraph" w:styleId="43">
    <w:name w:val="toc 4"/>
    <w:basedOn w:val="1"/>
    <w:next w:val="1"/>
    <w:autoRedefine/>
    <w:qFormat/>
    <w:uiPriority w:val="0"/>
    <w:pPr>
      <w:ind w:left="1260" w:leftChars="600"/>
    </w:pPr>
  </w:style>
  <w:style w:type="paragraph" w:styleId="44">
    <w:name w:val="index heading"/>
    <w:basedOn w:val="1"/>
    <w:next w:val="45"/>
    <w:autoRedefine/>
    <w:qFormat/>
    <w:uiPriority w:val="0"/>
    <w:pPr>
      <w:adjustRightInd/>
      <w:ind w:firstLine="200" w:firstLineChars="200"/>
    </w:pPr>
  </w:style>
  <w:style w:type="paragraph" w:styleId="45">
    <w:name w:val="index 1"/>
    <w:basedOn w:val="1"/>
    <w:next w:val="1"/>
    <w:autoRedefine/>
    <w:qFormat/>
    <w:uiPriority w:val="0"/>
    <w:pPr>
      <w:adjustRightInd/>
      <w:spacing w:line="360" w:lineRule="auto"/>
      <w:ind w:firstLine="200" w:firstLineChars="200"/>
      <w:jc w:val="center"/>
    </w:pPr>
    <w:rPr>
      <w:sz w:val="24"/>
      <w:szCs w:val="20"/>
    </w:rPr>
  </w:style>
  <w:style w:type="paragraph" w:styleId="46">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autoRedefine/>
    <w:qFormat/>
    <w:uiPriority w:val="0"/>
    <w:pPr>
      <w:tabs>
        <w:tab w:val="left" w:pos="902"/>
      </w:tabs>
      <w:adjustRightInd/>
      <w:spacing w:line="400" w:lineRule="exact"/>
      <w:ind w:left="902" w:hanging="420"/>
    </w:pPr>
    <w:rPr>
      <w:sz w:val="24"/>
      <w:szCs w:val="20"/>
    </w:rPr>
  </w:style>
  <w:style w:type="paragraph" w:styleId="48">
    <w:name w:val="List"/>
    <w:basedOn w:val="1"/>
    <w:autoRedefine/>
    <w:qFormat/>
    <w:uiPriority w:val="0"/>
    <w:pPr>
      <w:ind w:left="200" w:hanging="200" w:hangingChars="200"/>
    </w:pPr>
  </w:style>
  <w:style w:type="paragraph" w:styleId="49">
    <w:name w:val="footnote text"/>
    <w:basedOn w:val="5"/>
    <w:link w:val="310"/>
    <w:autoRedefine/>
    <w:qFormat/>
    <w:uiPriority w:val="0"/>
    <w:pPr>
      <w:adjustRightInd/>
      <w:snapToGrid/>
      <w:spacing w:before="60" w:after="60" w:line="300" w:lineRule="exact"/>
      <w:ind w:firstLine="0"/>
    </w:pPr>
    <w:rPr>
      <w:rFonts w:ascii="Calibri"/>
      <w:snapToGrid/>
      <w:color w:val="0000FF"/>
      <w:kern w:val="0"/>
      <w:sz w:val="21"/>
    </w:rPr>
  </w:style>
  <w:style w:type="paragraph" w:styleId="50">
    <w:name w:val="toc 6"/>
    <w:basedOn w:val="1"/>
    <w:next w:val="1"/>
    <w:autoRedefine/>
    <w:qFormat/>
    <w:uiPriority w:val="0"/>
    <w:pPr>
      <w:ind w:left="2100" w:leftChars="1000"/>
    </w:pPr>
  </w:style>
  <w:style w:type="paragraph" w:styleId="51">
    <w:name w:val="List 5"/>
    <w:basedOn w:val="1"/>
    <w:autoRedefine/>
    <w:qFormat/>
    <w:uiPriority w:val="0"/>
    <w:pPr>
      <w:adjustRightInd/>
      <w:ind w:left="100" w:leftChars="800" w:hanging="200" w:hangingChars="200"/>
    </w:pPr>
  </w:style>
  <w:style w:type="paragraph" w:styleId="52">
    <w:name w:val="Body Text Indent 3"/>
    <w:basedOn w:val="1"/>
    <w:link w:val="375"/>
    <w:autoRedefine/>
    <w:qFormat/>
    <w:uiPriority w:val="0"/>
    <w:pPr>
      <w:spacing w:line="360" w:lineRule="auto"/>
      <w:ind w:firstLine="420"/>
    </w:pPr>
    <w:rPr>
      <w:sz w:val="24"/>
      <w:szCs w:val="20"/>
    </w:rPr>
  </w:style>
  <w:style w:type="paragraph" w:styleId="53">
    <w:name w:val="toc 2"/>
    <w:basedOn w:val="1"/>
    <w:next w:val="1"/>
    <w:autoRedefine/>
    <w:qFormat/>
    <w:uiPriority w:val="0"/>
    <w:pPr>
      <w:ind w:left="420" w:leftChars="200"/>
    </w:pPr>
  </w:style>
  <w:style w:type="paragraph" w:styleId="54">
    <w:name w:val="toc 9"/>
    <w:basedOn w:val="1"/>
    <w:next w:val="1"/>
    <w:autoRedefine/>
    <w:qFormat/>
    <w:uiPriority w:val="0"/>
    <w:pPr>
      <w:ind w:left="3360" w:leftChars="1600"/>
    </w:pPr>
  </w:style>
  <w:style w:type="paragraph" w:styleId="55">
    <w:name w:val="Body Text 2"/>
    <w:basedOn w:val="1"/>
    <w:link w:val="302"/>
    <w:autoRedefine/>
    <w:qFormat/>
    <w:uiPriority w:val="0"/>
    <w:pPr>
      <w:spacing w:after="120" w:line="480" w:lineRule="auto"/>
    </w:pPr>
  </w:style>
  <w:style w:type="paragraph" w:styleId="56">
    <w:name w:val="HTML Preformatted"/>
    <w:basedOn w:val="1"/>
    <w:link w:val="30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286"/>
    <w:autoRedefine/>
    <w:qFormat/>
    <w:uiPriority w:val="10"/>
    <w:pPr>
      <w:widowControl/>
      <w:overflowPunct w:val="0"/>
      <w:autoSpaceDE w:val="0"/>
      <w:autoSpaceDN w:val="0"/>
      <w:jc w:val="center"/>
      <w:textAlignment w:val="baseline"/>
    </w:pPr>
    <w:rPr>
      <w:b/>
      <w:kern w:val="0"/>
      <w:sz w:val="24"/>
      <w:szCs w:val="20"/>
      <w:lang w:val="en-GB"/>
    </w:rPr>
  </w:style>
  <w:style w:type="paragraph" w:styleId="59">
    <w:name w:val="annotation subject"/>
    <w:basedOn w:val="19"/>
    <w:next w:val="19"/>
    <w:link w:val="95"/>
    <w:autoRedefine/>
    <w:qFormat/>
    <w:uiPriority w:val="0"/>
    <w:rPr>
      <w:b/>
      <w:bCs/>
    </w:rPr>
  </w:style>
  <w:style w:type="paragraph" w:styleId="60">
    <w:name w:val="Body Text First Indent"/>
    <w:basedOn w:val="23"/>
    <w:link w:val="321"/>
    <w:autoRedefine/>
    <w:qFormat/>
    <w:uiPriority w:val="0"/>
    <w:pPr>
      <w:ind w:firstLine="420"/>
    </w:pPr>
    <w:rPr>
      <w:rFonts w:hAnsi="Calibri" w:cs="Times New Roman"/>
      <w:snapToGrid/>
      <w:szCs w:val="20"/>
    </w:rPr>
  </w:style>
  <w:style w:type="paragraph" w:styleId="61">
    <w:name w:val="Body Text First Indent 2"/>
    <w:basedOn w:val="24"/>
    <w:link w:val="120"/>
    <w:autoRedefine/>
    <w:qFormat/>
    <w:uiPriority w:val="0"/>
    <w:pPr>
      <w:adjustRightInd/>
      <w:spacing w:after="120" w:line="240" w:lineRule="auto"/>
      <w:ind w:left="420" w:leftChars="200" w:firstLine="210"/>
    </w:pPr>
    <w:rPr>
      <w:sz w:val="21"/>
    </w:rPr>
  </w:style>
  <w:style w:type="table" w:styleId="63">
    <w:name w:val="Table Grid"/>
    <w:basedOn w:val="6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0">
    <w:name w:val="Strong"/>
    <w:autoRedefine/>
    <w:qFormat/>
    <w:uiPriority w:val="22"/>
    <w:rPr>
      <w:b/>
      <w:bCs/>
    </w:rPr>
  </w:style>
  <w:style w:type="character" w:styleId="71">
    <w:name w:val="endnote reference"/>
    <w:autoRedefine/>
    <w:qFormat/>
    <w:uiPriority w:val="0"/>
    <w:rPr>
      <w:vertAlign w:val="superscript"/>
    </w:rPr>
  </w:style>
  <w:style w:type="character" w:styleId="72">
    <w:name w:val="page number"/>
    <w:basedOn w:val="69"/>
    <w:autoRedefine/>
    <w:qFormat/>
    <w:uiPriority w:val="0"/>
    <w:rPr>
      <w:rFonts w:ascii="Arial" w:hAnsi="Arial" w:eastAsia="黑体" w:cs="Arial"/>
      <w:snapToGrid w:val="0"/>
      <w:kern w:val="0"/>
      <w:szCs w:val="21"/>
    </w:rPr>
  </w:style>
  <w:style w:type="character" w:styleId="73">
    <w:name w:val="FollowedHyperlink"/>
    <w:autoRedefine/>
    <w:qFormat/>
    <w:uiPriority w:val="99"/>
    <w:rPr>
      <w:rFonts w:ascii="Arial" w:hAnsi="Arial" w:eastAsia="黑体" w:cs="Arial"/>
      <w:snapToGrid w:val="0"/>
      <w:color w:val="000000"/>
      <w:kern w:val="0"/>
      <w:sz w:val="18"/>
      <w:szCs w:val="18"/>
      <w:u w:val="none"/>
    </w:rPr>
  </w:style>
  <w:style w:type="character" w:styleId="74">
    <w:name w:val="Emphasis"/>
    <w:autoRedefine/>
    <w:qFormat/>
    <w:uiPriority w:val="20"/>
    <w:rPr>
      <w:color w:val="CC0033"/>
    </w:rPr>
  </w:style>
  <w:style w:type="character" w:styleId="75">
    <w:name w:val="line number"/>
    <w:basedOn w:val="69"/>
    <w:autoRedefine/>
    <w:qFormat/>
    <w:uiPriority w:val="0"/>
    <w:rPr>
      <w:rFonts w:ascii="Arial" w:hAnsi="Arial" w:eastAsia="黑体" w:cs="Arial"/>
      <w:snapToGrid w:val="0"/>
      <w:kern w:val="0"/>
      <w:szCs w:val="21"/>
    </w:rPr>
  </w:style>
  <w:style w:type="character" w:styleId="76">
    <w:name w:val="Hyperlink"/>
    <w:autoRedefine/>
    <w:qFormat/>
    <w:uiPriority w:val="99"/>
    <w:rPr>
      <w:rFonts w:ascii="Arial" w:hAnsi="Arial" w:eastAsia="黑体" w:cs="Arial"/>
      <w:snapToGrid w:val="0"/>
      <w:color w:val="000000"/>
      <w:kern w:val="0"/>
      <w:sz w:val="18"/>
      <w:szCs w:val="18"/>
      <w:u w:val="none"/>
    </w:rPr>
  </w:style>
  <w:style w:type="character" w:styleId="77">
    <w:name w:val="HTML Code"/>
    <w:autoRedefine/>
    <w:qFormat/>
    <w:uiPriority w:val="0"/>
    <w:rPr>
      <w:rFonts w:ascii="黑体" w:hAnsi="Courier New" w:eastAsia="黑体" w:cs="楷体_GB2312"/>
      <w:sz w:val="20"/>
      <w:szCs w:val="20"/>
    </w:rPr>
  </w:style>
  <w:style w:type="character" w:styleId="78">
    <w:name w:val="annotation reference"/>
    <w:autoRedefine/>
    <w:qFormat/>
    <w:uiPriority w:val="99"/>
    <w:rPr>
      <w:sz w:val="21"/>
      <w:szCs w:val="21"/>
    </w:rPr>
  </w:style>
  <w:style w:type="paragraph" w:customStyle="1" w:styleId="79">
    <w:name w:val="正文空2字"/>
    <w:basedOn w:val="80"/>
    <w:autoRedefine/>
    <w:qFormat/>
    <w:uiPriority w:val="99"/>
    <w:pPr>
      <w:widowControl w:val="0"/>
      <w:snapToGrid w:val="0"/>
      <w:spacing w:line="560" w:lineRule="exact"/>
      <w:ind w:firstLine="640" w:firstLineChars="200"/>
    </w:pPr>
    <w:rPr>
      <w:rFonts w:ascii="仿宋_GB2312" w:hAnsi="仿宋_GB2312" w:cs="仿宋_GB2312"/>
      <w:lang w:val="zh-TW"/>
    </w:rPr>
  </w:style>
  <w:style w:type="paragraph" w:customStyle="1" w:styleId="80">
    <w:name w:val="左对齐正文"/>
    <w:autoRedefine/>
    <w:qFormat/>
    <w:uiPriority w:val="99"/>
    <w:rPr>
      <w:rFonts w:ascii="Calibri" w:hAnsi="Calibri" w:eastAsia="仿宋_GB2312" w:cs="Calibri"/>
      <w:kern w:val="2"/>
      <w:sz w:val="32"/>
      <w:szCs w:val="32"/>
      <w:lang w:val="en-US" w:eastAsia="zh-CN" w:bidi="ar-SA"/>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59"/>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1"/>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69"/>
    <w:autoRedefine/>
    <w:qFormat/>
    <w:uiPriority w:val="0"/>
    <w:rPr>
      <w:rFonts w:ascii="Arial" w:hAnsi="Arial" w:eastAsia="黑体" w:cs="Arial"/>
      <w:snapToGrid w:val="0"/>
      <w:kern w:val="0"/>
      <w:szCs w:val="21"/>
    </w:rPr>
  </w:style>
  <w:style w:type="character" w:customStyle="1" w:styleId="124">
    <w:name w:val="纯文本 Char"/>
    <w:link w:val="32"/>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6"/>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3"/>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5"/>
    <w:autoRedefine/>
    <w:qFormat/>
    <w:uiPriority w:val="0"/>
    <w:rPr>
      <w:rFonts w:ascii="宋体"/>
      <w:kern w:val="2"/>
      <w:sz w:val="24"/>
      <w:szCs w:val="21"/>
      <w:lang w:val="zh-CN"/>
    </w:rPr>
  </w:style>
  <w:style w:type="character" w:customStyle="1" w:styleId="181">
    <w:name w:val="标题 9 Char"/>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38"/>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8"/>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69"/>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29"/>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6"/>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next w:val="235"/>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35">
    <w:name w:val="TOC 71"/>
    <w:next w:val="1"/>
    <w:autoRedefine/>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236">
    <w:name w:val="style91"/>
    <w:autoRedefine/>
    <w:qFormat/>
    <w:uiPriority w:val="0"/>
    <w:rPr>
      <w:color w:val="333333"/>
    </w:rPr>
  </w:style>
  <w:style w:type="character" w:customStyle="1" w:styleId="237">
    <w:name w:val="列出段落 Char2"/>
    <w:autoRedefine/>
    <w:qFormat/>
    <w:uiPriority w:val="34"/>
    <w:rPr>
      <w:rFonts w:ascii="Calibri" w:hAnsi="Calibri"/>
      <w:kern w:val="2"/>
      <w:sz w:val="28"/>
    </w:rPr>
  </w:style>
  <w:style w:type="character" w:customStyle="1" w:styleId="238">
    <w:name w:val="mdeck"/>
    <w:autoRedefine/>
    <w:qFormat/>
    <w:uiPriority w:val="0"/>
    <w:rPr>
      <w:rFonts w:ascii="仿宋_GB2312" w:eastAsia="微软雅黑"/>
      <w:b/>
      <w:kern w:val="2"/>
      <w:sz w:val="32"/>
      <w:szCs w:val="32"/>
      <w:lang w:val="en-US" w:eastAsia="zh-CN" w:bidi="ar-SA"/>
    </w:rPr>
  </w:style>
  <w:style w:type="character" w:customStyle="1" w:styleId="239">
    <w:name w:val="unnamed11"/>
    <w:autoRedefine/>
    <w:qFormat/>
    <w:uiPriority w:val="0"/>
    <w:rPr>
      <w:sz w:val="20"/>
      <w:szCs w:val="20"/>
    </w:rPr>
  </w:style>
  <w:style w:type="character" w:customStyle="1" w:styleId="240">
    <w:name w:val="正文文本 Char2"/>
    <w:autoRedefine/>
    <w:semiHidden/>
    <w:qFormat/>
    <w:uiPriority w:val="99"/>
    <w:rPr>
      <w:rFonts w:ascii="Times New Roman" w:hAnsi="Times New Roman" w:eastAsia="宋体" w:cs="Times New Roman"/>
      <w:snapToGrid w:val="0"/>
      <w:kern w:val="0"/>
      <w:szCs w:val="24"/>
    </w:rPr>
  </w:style>
  <w:style w:type="character" w:customStyle="1" w:styleId="241">
    <w:name w:val="标书正文格式 Char"/>
    <w:autoRedefine/>
    <w:qFormat/>
    <w:uiPriority w:val="0"/>
    <w:rPr>
      <w:rFonts w:eastAsia="楷体_GB2312"/>
      <w:kern w:val="2"/>
      <w:sz w:val="24"/>
      <w:szCs w:val="24"/>
      <w:lang w:bidi="ar-SA"/>
    </w:rPr>
  </w:style>
  <w:style w:type="character" w:customStyle="1" w:styleId="242">
    <w:name w:val="Char Char11"/>
    <w:autoRedefine/>
    <w:qFormat/>
    <w:locked/>
    <w:uiPriority w:val="0"/>
    <w:rPr>
      <w:rFonts w:ascii="宋体" w:hAnsi="宋体" w:eastAsia="宋体"/>
      <w:b/>
      <w:kern w:val="2"/>
      <w:sz w:val="24"/>
      <w:szCs w:val="24"/>
      <w:lang w:val="en-US" w:eastAsia="zh-CN" w:bidi="ar-SA"/>
    </w:rPr>
  </w:style>
  <w:style w:type="character" w:customStyle="1" w:styleId="243">
    <w:name w:val="ca-131"/>
    <w:autoRedefine/>
    <w:qFormat/>
    <w:uiPriority w:val="0"/>
    <w:rPr>
      <w:rFonts w:hint="eastAsia" w:ascii="仿宋_GB2312" w:eastAsia="仿宋_GB2312"/>
      <w:b/>
      <w:bCs/>
      <w:color w:val="000000"/>
      <w:spacing w:val="-20"/>
      <w:sz w:val="24"/>
      <w:szCs w:val="24"/>
    </w:rPr>
  </w:style>
  <w:style w:type="character" w:customStyle="1" w:styleId="244">
    <w:name w:val="tw4winMark"/>
    <w:autoRedefine/>
    <w:qFormat/>
    <w:uiPriority w:val="0"/>
    <w:rPr>
      <w:rFonts w:ascii="Courier New" w:hAnsi="Courier New" w:cs="Courier New"/>
      <w:vanish/>
      <w:color w:val="800080"/>
      <w:sz w:val="24"/>
      <w:szCs w:val="24"/>
      <w:vertAlign w:val="subscript"/>
    </w:rPr>
  </w:style>
  <w:style w:type="character" w:customStyle="1" w:styleId="245">
    <w:name w:val="正文样式 Char"/>
    <w:link w:val="246"/>
    <w:autoRedefine/>
    <w:qFormat/>
    <w:uiPriority w:val="0"/>
    <w:rPr>
      <w:rFonts w:ascii="Calibri" w:hAnsi="Calibri"/>
      <w:sz w:val="24"/>
      <w:szCs w:val="24"/>
    </w:rPr>
  </w:style>
  <w:style w:type="paragraph" w:customStyle="1" w:styleId="246">
    <w:name w:val="正文样式"/>
    <w:basedOn w:val="1"/>
    <w:link w:val="245"/>
    <w:autoRedefine/>
    <w:qFormat/>
    <w:uiPriority w:val="0"/>
    <w:pPr>
      <w:adjustRightInd/>
      <w:spacing w:line="360" w:lineRule="auto"/>
      <w:ind w:firstLine="480" w:firstLineChars="200"/>
    </w:pPr>
    <w:rPr>
      <w:kern w:val="0"/>
      <w:sz w:val="24"/>
    </w:rPr>
  </w:style>
  <w:style w:type="character" w:customStyle="1" w:styleId="247">
    <w:name w:val="表正文 Char3"/>
    <w:autoRedefine/>
    <w:qFormat/>
    <w:uiPriority w:val="0"/>
    <w:rPr>
      <w:rFonts w:eastAsia="宋体"/>
    </w:rPr>
  </w:style>
  <w:style w:type="character" w:customStyle="1" w:styleId="248">
    <w:name w:val="H5 Char"/>
    <w:autoRedefine/>
    <w:qFormat/>
    <w:uiPriority w:val="0"/>
    <w:rPr>
      <w:b/>
      <w:bCs/>
      <w:kern w:val="2"/>
      <w:sz w:val="28"/>
      <w:szCs w:val="28"/>
    </w:rPr>
  </w:style>
  <w:style w:type="character" w:customStyle="1" w:styleId="249">
    <w:name w:val="Char Char3"/>
    <w:autoRedefine/>
    <w:qFormat/>
    <w:uiPriority w:val="0"/>
    <w:rPr>
      <w:rFonts w:eastAsia="宋体"/>
      <w:kern w:val="2"/>
      <w:sz w:val="21"/>
      <w:szCs w:val="24"/>
      <w:lang w:val="en-US" w:eastAsia="zh-CN" w:bidi="ar-SA"/>
    </w:rPr>
  </w:style>
  <w:style w:type="character" w:customStyle="1" w:styleId="250">
    <w:name w:val="正文 编号 Char"/>
    <w:autoRedefine/>
    <w:qFormat/>
    <w:uiPriority w:val="0"/>
    <w:rPr>
      <w:rFonts w:ascii="仿宋_GB2312" w:hAnsi="仿宋_GB2312" w:eastAsia="仿宋_GB2312"/>
      <w:kern w:val="2"/>
      <w:sz w:val="24"/>
      <w:lang w:bidi="ar-SA"/>
    </w:rPr>
  </w:style>
  <w:style w:type="character" w:customStyle="1" w:styleId="251">
    <w:name w:val="question-title2"/>
    <w:autoRedefine/>
    <w:qFormat/>
    <w:uiPriority w:val="6"/>
    <w:rPr>
      <w:rFonts w:ascii="Arial" w:hAnsi="Arial" w:eastAsia="黑体" w:cs="Arial"/>
      <w:snapToGrid w:val="0"/>
      <w:kern w:val="0"/>
      <w:szCs w:val="21"/>
    </w:rPr>
  </w:style>
  <w:style w:type="character" w:customStyle="1" w:styleId="252">
    <w:name w:val="gf正文1 Char Char"/>
    <w:link w:val="253"/>
    <w:autoRedefine/>
    <w:qFormat/>
    <w:uiPriority w:val="0"/>
    <w:rPr>
      <w:rFonts w:ascii="宋体" w:hAnsi="宋体" w:cs="宋体"/>
      <w:kern w:val="2"/>
      <w:sz w:val="24"/>
      <w:szCs w:val="24"/>
    </w:rPr>
  </w:style>
  <w:style w:type="paragraph" w:customStyle="1" w:styleId="253">
    <w:name w:val="gf正文1"/>
    <w:basedOn w:val="1"/>
    <w:link w:val="252"/>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4">
    <w:name w:val="Char Char15"/>
    <w:autoRedefine/>
    <w:qFormat/>
    <w:uiPriority w:val="6"/>
    <w:rPr>
      <w:rFonts w:ascii="宋体" w:hAnsi="宋体"/>
      <w:kern w:val="1"/>
      <w:sz w:val="21"/>
    </w:rPr>
  </w:style>
  <w:style w:type="character" w:customStyle="1" w:styleId="255">
    <w:name w:val="正文缩进 Char3"/>
    <w:autoRedefine/>
    <w:qFormat/>
    <w:uiPriority w:val="0"/>
    <w:rPr>
      <w:rFonts w:ascii="宋体" w:eastAsia="宋体"/>
      <w:snapToGrid w:val="0"/>
      <w:color w:val="000000"/>
      <w:kern w:val="28"/>
      <w:sz w:val="28"/>
      <w:lang w:val="en-US" w:eastAsia="zh-CN" w:bidi="ar-SA"/>
    </w:rPr>
  </w:style>
  <w:style w:type="character" w:customStyle="1" w:styleId="256">
    <w:name w:val="列出段落 Char1"/>
    <w:link w:val="257"/>
    <w:autoRedefine/>
    <w:qFormat/>
    <w:uiPriority w:val="0"/>
    <w:rPr>
      <w:rFonts w:ascii="Calibri" w:hAnsi="Calibri"/>
      <w:sz w:val="24"/>
      <w:lang w:eastAsia="en-US"/>
    </w:rPr>
  </w:style>
  <w:style w:type="paragraph" w:customStyle="1" w:styleId="257">
    <w:name w:val="列表1"/>
    <w:basedOn w:val="1"/>
    <w:next w:val="258"/>
    <w:link w:val="256"/>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8">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9">
    <w:name w:val="Char Char8"/>
    <w:autoRedefine/>
    <w:qFormat/>
    <w:uiPriority w:val="0"/>
    <w:rPr>
      <w:rFonts w:eastAsia="宋体"/>
      <w:b/>
      <w:sz w:val="24"/>
      <w:lang w:val="en-GB" w:eastAsia="zh-CN"/>
    </w:rPr>
  </w:style>
  <w:style w:type="character" w:customStyle="1" w:styleId="260">
    <w:name w:val="Normal Indent Char Char"/>
    <w:autoRedefine/>
    <w:qFormat/>
    <w:uiPriority w:val="0"/>
    <w:rPr>
      <w:rFonts w:eastAsia="宋体"/>
      <w:kern w:val="2"/>
      <w:sz w:val="21"/>
      <w:lang w:val="en-US" w:eastAsia="zh-CN" w:bidi="ar-SA"/>
    </w:rPr>
  </w:style>
  <w:style w:type="character" w:customStyle="1" w:styleId="261">
    <w:name w:val="列表段落 字符"/>
    <w:autoRedefine/>
    <w:qFormat/>
    <w:uiPriority w:val="99"/>
  </w:style>
  <w:style w:type="character" w:customStyle="1" w:styleId="262">
    <w:name w:val="Ò³Ã¼ Char Char1"/>
    <w:autoRedefine/>
    <w:qFormat/>
    <w:uiPriority w:val="0"/>
    <w:rPr>
      <w:rFonts w:eastAsia="宋体"/>
      <w:kern w:val="2"/>
      <w:sz w:val="18"/>
      <w:szCs w:val="18"/>
      <w:lang w:val="en-US" w:eastAsia="zh-CN" w:bidi="ar-SA"/>
    </w:rPr>
  </w:style>
  <w:style w:type="character" w:customStyle="1" w:styleId="263">
    <w:name w:val="方案正文 Char"/>
    <w:autoRedefine/>
    <w:qFormat/>
    <w:uiPriority w:val="0"/>
    <w:rPr>
      <w:rFonts w:ascii="仿宋_GB2312" w:eastAsia="仿宋_GB2312"/>
      <w:b/>
      <w:color w:val="000000"/>
      <w:kern w:val="2"/>
      <w:sz w:val="24"/>
      <w:lang w:val="en-US" w:eastAsia="zh-CN" w:bidi="ar-SA"/>
    </w:rPr>
  </w:style>
  <w:style w:type="character" w:customStyle="1" w:styleId="264">
    <w:name w:val="Char Char30"/>
    <w:autoRedefine/>
    <w:qFormat/>
    <w:uiPriority w:val="6"/>
    <w:rPr>
      <w:rFonts w:ascii="Arial" w:hAnsi="Arial" w:eastAsia="黑体"/>
      <w:kern w:val="1"/>
      <w:sz w:val="21"/>
      <w:szCs w:val="21"/>
    </w:rPr>
  </w:style>
  <w:style w:type="character" w:customStyle="1" w:styleId="265">
    <w:name w:val="正文文本缩进 Char3"/>
    <w:link w:val="24"/>
    <w:autoRedefine/>
    <w:qFormat/>
    <w:uiPriority w:val="0"/>
    <w:rPr>
      <w:rFonts w:ascii="宋体" w:hAnsi="宋体"/>
      <w:kern w:val="2"/>
      <w:sz w:val="24"/>
      <w:szCs w:val="24"/>
    </w:rPr>
  </w:style>
  <w:style w:type="character" w:customStyle="1" w:styleId="266">
    <w:name w:val="font01"/>
    <w:autoRedefine/>
    <w:qFormat/>
    <w:uiPriority w:val="0"/>
    <w:rPr>
      <w:rFonts w:hint="eastAsia" w:ascii="微软雅黑" w:hAnsi="微软雅黑" w:eastAsia="微软雅黑" w:cs="微软雅黑"/>
      <w:color w:val="000000"/>
      <w:sz w:val="20"/>
      <w:szCs w:val="20"/>
      <w:u w:val="none"/>
    </w:rPr>
  </w:style>
  <w:style w:type="character" w:customStyle="1" w:styleId="267">
    <w:name w:val="Char Char20"/>
    <w:autoRedefine/>
    <w:qFormat/>
    <w:uiPriority w:val="6"/>
    <w:rPr>
      <w:kern w:val="1"/>
      <w:sz w:val="24"/>
    </w:rPr>
  </w:style>
  <w:style w:type="character" w:customStyle="1" w:styleId="268">
    <w:name w:val="tw4winExternal"/>
    <w:autoRedefine/>
    <w:qFormat/>
    <w:uiPriority w:val="0"/>
    <w:rPr>
      <w:rFonts w:ascii="Courier New" w:hAnsi="Courier New" w:cs="Courier New"/>
      <w:color w:val="808080"/>
      <w:lang w:val="en-US" w:eastAsia="zh-CN"/>
    </w:rPr>
  </w:style>
  <w:style w:type="character" w:customStyle="1" w:styleId="269">
    <w:name w:val="标题 4 Char1"/>
    <w:autoRedefine/>
    <w:qFormat/>
    <w:uiPriority w:val="9"/>
    <w:rPr>
      <w:rFonts w:ascii="Cambria" w:hAnsi="Cambria" w:eastAsia="宋体" w:cs="Times New Roman"/>
      <w:b/>
      <w:bCs/>
      <w:kern w:val="2"/>
      <w:sz w:val="28"/>
      <w:szCs w:val="28"/>
    </w:rPr>
  </w:style>
  <w:style w:type="character" w:customStyle="1" w:styleId="270">
    <w:name w:val="批注文字 Char2"/>
    <w:autoRedefine/>
    <w:qFormat/>
    <w:uiPriority w:val="99"/>
    <w:rPr>
      <w:rFonts w:ascii="Times New Roman" w:hAnsi="Times New Roman" w:eastAsia="宋体" w:cs="Times New Roman"/>
      <w:snapToGrid w:val="0"/>
      <w:kern w:val="0"/>
      <w:szCs w:val="24"/>
    </w:rPr>
  </w:style>
  <w:style w:type="character" w:customStyle="1" w:styleId="271">
    <w:name w:val="正文文本 2 Char"/>
    <w:autoRedefine/>
    <w:qFormat/>
    <w:uiPriority w:val="0"/>
    <w:rPr>
      <w:rFonts w:eastAsia="宋体"/>
      <w:kern w:val="2"/>
      <w:sz w:val="21"/>
      <w:szCs w:val="24"/>
      <w:lang w:val="en-US" w:eastAsia="zh-CN" w:bidi="ar-SA"/>
    </w:rPr>
  </w:style>
  <w:style w:type="character" w:customStyle="1" w:styleId="272">
    <w:name w:val="Ò³Ã¼ Char Char"/>
    <w:autoRedefine/>
    <w:qFormat/>
    <w:uiPriority w:val="0"/>
    <w:rPr>
      <w:rFonts w:eastAsia="宋体"/>
      <w:kern w:val="2"/>
      <w:sz w:val="18"/>
      <w:lang w:val="en-US" w:eastAsia="zh-CN" w:bidi="ar-SA"/>
    </w:rPr>
  </w:style>
  <w:style w:type="character" w:customStyle="1" w:styleId="273">
    <w:name w:val="message1"/>
    <w:autoRedefine/>
    <w:qFormat/>
    <w:uiPriority w:val="0"/>
    <w:rPr>
      <w:rFonts w:hint="default" w:ascii="Tahoma" w:hAnsi="Tahoma" w:cs="Tahoma"/>
      <w:sz w:val="18"/>
      <w:szCs w:val="18"/>
    </w:rPr>
  </w:style>
  <w:style w:type="character" w:customStyle="1" w:styleId="274">
    <w:name w:val="Char Char23"/>
    <w:autoRedefine/>
    <w:qFormat/>
    <w:uiPriority w:val="6"/>
    <w:rPr>
      <w:color w:val="0000FF"/>
      <w:sz w:val="21"/>
    </w:rPr>
  </w:style>
  <w:style w:type="character" w:customStyle="1" w:styleId="275">
    <w:name w:val="批注框文本 字符"/>
    <w:autoRedefine/>
    <w:qFormat/>
    <w:uiPriority w:val="0"/>
    <w:rPr>
      <w:rFonts w:ascii="Arial" w:hAnsi="Arial" w:eastAsia="黑体" w:cs="Arial"/>
      <w:snapToGrid w:val="0"/>
      <w:kern w:val="0"/>
      <w:sz w:val="18"/>
      <w:szCs w:val="18"/>
    </w:rPr>
  </w:style>
  <w:style w:type="character" w:customStyle="1" w:styleId="276">
    <w:name w:val="纯文本 Char2"/>
    <w:autoRedefine/>
    <w:semiHidden/>
    <w:qFormat/>
    <w:uiPriority w:val="99"/>
    <w:rPr>
      <w:rFonts w:ascii="宋体" w:hAnsi="Courier New" w:eastAsia="宋体" w:cs="Courier New"/>
    </w:rPr>
  </w:style>
  <w:style w:type="character" w:customStyle="1" w:styleId="277">
    <w:name w:val="Char Char25"/>
    <w:autoRedefine/>
    <w:qFormat/>
    <w:uiPriority w:val="6"/>
    <w:rPr>
      <w:rFonts w:ascii="宋体" w:hAnsi="宋体"/>
      <w:kern w:val="1"/>
      <w:sz w:val="24"/>
      <w:lang w:val="zh-CN"/>
    </w:rPr>
  </w:style>
  <w:style w:type="character" w:customStyle="1" w:styleId="278">
    <w:name w:val="Char Char411"/>
    <w:autoRedefine/>
    <w:qFormat/>
    <w:uiPriority w:val="0"/>
    <w:rPr>
      <w:rFonts w:eastAsia="宋体"/>
      <w:b/>
      <w:sz w:val="24"/>
      <w:lang w:val="en-GB" w:eastAsia="zh-CN" w:bidi="ar-SA"/>
    </w:rPr>
  </w:style>
  <w:style w:type="character" w:customStyle="1" w:styleId="279">
    <w:name w:val="Heading 7 Char"/>
    <w:autoRedefine/>
    <w:qFormat/>
    <w:locked/>
    <w:uiPriority w:val="0"/>
    <w:rPr>
      <w:rFonts w:ascii="宋体" w:hAnsi="宋体" w:eastAsia="宋体"/>
      <w:b/>
      <w:bCs/>
      <w:kern w:val="2"/>
      <w:sz w:val="24"/>
      <w:szCs w:val="24"/>
      <w:lang w:val="en-US" w:eastAsia="zh-CN" w:bidi="ar-SA"/>
    </w:rPr>
  </w:style>
  <w:style w:type="character" w:customStyle="1" w:styleId="280">
    <w:name w:val="此正文 Char"/>
    <w:link w:val="281"/>
    <w:autoRedefine/>
    <w:qFormat/>
    <w:uiPriority w:val="0"/>
    <w:rPr>
      <w:kern w:val="2"/>
      <w:sz w:val="24"/>
      <w:szCs w:val="24"/>
    </w:rPr>
  </w:style>
  <w:style w:type="paragraph" w:customStyle="1" w:styleId="281">
    <w:name w:val="此正文"/>
    <w:basedOn w:val="1"/>
    <w:link w:val="280"/>
    <w:autoRedefine/>
    <w:qFormat/>
    <w:uiPriority w:val="0"/>
    <w:pPr>
      <w:adjustRightInd/>
      <w:spacing w:line="360" w:lineRule="auto"/>
      <w:ind w:firstLine="200" w:firstLineChars="200"/>
    </w:pPr>
    <w:rPr>
      <w:sz w:val="24"/>
    </w:rPr>
  </w:style>
  <w:style w:type="character" w:customStyle="1" w:styleId="282">
    <w:name w:val="Char Char2"/>
    <w:autoRedefine/>
    <w:qFormat/>
    <w:uiPriority w:val="0"/>
    <w:rPr>
      <w:rFonts w:eastAsia="宋体"/>
      <w:b/>
      <w:bCs/>
      <w:kern w:val="2"/>
      <w:sz w:val="21"/>
      <w:szCs w:val="24"/>
      <w:lang w:val="en-US" w:eastAsia="zh-CN" w:bidi="ar-SA"/>
    </w:rPr>
  </w:style>
  <w:style w:type="character" w:customStyle="1" w:styleId="283">
    <w:name w:val="标题 1 Char"/>
    <w:link w:val="2"/>
    <w:autoRedefine/>
    <w:qFormat/>
    <w:uiPriority w:val="9"/>
    <w:rPr>
      <w:b/>
      <w:bCs/>
      <w:kern w:val="44"/>
      <w:sz w:val="44"/>
      <w:szCs w:val="44"/>
    </w:rPr>
  </w:style>
  <w:style w:type="character" w:customStyle="1" w:styleId="284">
    <w:name w:val="Footer-Even Char1"/>
    <w:autoRedefine/>
    <w:qFormat/>
    <w:uiPriority w:val="0"/>
    <w:rPr>
      <w:rFonts w:eastAsia="宋体"/>
      <w:kern w:val="2"/>
      <w:sz w:val="18"/>
      <w:szCs w:val="18"/>
      <w:lang w:val="en-US" w:eastAsia="zh-CN" w:bidi="ar-SA"/>
    </w:rPr>
  </w:style>
  <w:style w:type="character" w:customStyle="1" w:styleId="285">
    <w:name w:val="Char Char29"/>
    <w:autoRedefine/>
    <w:qFormat/>
    <w:uiPriority w:val="6"/>
    <w:rPr>
      <w:rFonts w:ascii="Arial" w:hAnsi="Arial" w:eastAsia="微软雅黑"/>
      <w:b/>
      <w:kern w:val="1"/>
      <w:sz w:val="44"/>
      <w:szCs w:val="32"/>
      <w:lang w:val="en-US" w:eastAsia="zh-CN" w:bidi="ar-SA"/>
    </w:rPr>
  </w:style>
  <w:style w:type="character" w:customStyle="1" w:styleId="286">
    <w:name w:val="标题 Char2"/>
    <w:link w:val="58"/>
    <w:autoRedefine/>
    <w:qFormat/>
    <w:uiPriority w:val="10"/>
    <w:rPr>
      <w:b/>
      <w:sz w:val="24"/>
      <w:lang w:val="en-GB"/>
    </w:rPr>
  </w:style>
  <w:style w:type="character" w:customStyle="1" w:styleId="287">
    <w:name w:val="font81"/>
    <w:autoRedefine/>
    <w:qFormat/>
    <w:uiPriority w:val="0"/>
    <w:rPr>
      <w:rFonts w:ascii="微软雅黑" w:hAnsi="微软雅黑" w:eastAsia="微软雅黑" w:cs="微软雅黑"/>
      <w:color w:val="000000"/>
      <w:sz w:val="20"/>
      <w:szCs w:val="20"/>
      <w:u w:val="none"/>
    </w:rPr>
  </w:style>
  <w:style w:type="character" w:customStyle="1" w:styleId="288">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9">
    <w:name w:val="t21"/>
    <w:autoRedefine/>
    <w:qFormat/>
    <w:uiPriority w:val="0"/>
    <w:rPr>
      <w:rFonts w:ascii="仿宋_GB2312" w:eastAsia="微软雅黑"/>
      <w:b/>
      <w:kern w:val="2"/>
      <w:sz w:val="23"/>
      <w:szCs w:val="23"/>
      <w:lang w:val="en-US" w:eastAsia="zh-CN" w:bidi="ar-SA"/>
    </w:rPr>
  </w:style>
  <w:style w:type="character" w:customStyle="1" w:styleId="290">
    <w:name w:val="样式8 Char"/>
    <w:autoRedefine/>
    <w:qFormat/>
    <w:uiPriority w:val="0"/>
    <w:rPr>
      <w:rFonts w:ascii="仿宋_GB2312" w:hAnsi="宋体" w:eastAsia="仿宋_GB2312"/>
      <w:b/>
      <w:bCs/>
      <w:kern w:val="2"/>
      <w:sz w:val="24"/>
      <w:szCs w:val="24"/>
    </w:rPr>
  </w:style>
  <w:style w:type="character" w:customStyle="1" w:styleId="291">
    <w:name w:val="表格 Char Char"/>
    <w:autoRedefine/>
    <w:qFormat/>
    <w:uiPriority w:val="0"/>
    <w:rPr>
      <w:rFonts w:ascii="宋体" w:hAnsi="宋体" w:eastAsia="宋体"/>
      <w:lang w:bidi="ar-SA"/>
    </w:rPr>
  </w:style>
  <w:style w:type="character" w:customStyle="1" w:styleId="292">
    <w:name w:val="正文文本 字符1"/>
    <w:autoRedefine/>
    <w:qFormat/>
    <w:uiPriority w:val="0"/>
    <w:rPr>
      <w:rFonts w:ascii="Calibri" w:hAnsi="Calibri" w:eastAsia="黑体" w:cs="Arial"/>
      <w:snapToGrid w:val="0"/>
      <w:kern w:val="2"/>
      <w:sz w:val="28"/>
      <w:szCs w:val="21"/>
    </w:rPr>
  </w:style>
  <w:style w:type="character" w:customStyle="1" w:styleId="293">
    <w:name w:val="标题 5 Char"/>
    <w:link w:val="7"/>
    <w:autoRedefine/>
    <w:qFormat/>
    <w:uiPriority w:val="9"/>
    <w:rPr>
      <w:b/>
      <w:bCs/>
      <w:kern w:val="2"/>
      <w:sz w:val="28"/>
      <w:szCs w:val="28"/>
    </w:rPr>
  </w:style>
  <w:style w:type="character" w:customStyle="1" w:styleId="294">
    <w:name w:val="标题 6 Char1"/>
    <w:autoRedefine/>
    <w:qFormat/>
    <w:uiPriority w:val="0"/>
    <w:rPr>
      <w:rFonts w:ascii="Arial" w:hAnsi="Arial" w:eastAsia="黑体" w:cs="Times New Roman"/>
      <w:b/>
      <w:sz w:val="24"/>
      <w:szCs w:val="20"/>
      <w:lang w:bidi="ar-SA"/>
    </w:rPr>
  </w:style>
  <w:style w:type="character" w:customStyle="1" w:styleId="295">
    <w:name w:val="带编号样式 Char"/>
    <w:autoRedefine/>
    <w:qFormat/>
    <w:uiPriority w:val="0"/>
    <w:rPr>
      <w:rFonts w:ascii="仿宋_GB2312" w:eastAsia="仿宋_GB2312"/>
      <w:color w:val="000000"/>
      <w:sz w:val="24"/>
      <w:lang w:bidi="ar-SA"/>
    </w:rPr>
  </w:style>
  <w:style w:type="character" w:customStyle="1" w:styleId="296">
    <w:name w:val="unnamed31"/>
    <w:autoRedefine/>
    <w:qFormat/>
    <w:uiPriority w:val="0"/>
    <w:rPr>
      <w:rFonts w:ascii="Tahoma" w:hAnsi="Tahoma" w:eastAsia="宋体"/>
      <w:b/>
      <w:kern w:val="2"/>
      <w:sz w:val="24"/>
      <w:szCs w:val="32"/>
      <w:u w:val="none"/>
      <w:lang w:val="en-US" w:eastAsia="zh-CN" w:bidi="ar-SA"/>
    </w:rPr>
  </w:style>
  <w:style w:type="character" w:customStyle="1" w:styleId="297">
    <w:name w:val="正文首行缩进 Char Char Char Char Char Char1"/>
    <w:autoRedefine/>
    <w:qFormat/>
    <w:uiPriority w:val="0"/>
    <w:rPr>
      <w:rFonts w:ascii="宋体" w:eastAsia="宋体"/>
      <w:kern w:val="2"/>
      <w:sz w:val="24"/>
      <w:szCs w:val="24"/>
      <w:lang w:val="zh-CN" w:bidi="ar-SA"/>
    </w:rPr>
  </w:style>
  <w:style w:type="character" w:customStyle="1" w:styleId="298">
    <w:name w:val="称呼 Char"/>
    <w:link w:val="20"/>
    <w:autoRedefine/>
    <w:qFormat/>
    <w:uiPriority w:val="0"/>
    <w:rPr>
      <w:rFonts w:ascii="仿宋_GB2312" w:eastAsia="仿宋_GB2312"/>
      <w:kern w:val="2"/>
      <w:sz w:val="28"/>
    </w:rPr>
  </w:style>
  <w:style w:type="character" w:customStyle="1" w:styleId="299">
    <w:name w:val="文本正文 Char Char"/>
    <w:autoRedefine/>
    <w:qFormat/>
    <w:locked/>
    <w:uiPriority w:val="0"/>
    <w:rPr>
      <w:sz w:val="24"/>
      <w:lang w:bidi="ar-SA"/>
    </w:rPr>
  </w:style>
  <w:style w:type="character" w:customStyle="1" w:styleId="300">
    <w:name w:val="正文缩进 字符"/>
    <w:autoRedefine/>
    <w:qFormat/>
    <w:uiPriority w:val="0"/>
    <w:rPr>
      <w:rFonts w:ascii="宋体" w:eastAsia="宋体"/>
      <w:snapToGrid w:val="0"/>
      <w:color w:val="000000"/>
      <w:kern w:val="28"/>
      <w:sz w:val="28"/>
      <w:lang w:val="en-US" w:eastAsia="zh-CN" w:bidi="ar-SA"/>
    </w:rPr>
  </w:style>
  <w:style w:type="character" w:customStyle="1" w:styleId="301">
    <w:name w:val="HTML 预设格式 Char"/>
    <w:link w:val="56"/>
    <w:autoRedefine/>
    <w:qFormat/>
    <w:uiPriority w:val="0"/>
    <w:rPr>
      <w:rFonts w:ascii="黑体" w:hAnsi="Courier New" w:eastAsia="黑体"/>
    </w:rPr>
  </w:style>
  <w:style w:type="character" w:customStyle="1" w:styleId="302">
    <w:name w:val="正文文本 2 Char1"/>
    <w:link w:val="55"/>
    <w:autoRedefine/>
    <w:qFormat/>
    <w:uiPriority w:val="0"/>
    <w:rPr>
      <w:kern w:val="2"/>
      <w:sz w:val="21"/>
      <w:szCs w:val="24"/>
    </w:rPr>
  </w:style>
  <w:style w:type="character" w:customStyle="1" w:styleId="303">
    <w:name w:val="样式 样式 标题 4h4H4Fab-4T5Ref Heading 1rh1Heading sqlsect 1.2.3.... +... Char"/>
    <w:link w:val="304"/>
    <w:autoRedefine/>
    <w:qFormat/>
    <w:uiPriority w:val="0"/>
    <w:rPr>
      <w:rFonts w:ascii="微软雅黑" w:hAnsi="微软雅黑" w:eastAsia="微软雅黑"/>
      <w:b/>
      <w:bCs/>
      <w:kern w:val="2"/>
      <w:sz w:val="24"/>
      <w:szCs w:val="28"/>
    </w:rPr>
  </w:style>
  <w:style w:type="paragraph" w:customStyle="1" w:styleId="304">
    <w:name w:val="样式 样式 标题 4h4H4Fab-4T5Ref Heading 1rh1Heading sqlsect 1.2.3.... +..."/>
    <w:basedOn w:val="305"/>
    <w:link w:val="303"/>
    <w:autoRedefine/>
    <w:qFormat/>
    <w:uiPriority w:val="0"/>
    <w:pPr>
      <w:tabs>
        <w:tab w:val="left" w:pos="2356"/>
      </w:tabs>
    </w:pPr>
  </w:style>
  <w:style w:type="paragraph" w:customStyle="1" w:styleId="305">
    <w:name w:val="样式 标题 4h4H4Fab-4T5Ref Heading 1rh1Heading sqlsect 1.2.3...."/>
    <w:basedOn w:val="6"/>
    <w:link w:val="413"/>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6">
    <w:name w:val="正文非缩进 Char"/>
    <w:autoRedefine/>
    <w:qFormat/>
    <w:uiPriority w:val="0"/>
    <w:rPr>
      <w:rFonts w:ascii="宋体" w:eastAsia="宋体"/>
      <w:snapToGrid w:val="0"/>
      <w:color w:val="000000"/>
      <w:kern w:val="28"/>
      <w:sz w:val="28"/>
      <w:lang w:val="en-US" w:eastAsia="zh-CN" w:bidi="ar-SA"/>
    </w:rPr>
  </w:style>
  <w:style w:type="character" w:customStyle="1" w:styleId="307">
    <w:name w:val="标题 7 Char"/>
    <w:link w:val="9"/>
    <w:autoRedefine/>
    <w:qFormat/>
    <w:uiPriority w:val="0"/>
    <w:rPr>
      <w:b/>
      <w:bCs/>
      <w:kern w:val="2"/>
      <w:sz w:val="24"/>
      <w:szCs w:val="24"/>
    </w:rPr>
  </w:style>
  <w:style w:type="character" w:customStyle="1" w:styleId="308">
    <w:name w:val="正文文本缩进 2 Char"/>
    <w:link w:val="36"/>
    <w:autoRedefine/>
    <w:qFormat/>
    <w:uiPriority w:val="0"/>
    <w:rPr>
      <w:rFonts w:ascii="宋体"/>
      <w:sz w:val="28"/>
    </w:rPr>
  </w:style>
  <w:style w:type="character" w:customStyle="1" w:styleId="309">
    <w:name w:val="Char Char5"/>
    <w:autoRedefine/>
    <w:qFormat/>
    <w:uiPriority w:val="0"/>
    <w:rPr>
      <w:rFonts w:ascii="宋体" w:hAnsi="Courier New" w:eastAsia="宋体"/>
      <w:kern w:val="2"/>
      <w:sz w:val="21"/>
      <w:lang w:val="en-US" w:eastAsia="zh-CN"/>
    </w:rPr>
  </w:style>
  <w:style w:type="character" w:customStyle="1" w:styleId="310">
    <w:name w:val="脚注文本 Char"/>
    <w:link w:val="49"/>
    <w:autoRedefine/>
    <w:qFormat/>
    <w:uiPriority w:val="0"/>
    <w:rPr>
      <w:color w:val="0000FF"/>
      <w:sz w:val="21"/>
    </w:rPr>
  </w:style>
  <w:style w:type="character" w:customStyle="1" w:styleId="311">
    <w:name w:val="称呼 Char1"/>
    <w:autoRedefine/>
    <w:qFormat/>
    <w:uiPriority w:val="0"/>
    <w:rPr>
      <w:rFonts w:ascii="Times New Roman" w:hAnsi="Times New Roman" w:eastAsia="宋体" w:cs="Times New Roman"/>
      <w:szCs w:val="24"/>
    </w:rPr>
  </w:style>
  <w:style w:type="character" w:customStyle="1" w:styleId="312">
    <w:name w:val="正文1 Char"/>
    <w:autoRedefine/>
    <w:qFormat/>
    <w:uiPriority w:val="0"/>
    <w:rPr>
      <w:rFonts w:ascii="宋体" w:eastAsia="宋体"/>
      <w:snapToGrid w:val="0"/>
      <w:color w:val="000000"/>
      <w:kern w:val="28"/>
      <w:sz w:val="28"/>
      <w:lang w:val="en-US" w:eastAsia="zh-CN" w:bidi="ar-SA"/>
    </w:rPr>
  </w:style>
  <w:style w:type="character" w:customStyle="1" w:styleId="313">
    <w:name w:val="正文缩进 Char1"/>
    <w:autoRedefine/>
    <w:qFormat/>
    <w:uiPriority w:val="0"/>
    <w:rPr>
      <w:rFonts w:ascii="宋体" w:eastAsia="宋体"/>
      <w:snapToGrid w:val="0"/>
      <w:color w:val="000000"/>
      <w:kern w:val="28"/>
      <w:sz w:val="28"/>
      <w:lang w:val="en-US" w:eastAsia="zh-CN" w:bidi="ar-SA"/>
    </w:rPr>
  </w:style>
  <w:style w:type="character" w:customStyle="1" w:styleId="314">
    <w:name w:val="font21"/>
    <w:autoRedefine/>
    <w:qFormat/>
    <w:uiPriority w:val="0"/>
    <w:rPr>
      <w:rFonts w:hint="eastAsia" w:ascii="宋体" w:hAnsi="宋体" w:eastAsia="宋体"/>
      <w:kern w:val="2"/>
      <w:sz w:val="28"/>
      <w:szCs w:val="28"/>
      <w:lang w:val="en-US" w:eastAsia="zh-CN" w:bidi="ar-SA"/>
    </w:rPr>
  </w:style>
  <w:style w:type="character" w:customStyle="1" w:styleId="315">
    <w:name w:val="Char Char26"/>
    <w:autoRedefine/>
    <w:qFormat/>
    <w:uiPriority w:val="6"/>
    <w:rPr>
      <w:kern w:val="1"/>
      <w:sz w:val="21"/>
      <w:szCs w:val="24"/>
    </w:rPr>
  </w:style>
  <w:style w:type="character" w:customStyle="1" w:styleId="316">
    <w:name w:val="Item List Char"/>
    <w:link w:val="317"/>
    <w:autoRedefine/>
    <w:qFormat/>
    <w:uiPriority w:val="0"/>
    <w:rPr>
      <w:rFonts w:ascii="Arial"/>
      <w:bCs/>
      <w:sz w:val="21"/>
      <w:szCs w:val="21"/>
      <w:lang w:val="en-US" w:eastAsia="zh-CN" w:bidi="ar-SA"/>
    </w:rPr>
  </w:style>
  <w:style w:type="paragraph" w:customStyle="1" w:styleId="317">
    <w:name w:val="Item List"/>
    <w:link w:val="316"/>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8">
    <w:name w:val="批注框文本 Char1"/>
    <w:autoRedefine/>
    <w:qFormat/>
    <w:uiPriority w:val="0"/>
    <w:rPr>
      <w:rFonts w:ascii="Times New Roman" w:hAnsi="Times New Roman" w:eastAsia="宋体" w:cs="Times New Roman"/>
      <w:sz w:val="18"/>
      <w:szCs w:val="18"/>
    </w:rPr>
  </w:style>
  <w:style w:type="character" w:customStyle="1" w:styleId="319">
    <w:name w:val="纯文本 Char1"/>
    <w:link w:val="320"/>
    <w:autoRedefine/>
    <w:qFormat/>
    <w:uiPriority w:val="0"/>
    <w:rPr>
      <w:rFonts w:ascii="宋体" w:hAnsi="Courier New"/>
    </w:rPr>
  </w:style>
  <w:style w:type="paragraph" w:customStyle="1" w:styleId="320">
    <w:name w:val="纯文本1"/>
    <w:basedOn w:val="1"/>
    <w:link w:val="319"/>
    <w:autoRedefine/>
    <w:qFormat/>
    <w:uiPriority w:val="0"/>
    <w:pPr>
      <w:adjustRightInd/>
    </w:pPr>
    <w:rPr>
      <w:rFonts w:ascii="宋体" w:hAnsi="Courier New"/>
      <w:kern w:val="0"/>
      <w:sz w:val="20"/>
      <w:szCs w:val="20"/>
    </w:rPr>
  </w:style>
  <w:style w:type="character" w:customStyle="1" w:styleId="321">
    <w:name w:val="正文首行缩进 Char"/>
    <w:link w:val="60"/>
    <w:autoRedefine/>
    <w:qFormat/>
    <w:uiPriority w:val="0"/>
    <w:rPr>
      <w:rFonts w:ascii="宋体"/>
      <w:kern w:val="2"/>
      <w:sz w:val="24"/>
      <w:lang w:val="zh-CN"/>
    </w:rPr>
  </w:style>
  <w:style w:type="character" w:customStyle="1" w:styleId="322">
    <w:name w:val="h3 Char"/>
    <w:autoRedefine/>
    <w:qFormat/>
    <w:uiPriority w:val="0"/>
    <w:rPr>
      <w:rFonts w:eastAsia="宋体"/>
      <w:b/>
      <w:kern w:val="2"/>
      <w:sz w:val="32"/>
      <w:lang w:val="en-US" w:eastAsia="zh-CN" w:bidi="ar-SA"/>
    </w:rPr>
  </w:style>
  <w:style w:type="character" w:customStyle="1" w:styleId="323">
    <w:name w:val="dandyren_title1"/>
    <w:autoRedefine/>
    <w:qFormat/>
    <w:uiPriority w:val="0"/>
    <w:rPr>
      <w:b/>
      <w:bCs/>
      <w:color w:val="FF6633"/>
      <w:sz w:val="18"/>
      <w:szCs w:val="18"/>
    </w:rPr>
  </w:style>
  <w:style w:type="character" w:customStyle="1" w:styleId="324">
    <w:name w:val="Char Char31"/>
    <w:autoRedefine/>
    <w:qFormat/>
    <w:uiPriority w:val="6"/>
    <w:rPr>
      <w:rFonts w:ascii="Arial" w:hAnsi="Arial" w:eastAsia="黑体"/>
      <w:kern w:val="1"/>
      <w:sz w:val="24"/>
      <w:szCs w:val="24"/>
    </w:rPr>
  </w:style>
  <w:style w:type="character" w:customStyle="1" w:styleId="325">
    <w:name w:val="h Char1"/>
    <w:autoRedefine/>
    <w:qFormat/>
    <w:uiPriority w:val="0"/>
    <w:rPr>
      <w:sz w:val="18"/>
      <w:szCs w:val="18"/>
    </w:rPr>
  </w:style>
  <w:style w:type="character" w:customStyle="1" w:styleId="326">
    <w:name w:val="solutionfonts"/>
    <w:autoRedefine/>
    <w:qFormat/>
    <w:uiPriority w:val="0"/>
  </w:style>
  <w:style w:type="character" w:customStyle="1" w:styleId="327">
    <w:name w:val="标题 4 Char2"/>
    <w:link w:val="6"/>
    <w:autoRedefine/>
    <w:qFormat/>
    <w:uiPriority w:val="9"/>
    <w:rPr>
      <w:rFonts w:ascii="Arial" w:hAnsi="Arial" w:eastAsia="黑体"/>
      <w:b/>
      <w:bCs/>
      <w:kern w:val="2"/>
      <w:sz w:val="28"/>
      <w:szCs w:val="28"/>
      <w:lang w:val="zh-CN"/>
    </w:rPr>
  </w:style>
  <w:style w:type="character" w:customStyle="1" w:styleId="328">
    <w:name w:val="首行缩进 Char"/>
    <w:autoRedefine/>
    <w:qFormat/>
    <w:uiPriority w:val="0"/>
    <w:rPr>
      <w:rFonts w:ascii="宋体" w:eastAsia="宋体"/>
      <w:kern w:val="2"/>
      <w:sz w:val="24"/>
      <w:lang w:val="en-US" w:eastAsia="zh-CN" w:bidi="ar-SA"/>
    </w:rPr>
  </w:style>
  <w:style w:type="character" w:customStyle="1" w:styleId="329">
    <w:name w:val="Char Char52"/>
    <w:autoRedefine/>
    <w:qFormat/>
    <w:uiPriority w:val="0"/>
    <w:rPr>
      <w:rFonts w:ascii="宋体" w:hAnsi="Courier New" w:eastAsia="宋体"/>
      <w:kern w:val="2"/>
      <w:sz w:val="21"/>
      <w:lang w:val="en-US" w:eastAsia="zh-CN"/>
    </w:rPr>
  </w:style>
  <w:style w:type="character" w:customStyle="1" w:styleId="330">
    <w:name w:val="正文文本 3 Char"/>
    <w:link w:val="21"/>
    <w:autoRedefine/>
    <w:qFormat/>
    <w:uiPriority w:val="0"/>
    <w:rPr>
      <w:kern w:val="2"/>
      <w:sz w:val="21"/>
    </w:rPr>
  </w:style>
  <w:style w:type="character" w:customStyle="1" w:styleId="331">
    <w:name w:val="font31"/>
    <w:autoRedefine/>
    <w:qFormat/>
    <w:uiPriority w:val="0"/>
    <w:rPr>
      <w:rFonts w:hint="eastAsia" w:ascii="仿宋" w:hAnsi="仿宋" w:eastAsia="仿宋" w:cs="仿宋"/>
      <w:color w:val="000000"/>
      <w:sz w:val="20"/>
      <w:szCs w:val="20"/>
      <w:u w:val="none"/>
    </w:rPr>
  </w:style>
  <w:style w:type="character" w:customStyle="1" w:styleId="332">
    <w:name w:val="正文说明 Char"/>
    <w:link w:val="333"/>
    <w:autoRedefine/>
    <w:qFormat/>
    <w:uiPriority w:val="0"/>
    <w:rPr>
      <w:sz w:val="24"/>
      <w:szCs w:val="24"/>
    </w:rPr>
  </w:style>
  <w:style w:type="paragraph" w:customStyle="1" w:styleId="333">
    <w:name w:val="正文说明"/>
    <w:basedOn w:val="1"/>
    <w:link w:val="332"/>
    <w:autoRedefine/>
    <w:qFormat/>
    <w:uiPriority w:val="0"/>
    <w:pPr>
      <w:adjustRightInd/>
      <w:spacing w:line="360" w:lineRule="auto"/>
    </w:pPr>
    <w:rPr>
      <w:kern w:val="0"/>
      <w:sz w:val="24"/>
    </w:rPr>
  </w:style>
  <w:style w:type="character" w:customStyle="1" w:styleId="334">
    <w:name w:val="脚注文本 Char1"/>
    <w:autoRedefine/>
    <w:qFormat/>
    <w:uiPriority w:val="0"/>
    <w:rPr>
      <w:rFonts w:ascii="Times New Roman" w:hAnsi="Times New Roman" w:eastAsia="宋体" w:cs="Times New Roman"/>
      <w:sz w:val="18"/>
      <w:szCs w:val="18"/>
    </w:rPr>
  </w:style>
  <w:style w:type="character" w:customStyle="1" w:styleId="335">
    <w:name w:val="Char Char1211"/>
    <w:autoRedefine/>
    <w:qFormat/>
    <w:uiPriority w:val="0"/>
    <w:rPr>
      <w:rFonts w:ascii="仿宋_GB2312" w:eastAsia="仿宋_GB2312"/>
      <w:b/>
      <w:bCs/>
      <w:kern w:val="2"/>
      <w:sz w:val="24"/>
      <w:szCs w:val="24"/>
      <w:lang w:val="zh-CN" w:eastAsia="zh-CN" w:bidi="ar-SA"/>
    </w:rPr>
  </w:style>
  <w:style w:type="character" w:customStyle="1" w:styleId="336">
    <w:name w:val="标题 Char"/>
    <w:autoRedefine/>
    <w:qFormat/>
    <w:uiPriority w:val="0"/>
    <w:rPr>
      <w:rFonts w:eastAsia="宋体"/>
      <w:b/>
      <w:sz w:val="24"/>
      <w:lang w:val="en-GB" w:eastAsia="zh-CN" w:bidi="ar-SA"/>
    </w:rPr>
  </w:style>
  <w:style w:type="character" w:customStyle="1" w:styleId="337">
    <w:name w:val="Char Char35"/>
    <w:autoRedefine/>
    <w:qFormat/>
    <w:uiPriority w:val="6"/>
    <w:rPr>
      <w:rFonts w:ascii="Arial" w:hAnsi="Arial" w:eastAsia="黑体"/>
      <w:b/>
      <w:kern w:val="1"/>
      <w:sz w:val="28"/>
      <w:szCs w:val="28"/>
      <w:lang w:val="zh-CN"/>
    </w:rPr>
  </w:style>
  <w:style w:type="character" w:customStyle="1" w:styleId="338">
    <w:name w:val="纯文本 Char Char Char"/>
    <w:autoRedefine/>
    <w:qFormat/>
    <w:uiPriority w:val="0"/>
    <w:rPr>
      <w:rFonts w:ascii="宋体" w:hAnsi="Courier New" w:eastAsia="宋体"/>
      <w:kern w:val="2"/>
      <w:sz w:val="21"/>
      <w:lang w:val="en-US" w:eastAsia="zh-CN" w:bidi="ar-SA"/>
    </w:rPr>
  </w:style>
  <w:style w:type="character" w:customStyle="1" w:styleId="339">
    <w:name w:val="Table Text Char"/>
    <w:link w:val="340"/>
    <w:autoRedefine/>
    <w:qFormat/>
    <w:uiPriority w:val="0"/>
    <w:rPr>
      <w:sz w:val="24"/>
      <w:szCs w:val="24"/>
    </w:rPr>
  </w:style>
  <w:style w:type="paragraph" w:customStyle="1" w:styleId="340">
    <w:name w:val="Table Text"/>
    <w:basedOn w:val="1"/>
    <w:link w:val="339"/>
    <w:autoRedefine/>
    <w:qFormat/>
    <w:uiPriority w:val="0"/>
    <w:pPr>
      <w:widowControl/>
      <w:spacing w:before="60" w:after="60"/>
      <w:jc w:val="left"/>
    </w:pPr>
    <w:rPr>
      <w:kern w:val="0"/>
      <w:sz w:val="24"/>
    </w:rPr>
  </w:style>
  <w:style w:type="character" w:customStyle="1" w:styleId="341">
    <w:name w:val="正文1 Char1"/>
    <w:autoRedefine/>
    <w:qFormat/>
    <w:uiPriority w:val="0"/>
    <w:rPr>
      <w:rFonts w:ascii="仿宋_GB2312" w:hAnsi="Courier New" w:eastAsia="仿宋_GB2312"/>
      <w:kern w:val="28"/>
      <w:sz w:val="24"/>
      <w:szCs w:val="24"/>
      <w:lang w:val="en-US" w:eastAsia="zh-CN"/>
    </w:rPr>
  </w:style>
  <w:style w:type="character" w:customStyle="1" w:styleId="342">
    <w:name w:val="页脚 Char1"/>
    <w:autoRedefine/>
    <w:qFormat/>
    <w:uiPriority w:val="0"/>
    <w:rPr>
      <w:rFonts w:eastAsia="宋体"/>
      <w:kern w:val="2"/>
      <w:sz w:val="18"/>
      <w:szCs w:val="18"/>
      <w:lang w:val="en-US" w:eastAsia="zh-CN" w:bidi="ar-SA"/>
    </w:rPr>
  </w:style>
  <w:style w:type="character" w:customStyle="1" w:styleId="343">
    <w:name w:val="Bold"/>
    <w:autoRedefine/>
    <w:qFormat/>
    <w:uiPriority w:val="0"/>
    <w:rPr>
      <w:rFonts w:ascii="Arial" w:hAnsi="Arial" w:eastAsia="黑体" w:cs="Times New Roman"/>
      <w:b/>
      <w:kern w:val="2"/>
      <w:sz w:val="32"/>
      <w:szCs w:val="32"/>
      <w:lang w:val="en-US" w:eastAsia="zh-CN" w:bidi="ar-SA"/>
    </w:rPr>
  </w:style>
  <w:style w:type="character" w:customStyle="1" w:styleId="344">
    <w:name w:val="批注文字 Char1"/>
    <w:link w:val="19"/>
    <w:autoRedefine/>
    <w:qFormat/>
    <w:uiPriority w:val="99"/>
    <w:rPr>
      <w:kern w:val="2"/>
      <w:sz w:val="21"/>
      <w:szCs w:val="24"/>
    </w:rPr>
  </w:style>
  <w:style w:type="character" w:customStyle="1" w:styleId="345">
    <w:name w:val="签名 Char"/>
    <w:link w:val="41"/>
    <w:autoRedefine/>
    <w:qFormat/>
    <w:uiPriority w:val="0"/>
    <w:rPr>
      <w:rFonts w:eastAsia="仿宋_GB2312"/>
      <w:sz w:val="24"/>
    </w:rPr>
  </w:style>
  <w:style w:type="character" w:customStyle="1" w:styleId="346">
    <w:name w:val="hui3"/>
    <w:autoRedefine/>
    <w:qFormat/>
    <w:uiPriority w:val="0"/>
    <w:rPr>
      <w:color w:val="333333"/>
    </w:rPr>
  </w:style>
  <w:style w:type="character" w:customStyle="1" w:styleId="347">
    <w:name w:val="Char Char17"/>
    <w:autoRedefine/>
    <w:qFormat/>
    <w:uiPriority w:val="6"/>
    <w:rPr>
      <w:rFonts w:eastAsia="仿宋_GB2312"/>
      <w:sz w:val="24"/>
    </w:rPr>
  </w:style>
  <w:style w:type="character" w:customStyle="1" w:styleId="348">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9">
    <w:name w:val="Char Char37"/>
    <w:autoRedefine/>
    <w:qFormat/>
    <w:uiPriority w:val="6"/>
    <w:rPr>
      <w:b/>
      <w:kern w:val="1"/>
      <w:sz w:val="44"/>
      <w:szCs w:val="44"/>
    </w:rPr>
  </w:style>
  <w:style w:type="character" w:customStyle="1" w:styleId="350">
    <w:name w:val="列出段落 Char"/>
    <w:autoRedefine/>
    <w:qFormat/>
    <w:uiPriority w:val="0"/>
    <w:rPr>
      <w:rFonts w:eastAsia="楷体_GB2312" w:cs="Lucida Sans"/>
      <w:kern w:val="2"/>
      <w:sz w:val="24"/>
      <w:szCs w:val="24"/>
      <w:lang w:val="en-US" w:eastAsia="zh-CN" w:bidi="ar-SA"/>
    </w:rPr>
  </w:style>
  <w:style w:type="character" w:customStyle="1" w:styleId="351">
    <w:name w:val="正文文本缩进 3 Char1"/>
    <w:autoRedefine/>
    <w:semiHidden/>
    <w:qFormat/>
    <w:uiPriority w:val="99"/>
    <w:rPr>
      <w:rFonts w:ascii="Times New Roman" w:hAnsi="Times New Roman" w:eastAsia="宋体" w:cs="Times New Roman"/>
      <w:sz w:val="16"/>
      <w:szCs w:val="16"/>
    </w:rPr>
  </w:style>
  <w:style w:type="character" w:customStyle="1" w:styleId="352">
    <w:name w:val="公文正文 Char Char"/>
    <w:link w:val="353"/>
    <w:autoRedefine/>
    <w:qFormat/>
    <w:uiPriority w:val="0"/>
    <w:rPr>
      <w:rFonts w:ascii="仿宋_GB2312" w:eastAsia="仿宋_GB2312"/>
      <w:kern w:val="2"/>
      <w:sz w:val="24"/>
      <w:szCs w:val="24"/>
    </w:rPr>
  </w:style>
  <w:style w:type="paragraph" w:customStyle="1" w:styleId="353">
    <w:name w:val="公文正文"/>
    <w:basedOn w:val="1"/>
    <w:link w:val="352"/>
    <w:autoRedefine/>
    <w:qFormat/>
    <w:uiPriority w:val="0"/>
    <w:pPr>
      <w:adjustRightInd/>
      <w:spacing w:before="156" w:line="360" w:lineRule="auto"/>
      <w:ind w:firstLine="360" w:firstLineChars="200"/>
    </w:pPr>
    <w:rPr>
      <w:rFonts w:ascii="仿宋_GB2312" w:eastAsia="仿宋_GB2312"/>
      <w:sz w:val="24"/>
    </w:rPr>
  </w:style>
  <w:style w:type="character" w:customStyle="1" w:styleId="354">
    <w:name w:val="Table Text Char1"/>
    <w:autoRedefine/>
    <w:qFormat/>
    <w:uiPriority w:val="0"/>
    <w:rPr>
      <w:rFonts w:eastAsia="宋体"/>
      <w:sz w:val="24"/>
      <w:szCs w:val="24"/>
      <w:lang w:val="en-US" w:eastAsia="zh-CN" w:bidi="ar-SA"/>
    </w:rPr>
  </w:style>
  <w:style w:type="character" w:customStyle="1" w:styleId="355">
    <w:name w:val="标题 1 Char Char"/>
    <w:autoRedefine/>
    <w:qFormat/>
    <w:uiPriority w:val="0"/>
    <w:rPr>
      <w:rFonts w:hint="eastAsia" w:ascii="宋体" w:hAnsi="宋体" w:eastAsia="宋体"/>
      <w:b/>
      <w:spacing w:val="-2"/>
      <w:sz w:val="24"/>
      <w:lang w:val="en-US" w:eastAsia="zh-CN" w:bidi="ar-SA"/>
    </w:rPr>
  </w:style>
  <w:style w:type="character" w:customStyle="1" w:styleId="356">
    <w:name w:val="正文（缩进2汉字） Char"/>
    <w:link w:val="357"/>
    <w:autoRedefine/>
    <w:qFormat/>
    <w:uiPriority w:val="0"/>
    <w:rPr>
      <w:rFonts w:ascii="宋体"/>
    </w:rPr>
  </w:style>
  <w:style w:type="paragraph" w:customStyle="1" w:styleId="357">
    <w:name w:val="正文（缩进2汉字）"/>
    <w:basedOn w:val="1"/>
    <w:link w:val="356"/>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8">
    <w:name w:val="标题 8 Char"/>
    <w:link w:val="10"/>
    <w:autoRedefine/>
    <w:qFormat/>
    <w:uiPriority w:val="0"/>
    <w:rPr>
      <w:rFonts w:ascii="Arial" w:hAnsi="Arial" w:eastAsia="黑体"/>
      <w:kern w:val="2"/>
      <w:sz w:val="24"/>
      <w:szCs w:val="24"/>
    </w:rPr>
  </w:style>
  <w:style w:type="character" w:customStyle="1" w:styleId="359">
    <w:name w:val="标书表格字体格式 Char"/>
    <w:autoRedefine/>
    <w:qFormat/>
    <w:uiPriority w:val="0"/>
    <w:rPr>
      <w:kern w:val="2"/>
      <w:sz w:val="21"/>
      <w:szCs w:val="24"/>
      <w:lang w:bidi="ar-SA"/>
    </w:rPr>
  </w:style>
  <w:style w:type="character" w:customStyle="1" w:styleId="360">
    <w:name w:val="tw4winError"/>
    <w:autoRedefine/>
    <w:qFormat/>
    <w:uiPriority w:val="0"/>
    <w:rPr>
      <w:rFonts w:ascii="Courier New" w:hAnsi="Courier New" w:cs="Courier New"/>
      <w:color w:val="00FF00"/>
      <w:sz w:val="40"/>
      <w:szCs w:val="40"/>
    </w:rPr>
  </w:style>
  <w:style w:type="character" w:customStyle="1" w:styleId="361">
    <w:name w:val="Body Text(ch) Char Char"/>
    <w:autoRedefine/>
    <w:qFormat/>
    <w:uiPriority w:val="0"/>
    <w:rPr>
      <w:rFonts w:ascii="宋体"/>
      <w:kern w:val="2"/>
      <w:sz w:val="24"/>
      <w:szCs w:val="21"/>
      <w:lang w:val="zh-CN"/>
    </w:rPr>
  </w:style>
  <w:style w:type="character" w:customStyle="1" w:styleId="362">
    <w:name w:val="正文首行缩进两字 Char"/>
    <w:autoRedefine/>
    <w:qFormat/>
    <w:uiPriority w:val="0"/>
    <w:rPr>
      <w:sz w:val="24"/>
      <w:szCs w:val="24"/>
      <w:lang w:val="en-US" w:eastAsia="zh-CN" w:bidi="ar-SA"/>
    </w:rPr>
  </w:style>
  <w:style w:type="character" w:customStyle="1" w:styleId="363">
    <w:name w:val="正文文本 Char"/>
    <w:autoRedefine/>
    <w:qFormat/>
    <w:uiPriority w:val="0"/>
    <w:rPr>
      <w:rFonts w:eastAsia="宋体"/>
      <w:kern w:val="2"/>
      <w:sz w:val="24"/>
      <w:szCs w:val="24"/>
      <w:lang w:val="en-US" w:eastAsia="zh-CN" w:bidi="ar-SA"/>
    </w:rPr>
  </w:style>
  <w:style w:type="character" w:customStyle="1" w:styleId="364">
    <w:name w:val="文档结构图 字符1"/>
    <w:autoRedefine/>
    <w:qFormat/>
    <w:uiPriority w:val="0"/>
    <w:rPr>
      <w:rFonts w:ascii="宋体" w:hAnsi="Calibri" w:eastAsia="黑体" w:cs="Arial"/>
      <w:snapToGrid w:val="0"/>
      <w:kern w:val="2"/>
      <w:sz w:val="18"/>
      <w:szCs w:val="18"/>
    </w:rPr>
  </w:style>
  <w:style w:type="character" w:customStyle="1" w:styleId="365">
    <w:name w:val="content"/>
    <w:autoRedefine/>
    <w:qFormat/>
    <w:uiPriority w:val="0"/>
  </w:style>
  <w:style w:type="character" w:customStyle="1" w:styleId="366">
    <w:name w:val="tw4winPopup"/>
    <w:autoRedefine/>
    <w:qFormat/>
    <w:uiPriority w:val="0"/>
    <w:rPr>
      <w:rFonts w:ascii="Courier New" w:hAnsi="Courier New" w:cs="Courier New"/>
      <w:color w:val="008000"/>
      <w:lang w:val="en-US" w:eastAsia="zh-CN"/>
    </w:rPr>
  </w:style>
  <w:style w:type="character" w:customStyle="1" w:styleId="367">
    <w:name w:val="param-name"/>
    <w:autoRedefine/>
    <w:qFormat/>
    <w:uiPriority w:val="99"/>
    <w:rPr>
      <w:rFonts w:ascii="Arial" w:hAnsi="Arial" w:eastAsia="黑体" w:cs="Arial"/>
      <w:snapToGrid w:val="0"/>
      <w:kern w:val="0"/>
      <w:szCs w:val="21"/>
    </w:rPr>
  </w:style>
  <w:style w:type="character" w:customStyle="1" w:styleId="368">
    <w:name w:val="标准正文格式 Char"/>
    <w:autoRedefine/>
    <w:qFormat/>
    <w:uiPriority w:val="0"/>
    <w:rPr>
      <w:rFonts w:ascii="宋体" w:eastAsia="仿宋_GB2312" w:cs="宋体"/>
      <w:color w:val="000000"/>
      <w:sz w:val="24"/>
      <w:lang w:val="en-US" w:eastAsia="zh-CN" w:bidi="ar-SA"/>
    </w:rPr>
  </w:style>
  <w:style w:type="character" w:customStyle="1" w:styleId="369">
    <w:name w:val="Char Char212"/>
    <w:autoRedefine/>
    <w:qFormat/>
    <w:uiPriority w:val="0"/>
    <w:rPr>
      <w:rFonts w:eastAsia="宋体"/>
      <w:b/>
      <w:bCs/>
      <w:kern w:val="2"/>
      <w:sz w:val="21"/>
      <w:szCs w:val="24"/>
      <w:lang w:val="en-US" w:eastAsia="zh-CN" w:bidi="ar-SA"/>
    </w:rPr>
  </w:style>
  <w:style w:type="character" w:customStyle="1" w:styleId="370">
    <w:name w:val="文档结构图 Char"/>
    <w:autoRedefine/>
    <w:qFormat/>
    <w:uiPriority w:val="0"/>
    <w:rPr>
      <w:rFonts w:eastAsia="宋体"/>
      <w:kern w:val="2"/>
      <w:sz w:val="21"/>
      <w:szCs w:val="24"/>
      <w:lang w:val="en-US" w:eastAsia="zh-CN" w:bidi="ar-SA"/>
    </w:rPr>
  </w:style>
  <w:style w:type="character" w:customStyle="1" w:styleId="371">
    <w:name w:val="zbggmain style9"/>
    <w:autoRedefine/>
    <w:qFormat/>
    <w:uiPriority w:val="0"/>
  </w:style>
  <w:style w:type="character" w:customStyle="1" w:styleId="372">
    <w:name w:val="Char Char16"/>
    <w:autoRedefine/>
    <w:qFormat/>
    <w:uiPriority w:val="6"/>
    <w:rPr>
      <w:kern w:val="1"/>
      <w:sz w:val="18"/>
      <w:szCs w:val="18"/>
    </w:rPr>
  </w:style>
  <w:style w:type="character" w:customStyle="1" w:styleId="373">
    <w:name w:val="font51"/>
    <w:autoRedefine/>
    <w:qFormat/>
    <w:uiPriority w:val="0"/>
    <w:rPr>
      <w:rFonts w:hint="eastAsia" w:ascii="仿宋" w:hAnsi="仿宋" w:eastAsia="仿宋" w:cs="仿宋"/>
      <w:color w:val="000000"/>
      <w:sz w:val="20"/>
      <w:szCs w:val="20"/>
      <w:u w:val="none"/>
    </w:rPr>
  </w:style>
  <w:style w:type="character" w:customStyle="1" w:styleId="374">
    <w:name w:val="Char Char82"/>
    <w:autoRedefine/>
    <w:qFormat/>
    <w:uiPriority w:val="0"/>
    <w:rPr>
      <w:rFonts w:eastAsia="宋体"/>
      <w:b/>
      <w:sz w:val="24"/>
      <w:lang w:val="en-GB" w:eastAsia="zh-CN"/>
    </w:rPr>
  </w:style>
  <w:style w:type="character" w:customStyle="1" w:styleId="375">
    <w:name w:val="正文文本缩进 3 Char"/>
    <w:link w:val="52"/>
    <w:autoRedefine/>
    <w:qFormat/>
    <w:uiPriority w:val="0"/>
    <w:rPr>
      <w:kern w:val="2"/>
      <w:sz w:val="24"/>
    </w:rPr>
  </w:style>
  <w:style w:type="character" w:customStyle="1" w:styleId="376">
    <w:name w:val="日期 Char1"/>
    <w:autoRedefine/>
    <w:semiHidden/>
    <w:qFormat/>
    <w:uiPriority w:val="99"/>
    <w:rPr>
      <w:rFonts w:ascii="Times New Roman" w:hAnsi="Times New Roman" w:eastAsia="宋体" w:cs="Times New Roman"/>
      <w:szCs w:val="24"/>
    </w:rPr>
  </w:style>
  <w:style w:type="character" w:customStyle="1" w:styleId="377">
    <w:name w:val="页眉 字符"/>
    <w:autoRedefine/>
    <w:qFormat/>
    <w:uiPriority w:val="99"/>
    <w:rPr>
      <w:kern w:val="2"/>
      <w:sz w:val="18"/>
      <w:szCs w:val="18"/>
    </w:rPr>
  </w:style>
  <w:style w:type="character" w:customStyle="1" w:styleId="378">
    <w:name w:val="Char Char33"/>
    <w:autoRedefine/>
    <w:qFormat/>
    <w:uiPriority w:val="6"/>
    <w:rPr>
      <w:rFonts w:ascii="Arial" w:hAnsi="Arial" w:eastAsia="黑体"/>
      <w:b/>
      <w:kern w:val="1"/>
      <w:sz w:val="24"/>
      <w:szCs w:val="24"/>
    </w:rPr>
  </w:style>
  <w:style w:type="character" w:customStyle="1" w:styleId="379">
    <w:name w:val="b11_01b Char"/>
    <w:link w:val="380"/>
    <w:autoRedefine/>
    <w:qFormat/>
    <w:uiPriority w:val="0"/>
    <w:rPr>
      <w:rFonts w:ascii="Verdana" w:hAnsi="Verdana"/>
      <w:b/>
      <w:bCs/>
      <w:color w:val="4A82CA"/>
      <w:sz w:val="17"/>
      <w:szCs w:val="17"/>
    </w:rPr>
  </w:style>
  <w:style w:type="paragraph" w:customStyle="1" w:styleId="380">
    <w:name w:val="b11_01b"/>
    <w:basedOn w:val="1"/>
    <w:next w:val="1"/>
    <w:link w:val="379"/>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1">
    <w:name w:val="Char Char121"/>
    <w:autoRedefine/>
    <w:qFormat/>
    <w:uiPriority w:val="6"/>
    <w:rPr>
      <w:rFonts w:ascii="仿宋_GB2312" w:eastAsia="仿宋_GB2312"/>
      <w:b/>
      <w:bCs/>
      <w:kern w:val="2"/>
      <w:sz w:val="24"/>
      <w:szCs w:val="24"/>
      <w:lang w:val="zh-CN" w:eastAsia="zh-CN" w:bidi="ar-SA"/>
    </w:rPr>
  </w:style>
  <w:style w:type="character" w:customStyle="1" w:styleId="382">
    <w:name w:val="Footer-Even Char"/>
    <w:autoRedefine/>
    <w:qFormat/>
    <w:uiPriority w:val="0"/>
    <w:rPr>
      <w:rFonts w:eastAsia="宋体"/>
      <w:kern w:val="2"/>
      <w:sz w:val="18"/>
      <w:lang w:val="en-US" w:eastAsia="zh-CN" w:bidi="ar-SA"/>
    </w:rPr>
  </w:style>
  <w:style w:type="character" w:customStyle="1" w:styleId="383">
    <w:name w:val="页脚 Char2"/>
    <w:link w:val="39"/>
    <w:autoRedefine/>
    <w:qFormat/>
    <w:locked/>
    <w:uiPriority w:val="99"/>
    <w:rPr>
      <w:kern w:val="2"/>
      <w:sz w:val="18"/>
      <w:szCs w:val="18"/>
    </w:rPr>
  </w:style>
  <w:style w:type="character" w:customStyle="1" w:styleId="384">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5">
    <w:name w:val="Char Char61"/>
    <w:autoRedefine/>
    <w:qFormat/>
    <w:uiPriority w:val="6"/>
    <w:rPr>
      <w:rFonts w:eastAsia="宋体"/>
      <w:kern w:val="2"/>
      <w:sz w:val="21"/>
      <w:szCs w:val="24"/>
      <w:lang w:val="en-US" w:eastAsia="zh-CN" w:bidi="ar-SA"/>
    </w:rPr>
  </w:style>
  <w:style w:type="character" w:customStyle="1" w:styleId="386">
    <w:name w:val="正文文字缩进 2 Char Char"/>
    <w:autoRedefine/>
    <w:qFormat/>
    <w:uiPriority w:val="0"/>
    <w:rPr>
      <w:rFonts w:ascii="宋体"/>
      <w:sz w:val="28"/>
    </w:rPr>
  </w:style>
  <w:style w:type="character" w:customStyle="1" w:styleId="387">
    <w:name w:val="f141"/>
    <w:autoRedefine/>
    <w:qFormat/>
    <w:uiPriority w:val="0"/>
    <w:rPr>
      <w:rFonts w:ascii="Tahoma" w:hAnsi="Tahoma" w:eastAsia="宋体"/>
      <w:b/>
      <w:kern w:val="2"/>
      <w:sz w:val="21"/>
      <w:szCs w:val="21"/>
      <w:lang w:val="en-US" w:eastAsia="zh-CN" w:bidi="ar-SA"/>
    </w:rPr>
  </w:style>
  <w:style w:type="character" w:customStyle="1" w:styleId="388">
    <w:name w:val="段落 Char Char"/>
    <w:link w:val="389"/>
    <w:autoRedefine/>
    <w:qFormat/>
    <w:uiPriority w:val="0"/>
    <w:rPr>
      <w:rFonts w:ascii="宋体" w:hAnsi="宋体"/>
      <w:sz w:val="24"/>
    </w:rPr>
  </w:style>
  <w:style w:type="paragraph" w:customStyle="1" w:styleId="389">
    <w:name w:val="段落"/>
    <w:basedOn w:val="1"/>
    <w:link w:val="388"/>
    <w:autoRedefine/>
    <w:qFormat/>
    <w:uiPriority w:val="0"/>
    <w:pPr>
      <w:adjustRightInd/>
      <w:spacing w:line="360" w:lineRule="auto"/>
      <w:ind w:firstLine="480" w:firstLineChars="200"/>
    </w:pPr>
    <w:rPr>
      <w:rFonts w:ascii="宋体" w:hAnsi="宋体"/>
      <w:kern w:val="0"/>
      <w:sz w:val="24"/>
      <w:szCs w:val="20"/>
    </w:rPr>
  </w:style>
  <w:style w:type="character" w:customStyle="1" w:styleId="390">
    <w:name w:val="标题 3 Char2"/>
    <w:autoRedefine/>
    <w:qFormat/>
    <w:uiPriority w:val="0"/>
    <w:rPr>
      <w:rFonts w:eastAsia="宋体"/>
      <w:b/>
      <w:bCs/>
      <w:kern w:val="2"/>
      <w:sz w:val="32"/>
      <w:szCs w:val="32"/>
      <w:lang w:val="en-US" w:eastAsia="zh-CN" w:bidi="ar-SA"/>
    </w:rPr>
  </w:style>
  <w:style w:type="character" w:customStyle="1" w:styleId="391">
    <w:name w:val="apple-converted-space"/>
    <w:autoRedefine/>
    <w:qFormat/>
    <w:uiPriority w:val="0"/>
  </w:style>
  <w:style w:type="character" w:customStyle="1" w:styleId="392">
    <w:name w:val="页眉 Char2"/>
    <w:link w:val="40"/>
    <w:autoRedefine/>
    <w:qFormat/>
    <w:uiPriority w:val="99"/>
    <w:rPr>
      <w:kern w:val="2"/>
      <w:sz w:val="18"/>
      <w:szCs w:val="18"/>
    </w:rPr>
  </w:style>
  <w:style w:type="character" w:customStyle="1" w:styleId="393">
    <w:name w:val="Char Char9"/>
    <w:autoRedefine/>
    <w:qFormat/>
    <w:uiPriority w:val="0"/>
    <w:rPr>
      <w:rFonts w:eastAsia="宋体"/>
      <w:kern w:val="2"/>
      <w:sz w:val="18"/>
      <w:szCs w:val="18"/>
      <w:lang w:val="en-US" w:eastAsia="zh-CN" w:bidi="ar-SA"/>
    </w:rPr>
  </w:style>
  <w:style w:type="character" w:customStyle="1" w:styleId="394">
    <w:name w:val="Char Char41"/>
    <w:autoRedefine/>
    <w:qFormat/>
    <w:uiPriority w:val="0"/>
    <w:rPr>
      <w:rFonts w:eastAsia="宋体"/>
      <w:b/>
      <w:sz w:val="24"/>
      <w:lang w:val="en-GB" w:eastAsia="zh-CN" w:bidi="ar-SA"/>
    </w:rPr>
  </w:style>
  <w:style w:type="character" w:customStyle="1" w:styleId="395">
    <w:name w:val="large1"/>
    <w:autoRedefine/>
    <w:qFormat/>
    <w:uiPriority w:val="0"/>
    <w:rPr>
      <w:rFonts w:hint="eastAsia" w:ascii="宋体" w:hAnsi="宋体" w:eastAsia="宋体"/>
      <w:sz w:val="21"/>
      <w:szCs w:val="21"/>
    </w:rPr>
  </w:style>
  <w:style w:type="character" w:customStyle="1" w:styleId="396">
    <w:name w:val="正文段 Char"/>
    <w:link w:val="397"/>
    <w:autoRedefine/>
    <w:qFormat/>
    <w:uiPriority w:val="0"/>
    <w:rPr>
      <w:sz w:val="24"/>
    </w:rPr>
  </w:style>
  <w:style w:type="paragraph" w:customStyle="1" w:styleId="397">
    <w:name w:val="正文段"/>
    <w:basedOn w:val="1"/>
    <w:link w:val="396"/>
    <w:autoRedefine/>
    <w:qFormat/>
    <w:uiPriority w:val="0"/>
    <w:pPr>
      <w:widowControl/>
      <w:snapToGrid w:val="0"/>
      <w:spacing w:after="156" w:afterLines="50"/>
      <w:ind w:firstLine="200" w:firstLineChars="200"/>
    </w:pPr>
    <w:rPr>
      <w:kern w:val="0"/>
      <w:sz w:val="24"/>
      <w:szCs w:val="20"/>
    </w:rPr>
  </w:style>
  <w:style w:type="character" w:customStyle="1" w:styleId="398">
    <w:name w:val="Char Char13"/>
    <w:autoRedefine/>
    <w:qFormat/>
    <w:uiPriority w:val="6"/>
    <w:rPr>
      <w:rFonts w:ascii="宋体" w:hAnsi="宋体"/>
      <w:kern w:val="1"/>
      <w:sz w:val="21"/>
      <w:szCs w:val="24"/>
    </w:rPr>
  </w:style>
  <w:style w:type="character" w:customStyle="1" w:styleId="399">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0">
    <w:name w:val="冯广丽 Char"/>
    <w:link w:val="401"/>
    <w:autoRedefine/>
    <w:qFormat/>
    <w:uiPriority w:val="0"/>
    <w:rPr>
      <w:rFonts w:ascii="宋体" w:hAnsi="宋体"/>
      <w:kern w:val="2"/>
      <w:sz w:val="24"/>
      <w:szCs w:val="22"/>
    </w:rPr>
  </w:style>
  <w:style w:type="paragraph" w:customStyle="1" w:styleId="401">
    <w:name w:val="冯广丽"/>
    <w:basedOn w:val="1"/>
    <w:link w:val="400"/>
    <w:autoRedefine/>
    <w:qFormat/>
    <w:uiPriority w:val="0"/>
    <w:pPr>
      <w:adjustRightInd/>
      <w:spacing w:line="360" w:lineRule="auto"/>
      <w:ind w:firstLine="480" w:firstLineChars="200"/>
    </w:pPr>
    <w:rPr>
      <w:rFonts w:ascii="宋体" w:hAnsi="宋体"/>
      <w:sz w:val="24"/>
      <w:szCs w:val="22"/>
    </w:rPr>
  </w:style>
  <w:style w:type="character" w:customStyle="1" w:styleId="402">
    <w:name w:val="批注文字 字符"/>
    <w:autoRedefine/>
    <w:qFormat/>
    <w:uiPriority w:val="0"/>
    <w:rPr>
      <w:rFonts w:ascii="Arial" w:hAnsi="Arial" w:eastAsia="黑体" w:cs="Arial"/>
      <w:snapToGrid w:val="0"/>
      <w:kern w:val="0"/>
      <w:szCs w:val="21"/>
    </w:rPr>
  </w:style>
  <w:style w:type="character" w:customStyle="1" w:styleId="403">
    <w:name w:val="Char Char161"/>
    <w:autoRedefine/>
    <w:qFormat/>
    <w:uiPriority w:val="0"/>
    <w:rPr>
      <w:rFonts w:eastAsia="宋体"/>
      <w:b/>
      <w:kern w:val="2"/>
      <w:sz w:val="32"/>
      <w:lang w:val="en-US" w:eastAsia="zh-CN"/>
    </w:rPr>
  </w:style>
  <w:style w:type="character" w:customStyle="1" w:styleId="404">
    <w:name w:val="javascript"/>
    <w:autoRedefine/>
    <w:qFormat/>
    <w:uiPriority w:val="0"/>
  </w:style>
  <w:style w:type="character" w:customStyle="1" w:styleId="405">
    <w:name w:val="图名 Char"/>
    <w:autoRedefine/>
    <w:qFormat/>
    <w:uiPriority w:val="0"/>
    <w:rPr>
      <w:rFonts w:ascii="Arial" w:hAnsi="Arial" w:eastAsia="黑体"/>
      <w:kern w:val="2"/>
      <w:sz w:val="24"/>
      <w:szCs w:val="24"/>
      <w:lang w:val="en-US" w:eastAsia="zh-CN" w:bidi="ar-SA"/>
    </w:rPr>
  </w:style>
  <w:style w:type="character" w:customStyle="1" w:styleId="406">
    <w:name w:val="Used by Word for text of Help footnotes Char Char"/>
    <w:autoRedefine/>
    <w:qFormat/>
    <w:uiPriority w:val="0"/>
    <w:rPr>
      <w:rFonts w:ascii="Times New Roman" w:hAnsi="Times New Roman" w:eastAsia="宋体" w:cs="Times New Roman"/>
      <w:sz w:val="20"/>
      <w:szCs w:val="20"/>
    </w:rPr>
  </w:style>
  <w:style w:type="character" w:customStyle="1" w:styleId="407">
    <w:name w:val="编号，小四 Char"/>
    <w:link w:val="408"/>
    <w:autoRedefine/>
    <w:qFormat/>
    <w:uiPriority w:val="0"/>
    <w:rPr>
      <w:rFonts w:ascii="Arial" w:hAnsi="Arial"/>
      <w:sz w:val="24"/>
    </w:rPr>
  </w:style>
  <w:style w:type="paragraph" w:customStyle="1" w:styleId="408">
    <w:name w:val="编号，小四"/>
    <w:basedOn w:val="1"/>
    <w:link w:val="407"/>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9">
    <w:name w:val="Font Style82"/>
    <w:autoRedefine/>
    <w:qFormat/>
    <w:uiPriority w:val="99"/>
    <w:rPr>
      <w:rFonts w:ascii="宋体" w:eastAsia="宋体" w:cs="宋体"/>
      <w:color w:val="000000"/>
      <w:sz w:val="14"/>
      <w:szCs w:val="14"/>
    </w:rPr>
  </w:style>
  <w:style w:type="character" w:customStyle="1" w:styleId="410">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1">
    <w:name w:val="未用 Char"/>
    <w:autoRedefine/>
    <w:qFormat/>
    <w:uiPriority w:val="0"/>
    <w:rPr>
      <w:rFonts w:ascii="Arial" w:hAnsi="Arial" w:eastAsia="黑体"/>
      <w:kern w:val="2"/>
      <w:sz w:val="21"/>
      <w:szCs w:val="21"/>
      <w:lang w:val="en-US" w:eastAsia="zh-CN" w:bidi="ar-SA"/>
    </w:rPr>
  </w:style>
  <w:style w:type="character" w:customStyle="1" w:styleId="412">
    <w:name w:val="myp1111"/>
    <w:autoRedefine/>
    <w:qFormat/>
    <w:uiPriority w:val="0"/>
    <w:rPr>
      <w:rFonts w:hint="default" w:ascii="ˎ̥" w:hAnsi="ˎ̥"/>
      <w:color w:val="000000"/>
      <w:sz w:val="20"/>
      <w:szCs w:val="20"/>
      <w:u w:val="none"/>
    </w:rPr>
  </w:style>
  <w:style w:type="character" w:customStyle="1" w:styleId="413">
    <w:name w:val="样式 标题 4h4H4Fab-4T5Ref Heading 1rh1Heading sqlsect 1.2.3.... Char"/>
    <w:link w:val="305"/>
    <w:autoRedefine/>
    <w:qFormat/>
    <w:uiPriority w:val="0"/>
    <w:rPr>
      <w:rFonts w:ascii="微软雅黑" w:hAnsi="微软雅黑" w:eastAsia="微软雅黑"/>
      <w:b/>
      <w:bCs/>
      <w:kern w:val="2"/>
      <w:sz w:val="24"/>
      <w:szCs w:val="28"/>
    </w:rPr>
  </w:style>
  <w:style w:type="character" w:customStyle="1" w:styleId="414">
    <w:name w:val="h Char Char"/>
    <w:autoRedefine/>
    <w:qFormat/>
    <w:uiPriority w:val="0"/>
    <w:rPr>
      <w:rFonts w:eastAsia="宋体"/>
      <w:kern w:val="2"/>
      <w:sz w:val="18"/>
      <w:lang w:val="en-US" w:eastAsia="zh-CN" w:bidi="ar-SA"/>
    </w:rPr>
  </w:style>
  <w:style w:type="character" w:customStyle="1" w:styleId="415">
    <w:name w:val="仿宋正文 Char"/>
    <w:link w:val="416"/>
    <w:autoRedefine/>
    <w:qFormat/>
    <w:uiPriority w:val="0"/>
    <w:rPr>
      <w:rFonts w:ascii="仿宋_GB2312" w:eastAsia="仿宋_GB2312"/>
      <w:kern w:val="2"/>
      <w:sz w:val="24"/>
      <w:lang w:val="en-US" w:eastAsia="zh-CN" w:bidi="ar-SA"/>
    </w:rPr>
  </w:style>
  <w:style w:type="paragraph" w:customStyle="1" w:styleId="416">
    <w:name w:val="仿宋正文"/>
    <w:basedOn w:val="1"/>
    <w:link w:val="415"/>
    <w:autoRedefine/>
    <w:qFormat/>
    <w:uiPriority w:val="0"/>
    <w:pPr>
      <w:adjustRightInd/>
      <w:spacing w:line="360" w:lineRule="auto"/>
      <w:ind w:firstLine="480" w:firstLineChars="200"/>
    </w:pPr>
    <w:rPr>
      <w:rFonts w:ascii="仿宋_GB2312" w:eastAsia="仿宋_GB2312"/>
      <w:sz w:val="24"/>
      <w:szCs w:val="20"/>
    </w:rPr>
  </w:style>
  <w:style w:type="character" w:customStyle="1" w:styleId="417">
    <w:name w:val="正文首行缩进 Char Char Char Char Char Char"/>
    <w:autoRedefine/>
    <w:qFormat/>
    <w:uiPriority w:val="0"/>
    <w:rPr>
      <w:rFonts w:ascii="宋体" w:eastAsia="宋体"/>
      <w:kern w:val="2"/>
      <w:sz w:val="24"/>
      <w:lang w:val="zh-CN" w:bidi="ar-SA"/>
    </w:rPr>
  </w:style>
  <w:style w:type="character" w:customStyle="1" w:styleId="418">
    <w:name w:val="样式 宋体"/>
    <w:autoRedefine/>
    <w:qFormat/>
    <w:uiPriority w:val="0"/>
    <w:rPr>
      <w:rFonts w:ascii="宋体" w:hAnsi="宋体"/>
      <w:sz w:val="24"/>
    </w:rPr>
  </w:style>
  <w:style w:type="character" w:customStyle="1" w:styleId="419">
    <w:name w:val="tw4winJump"/>
    <w:autoRedefine/>
    <w:qFormat/>
    <w:uiPriority w:val="0"/>
    <w:rPr>
      <w:rFonts w:ascii="Courier New" w:hAnsi="Courier New" w:cs="Courier New"/>
      <w:color w:val="008080"/>
      <w:lang w:val="en-US" w:eastAsia="zh-CN"/>
    </w:rPr>
  </w:style>
  <w:style w:type="character" w:customStyle="1" w:styleId="420">
    <w:name w:val="标题 1 字符"/>
    <w:autoRedefine/>
    <w:qFormat/>
    <w:uiPriority w:val="9"/>
    <w:rPr>
      <w:rFonts w:ascii="Arial" w:hAnsi="Arial" w:eastAsia="黑体" w:cs="Arial"/>
      <w:b/>
      <w:bCs/>
      <w:snapToGrid w:val="0"/>
      <w:kern w:val="44"/>
      <w:sz w:val="44"/>
      <w:szCs w:val="44"/>
    </w:rPr>
  </w:style>
  <w:style w:type="character" w:customStyle="1" w:styleId="421">
    <w:name w:val="style36"/>
    <w:basedOn w:val="69"/>
    <w:autoRedefine/>
    <w:qFormat/>
    <w:uiPriority w:val="0"/>
    <w:rPr>
      <w:rFonts w:ascii="Arial" w:hAnsi="Arial" w:eastAsia="黑体" w:cs="Arial"/>
      <w:snapToGrid w:val="0"/>
      <w:kern w:val="0"/>
      <w:szCs w:val="21"/>
    </w:rPr>
  </w:style>
  <w:style w:type="character" w:customStyle="1" w:styleId="422">
    <w:name w:val="pt9"/>
    <w:autoRedefine/>
    <w:qFormat/>
    <w:uiPriority w:val="0"/>
    <w:rPr>
      <w:rFonts w:ascii="仿宋_GB2312" w:eastAsia="微软雅黑"/>
      <w:b/>
      <w:kern w:val="2"/>
      <w:sz w:val="32"/>
      <w:szCs w:val="32"/>
      <w:lang w:val="en-US" w:eastAsia="zh-CN" w:bidi="ar-SA"/>
    </w:rPr>
  </w:style>
  <w:style w:type="character" w:customStyle="1" w:styleId="423">
    <w:name w:val="DO_NOT_TRANSLATE"/>
    <w:autoRedefine/>
    <w:qFormat/>
    <w:uiPriority w:val="0"/>
    <w:rPr>
      <w:rFonts w:ascii="Courier New" w:hAnsi="Courier New" w:cs="Courier New"/>
      <w:color w:val="800000"/>
      <w:lang w:val="en-US" w:eastAsia="zh-CN"/>
    </w:rPr>
  </w:style>
  <w:style w:type="character" w:customStyle="1" w:styleId="424">
    <w:name w:val="标书1 Char1"/>
    <w:autoRedefine/>
    <w:qFormat/>
    <w:uiPriority w:val="0"/>
    <w:rPr>
      <w:rFonts w:eastAsia="宋体"/>
      <w:b/>
      <w:bCs/>
      <w:kern w:val="44"/>
      <w:sz w:val="44"/>
      <w:szCs w:val="44"/>
      <w:lang w:val="en-US" w:eastAsia="zh-CN" w:bidi="ar-SA"/>
    </w:rPr>
  </w:style>
  <w:style w:type="character" w:customStyle="1" w:styleId="425">
    <w:name w:val="页脚 字符"/>
    <w:autoRedefine/>
    <w:qFormat/>
    <w:uiPriority w:val="99"/>
    <w:rPr>
      <w:kern w:val="2"/>
      <w:sz w:val="18"/>
      <w:szCs w:val="18"/>
    </w:rPr>
  </w:style>
  <w:style w:type="character" w:customStyle="1" w:styleId="426">
    <w:name w:val="正文2 Char"/>
    <w:autoRedefine/>
    <w:qFormat/>
    <w:uiPriority w:val="0"/>
    <w:rPr>
      <w:rFonts w:eastAsia="宋体"/>
      <w:kern w:val="2"/>
      <w:sz w:val="24"/>
      <w:lang w:val="en-US" w:eastAsia="zh-CN" w:bidi="ar-SA"/>
    </w:rPr>
  </w:style>
  <w:style w:type="character" w:customStyle="1" w:styleId="427">
    <w:name w:val="Char Char21"/>
    <w:autoRedefine/>
    <w:qFormat/>
    <w:uiPriority w:val="6"/>
    <w:rPr>
      <w:rFonts w:ascii="宋体" w:hAnsi="宋体"/>
      <w:kern w:val="1"/>
      <w:sz w:val="24"/>
      <w:szCs w:val="21"/>
      <w:lang w:val="zh-CN"/>
    </w:rPr>
  </w:style>
  <w:style w:type="character" w:customStyle="1" w:styleId="428">
    <w:name w:val="样式 正文缩进 + 首行缩进:  2 字符 Char Char"/>
    <w:link w:val="429"/>
    <w:autoRedefine/>
    <w:qFormat/>
    <w:uiPriority w:val="0"/>
    <w:rPr>
      <w:rFonts w:cs="宋体"/>
      <w:kern w:val="2"/>
      <w:sz w:val="24"/>
    </w:rPr>
  </w:style>
  <w:style w:type="paragraph" w:customStyle="1" w:styleId="429">
    <w:name w:val="样式 正文缩进 + 首行缩进:  2 字符"/>
    <w:basedOn w:val="5"/>
    <w:link w:val="428"/>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0">
    <w:name w:val="正文文本 Char1"/>
    <w:link w:val="23"/>
    <w:autoRedefine/>
    <w:qFormat/>
    <w:uiPriority w:val="0"/>
    <w:rPr>
      <w:rFonts w:ascii="宋体" w:hAnsi="Arial" w:eastAsia="宋体" w:cs="Arial"/>
      <w:snapToGrid w:val="0"/>
      <w:kern w:val="2"/>
      <w:sz w:val="24"/>
      <w:szCs w:val="21"/>
      <w:lang w:val="zh-CN" w:eastAsia="zh-CN" w:bidi="ar-SA"/>
    </w:rPr>
  </w:style>
  <w:style w:type="character" w:customStyle="1" w:styleId="431">
    <w:name w:val="gray6"/>
    <w:basedOn w:val="69"/>
    <w:autoRedefine/>
    <w:qFormat/>
    <w:uiPriority w:val="0"/>
    <w:rPr>
      <w:rFonts w:ascii="Arial" w:hAnsi="Arial" w:eastAsia="黑体" w:cs="Arial"/>
      <w:snapToGrid w:val="0"/>
      <w:kern w:val="0"/>
      <w:szCs w:val="21"/>
    </w:rPr>
  </w:style>
  <w:style w:type="character" w:customStyle="1" w:styleId="432">
    <w:name w:val="hui"/>
    <w:basedOn w:val="69"/>
    <w:autoRedefine/>
    <w:qFormat/>
    <w:uiPriority w:val="0"/>
    <w:rPr>
      <w:rFonts w:ascii="Arial" w:hAnsi="Arial" w:eastAsia="黑体" w:cs="Arial"/>
      <w:snapToGrid w:val="0"/>
      <w:kern w:val="0"/>
      <w:szCs w:val="21"/>
    </w:rPr>
  </w:style>
  <w:style w:type="character" w:customStyle="1" w:styleId="433">
    <w:name w:val="哈哈正文 Char Char"/>
    <w:autoRedefine/>
    <w:qFormat/>
    <w:uiPriority w:val="0"/>
    <w:rPr>
      <w:rFonts w:ascii="宋体" w:hAnsi="宋体" w:eastAsia="宋体" w:cs="宋体"/>
      <w:kern w:val="2"/>
      <w:sz w:val="24"/>
      <w:lang w:val="en-US" w:eastAsia="zh-CN" w:bidi="ar-SA"/>
    </w:rPr>
  </w:style>
  <w:style w:type="paragraph" w:customStyle="1" w:styleId="434">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5">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6">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7">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8">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9">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0">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1">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2">
    <w:name w:val="正文 内标 序号标"/>
    <w:basedOn w:val="443"/>
    <w:autoRedefine/>
    <w:qFormat/>
    <w:uiPriority w:val="0"/>
    <w:pPr>
      <w:tabs>
        <w:tab w:val="left" w:pos="0"/>
      </w:tabs>
      <w:adjustRightInd/>
      <w:spacing w:before="0"/>
      <w:ind w:firstLine="482"/>
    </w:pPr>
    <w:rPr>
      <w:rFonts w:ascii="微软雅黑" w:hAnsi="微软雅黑"/>
      <w:sz w:val="24"/>
      <w:szCs w:val="24"/>
    </w:rPr>
  </w:style>
  <w:style w:type="paragraph" w:customStyle="1" w:styleId="443">
    <w:name w:val="My正文"/>
    <w:basedOn w:val="1"/>
    <w:autoRedefine/>
    <w:qFormat/>
    <w:uiPriority w:val="0"/>
    <w:pPr>
      <w:spacing w:before="120" w:line="360" w:lineRule="auto"/>
      <w:ind w:firstLine="567"/>
    </w:pPr>
    <w:rPr>
      <w:rFonts w:ascii="Arial" w:hAnsi="Arial"/>
      <w:sz w:val="20"/>
      <w:szCs w:val="20"/>
    </w:rPr>
  </w:style>
  <w:style w:type="paragraph" w:customStyle="1" w:styleId="444">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5">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6">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7">
    <w:name w:val="修订2"/>
    <w:autoRedefine/>
    <w:qFormat/>
    <w:uiPriority w:val="0"/>
    <w:rPr>
      <w:rFonts w:ascii="Times New Roman" w:hAnsi="Times New Roman" w:eastAsia="宋体" w:cs="Times New Roman"/>
      <w:kern w:val="2"/>
      <w:sz w:val="21"/>
      <w:lang w:val="en-US" w:eastAsia="zh-CN" w:bidi="ar-SA"/>
    </w:rPr>
  </w:style>
  <w:style w:type="paragraph" w:customStyle="1" w:styleId="448">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9">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0">
    <w:name w:val="文章标题"/>
    <w:next w:val="451"/>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1">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2">
    <w:name w:val="Char1 Char Char Char5"/>
    <w:basedOn w:val="1"/>
    <w:autoRedefine/>
    <w:qFormat/>
    <w:uiPriority w:val="0"/>
    <w:pPr>
      <w:adjustRightInd/>
      <w:ind w:firstLine="200" w:firstLineChars="200"/>
    </w:pPr>
    <w:rPr>
      <w:rFonts w:ascii="Tahoma" w:hAnsi="Tahoma"/>
      <w:sz w:val="24"/>
      <w:szCs w:val="20"/>
    </w:rPr>
  </w:style>
  <w:style w:type="paragraph" w:customStyle="1" w:styleId="453">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4">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5">
    <w:name w:val="Char Char Char Char Char Char Char Char"/>
    <w:basedOn w:val="1"/>
    <w:autoRedefine/>
    <w:qFormat/>
    <w:uiPriority w:val="0"/>
    <w:pPr>
      <w:tabs>
        <w:tab w:val="left" w:pos="360"/>
      </w:tabs>
    </w:pPr>
    <w:rPr>
      <w:sz w:val="24"/>
      <w:szCs w:val="20"/>
    </w:rPr>
  </w:style>
  <w:style w:type="paragraph" w:customStyle="1" w:styleId="456">
    <w:name w:val="Char Char11 Char Char Char"/>
    <w:basedOn w:val="1"/>
    <w:autoRedefine/>
    <w:qFormat/>
    <w:uiPriority w:val="0"/>
    <w:pPr>
      <w:spacing w:line="360" w:lineRule="auto"/>
    </w:pPr>
    <w:rPr>
      <w:szCs w:val="20"/>
    </w:rPr>
  </w:style>
  <w:style w:type="paragraph" w:customStyle="1" w:styleId="457">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8">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9">
    <w:name w:val="样式3"/>
    <w:basedOn w:val="460"/>
    <w:autoRedefine/>
    <w:qFormat/>
    <w:uiPriority w:val="0"/>
    <w:pPr>
      <w:tabs>
        <w:tab w:val="left" w:pos="2790"/>
        <w:tab w:val="left" w:pos="4230"/>
      </w:tabs>
      <w:spacing w:before="312" w:beforeLines="100"/>
      <w:jc w:val="left"/>
    </w:p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spacing w:before="0" w:after="0"/>
      <w:outlineLvl w:val="5"/>
    </w:pPr>
  </w:style>
  <w:style w:type="paragraph" w:customStyle="1" w:styleId="474">
    <w:name w:val="5级标题"/>
    <w:basedOn w:val="475"/>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258"/>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3"/>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4"/>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7"/>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0"/>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4"/>
    <w:next w:val="234"/>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4"/>
    <w:next w:val="234"/>
    <w:autoRedefine/>
    <w:qFormat/>
    <w:uiPriority w:val="0"/>
    <w:rPr>
      <w:rFonts w:ascii="宋体" w:eastAsia="宋体" w:cs="Times New Roman"/>
      <w:color w:val="auto"/>
    </w:rPr>
  </w:style>
  <w:style w:type="paragraph" w:customStyle="1" w:styleId="550">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156"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5"/>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2"/>
    <w:autoRedefine/>
    <w:qFormat/>
    <w:uiPriority w:val="0"/>
    <w:pPr>
      <w:tabs>
        <w:tab w:val="left" w:pos="840"/>
      </w:tabs>
      <w:adjustRightInd/>
      <w:ind w:left="840" w:hanging="420"/>
    </w:pPr>
  </w:style>
  <w:style w:type="paragraph" w:customStyle="1" w:styleId="626">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beforeLines="0" w:after="0" w:afterLines="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6"/>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6"/>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1">
    <w:name w:val="四号　首行缩进"/>
    <w:basedOn w:val="1"/>
    <w:autoRedefine/>
    <w:qFormat/>
    <w:uiPriority w:val="0"/>
    <w:pPr>
      <w:adjustRightInd/>
      <w:spacing w:line="360" w:lineRule="auto"/>
    </w:pPr>
    <w:rPr>
      <w:rFonts w:ascii="宋体" w:hAnsi="宋体"/>
      <w:szCs w:val="20"/>
    </w:rPr>
  </w:style>
  <w:style w:type="paragraph" w:customStyle="1" w:styleId="752">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3">
    <w:name w:val="Char Char Char Char Char Char Char Char Char Char Char1 Char"/>
    <w:basedOn w:val="1"/>
    <w:autoRedefine/>
    <w:qFormat/>
    <w:uiPriority w:val="0"/>
    <w:pPr>
      <w:adjustRightInd/>
    </w:pPr>
    <w:rPr>
      <w:rFonts w:ascii="Tahoma" w:hAnsi="Tahoma"/>
      <w:sz w:val="24"/>
    </w:rPr>
  </w:style>
  <w:style w:type="paragraph" w:customStyle="1" w:styleId="754">
    <w:name w:val="Char Char Char Char11"/>
    <w:basedOn w:val="1"/>
    <w:autoRedefine/>
    <w:qFormat/>
    <w:uiPriority w:val="0"/>
    <w:rPr>
      <w:rFonts w:ascii="Tahoma" w:hAnsi="Tahoma"/>
      <w:sz w:val="24"/>
      <w:szCs w:val="20"/>
    </w:rPr>
  </w:style>
  <w:style w:type="paragraph" w:customStyle="1" w:styleId="755">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6">
    <w:name w:val="Char Char Char Char"/>
    <w:basedOn w:val="1"/>
    <w:autoRedefine/>
    <w:qFormat/>
    <w:uiPriority w:val="0"/>
    <w:rPr>
      <w:rFonts w:ascii="Tahoma" w:hAnsi="Tahoma"/>
      <w:sz w:val="24"/>
      <w:szCs w:val="20"/>
    </w:rPr>
  </w:style>
  <w:style w:type="paragraph" w:customStyle="1" w:styleId="757">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8">
    <w:name w:val="Char19"/>
    <w:basedOn w:val="1"/>
    <w:autoRedefine/>
    <w:qFormat/>
    <w:uiPriority w:val="0"/>
    <w:pPr>
      <w:adjustRightInd/>
    </w:pPr>
    <w:rPr>
      <w:szCs w:val="20"/>
    </w:rPr>
  </w:style>
  <w:style w:type="paragraph" w:customStyle="1" w:styleId="759">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60">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1">
    <w:name w:val="_Style 5"/>
    <w:basedOn w:val="1"/>
    <w:autoRedefine/>
    <w:qFormat/>
    <w:uiPriority w:val="34"/>
    <w:pPr>
      <w:adjustRightInd/>
      <w:ind w:firstLine="420" w:firstLineChars="200"/>
    </w:pPr>
    <w:rPr>
      <w:rFonts w:eastAsia="仿宋_GB2312"/>
      <w:sz w:val="28"/>
    </w:rPr>
  </w:style>
  <w:style w:type="paragraph" w:customStyle="1" w:styleId="762">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3">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4">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5">
    <w:name w:val="标书表格字体格式"/>
    <w:next w:val="759"/>
    <w:autoRedefine/>
    <w:qFormat/>
    <w:uiPriority w:val="0"/>
    <w:rPr>
      <w:rFonts w:ascii="Times New Roman" w:hAnsi="Times New Roman" w:eastAsia="宋体" w:cs="Times New Roman"/>
      <w:kern w:val="2"/>
      <w:sz w:val="21"/>
      <w:szCs w:val="24"/>
      <w:lang w:val="en-US" w:eastAsia="zh-CN" w:bidi="ar-SA"/>
    </w:rPr>
  </w:style>
  <w:style w:type="paragraph" w:customStyle="1" w:styleId="766">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7">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8">
    <w:name w:val="修订3"/>
    <w:autoRedefine/>
    <w:qFormat/>
    <w:uiPriority w:val="0"/>
    <w:rPr>
      <w:rFonts w:ascii="Times New Roman" w:hAnsi="Times New Roman" w:eastAsia="宋体" w:cs="Times New Roman"/>
      <w:kern w:val="2"/>
      <w:sz w:val="21"/>
      <w:lang w:val="en-US" w:eastAsia="zh-CN" w:bidi="ar-SA"/>
    </w:rPr>
  </w:style>
  <w:style w:type="paragraph" w:customStyle="1" w:styleId="769">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70">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1">
    <w:name w:val="表文字"/>
    <w:autoRedefine/>
    <w:qFormat/>
    <w:uiPriority w:val="0"/>
    <w:rPr>
      <w:rFonts w:ascii="宋体" w:hAnsi="Times New Roman" w:eastAsia="宋体" w:cs="Times New Roman"/>
      <w:kern w:val="2"/>
      <w:lang w:val="en-US" w:eastAsia="zh-CN" w:bidi="ar-SA"/>
    </w:rPr>
  </w:style>
  <w:style w:type="paragraph" w:customStyle="1" w:styleId="772">
    <w:name w:val="MM Title"/>
    <w:basedOn w:val="58"/>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3">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4">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5">
    <w:name w:val="Char Char Char Char Char Char Char Char2"/>
    <w:basedOn w:val="1"/>
    <w:autoRedefine/>
    <w:qFormat/>
    <w:uiPriority w:val="0"/>
    <w:pPr>
      <w:tabs>
        <w:tab w:val="left" w:pos="360"/>
      </w:tabs>
    </w:pPr>
    <w:rPr>
      <w:sz w:val="24"/>
      <w:szCs w:val="20"/>
    </w:rPr>
  </w:style>
  <w:style w:type="paragraph" w:customStyle="1" w:styleId="776">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7">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8">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9">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80">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1">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2">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3">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4">
    <w:name w:val="p0"/>
    <w:basedOn w:val="1"/>
    <w:autoRedefine/>
    <w:qFormat/>
    <w:uiPriority w:val="0"/>
    <w:pPr>
      <w:widowControl/>
      <w:adjustRightInd/>
    </w:pPr>
    <w:rPr>
      <w:kern w:val="0"/>
      <w:szCs w:val="21"/>
    </w:rPr>
  </w:style>
  <w:style w:type="paragraph" w:customStyle="1" w:styleId="785">
    <w:name w:val="Char6"/>
    <w:basedOn w:val="1"/>
    <w:autoRedefine/>
    <w:qFormat/>
    <w:uiPriority w:val="0"/>
    <w:rPr>
      <w:rFonts w:ascii="仿宋_GB2312" w:eastAsia="仿宋_GB2312"/>
      <w:b/>
      <w:sz w:val="32"/>
      <w:szCs w:val="32"/>
    </w:rPr>
  </w:style>
  <w:style w:type="paragraph" w:customStyle="1" w:styleId="786">
    <w:name w:val="Char111"/>
    <w:basedOn w:val="1"/>
    <w:autoRedefine/>
    <w:qFormat/>
    <w:uiPriority w:val="0"/>
    <w:rPr>
      <w:rFonts w:ascii="仿宋_GB2312" w:eastAsia="仿宋_GB2312"/>
      <w:b/>
      <w:sz w:val="32"/>
      <w:szCs w:val="32"/>
    </w:rPr>
  </w:style>
  <w:style w:type="paragraph" w:customStyle="1" w:styleId="787">
    <w:name w:val="标题3"/>
    <w:basedOn w:val="4"/>
    <w:next w:val="52"/>
    <w:autoRedefine/>
    <w:qFormat/>
    <w:uiPriority w:val="0"/>
    <w:pPr>
      <w:tabs>
        <w:tab w:val="clear" w:pos="900"/>
      </w:tabs>
      <w:spacing w:after="0" w:line="360" w:lineRule="auto"/>
    </w:pPr>
    <w:rPr>
      <w:rFonts w:ascii="仿宋" w:hAnsi="仿宋" w:eastAsia="仿宋" w:cs="仿宋"/>
    </w:rPr>
  </w:style>
  <w:style w:type="paragraph" w:customStyle="1" w:styleId="788">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9">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90">
    <w:name w:val="Char1 Char Char Char2"/>
    <w:basedOn w:val="1"/>
    <w:autoRedefine/>
    <w:qFormat/>
    <w:uiPriority w:val="0"/>
    <w:pPr>
      <w:adjustRightInd/>
      <w:ind w:firstLine="200" w:firstLineChars="200"/>
    </w:pPr>
    <w:rPr>
      <w:rFonts w:ascii="Tahoma" w:hAnsi="Tahoma"/>
      <w:sz w:val="24"/>
      <w:szCs w:val="20"/>
    </w:rPr>
  </w:style>
  <w:style w:type="paragraph" w:customStyle="1" w:styleId="791">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2">
    <w:name w:val="样式 标题 1 + 黑色 段前: 0.5 行 段后: 0.5 行1"/>
    <w:basedOn w:val="2"/>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3">
    <w:name w:val="Char Char Char Char Char Char Char2"/>
    <w:basedOn w:val="1"/>
    <w:autoRedefine/>
    <w:qFormat/>
    <w:uiPriority w:val="0"/>
    <w:rPr>
      <w:rFonts w:ascii="仿宋_GB2312" w:eastAsia="仿宋_GB2312"/>
      <w:b/>
      <w:sz w:val="32"/>
      <w:szCs w:val="32"/>
    </w:rPr>
  </w:style>
  <w:style w:type="paragraph" w:customStyle="1" w:styleId="794">
    <w:name w:val="五级条标题"/>
    <w:basedOn w:val="795"/>
    <w:next w:val="640"/>
    <w:autoRedefine/>
    <w:qFormat/>
    <w:uiPriority w:val="0"/>
    <w:pPr>
      <w:tabs>
        <w:tab w:val="left" w:pos="1260"/>
        <w:tab w:val="left" w:pos="1680"/>
        <w:tab w:val="left" w:pos="2100"/>
        <w:tab w:val="left" w:pos="2940"/>
        <w:tab w:val="left" w:pos="3360"/>
      </w:tabs>
      <w:ind w:left="3360"/>
      <w:outlineLvl w:val="6"/>
    </w:pPr>
  </w:style>
  <w:style w:type="paragraph" w:customStyle="1" w:styleId="795">
    <w:name w:val="四级条标题"/>
    <w:basedOn w:val="655"/>
    <w:next w:val="640"/>
    <w:autoRedefine/>
    <w:qFormat/>
    <w:uiPriority w:val="0"/>
    <w:pPr>
      <w:tabs>
        <w:tab w:val="left" w:pos="2940"/>
        <w:tab w:val="clear" w:pos="2520"/>
      </w:tabs>
      <w:ind w:left="2940"/>
      <w:outlineLvl w:val="5"/>
    </w:pPr>
  </w:style>
  <w:style w:type="paragraph" w:customStyle="1" w:styleId="796">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7">
    <w:name w:val="Char23"/>
    <w:basedOn w:val="1"/>
    <w:autoRedefine/>
    <w:qFormat/>
    <w:uiPriority w:val="0"/>
    <w:rPr>
      <w:rFonts w:ascii="仿宋_GB2312" w:eastAsia="仿宋_GB2312"/>
      <w:b/>
      <w:sz w:val="32"/>
      <w:szCs w:val="32"/>
    </w:rPr>
  </w:style>
  <w:style w:type="paragraph" w:customStyle="1" w:styleId="798">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9">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800">
    <w:name w:val="首行缩进"/>
    <w:basedOn w:val="1"/>
    <w:autoRedefine/>
    <w:qFormat/>
    <w:uiPriority w:val="0"/>
    <w:pPr>
      <w:spacing w:line="360" w:lineRule="auto"/>
      <w:ind w:firstLine="480" w:firstLineChars="200"/>
    </w:pPr>
    <w:rPr>
      <w:rFonts w:ascii="宋体"/>
      <w:sz w:val="24"/>
      <w:szCs w:val="20"/>
    </w:rPr>
  </w:style>
  <w:style w:type="paragraph" w:customStyle="1" w:styleId="801">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2">
    <w:name w:val="单元格左对齐"/>
    <w:basedOn w:val="1"/>
    <w:autoRedefine/>
    <w:qFormat/>
    <w:uiPriority w:val="0"/>
    <w:pPr>
      <w:adjustRightInd/>
      <w:spacing w:line="360" w:lineRule="auto"/>
    </w:pPr>
    <w:rPr>
      <w:sz w:val="24"/>
    </w:rPr>
  </w:style>
  <w:style w:type="paragraph" w:customStyle="1" w:styleId="803">
    <w:name w:val="正文主体"/>
    <w:basedOn w:val="624"/>
    <w:autoRedefine/>
    <w:qFormat/>
    <w:uiPriority w:val="0"/>
  </w:style>
  <w:style w:type="paragraph" w:customStyle="1" w:styleId="804">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5">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6">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7">
    <w:name w:val="正文（首行缩进2字符）"/>
    <w:basedOn w:val="1"/>
    <w:autoRedefine/>
    <w:qFormat/>
    <w:uiPriority w:val="0"/>
    <w:pPr>
      <w:adjustRightInd/>
      <w:spacing w:line="360" w:lineRule="auto"/>
      <w:ind w:firstLine="480" w:firstLineChars="200"/>
    </w:pPr>
    <w:rPr>
      <w:sz w:val="24"/>
      <w:szCs w:val="20"/>
    </w:rPr>
  </w:style>
  <w:style w:type="paragraph" w:customStyle="1" w:styleId="808">
    <w:name w:val="P1"/>
    <w:basedOn w:val="1"/>
    <w:autoRedefine/>
    <w:qFormat/>
    <w:uiPriority w:val="0"/>
    <w:pPr>
      <w:adjustRightInd/>
      <w:spacing w:line="288" w:lineRule="auto"/>
      <w:ind w:firstLine="425" w:firstLineChars="200"/>
    </w:pPr>
  </w:style>
  <w:style w:type="paragraph" w:customStyle="1" w:styleId="809">
    <w:name w:val="列表内容"/>
    <w:basedOn w:val="1"/>
    <w:next w:val="1"/>
    <w:autoRedefine/>
    <w:qFormat/>
    <w:uiPriority w:val="0"/>
    <w:pPr>
      <w:widowControl/>
      <w:tabs>
        <w:tab w:val="left" w:pos="840"/>
      </w:tabs>
      <w:ind w:left="840" w:hanging="420"/>
      <w:jc w:val="left"/>
    </w:pPr>
    <w:rPr>
      <w:kern w:val="0"/>
      <w:sz w:val="18"/>
    </w:rPr>
  </w:style>
  <w:style w:type="paragraph" w:customStyle="1" w:styleId="810">
    <w:name w:val="Char Char11 Char Char Char1"/>
    <w:basedOn w:val="1"/>
    <w:autoRedefine/>
    <w:qFormat/>
    <w:uiPriority w:val="6"/>
    <w:pPr>
      <w:spacing w:line="360" w:lineRule="auto"/>
    </w:pPr>
    <w:rPr>
      <w:szCs w:val="20"/>
    </w:rPr>
  </w:style>
  <w:style w:type="paragraph" w:customStyle="1" w:styleId="811">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2">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3">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4">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5">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6">
    <w:name w:val="默认段落字体 Para Char Char Char Char"/>
    <w:basedOn w:val="1"/>
    <w:autoRedefine/>
    <w:qFormat/>
    <w:uiPriority w:val="0"/>
    <w:pPr>
      <w:spacing w:line="360" w:lineRule="auto"/>
    </w:pPr>
    <w:rPr>
      <w:szCs w:val="20"/>
    </w:rPr>
  </w:style>
  <w:style w:type="paragraph" w:customStyle="1" w:styleId="817">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8">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9">
    <w:name w:val="Char2 Char Char Char2"/>
    <w:basedOn w:val="1"/>
    <w:autoRedefine/>
    <w:qFormat/>
    <w:uiPriority w:val="0"/>
    <w:rPr>
      <w:rFonts w:ascii="仿宋_GB2312" w:eastAsia="仿宋_GB2312"/>
      <w:b/>
      <w:sz w:val="32"/>
      <w:szCs w:val="32"/>
    </w:rPr>
  </w:style>
  <w:style w:type="paragraph" w:customStyle="1" w:styleId="820">
    <w:name w:val="Char1 Char Char Char Char Char Char Char Char Char"/>
    <w:basedOn w:val="1"/>
    <w:autoRedefine/>
    <w:qFormat/>
    <w:uiPriority w:val="0"/>
    <w:pPr>
      <w:adjustRightInd/>
      <w:spacing w:before="240" w:after="120" w:line="288" w:lineRule="auto"/>
      <w:ind w:firstLine="200" w:firstLineChars="200"/>
      <w:jc w:val="left"/>
    </w:pPr>
    <w:rPr>
      <w:rFonts w:ascii="Tahoma" w:hAnsi="Tahoma"/>
      <w:sz w:val="24"/>
    </w:rPr>
  </w:style>
  <w:style w:type="paragraph" w:customStyle="1" w:styleId="821">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2">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3">
    <w:name w:val="Char Char4 Char Char"/>
    <w:basedOn w:val="1"/>
    <w:autoRedefine/>
    <w:qFormat/>
    <w:uiPriority w:val="0"/>
    <w:pPr>
      <w:widowControl/>
      <w:adjustRightInd/>
      <w:spacing w:after="160" w:line="240" w:lineRule="exact"/>
      <w:jc w:val="left"/>
    </w:pPr>
  </w:style>
  <w:style w:type="paragraph" w:customStyle="1" w:styleId="824">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5">
    <w:name w:val="Char Char11 Char Char Char2"/>
    <w:basedOn w:val="1"/>
    <w:autoRedefine/>
    <w:qFormat/>
    <w:uiPriority w:val="0"/>
    <w:pPr>
      <w:spacing w:line="360" w:lineRule="auto"/>
    </w:pPr>
    <w:rPr>
      <w:szCs w:val="20"/>
    </w:rPr>
  </w:style>
  <w:style w:type="paragraph" w:customStyle="1" w:styleId="826">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7">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8">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9">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30">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1">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2">
    <w:name w:val="Char311"/>
    <w:basedOn w:val="1"/>
    <w:autoRedefine/>
    <w:qFormat/>
    <w:uiPriority w:val="0"/>
    <w:pPr>
      <w:adjustRightInd/>
      <w:ind w:firstLine="200" w:firstLineChars="200"/>
    </w:pPr>
    <w:rPr>
      <w:rFonts w:ascii="Tahoma" w:hAnsi="Tahoma"/>
      <w:sz w:val="24"/>
      <w:szCs w:val="20"/>
    </w:rPr>
  </w:style>
  <w:style w:type="paragraph" w:customStyle="1" w:styleId="833">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4">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5">
    <w:name w:val="正文 内标"/>
    <w:basedOn w:val="750"/>
    <w:autoRedefine/>
    <w:qFormat/>
    <w:uiPriority w:val="0"/>
    <w:pPr>
      <w:tabs>
        <w:tab w:val="left" w:pos="0"/>
      </w:tabs>
      <w:ind w:left="900" w:firstLine="0" w:firstLineChars="0"/>
    </w:pPr>
  </w:style>
  <w:style w:type="paragraph" w:customStyle="1" w:styleId="836">
    <w:name w:val="Bulleted List"/>
    <w:basedOn w:val="1"/>
    <w:autoRedefine/>
    <w:qFormat/>
    <w:uiPriority w:val="0"/>
    <w:pPr>
      <w:tabs>
        <w:tab w:val="left" w:pos="1260"/>
      </w:tabs>
      <w:adjustRightInd/>
      <w:ind w:left="1260" w:hanging="420"/>
    </w:pPr>
  </w:style>
  <w:style w:type="paragraph" w:customStyle="1" w:styleId="837">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8">
    <w:name w:val="样式 左侧:  0.85 厘米"/>
    <w:basedOn w:val="1"/>
    <w:autoRedefine/>
    <w:qFormat/>
    <w:uiPriority w:val="2"/>
    <w:pPr>
      <w:adjustRightInd/>
      <w:spacing w:line="360" w:lineRule="auto"/>
    </w:pPr>
    <w:rPr>
      <w:rFonts w:cs="宋体"/>
      <w:sz w:val="24"/>
      <w:szCs w:val="20"/>
    </w:rPr>
  </w:style>
  <w:style w:type="paragraph" w:customStyle="1" w:styleId="839">
    <w:name w:val="Char Char Char Char Char Char Char Char Char Char Char Char1 Char"/>
    <w:basedOn w:val="1"/>
    <w:autoRedefine/>
    <w:qFormat/>
    <w:uiPriority w:val="0"/>
    <w:rPr>
      <w:rFonts w:ascii="Tahoma" w:hAnsi="Tahoma" w:cs="仿宋_GB2312"/>
      <w:sz w:val="24"/>
      <w:szCs w:val="20"/>
    </w:rPr>
  </w:style>
  <w:style w:type="paragraph" w:customStyle="1" w:styleId="840">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1">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2">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3">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4">
    <w:name w:val="Char Char1 Char Char Char Char Char Char"/>
    <w:basedOn w:val="1"/>
    <w:autoRedefine/>
    <w:qFormat/>
    <w:uiPriority w:val="0"/>
    <w:rPr>
      <w:rFonts w:ascii="仿宋_GB2312" w:eastAsia="仿宋_GB2312"/>
      <w:b/>
      <w:sz w:val="32"/>
      <w:szCs w:val="20"/>
    </w:rPr>
  </w:style>
  <w:style w:type="paragraph" w:customStyle="1" w:styleId="845">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6">
    <w:name w:val="Char Char1 Char Char Char Char Char Char2"/>
    <w:basedOn w:val="1"/>
    <w:autoRedefine/>
    <w:qFormat/>
    <w:uiPriority w:val="0"/>
    <w:rPr>
      <w:rFonts w:ascii="仿宋_GB2312" w:eastAsia="仿宋_GB2312"/>
      <w:b/>
      <w:sz w:val="32"/>
      <w:szCs w:val="20"/>
    </w:rPr>
  </w:style>
  <w:style w:type="paragraph" w:customStyle="1" w:styleId="847">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8">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9">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50">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1">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2">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3">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4">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5">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6">
    <w:name w:val="Char31"/>
    <w:basedOn w:val="1"/>
    <w:autoRedefine/>
    <w:qFormat/>
    <w:uiPriority w:val="0"/>
    <w:pPr>
      <w:adjustRightInd/>
    </w:pPr>
    <w:rPr>
      <w:rFonts w:ascii="仿宋_GB2312" w:eastAsia="仿宋_GB2312"/>
      <w:b/>
      <w:sz w:val="32"/>
      <w:szCs w:val="32"/>
    </w:rPr>
  </w:style>
  <w:style w:type="paragraph" w:customStyle="1" w:styleId="857">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8">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9">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60">
    <w:name w:val="Char Char1"/>
    <w:basedOn w:val="1"/>
    <w:autoRedefine/>
    <w:qFormat/>
    <w:uiPriority w:val="0"/>
    <w:pPr>
      <w:widowControl/>
      <w:spacing w:after="160" w:line="240" w:lineRule="exact"/>
      <w:jc w:val="left"/>
    </w:pPr>
    <w:rPr>
      <w:rFonts w:eastAsia="仿宋_GB2312"/>
      <w:sz w:val="28"/>
    </w:rPr>
  </w:style>
  <w:style w:type="paragraph" w:customStyle="1" w:styleId="861">
    <w:name w:val="Char21"/>
    <w:basedOn w:val="1"/>
    <w:autoRedefine/>
    <w:qFormat/>
    <w:uiPriority w:val="0"/>
    <w:pPr>
      <w:adjustRightInd/>
      <w:ind w:firstLine="200" w:firstLineChars="200"/>
    </w:pPr>
    <w:rPr>
      <w:rFonts w:ascii="仿宋_GB2312" w:eastAsia="仿宋_GB2312"/>
      <w:b/>
      <w:sz w:val="32"/>
      <w:szCs w:val="32"/>
    </w:rPr>
  </w:style>
  <w:style w:type="paragraph" w:customStyle="1" w:styleId="862">
    <w:name w:val="列表段落1"/>
    <w:basedOn w:val="1"/>
    <w:autoRedefine/>
    <w:qFormat/>
    <w:uiPriority w:val="34"/>
    <w:pPr>
      <w:adjustRightInd/>
      <w:ind w:right="238" w:firstLine="420"/>
    </w:pPr>
    <w:rPr>
      <w:rFonts w:ascii="Calibri" w:hAnsi="Calibri"/>
      <w:sz w:val="24"/>
    </w:rPr>
  </w:style>
  <w:style w:type="paragraph" w:customStyle="1" w:styleId="863">
    <w:name w:val="Char Char110"/>
    <w:basedOn w:val="1"/>
    <w:autoRedefine/>
    <w:qFormat/>
    <w:uiPriority w:val="6"/>
    <w:pPr>
      <w:spacing w:line="360" w:lineRule="auto"/>
    </w:pPr>
    <w:rPr>
      <w:rFonts w:ascii="Tahoma" w:hAnsi="Tahoma"/>
      <w:sz w:val="24"/>
      <w:szCs w:val="20"/>
    </w:rPr>
  </w:style>
  <w:style w:type="paragraph" w:customStyle="1" w:styleId="864">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5">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6">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7">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8">
    <w:name w:val="Char Char Char Char Char Char Char Char Char Char Char Char1 Char2"/>
    <w:basedOn w:val="1"/>
    <w:autoRedefine/>
    <w:qFormat/>
    <w:uiPriority w:val="0"/>
    <w:rPr>
      <w:rFonts w:ascii="Tahoma" w:hAnsi="Tahoma" w:cs="仿宋_GB2312"/>
      <w:sz w:val="24"/>
      <w:szCs w:val="20"/>
    </w:rPr>
  </w:style>
  <w:style w:type="paragraph" w:customStyle="1" w:styleId="869">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70">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1">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2">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3">
    <w:name w:val="_Style 12"/>
    <w:basedOn w:val="18"/>
    <w:autoRedefine/>
    <w:qFormat/>
    <w:uiPriority w:val="0"/>
    <w:pPr>
      <w:snapToGrid w:val="0"/>
      <w:spacing w:line="360" w:lineRule="auto"/>
    </w:pPr>
  </w:style>
  <w:style w:type="paragraph" w:customStyle="1" w:styleId="874">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5">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6">
    <w:name w:val="_Style 94"/>
    <w:basedOn w:val="1"/>
    <w:next w:val="258"/>
    <w:autoRedefine/>
    <w:qFormat/>
    <w:uiPriority w:val="34"/>
    <w:pPr>
      <w:adjustRightInd/>
      <w:spacing w:line="360" w:lineRule="auto"/>
      <w:ind w:firstLine="200" w:firstLineChars="200"/>
    </w:pPr>
    <w:rPr>
      <w:rFonts w:ascii="Calibri" w:hAnsi="Calibri"/>
      <w:sz w:val="28"/>
      <w:szCs w:val="20"/>
    </w:rPr>
  </w:style>
  <w:style w:type="paragraph" w:customStyle="1" w:styleId="877">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8">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9">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80">
    <w:name w:val="3级标题"/>
    <w:basedOn w:val="672"/>
    <w:autoRedefine/>
    <w:qFormat/>
    <w:uiPriority w:val="0"/>
    <w:pPr>
      <w:outlineLvl w:val="2"/>
    </w:pPr>
  </w:style>
  <w:style w:type="paragraph" w:customStyle="1" w:styleId="881">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2">
    <w:name w:val="Char1 Char Char Char3"/>
    <w:basedOn w:val="1"/>
    <w:autoRedefine/>
    <w:qFormat/>
    <w:uiPriority w:val="0"/>
    <w:pPr>
      <w:adjustRightInd/>
      <w:ind w:firstLine="200" w:firstLineChars="200"/>
    </w:pPr>
    <w:rPr>
      <w:rFonts w:ascii="Tahoma" w:hAnsi="Tahoma"/>
      <w:sz w:val="24"/>
      <w:szCs w:val="20"/>
    </w:rPr>
  </w:style>
  <w:style w:type="paragraph" w:customStyle="1" w:styleId="883">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4">
    <w:name w:val="MM Empty"/>
    <w:basedOn w:val="1"/>
    <w:autoRedefine/>
    <w:qFormat/>
    <w:uiPriority w:val="0"/>
    <w:pPr>
      <w:adjustRightInd/>
    </w:pPr>
  </w:style>
  <w:style w:type="paragraph" w:customStyle="1" w:styleId="885">
    <w:name w:val="Char24"/>
    <w:basedOn w:val="1"/>
    <w:autoRedefine/>
    <w:qFormat/>
    <w:uiPriority w:val="0"/>
    <w:rPr>
      <w:rFonts w:ascii="仿宋_GB2312" w:eastAsia="仿宋_GB2312"/>
      <w:b/>
      <w:sz w:val="32"/>
      <w:szCs w:val="32"/>
    </w:rPr>
  </w:style>
  <w:style w:type="paragraph" w:customStyle="1" w:styleId="886">
    <w:name w:val="正文箭头"/>
    <w:basedOn w:val="538"/>
    <w:autoRedefine/>
    <w:qFormat/>
    <w:uiPriority w:val="0"/>
  </w:style>
  <w:style w:type="paragraph" w:customStyle="1" w:styleId="887">
    <w:name w:val="U_编号2"/>
    <w:basedOn w:val="1"/>
    <w:autoRedefine/>
    <w:qFormat/>
    <w:uiPriority w:val="0"/>
    <w:pPr>
      <w:tabs>
        <w:tab w:val="left" w:pos="785"/>
      </w:tabs>
      <w:adjustRightInd/>
      <w:spacing w:beforeLines="10" w:afterLines="10" w:line="300" w:lineRule="auto"/>
    </w:pPr>
    <w:rPr>
      <w:sz w:val="24"/>
    </w:rPr>
  </w:style>
  <w:style w:type="paragraph" w:customStyle="1" w:styleId="888">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9">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90">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1">
    <w:name w:val="TOC 标题11"/>
    <w:basedOn w:val="2"/>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2">
    <w:name w:val="_Style 1"/>
    <w:basedOn w:val="1"/>
    <w:autoRedefine/>
    <w:qFormat/>
    <w:uiPriority w:val="34"/>
    <w:pPr>
      <w:adjustRightInd/>
      <w:ind w:firstLine="420" w:firstLineChars="200"/>
    </w:pPr>
    <w:rPr>
      <w:rFonts w:eastAsia="仿宋_GB2312"/>
      <w:sz w:val="28"/>
    </w:rPr>
  </w:style>
  <w:style w:type="paragraph" w:customStyle="1" w:styleId="893">
    <w:name w:val="表格 内容"/>
    <w:basedOn w:val="729"/>
    <w:autoRedefine/>
    <w:qFormat/>
    <w:uiPriority w:val="0"/>
    <w:rPr>
      <w:b w:val="0"/>
      <w:sz w:val="20"/>
    </w:rPr>
  </w:style>
  <w:style w:type="paragraph" w:customStyle="1" w:styleId="894">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5">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6">
    <w:name w:val="数字标题5"/>
    <w:basedOn w:val="7"/>
    <w:next w:val="1"/>
    <w:autoRedefine/>
    <w:qFormat/>
    <w:uiPriority w:val="0"/>
    <w:pPr>
      <w:tabs>
        <w:tab w:val="left" w:pos="1080"/>
      </w:tabs>
      <w:ind w:left="1080" w:hanging="1080"/>
    </w:pPr>
  </w:style>
  <w:style w:type="paragraph" w:customStyle="1" w:styleId="897">
    <w:name w:val="数字标题1"/>
    <w:basedOn w:val="2"/>
    <w:next w:val="1"/>
    <w:autoRedefine/>
    <w:qFormat/>
    <w:uiPriority w:val="0"/>
    <w:pPr>
      <w:tabs>
        <w:tab w:val="left" w:pos="480"/>
      </w:tabs>
      <w:ind w:left="480" w:hanging="480"/>
    </w:pPr>
  </w:style>
  <w:style w:type="paragraph" w:customStyle="1" w:styleId="898">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9">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900">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1">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2">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3">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4">
    <w:name w:val="0"/>
    <w:basedOn w:val="1"/>
    <w:autoRedefine/>
    <w:qFormat/>
    <w:uiPriority w:val="0"/>
    <w:pPr>
      <w:widowControl/>
    </w:pPr>
    <w:rPr>
      <w:kern w:val="0"/>
      <w:sz w:val="24"/>
      <w:szCs w:val="20"/>
    </w:rPr>
  </w:style>
  <w:style w:type="paragraph" w:customStyle="1" w:styleId="905">
    <w:name w:val="Char Char113"/>
    <w:basedOn w:val="1"/>
    <w:autoRedefine/>
    <w:qFormat/>
    <w:uiPriority w:val="0"/>
    <w:pPr>
      <w:widowControl/>
      <w:spacing w:after="160" w:line="240" w:lineRule="exact"/>
      <w:jc w:val="left"/>
    </w:pPr>
    <w:rPr>
      <w:rFonts w:eastAsia="仿宋_GB2312"/>
      <w:sz w:val="28"/>
    </w:rPr>
  </w:style>
  <w:style w:type="paragraph" w:customStyle="1" w:styleId="906">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7">
    <w:name w:val="_Style 8"/>
    <w:basedOn w:val="1"/>
    <w:autoRedefine/>
    <w:qFormat/>
    <w:uiPriority w:val="34"/>
    <w:pPr>
      <w:adjustRightInd/>
      <w:ind w:firstLine="420" w:firstLineChars="200"/>
    </w:pPr>
    <w:rPr>
      <w:rFonts w:eastAsia="仿宋_GB2312"/>
      <w:sz w:val="28"/>
    </w:rPr>
  </w:style>
  <w:style w:type="paragraph" w:customStyle="1" w:styleId="908">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9">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10">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1">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2">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3">
    <w:name w:val="Char Char112"/>
    <w:basedOn w:val="1"/>
    <w:autoRedefine/>
    <w:qFormat/>
    <w:uiPriority w:val="6"/>
    <w:pPr>
      <w:widowControl/>
      <w:spacing w:after="160" w:line="240" w:lineRule="exact"/>
      <w:jc w:val="left"/>
    </w:pPr>
    <w:rPr>
      <w:rFonts w:eastAsia="仿宋_GB2312"/>
      <w:sz w:val="28"/>
    </w:rPr>
  </w:style>
  <w:style w:type="paragraph" w:customStyle="1" w:styleId="914">
    <w:name w:val="正文 图"/>
    <w:basedOn w:val="443"/>
    <w:autoRedefine/>
    <w:qFormat/>
    <w:uiPriority w:val="0"/>
    <w:pPr>
      <w:adjustRightInd/>
      <w:spacing w:before="0"/>
      <w:ind w:firstLine="0"/>
      <w:jc w:val="center"/>
    </w:pPr>
    <w:rPr>
      <w:rFonts w:ascii="微软雅黑" w:hAnsi="微软雅黑"/>
    </w:rPr>
  </w:style>
  <w:style w:type="paragraph" w:customStyle="1" w:styleId="915">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6">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7">
    <w:name w:val="Thf"/>
    <w:basedOn w:val="562"/>
    <w:autoRedefine/>
    <w:qFormat/>
    <w:uiPriority w:val="0"/>
    <w:pPr>
      <w:ind w:left="0"/>
    </w:pPr>
  </w:style>
  <w:style w:type="paragraph" w:customStyle="1" w:styleId="918">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9">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20">
    <w:name w:val="注释"/>
    <w:basedOn w:val="1"/>
    <w:autoRedefine/>
    <w:qFormat/>
    <w:uiPriority w:val="0"/>
    <w:pPr>
      <w:adjustRightInd/>
      <w:spacing w:line="360" w:lineRule="auto"/>
      <w:ind w:firstLine="480"/>
    </w:pPr>
    <w:rPr>
      <w:sz w:val="24"/>
    </w:rPr>
  </w:style>
  <w:style w:type="table" w:customStyle="1" w:styleId="921">
    <w:name w:val="网格型2"/>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1"/>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6"/>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3"/>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5">
    <w:name w:val="网格型4"/>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6">
    <w:name w:val="网格型5"/>
    <w:basedOn w:val="62"/>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7">
    <w:name w:val="列出段落111"/>
    <w:basedOn w:val="1"/>
    <w:autoRedefine/>
    <w:qFormat/>
    <w:uiPriority w:val="34"/>
    <w:pPr>
      <w:ind w:firstLine="420" w:firstLineChars="200"/>
    </w:pPr>
  </w:style>
  <w:style w:type="character" w:customStyle="1" w:styleId="928">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9">
    <w:name w:val="正文缩进 字符1"/>
    <w:autoRedefine/>
    <w:qFormat/>
    <w:uiPriority w:val="0"/>
    <w:rPr>
      <w:rFonts w:ascii="宋体" w:eastAsia="宋体"/>
      <w:snapToGrid w:val="0"/>
      <w:color w:val="000000"/>
      <w:kern w:val="28"/>
      <w:sz w:val="28"/>
      <w:lang w:val="en-US" w:eastAsia="zh-CN" w:bidi="ar-SA"/>
    </w:rPr>
  </w:style>
  <w:style w:type="character" w:customStyle="1" w:styleId="930">
    <w:name w:val="页脚 字符1"/>
    <w:autoRedefine/>
    <w:qFormat/>
    <w:locked/>
    <w:uiPriority w:val="99"/>
    <w:rPr>
      <w:kern w:val="2"/>
      <w:sz w:val="18"/>
      <w:szCs w:val="18"/>
    </w:rPr>
  </w:style>
  <w:style w:type="character" w:customStyle="1" w:styleId="931">
    <w:name w:val="页眉 字符1"/>
    <w:autoRedefine/>
    <w:qFormat/>
    <w:uiPriority w:val="99"/>
    <w:rPr>
      <w:kern w:val="2"/>
      <w:sz w:val="18"/>
      <w:szCs w:val="18"/>
    </w:rPr>
  </w:style>
  <w:style w:type="character" w:customStyle="1" w:styleId="932">
    <w:name w:val="尾注文本 Char"/>
    <w:link w:val="37"/>
    <w:autoRedefine/>
    <w:qFormat/>
    <w:uiPriority w:val="0"/>
    <w:rPr>
      <w:kern w:val="2"/>
      <w:sz w:val="21"/>
      <w:szCs w:val="24"/>
      <w:lang w:val="zh-CN"/>
    </w:rPr>
  </w:style>
  <w:style w:type="character" w:customStyle="1" w:styleId="933">
    <w:name w:val="无间隔 Char"/>
    <w:link w:val="483"/>
    <w:autoRedefine/>
    <w:qFormat/>
    <w:uiPriority w:val="99"/>
    <w:rPr>
      <w:kern w:val="2"/>
      <w:sz w:val="21"/>
      <w:szCs w:val="22"/>
    </w:rPr>
  </w:style>
  <w:style w:type="character" w:customStyle="1" w:styleId="934">
    <w:name w:val="标准文本 Char Char"/>
    <w:link w:val="935"/>
    <w:autoRedefine/>
    <w:qFormat/>
    <w:uiPriority w:val="0"/>
    <w:rPr>
      <w:rFonts w:cs="宋体"/>
      <w:kern w:val="2"/>
      <w:sz w:val="24"/>
    </w:rPr>
  </w:style>
  <w:style w:type="paragraph" w:customStyle="1" w:styleId="935">
    <w:name w:val="标准文本"/>
    <w:basedOn w:val="1"/>
    <w:link w:val="934"/>
    <w:autoRedefine/>
    <w:qFormat/>
    <w:uiPriority w:val="0"/>
    <w:pPr>
      <w:adjustRightInd/>
      <w:spacing w:line="360" w:lineRule="auto"/>
      <w:ind w:firstLine="480" w:firstLineChars="200"/>
    </w:pPr>
    <w:rPr>
      <w:rFonts w:cs="宋体"/>
      <w:sz w:val="24"/>
      <w:szCs w:val="20"/>
    </w:rPr>
  </w:style>
  <w:style w:type="character" w:customStyle="1" w:styleId="936">
    <w:name w:val="Char Char213"/>
    <w:autoRedefine/>
    <w:qFormat/>
    <w:uiPriority w:val="0"/>
    <w:rPr>
      <w:rFonts w:eastAsia="Century Gothic"/>
      <w:b/>
      <w:bCs/>
      <w:kern w:val="44"/>
      <w:sz w:val="32"/>
      <w:szCs w:val="44"/>
      <w:lang w:val="en-US" w:eastAsia="zh-CN" w:bidi="ar-SA"/>
    </w:rPr>
  </w:style>
  <w:style w:type="character" w:customStyle="1" w:styleId="937">
    <w:name w:val="apple-style-span"/>
    <w:autoRedefine/>
    <w:qFormat/>
    <w:uiPriority w:val="0"/>
    <w:rPr>
      <w:rFonts w:ascii="Arial" w:hAnsi="Arial" w:eastAsia="黑体" w:cs="Arial"/>
      <w:snapToGrid w:val="0"/>
      <w:kern w:val="0"/>
      <w:szCs w:val="21"/>
    </w:rPr>
  </w:style>
  <w:style w:type="character" w:customStyle="1" w:styleId="938">
    <w:name w:val="15"/>
    <w:autoRedefine/>
    <w:qFormat/>
    <w:uiPriority w:val="0"/>
    <w:rPr>
      <w:rFonts w:hint="default" w:ascii="Calibri" w:hAnsi="Calibri"/>
      <w:color w:val="0000FF"/>
      <w:u w:val="single"/>
    </w:rPr>
  </w:style>
  <w:style w:type="character" w:customStyle="1" w:styleId="939">
    <w:name w:val="16"/>
    <w:autoRedefine/>
    <w:qFormat/>
    <w:uiPriority w:val="0"/>
    <w:rPr>
      <w:rFonts w:hint="eastAsia" w:ascii="宋体" w:hAnsi="宋体" w:eastAsia="宋体"/>
      <w:color w:val="000000"/>
      <w:sz w:val="20"/>
      <w:szCs w:val="20"/>
    </w:rPr>
  </w:style>
  <w:style w:type="character" w:customStyle="1" w:styleId="940">
    <w:name w:val="edui-unclickable"/>
    <w:autoRedefine/>
    <w:qFormat/>
    <w:uiPriority w:val="0"/>
    <w:rPr>
      <w:color w:val="808080"/>
    </w:rPr>
  </w:style>
  <w:style w:type="character" w:customStyle="1" w:styleId="941">
    <w:name w:val="tpc_content1"/>
    <w:autoRedefine/>
    <w:qFormat/>
    <w:uiPriority w:val="0"/>
    <w:rPr>
      <w:sz w:val="20"/>
      <w:szCs w:val="20"/>
    </w:rPr>
  </w:style>
  <w:style w:type="character" w:customStyle="1" w:styleId="942">
    <w:name w:val="正文文本缩进 字符"/>
    <w:autoRedefine/>
    <w:qFormat/>
    <w:uiPriority w:val="0"/>
    <w:rPr>
      <w:rFonts w:ascii="Century Gothic" w:hAnsi="Century Gothic" w:eastAsia="Century Gothic"/>
      <w:kern w:val="2"/>
      <w:sz w:val="24"/>
      <w:lang w:val="en-US" w:eastAsia="zh-CN" w:bidi="ar-SA"/>
    </w:rPr>
  </w:style>
  <w:style w:type="character" w:customStyle="1" w:styleId="943">
    <w:name w:val="正文文本 2 字符"/>
    <w:autoRedefine/>
    <w:qFormat/>
    <w:uiPriority w:val="0"/>
    <w:rPr>
      <w:rFonts w:ascii="Arial" w:hAnsi="Arial" w:eastAsia="宋体"/>
      <w:kern w:val="2"/>
      <w:sz w:val="24"/>
      <w:szCs w:val="24"/>
      <w:lang w:val="en-US" w:eastAsia="zh-CN" w:bidi="ar-SA"/>
    </w:rPr>
  </w:style>
  <w:style w:type="character" w:customStyle="1" w:styleId="944">
    <w:name w:val="edui-clickable2"/>
    <w:autoRedefine/>
    <w:qFormat/>
    <w:uiPriority w:val="0"/>
    <w:rPr>
      <w:color w:val="0000FF"/>
      <w:u w:val="single"/>
    </w:rPr>
  </w:style>
  <w:style w:type="character" w:customStyle="1" w:styleId="945">
    <w:name w:val="style1"/>
    <w:autoRedefine/>
    <w:qFormat/>
    <w:uiPriority w:val="0"/>
    <w:rPr>
      <w:rFonts w:ascii="Arial" w:hAnsi="Arial" w:eastAsia="黑体" w:cs="Arial"/>
      <w:snapToGrid w:val="0"/>
      <w:kern w:val="0"/>
      <w:szCs w:val="21"/>
    </w:rPr>
  </w:style>
  <w:style w:type="character" w:customStyle="1" w:styleId="946">
    <w:name w:val="zbggtop11 style5"/>
    <w:autoRedefine/>
    <w:qFormat/>
    <w:uiPriority w:val="0"/>
    <w:rPr>
      <w:rFonts w:ascii="Arial" w:hAnsi="Arial" w:eastAsia="黑体" w:cs="Arial"/>
      <w:snapToGrid w:val="0"/>
      <w:kern w:val="0"/>
      <w:szCs w:val="21"/>
    </w:rPr>
  </w:style>
  <w:style w:type="character" w:customStyle="1" w:styleId="947">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8">
    <w:name w:val="bulletintext1"/>
    <w:autoRedefine/>
    <w:qFormat/>
    <w:uiPriority w:val="0"/>
    <w:rPr>
      <w:color w:val="000000"/>
      <w:sz w:val="18"/>
    </w:rPr>
  </w:style>
  <w:style w:type="paragraph" w:customStyle="1" w:styleId="949">
    <w:name w:val="_Style 947"/>
    <w:basedOn w:val="1"/>
    <w:next w:val="258"/>
    <w:autoRedefine/>
    <w:qFormat/>
    <w:uiPriority w:val="34"/>
    <w:pPr>
      <w:adjustRightInd/>
      <w:ind w:firstLine="420" w:firstLineChars="200"/>
    </w:pPr>
  </w:style>
  <w:style w:type="paragraph" w:customStyle="1" w:styleId="950">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1">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2">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3">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4">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5">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6">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7">
    <w:name w:val="Table Paragraph"/>
    <w:basedOn w:val="1"/>
    <w:autoRedefine/>
    <w:qFormat/>
    <w:uiPriority w:val="0"/>
    <w:pPr>
      <w:adjustRightInd/>
      <w:jc w:val="left"/>
    </w:pPr>
    <w:rPr>
      <w:rFonts w:ascii="Calibri" w:hAnsi="Calibri"/>
      <w:kern w:val="0"/>
      <w:sz w:val="22"/>
      <w:szCs w:val="22"/>
      <w:lang w:eastAsia="en-US"/>
    </w:rPr>
  </w:style>
  <w:style w:type="paragraph" w:customStyle="1" w:styleId="958">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9">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60">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1">
    <w:name w:val="ksfind_class_select1"/>
    <w:basedOn w:val="69"/>
    <w:autoRedefine/>
    <w:qFormat/>
    <w:uiPriority w:val="0"/>
    <w:rPr>
      <w:color w:val="000000"/>
      <w:shd w:val="clear" w:color="auto" w:fill="EFD200"/>
    </w:rPr>
  </w:style>
  <w:style w:type="character" w:customStyle="1" w:styleId="962">
    <w:name w:val="font71"/>
    <w:autoRedefine/>
    <w:qFormat/>
    <w:uiPriority w:val="0"/>
    <w:rPr>
      <w:rFonts w:hint="eastAsia" w:ascii="宋体" w:hAnsi="宋体" w:eastAsia="宋体" w:cs="宋体"/>
      <w:color w:val="000000"/>
      <w:sz w:val="22"/>
      <w:szCs w:val="22"/>
      <w:u w:val="none"/>
    </w:rPr>
  </w:style>
  <w:style w:type="character" w:customStyle="1" w:styleId="963">
    <w:name w:val="font91"/>
    <w:autoRedefine/>
    <w:qFormat/>
    <w:uiPriority w:val="0"/>
    <w:rPr>
      <w:rFonts w:hint="eastAsia" w:ascii="仿宋" w:hAnsi="仿宋" w:eastAsia="仿宋" w:cs="仿宋"/>
      <w:color w:val="000000"/>
      <w:sz w:val="22"/>
      <w:szCs w:val="22"/>
      <w:u w:val="none"/>
    </w:rPr>
  </w:style>
  <w:style w:type="paragraph" w:customStyle="1" w:styleId="964">
    <w:name w:val="Revision"/>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5">
    <w:name w:val="HIK 段分 4"/>
    <w:basedOn w:val="6"/>
    <w:next w:val="1"/>
    <w:autoRedefine/>
    <w:qFormat/>
    <w:uiPriority w:val="0"/>
    <w:pPr>
      <w:keepLines w:val="0"/>
      <w:pageBreakBefore/>
      <w:numPr>
        <w:ilvl w:val="3"/>
        <w:numId w:val="1"/>
      </w:numPr>
      <w:tabs>
        <w:tab w:val="clear" w:pos="864"/>
      </w:tabs>
      <w:spacing w:before="60" w:after="60" w:line="360" w:lineRule="auto"/>
      <w:jc w:val="left"/>
    </w:pPr>
    <w:rPr>
      <w:rFonts w:ascii="仿宋" w:hAnsi="Cambria" w:eastAsia="仿宋"/>
      <w:kern w:val="0"/>
      <w:lang w:val="en-US" w:bidi="en-US"/>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footer" Target="footer10.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127</Pages>
  <Words>5950</Words>
  <Characters>33920</Characters>
  <Lines>282</Lines>
  <Paragraphs>79</Paragraphs>
  <TotalTime>12</TotalTime>
  <ScaleCrop>false</ScaleCrop>
  <LinksUpToDate>false</LinksUpToDate>
  <CharactersWithSpaces>39791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2021-07-30T16:22:00Z</dcterms:created>
  <dc:creator>玥</dc:creator>
  <cp:lastModifiedBy>Administrator</cp:lastModifiedBy>
  <cp:lastPrinted>2021-12-27T19:06:00Z</cp:lastPrinted>
  <dcterms:modified xsi:type="dcterms:W3CDTF">2024-04-25T02:20:40Z</dcterms:modified>
  <dc:title>杭州市市民卡扩大发卡工程</dc:title>
  <cp:revision>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