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bookmarkStart w:id="529" w:name="_GoBack"/>
      <w:bookmarkEnd w:id="529"/>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杭州市儿童医院安保服务项目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编号:HZZFCG-2022-239</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杭州市儿童医院</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杭州市公共资源交易中心（杭州市政府采购中心）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二〇二二年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6"/>
        <w:spacing w:line="360" w:lineRule="auto"/>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杭州市儿童医院安保服务项目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3</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eastAsia="宋体" w:cs="宋体"/>
          <w:snapToGrid/>
          <w:color w:val="auto"/>
          <w:kern w:val="2"/>
          <w:sz w:val="24"/>
          <w:szCs w:val="24"/>
          <w:highlight w:val="none"/>
          <w:u w:val="single"/>
          <w:lang w:val="en-US" w:eastAsia="zh-CN"/>
        </w:rPr>
        <w:t>1</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eastAsia="宋体" w:cs="宋体"/>
          <w:snapToGrid/>
          <w:color w:val="auto"/>
          <w:kern w:val="2"/>
          <w:sz w:val="24"/>
          <w:szCs w:val="24"/>
          <w:highlight w:val="none"/>
          <w:u w:val="single"/>
          <w:lang w:val="en-US" w:eastAsia="zh-CN"/>
        </w:rPr>
        <w:t>10</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eastAsia="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eastAsia="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HZZFCG-2022-239</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杭州市儿童医院安保服务项目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 xml:space="preserve">  8800000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8800000</w:t>
      </w:r>
    </w:p>
    <w:p>
      <w:pPr>
        <w:spacing w:line="360" w:lineRule="auto"/>
        <w:ind w:firstLine="535" w:firstLineChars="222"/>
        <w:rPr>
          <w:rFonts w:hint="eastAsia" w:ascii="宋体" w:hAnsi="宋体" w:cs="宋体"/>
          <w:color w:val="auto"/>
          <w:sz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杭州市儿童医院位于杭州市文晖路195号，安保服务范围建筑面积约9万平方米，具体包括：维护公共秩序、进院通道疫情防控，做好防火、防盗、安全工作；应急处理突发刑事、治安案件和各类灾害；守护和巡逻；负责院内道路交通管理、机动车与非机动车停放管理；配合、服从对口管理部门的临时应急调度，协助处理医疗纠纷等。</w:t>
      </w:r>
    </w:p>
    <w:p>
      <w:pPr>
        <w:pStyle w:val="5"/>
        <w:spacing w:line="360" w:lineRule="auto"/>
        <w:ind w:firstLine="480"/>
        <w:rPr>
          <w:rFonts w:hAnsi="宋体" w:cs="宋体"/>
          <w:bCs/>
          <w:snapToGrid/>
          <w:color w:val="auto"/>
          <w:kern w:val="2"/>
          <w:sz w:val="24"/>
          <w:szCs w:val="24"/>
          <w:highlight w:val="none"/>
        </w:rPr>
      </w:pPr>
      <w:r>
        <w:rPr>
          <w:rFonts w:hint="eastAsia" w:hAnsi="宋体"/>
          <w:snapToGrid/>
          <w:color w:val="auto"/>
          <w:kern w:val="2"/>
          <w:sz w:val="24"/>
          <w:szCs w:val="24"/>
          <w:highlight w:val="none"/>
        </w:rPr>
        <w:t>具体以招标文件第三部分采购需求为准，供应商可点击本公告右下方“浏览采购文件”查看采购需求。</w:t>
      </w:r>
    </w:p>
    <w:p>
      <w:pPr>
        <w:pStyle w:val="158"/>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2023年1月1日至2024年12月31日。2023年1月1日至2023年度合同签订期间的物业服务，由2022年度供应商按2023年需求继续实施，费用由2023年度中标人按2023年度中标价单日金额乘以实际服务天数，与2022年度供应商结算。</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hint="default"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供应商为保安服务公司的，取得《保安服务许可证》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供应商为自行招用保安员的单位的，承诺自开始保安服务之日起30日内向所在地设区的市级人民政府公安机关备案；</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3</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eastAsia="宋体" w:cs="宋体"/>
          <w:snapToGrid/>
          <w:color w:val="auto"/>
          <w:kern w:val="2"/>
          <w:sz w:val="24"/>
          <w:szCs w:val="24"/>
          <w:highlight w:val="none"/>
          <w:u w:val="single"/>
          <w:lang w:val="en-US" w:eastAsia="zh-CN"/>
        </w:rPr>
        <w:t>1</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eastAsia="宋体" w:cs="宋体"/>
          <w:snapToGrid/>
          <w:color w:val="auto"/>
          <w:kern w:val="2"/>
          <w:sz w:val="24"/>
          <w:szCs w:val="24"/>
          <w:highlight w:val="none"/>
          <w:u w:val="single"/>
          <w:lang w:val="en-US" w:eastAsia="zh-CN"/>
        </w:rPr>
        <w:t>10</w:t>
      </w:r>
      <w:r>
        <w:rPr>
          <w:rStyle w:val="76"/>
          <w:rFonts w:hint="eastAsia" w:ascii="宋体" w:hAnsi="宋体" w:eastAsia="宋体" w:cs="宋体"/>
          <w:snapToGrid/>
          <w:color w:val="auto"/>
          <w:kern w:val="2"/>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3</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eastAsia="宋体" w:cs="宋体"/>
          <w:snapToGrid/>
          <w:color w:val="auto"/>
          <w:kern w:val="2"/>
          <w:sz w:val="24"/>
          <w:szCs w:val="24"/>
          <w:highlight w:val="none"/>
          <w:u w:val="single"/>
          <w:lang w:val="en-US" w:eastAsia="zh-CN"/>
        </w:rPr>
        <w:t>1</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eastAsia="宋体" w:cs="宋体"/>
          <w:snapToGrid/>
          <w:color w:val="auto"/>
          <w:kern w:val="2"/>
          <w:sz w:val="24"/>
          <w:szCs w:val="24"/>
          <w:highlight w:val="none"/>
          <w:u w:val="single"/>
          <w:lang w:val="en-US" w:eastAsia="zh-CN"/>
        </w:rPr>
        <w:t>10</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eastAsia="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eastAsia="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eastAsia="宋体" w:cs="宋体"/>
          <w:snapToGrid/>
          <w:color w:val="auto"/>
          <w:kern w:val="2"/>
          <w:sz w:val="24"/>
          <w:szCs w:val="24"/>
          <w:highlight w:val="none"/>
          <w:u w:val="single"/>
          <w:lang w:val="en-US" w:eastAsia="zh-CN"/>
        </w:rPr>
        <w:t>3</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eastAsia="宋体" w:cs="宋体"/>
          <w:snapToGrid/>
          <w:color w:val="auto"/>
          <w:kern w:val="2"/>
          <w:sz w:val="24"/>
          <w:szCs w:val="24"/>
          <w:highlight w:val="none"/>
          <w:u w:val="single"/>
          <w:lang w:val="en-US" w:eastAsia="zh-CN"/>
        </w:rPr>
        <w:t>1</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eastAsia="宋体" w:cs="宋体"/>
          <w:snapToGrid/>
          <w:color w:val="auto"/>
          <w:kern w:val="2"/>
          <w:sz w:val="24"/>
          <w:szCs w:val="24"/>
          <w:highlight w:val="none"/>
          <w:u w:val="single"/>
          <w:lang w:val="en-US" w:eastAsia="zh-CN"/>
        </w:rPr>
        <w:t>10</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eastAsia="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eastAsia="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称：杭州市儿童医院</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杭州市拱墅区文晖路195号</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 陈老师</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项目联系方式（询问）：0571-85465722</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   向老师</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  0571-85463992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址：杭州市之江路925号（临江金座2号楼)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项目联系人（询问）：陈星宇、张曙平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项目联系方式（询问）：0571-85085569、85085067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质疑联系人：滕菲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质疑联系方式：0571-85085388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址：杭州市中河中路152号614办公室 </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：厉先生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w:t>
      </w:r>
      <w:r>
        <w:rPr>
          <w:rFonts w:ascii="宋体" w:hAnsi="宋体" w:cs="宋体"/>
          <w:color w:val="auto"/>
          <w:sz w:val="24"/>
          <w:highlight w:val="none"/>
        </w:rPr>
        <w:t>89580456</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520"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520"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520" w:type="dxa"/>
            <w:noWrap w:val="0"/>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安保服务</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物业管理</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20" w:type="dxa"/>
            <w:noWrap w:val="0"/>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hint="eastAsia"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noWrap w:val="0"/>
            <w:vAlign w:val="center"/>
          </w:tcPr>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520"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车位管理服务  </w:t>
            </w:r>
            <w:r>
              <w:rPr>
                <w:rFonts w:hint="eastAsia" w:ascii="宋体" w:hAnsi="宋体" w:cs="宋体"/>
                <w:color w:val="auto"/>
                <w:sz w:val="24"/>
                <w:highlight w:val="none"/>
              </w:rPr>
              <w:t>工作分包。</w:t>
            </w:r>
          </w:p>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20"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520"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不要求提供。</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☐B要求提供，</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noWrap w:val="0"/>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520"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B组织。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杭州市公共资源交易中心4楼讲标室（答疑室）</w:t>
            </w:r>
            <w:r>
              <w:rPr>
                <w:rFonts w:hint="eastAsia" w:ascii="宋体" w:hAnsi="宋体" w:cs="宋体"/>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20"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tblHeader/>
        </w:trPr>
        <w:tc>
          <w:tcPr>
            <w:tcW w:w="629" w:type="dxa"/>
            <w:vMerge w:val="continue"/>
            <w:noWrap w:val="0"/>
            <w:vAlign w:val="center"/>
          </w:tcPr>
          <w:p>
            <w:pPr>
              <w:snapToGrid w:val="0"/>
              <w:spacing w:line="360" w:lineRule="auto"/>
              <w:jc w:val="center"/>
              <w:rPr>
                <w:rFonts w:hint="eastAsia" w:ascii="宋体" w:hAnsi="宋体" w:cs="宋体"/>
                <w:color w:val="auto"/>
                <w:sz w:val="24"/>
                <w:highlight w:val="none"/>
              </w:rPr>
            </w:pPr>
          </w:p>
        </w:tc>
        <w:tc>
          <w:tcPr>
            <w:tcW w:w="1843" w:type="dxa"/>
            <w:vMerge w:val="continue"/>
            <w:noWrap w:val="0"/>
            <w:vAlign w:val="center"/>
          </w:tcPr>
          <w:p>
            <w:pPr>
              <w:snapToGrid w:val="0"/>
              <w:spacing w:line="360" w:lineRule="auto"/>
              <w:jc w:val="center"/>
              <w:rPr>
                <w:rFonts w:hint="eastAsia" w:ascii="宋体" w:hAnsi="宋体" w:cs="宋体"/>
                <w:b/>
                <w:color w:val="auto"/>
                <w:sz w:val="24"/>
                <w:highlight w:val="none"/>
              </w:rPr>
            </w:pPr>
          </w:p>
        </w:tc>
        <w:tc>
          <w:tcPr>
            <w:tcW w:w="6520"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20" w:type="dxa"/>
            <w:noWrap w:val="0"/>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520" w:type="dxa"/>
            <w:noWrap w:val="0"/>
            <w:vAlign w:val="center"/>
          </w:tcPr>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520" w:type="dxa"/>
            <w:noWrap w:val="0"/>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供应商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noWrap w:val="0"/>
            <w:vAlign w:val="center"/>
          </w:tcPr>
          <w:p>
            <w:pPr>
              <w:spacing w:line="360" w:lineRule="auto"/>
              <w:ind w:firstLine="420" w:firstLineChars="200"/>
              <w:jc w:val="center"/>
              <w:rPr>
                <w:rFonts w:hint="eastAsia" w:ascii="宋体" w:hAnsi="宋体" w:cs="宋体"/>
                <w:color w:val="auto"/>
                <w:highlight w:val="none"/>
              </w:rPr>
            </w:pPr>
          </w:p>
        </w:tc>
        <w:tc>
          <w:tcPr>
            <w:tcW w:w="1843" w:type="dxa"/>
            <w:vMerge w:val="continue"/>
            <w:noWrap w:val="0"/>
            <w:vAlign w:val="center"/>
          </w:tcPr>
          <w:p>
            <w:pPr>
              <w:spacing w:line="360" w:lineRule="auto"/>
              <w:ind w:firstLine="420" w:firstLineChars="200"/>
              <w:rPr>
                <w:rFonts w:hint="eastAsia" w:ascii="宋体" w:hAnsi="宋体" w:cs="宋体"/>
                <w:color w:val="auto"/>
                <w:highlight w:val="none"/>
              </w:rPr>
            </w:pPr>
          </w:p>
        </w:tc>
        <w:tc>
          <w:tcPr>
            <w:tcW w:w="6520" w:type="dxa"/>
            <w:noWrap w:val="0"/>
            <w:vAlign w:val="center"/>
          </w:tcPr>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20" w:type="dxa"/>
            <w:noWrap w:val="0"/>
            <w:vAlign w:val="center"/>
          </w:tcPr>
          <w:p>
            <w:pPr>
              <w:pStyle w:val="32"/>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restart"/>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noWrap w:val="0"/>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520" w:type="dxa"/>
            <w:noWrap w:val="0"/>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continue"/>
            <w:noWrap w:val="0"/>
            <w:vAlign w:val="top"/>
          </w:tcPr>
          <w:p>
            <w:pPr>
              <w:snapToGrid w:val="0"/>
              <w:spacing w:line="360" w:lineRule="auto"/>
              <w:jc w:val="center"/>
              <w:rPr>
                <w:rFonts w:hint="eastAsia" w:ascii="宋体" w:hAnsi="宋体" w:cs="宋体"/>
                <w:color w:val="auto"/>
                <w:sz w:val="24"/>
                <w:highlight w:val="none"/>
              </w:rPr>
            </w:pPr>
          </w:p>
        </w:tc>
        <w:tc>
          <w:tcPr>
            <w:tcW w:w="1843" w:type="dxa"/>
            <w:vMerge w:val="continue"/>
            <w:noWrap w:val="0"/>
            <w:vAlign w:val="top"/>
          </w:tcPr>
          <w:p>
            <w:pPr>
              <w:snapToGrid w:val="0"/>
              <w:spacing w:line="360" w:lineRule="auto"/>
              <w:jc w:val="center"/>
              <w:rPr>
                <w:rFonts w:hint="eastAsia" w:ascii="宋体" w:hAnsi="宋体" w:cs="宋体"/>
                <w:b/>
                <w:color w:val="auto"/>
                <w:sz w:val="24"/>
                <w:highlight w:val="none"/>
              </w:rPr>
            </w:pPr>
          </w:p>
        </w:tc>
        <w:tc>
          <w:tcPr>
            <w:tcW w:w="6520" w:type="dxa"/>
            <w:noWrap w:val="0"/>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4.2.4对同一采购程序环节的质疑，供应商须在法定质疑期内一次性提出。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4.4在线质疑、投诉。</w:t>
      </w:r>
    </w:p>
    <w:p>
      <w:pPr>
        <w:pStyle w:val="888"/>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5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5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5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5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5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5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5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5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5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5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58"/>
        <w:spacing w:before="0"/>
        <w:ind w:firstLine="643"/>
        <w:rPr>
          <w:rFonts w:ascii="宋体" w:hAnsi="宋体" w:cs="宋体"/>
          <w:b/>
          <w:color w:val="auto"/>
          <w:sz w:val="32"/>
          <w:highlight w:val="none"/>
        </w:rPr>
      </w:pPr>
    </w:p>
    <w:p>
      <w:pPr>
        <w:pStyle w:val="15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5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5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5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5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5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5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5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5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5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5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5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5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5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5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5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4730295"/>
      <w:bookmarkEnd w:id="16"/>
      <w:bookmarkStart w:id="17" w:name="_Hlt68072998"/>
      <w:bookmarkEnd w:id="17"/>
      <w:bookmarkStart w:id="18" w:name="_Hlt75236290"/>
      <w:bookmarkEnd w:id="18"/>
      <w:bookmarkStart w:id="19" w:name="_Hlt68403820"/>
      <w:bookmarkEnd w:id="19"/>
      <w:bookmarkStart w:id="20" w:name="_Hlt74729768"/>
      <w:bookmarkEnd w:id="20"/>
      <w:bookmarkStart w:id="21" w:name="_Hlt75236011"/>
      <w:bookmarkEnd w:id="21"/>
      <w:bookmarkStart w:id="22" w:name="_Hlt74707468"/>
      <w:bookmarkEnd w:id="22"/>
      <w:bookmarkStart w:id="23" w:name="_Hlt75236101"/>
      <w:bookmarkEnd w:id="23"/>
      <w:bookmarkStart w:id="24" w:name="_Hlt68072990"/>
      <w:bookmarkEnd w:id="24"/>
      <w:bookmarkStart w:id="25" w:name="_Hlt74714665"/>
      <w:bookmarkEnd w:id="25"/>
      <w:bookmarkStart w:id="26" w:name="_Hlt68057669"/>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napToGrid w:val="0"/>
        <w:spacing w:line="360" w:lineRule="auto"/>
        <w:jc w:val="left"/>
        <w:rPr>
          <w:rFonts w:hint="eastAsia" w:ascii="宋体" w:hAnsi="宋体" w:cs="宋体"/>
          <w:color w:val="auto"/>
          <w:sz w:val="28"/>
          <w:highlight w:val="none"/>
        </w:rPr>
      </w:pPr>
      <w:r>
        <w:rPr>
          <w:rFonts w:hint="eastAsia" w:ascii="宋体" w:hAnsi="宋体" w:cs="宋体"/>
          <w:color w:val="auto"/>
          <w:sz w:val="24"/>
          <w:highlight w:val="none"/>
        </w:rPr>
        <w:t>属于实质性要求条款的，已用符号“▲”标明，否则属于非实质性要求；标记符号“※”的为项目采购产品的重要技术指标。</w:t>
      </w:r>
    </w:p>
    <w:p>
      <w:pPr>
        <w:spacing w:line="360" w:lineRule="auto"/>
        <w:ind w:firstLine="532" w:firstLineChars="222"/>
        <w:rPr>
          <w:rFonts w:hint="eastAsia" w:ascii="宋体" w:hAnsi="宋体" w:cs="宋体"/>
          <w:color w:val="auto"/>
          <w:sz w:val="24"/>
          <w:highlight w:val="none"/>
        </w:rPr>
      </w:pPr>
      <w:r>
        <w:rPr>
          <w:rFonts w:hint="eastAsia" w:ascii="宋体" w:hAnsi="宋体" w:cs="宋体"/>
          <w:color w:val="auto"/>
          <w:sz w:val="24"/>
          <w:highlight w:val="none"/>
        </w:rPr>
        <w:t>杭州市儿童医院位于杭州市文晖路195号，安保服务范围建筑面积约9万平方米，具体包括：维护公共秩序、进院通道疫情防控，做好防火、防盗、安全工作；应急处理突发刑事、治安案件和各类灾害；守护和巡逻；负责院内道路交通管理、机动车与非机动车停放管理；配合、服从对口管理部门的临时应急调度，协助处理医疗纠纷等。</w:t>
      </w:r>
    </w:p>
    <w:p>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2023年1月1日至2023年度合同签订期间的物业服务，由2022年度供应商按2023年需求继续实施，费用由2023年度中标人按2023年度中标价单日金额乘以实际服务天数，与2022年度供应商结算。</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一、项目要求</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1、熟悉医院周边的环境，能处理和应对公共秩序维护工作，能正确使用各类消防、物防、技防器械和设备，能够熟悉、掌握各类刑事、治安案件和各类灾害事故的应急预案。</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2、在医院发生突发、应急事件中的配合、处置服务：拥有30人以上的特保队伍，能够按照用户特保需求人员在30分钟内及时到达现场。</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安保人员务必做到精神饱满，姿态端正，执勤人员务必做到接待热情、服务周到、文明礼貌。详细制订安全管理工作目标、方案和措施，积极有效维护院区安全及秩序管理，高标准做好本区域内的治安防范、安全监督工作，发现安全隐患要及时排除，遇有重要安全问题要及时报告分管部门，并积极整改完善。</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4、每月定期组织安保科目、队列动作和基本体能等内容训练（每月至少2次），每半年至少组织一次综合性执勤及体能考核。每月组织召开一次保安会议，主要是通报情况、布置工作、讲评好人好事，指出存在问题和不足，明确下步安全管理工作目标及任务。</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5、接受使用方赋予的其他工作。</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二、主要工作：</w:t>
      </w:r>
    </w:p>
    <w:p>
      <w:pPr>
        <w:pStyle w:val="158"/>
        <w:spacing w:before="0"/>
        <w:ind w:firstLineChars="0"/>
        <w:rPr>
          <w:rFonts w:hint="eastAsia" w:ascii="宋体" w:hAnsi="宋体" w:cs="宋体"/>
          <w:color w:val="auto"/>
          <w:szCs w:val="24"/>
          <w:highlight w:val="none"/>
        </w:rPr>
      </w:pPr>
      <w:r>
        <w:rPr>
          <w:rFonts w:hint="eastAsia" w:ascii="宋体" w:hAnsi="宋体" w:cs="宋体"/>
          <w:color w:val="auto"/>
          <w:szCs w:val="24"/>
          <w:highlight w:val="none"/>
        </w:rPr>
        <w:t>1、确保院区安全管控，严禁无关人员进出。配备对讲装备和其他必备的安全护卫器械，明确巡查工作职责，规范巡视工作流程，制定相对固定的巡视路线，对重要区域、部位、设备机房进行重点巡视并记录巡视情况，及时发现和处理各种安全和事故隐患。</w:t>
      </w:r>
    </w:p>
    <w:p>
      <w:pPr>
        <w:pStyle w:val="158"/>
        <w:spacing w:before="0"/>
        <w:ind w:firstLineChars="0"/>
        <w:rPr>
          <w:rFonts w:hint="eastAsia" w:ascii="宋体" w:hAnsi="宋体" w:cs="宋体"/>
          <w:color w:val="auto"/>
          <w:szCs w:val="24"/>
          <w:highlight w:val="none"/>
        </w:rPr>
      </w:pPr>
      <w:r>
        <w:rPr>
          <w:rFonts w:hint="eastAsia" w:ascii="宋体" w:hAnsi="宋体" w:cs="宋体"/>
          <w:color w:val="auto"/>
          <w:szCs w:val="24"/>
          <w:highlight w:val="none"/>
        </w:rPr>
        <w:t>2、按照要求制订各类突发事件应急预案，并将预案内容在保安室、监控室、机房等处张榜悬挂。在各楼层固定位置悬挂疏散示意图及引路标志，每年组织不少于2次的突发事件应急演习。</w:t>
      </w:r>
    </w:p>
    <w:p>
      <w:pPr>
        <w:pStyle w:val="158"/>
        <w:spacing w:before="0"/>
        <w:ind w:firstLineChars="0"/>
        <w:rPr>
          <w:rFonts w:hint="eastAsia" w:ascii="宋体" w:hAnsi="宋体" w:cs="宋体"/>
          <w:color w:val="auto"/>
          <w:szCs w:val="24"/>
          <w:highlight w:val="none"/>
        </w:rPr>
      </w:pPr>
      <w:r>
        <w:rPr>
          <w:rFonts w:hint="eastAsia" w:ascii="宋体" w:hAnsi="宋体" w:cs="宋体"/>
          <w:color w:val="auto"/>
          <w:szCs w:val="24"/>
          <w:highlight w:val="none"/>
        </w:rPr>
        <w:t>3、严格人员和车辆出入及安全盘查登记等，禁止外卖、回收废品等无关或闲杂人员进入</w:t>
      </w:r>
      <w:bookmarkStart w:id="28" w:name="OLE_LINK5"/>
      <w:r>
        <w:rPr>
          <w:rFonts w:hint="eastAsia" w:ascii="宋体" w:hAnsi="宋体" w:cs="宋体"/>
          <w:color w:val="auto"/>
          <w:szCs w:val="24"/>
          <w:highlight w:val="none"/>
        </w:rPr>
        <w:t>院区</w:t>
      </w:r>
      <w:bookmarkEnd w:id="28"/>
      <w:r>
        <w:rPr>
          <w:rFonts w:hint="eastAsia" w:ascii="宋体" w:hAnsi="宋体" w:cs="宋体"/>
          <w:color w:val="auto"/>
          <w:szCs w:val="24"/>
          <w:highlight w:val="none"/>
        </w:rPr>
        <w:t>等。</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4、道路交通管理、车速过快纠治、闲杂人员清理、机动车和非机动车停放管理、公共区域防火和防盗工作、大项活动安全保障、参加应急分队拉动演练等。</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5、根据需要赋予的其他临时性安全及保障任务。</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三、服务标准</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要求穿戴统一制服，装备佩戴规范，当值时坐姿挺直，站岗时不倚不靠；文明执勤，训练有素，言语规范，礼貌待客，认真负责；当发生台风、暴雨等灾害性天气及其他危害公共安全的突发事件时，应采取应急措施。</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各岗位人员必须按规定实行岗位警戒，根据不同突发事件的现场情况进行应变处理，在有关部门到达现场前，确保医院职工、患者人身安全，减少财产损失，并全力协助处理相关事宜。对待上访人员做到耐心说服，及时报告有关部门予以妥善处置，</w:t>
      </w:r>
      <w:r>
        <w:rPr>
          <w:rFonts w:hint="eastAsia" w:ascii="宋体" w:hAnsi="宋体" w:cs="宋体"/>
          <w:snapToGrid w:val="0"/>
          <w:color w:val="auto"/>
          <w:kern w:val="0"/>
          <w:szCs w:val="24"/>
          <w:highlight w:val="none"/>
        </w:rPr>
        <w:t>各工种的配置和劳动力的投入满足需要：</w:t>
      </w:r>
      <w:r>
        <w:rPr>
          <w:rFonts w:hint="eastAsia" w:ascii="宋体" w:hAnsi="宋体" w:cs="宋体"/>
          <w:color w:val="auto"/>
          <w:szCs w:val="24"/>
          <w:highlight w:val="none"/>
        </w:rPr>
        <w:t>从业人员均需持证上岗。</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提供24小时值守，严格建立传达、保卫、车辆、道路及公共秩序管理制度；登记查验、安全盘查等；确保通联畅通，遇有情况能及时有效处置；阻止杜绝外卖、产品推销及废品收购等闲杂人员进入工作区域，维护安全。</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4、明确巡查工作职责，规范流程，制定巡逻巡查路线，对重要区域及重点目标要进行重点巡查，及时发现和处理各种安全和事故隐患。如巡查中发现有异常情况，应立即通知总值班或相关安全部门，并及时采取必要措施，随时启动并执行相应的应急预案，要做到按时按点执勤值守和巡逻巡查，不得脱岗,上班期间不做玩手机、睡觉等与工作无关的事情。</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对进入医院的可疑人员和车辆（除全体工作人员、车辆外）要进行盘查登记（登记本由乙方统一制作），做到门口无拥堵现象。保证车辆有序通行、有序停放，尤其是上下班集中期，遇有大项任务时须增加人手维护秩序。</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6、突发事件处理，结合我院实际及要求，制订《保安突发事件应急预案》，组织常态化学习，制度化落实，确保预案内容人人皆知，保安人员在岗期间发现治安事件、刑事案件、突发性事件和意外灾害等情况时，要及时报警，并在能力范围内采取有力措施，迅速制止并妥善处理，同时迅速报医院保卫科，并保护好现场，维护好秩序，协助有关部门处理。</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7、值班室务必保持卫生整洁，物品摆放整齐，不得存放及使用电磁炉、电饭锅、电风扇、取暖器、碗茶具等无关物品。</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8、医院将对供应商的人员在岗情况进行不定期抽查，每发现一例缺岗，将在当月结算费用中扣除1000元/岗位/天。</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四、人员要求：</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安保人员具有高度事业心和责任感，身体健康，品行端正，无违法违纪记录，能尊重院方工作人员，必须具备保安员职业资格证书，持证上岗（保安证），有较好的语言、文字表达能力，能独立履行岗位管理工作职能。</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2、初中以上学历，身高170厘米以上，平均年龄45周岁以下(退伍军人、有特长可适当放宽)男性。</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3、提供服务后，除正常休假人员外，确保不缺人、不缺岗，如缺岗按实际缺岗人数扣除当月劳务费。</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4、保安员上岗应着保安员服装，佩带统一的保安服务标志。</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5、在安保服务中，为履行安保服务职责，保安员可以采取下列措施：</w:t>
      </w:r>
      <w:r>
        <w:rPr>
          <w:rFonts w:hint="eastAsia" w:ascii="宋体" w:hAnsi="宋体" w:cs="宋体"/>
          <w:color w:val="auto"/>
          <w:szCs w:val="24"/>
          <w:highlight w:val="none"/>
        </w:rPr>
        <w:br w:type="textWrapping"/>
      </w:r>
      <w:r>
        <w:rPr>
          <w:rFonts w:hint="eastAsia" w:ascii="宋体" w:hAnsi="宋体" w:cs="宋体"/>
          <w:color w:val="auto"/>
          <w:szCs w:val="24"/>
          <w:highlight w:val="none"/>
        </w:rPr>
        <w:t>　　（1）在服务区域内进行巡逻、守护、安全检查、报警监控；</w:t>
      </w:r>
      <w:r>
        <w:rPr>
          <w:rFonts w:hint="eastAsia" w:ascii="宋体" w:hAnsi="宋体" w:cs="宋体"/>
          <w:color w:val="auto"/>
          <w:szCs w:val="24"/>
          <w:highlight w:val="none"/>
        </w:rPr>
        <w:br w:type="textWrapping"/>
      </w:r>
      <w:r>
        <w:rPr>
          <w:rFonts w:hint="eastAsia" w:ascii="宋体" w:hAnsi="宋体" w:cs="宋体"/>
          <w:color w:val="auto"/>
          <w:szCs w:val="24"/>
          <w:highlight w:val="none"/>
        </w:rPr>
        <w:t>　　（2）在公共场所对人员及其所携带的物品进行安全检查，维护公共秩序；</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6、安保人员应当及时制止发生在服务区域内的违法犯罪行为，对制止无效的违法犯罪行为应当立即报警，同时采取措施保护现场。</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7、安保人员不得有下列行为：</w:t>
      </w:r>
      <w:r>
        <w:rPr>
          <w:rFonts w:hint="eastAsia" w:ascii="宋体" w:hAnsi="宋体" w:cs="宋体"/>
          <w:color w:val="auto"/>
          <w:szCs w:val="24"/>
          <w:highlight w:val="none"/>
        </w:rPr>
        <w:br w:type="textWrapping"/>
      </w:r>
      <w:r>
        <w:rPr>
          <w:rFonts w:hint="eastAsia" w:ascii="宋体" w:hAnsi="宋体" w:cs="宋体"/>
          <w:color w:val="auto"/>
          <w:szCs w:val="24"/>
          <w:highlight w:val="none"/>
        </w:rPr>
        <w:t>　　（1）限制他人人身自由、搜查他人身体或者侮辱、殴打他人；</w:t>
      </w:r>
      <w:r>
        <w:rPr>
          <w:rFonts w:hint="eastAsia" w:ascii="宋体" w:hAnsi="宋体" w:cs="宋体"/>
          <w:color w:val="auto"/>
          <w:szCs w:val="24"/>
          <w:highlight w:val="none"/>
        </w:rPr>
        <w:br w:type="textWrapping"/>
      </w:r>
      <w:r>
        <w:rPr>
          <w:rFonts w:hint="eastAsia" w:ascii="宋体" w:hAnsi="宋体" w:cs="宋体"/>
          <w:color w:val="auto"/>
          <w:szCs w:val="24"/>
          <w:highlight w:val="none"/>
        </w:rPr>
        <w:t>　　（2）扣押、没收他人证件、财物；</w:t>
      </w:r>
      <w:r>
        <w:rPr>
          <w:rFonts w:hint="eastAsia" w:ascii="宋体" w:hAnsi="宋体" w:cs="宋体"/>
          <w:color w:val="auto"/>
          <w:szCs w:val="24"/>
          <w:highlight w:val="none"/>
        </w:rPr>
        <w:br w:type="textWrapping"/>
      </w:r>
      <w:r>
        <w:rPr>
          <w:rFonts w:hint="eastAsia" w:ascii="宋体" w:hAnsi="宋体" w:cs="宋体"/>
          <w:color w:val="auto"/>
          <w:szCs w:val="24"/>
          <w:highlight w:val="none"/>
        </w:rPr>
        <w:t>　　（3）阻碍依法执行公务；</w:t>
      </w:r>
      <w:r>
        <w:rPr>
          <w:rFonts w:hint="eastAsia" w:ascii="宋体" w:hAnsi="宋体" w:cs="宋体"/>
          <w:color w:val="auto"/>
          <w:szCs w:val="24"/>
          <w:highlight w:val="none"/>
        </w:rPr>
        <w:br w:type="textWrapping"/>
      </w:r>
      <w:r>
        <w:rPr>
          <w:rFonts w:hint="eastAsia" w:ascii="宋体" w:hAnsi="宋体" w:cs="宋体"/>
          <w:color w:val="auto"/>
          <w:szCs w:val="24"/>
          <w:highlight w:val="none"/>
        </w:rPr>
        <w:t>　　（4）参与追索债务、采用暴力或者以暴力相威胁的手段处置纠纷；</w:t>
      </w:r>
      <w:r>
        <w:rPr>
          <w:rFonts w:hint="eastAsia" w:ascii="宋体" w:hAnsi="宋体" w:cs="宋体"/>
          <w:color w:val="auto"/>
          <w:szCs w:val="24"/>
          <w:highlight w:val="none"/>
        </w:rPr>
        <w:br w:type="textWrapping"/>
      </w:r>
      <w:r>
        <w:rPr>
          <w:rFonts w:hint="eastAsia" w:ascii="宋体" w:hAnsi="宋体" w:cs="宋体"/>
          <w:color w:val="auto"/>
          <w:szCs w:val="24"/>
          <w:highlight w:val="none"/>
        </w:rPr>
        <w:t>　　（5）删改或者扩散保安服务中形成的监控影像资料、报警记录；</w:t>
      </w:r>
      <w:r>
        <w:rPr>
          <w:rFonts w:hint="eastAsia" w:ascii="宋体" w:hAnsi="宋体" w:cs="宋体"/>
          <w:color w:val="auto"/>
          <w:szCs w:val="24"/>
          <w:highlight w:val="none"/>
        </w:rPr>
        <w:br w:type="textWrapping"/>
      </w:r>
      <w:r>
        <w:rPr>
          <w:rFonts w:hint="eastAsia" w:ascii="宋体" w:hAnsi="宋体" w:cs="宋体"/>
          <w:color w:val="auto"/>
          <w:szCs w:val="24"/>
          <w:highlight w:val="none"/>
        </w:rPr>
        <w:t>　　（6）侵犯个人隐私或者泄露在保安服务中获知的国家秘密、商业秘密以及客户单位明确要求保密的信息；</w:t>
      </w:r>
      <w:r>
        <w:rPr>
          <w:rFonts w:hint="eastAsia" w:ascii="宋体" w:hAnsi="宋体" w:cs="宋体"/>
          <w:color w:val="auto"/>
          <w:szCs w:val="24"/>
          <w:highlight w:val="none"/>
        </w:rPr>
        <w:br w:type="textWrapping"/>
      </w:r>
      <w:r>
        <w:rPr>
          <w:rFonts w:hint="eastAsia" w:ascii="宋体" w:hAnsi="宋体" w:cs="宋体"/>
          <w:color w:val="auto"/>
          <w:szCs w:val="24"/>
          <w:highlight w:val="none"/>
        </w:rPr>
        <w:t>　　（7）违反法律、行政法规、医院规章制度和其他违法行为。</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五、违约责任及监督机制考核</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1.社会监督及上级捡查考核：采购人成立综合考评小组，结合领导交办、群众举报及日常巡查情况，每月考核一次。</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采购人对安保公司在服务合同期内每月进行服务质量考核，每月的综合评分必须达85分及以上，每季度进行第三方满意度考核（以杭州市卫生健康委员会组织的第三方满意度调查结果为准），每季的满意度须达到85分及以上。</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当月综合考核未达到85分的或季度满意度考核未达到85分的，按照当月实际产生服务费的百分之十五进行处罚。</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 xml:space="preserve">连续两个月综合评分未达到85分的或连续两个季度满意度考核未达到85分的，将视作供应商未履行合同约定，采购人有权提前单方面解除合同，因此引起的所有损失将由供应商承担。  </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3.若供应商管理不善（管理失误），给采购人造成重大经济损失或不良社会效应，采购人有权终止合同并由供应商赔偿相关损失。</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4.合同期内如出现服务质量问题投诉等，予以适当处罚，相应的处罚金从服务费中扣除。</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5.对于因违反或终止合同而引起的损失、损害的赔偿，由采购人与供应商友好协商解决，经协商仍未能达成一致的，提交杭州仲裁委员会仲裁。</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六、安保服务外包方式</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1.本服务项目总价包括人员工资、各种社会保险、劳保维护、交通、设备、税金等为完成承包期内保安服务需要发生的全部费用，新增减服务范围按实调整。</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2.供应商负责工作人员的招聘、使用、管理、调配和辞退。若有违反相关规定，对工作不负责的工作人员，采购人有权进行退回处理。</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3.服务人员的健康状况（包括操作不规范等因素造成的安全责任事故）全部费用由供应商承担，采购人不承担任何责任；供应商必须根据国家《劳动合同法》合法用工，依法为每位员工支付各类社会保险；如用工不当，给采购人造成损失由供应商承担。</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4.供应商在承包期间内与外界发生的一切债权、债务等纠纷均与采购人无关。</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5.安保服务中使用的技术防范产品，应当符合有关的产品质量要求。</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6.安保服务中形成的监控影像资料、报警记录，应当至少留存30日备查，安保服务单位不得删改或者扩散。</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七、资金支付：</w:t>
      </w:r>
    </w:p>
    <w:p>
      <w:pPr>
        <w:pStyle w:val="158"/>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保安服务费根据当月实际使用保安岗位数量，并经采购人考核通过后按月支付。</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八、其他要求：</w:t>
      </w:r>
    </w:p>
    <w:p>
      <w:pPr>
        <w:pStyle w:val="158"/>
        <w:spacing w:before="0"/>
        <w:ind w:firstLine="600" w:firstLineChars="250"/>
        <w:rPr>
          <w:rFonts w:hint="eastAsia" w:ascii="宋体" w:hAnsi="宋体" w:cs="宋体"/>
          <w:color w:val="auto"/>
          <w:szCs w:val="24"/>
          <w:highlight w:val="none"/>
        </w:rPr>
      </w:pPr>
      <w:r>
        <w:rPr>
          <w:rFonts w:hint="eastAsia" w:ascii="宋体" w:hAnsi="宋体" w:cs="宋体"/>
          <w:color w:val="auto"/>
          <w:szCs w:val="24"/>
          <w:highlight w:val="none"/>
        </w:rPr>
        <w:t>1、不提供安保人员食宿保障。</w:t>
      </w:r>
    </w:p>
    <w:p>
      <w:pPr>
        <w:pStyle w:val="158"/>
        <w:spacing w:before="0"/>
        <w:ind w:firstLine="600" w:firstLineChars="250"/>
        <w:rPr>
          <w:rFonts w:hint="eastAsia" w:ascii="宋体" w:hAnsi="宋体" w:cs="宋体"/>
          <w:color w:val="auto"/>
          <w:szCs w:val="24"/>
          <w:highlight w:val="none"/>
        </w:rPr>
      </w:pPr>
      <w:r>
        <w:rPr>
          <w:rFonts w:hint="eastAsia" w:ascii="宋体" w:hAnsi="宋体" w:cs="宋体"/>
          <w:color w:val="auto"/>
          <w:szCs w:val="24"/>
          <w:highlight w:val="none"/>
        </w:rPr>
        <w:t>2、安保人员在执勤时间内发生任何意外或与地方人员发生纠纷而引发的各种突发情况，使用方概不负责。</w:t>
      </w:r>
    </w:p>
    <w:p>
      <w:pPr>
        <w:pStyle w:val="158"/>
        <w:spacing w:before="0"/>
        <w:ind w:firstLine="600" w:firstLineChars="250"/>
        <w:rPr>
          <w:rFonts w:hint="eastAsia" w:ascii="宋体" w:hAnsi="宋体" w:cs="宋体"/>
          <w:color w:val="auto"/>
          <w:szCs w:val="24"/>
          <w:highlight w:val="none"/>
        </w:rPr>
      </w:pPr>
      <w:r>
        <w:rPr>
          <w:rFonts w:hint="eastAsia" w:ascii="宋体" w:hAnsi="宋体" w:cs="宋体"/>
          <w:color w:val="auto"/>
          <w:szCs w:val="24"/>
          <w:highlight w:val="none"/>
        </w:rPr>
        <w:t>3、安保人员执勤时间必须按规定着装（着装统一、四季分明，人人佩戴执勤证），持证上岗。</w:t>
      </w:r>
    </w:p>
    <w:p>
      <w:pPr>
        <w:pStyle w:val="158"/>
        <w:spacing w:before="0"/>
        <w:ind w:firstLine="600" w:firstLineChars="250"/>
        <w:rPr>
          <w:rFonts w:hint="eastAsia" w:ascii="宋体" w:hAnsi="宋体" w:cs="宋体"/>
          <w:color w:val="auto"/>
          <w:szCs w:val="24"/>
          <w:highlight w:val="none"/>
        </w:rPr>
      </w:pPr>
      <w:r>
        <w:rPr>
          <w:rFonts w:hint="eastAsia" w:ascii="宋体" w:hAnsi="宋体" w:cs="宋体"/>
          <w:color w:val="auto"/>
          <w:szCs w:val="24"/>
          <w:highlight w:val="none"/>
        </w:rPr>
        <w:t>4、安保人员无条件服从使用方的管理及调配。</w:t>
      </w:r>
    </w:p>
    <w:p>
      <w:pPr>
        <w:pStyle w:val="158"/>
        <w:spacing w:before="0"/>
        <w:ind w:firstLine="600" w:firstLineChars="250"/>
        <w:rPr>
          <w:rFonts w:hint="eastAsia" w:ascii="宋体" w:hAnsi="宋体" w:cs="宋体"/>
          <w:color w:val="auto"/>
          <w:szCs w:val="24"/>
          <w:highlight w:val="none"/>
        </w:rPr>
      </w:pPr>
      <w:r>
        <w:rPr>
          <w:rFonts w:hint="eastAsia" w:ascii="宋体" w:hAnsi="宋体" w:cs="宋体"/>
          <w:color w:val="auto"/>
          <w:szCs w:val="24"/>
          <w:highlight w:val="none"/>
        </w:rPr>
        <w:t>5、安保人员工资收入不能低于杭州市最低工资收入标准。(其中不包括每人每月200元的考核奖)</w:t>
      </w:r>
    </w:p>
    <w:p>
      <w:pPr>
        <w:pStyle w:val="158"/>
        <w:spacing w:before="0"/>
        <w:ind w:firstLine="600" w:firstLineChars="250"/>
        <w:rPr>
          <w:rFonts w:hint="eastAsia" w:ascii="宋体" w:hAnsi="宋体" w:cs="宋体"/>
          <w:color w:val="auto"/>
          <w:szCs w:val="24"/>
          <w:highlight w:val="none"/>
        </w:rPr>
      </w:pPr>
      <w:r>
        <w:rPr>
          <w:rFonts w:hint="eastAsia" w:ascii="宋体" w:hAnsi="宋体" w:cs="宋体"/>
          <w:color w:val="auto"/>
          <w:szCs w:val="24"/>
          <w:highlight w:val="none"/>
        </w:rPr>
        <w:t>6、合同期限：两年， (如遇特殊情况,可申请延期至新一轮招标结束)。</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九、人员及装备配备</w:t>
      </w:r>
      <w:bookmarkStart w:id="29" w:name="OLE_LINK9"/>
      <w:r>
        <w:rPr>
          <w:rFonts w:hint="eastAsia" w:ascii="宋体" w:hAnsi="宋体" w:cs="宋体"/>
          <w:color w:val="auto"/>
          <w:szCs w:val="24"/>
          <w:highlight w:val="none"/>
        </w:rPr>
        <w:t>:</w:t>
      </w:r>
    </w:p>
    <w:p>
      <w:pPr>
        <w:pStyle w:val="158"/>
        <w:spacing w:before="0"/>
        <w:ind w:firstLine="600" w:firstLineChars="250"/>
        <w:rPr>
          <w:rFonts w:hint="eastAsia" w:ascii="宋体" w:hAnsi="宋体" w:cs="宋体"/>
          <w:color w:val="auto"/>
          <w:szCs w:val="24"/>
          <w:highlight w:val="none"/>
        </w:rPr>
      </w:pPr>
      <w:r>
        <w:rPr>
          <w:rFonts w:hint="eastAsia" w:ascii="宋体" w:hAnsi="宋体" w:cs="宋体"/>
          <w:color w:val="auto"/>
          <w:szCs w:val="24"/>
          <w:highlight w:val="none"/>
        </w:rPr>
        <w:t>根据医院的要求并结合劳动法的相关规定，供应商应为本项目承包区域内57个岗位配备足够人员，否则可能导致其投标被拒绝。为了统一报价标准，本次招标各投标人报价按不同岗位进行报价。</w:t>
      </w: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sectPr>
          <w:pgSz w:w="11907" w:h="16840"/>
          <w:pgMar w:top="1474" w:right="1814" w:bottom="1474" w:left="1814" w:header="851" w:footer="851" w:gutter="0"/>
          <w:cols w:space="720" w:num="1"/>
        </w:sectPr>
      </w:pP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（1）杭州市儿童医院安保人员岗位：</w:t>
      </w:r>
    </w:p>
    <w:tbl>
      <w:tblPr>
        <w:tblStyle w:val="62"/>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276"/>
        <w:gridCol w:w="992"/>
        <w:gridCol w:w="731"/>
        <w:gridCol w:w="3810"/>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782" w:type="dxa"/>
            <w:gridSpan w:val="6"/>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杭州市儿童医院安保人员岗位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序</w:t>
            </w:r>
          </w:p>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号</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岗位</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工作</w:t>
            </w:r>
          </w:p>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时间</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岗位</w:t>
            </w:r>
          </w:p>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数量</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工作内容</w:t>
            </w:r>
          </w:p>
        </w:tc>
        <w:tc>
          <w:tcPr>
            <w:tcW w:w="2405" w:type="dxa"/>
            <w:noWrap w:val="0"/>
            <w:vAlign w:val="top"/>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备注:</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序号1-16工作时间:</w:t>
            </w: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7:00-19:00为白班，19：00-7:00为夜班</w:t>
            </w:r>
          </w:p>
          <w:p>
            <w:pPr>
              <w:pStyle w:val="158"/>
              <w:spacing w:before="0"/>
              <w:ind w:firstLine="0" w:firstLineChars="0"/>
              <w:jc w:val="left"/>
              <w:rPr>
                <w:rFonts w:hint="eastAsia" w:ascii="宋体" w:hAnsi="宋体" w:cs="宋体"/>
                <w:color w:val="auto"/>
                <w:szCs w:val="24"/>
                <w:highlight w:val="none"/>
              </w:rPr>
            </w:pPr>
            <w:r>
              <w:rPr>
                <w:rFonts w:hint="eastAsia" w:ascii="宋体" w:hAnsi="宋体" w:cs="宋体"/>
                <w:color w:val="auto"/>
                <w:szCs w:val="24"/>
                <w:highlight w:val="none"/>
              </w:rPr>
              <w:t>序号17工作时间:</w:t>
            </w:r>
          </w:p>
          <w:p>
            <w:pPr>
              <w:pStyle w:val="158"/>
              <w:spacing w:before="0"/>
              <w:ind w:firstLine="0" w:firstLineChars="0"/>
              <w:jc w:val="left"/>
              <w:rPr>
                <w:rFonts w:hint="eastAsia" w:ascii="宋体" w:hAnsi="宋体" w:cs="宋体"/>
                <w:color w:val="auto"/>
                <w:szCs w:val="24"/>
                <w:highlight w:val="none"/>
              </w:rPr>
            </w:pPr>
            <w:r>
              <w:rPr>
                <w:rFonts w:hint="eastAsia" w:ascii="宋体" w:hAnsi="宋体" w:cs="宋体"/>
                <w:color w:val="auto"/>
                <w:szCs w:val="24"/>
                <w:highlight w:val="none"/>
              </w:rPr>
              <w:t>7:00-15:00为早班，15：00-23:00为中班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负责管理</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5</w:t>
            </w:r>
          </w:p>
        </w:tc>
        <w:tc>
          <w:tcPr>
            <w:tcW w:w="3810" w:type="dxa"/>
            <w:noWrap w:val="0"/>
            <w:vAlign w:val="center"/>
          </w:tcPr>
          <w:p>
            <w:pPr>
              <w:pStyle w:val="158"/>
              <w:spacing w:before="0"/>
              <w:ind w:firstLine="0" w:firstLineChars="0"/>
              <w:jc w:val="left"/>
              <w:rPr>
                <w:rFonts w:hint="eastAsia" w:ascii="宋体" w:hAnsi="宋体" w:cs="宋体"/>
                <w:color w:val="auto"/>
                <w:szCs w:val="24"/>
                <w:highlight w:val="none"/>
              </w:rPr>
            </w:pPr>
            <w:r>
              <w:rPr>
                <w:rFonts w:hint="eastAsia" w:ascii="宋体" w:hAnsi="宋体" w:cs="宋体"/>
                <w:color w:val="auto"/>
                <w:szCs w:val="24"/>
                <w:highlight w:val="none"/>
              </w:rPr>
              <w:t>协助单位处理应急突发事件、医疗纠纷、安全保卫及保安人员管理工作。</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白班同一时间在岗人数为3人；夜班同一时间在岗数为2人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消监控中心</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7</w:t>
            </w:r>
          </w:p>
        </w:tc>
        <w:tc>
          <w:tcPr>
            <w:tcW w:w="3810" w:type="dxa"/>
            <w:noWrap w:val="0"/>
            <w:vAlign w:val="center"/>
          </w:tcPr>
          <w:p>
            <w:pPr>
              <w:pStyle w:val="158"/>
              <w:spacing w:before="0"/>
              <w:ind w:firstLine="0" w:firstLineChars="0"/>
              <w:jc w:val="left"/>
              <w:rPr>
                <w:rFonts w:hint="eastAsia" w:ascii="宋体" w:hAnsi="宋体" w:cs="宋体"/>
                <w:color w:val="auto"/>
                <w:szCs w:val="24"/>
                <w:highlight w:val="none"/>
              </w:rPr>
            </w:pPr>
            <w:r>
              <w:rPr>
                <w:rFonts w:hint="eastAsia" w:ascii="宋体" w:hAnsi="宋体" w:cs="宋体"/>
                <w:color w:val="auto"/>
                <w:szCs w:val="24"/>
                <w:highlight w:val="none"/>
              </w:rPr>
              <w:t>消防器材维护、火灾报警的应急理、监控录像的调取等。（需持消控证）</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白班同一时间在岗人数为2人；夜班同一时间在岗数为2人;另每天安排1人机动岗负责消防巡查，2人轮休。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3号楼门诊</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门诊巡查、秩序维护及控烟工作</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白班同一时间在岗人数为2人；夜班同一时间在岗数为2人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北门入口</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6</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秩序维护、疫情防控、车辆管控、应急处突</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身高175厘米以上，年龄40周岁以下(退伍军人、有特长可适当放宽)；男性白班同一时间在岗人数为4人；夜班同一时间在岗数为2人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5</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**室</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协助公安机关办案、秩序维护、应急处置</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白班同一时间在岗人数为1人；夜班同一时间在岗数1人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6</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1号楼大厅、急诊</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白班同一时间在岗人数为1人；夜班同一时间在岗数为1人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7</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1号楼3楼输液室</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白班同一时间在岗人数为1人；夜班同一时间在岗数为1人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1号楼4楼病房卡点管控岗</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秩序维护、处理突发事件、物品配送、控烟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白班同一时间在岗人数为1人；夜班同一时间在岗数为2人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9</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2号楼1楼大厅</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10</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2号楼病房卡点管理</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白班同一时间在岗人数为1人；夜班同一时间在岗数为1人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11</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2号楼2楼</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2号楼3楼</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13</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2号楼4楼</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14</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2号楼5楼</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秩序维护、处理突发事件、控烟</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15</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全院巡逻</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安全巡查、应急事件处置、楼层巡逻</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白班同一时间在岗人数为2人；夜班同一时间在岗数为2人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16</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机动岗</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应急处置及休息顶岗</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白班同一时间在岗人数为2人；夜班同一时间在岗数为2人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68" w:type="dxa"/>
            <w:noWrap w:val="0"/>
            <w:vAlign w:val="center"/>
          </w:tcPr>
          <w:p>
            <w:pPr>
              <w:pStyle w:val="158"/>
              <w:spacing w:before="0"/>
              <w:ind w:firstLine="0" w:firstLineChars="0"/>
              <w:jc w:val="left"/>
              <w:rPr>
                <w:rFonts w:hint="eastAsia" w:ascii="宋体" w:hAnsi="宋体" w:cs="宋体"/>
                <w:color w:val="auto"/>
                <w:szCs w:val="24"/>
                <w:highlight w:val="none"/>
              </w:rPr>
            </w:pPr>
            <w:r>
              <w:rPr>
                <w:rFonts w:hint="eastAsia" w:ascii="宋体" w:hAnsi="宋体" w:cs="宋体"/>
                <w:color w:val="auto"/>
                <w:szCs w:val="24"/>
                <w:highlight w:val="none"/>
              </w:rPr>
              <w:t>17</w:t>
            </w:r>
          </w:p>
        </w:tc>
        <w:tc>
          <w:tcPr>
            <w:tcW w:w="1276"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停车管理员</w:t>
            </w:r>
          </w:p>
        </w:tc>
        <w:tc>
          <w:tcPr>
            <w:tcW w:w="992"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8小时</w:t>
            </w:r>
          </w:p>
        </w:tc>
        <w:tc>
          <w:tcPr>
            <w:tcW w:w="73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10</w:t>
            </w:r>
          </w:p>
        </w:tc>
        <w:tc>
          <w:tcPr>
            <w:tcW w:w="3810"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车辆管理、立体机械车位操作、引导等</w:t>
            </w:r>
          </w:p>
        </w:tc>
        <w:tc>
          <w:tcPr>
            <w:tcW w:w="2405" w:type="dxa"/>
            <w:noWrap w:val="0"/>
            <w:vAlign w:val="center"/>
          </w:tcPr>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早班同一时间在岗人数为7人；中班同一时间在岗数3人</w:t>
            </w:r>
          </w:p>
        </w:tc>
      </w:tr>
      <w:bookmarkEnd w:id="29"/>
    </w:tbl>
    <w:p>
      <w:pPr>
        <w:pStyle w:val="158"/>
        <w:spacing w:before="0"/>
        <w:ind w:firstLine="480"/>
        <w:rPr>
          <w:rFonts w:hint="eastAsia" w:ascii="宋体" w:hAnsi="宋体" w:cs="宋体"/>
          <w:color w:val="auto"/>
          <w:szCs w:val="24"/>
          <w:highlight w:val="none"/>
        </w:rPr>
      </w:pPr>
      <w:bookmarkStart w:id="30" w:name="_Toc476574833"/>
      <w:bookmarkStart w:id="31" w:name="_Toc294777238"/>
      <w:bookmarkStart w:id="32" w:name="_Toc204483585"/>
      <w:bookmarkStart w:id="33" w:name="_Toc236047431"/>
      <w:r>
        <w:rPr>
          <w:rFonts w:hint="eastAsia" w:ascii="宋体" w:hAnsi="宋体" w:cs="宋体"/>
          <w:color w:val="auto"/>
          <w:szCs w:val="24"/>
          <w:highlight w:val="none"/>
        </w:rPr>
        <w:t>以上所有岗位的设置及费用，实行 8小时工作为一班次、做六休一制，需满足采购人的工作日、双休日、节假日的全部工作任务，供应商自行合理安排员工休息时间，如产生替班加班情况，均由供应商自行承担相应费用。因采购人原因的特殊紧急任务产生的加班，按正常工作日费用结算，以实际的工时支付给乙方费用。如医院要求增加/减少一个岗位数，采购人按各岗位工资标准支付或减除。</w:t>
      </w: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pPr>
    </w:p>
    <w:p>
      <w:pPr>
        <w:pStyle w:val="158"/>
        <w:spacing w:before="0"/>
        <w:ind w:firstLine="0" w:firstLineChars="0"/>
        <w:rPr>
          <w:rFonts w:hint="eastAsia" w:ascii="宋体" w:hAnsi="宋体" w:cs="宋体"/>
          <w:color w:val="auto"/>
          <w:szCs w:val="24"/>
          <w:highlight w:val="none"/>
        </w:rPr>
        <w:sectPr>
          <w:pgSz w:w="11907" w:h="16840"/>
          <w:pgMar w:top="1474" w:right="1814" w:bottom="1474" w:left="1814" w:header="851" w:footer="851" w:gutter="0"/>
          <w:cols w:space="720" w:num="1"/>
        </w:sectPr>
      </w:pPr>
    </w:p>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（2）杭州市儿童医院安保人员装备配备：:</w:t>
      </w:r>
    </w:p>
    <w:tbl>
      <w:tblPr>
        <w:tblStyle w:val="62"/>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969"/>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4"/>
            <w:noWrap w:val="0"/>
            <w:vAlign w:val="top"/>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杭州市儿童医院安保人员装备配备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序号</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装备名称</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数量</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对讲机（耳机、备用电池）</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35</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警用手电筒</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20</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盾牌</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10</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钢叉</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10</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5</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防刺服</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6</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防刺手套</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30</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7</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钢盔</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甩棍</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41</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9</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七件套武装腰带</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50</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10</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辣椒水</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30</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11</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警用雨衣</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15</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12</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反光背心</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57</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13</w:t>
            </w:r>
          </w:p>
        </w:tc>
        <w:tc>
          <w:tcPr>
            <w:tcW w:w="3969"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藤棍</w:t>
            </w:r>
          </w:p>
        </w:tc>
        <w:tc>
          <w:tcPr>
            <w:tcW w:w="1985"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2268" w:type="dxa"/>
            <w:noWrap w:val="0"/>
            <w:vAlign w:val="center"/>
          </w:tcPr>
          <w:p>
            <w:pPr>
              <w:pStyle w:val="158"/>
              <w:spacing w:before="0"/>
              <w:ind w:firstLine="0" w:firstLineChars="0"/>
              <w:jc w:val="center"/>
              <w:rPr>
                <w:rFonts w:hint="eastAsia" w:ascii="宋体" w:hAnsi="宋体" w:cs="宋体"/>
                <w:color w:val="auto"/>
                <w:szCs w:val="24"/>
                <w:highlight w:val="none"/>
              </w:rPr>
            </w:pPr>
            <w:r>
              <w:rPr>
                <w:rFonts w:hint="eastAsia" w:ascii="宋体" w:hAnsi="宋体" w:cs="宋体"/>
                <w:color w:val="auto"/>
                <w:szCs w:val="24"/>
                <w:highlight w:val="none"/>
              </w:rPr>
              <w:t>根</w:t>
            </w:r>
          </w:p>
        </w:tc>
      </w:tr>
    </w:tbl>
    <w:p>
      <w:pPr>
        <w:pStyle w:val="158"/>
        <w:spacing w:before="0"/>
        <w:ind w:firstLine="0" w:firstLineChars="0"/>
        <w:rPr>
          <w:rFonts w:hint="eastAsia" w:ascii="宋体" w:hAnsi="宋体" w:cs="宋体"/>
          <w:color w:val="auto"/>
          <w:szCs w:val="24"/>
          <w:highlight w:val="none"/>
        </w:rPr>
      </w:pPr>
      <w:r>
        <w:rPr>
          <w:rFonts w:hint="eastAsia" w:ascii="宋体" w:hAnsi="宋体" w:cs="宋体"/>
          <w:color w:val="auto"/>
          <w:szCs w:val="24"/>
          <w:highlight w:val="none"/>
        </w:rPr>
        <w:t>十、项目技术规范和服务要求</w:t>
      </w:r>
      <w:bookmarkEnd w:id="30"/>
    </w:p>
    <w:bookmarkEnd w:id="31"/>
    <w:bookmarkEnd w:id="32"/>
    <w:bookmarkEnd w:id="33"/>
    <w:p>
      <w:pPr>
        <w:pStyle w:val="158"/>
        <w:spacing w:before="0"/>
        <w:ind w:firstLine="600" w:firstLineChars="250"/>
        <w:rPr>
          <w:rFonts w:hint="eastAsia" w:ascii="宋体" w:hAnsi="宋体" w:cs="宋体"/>
          <w:color w:val="auto"/>
          <w:szCs w:val="24"/>
          <w:highlight w:val="none"/>
        </w:rPr>
      </w:pPr>
      <w:bookmarkStart w:id="34" w:name="_Toc82873318"/>
      <w:bookmarkStart w:id="35" w:name="_Toc250980622"/>
      <w:bookmarkStart w:id="36" w:name="_Toc417895902"/>
      <w:bookmarkStart w:id="37" w:name="_Toc82338235"/>
      <w:bookmarkStart w:id="38" w:name="_Toc476574834"/>
      <w:r>
        <w:rPr>
          <w:rFonts w:hint="eastAsia" w:ascii="宋体" w:hAnsi="宋体" w:cs="宋体"/>
          <w:color w:val="auto"/>
          <w:szCs w:val="24"/>
          <w:highlight w:val="none"/>
        </w:rPr>
        <w:t>1、相关法规、管理条例与技术标准、行业规范</w:t>
      </w:r>
      <w:bookmarkEnd w:id="34"/>
      <w:bookmarkEnd w:id="35"/>
      <w:bookmarkEnd w:id="36"/>
      <w:bookmarkEnd w:id="37"/>
      <w:bookmarkEnd w:id="38"/>
      <w:r>
        <w:rPr>
          <w:rFonts w:hint="eastAsia" w:ascii="宋体" w:hAnsi="宋体" w:cs="宋体"/>
          <w:color w:val="auto"/>
          <w:szCs w:val="24"/>
          <w:highlight w:val="none"/>
        </w:rPr>
        <w:t>《保安服务管理条例》</w:t>
      </w:r>
    </w:p>
    <w:p>
      <w:pPr>
        <w:pStyle w:val="158"/>
        <w:spacing w:before="0"/>
        <w:ind w:firstLine="600" w:firstLineChars="250"/>
        <w:rPr>
          <w:rFonts w:hint="eastAsia" w:ascii="宋体" w:hAnsi="宋体" w:cs="宋体"/>
          <w:color w:val="auto"/>
          <w:szCs w:val="24"/>
          <w:highlight w:val="none"/>
        </w:rPr>
      </w:pPr>
      <w:r>
        <w:rPr>
          <w:rFonts w:hint="eastAsia" w:ascii="宋体" w:hAnsi="宋体" w:cs="宋体"/>
          <w:color w:val="auto"/>
          <w:szCs w:val="24"/>
          <w:highlight w:val="none"/>
        </w:rPr>
        <w:t>2、《公安机关实施保安服务管理条例办法》</w:t>
      </w:r>
    </w:p>
    <w:p>
      <w:pPr>
        <w:spacing w:line="360" w:lineRule="auto"/>
        <w:ind w:firstLine="181" w:firstLineChars="50"/>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widowControl/>
        <w:spacing w:line="360" w:lineRule="auto"/>
        <w:ind w:firstLine="720" w:firstLineChars="300"/>
        <w:jc w:val="left"/>
        <w:rPr>
          <w:rFonts w:ascii="宋体" w:hAnsi="宋体" w:cs="宋体"/>
          <w:bCs/>
          <w:color w:val="auto"/>
          <w:sz w:val="24"/>
          <w:highlight w:val="none"/>
        </w:rPr>
      </w:pPr>
    </w:p>
    <w:p>
      <w:pPr>
        <w:spacing w:line="360" w:lineRule="auto"/>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9" w:name="_Toc184312099"/>
      <w:bookmarkEnd w:id="39"/>
      <w:bookmarkStart w:id="40" w:name="_Toc184310319"/>
      <w:bookmarkEnd w:id="40"/>
      <w:bookmarkStart w:id="41" w:name="_Toc184308039"/>
      <w:bookmarkEnd w:id="41"/>
      <w:bookmarkStart w:id="42" w:name="_Toc184312097"/>
      <w:bookmarkEnd w:id="42"/>
      <w:bookmarkStart w:id="43" w:name="_Toc184312102"/>
      <w:bookmarkEnd w:id="43"/>
      <w:bookmarkStart w:id="44" w:name="_Toc184310284"/>
      <w:bookmarkEnd w:id="44"/>
      <w:bookmarkStart w:id="45" w:name="_Toc184310272"/>
      <w:bookmarkEnd w:id="45"/>
      <w:bookmarkStart w:id="46" w:name="_Toc184308100"/>
      <w:bookmarkEnd w:id="46"/>
      <w:bookmarkStart w:id="47" w:name="_Toc184312104"/>
      <w:bookmarkEnd w:id="47"/>
      <w:bookmarkStart w:id="48" w:name="_Toc184310316"/>
      <w:bookmarkEnd w:id="48"/>
      <w:bookmarkStart w:id="49" w:name="_Toc184308083"/>
      <w:bookmarkEnd w:id="49"/>
      <w:bookmarkStart w:id="50" w:name="_Toc184308091"/>
      <w:bookmarkEnd w:id="50"/>
      <w:bookmarkStart w:id="51" w:name="_Toc184314445"/>
      <w:bookmarkEnd w:id="51"/>
      <w:bookmarkStart w:id="52" w:name="_Toc184310318"/>
      <w:bookmarkEnd w:id="52"/>
      <w:bookmarkStart w:id="53" w:name="_Toc184308044"/>
      <w:bookmarkEnd w:id="53"/>
      <w:bookmarkStart w:id="54" w:name="_Toc184310328"/>
      <w:bookmarkEnd w:id="54"/>
      <w:bookmarkStart w:id="55" w:name="_Toc184310287"/>
      <w:bookmarkEnd w:id="55"/>
      <w:bookmarkStart w:id="56" w:name="_Toc184313265"/>
      <w:bookmarkEnd w:id="56"/>
      <w:bookmarkStart w:id="57" w:name="_Toc184313256"/>
      <w:bookmarkEnd w:id="57"/>
      <w:bookmarkStart w:id="58" w:name="_Toc184314478"/>
      <w:bookmarkEnd w:id="58"/>
      <w:bookmarkStart w:id="59" w:name="_Toc184314460"/>
      <w:bookmarkEnd w:id="59"/>
      <w:bookmarkStart w:id="60" w:name="_Toc184308066"/>
      <w:bookmarkEnd w:id="60"/>
      <w:bookmarkStart w:id="61" w:name="_Toc184308086"/>
      <w:bookmarkEnd w:id="61"/>
      <w:bookmarkStart w:id="62" w:name="_Toc184314420"/>
      <w:bookmarkEnd w:id="62"/>
      <w:bookmarkStart w:id="63" w:name="_Toc184314462"/>
      <w:bookmarkEnd w:id="63"/>
      <w:bookmarkStart w:id="64" w:name="_Toc184310324"/>
      <w:bookmarkEnd w:id="64"/>
      <w:bookmarkStart w:id="65" w:name="_Toc184312111"/>
      <w:bookmarkEnd w:id="65"/>
      <w:bookmarkStart w:id="66" w:name="_Toc184312093"/>
      <w:bookmarkEnd w:id="66"/>
      <w:bookmarkStart w:id="67" w:name="_Toc184310285"/>
      <w:bookmarkEnd w:id="67"/>
      <w:bookmarkStart w:id="68" w:name="_Toc184313260"/>
      <w:bookmarkEnd w:id="68"/>
      <w:bookmarkStart w:id="69" w:name="_Toc184310297"/>
      <w:bookmarkEnd w:id="69"/>
      <w:bookmarkStart w:id="70" w:name="_Toc184313267"/>
      <w:bookmarkEnd w:id="70"/>
      <w:bookmarkStart w:id="71" w:name="_Toc184314431"/>
      <w:bookmarkEnd w:id="71"/>
      <w:bookmarkStart w:id="72" w:name="_Toc184314433"/>
      <w:bookmarkEnd w:id="72"/>
      <w:bookmarkStart w:id="73" w:name="_Toc184314442"/>
      <w:bookmarkEnd w:id="73"/>
      <w:bookmarkStart w:id="74" w:name="_Toc184310277"/>
      <w:bookmarkEnd w:id="74"/>
      <w:bookmarkStart w:id="75" w:name="_Toc184310276"/>
      <w:bookmarkEnd w:id="75"/>
      <w:bookmarkStart w:id="76" w:name="_Toc184308041"/>
      <w:bookmarkEnd w:id="76"/>
      <w:bookmarkStart w:id="77" w:name="_Toc184308108"/>
      <w:bookmarkEnd w:id="77"/>
      <w:bookmarkStart w:id="78" w:name="_Toc184313259"/>
      <w:bookmarkEnd w:id="78"/>
      <w:bookmarkStart w:id="79" w:name="_Toc184314418"/>
      <w:bookmarkEnd w:id="79"/>
      <w:bookmarkStart w:id="80" w:name="_Toc184308059"/>
      <w:bookmarkEnd w:id="80"/>
      <w:bookmarkStart w:id="81" w:name="_Toc184312089"/>
      <w:bookmarkEnd w:id="81"/>
      <w:bookmarkStart w:id="82" w:name="_Toc184313301"/>
      <w:bookmarkEnd w:id="82"/>
      <w:bookmarkStart w:id="83" w:name="_Toc184312073"/>
      <w:bookmarkEnd w:id="83"/>
      <w:bookmarkStart w:id="84" w:name="_Toc184312086"/>
      <w:bookmarkEnd w:id="84"/>
      <w:bookmarkStart w:id="85" w:name="_Toc184314411"/>
      <w:bookmarkEnd w:id="85"/>
      <w:bookmarkStart w:id="86" w:name="_Toc184313246"/>
      <w:bookmarkEnd w:id="86"/>
      <w:bookmarkStart w:id="87" w:name="_Toc184310311"/>
      <w:bookmarkEnd w:id="87"/>
      <w:bookmarkStart w:id="88" w:name="_Toc184313264"/>
      <w:bookmarkEnd w:id="88"/>
      <w:bookmarkStart w:id="89" w:name="_Toc184313243"/>
      <w:bookmarkEnd w:id="89"/>
      <w:bookmarkStart w:id="90" w:name="_Toc184314479"/>
      <w:bookmarkEnd w:id="90"/>
      <w:bookmarkStart w:id="91" w:name="_Toc184310312"/>
      <w:bookmarkEnd w:id="91"/>
      <w:bookmarkStart w:id="92" w:name="_Toc184308106"/>
      <w:bookmarkEnd w:id="92"/>
      <w:bookmarkStart w:id="93" w:name="_Toc184312129"/>
      <w:bookmarkEnd w:id="93"/>
      <w:bookmarkStart w:id="94" w:name="_Toc184312074"/>
      <w:bookmarkEnd w:id="94"/>
      <w:bookmarkStart w:id="95" w:name="_Toc184310314"/>
      <w:bookmarkEnd w:id="95"/>
      <w:bookmarkStart w:id="96" w:name="_Toc184314461"/>
      <w:bookmarkEnd w:id="96"/>
      <w:bookmarkStart w:id="97" w:name="_Toc184312085"/>
      <w:bookmarkEnd w:id="97"/>
      <w:bookmarkStart w:id="98" w:name="_Toc184310283"/>
      <w:bookmarkEnd w:id="98"/>
      <w:bookmarkStart w:id="99" w:name="_Toc184314428"/>
      <w:bookmarkEnd w:id="99"/>
      <w:bookmarkStart w:id="100" w:name="_Toc184310339"/>
      <w:bookmarkEnd w:id="100"/>
      <w:bookmarkStart w:id="101" w:name="_Toc184313277"/>
      <w:bookmarkEnd w:id="101"/>
      <w:bookmarkStart w:id="102" w:name="_Toc184313245"/>
      <w:bookmarkEnd w:id="102"/>
      <w:bookmarkStart w:id="103" w:name="_Toc184310299"/>
      <w:bookmarkEnd w:id="103"/>
      <w:bookmarkStart w:id="104" w:name="_Toc184314432"/>
      <w:bookmarkEnd w:id="104"/>
      <w:bookmarkStart w:id="105" w:name="_Toc184312071"/>
      <w:bookmarkEnd w:id="105"/>
      <w:bookmarkStart w:id="106" w:name="_Toc184308071"/>
      <w:bookmarkEnd w:id="106"/>
      <w:bookmarkStart w:id="107" w:name="_Toc184314449"/>
      <w:bookmarkEnd w:id="107"/>
      <w:bookmarkStart w:id="108" w:name="_Toc184308096"/>
      <w:bookmarkEnd w:id="108"/>
      <w:bookmarkStart w:id="109" w:name="_Toc184314457"/>
      <w:bookmarkEnd w:id="109"/>
      <w:bookmarkStart w:id="110" w:name="_Toc184312127"/>
      <w:bookmarkEnd w:id="110"/>
      <w:bookmarkStart w:id="111" w:name="_Toc184314473"/>
      <w:bookmarkEnd w:id="111"/>
      <w:bookmarkStart w:id="112" w:name="_Toc184312078"/>
      <w:bookmarkEnd w:id="112"/>
      <w:bookmarkStart w:id="113" w:name="_Toc184313295"/>
      <w:bookmarkEnd w:id="113"/>
      <w:bookmarkStart w:id="114" w:name="_Toc184314414"/>
      <w:bookmarkEnd w:id="114"/>
      <w:bookmarkStart w:id="115" w:name="_Toc184310274"/>
      <w:bookmarkEnd w:id="115"/>
      <w:bookmarkStart w:id="116" w:name="_Toc184310279"/>
      <w:bookmarkEnd w:id="116"/>
      <w:bookmarkStart w:id="117" w:name="_Toc184314472"/>
      <w:bookmarkEnd w:id="117"/>
      <w:bookmarkStart w:id="118" w:name="_Toc184313261"/>
      <w:bookmarkEnd w:id="118"/>
      <w:bookmarkStart w:id="119" w:name="_Toc184314480"/>
      <w:bookmarkEnd w:id="119"/>
      <w:bookmarkStart w:id="120" w:name="_Toc184312139"/>
      <w:bookmarkEnd w:id="120"/>
      <w:bookmarkStart w:id="121" w:name="_Toc184314444"/>
      <w:bookmarkEnd w:id="121"/>
      <w:bookmarkStart w:id="122" w:name="_Toc184312081"/>
      <w:bookmarkEnd w:id="122"/>
      <w:bookmarkStart w:id="123" w:name="_Toc184310344"/>
      <w:bookmarkEnd w:id="123"/>
      <w:bookmarkStart w:id="124" w:name="_Toc184312067"/>
      <w:bookmarkEnd w:id="124"/>
      <w:bookmarkStart w:id="125" w:name="_Toc184313254"/>
      <w:bookmarkEnd w:id="125"/>
      <w:bookmarkStart w:id="126" w:name="_Toc184312138"/>
      <w:bookmarkEnd w:id="126"/>
      <w:bookmarkStart w:id="127" w:name="_Toc184312092"/>
      <w:bookmarkEnd w:id="127"/>
      <w:bookmarkStart w:id="128" w:name="_Toc184310296"/>
      <w:bookmarkEnd w:id="128"/>
      <w:bookmarkStart w:id="129" w:name="_Toc184314434"/>
      <w:bookmarkEnd w:id="129"/>
      <w:bookmarkStart w:id="130" w:name="_Toc184313262"/>
      <w:bookmarkEnd w:id="130"/>
      <w:bookmarkStart w:id="131" w:name="_Toc184310333"/>
      <w:bookmarkEnd w:id="131"/>
      <w:bookmarkStart w:id="132" w:name="_Toc184310341"/>
      <w:bookmarkEnd w:id="132"/>
      <w:bookmarkStart w:id="133" w:name="_Toc184308079"/>
      <w:bookmarkEnd w:id="133"/>
      <w:bookmarkStart w:id="134" w:name="_Toc184308042"/>
      <w:bookmarkEnd w:id="134"/>
      <w:bookmarkStart w:id="135" w:name="_Toc184313308"/>
      <w:bookmarkEnd w:id="135"/>
      <w:bookmarkStart w:id="136" w:name="_Toc184310303"/>
      <w:bookmarkEnd w:id="136"/>
      <w:bookmarkStart w:id="137" w:name="_Toc184310289"/>
      <w:bookmarkEnd w:id="137"/>
      <w:bookmarkStart w:id="138" w:name="_Toc184310326"/>
      <w:bookmarkEnd w:id="138"/>
      <w:bookmarkStart w:id="139" w:name="_Toc184310290"/>
      <w:bookmarkEnd w:id="139"/>
      <w:bookmarkStart w:id="140" w:name="_Toc184308061"/>
      <w:bookmarkEnd w:id="140"/>
      <w:bookmarkStart w:id="141" w:name="_Toc184312075"/>
      <w:bookmarkEnd w:id="141"/>
      <w:bookmarkStart w:id="142" w:name="_Toc184314416"/>
      <w:bookmarkEnd w:id="142"/>
      <w:bookmarkStart w:id="143" w:name="_Toc184314477"/>
      <w:bookmarkEnd w:id="143"/>
      <w:bookmarkStart w:id="144" w:name="_Toc184308094"/>
      <w:bookmarkEnd w:id="144"/>
      <w:bookmarkStart w:id="145" w:name="_Toc184314463"/>
      <w:bookmarkEnd w:id="145"/>
      <w:bookmarkStart w:id="146" w:name="_Toc184314447"/>
      <w:bookmarkEnd w:id="146"/>
      <w:bookmarkStart w:id="147" w:name="_Toc184312100"/>
      <w:bookmarkEnd w:id="147"/>
      <w:bookmarkStart w:id="148" w:name="_Toc184308105"/>
      <w:bookmarkEnd w:id="148"/>
      <w:bookmarkStart w:id="149" w:name="_Toc184312095"/>
      <w:bookmarkEnd w:id="149"/>
      <w:bookmarkStart w:id="150" w:name="_Toc184314474"/>
      <w:bookmarkEnd w:id="150"/>
      <w:bookmarkStart w:id="151" w:name="_Toc184314467"/>
      <w:bookmarkEnd w:id="151"/>
      <w:bookmarkStart w:id="152" w:name="_Toc184313266"/>
      <w:bookmarkEnd w:id="152"/>
      <w:bookmarkStart w:id="153" w:name="_Toc184308067"/>
      <w:bookmarkEnd w:id="153"/>
      <w:bookmarkStart w:id="154" w:name="_Toc184308089"/>
      <w:bookmarkEnd w:id="154"/>
      <w:bookmarkStart w:id="155" w:name="_Toc184313239"/>
      <w:bookmarkEnd w:id="155"/>
      <w:bookmarkStart w:id="156" w:name="_Toc184314482"/>
      <w:bookmarkEnd w:id="156"/>
      <w:bookmarkStart w:id="157" w:name="_Toc184313238"/>
      <w:bookmarkEnd w:id="157"/>
      <w:bookmarkStart w:id="158" w:name="_Toc184313272"/>
      <w:bookmarkEnd w:id="158"/>
      <w:bookmarkStart w:id="159" w:name="_Toc184313244"/>
      <w:bookmarkEnd w:id="159"/>
      <w:bookmarkStart w:id="160" w:name="_Toc184313270"/>
      <w:bookmarkEnd w:id="160"/>
      <w:bookmarkStart w:id="161" w:name="_Toc184310331"/>
      <w:bookmarkEnd w:id="161"/>
      <w:bookmarkStart w:id="162" w:name="_Toc184312077"/>
      <w:bookmarkEnd w:id="162"/>
      <w:bookmarkStart w:id="163" w:name="_Toc184312082"/>
      <w:bookmarkEnd w:id="163"/>
      <w:bookmarkStart w:id="164" w:name="_Toc184312079"/>
      <w:bookmarkEnd w:id="164"/>
      <w:bookmarkStart w:id="165" w:name="_Toc184308048"/>
      <w:bookmarkEnd w:id="165"/>
      <w:bookmarkStart w:id="166" w:name="_Toc184313306"/>
      <w:bookmarkEnd w:id="166"/>
      <w:bookmarkStart w:id="167" w:name="_Toc184308062"/>
      <w:bookmarkEnd w:id="167"/>
      <w:bookmarkStart w:id="168" w:name="_Toc184312120"/>
      <w:bookmarkEnd w:id="168"/>
      <w:bookmarkStart w:id="169" w:name="_Toc184308075"/>
      <w:bookmarkEnd w:id="169"/>
      <w:bookmarkStart w:id="170" w:name="_Toc184312123"/>
      <w:bookmarkEnd w:id="170"/>
      <w:bookmarkStart w:id="171" w:name="_Toc184313274"/>
      <w:bookmarkEnd w:id="171"/>
      <w:bookmarkStart w:id="172" w:name="_Toc184308038"/>
      <w:bookmarkEnd w:id="172"/>
      <w:bookmarkStart w:id="173" w:name="_Toc184310342"/>
      <w:bookmarkEnd w:id="173"/>
      <w:bookmarkStart w:id="174" w:name="_Toc184313257"/>
      <w:bookmarkEnd w:id="174"/>
      <w:bookmarkStart w:id="175" w:name="_Toc184312106"/>
      <w:bookmarkEnd w:id="175"/>
      <w:bookmarkStart w:id="176" w:name="_Toc184312076"/>
      <w:bookmarkEnd w:id="176"/>
      <w:bookmarkStart w:id="177" w:name="_Toc184314438"/>
      <w:bookmarkEnd w:id="177"/>
      <w:bookmarkStart w:id="178" w:name="_Toc184308043"/>
      <w:bookmarkEnd w:id="178"/>
      <w:bookmarkStart w:id="179" w:name="_Toc184308087"/>
      <w:bookmarkEnd w:id="179"/>
      <w:bookmarkStart w:id="180" w:name="_Toc184310337"/>
      <w:bookmarkEnd w:id="180"/>
      <w:bookmarkStart w:id="181" w:name="_Toc184313282"/>
      <w:bookmarkEnd w:id="181"/>
      <w:bookmarkStart w:id="182" w:name="_Toc184314458"/>
      <w:bookmarkEnd w:id="182"/>
      <w:bookmarkStart w:id="183" w:name="_Toc184308057"/>
      <w:bookmarkEnd w:id="183"/>
      <w:bookmarkStart w:id="184" w:name="_Toc184314475"/>
      <w:bookmarkEnd w:id="184"/>
      <w:bookmarkStart w:id="185" w:name="_Toc184312121"/>
      <w:bookmarkEnd w:id="185"/>
      <w:bookmarkStart w:id="186" w:name="_Toc184313304"/>
      <w:bookmarkEnd w:id="186"/>
      <w:bookmarkStart w:id="187" w:name="_Toc184313241"/>
      <w:bookmarkEnd w:id="187"/>
      <w:bookmarkStart w:id="188" w:name="_Toc184314453"/>
      <w:bookmarkEnd w:id="188"/>
      <w:bookmarkStart w:id="189" w:name="_Toc184314470"/>
      <w:bookmarkEnd w:id="189"/>
      <w:bookmarkStart w:id="190" w:name="_Toc184310278"/>
      <w:bookmarkEnd w:id="190"/>
      <w:bookmarkStart w:id="191" w:name="_Toc184312132"/>
      <w:bookmarkEnd w:id="191"/>
      <w:bookmarkStart w:id="192" w:name="_Toc184310335"/>
      <w:bookmarkEnd w:id="192"/>
      <w:bookmarkStart w:id="193" w:name="_Toc184310301"/>
      <w:bookmarkEnd w:id="193"/>
      <w:bookmarkStart w:id="194" w:name="_Toc184312068"/>
      <w:bookmarkEnd w:id="194"/>
      <w:bookmarkStart w:id="195" w:name="_Toc184313299"/>
      <w:bookmarkEnd w:id="195"/>
      <w:bookmarkStart w:id="196" w:name="_Toc184310275"/>
      <w:bookmarkEnd w:id="196"/>
      <w:bookmarkStart w:id="197" w:name="_Toc184314419"/>
      <w:bookmarkEnd w:id="197"/>
      <w:bookmarkStart w:id="198" w:name="_Toc184308081"/>
      <w:bookmarkEnd w:id="198"/>
      <w:bookmarkStart w:id="199" w:name="_Toc184312084"/>
      <w:bookmarkEnd w:id="199"/>
      <w:bookmarkStart w:id="200" w:name="_Toc184313300"/>
      <w:bookmarkEnd w:id="200"/>
      <w:bookmarkStart w:id="201" w:name="_Toc184314440"/>
      <w:bookmarkEnd w:id="201"/>
      <w:bookmarkStart w:id="202" w:name="_Toc184310291"/>
      <w:bookmarkEnd w:id="202"/>
      <w:bookmarkStart w:id="203" w:name="_Toc184313294"/>
      <w:bookmarkEnd w:id="203"/>
      <w:bookmarkStart w:id="204" w:name="_Toc184308065"/>
      <w:bookmarkEnd w:id="204"/>
      <w:bookmarkStart w:id="205" w:name="_Toc184314425"/>
      <w:bookmarkEnd w:id="205"/>
      <w:bookmarkStart w:id="206" w:name="_Toc184314443"/>
      <w:bookmarkEnd w:id="206"/>
      <w:bookmarkStart w:id="207" w:name="_Toc184308055"/>
      <w:bookmarkEnd w:id="207"/>
      <w:bookmarkStart w:id="208" w:name="_Toc184312109"/>
      <w:bookmarkEnd w:id="208"/>
      <w:bookmarkStart w:id="209" w:name="_Toc184314439"/>
      <w:bookmarkEnd w:id="209"/>
      <w:bookmarkStart w:id="210" w:name="_Toc184308046"/>
      <w:bookmarkEnd w:id="210"/>
      <w:bookmarkStart w:id="211" w:name="_Toc184312108"/>
      <w:bookmarkEnd w:id="211"/>
      <w:bookmarkStart w:id="212" w:name="_Toc184314412"/>
      <w:bookmarkEnd w:id="212"/>
      <w:bookmarkStart w:id="213" w:name="_Toc184314466"/>
      <w:bookmarkEnd w:id="213"/>
      <w:bookmarkStart w:id="214" w:name="_Toc184312137"/>
      <w:bookmarkEnd w:id="214"/>
      <w:bookmarkStart w:id="215" w:name="_Toc184313310"/>
      <w:bookmarkEnd w:id="215"/>
      <w:bookmarkStart w:id="216" w:name="_Toc184308090"/>
      <w:bookmarkEnd w:id="216"/>
      <w:bookmarkStart w:id="217" w:name="_Toc184313273"/>
      <w:bookmarkEnd w:id="217"/>
      <w:bookmarkStart w:id="218" w:name="_Toc184310304"/>
      <w:bookmarkEnd w:id="218"/>
      <w:bookmarkStart w:id="219" w:name="_Toc184312114"/>
      <w:bookmarkEnd w:id="219"/>
      <w:bookmarkStart w:id="220" w:name="_Toc184308049"/>
      <w:bookmarkEnd w:id="220"/>
      <w:bookmarkStart w:id="221" w:name="_Toc184308040"/>
      <w:bookmarkEnd w:id="221"/>
      <w:bookmarkStart w:id="222" w:name="_Toc184313287"/>
      <w:bookmarkEnd w:id="222"/>
      <w:bookmarkStart w:id="223" w:name="_Toc184312117"/>
      <w:bookmarkEnd w:id="223"/>
      <w:bookmarkStart w:id="224" w:name="_Toc184312135"/>
      <w:bookmarkEnd w:id="224"/>
      <w:bookmarkStart w:id="225" w:name="_Toc184314413"/>
      <w:bookmarkEnd w:id="225"/>
      <w:bookmarkStart w:id="226" w:name="_Toc184314459"/>
      <w:bookmarkEnd w:id="226"/>
      <w:bookmarkStart w:id="227" w:name="_Toc184312083"/>
      <w:bookmarkEnd w:id="227"/>
      <w:bookmarkStart w:id="228" w:name="_Toc184308037"/>
      <w:bookmarkEnd w:id="228"/>
      <w:bookmarkStart w:id="229" w:name="_Toc184313303"/>
      <w:bookmarkEnd w:id="229"/>
      <w:bookmarkStart w:id="230" w:name="_Toc184312112"/>
      <w:bookmarkEnd w:id="230"/>
      <w:bookmarkStart w:id="231" w:name="_Toc184310317"/>
      <w:bookmarkEnd w:id="231"/>
      <w:bookmarkStart w:id="232" w:name="_Toc184308103"/>
      <w:bookmarkEnd w:id="232"/>
      <w:bookmarkStart w:id="233" w:name="_Toc184310273"/>
      <w:bookmarkEnd w:id="233"/>
      <w:bookmarkStart w:id="234" w:name="_Toc184308084"/>
      <w:bookmarkEnd w:id="234"/>
      <w:bookmarkStart w:id="235" w:name="_Toc184312134"/>
      <w:bookmarkEnd w:id="235"/>
      <w:bookmarkStart w:id="236" w:name="_Toc184314468"/>
      <w:bookmarkEnd w:id="236"/>
      <w:bookmarkStart w:id="237" w:name="_Toc184310286"/>
      <w:bookmarkEnd w:id="237"/>
      <w:bookmarkStart w:id="238" w:name="_Toc184308064"/>
      <w:bookmarkEnd w:id="238"/>
      <w:bookmarkStart w:id="239" w:name="_Toc184312088"/>
      <w:bookmarkEnd w:id="239"/>
      <w:bookmarkStart w:id="240" w:name="_Toc184313258"/>
      <w:bookmarkEnd w:id="240"/>
      <w:bookmarkStart w:id="241" w:name="_Toc184314441"/>
      <w:bookmarkEnd w:id="241"/>
      <w:bookmarkStart w:id="242" w:name="_Toc184312096"/>
      <w:bookmarkEnd w:id="242"/>
      <w:bookmarkStart w:id="243" w:name="_Toc184310321"/>
      <w:bookmarkEnd w:id="243"/>
      <w:bookmarkStart w:id="244" w:name="_Toc184310305"/>
      <w:bookmarkEnd w:id="244"/>
      <w:bookmarkStart w:id="245" w:name="_Toc184314436"/>
      <w:bookmarkEnd w:id="245"/>
      <w:bookmarkStart w:id="246" w:name="_Toc184310315"/>
      <w:bookmarkEnd w:id="246"/>
      <w:bookmarkStart w:id="247" w:name="_Toc184313281"/>
      <w:bookmarkEnd w:id="247"/>
      <w:bookmarkStart w:id="248" w:name="_Toc184308085"/>
      <w:bookmarkEnd w:id="248"/>
      <w:bookmarkStart w:id="249" w:name="_Toc184312122"/>
      <w:bookmarkEnd w:id="249"/>
      <w:bookmarkStart w:id="250" w:name="_Toc184308104"/>
      <w:bookmarkEnd w:id="250"/>
      <w:bookmarkStart w:id="251" w:name="_Toc184308102"/>
      <w:bookmarkEnd w:id="251"/>
      <w:bookmarkStart w:id="252" w:name="_Toc184312119"/>
      <w:bookmarkEnd w:id="252"/>
      <w:bookmarkStart w:id="253" w:name="_Toc184312116"/>
      <w:bookmarkEnd w:id="253"/>
      <w:bookmarkStart w:id="254" w:name="_Toc184310308"/>
      <w:bookmarkEnd w:id="254"/>
      <w:bookmarkStart w:id="255" w:name="_Toc184308068"/>
      <w:bookmarkEnd w:id="255"/>
      <w:bookmarkStart w:id="256" w:name="_Toc184313285"/>
      <w:bookmarkEnd w:id="256"/>
      <w:bookmarkStart w:id="257" w:name="_Toc184314476"/>
      <w:bookmarkEnd w:id="257"/>
      <w:bookmarkStart w:id="258" w:name="_Toc184314465"/>
      <w:bookmarkEnd w:id="258"/>
      <w:bookmarkStart w:id="259" w:name="_Toc184312113"/>
      <w:bookmarkEnd w:id="259"/>
      <w:bookmarkStart w:id="260" w:name="_Toc184310325"/>
      <w:bookmarkEnd w:id="260"/>
      <w:bookmarkStart w:id="261" w:name="_Toc184313242"/>
      <w:bookmarkEnd w:id="261"/>
      <w:bookmarkStart w:id="262" w:name="_Toc184312091"/>
      <w:bookmarkEnd w:id="262"/>
      <w:bookmarkStart w:id="263" w:name="_Toc184312130"/>
      <w:bookmarkEnd w:id="263"/>
      <w:bookmarkStart w:id="264" w:name="_Toc184312094"/>
      <w:bookmarkEnd w:id="264"/>
      <w:bookmarkStart w:id="265" w:name="_Toc184313288"/>
      <w:bookmarkEnd w:id="265"/>
      <w:bookmarkStart w:id="266" w:name="_Toc184314423"/>
      <w:bookmarkEnd w:id="266"/>
      <w:bookmarkStart w:id="267" w:name="_Toc184308088"/>
      <w:bookmarkEnd w:id="267"/>
      <w:bookmarkStart w:id="268" w:name="_Toc184313248"/>
      <w:bookmarkEnd w:id="268"/>
      <w:bookmarkStart w:id="269" w:name="_Toc184313298"/>
      <w:bookmarkEnd w:id="269"/>
      <w:bookmarkStart w:id="270" w:name="_Toc184312087"/>
      <w:bookmarkEnd w:id="270"/>
      <w:bookmarkStart w:id="271" w:name="_Toc184308098"/>
      <w:bookmarkEnd w:id="271"/>
      <w:bookmarkStart w:id="272" w:name="_Toc184314435"/>
      <w:bookmarkEnd w:id="272"/>
      <w:bookmarkStart w:id="273" w:name="_Toc184312069"/>
      <w:bookmarkEnd w:id="273"/>
      <w:bookmarkStart w:id="274" w:name="_Toc184312125"/>
      <w:bookmarkEnd w:id="274"/>
      <w:bookmarkStart w:id="275" w:name="_Toc184310338"/>
      <w:bookmarkEnd w:id="275"/>
      <w:bookmarkStart w:id="276" w:name="_Toc184308056"/>
      <w:bookmarkEnd w:id="276"/>
      <w:bookmarkStart w:id="277" w:name="_Toc184310336"/>
      <w:bookmarkEnd w:id="277"/>
      <w:bookmarkStart w:id="278" w:name="_Toc184314454"/>
      <w:bookmarkEnd w:id="278"/>
      <w:bookmarkStart w:id="279" w:name="_Toc184310288"/>
      <w:bookmarkEnd w:id="279"/>
      <w:bookmarkStart w:id="280" w:name="_Toc184308054"/>
      <w:bookmarkEnd w:id="280"/>
      <w:bookmarkStart w:id="281" w:name="_Toc184313263"/>
      <w:bookmarkEnd w:id="281"/>
      <w:bookmarkStart w:id="282" w:name="_Toc184310322"/>
      <w:bookmarkEnd w:id="282"/>
      <w:bookmarkStart w:id="283" w:name="_Toc184314424"/>
      <w:bookmarkEnd w:id="283"/>
      <w:bookmarkStart w:id="284" w:name="_Toc184312126"/>
      <w:bookmarkEnd w:id="284"/>
      <w:bookmarkStart w:id="285" w:name="_Toc184312136"/>
      <w:bookmarkEnd w:id="285"/>
      <w:bookmarkStart w:id="286" w:name="_Toc184308073"/>
      <w:bookmarkEnd w:id="286"/>
      <w:bookmarkStart w:id="287" w:name="_Toc184314452"/>
      <w:bookmarkEnd w:id="287"/>
      <w:bookmarkStart w:id="288" w:name="_Toc184308072"/>
      <w:bookmarkEnd w:id="288"/>
      <w:bookmarkStart w:id="289" w:name="_Toc184308077"/>
      <w:bookmarkEnd w:id="289"/>
      <w:bookmarkStart w:id="290" w:name="_Toc184310334"/>
      <w:bookmarkEnd w:id="290"/>
      <w:bookmarkStart w:id="291" w:name="_Toc184313251"/>
      <w:bookmarkEnd w:id="291"/>
      <w:bookmarkStart w:id="292" w:name="_Toc184312072"/>
      <w:bookmarkEnd w:id="292"/>
      <w:bookmarkStart w:id="293" w:name="_Toc184310280"/>
      <w:bookmarkEnd w:id="293"/>
      <w:bookmarkStart w:id="294" w:name="_Toc184312098"/>
      <w:bookmarkEnd w:id="294"/>
      <w:bookmarkStart w:id="295" w:name="_Toc184313280"/>
      <w:bookmarkEnd w:id="295"/>
      <w:bookmarkStart w:id="296" w:name="_Toc184308099"/>
      <w:bookmarkEnd w:id="296"/>
      <w:bookmarkStart w:id="297" w:name="_Toc184310294"/>
      <w:bookmarkEnd w:id="297"/>
      <w:bookmarkStart w:id="298" w:name="_Toc184314446"/>
      <w:bookmarkEnd w:id="298"/>
      <w:bookmarkStart w:id="299" w:name="_Toc184310340"/>
      <w:bookmarkEnd w:id="299"/>
      <w:bookmarkStart w:id="300" w:name="_Toc184308051"/>
      <w:bookmarkEnd w:id="300"/>
      <w:bookmarkStart w:id="301" w:name="_Toc184313253"/>
      <w:bookmarkEnd w:id="301"/>
      <w:bookmarkStart w:id="302" w:name="_Toc184310329"/>
      <w:bookmarkEnd w:id="302"/>
      <w:bookmarkStart w:id="303" w:name="_Toc184308074"/>
      <w:bookmarkEnd w:id="303"/>
      <w:bookmarkStart w:id="304" w:name="_Toc184308095"/>
      <w:bookmarkEnd w:id="304"/>
      <w:bookmarkStart w:id="305" w:name="_Toc184313247"/>
      <w:bookmarkEnd w:id="305"/>
      <w:bookmarkStart w:id="306" w:name="_Toc184314456"/>
      <w:bookmarkEnd w:id="306"/>
      <w:bookmarkStart w:id="307" w:name="_Toc184308107"/>
      <w:bookmarkEnd w:id="307"/>
      <w:bookmarkStart w:id="308" w:name="_Toc184310330"/>
      <w:bookmarkEnd w:id="308"/>
      <w:bookmarkStart w:id="309" w:name="_Toc184313279"/>
      <w:bookmarkEnd w:id="309"/>
      <w:bookmarkStart w:id="310" w:name="_Toc184308047"/>
      <w:bookmarkEnd w:id="310"/>
      <w:bookmarkStart w:id="311" w:name="_Toc184308076"/>
      <w:bookmarkEnd w:id="311"/>
      <w:bookmarkStart w:id="312" w:name="_Toc184314437"/>
      <w:bookmarkEnd w:id="312"/>
      <w:bookmarkStart w:id="313" w:name="_Toc184314481"/>
      <w:bookmarkEnd w:id="313"/>
      <w:bookmarkStart w:id="314" w:name="_Toc184312133"/>
      <w:bookmarkEnd w:id="314"/>
      <w:bookmarkStart w:id="315" w:name="_Toc184312090"/>
      <w:bookmarkEnd w:id="315"/>
      <w:bookmarkStart w:id="316" w:name="_Toc184308080"/>
      <w:bookmarkEnd w:id="316"/>
      <w:bookmarkStart w:id="317" w:name="_Toc184313290"/>
      <w:bookmarkEnd w:id="317"/>
      <w:bookmarkStart w:id="318" w:name="_Toc184308058"/>
      <w:bookmarkEnd w:id="318"/>
      <w:bookmarkStart w:id="319" w:name="_Toc184314427"/>
      <w:bookmarkEnd w:id="319"/>
      <w:bookmarkStart w:id="320" w:name="_Toc184313293"/>
      <w:bookmarkEnd w:id="320"/>
      <w:bookmarkStart w:id="321" w:name="_Toc184310309"/>
      <w:bookmarkEnd w:id="321"/>
      <w:bookmarkStart w:id="322" w:name="_Toc184310307"/>
      <w:bookmarkEnd w:id="322"/>
      <w:bookmarkStart w:id="323" w:name="_Toc184308070"/>
      <w:bookmarkEnd w:id="323"/>
      <w:bookmarkStart w:id="324" w:name="_Toc184313286"/>
      <w:bookmarkEnd w:id="324"/>
      <w:bookmarkStart w:id="325" w:name="_Toc184308078"/>
      <w:bookmarkEnd w:id="325"/>
      <w:bookmarkStart w:id="326" w:name="_Toc184310298"/>
      <w:bookmarkEnd w:id="326"/>
      <w:bookmarkStart w:id="327" w:name="_Toc184308060"/>
      <w:bookmarkEnd w:id="327"/>
      <w:bookmarkStart w:id="328" w:name="_Toc184313240"/>
      <w:bookmarkEnd w:id="328"/>
      <w:bookmarkStart w:id="329" w:name="_Toc184313278"/>
      <w:bookmarkEnd w:id="329"/>
      <w:bookmarkStart w:id="330" w:name="_Toc184312131"/>
      <w:bookmarkEnd w:id="330"/>
      <w:bookmarkStart w:id="331" w:name="_Toc184314410"/>
      <w:bookmarkEnd w:id="331"/>
      <w:bookmarkStart w:id="332" w:name="_Toc184312128"/>
      <w:bookmarkEnd w:id="332"/>
      <w:bookmarkStart w:id="333" w:name="_Toc184312118"/>
      <w:bookmarkEnd w:id="333"/>
      <w:bookmarkStart w:id="334" w:name="_Toc184313297"/>
      <w:bookmarkEnd w:id="334"/>
      <w:bookmarkStart w:id="335" w:name="_Toc184313302"/>
      <w:bookmarkEnd w:id="335"/>
      <w:bookmarkStart w:id="336" w:name="_Toc184310306"/>
      <w:bookmarkEnd w:id="336"/>
      <w:bookmarkStart w:id="337" w:name="_Toc184314464"/>
      <w:bookmarkEnd w:id="337"/>
      <w:bookmarkStart w:id="338" w:name="_Toc184308069"/>
      <w:bookmarkEnd w:id="338"/>
      <w:bookmarkStart w:id="339" w:name="_Toc184313249"/>
      <w:bookmarkEnd w:id="339"/>
      <w:bookmarkStart w:id="340" w:name="_Toc184313276"/>
      <w:bookmarkEnd w:id="340"/>
      <w:bookmarkStart w:id="341" w:name="_Toc184313289"/>
      <w:bookmarkEnd w:id="341"/>
      <w:bookmarkStart w:id="342" w:name="_Toc184313296"/>
      <w:bookmarkEnd w:id="342"/>
      <w:bookmarkStart w:id="343" w:name="_Toc184314429"/>
      <w:bookmarkEnd w:id="343"/>
      <w:bookmarkStart w:id="344" w:name="_Toc184310327"/>
      <w:bookmarkEnd w:id="344"/>
      <w:bookmarkStart w:id="345" w:name="_Toc184308097"/>
      <w:bookmarkEnd w:id="345"/>
      <w:bookmarkStart w:id="346" w:name="_Toc184308052"/>
      <w:bookmarkEnd w:id="346"/>
      <w:bookmarkStart w:id="347" w:name="_Toc184313269"/>
      <w:bookmarkEnd w:id="347"/>
      <w:bookmarkStart w:id="348" w:name="_Toc184314469"/>
      <w:bookmarkEnd w:id="348"/>
      <w:bookmarkStart w:id="349" w:name="_Toc184310302"/>
      <w:bookmarkEnd w:id="349"/>
      <w:bookmarkStart w:id="350" w:name="_Toc184310313"/>
      <w:bookmarkEnd w:id="350"/>
      <w:bookmarkStart w:id="351" w:name="_Toc184312124"/>
      <w:bookmarkEnd w:id="351"/>
      <w:bookmarkStart w:id="352" w:name="_Toc184308053"/>
      <w:bookmarkEnd w:id="352"/>
      <w:bookmarkStart w:id="353" w:name="_Toc184310332"/>
      <w:bookmarkEnd w:id="353"/>
      <w:bookmarkStart w:id="354" w:name="_Toc184308050"/>
      <w:bookmarkEnd w:id="354"/>
      <w:bookmarkStart w:id="355" w:name="_Toc184313305"/>
      <w:bookmarkEnd w:id="355"/>
      <w:bookmarkStart w:id="356" w:name="_Toc184310310"/>
      <w:bookmarkEnd w:id="356"/>
      <w:bookmarkStart w:id="357" w:name="_Toc184314448"/>
      <w:bookmarkEnd w:id="357"/>
      <w:bookmarkStart w:id="358" w:name="_Toc184308036"/>
      <w:bookmarkEnd w:id="358"/>
      <w:bookmarkStart w:id="359" w:name="_Toc184314455"/>
      <w:bookmarkEnd w:id="359"/>
      <w:bookmarkStart w:id="360" w:name="_Toc184314422"/>
      <w:bookmarkEnd w:id="360"/>
      <w:bookmarkStart w:id="361" w:name="_Toc184308092"/>
      <w:bookmarkEnd w:id="361"/>
      <w:bookmarkStart w:id="362" w:name="_Toc184313250"/>
      <w:bookmarkEnd w:id="362"/>
      <w:bookmarkStart w:id="363" w:name="_Toc184313307"/>
      <w:bookmarkEnd w:id="363"/>
      <w:bookmarkStart w:id="364" w:name="_Toc184308101"/>
      <w:bookmarkEnd w:id="364"/>
      <w:bookmarkStart w:id="365" w:name="_Toc184312101"/>
      <w:bookmarkEnd w:id="365"/>
      <w:bookmarkStart w:id="366" w:name="_Toc184313291"/>
      <w:bookmarkEnd w:id="366"/>
      <w:bookmarkStart w:id="367" w:name="_Toc184313252"/>
      <w:bookmarkEnd w:id="367"/>
      <w:bookmarkStart w:id="368" w:name="_Toc184313271"/>
      <w:bookmarkEnd w:id="368"/>
      <w:bookmarkStart w:id="369" w:name="_Toc184312107"/>
      <w:bookmarkEnd w:id="369"/>
      <w:bookmarkStart w:id="370" w:name="_Toc184313255"/>
      <w:bookmarkEnd w:id="370"/>
      <w:bookmarkStart w:id="371" w:name="_Toc184312110"/>
      <w:bookmarkEnd w:id="371"/>
      <w:bookmarkStart w:id="372" w:name="_Toc184313309"/>
      <w:bookmarkEnd w:id="372"/>
      <w:bookmarkStart w:id="373" w:name="_Toc184308063"/>
      <w:bookmarkEnd w:id="373"/>
      <w:bookmarkStart w:id="374" w:name="_Toc184310295"/>
      <w:bookmarkEnd w:id="374"/>
      <w:bookmarkStart w:id="375" w:name="_Toc184310293"/>
      <w:bookmarkEnd w:id="375"/>
      <w:bookmarkStart w:id="376" w:name="_Toc184314426"/>
      <w:bookmarkEnd w:id="376"/>
      <w:bookmarkStart w:id="377" w:name="_Toc184312070"/>
      <w:bookmarkEnd w:id="377"/>
      <w:bookmarkStart w:id="378" w:name="_Toc184312115"/>
      <w:bookmarkEnd w:id="378"/>
      <w:bookmarkStart w:id="379" w:name="_Toc184314417"/>
      <w:bookmarkEnd w:id="379"/>
      <w:bookmarkStart w:id="380" w:name="_Toc184310320"/>
      <w:bookmarkEnd w:id="380"/>
      <w:bookmarkStart w:id="381" w:name="_Toc184312080"/>
      <w:bookmarkEnd w:id="381"/>
      <w:bookmarkStart w:id="382" w:name="_Toc184310281"/>
      <w:bookmarkEnd w:id="382"/>
      <w:bookmarkStart w:id="383" w:name="_Toc184308082"/>
      <w:bookmarkEnd w:id="383"/>
      <w:bookmarkStart w:id="384" w:name="_Toc184313292"/>
      <w:bookmarkEnd w:id="384"/>
      <w:bookmarkStart w:id="385" w:name="_Toc184314450"/>
      <w:bookmarkEnd w:id="385"/>
      <w:bookmarkStart w:id="386" w:name="_Toc184314451"/>
      <w:bookmarkEnd w:id="386"/>
      <w:bookmarkStart w:id="387" w:name="_Toc184313284"/>
      <w:bookmarkEnd w:id="387"/>
      <w:bookmarkStart w:id="388" w:name="_Toc184313275"/>
      <w:bookmarkEnd w:id="388"/>
      <w:bookmarkStart w:id="389" w:name="_Toc184310323"/>
      <w:bookmarkEnd w:id="389"/>
      <w:bookmarkStart w:id="390" w:name="_Toc184310300"/>
      <w:bookmarkEnd w:id="390"/>
      <w:bookmarkStart w:id="391" w:name="_Toc184314430"/>
      <w:bookmarkEnd w:id="391"/>
      <w:bookmarkStart w:id="392" w:name="_Toc184308093"/>
      <w:bookmarkEnd w:id="392"/>
      <w:bookmarkStart w:id="393" w:name="_Toc184312105"/>
      <w:bookmarkEnd w:id="393"/>
      <w:bookmarkStart w:id="394" w:name="_Toc184313283"/>
      <w:bookmarkEnd w:id="394"/>
      <w:bookmarkStart w:id="395" w:name="_Toc184313268"/>
      <w:bookmarkEnd w:id="395"/>
      <w:bookmarkStart w:id="396" w:name="_Toc184314471"/>
      <w:bookmarkEnd w:id="396"/>
      <w:bookmarkStart w:id="397" w:name="_Toc184310343"/>
      <w:bookmarkEnd w:id="397"/>
      <w:bookmarkStart w:id="398" w:name="_Toc184312103"/>
      <w:bookmarkEnd w:id="398"/>
      <w:bookmarkStart w:id="399" w:name="_Toc184310282"/>
      <w:bookmarkEnd w:id="399"/>
      <w:bookmarkStart w:id="400" w:name="_Toc184310292"/>
      <w:bookmarkEnd w:id="400"/>
      <w:bookmarkStart w:id="401" w:name="_Toc184314415"/>
      <w:bookmarkEnd w:id="401"/>
      <w:bookmarkStart w:id="402" w:name="_Toc184308045"/>
      <w:bookmarkEnd w:id="402"/>
      <w:bookmarkStart w:id="403" w:name="_Toc184314421"/>
      <w:bookmarkEnd w:id="403"/>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250"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640"/>
        <w:gridCol w:w="910"/>
        <w:gridCol w:w="100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64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主客观</w:t>
            </w:r>
          </w:p>
        </w:tc>
        <w:tc>
          <w:tcPr>
            <w:tcW w:w="100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权重/分值</w:t>
            </w:r>
          </w:p>
        </w:tc>
        <w:tc>
          <w:tcPr>
            <w:tcW w:w="1710" w:type="dxa"/>
            <w:noWrap w:val="0"/>
            <w:vAlign w:val="top"/>
          </w:tcPr>
          <w:p>
            <w:pPr>
              <w:snapToGrid w:val="0"/>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2" w:hRule="atLeast"/>
        </w:trPr>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640" w:type="dxa"/>
            <w:noWrap w:val="0"/>
            <w:vAlign w:val="top"/>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根据本项目特点提出合理的</w:t>
            </w:r>
            <w:r>
              <w:rPr>
                <w:rFonts w:hint="eastAsia" w:ascii="宋体" w:hAnsi="宋体" w:cs="宋体"/>
                <w:b/>
                <w:bCs/>
                <w:color w:val="auto"/>
                <w:sz w:val="24"/>
                <w:highlight w:val="none"/>
              </w:rPr>
              <w:t>安保服务理念</w:t>
            </w:r>
            <w:r>
              <w:rPr>
                <w:rFonts w:hint="eastAsia" w:ascii="宋体" w:hAnsi="宋体" w:cs="宋体"/>
                <w:color w:val="auto"/>
                <w:sz w:val="24"/>
                <w:highlight w:val="none"/>
              </w:rPr>
              <w:t>、</w:t>
            </w:r>
            <w:r>
              <w:rPr>
                <w:rFonts w:hint="eastAsia" w:ascii="宋体" w:hAnsi="宋体" w:cs="宋体"/>
                <w:b/>
                <w:bCs/>
                <w:color w:val="auto"/>
                <w:sz w:val="24"/>
                <w:highlight w:val="none"/>
              </w:rPr>
              <w:t>服务定位</w:t>
            </w:r>
            <w:r>
              <w:rPr>
                <w:rFonts w:hint="eastAsia" w:ascii="宋体" w:hAnsi="宋体" w:cs="宋体"/>
                <w:color w:val="auto"/>
                <w:sz w:val="24"/>
                <w:highlight w:val="none"/>
              </w:rPr>
              <w:t>、</w:t>
            </w:r>
            <w:r>
              <w:rPr>
                <w:rFonts w:hint="eastAsia" w:ascii="宋体" w:hAnsi="宋体" w:cs="宋体"/>
                <w:b/>
                <w:bCs/>
                <w:color w:val="auto"/>
                <w:sz w:val="24"/>
                <w:highlight w:val="none"/>
              </w:rPr>
              <w:t>服务目标</w:t>
            </w:r>
            <w:r>
              <w:rPr>
                <w:rFonts w:hint="eastAsia" w:ascii="宋体" w:hAnsi="宋体" w:cs="宋体"/>
                <w:color w:val="auto"/>
                <w:sz w:val="24"/>
                <w:highlight w:val="none"/>
              </w:rPr>
              <w:t>，须结合本项目特点，提出有针对性的，切实可行的方案，是否能完全满足第三部分采购需求中第一项的5点要求，（符合1项得2分，部分符合得1分，不符合不得分；此项最高10分）。</w:t>
            </w:r>
          </w:p>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针对本项目有比较完善的组织架构及管理制度，清晰简练地列出主要管理流程，包括</w:t>
            </w:r>
            <w:r>
              <w:rPr>
                <w:rFonts w:hint="eastAsia" w:ascii="宋体" w:hAnsi="宋体" w:cs="宋体"/>
                <w:b/>
                <w:bCs/>
                <w:color w:val="auto"/>
                <w:sz w:val="24"/>
                <w:highlight w:val="none"/>
              </w:rPr>
              <w:t>①</w:t>
            </w:r>
            <w:r>
              <w:rPr>
                <w:rFonts w:hint="eastAsia" w:ascii="宋体" w:hAnsi="宋体" w:cs="宋体"/>
                <w:b/>
                <w:color w:val="auto"/>
                <w:sz w:val="24"/>
                <w:highlight w:val="none"/>
              </w:rPr>
              <w:t>组织架构和</w:t>
            </w:r>
            <w:r>
              <w:rPr>
                <w:rFonts w:hint="eastAsia" w:ascii="宋体" w:hAnsi="宋体" w:cs="宋体"/>
                <w:b/>
                <w:bCs/>
                <w:color w:val="auto"/>
                <w:sz w:val="24"/>
                <w:highlight w:val="none"/>
              </w:rPr>
              <w:t>运作流程图、②激励机制、③监督机制、④自我约束机制、⑤信息反馈渠道及处理机制</w:t>
            </w:r>
            <w:r>
              <w:rPr>
                <w:rFonts w:hint="eastAsia" w:ascii="宋体" w:hAnsi="宋体" w:cs="宋体"/>
                <w:color w:val="auto"/>
                <w:sz w:val="24"/>
                <w:highlight w:val="none"/>
              </w:rPr>
              <w:t>。方案根据服务区域内实际情况设计，能满足服务质量标准（符合1项得1分，不符合不得分；此项最高5分）。</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000" w:type="dxa"/>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710" w:type="dxa"/>
            <w:noWrap w:val="0"/>
            <w:vAlign w:val="center"/>
          </w:tcPr>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Hans"/>
              </w:rPr>
              <w:t>一）</w:t>
            </w:r>
            <w:r>
              <w:rPr>
                <w:rFonts w:hint="eastAsia" w:ascii="宋体" w:hAnsi="宋体" w:cs="宋体"/>
                <w:b/>
                <w:color w:val="auto"/>
                <w:sz w:val="24"/>
                <w:highlight w:val="none"/>
              </w:rPr>
              <w:t>安保服务理念、组织架构及管理制度情况及项目要求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640" w:type="dxa"/>
            <w:noWrap w:val="0"/>
            <w:vAlign w:val="top"/>
          </w:tcPr>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方案包括安保服务区域内各类工作内容，包括①安全管控、②紧急预案、③安全盘查登记、④道路交通管理、⑤车速过快纠治、⑥闲杂人员清理、⑦机动车和非机动车停放管理、⑧公共区域防火和防盗工作、⑨大项活动安全保障、⑩参加应急分队拉动演练。方案根据服务区域内实际情况设计，能满足采购人要求及服务质量标准（符合1项得2分，不符合不得分；此项最高20分）。</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000" w:type="dxa"/>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1710" w:type="dxa"/>
            <w:noWrap w:val="0"/>
            <w:vAlign w:val="center"/>
          </w:tcPr>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Hans"/>
              </w:rPr>
              <w:t>二</w:t>
            </w:r>
            <w:r>
              <w:rPr>
                <w:rFonts w:hint="eastAsia" w:ascii="宋体" w:hAnsi="宋体" w:cs="宋体"/>
                <w:b/>
                <w:bCs/>
                <w:color w:val="auto"/>
                <w:sz w:val="24"/>
                <w:highlight w:val="none"/>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640" w:type="dxa"/>
            <w:noWrap w:val="0"/>
            <w:vAlign w:val="top"/>
          </w:tcPr>
          <w:p>
            <w:pPr>
              <w:snapToGrid w:val="0"/>
              <w:spacing w:line="360" w:lineRule="auto"/>
              <w:jc w:val="left"/>
              <w:rPr>
                <w:rFonts w:ascii="宋体" w:hAnsi="宋体" w:cs="宋体"/>
                <w:color w:val="auto"/>
                <w:sz w:val="24"/>
                <w:highlight w:val="none"/>
              </w:rPr>
            </w:pPr>
            <w:r>
              <w:rPr>
                <w:rFonts w:hint="eastAsia" w:ascii="宋体" w:hAnsi="宋体" w:cs="宋体"/>
                <w:bCs/>
                <w:color w:val="auto"/>
                <w:sz w:val="24"/>
                <w:highlight w:val="none"/>
              </w:rPr>
              <w:t>服务标准满足采购人</w:t>
            </w:r>
            <w:r>
              <w:rPr>
                <w:rFonts w:hint="eastAsia" w:ascii="宋体" w:hAnsi="宋体" w:cs="宋体"/>
                <w:color w:val="auto"/>
                <w:sz w:val="24"/>
                <w:highlight w:val="none"/>
              </w:rPr>
              <w:t>第三部分采购需求中第三项服务标准中的8项</w:t>
            </w:r>
            <w:r>
              <w:rPr>
                <w:rFonts w:hint="eastAsia" w:ascii="宋体" w:hAnsi="宋体" w:cs="宋体"/>
                <w:bCs/>
                <w:color w:val="auto"/>
                <w:sz w:val="24"/>
                <w:highlight w:val="none"/>
              </w:rPr>
              <w:t>要求并承诺，每一项承诺得2分，不承诺或不满足不得分，总计16分</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000" w:type="dxa"/>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710" w:type="dxa"/>
            <w:noWrap w:val="0"/>
            <w:vAlign w:val="center"/>
          </w:tcPr>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Hans"/>
              </w:rPr>
              <w:t>三）</w:t>
            </w:r>
            <w:r>
              <w:rPr>
                <w:rFonts w:hint="eastAsia" w:ascii="宋体" w:hAnsi="宋体" w:cs="宋体"/>
                <w:b/>
                <w:bCs/>
                <w:color w:val="auto"/>
                <w:sz w:val="24"/>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640" w:type="dxa"/>
            <w:noWrap w:val="0"/>
            <w:vAlign w:val="top"/>
          </w:tcPr>
          <w:p>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人员满足以下要求：</w:t>
            </w:r>
          </w:p>
          <w:p>
            <w:pPr>
              <w:snapToGrid w:val="0"/>
              <w:spacing w:line="360" w:lineRule="auto"/>
              <w:jc w:val="left"/>
              <w:rPr>
                <w:rFonts w:hint="eastAsia"/>
                <w:color w:val="auto"/>
                <w:highlight w:val="none"/>
              </w:rPr>
            </w:pPr>
            <w:r>
              <w:rPr>
                <w:rFonts w:hint="eastAsia" w:ascii="宋体" w:hAnsi="宋体" w:cs="宋体"/>
                <w:bCs/>
                <w:color w:val="auto"/>
                <w:sz w:val="24"/>
                <w:highlight w:val="none"/>
              </w:rPr>
              <w:t>①初中以上学历、②身高170厘米以上、③平均年龄45周岁以下(退伍军人、有特长可适当放宽)男性；每满足一项得2分，不满足不得分，总计6分，提供相关证明材料，否则不得分。</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00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10" w:type="dxa"/>
            <w:noWrap w:val="0"/>
            <w:vAlign w:val="center"/>
          </w:tcPr>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Hans"/>
              </w:rPr>
              <w:t>四）</w:t>
            </w:r>
            <w:r>
              <w:rPr>
                <w:rFonts w:hint="eastAsia" w:ascii="宋体" w:hAnsi="宋体" w:cs="宋体"/>
                <w:b/>
                <w:color w:val="auto"/>
                <w:sz w:val="24"/>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640" w:type="dxa"/>
            <w:noWrap w:val="0"/>
            <w:vAlign w:val="top"/>
          </w:tcPr>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承诺①所有安保人员具备保安员职业资格证书，持证上岗（保安证）②提供服务后，除正常休假人员外，确保不缺人、不缺岗③保安员上岗应着保安员服装，佩带统一的保安服务标志④履行安保服务职责、制止违法犯罪行为⑤不得有采购人禁止行为；每满足一项得2分，不满足不得分，总计10分</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000" w:type="dxa"/>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710" w:type="dxa"/>
            <w:noWrap w:val="0"/>
            <w:vAlign w:val="center"/>
          </w:tcPr>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（四）人员要求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640" w:type="dxa"/>
            <w:noWrap w:val="0"/>
            <w:vAlign w:val="top"/>
          </w:tcPr>
          <w:p>
            <w:pPr>
              <w:snapToGrid w:val="0"/>
              <w:spacing w:line="360" w:lineRule="auto"/>
              <w:jc w:val="left"/>
              <w:rPr>
                <w:color w:val="auto"/>
                <w:highlight w:val="none"/>
              </w:rPr>
            </w:pPr>
            <w:r>
              <w:rPr>
                <w:rFonts w:hint="eastAsia" w:ascii="宋体" w:hAnsi="宋体" w:cs="宋体"/>
                <w:bCs/>
                <w:color w:val="auto"/>
                <w:sz w:val="24"/>
                <w:highlight w:val="none"/>
              </w:rPr>
              <w:t>违约责任及监督机制考核能满足</w:t>
            </w:r>
            <w:r>
              <w:rPr>
                <w:rFonts w:hint="eastAsia" w:ascii="宋体" w:hAnsi="宋体" w:cs="宋体"/>
                <w:color w:val="auto"/>
                <w:sz w:val="24"/>
                <w:highlight w:val="none"/>
              </w:rPr>
              <w:t>第三部分采购需求中第五项中的五项</w:t>
            </w:r>
            <w:r>
              <w:rPr>
                <w:rFonts w:hint="eastAsia" w:ascii="宋体" w:hAnsi="宋体" w:cs="宋体"/>
                <w:bCs/>
                <w:color w:val="auto"/>
                <w:sz w:val="24"/>
                <w:highlight w:val="none"/>
              </w:rPr>
              <w:t>要求并承诺，每一项承诺得2分，不承诺或不满足不得分，总计10分</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w:t>
            </w:r>
          </w:p>
        </w:tc>
        <w:tc>
          <w:tcPr>
            <w:tcW w:w="1000" w:type="dxa"/>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710" w:type="dxa"/>
            <w:noWrap w:val="0"/>
            <w:vAlign w:val="center"/>
          </w:tcPr>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（五）违约责任及监督机制考核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640" w:type="dxa"/>
            <w:noWrap w:val="0"/>
            <w:vAlign w:val="top"/>
          </w:tcPr>
          <w:p>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人获得的有效的ISO9001质量管理体系认证证书、ISO14001环境管理体系认证证书、ISO45001职业健康安全管理体系认证证书，三个证书同时具备得1分，少一个扣0.5分，直至扣至0分为止。（提供证书原件扫描件并加盖公章，全国认证认可信息公共服务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"http://cx.cnca.cn/CertECloud/result/skipResultList" </w:instrText>
            </w:r>
            <w:r>
              <w:rPr>
                <w:rFonts w:hint="eastAsia" w:ascii="宋体" w:hAnsi="宋体" w:cs="宋体"/>
                <w:color w:val="auto"/>
                <w:highlight w:val="none"/>
              </w:rPr>
              <w:fldChar w:fldCharType="separate"/>
            </w:r>
            <w:r>
              <w:rPr>
                <w:rStyle w:val="76"/>
                <w:rFonts w:hint="eastAsia" w:ascii="宋体" w:hAnsi="宋体" w:eastAsia="宋体" w:cs="宋体"/>
                <w:color w:val="auto"/>
                <w:highlight w:val="none"/>
              </w:rPr>
              <w:t>http://cx.cnca.cn/CertECloud/result/skipResultList</w:t>
            </w:r>
            <w:r>
              <w:rPr>
                <w:rStyle w:val="76"/>
                <w:rFonts w:hint="eastAsia" w:ascii="宋体" w:hAnsi="宋体" w:eastAsia="宋体" w:cs="宋体"/>
                <w:color w:val="auto"/>
                <w:highlight w:val="none"/>
              </w:rPr>
              <w:fldChar w:fldCharType="end"/>
            </w:r>
            <w:r>
              <w:rPr>
                <w:rFonts w:hint="eastAsia" w:ascii="宋体" w:hAnsi="宋体" w:cs="宋体"/>
                <w:color w:val="auto"/>
                <w:sz w:val="24"/>
                <w:highlight w:val="none"/>
              </w:rPr>
              <w:t>可查。）</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00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10" w:type="dxa"/>
            <w:noWrap w:val="0"/>
            <w:vAlign w:val="center"/>
          </w:tcPr>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（十七）</w:t>
            </w:r>
            <w:r>
              <w:rPr>
                <w:rFonts w:hint="eastAsia" w:ascii="宋体" w:hAnsi="宋体" w:cs="宋体"/>
                <w:b/>
                <w:color w:val="auto"/>
                <w:sz w:val="24"/>
                <w:highlight w:val="none"/>
              </w:rPr>
              <w:t>投标人的资质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6" w:hRule="atLeast"/>
        </w:trPr>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640" w:type="dxa"/>
            <w:noWrap w:val="0"/>
            <w:vAlign w:val="top"/>
          </w:tcPr>
          <w:p>
            <w:pPr>
              <w:snapToGrid w:val="0"/>
              <w:spacing w:line="360" w:lineRule="auto"/>
              <w:ind w:firstLine="480" w:firstLineChars="200"/>
              <w:rPr>
                <w:rFonts w:hint="eastAsia" w:ascii="宋体" w:hAnsi="宋体" w:cs="宋体"/>
                <w:b/>
                <w:snapToGrid w:val="0"/>
                <w:color w:val="auto"/>
                <w:kern w:val="0"/>
                <w:sz w:val="24"/>
                <w:szCs w:val="21"/>
                <w:highlight w:val="none"/>
              </w:rPr>
            </w:pPr>
            <w:r>
              <w:rPr>
                <w:rFonts w:hint="eastAsia" w:ascii="宋体" w:hAnsi="宋体" w:cs="宋体"/>
                <w:color w:val="auto"/>
                <w:sz w:val="24"/>
                <w:highlight w:val="none"/>
              </w:rPr>
              <w:t>投标截止时间前三年内承担过类似安保服务项目（如医院、研究院、学校、企业等）情况，根据已完成的项目案例合同等实例证明进行评分，时间以合同签订时间为准。每一个成功案例得0. 5分，最高2分。一个单位分年度多次签订的案例，计入1个案例；同一个项目，分两期或以上完成的，计入1个案例。【</w:t>
            </w:r>
            <w:r>
              <w:rPr>
                <w:rFonts w:hint="eastAsia" w:ascii="宋体" w:hAnsi="宋体" w:cs="宋体"/>
                <w:b/>
                <w:color w:val="auto"/>
                <w:sz w:val="24"/>
                <w:highlight w:val="none"/>
              </w:rPr>
              <w:t>原件备查，采购机构在项目评审直至合同签订、履约期间，有权要求投标人出具投标文件中的合同和用户验收报告，予以确认其的真实性和有效性，如出现与事实不符等情况，将根据有关规定以“提供虚假材料谋取中标（成交）”予以处理</w:t>
            </w:r>
            <w:r>
              <w:rPr>
                <w:rFonts w:hint="eastAsia" w:ascii="宋体" w:hAnsi="宋体" w:cs="宋体"/>
                <w:color w:val="auto"/>
                <w:sz w:val="24"/>
                <w:highlight w:val="none"/>
              </w:rPr>
              <w:t>】</w:t>
            </w:r>
            <w:r>
              <w:rPr>
                <w:rFonts w:hint="eastAsia" w:ascii="宋体" w:hAnsi="宋体" w:cs="宋体"/>
                <w:b/>
                <w:snapToGrid w:val="0"/>
                <w:color w:val="auto"/>
                <w:kern w:val="0"/>
                <w:sz w:val="24"/>
                <w:szCs w:val="21"/>
                <w:highlight w:val="none"/>
              </w:rPr>
              <w:t>。</w:t>
            </w:r>
          </w:p>
        </w:tc>
        <w:tc>
          <w:tcPr>
            <w:tcW w:w="9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w:t>
            </w:r>
          </w:p>
        </w:tc>
        <w:tc>
          <w:tcPr>
            <w:tcW w:w="100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10" w:type="dxa"/>
            <w:noWrap w:val="0"/>
            <w:vAlign w:val="center"/>
          </w:tcPr>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（十八）</w:t>
            </w:r>
            <w:r>
              <w:rPr>
                <w:rFonts w:hint="eastAsia" w:ascii="宋体" w:hAnsi="宋体" w:cs="宋体"/>
                <w:b/>
                <w:color w:val="auto"/>
                <w:sz w:val="24"/>
                <w:highlight w:val="none"/>
              </w:rPr>
              <w:t>投标人类似项目建设的成功经验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640" w:type="dxa"/>
            <w:noWrap w:val="0"/>
            <w:vAlign w:val="top"/>
          </w:tcPr>
          <w:p>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有效投标报价的最低价作为评标基准价，其最低报价为满分；按［投标报价得分=（评标基准价/投标报价）*20］的计算公式计算。</w:t>
            </w:r>
          </w:p>
          <w:p>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pPr>
              <w:spacing w:line="360" w:lineRule="auto"/>
              <w:jc w:val="left"/>
              <w:outlineLvl w:val="0"/>
              <w:rPr>
                <w:rFonts w:hint="eastAsia"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因落实政府采购政策需要进行价格调整的，以调整后的价格计算评标基准价和投标报价。</w:t>
            </w:r>
          </w:p>
        </w:tc>
        <w:tc>
          <w:tcPr>
            <w:tcW w:w="910" w:type="dxa"/>
            <w:noWrap w:val="0"/>
            <w:vAlign w:val="center"/>
          </w:tcPr>
          <w:p>
            <w:pPr>
              <w:spacing w:line="360" w:lineRule="auto"/>
              <w:jc w:val="center"/>
              <w:outlineLvl w:val="0"/>
              <w:rPr>
                <w:rFonts w:hint="eastAsia" w:ascii="宋体" w:hAnsi="宋体" w:cs="宋体"/>
                <w:color w:val="auto"/>
                <w:sz w:val="24"/>
                <w:highlight w:val="none"/>
              </w:rPr>
            </w:pPr>
          </w:p>
        </w:tc>
        <w:tc>
          <w:tcPr>
            <w:tcW w:w="1000" w:type="dxa"/>
            <w:noWrap w:val="0"/>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20</w:t>
            </w:r>
          </w:p>
        </w:tc>
        <w:tc>
          <w:tcPr>
            <w:tcW w:w="1710" w:type="dxa"/>
            <w:noWrap w:val="0"/>
            <w:vAlign w:val="center"/>
          </w:tcPr>
          <w:p>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pPr>
        <w:spacing w:line="360" w:lineRule="auto"/>
        <w:rPr>
          <w:rFonts w:hint="eastAsia"/>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5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5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5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5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5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5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5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5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404" w:name="第五部分"/>
      <w:bookmarkStart w:id="405"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360" w:lineRule="auto"/>
        <w:rPr>
          <w:rFonts w:ascii="宋体" w:hAnsi="宋体" w:cs="宋体"/>
          <w:color w:val="auto"/>
          <w:sz w:val="24"/>
          <w:highlight w:val="none"/>
        </w:rPr>
      </w:pPr>
    </w:p>
    <w:p>
      <w:pPr>
        <w:pStyle w:val="2"/>
        <w:rPr>
          <w:color w:val="auto"/>
          <w:highlight w:val="none"/>
        </w:rPr>
      </w:pPr>
    </w:p>
    <w:p>
      <w:pPr>
        <w:spacing w:before="120" w:line="360" w:lineRule="auto"/>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8"/>
        <w:spacing w:before="120"/>
        <w:rPr>
          <w:rFonts w:ascii="宋体" w:hAnsi="宋体" w:eastAsia="宋体" w:cs="宋体"/>
          <w:color w:val="auto"/>
          <w:szCs w:val="24"/>
          <w:highlight w:val="none"/>
        </w:rPr>
      </w:pPr>
    </w:p>
    <w:p>
      <w:pPr>
        <w:pStyle w:val="598"/>
        <w:spacing w:before="120"/>
        <w:rPr>
          <w:rFonts w:ascii="宋体" w:hAnsi="宋体" w:eastAsia="宋体" w:cs="宋体"/>
          <w:color w:val="auto"/>
          <w:szCs w:val="24"/>
          <w:highlight w:val="none"/>
        </w:rPr>
      </w:pPr>
    </w:p>
    <w:p>
      <w:pPr>
        <w:spacing w:line="360" w:lineRule="auto"/>
        <w:rPr>
          <w:rFonts w:ascii="宋体" w:hAnsi="宋体" w:cs="宋体"/>
          <w:color w:val="auto"/>
          <w:sz w:val="24"/>
          <w:highlight w:val="none"/>
        </w:rPr>
      </w:pPr>
    </w:p>
    <w:p>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360" w:lineRule="auto"/>
        <w:rPr>
          <w:rFonts w:ascii="宋体" w:hAnsi="宋体" w:cs="宋体"/>
          <w:color w:val="auto"/>
          <w:sz w:val="24"/>
          <w:highlight w:val="none"/>
        </w:rPr>
      </w:pPr>
    </w:p>
    <w:p>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360" w:lineRule="auto"/>
        <w:rPr>
          <w:rFonts w:ascii="宋体" w:hAnsi="宋体" w:cs="宋体"/>
          <w:color w:val="auto"/>
          <w:sz w:val="24"/>
          <w:highlight w:val="none"/>
        </w:rPr>
      </w:pPr>
    </w:p>
    <w:p>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360" w:lineRule="auto"/>
        <w:rPr>
          <w:rFonts w:ascii="宋体" w:hAnsi="宋体" w:cs="宋体"/>
          <w:color w:val="auto"/>
          <w:sz w:val="24"/>
          <w:highlight w:val="none"/>
        </w:rPr>
      </w:pPr>
    </w:p>
    <w:p>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spacing w:line="360" w:lineRule="auto"/>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杭州市儿童医院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杭州市儿童医院安保服务项目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（中标供应商名称） </w:t>
      </w:r>
      <w:r>
        <w:rPr>
          <w:rFonts w:hint="eastAsia" w:ascii="宋体" w:hAnsi="宋体"/>
          <w:color w:val="auto"/>
          <w:sz w:val="24"/>
          <w:highlight w:val="none"/>
        </w:rPr>
        <w:t>为该项目中标供应商。现于中标通知书发出之日起10个工作日内，按照采购文件确定的事项签订本合同。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rPr>
        <w:t>杭州市儿童医院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360" w:lineRule="auto"/>
        <w:ind w:firstLine="482" w:firstLineChars="200"/>
        <w:outlineLvl w:val="0"/>
        <w:rPr>
          <w:rFonts w:ascii="宋体" w:hAnsi="宋体"/>
          <w:color w:val="auto"/>
          <w:sz w:val="24"/>
          <w:highlight w:val="none"/>
        </w:rPr>
      </w:pPr>
      <w:bookmarkStart w:id="406" w:name="_Toc20421"/>
      <w:bookmarkStart w:id="407" w:name="_Toc28855"/>
      <w:bookmarkStart w:id="408" w:name="_Toc19273"/>
      <w:bookmarkStart w:id="409" w:name="_Toc22967"/>
      <w:bookmarkStart w:id="410"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360" w:lineRule="auto"/>
        <w:ind w:firstLine="482" w:firstLineChars="200"/>
        <w:outlineLvl w:val="0"/>
        <w:rPr>
          <w:rFonts w:ascii="宋体" w:hAnsi="宋体"/>
          <w:b/>
          <w:color w:val="auto"/>
          <w:sz w:val="24"/>
          <w:highlight w:val="none"/>
        </w:rPr>
      </w:pPr>
      <w:bookmarkStart w:id="411" w:name="_Toc18585"/>
      <w:bookmarkStart w:id="412" w:name="_Toc2918"/>
      <w:bookmarkStart w:id="413" w:name="_Toc6773"/>
      <w:bookmarkStart w:id="414" w:name="_Toc6311"/>
      <w:bookmarkStart w:id="41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标的</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标的</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标的质量：</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16" w:name="_Toc4929"/>
      <w:bookmarkStart w:id="417" w:name="_Toc1386"/>
      <w:bookmarkStart w:id="418" w:name="_Toc13918"/>
      <w:bookmarkStart w:id="419" w:name="_Toc5635"/>
      <w:bookmarkStart w:id="420" w:name="_Toc21124"/>
      <w:r>
        <w:rPr>
          <w:rFonts w:ascii="宋体" w:hAnsi="宋体"/>
          <w:b/>
          <w:color w:val="auto"/>
          <w:sz w:val="24"/>
          <w:highlight w:val="none"/>
        </w:rPr>
        <w:t>1.3 价款</w:t>
      </w:r>
      <w:bookmarkEnd w:id="416"/>
      <w:bookmarkEnd w:id="417"/>
      <w:bookmarkEnd w:id="418"/>
      <w:bookmarkEnd w:id="419"/>
      <w:bookmarkEnd w:id="420"/>
    </w:p>
    <w:p>
      <w:pPr>
        <w:spacing w:line="360" w:lineRule="auto"/>
        <w:ind w:firstLine="480" w:firstLineChars="200"/>
        <w:rPr>
          <w:rFonts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jc w:val="center"/>
              <w:rPr>
                <w:rFonts w:hAnsi="宋体"/>
                <w:color w:val="auto"/>
                <w:sz w:val="24"/>
                <w:szCs w:val="24"/>
                <w:highlight w:val="none"/>
                <w:lang w:val="en-US" w:eastAsia="zh-CN"/>
              </w:rPr>
            </w:pPr>
            <w:r>
              <w:rPr>
                <w:rFonts w:hAnsi="宋体"/>
                <w:color w:val="auto"/>
                <w:sz w:val="24"/>
                <w:szCs w:val="24"/>
                <w:highlight w:val="none"/>
                <w:lang w:val="en-US" w:eastAsia="zh-CN"/>
              </w:rPr>
              <w:t>序号</w:t>
            </w:r>
          </w:p>
        </w:tc>
        <w:tc>
          <w:tcPr>
            <w:tcW w:w="3402" w:type="dxa"/>
            <w:noWrap w:val="0"/>
            <w:vAlign w:val="center"/>
          </w:tcPr>
          <w:p>
            <w:pPr>
              <w:pStyle w:val="329"/>
              <w:spacing w:line="360" w:lineRule="auto"/>
              <w:ind w:firstLine="200"/>
              <w:jc w:val="center"/>
              <w:rPr>
                <w:rFonts w:hAnsi="宋体"/>
                <w:color w:val="auto"/>
                <w:sz w:val="24"/>
                <w:szCs w:val="24"/>
                <w:highlight w:val="none"/>
                <w:lang w:val="en-US" w:eastAsia="zh-CN"/>
              </w:rPr>
            </w:pPr>
            <w:r>
              <w:rPr>
                <w:rFonts w:hint="eastAsia" w:hAnsi="宋体"/>
                <w:color w:val="auto"/>
                <w:sz w:val="24"/>
                <w:szCs w:val="24"/>
                <w:highlight w:val="none"/>
                <w:lang w:val="en-US" w:eastAsia="zh-CN"/>
              </w:rPr>
              <w:t>分项名称</w:t>
            </w:r>
          </w:p>
        </w:tc>
        <w:tc>
          <w:tcPr>
            <w:tcW w:w="2552" w:type="dxa"/>
            <w:noWrap w:val="0"/>
            <w:vAlign w:val="center"/>
          </w:tcPr>
          <w:p>
            <w:pPr>
              <w:pStyle w:val="329"/>
              <w:spacing w:line="360" w:lineRule="auto"/>
              <w:jc w:val="center"/>
              <w:rPr>
                <w:rFonts w:hAnsi="宋体"/>
                <w:color w:val="auto"/>
                <w:sz w:val="24"/>
                <w:szCs w:val="24"/>
                <w:highlight w:val="none"/>
                <w:lang w:val="en-US" w:eastAsia="zh-CN"/>
              </w:rPr>
            </w:pPr>
            <w:r>
              <w:rPr>
                <w:rFonts w:hAnsi="宋体"/>
                <w:color w:val="auto"/>
                <w:sz w:val="24"/>
                <w:szCs w:val="24"/>
                <w:highlight w:val="none"/>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ind w:firstLine="200"/>
              <w:jc w:val="center"/>
              <w:rPr>
                <w:rFonts w:hAnsi="宋体"/>
                <w:color w:val="auto"/>
                <w:sz w:val="24"/>
                <w:szCs w:val="24"/>
                <w:highlight w:val="none"/>
                <w:lang w:val="en-US" w:eastAsia="zh-CN"/>
              </w:rPr>
            </w:pPr>
          </w:p>
        </w:tc>
        <w:tc>
          <w:tcPr>
            <w:tcW w:w="3402" w:type="dxa"/>
            <w:noWrap w:val="0"/>
            <w:vAlign w:val="center"/>
          </w:tcPr>
          <w:p>
            <w:pPr>
              <w:pStyle w:val="329"/>
              <w:spacing w:line="360" w:lineRule="auto"/>
              <w:ind w:firstLine="200"/>
              <w:jc w:val="center"/>
              <w:rPr>
                <w:rFonts w:hAnsi="宋体"/>
                <w:color w:val="auto"/>
                <w:sz w:val="24"/>
                <w:szCs w:val="24"/>
                <w:highlight w:val="none"/>
                <w:lang w:val="en-US" w:eastAsia="zh-CN"/>
              </w:rPr>
            </w:pPr>
          </w:p>
        </w:tc>
        <w:tc>
          <w:tcPr>
            <w:tcW w:w="2552" w:type="dxa"/>
            <w:noWrap w:val="0"/>
            <w:vAlign w:val="center"/>
          </w:tcPr>
          <w:p>
            <w:pPr>
              <w:pStyle w:val="329"/>
              <w:spacing w:line="360" w:lineRule="auto"/>
              <w:ind w:firstLine="200"/>
              <w:jc w:val="center"/>
              <w:rPr>
                <w:rFonts w:hAnsi="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ind w:firstLine="200"/>
              <w:jc w:val="center"/>
              <w:rPr>
                <w:rFonts w:hAnsi="宋体"/>
                <w:color w:val="auto"/>
                <w:sz w:val="24"/>
                <w:szCs w:val="24"/>
                <w:highlight w:val="none"/>
                <w:lang w:val="en-US" w:eastAsia="zh-CN"/>
              </w:rPr>
            </w:pPr>
          </w:p>
        </w:tc>
        <w:tc>
          <w:tcPr>
            <w:tcW w:w="3402" w:type="dxa"/>
            <w:noWrap w:val="0"/>
            <w:vAlign w:val="center"/>
          </w:tcPr>
          <w:p>
            <w:pPr>
              <w:pStyle w:val="329"/>
              <w:spacing w:line="360" w:lineRule="auto"/>
              <w:ind w:firstLine="200"/>
              <w:jc w:val="center"/>
              <w:rPr>
                <w:rFonts w:hAnsi="宋体"/>
                <w:color w:val="auto"/>
                <w:sz w:val="24"/>
                <w:szCs w:val="24"/>
                <w:highlight w:val="none"/>
                <w:lang w:val="en-US" w:eastAsia="zh-CN"/>
              </w:rPr>
            </w:pPr>
          </w:p>
        </w:tc>
        <w:tc>
          <w:tcPr>
            <w:tcW w:w="2552" w:type="dxa"/>
            <w:noWrap w:val="0"/>
            <w:vAlign w:val="center"/>
          </w:tcPr>
          <w:p>
            <w:pPr>
              <w:pStyle w:val="329"/>
              <w:spacing w:line="360" w:lineRule="auto"/>
              <w:ind w:firstLine="200"/>
              <w:jc w:val="center"/>
              <w:rPr>
                <w:rFonts w:hAnsi="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ind w:firstLine="200"/>
              <w:jc w:val="center"/>
              <w:rPr>
                <w:rFonts w:hAnsi="宋体"/>
                <w:color w:val="auto"/>
                <w:sz w:val="24"/>
                <w:szCs w:val="24"/>
                <w:highlight w:val="none"/>
                <w:lang w:val="en-US" w:eastAsia="zh-CN"/>
              </w:rPr>
            </w:pPr>
          </w:p>
        </w:tc>
        <w:tc>
          <w:tcPr>
            <w:tcW w:w="3402" w:type="dxa"/>
            <w:noWrap w:val="0"/>
            <w:vAlign w:val="center"/>
          </w:tcPr>
          <w:p>
            <w:pPr>
              <w:pStyle w:val="329"/>
              <w:spacing w:line="360" w:lineRule="auto"/>
              <w:ind w:firstLine="200"/>
              <w:jc w:val="center"/>
              <w:rPr>
                <w:rFonts w:hAnsi="宋体"/>
                <w:color w:val="auto"/>
                <w:sz w:val="24"/>
                <w:szCs w:val="24"/>
                <w:highlight w:val="none"/>
                <w:lang w:val="en-US" w:eastAsia="zh-CN"/>
              </w:rPr>
            </w:pPr>
          </w:p>
        </w:tc>
        <w:tc>
          <w:tcPr>
            <w:tcW w:w="2552" w:type="dxa"/>
            <w:noWrap w:val="0"/>
            <w:vAlign w:val="center"/>
          </w:tcPr>
          <w:p>
            <w:pPr>
              <w:pStyle w:val="329"/>
              <w:spacing w:line="360" w:lineRule="auto"/>
              <w:ind w:firstLine="200"/>
              <w:jc w:val="center"/>
              <w:rPr>
                <w:rFonts w:hAnsi="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ind w:firstLine="200"/>
              <w:jc w:val="center"/>
              <w:rPr>
                <w:rFonts w:hAnsi="宋体"/>
                <w:color w:val="auto"/>
                <w:sz w:val="24"/>
                <w:szCs w:val="24"/>
                <w:highlight w:val="none"/>
                <w:lang w:val="en-US" w:eastAsia="zh-CN"/>
              </w:rPr>
            </w:pPr>
          </w:p>
        </w:tc>
        <w:tc>
          <w:tcPr>
            <w:tcW w:w="3402" w:type="dxa"/>
            <w:noWrap w:val="0"/>
            <w:vAlign w:val="center"/>
          </w:tcPr>
          <w:p>
            <w:pPr>
              <w:pStyle w:val="329"/>
              <w:spacing w:line="360" w:lineRule="auto"/>
              <w:ind w:firstLine="200"/>
              <w:jc w:val="center"/>
              <w:rPr>
                <w:rFonts w:hAnsi="宋体"/>
                <w:color w:val="auto"/>
                <w:sz w:val="24"/>
                <w:szCs w:val="24"/>
                <w:highlight w:val="none"/>
                <w:lang w:val="en-US" w:eastAsia="zh-CN"/>
              </w:rPr>
            </w:pPr>
          </w:p>
        </w:tc>
        <w:tc>
          <w:tcPr>
            <w:tcW w:w="2552" w:type="dxa"/>
            <w:noWrap w:val="0"/>
            <w:vAlign w:val="center"/>
          </w:tcPr>
          <w:p>
            <w:pPr>
              <w:pStyle w:val="329"/>
              <w:spacing w:line="360" w:lineRule="auto"/>
              <w:ind w:firstLine="200"/>
              <w:jc w:val="center"/>
              <w:rPr>
                <w:rFonts w:hAnsi="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29"/>
              <w:spacing w:line="360" w:lineRule="auto"/>
              <w:ind w:firstLine="200"/>
              <w:jc w:val="center"/>
              <w:rPr>
                <w:rFonts w:hAnsi="宋体"/>
                <w:color w:val="auto"/>
                <w:sz w:val="24"/>
                <w:szCs w:val="24"/>
                <w:highlight w:val="none"/>
                <w:lang w:val="en-US" w:eastAsia="zh-CN"/>
              </w:rPr>
            </w:pPr>
            <w:r>
              <w:rPr>
                <w:rFonts w:hint="eastAsia" w:hAnsi="宋体"/>
                <w:color w:val="auto"/>
                <w:sz w:val="24"/>
                <w:szCs w:val="24"/>
                <w:highlight w:val="none"/>
                <w:lang w:val="en-US" w:eastAsia="zh-CN"/>
              </w:rPr>
              <w:t>总价</w:t>
            </w:r>
          </w:p>
        </w:tc>
        <w:tc>
          <w:tcPr>
            <w:tcW w:w="2552" w:type="dxa"/>
            <w:noWrap w:val="0"/>
            <w:vAlign w:val="center"/>
          </w:tcPr>
          <w:p>
            <w:pPr>
              <w:pStyle w:val="329"/>
              <w:spacing w:line="360" w:lineRule="auto"/>
              <w:ind w:firstLine="200"/>
              <w:jc w:val="center"/>
              <w:rPr>
                <w:rFonts w:hAnsi="宋体"/>
                <w:color w:val="auto"/>
                <w:sz w:val="24"/>
                <w:szCs w:val="24"/>
                <w:highlight w:val="none"/>
                <w:lang w:val="en-US" w:eastAsia="zh-CN"/>
              </w:rPr>
            </w:pPr>
          </w:p>
        </w:tc>
      </w:tr>
    </w:tbl>
    <w:p>
      <w:pPr>
        <w:spacing w:line="360" w:lineRule="auto"/>
        <w:ind w:firstLine="482" w:firstLineChars="200"/>
        <w:outlineLvl w:val="0"/>
        <w:rPr>
          <w:rFonts w:ascii="宋体" w:hAnsi="宋体"/>
          <w:b/>
          <w:color w:val="auto"/>
          <w:sz w:val="24"/>
          <w:highlight w:val="none"/>
        </w:rPr>
      </w:pPr>
      <w:bookmarkStart w:id="421" w:name="_Toc3654"/>
      <w:bookmarkStart w:id="422" w:name="_Toc30158"/>
      <w:bookmarkStart w:id="423" w:name="_Toc30506"/>
      <w:bookmarkStart w:id="424" w:name="_Toc26916"/>
      <w:bookmarkStart w:id="425" w:name="_Toc14993"/>
      <w:r>
        <w:rPr>
          <w:rFonts w:ascii="宋体" w:hAnsi="宋体"/>
          <w:b/>
          <w:color w:val="auto"/>
          <w:sz w:val="24"/>
          <w:highlight w:val="none"/>
        </w:rPr>
        <w:t>1.4 付款方式和发票开具方式</w:t>
      </w:r>
      <w:bookmarkEnd w:id="421"/>
      <w:bookmarkEnd w:id="422"/>
      <w:bookmarkEnd w:id="423"/>
      <w:bookmarkEnd w:id="424"/>
      <w:bookmarkEnd w:id="425"/>
    </w:p>
    <w:p>
      <w:pPr>
        <w:pStyle w:val="957"/>
        <w:spacing w:before="0" w:beforeAutospacing="0" w:after="0" w:afterAutospacing="0" w:line="360" w:lineRule="auto"/>
        <w:ind w:firstLine="480"/>
        <w:rPr>
          <w:rFonts w:cs="Times New Roman"/>
          <w:color w:val="auto"/>
          <w:highlight w:val="none"/>
        </w:rPr>
      </w:pPr>
      <w:r>
        <w:rPr>
          <w:rFonts w:cs="Times New Roman"/>
          <w:color w:val="auto"/>
          <w:highlight w:val="none"/>
        </w:rPr>
        <w:t>1.4.1</w:t>
      </w:r>
      <w:r>
        <w:rPr>
          <w:rFonts w:hint="eastAsia" w:cs="Times New Roman"/>
          <w:color w:val="auto"/>
          <w:highlight w:val="none"/>
        </w:rPr>
        <w:t>甲方应严格履行合同，及时组织验收，验收合格后及时将合同款支付完毕。对于满足合同约定支付条件的，甲方自收到发票后</w:t>
      </w:r>
      <w:r>
        <w:rPr>
          <w:rFonts w:cs="Times New Roman"/>
          <w:color w:val="auto"/>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合同预付款比例为合同金额的</w:t>
      </w:r>
      <w:r>
        <w:rPr>
          <w:rFonts w:ascii="宋体" w:hAnsi="宋体"/>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政府采购工程以及与工程建设有关的货物、服务，采用招标方式采购的，预付款从其相关规定。乙方可登录政采云前台大厅选择金融服务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1.4.3</w:t>
      </w:r>
      <w:r>
        <w:rPr>
          <w:rFonts w:hint="eastAsia" w:ascii="宋体" w:hAnsi="宋体"/>
          <w:color w:val="auto"/>
          <w:sz w:val="24"/>
          <w:highlight w:val="none"/>
        </w:rPr>
        <w:t>甲方迟延支付乙方款项的，向乙方支付逾期利息。双方可以在合同专用条款中约定逾期利率，约定利率不得低于合同订立时</w:t>
      </w:r>
      <w:r>
        <w:rPr>
          <w:rFonts w:ascii="宋体" w:hAnsi="宋体"/>
          <w:color w:val="auto"/>
          <w:sz w:val="24"/>
          <w:highlight w:val="none"/>
        </w:rPr>
        <w:t>1年</w:t>
      </w:r>
      <w:r>
        <w:rPr>
          <w:rFonts w:hint="eastAsia" w:ascii="宋体" w:hAnsi="宋体"/>
          <w:color w:val="auto"/>
          <w:sz w:val="24"/>
          <w:highlight w:val="none"/>
        </w:rPr>
        <w:t>期贷款市场报价利率；未作约定的，按照每日利率万分之五支付逾期利息。</w:t>
      </w:r>
    </w:p>
    <w:p>
      <w:pPr>
        <w:spacing w:line="360" w:lineRule="auto"/>
        <w:ind w:firstLine="480" w:firstLineChars="200"/>
        <w:outlineLvl w:val="0"/>
        <w:rPr>
          <w:rFonts w:ascii="宋体" w:hAnsi="宋体"/>
          <w:color w:val="auto"/>
          <w:sz w:val="24"/>
          <w:highlight w:val="none"/>
        </w:rPr>
      </w:pPr>
      <w:r>
        <w:rPr>
          <w:rFonts w:ascii="宋体" w:hAnsi="宋体"/>
          <w:color w:val="auto"/>
          <w:sz w:val="24"/>
          <w:highlight w:val="none"/>
        </w:rPr>
        <w:t>1.4.4资金支付的方式、时间和条件详见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outlineLvl w:val="0"/>
        <w:rPr>
          <w:rFonts w:ascii="宋体" w:hAnsi="宋体"/>
          <w:color w:val="auto"/>
          <w:sz w:val="24"/>
          <w:highlight w:val="none"/>
        </w:rPr>
      </w:pPr>
      <w:r>
        <w:rPr>
          <w:rFonts w:ascii="宋体" w:hAnsi="宋体"/>
          <w:color w:val="auto"/>
          <w:sz w:val="24"/>
          <w:highlight w:val="none"/>
        </w:rPr>
        <w:t>1.4.5</w:t>
      </w:r>
      <w:r>
        <w:rPr>
          <w:rFonts w:hint="eastAsia" w:ascii="宋体" w:hAnsi="宋体"/>
          <w:color w:val="auto"/>
          <w:sz w:val="24"/>
          <w:highlight w:val="none"/>
        </w:rPr>
        <w:t>乙方</w:t>
      </w:r>
      <w:r>
        <w:rPr>
          <w:rFonts w:ascii="宋体" w:hAnsi="宋体"/>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color w:val="auto"/>
          <w:sz w:val="24"/>
          <w:highlight w:val="none"/>
        </w:rPr>
        <w:t>杭财采监〔</w:t>
      </w:r>
      <w:r>
        <w:rPr>
          <w:rFonts w:ascii="宋体" w:hAnsi="宋体"/>
          <w:color w:val="auto"/>
          <w:sz w:val="24"/>
          <w:highlight w:val="none"/>
        </w:rPr>
        <w:t>2021〕17号）。</w:t>
      </w:r>
    </w:p>
    <w:p>
      <w:pPr>
        <w:spacing w:line="360" w:lineRule="auto"/>
        <w:ind w:firstLine="482" w:firstLineChars="200"/>
        <w:outlineLvl w:val="0"/>
        <w:rPr>
          <w:rFonts w:ascii="宋体" w:hAnsi="宋体"/>
          <w:b/>
          <w:color w:val="auto"/>
          <w:sz w:val="24"/>
          <w:highlight w:val="none"/>
        </w:rPr>
      </w:pPr>
      <w:bookmarkStart w:id="426" w:name="_Toc31421"/>
      <w:bookmarkStart w:id="427" w:name="_Toc8772"/>
      <w:bookmarkStart w:id="428" w:name="_Toc11108"/>
      <w:bookmarkStart w:id="429" w:name="_Toc3625"/>
      <w:bookmarkStart w:id="430" w:name="_Toc4760"/>
      <w:r>
        <w:rPr>
          <w:rFonts w:ascii="宋体" w:hAnsi="宋体"/>
          <w:b/>
          <w:color w:val="auto"/>
          <w:sz w:val="24"/>
          <w:highlight w:val="none"/>
        </w:rPr>
        <w:t>1.5 履行期限</w:t>
      </w:r>
      <w:r>
        <w:rPr>
          <w:rFonts w:hint="eastAsia" w:ascii="宋体" w:hAnsi="宋体"/>
          <w:b/>
          <w:color w:val="auto"/>
          <w:sz w:val="24"/>
          <w:highlight w:val="none"/>
        </w:rPr>
        <w:t>、地点和方式</w:t>
      </w:r>
      <w:bookmarkEnd w:id="426"/>
      <w:bookmarkEnd w:id="427"/>
      <w:bookmarkEnd w:id="428"/>
      <w:bookmarkEnd w:id="429"/>
      <w:bookmarkEnd w:id="430"/>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1.5.1 </w:t>
      </w:r>
      <w:r>
        <w:rPr>
          <w:rFonts w:hint="eastAsia" w:ascii="宋体" w:hAnsi="宋体"/>
          <w:color w:val="auto"/>
          <w:sz w:val="24"/>
          <w:highlight w:val="none"/>
        </w:rPr>
        <w:t>履行期限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履行地点</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履行方式：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360" w:lineRule="auto"/>
        <w:ind w:firstLine="482" w:firstLineChars="200"/>
        <w:outlineLvl w:val="0"/>
        <w:rPr>
          <w:rFonts w:ascii="宋体" w:hAnsi="宋体"/>
          <w:color w:val="auto"/>
          <w:sz w:val="24"/>
          <w:highlight w:val="none"/>
          <w:u w:val="single"/>
        </w:rPr>
      </w:pPr>
      <w:bookmarkStart w:id="431" w:name="_Toc3079"/>
      <w:bookmarkStart w:id="432" w:name="_Toc5698"/>
      <w:bookmarkStart w:id="433" w:name="_Toc8586"/>
      <w:bookmarkStart w:id="434" w:name="_Toc24662"/>
      <w:bookmarkStart w:id="435" w:name="_Toc2375"/>
      <w:r>
        <w:rPr>
          <w:rFonts w:ascii="宋体" w:hAnsi="宋体"/>
          <w:b/>
          <w:color w:val="auto"/>
          <w:sz w:val="24"/>
          <w:highlight w:val="none"/>
        </w:rPr>
        <w:t xml:space="preserve">1.6 </w:t>
      </w:r>
      <w:r>
        <w:rPr>
          <w:rFonts w:hint="eastAsia" w:ascii="宋体" w:hAnsi="宋体"/>
          <w:b/>
          <w:color w:val="auto"/>
          <w:sz w:val="24"/>
          <w:highlight w:val="none"/>
        </w:rPr>
        <w:t>违约责任</w:t>
      </w:r>
      <w:bookmarkEnd w:id="431"/>
      <w:bookmarkEnd w:id="432"/>
      <w:bookmarkEnd w:id="433"/>
      <w:bookmarkEnd w:id="434"/>
      <w:bookmarkEnd w:id="435"/>
    </w:p>
    <w:p>
      <w:pPr>
        <w:spacing w:line="360" w:lineRule="auto"/>
        <w:ind w:firstLine="480" w:firstLineChars="200"/>
        <w:rPr>
          <w:rFonts w:ascii="宋体" w:hAnsi="宋体"/>
          <w:color w:val="auto"/>
          <w:sz w:val="24"/>
          <w:highlight w:val="none"/>
        </w:rPr>
      </w:pPr>
      <w:r>
        <w:rPr>
          <w:rFonts w:ascii="宋体" w:hAnsi="宋体"/>
          <w:color w:val="auto"/>
          <w:sz w:val="24"/>
          <w:highlight w:val="none"/>
        </w:rPr>
        <w:t>1.6.1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履行</w:t>
      </w:r>
      <w:r>
        <w:rPr>
          <w:rFonts w:ascii="宋体" w:hAnsi="宋体"/>
          <w:color w:val="auto"/>
          <w:sz w:val="24"/>
          <w:highlight w:val="none"/>
        </w:rPr>
        <w:t>，那么甲方可要求乙方支付违约金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1.6.2 除不可抗力外，如果甲方没有按照本合同约定的付款方式付款，那么乙方可要求甲方支付违约金</w:t>
      </w:r>
      <w:r>
        <w:rPr>
          <w:rFonts w:hint="eastAsia" w:ascii="宋体" w:hAnsi="宋体"/>
          <w:color w:val="auto"/>
          <w:sz w:val="24"/>
          <w:highlight w:val="none"/>
        </w:rPr>
        <w:t>，</w:t>
      </w:r>
      <w:r>
        <w:rPr>
          <w:rFonts w:ascii="宋体" w:hAnsi="宋体"/>
          <w:color w:val="auto"/>
          <w:sz w:val="24"/>
          <w:highlight w:val="none"/>
        </w:rPr>
        <w:t>违约金按每迟延</w:t>
      </w:r>
      <w:r>
        <w:rPr>
          <w:rFonts w:hint="eastAsia" w:ascii="宋体" w:hAnsi="宋体"/>
          <w:color w:val="auto"/>
          <w:sz w:val="24"/>
          <w:highlight w:val="none"/>
        </w:rPr>
        <w:t>付款</w:t>
      </w:r>
      <w:r>
        <w:rPr>
          <w:rFonts w:ascii="宋体" w:hAnsi="宋体"/>
          <w:color w:val="auto"/>
          <w:sz w:val="24"/>
          <w:highlight w:val="none"/>
        </w:rPr>
        <w:t>一日的应付而未付款的</w:t>
      </w:r>
      <w:r>
        <w:rPr>
          <w:rFonts w:ascii="宋体" w:hAnsi="宋体"/>
          <w:color w:val="auto"/>
          <w:sz w:val="24"/>
          <w:highlight w:val="none"/>
          <w:u w:val="single"/>
        </w:rPr>
        <w:t xml:space="preserve"> 0.05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付款</w:t>
      </w:r>
      <w:r>
        <w:rPr>
          <w:rFonts w:ascii="宋体" w:hAnsi="宋体"/>
          <w:color w:val="auto"/>
          <w:sz w:val="24"/>
          <w:highlight w:val="none"/>
        </w:rPr>
        <w:t>的违约金计算数额达到前述最高限额之日起</w:t>
      </w:r>
      <w:r>
        <w:rPr>
          <w:rFonts w:hint="eastAsia" w:ascii="宋体" w:hAnsi="宋体"/>
          <w:color w:val="auto"/>
          <w:sz w:val="24"/>
          <w:highlight w:val="none"/>
        </w:rPr>
        <w:t>，乙</w:t>
      </w:r>
      <w:r>
        <w:rPr>
          <w:rFonts w:ascii="宋体" w:hAnsi="宋体"/>
          <w:color w:val="auto"/>
          <w:sz w:val="24"/>
          <w:highlight w:val="none"/>
        </w:rPr>
        <w:t>方有权在要求甲方支付违约金的同时</w:t>
      </w:r>
      <w:r>
        <w:rPr>
          <w:rFonts w:hint="eastAsia" w:ascii="宋体" w:hAnsi="宋体"/>
          <w:color w:val="auto"/>
          <w:sz w:val="24"/>
          <w:highlight w:val="none"/>
        </w:rPr>
        <w:t>，书面通知甲方</w:t>
      </w:r>
      <w:r>
        <w:rPr>
          <w:rFonts w:ascii="宋体" w:hAnsi="宋体"/>
          <w:color w:val="auto"/>
          <w:sz w:val="24"/>
          <w:highlight w:val="none"/>
        </w:rPr>
        <w:t>解除本合同</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1.6.3 </w:t>
      </w:r>
      <w:r>
        <w:rPr>
          <w:rFonts w:hint="eastAsia" w:ascii="宋体" w:hAnsi="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1.6.4 </w:t>
      </w:r>
      <w:r>
        <w:rPr>
          <w:rFonts w:hint="eastAsia" w:ascii="宋体" w:hAnsi="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1.6.5 </w:t>
      </w:r>
      <w:r>
        <w:rPr>
          <w:rFonts w:hint="eastAsia" w:ascii="宋体" w:hAnsi="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1.6.6 </w:t>
      </w:r>
      <w:r>
        <w:rPr>
          <w:rFonts w:hint="eastAsia" w:ascii="宋体" w:hAnsi="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宋体" w:hAnsi="宋体"/>
          <w:color w:val="auto"/>
          <w:highlight w:val="none"/>
        </w:rPr>
      </w:pPr>
      <w:r>
        <w:rPr>
          <w:rFonts w:ascii="宋体" w:hAnsi="宋体"/>
          <w:color w:val="auto"/>
          <w:sz w:val="24"/>
          <w:highlight w:val="none"/>
        </w:rPr>
        <w:t>1.6.7违约责任</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另有约定的，从其约定。</w:t>
      </w:r>
    </w:p>
    <w:p>
      <w:pPr>
        <w:spacing w:line="360" w:lineRule="auto"/>
        <w:ind w:firstLine="482" w:firstLineChars="200"/>
        <w:outlineLvl w:val="0"/>
        <w:rPr>
          <w:rFonts w:ascii="宋体" w:hAnsi="宋体"/>
          <w:b/>
          <w:color w:val="auto"/>
          <w:sz w:val="24"/>
          <w:highlight w:val="none"/>
        </w:rPr>
      </w:pPr>
      <w:bookmarkStart w:id="436" w:name="_Toc18683"/>
      <w:bookmarkStart w:id="437" w:name="_Toc32454"/>
      <w:bookmarkStart w:id="438" w:name="_Toc9497"/>
      <w:bookmarkStart w:id="439" w:name="_Toc30329"/>
      <w:bookmarkStart w:id="440" w:name="_Toc26807"/>
      <w:r>
        <w:rPr>
          <w:rFonts w:ascii="宋体" w:hAnsi="宋体"/>
          <w:b/>
          <w:color w:val="auto"/>
          <w:sz w:val="24"/>
          <w:highlight w:val="none"/>
        </w:rPr>
        <w:t xml:space="preserve">1.7 </w:t>
      </w:r>
      <w:r>
        <w:rPr>
          <w:rFonts w:hint="eastAsia" w:ascii="宋体" w:hAnsi="宋体"/>
          <w:b/>
          <w:color w:val="auto"/>
          <w:sz w:val="24"/>
          <w:highlight w:val="none"/>
        </w:rPr>
        <w:t>合同</w:t>
      </w:r>
      <w:r>
        <w:rPr>
          <w:rFonts w:ascii="宋体" w:hAnsi="宋体"/>
          <w:b/>
          <w:color w:val="auto"/>
          <w:sz w:val="24"/>
          <w:highlight w:val="none"/>
        </w:rPr>
        <w:t>争议的解决</w:t>
      </w:r>
      <w:bookmarkEnd w:id="436"/>
      <w:bookmarkEnd w:id="437"/>
      <w:bookmarkEnd w:id="438"/>
      <w:bookmarkEnd w:id="439"/>
      <w:bookmarkEnd w:id="440"/>
    </w:p>
    <w:p>
      <w:pPr>
        <w:spacing w:line="360" w:lineRule="auto"/>
        <w:ind w:left="-61" w:leftChars="-29" w:right="-420" w:rightChars="-200" w:firstLine="240" w:firstLineChars="100"/>
        <w:rPr>
          <w:rFonts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本合同履行过程中发生的任何争议，双方当事人均可通过和解或者调解解决；不愿和解、调解或者和解、调解不成的，可以选择以下第</w:t>
      </w:r>
      <w:r>
        <w:rPr>
          <w:rFonts w:ascii="宋体" w:hAnsi="宋体"/>
          <w:b/>
          <w:i/>
          <w:color w:val="auto"/>
          <w:sz w:val="24"/>
          <w:highlight w:val="none"/>
          <w:u w:val="single"/>
        </w:rPr>
        <w:t xml:space="preserve"> 合同专用条款  </w:t>
      </w:r>
      <w:r>
        <w:rPr>
          <w:rFonts w:hint="eastAsia" w:ascii="宋体" w:hAnsi="宋体"/>
          <w:color w:val="auto"/>
          <w:sz w:val="24"/>
          <w:highlight w:val="none"/>
        </w:rPr>
        <w:t>条款规定的方式解决：</w:t>
      </w:r>
    </w:p>
    <w:p>
      <w:pPr>
        <w:spacing w:line="360" w:lineRule="auto"/>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1.7.1 </w:t>
      </w:r>
      <w:r>
        <w:rPr>
          <w:rFonts w:hint="eastAsia" w:ascii="宋体" w:hAnsi="宋体"/>
          <w:color w:val="auto"/>
          <w:sz w:val="24"/>
          <w:highlight w:val="none"/>
        </w:rPr>
        <w:t>将争议提交</w:t>
      </w:r>
      <w:r>
        <w:rPr>
          <w:rFonts w:hint="eastAsia" w:ascii="宋体" w:hAnsi="宋体"/>
          <w:b/>
          <w:i/>
          <w:color w:val="auto"/>
          <w:sz w:val="24"/>
          <w:highlight w:val="none"/>
          <w:u w:val="single"/>
        </w:rPr>
        <w:t>合同专用条款</w:t>
      </w:r>
      <w:r>
        <w:rPr>
          <w:rFonts w:hint="eastAsia" w:ascii="宋体" w:hAnsi="宋体"/>
          <w:color w:val="auto"/>
          <w:sz w:val="24"/>
          <w:highlight w:val="none"/>
        </w:rPr>
        <w:t>仲裁委员会依申请仲裁时其现行有效的仲裁规则裁决；</w:t>
      </w:r>
    </w:p>
    <w:p>
      <w:pPr>
        <w:spacing w:line="360" w:lineRule="auto"/>
        <w:ind w:left="-420" w:leftChars="-200" w:right="-420" w:rightChars="-200" w:firstLine="600" w:firstLineChars="250"/>
        <w:rPr>
          <w:rFonts w:ascii="宋体" w:hAns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向</w:t>
      </w:r>
      <w:r>
        <w:rPr>
          <w:rFonts w:hint="eastAsia" w:ascii="宋体" w:hAnsi="宋体"/>
          <w:b/>
          <w:i/>
          <w:color w:val="auto"/>
          <w:sz w:val="24"/>
          <w:highlight w:val="none"/>
          <w:u w:val="single"/>
        </w:rPr>
        <w:t>合同专用条款</w:t>
      </w:r>
      <w:r>
        <w:rPr>
          <w:rFonts w:hint="eastAsia" w:ascii="宋体" w:hAnsi="宋体"/>
          <w:color w:val="auto"/>
          <w:sz w:val="24"/>
          <w:highlight w:val="none"/>
        </w:rPr>
        <w:t>人民法院起诉。</w:t>
      </w:r>
    </w:p>
    <w:p>
      <w:pPr>
        <w:spacing w:line="360" w:lineRule="auto"/>
        <w:ind w:firstLine="241" w:firstLineChars="100"/>
        <w:outlineLvl w:val="0"/>
        <w:rPr>
          <w:rFonts w:ascii="宋体" w:hAnsi="宋体"/>
          <w:b/>
          <w:color w:val="auto"/>
          <w:sz w:val="24"/>
          <w:highlight w:val="none"/>
        </w:rPr>
      </w:pPr>
      <w:bookmarkStart w:id="441" w:name="_Toc23784"/>
      <w:bookmarkStart w:id="442" w:name="_Toc16417"/>
      <w:bookmarkStart w:id="443" w:name="_Toc12273"/>
      <w:bookmarkStart w:id="444" w:name="_Toc15827"/>
      <w:bookmarkStart w:id="445" w:name="_Toc26227"/>
      <w:r>
        <w:rPr>
          <w:rFonts w:ascii="宋体" w:hAnsi="宋体"/>
          <w:b/>
          <w:color w:val="auto"/>
          <w:sz w:val="24"/>
          <w:highlight w:val="none"/>
        </w:rPr>
        <w:t>1.8 合同生效</w:t>
      </w:r>
      <w:bookmarkEnd w:id="441"/>
      <w:bookmarkEnd w:id="442"/>
      <w:bookmarkEnd w:id="443"/>
      <w:bookmarkEnd w:id="444"/>
      <w:bookmarkEnd w:id="445"/>
    </w:p>
    <w:p>
      <w:pPr>
        <w:spacing w:line="360" w:lineRule="auto"/>
        <w:ind w:firstLine="480" w:firstLineChars="200"/>
        <w:rPr>
          <w:rFonts w:ascii="宋体" w:hAnsi="宋体"/>
          <w:b/>
          <w:color w:val="auto"/>
          <w:sz w:val="24"/>
          <w:highlight w:val="none"/>
        </w:rPr>
      </w:pPr>
      <w:r>
        <w:rPr>
          <w:rFonts w:ascii="宋体" w:hAnsi="宋体"/>
          <w:color w:val="auto"/>
          <w:sz w:val="24"/>
          <w:highlight w:val="none"/>
        </w:rPr>
        <w:t>本合同自</w:t>
      </w:r>
      <w:r>
        <w:rPr>
          <w:rFonts w:hint="eastAsia" w:ascii="宋体" w:hAnsi="宋体"/>
          <w:color w:val="auto"/>
          <w:sz w:val="24"/>
          <w:highlight w:val="none"/>
        </w:rPr>
        <w:t>双方当事人盖章或者签字时</w:t>
      </w:r>
      <w:r>
        <w:rPr>
          <w:rFonts w:ascii="宋体" w:hAnsi="宋体"/>
          <w:color w:val="auto"/>
          <w:sz w:val="24"/>
          <w:highlight w:val="none"/>
        </w:rPr>
        <w:t>生效。</w:t>
      </w:r>
    </w:p>
    <w:p>
      <w:pPr>
        <w:autoSpaceDE w:val="0"/>
        <w:autoSpaceDN w:val="0"/>
        <w:spacing w:line="360" w:lineRule="auto"/>
        <w:rPr>
          <w:rFonts w:ascii="宋体" w:hAnsi="宋体"/>
          <w:color w:val="auto"/>
          <w:sz w:val="24"/>
          <w:highlight w:val="none"/>
          <w:lang w:val="zh-CN"/>
        </w:rPr>
      </w:pPr>
    </w:p>
    <w:p>
      <w:pPr>
        <w:autoSpaceDE w:val="0"/>
        <w:autoSpaceDN w:val="0"/>
        <w:spacing w:line="36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360" w:lineRule="auto"/>
        <w:rPr>
          <w:rFonts w:ascii="宋体" w:hAnsi="宋体"/>
          <w:color w:val="auto"/>
          <w:sz w:val="24"/>
          <w:highlight w:val="none"/>
          <w:lang w:val="zh-CN"/>
        </w:rPr>
      </w:pP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36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36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360" w:lineRule="auto"/>
        <w:jc w:val="left"/>
        <w:rPr>
          <w:rFonts w:ascii="宋体" w:hAnsi="宋体"/>
          <w:b/>
          <w:color w:val="auto"/>
          <w:sz w:val="24"/>
          <w:highlight w:val="none"/>
        </w:rPr>
      </w:pPr>
    </w:p>
    <w:p>
      <w:pPr>
        <w:widowControl/>
        <w:adjustRightInd/>
        <w:spacing w:line="360" w:lineRule="auto"/>
        <w:jc w:val="left"/>
        <w:rPr>
          <w:rFonts w:ascii="宋体" w:hAnsi="宋体"/>
          <w:b/>
          <w:color w:val="auto"/>
          <w:sz w:val="24"/>
          <w:highlight w:val="none"/>
        </w:rPr>
      </w:pPr>
      <w:r>
        <w:rPr>
          <w:rFonts w:ascii="宋体" w:hAnsi="宋体"/>
          <w:b/>
          <w:color w:val="auto"/>
          <w:highlight w:val="none"/>
        </w:rPr>
        <w:br w:type="page"/>
      </w:r>
    </w:p>
    <w:p>
      <w:pPr>
        <w:pStyle w:val="701"/>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360" w:lineRule="auto"/>
        <w:ind w:firstLine="482" w:firstLineChars="200"/>
        <w:outlineLvl w:val="0"/>
        <w:rPr>
          <w:rFonts w:ascii="宋体" w:hAnsi="宋体"/>
          <w:b/>
          <w:color w:val="auto"/>
          <w:sz w:val="24"/>
          <w:highlight w:val="none"/>
        </w:rPr>
      </w:pPr>
      <w:bookmarkStart w:id="446" w:name="_Toc19680"/>
      <w:bookmarkStart w:id="447" w:name="_Toc5228"/>
      <w:bookmarkStart w:id="448" w:name="_Toc25079"/>
      <w:bookmarkStart w:id="449" w:name="_Toc31297"/>
      <w:bookmarkStart w:id="450" w:name="_Toc14021"/>
      <w:r>
        <w:rPr>
          <w:rFonts w:ascii="宋体" w:hAnsi="宋体"/>
          <w:b/>
          <w:color w:val="auto"/>
          <w:sz w:val="24"/>
          <w:highlight w:val="none"/>
        </w:rPr>
        <w:t>2.1 定义</w:t>
      </w:r>
      <w:bookmarkEnd w:id="446"/>
      <w:bookmarkEnd w:id="447"/>
      <w:bookmarkEnd w:id="448"/>
      <w:bookmarkEnd w:id="449"/>
      <w:bookmarkEnd w:id="450"/>
    </w:p>
    <w:p>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olor w:val="auto"/>
          <w:sz w:val="24"/>
          <w:highlight w:val="none"/>
        </w:rPr>
        <w:t>中标供应商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360" w:lineRule="auto"/>
        <w:ind w:firstLine="482" w:firstLineChars="200"/>
        <w:outlineLvl w:val="0"/>
        <w:rPr>
          <w:rFonts w:ascii="宋体" w:hAnsi="宋体"/>
          <w:b/>
          <w:color w:val="auto"/>
          <w:sz w:val="24"/>
          <w:highlight w:val="none"/>
        </w:rPr>
      </w:pPr>
      <w:bookmarkStart w:id="451" w:name="_Toc31402"/>
      <w:bookmarkStart w:id="452" w:name="_Toc3769"/>
      <w:bookmarkStart w:id="453" w:name="_Toc16752"/>
      <w:bookmarkStart w:id="454" w:name="_Toc19539"/>
      <w:bookmarkStart w:id="455" w:name="_Toc23289"/>
      <w:r>
        <w:rPr>
          <w:rFonts w:ascii="宋体" w:hAnsi="宋体"/>
          <w:b/>
          <w:color w:val="auto"/>
          <w:sz w:val="24"/>
          <w:highlight w:val="none"/>
        </w:rPr>
        <w:t>2.2 技术规范</w:t>
      </w:r>
      <w:bookmarkEnd w:id="451"/>
      <w:bookmarkEnd w:id="452"/>
      <w:bookmarkEnd w:id="453"/>
      <w:bookmarkEnd w:id="454"/>
      <w:bookmarkEnd w:id="455"/>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360" w:lineRule="auto"/>
        <w:ind w:firstLine="482" w:firstLineChars="200"/>
        <w:outlineLvl w:val="0"/>
        <w:rPr>
          <w:rFonts w:ascii="宋体" w:hAnsi="宋体"/>
          <w:b/>
          <w:color w:val="auto"/>
          <w:sz w:val="24"/>
          <w:highlight w:val="none"/>
        </w:rPr>
      </w:pPr>
      <w:bookmarkStart w:id="456" w:name="_Toc4133"/>
      <w:bookmarkStart w:id="457" w:name="_Toc9161"/>
      <w:bookmarkStart w:id="458" w:name="_Toc27945"/>
      <w:bookmarkStart w:id="459" w:name="_Toc12412"/>
      <w:bookmarkStart w:id="460" w:name="_Toc13673"/>
      <w:r>
        <w:rPr>
          <w:rFonts w:ascii="宋体" w:hAnsi="宋体"/>
          <w:b/>
          <w:color w:val="auto"/>
          <w:sz w:val="24"/>
          <w:highlight w:val="none"/>
        </w:rPr>
        <w:t>2.3 知识产权</w:t>
      </w:r>
      <w:bookmarkEnd w:id="456"/>
      <w:bookmarkEnd w:id="457"/>
      <w:bookmarkEnd w:id="458"/>
      <w:bookmarkEnd w:id="459"/>
      <w:bookmarkEnd w:id="460"/>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ascii="宋体" w:hAnsi="宋体"/>
          <w:b/>
          <w:color w:val="auto"/>
          <w:sz w:val="24"/>
          <w:highlight w:val="none"/>
        </w:rPr>
      </w:pPr>
      <w:bookmarkStart w:id="461" w:name="_Toc15447"/>
      <w:bookmarkStart w:id="462" w:name="_Toc31233"/>
      <w:bookmarkStart w:id="463" w:name="_Toc26555"/>
      <w:bookmarkStart w:id="464" w:name="_Toc22011"/>
      <w:bookmarkStart w:id="465" w:name="_Toc32670"/>
      <w:r>
        <w:rPr>
          <w:rFonts w:ascii="宋体" w:hAnsi="宋体"/>
          <w:b/>
          <w:color w:val="auto"/>
          <w:sz w:val="24"/>
          <w:highlight w:val="none"/>
        </w:rPr>
        <w:t>2.5 结算方式和付款条件</w:t>
      </w:r>
      <w:bookmarkEnd w:id="461"/>
      <w:bookmarkEnd w:id="462"/>
      <w:bookmarkEnd w:id="463"/>
      <w:bookmarkEnd w:id="464"/>
      <w:bookmarkEnd w:id="465"/>
    </w:p>
    <w:p>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66" w:name="_Toc13154"/>
      <w:bookmarkStart w:id="467" w:name="_Toc13467"/>
      <w:bookmarkStart w:id="468" w:name="_Toc30507"/>
      <w:bookmarkStart w:id="469" w:name="_Toc16163"/>
      <w:bookmarkStart w:id="470" w:name="_Toc18990"/>
      <w:r>
        <w:rPr>
          <w:rFonts w:ascii="宋体" w:hAnsi="宋体"/>
          <w:b/>
          <w:color w:val="auto"/>
          <w:sz w:val="24"/>
          <w:highlight w:val="none"/>
        </w:rPr>
        <w:t>2.6 技术资料和保密义务</w:t>
      </w:r>
      <w:bookmarkEnd w:id="466"/>
      <w:bookmarkEnd w:id="467"/>
      <w:bookmarkEnd w:id="468"/>
      <w:bookmarkEnd w:id="469"/>
      <w:bookmarkEnd w:id="470"/>
    </w:p>
    <w:p>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b/>
          <w:color w:val="auto"/>
          <w:sz w:val="24"/>
          <w:highlight w:val="none"/>
        </w:rPr>
      </w:pPr>
      <w:bookmarkStart w:id="47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1"/>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b/>
          <w:color w:val="auto"/>
          <w:sz w:val="24"/>
          <w:highlight w:val="none"/>
        </w:rPr>
      </w:pPr>
      <w:bookmarkStart w:id="47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2"/>
    </w:p>
    <w:p>
      <w:pPr>
        <w:spacing w:line="360" w:lineRule="auto"/>
        <w:ind w:firstLine="480" w:firstLineChars="200"/>
        <w:rPr>
          <w:rFonts w:ascii="宋体" w:hAnsi="宋体"/>
          <w:color w:val="auto"/>
          <w:sz w:val="24"/>
          <w:highlight w:val="none"/>
        </w:rPr>
      </w:pPr>
      <w:r>
        <w:rPr>
          <w:rFonts w:ascii="宋体" w:hAnsi="宋体"/>
          <w:color w:val="auto"/>
          <w:sz w:val="24"/>
          <w:highlight w:val="none"/>
        </w:rPr>
        <w:t>在合同履行过程中，如果乙方遇到不能按时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360" w:lineRule="auto"/>
        <w:ind w:firstLine="482" w:firstLineChars="200"/>
        <w:outlineLvl w:val="0"/>
        <w:rPr>
          <w:rFonts w:ascii="宋体" w:hAnsi="宋体"/>
          <w:b/>
          <w:color w:val="auto"/>
          <w:sz w:val="24"/>
          <w:highlight w:val="none"/>
        </w:rPr>
      </w:pPr>
      <w:bookmarkStart w:id="47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宋体" w:hAnsi="宋体"/>
          <w:b/>
          <w:color w:val="auto"/>
          <w:sz w:val="24"/>
          <w:highlight w:val="none"/>
        </w:rPr>
      </w:pPr>
      <w:bookmarkStart w:id="474" w:name="_Toc23368"/>
      <w:bookmarkStart w:id="475" w:name="_Toc26689"/>
      <w:bookmarkStart w:id="476" w:name="_Toc10663"/>
      <w:bookmarkStart w:id="477" w:name="_Toc42"/>
      <w:bookmarkStart w:id="478" w:name="_Toc21830"/>
      <w:r>
        <w:rPr>
          <w:rFonts w:ascii="宋体" w:hAnsi="宋体"/>
          <w:b/>
          <w:color w:val="auto"/>
          <w:sz w:val="24"/>
          <w:highlight w:val="none"/>
        </w:rPr>
        <w:t>2.10 合同转让和分包</w:t>
      </w:r>
      <w:bookmarkEnd w:id="474"/>
      <w:bookmarkEnd w:id="475"/>
      <w:bookmarkEnd w:id="476"/>
      <w:bookmarkEnd w:id="477"/>
      <w:bookmarkEnd w:id="478"/>
    </w:p>
    <w:p>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360" w:lineRule="auto"/>
        <w:ind w:firstLine="482" w:firstLineChars="200"/>
        <w:outlineLvl w:val="0"/>
        <w:rPr>
          <w:rFonts w:ascii="宋体" w:hAnsi="宋体"/>
          <w:b/>
          <w:color w:val="auto"/>
          <w:sz w:val="24"/>
          <w:highlight w:val="none"/>
        </w:rPr>
      </w:pPr>
      <w:bookmarkStart w:id="479" w:name="_Toc32494"/>
      <w:bookmarkStart w:id="480" w:name="_Toc4720"/>
      <w:bookmarkStart w:id="481" w:name="_Toc25571"/>
      <w:bookmarkStart w:id="482" w:name="_Toc26633"/>
      <w:bookmarkStart w:id="483" w:name="_Toc14371"/>
      <w:r>
        <w:rPr>
          <w:rFonts w:ascii="宋体" w:hAnsi="宋体"/>
          <w:b/>
          <w:color w:val="auto"/>
          <w:sz w:val="24"/>
          <w:highlight w:val="none"/>
        </w:rPr>
        <w:t>2.11 不可抗力</w:t>
      </w:r>
      <w:bookmarkEnd w:id="479"/>
      <w:bookmarkEnd w:id="480"/>
      <w:bookmarkEnd w:id="481"/>
      <w:bookmarkEnd w:id="482"/>
      <w:bookmarkEnd w:id="483"/>
    </w:p>
    <w:p>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84" w:name="_Toc14115"/>
      <w:bookmarkStart w:id="485" w:name="_Toc24465"/>
      <w:bookmarkStart w:id="486" w:name="_Toc25783"/>
      <w:bookmarkStart w:id="487" w:name="_Toc23854"/>
      <w:bookmarkStart w:id="488" w:name="_Toc3638"/>
      <w:r>
        <w:rPr>
          <w:rFonts w:ascii="宋体" w:hAnsi="宋体"/>
          <w:b/>
          <w:color w:val="auto"/>
          <w:sz w:val="24"/>
          <w:highlight w:val="none"/>
        </w:rPr>
        <w:t>2.12 税费</w:t>
      </w:r>
      <w:bookmarkEnd w:id="484"/>
      <w:bookmarkEnd w:id="485"/>
      <w:bookmarkEnd w:id="486"/>
      <w:bookmarkEnd w:id="487"/>
      <w:bookmarkEnd w:id="488"/>
    </w:p>
    <w:p>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360" w:lineRule="auto"/>
        <w:ind w:firstLine="482" w:firstLineChars="200"/>
        <w:outlineLvl w:val="0"/>
        <w:rPr>
          <w:rFonts w:ascii="宋体" w:hAnsi="宋体"/>
          <w:b/>
          <w:color w:val="auto"/>
          <w:sz w:val="24"/>
          <w:highlight w:val="none"/>
        </w:rPr>
      </w:pPr>
      <w:bookmarkStart w:id="489" w:name="_Toc14814"/>
      <w:bookmarkStart w:id="490" w:name="_Toc30105"/>
      <w:bookmarkStart w:id="491" w:name="_Toc7315"/>
      <w:bookmarkStart w:id="492" w:name="_Toc26883"/>
      <w:bookmarkStart w:id="493" w:name="_Toc25525"/>
      <w:r>
        <w:rPr>
          <w:rFonts w:ascii="宋体" w:hAnsi="宋体"/>
          <w:b/>
          <w:color w:val="auto"/>
          <w:sz w:val="24"/>
          <w:highlight w:val="none"/>
        </w:rPr>
        <w:t>2.13 乙方破产</w:t>
      </w:r>
      <w:bookmarkEnd w:id="489"/>
      <w:bookmarkEnd w:id="490"/>
      <w:bookmarkEnd w:id="491"/>
      <w:bookmarkEnd w:id="492"/>
      <w:bookmarkEnd w:id="493"/>
    </w:p>
    <w:p>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360" w:lineRule="auto"/>
        <w:ind w:firstLine="482" w:firstLineChars="200"/>
        <w:outlineLvl w:val="0"/>
        <w:rPr>
          <w:rFonts w:ascii="宋体" w:hAnsi="宋体"/>
          <w:b/>
          <w:color w:val="auto"/>
          <w:sz w:val="24"/>
          <w:highlight w:val="none"/>
        </w:rPr>
      </w:pPr>
      <w:bookmarkStart w:id="494" w:name="_Toc23323"/>
      <w:bookmarkStart w:id="495" w:name="_Toc2016"/>
      <w:bookmarkStart w:id="496" w:name="_Toc1123"/>
      <w:r>
        <w:rPr>
          <w:rFonts w:ascii="宋体" w:hAnsi="宋体"/>
          <w:b/>
          <w:color w:val="auto"/>
          <w:sz w:val="24"/>
          <w:highlight w:val="none"/>
        </w:rPr>
        <w:t>2.14 合同中止、终止</w:t>
      </w:r>
      <w:bookmarkEnd w:id="494"/>
      <w:bookmarkEnd w:id="495"/>
      <w:bookmarkEnd w:id="496"/>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b/>
          <w:color w:val="auto"/>
          <w:sz w:val="24"/>
          <w:highlight w:val="none"/>
        </w:rPr>
      </w:pPr>
      <w:bookmarkStart w:id="497" w:name="_Toc17363"/>
      <w:bookmarkStart w:id="498" w:name="_Toc14525"/>
      <w:bookmarkStart w:id="499" w:name="_Toc1969"/>
      <w:r>
        <w:rPr>
          <w:rFonts w:ascii="宋体" w:hAnsi="宋体"/>
          <w:b/>
          <w:color w:val="auto"/>
          <w:sz w:val="24"/>
          <w:highlight w:val="none"/>
        </w:rPr>
        <w:t>2.15 检验和验收</w:t>
      </w:r>
      <w:bookmarkEnd w:id="497"/>
      <w:bookmarkEnd w:id="498"/>
      <w:bookmarkEnd w:id="499"/>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360" w:lineRule="auto"/>
        <w:ind w:firstLine="482" w:firstLineChars="200"/>
        <w:outlineLvl w:val="0"/>
        <w:rPr>
          <w:rFonts w:ascii="宋体" w:hAnsi="宋体"/>
          <w:b/>
          <w:color w:val="auto"/>
          <w:sz w:val="24"/>
          <w:highlight w:val="none"/>
        </w:rPr>
      </w:pPr>
      <w:bookmarkStart w:id="500" w:name="_Toc31892"/>
      <w:bookmarkStart w:id="501" w:name="_Toc9808"/>
      <w:bookmarkStart w:id="502" w:name="_Toc25198"/>
      <w:bookmarkStart w:id="503" w:name="_Toc12666"/>
      <w:bookmarkStart w:id="504" w:name="_Toc2308"/>
      <w:r>
        <w:rPr>
          <w:rFonts w:ascii="宋体" w:hAnsi="宋体"/>
          <w:b/>
          <w:color w:val="auto"/>
          <w:sz w:val="24"/>
          <w:highlight w:val="none"/>
        </w:rPr>
        <w:t>2.16 通知和送达</w:t>
      </w:r>
      <w:bookmarkEnd w:id="500"/>
      <w:bookmarkEnd w:id="501"/>
      <w:bookmarkEnd w:id="502"/>
      <w:bookmarkEnd w:id="503"/>
      <w:bookmarkEnd w:id="504"/>
    </w:p>
    <w:p>
      <w:pPr>
        <w:spacing w:line="360" w:lineRule="auto"/>
        <w:ind w:firstLine="480" w:firstLineChars="200"/>
        <w:rPr>
          <w:rFonts w:ascii="宋体" w:hAnsi="宋体"/>
          <w:color w:val="auto"/>
          <w:sz w:val="24"/>
          <w:highlight w:val="none"/>
        </w:rPr>
      </w:pPr>
      <w:bookmarkStart w:id="505" w:name="_Toc18401"/>
      <w:bookmarkStart w:id="506"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5"/>
      <w:bookmarkEnd w:id="506"/>
    </w:p>
    <w:p>
      <w:pPr>
        <w:spacing w:line="360" w:lineRule="auto"/>
        <w:ind w:firstLine="482" w:firstLineChars="200"/>
        <w:outlineLvl w:val="0"/>
        <w:rPr>
          <w:rFonts w:ascii="宋体" w:hAnsi="宋体"/>
          <w:b/>
          <w:color w:val="auto"/>
          <w:sz w:val="24"/>
          <w:highlight w:val="none"/>
        </w:rPr>
      </w:pPr>
      <w:bookmarkStart w:id="507" w:name="_Toc5063"/>
      <w:bookmarkStart w:id="508" w:name="_Toc20808"/>
      <w:bookmarkStart w:id="509" w:name="_Toc12254"/>
      <w:bookmarkStart w:id="510" w:name="_Toc28906"/>
      <w:bookmarkStart w:id="511"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7"/>
      <w:bookmarkEnd w:id="508"/>
      <w:bookmarkEnd w:id="509"/>
      <w:bookmarkEnd w:id="510"/>
      <w:bookmarkEnd w:id="511"/>
    </w:p>
    <w:p>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360" w:lineRule="auto"/>
        <w:ind w:firstLine="482" w:firstLineChars="200"/>
        <w:outlineLvl w:val="0"/>
        <w:rPr>
          <w:rFonts w:ascii="宋体" w:hAnsi="宋体"/>
          <w:b/>
          <w:color w:val="auto"/>
          <w:sz w:val="24"/>
          <w:highlight w:val="none"/>
        </w:rPr>
      </w:pPr>
      <w:bookmarkStart w:id="512" w:name="_Toc30096"/>
      <w:bookmarkStart w:id="513" w:name="_Toc22266"/>
      <w:bookmarkStart w:id="514" w:name="_Toc27403"/>
      <w:bookmarkStart w:id="515" w:name="_Toc1492"/>
      <w:bookmarkStart w:id="516" w:name="_Toc27127"/>
      <w:r>
        <w:rPr>
          <w:rFonts w:ascii="宋体" w:hAnsi="宋体"/>
          <w:b/>
          <w:color w:val="auto"/>
          <w:sz w:val="24"/>
          <w:highlight w:val="none"/>
        </w:rPr>
        <w:t>2.18 履约保证金</w:t>
      </w:r>
      <w:bookmarkEnd w:id="512"/>
      <w:bookmarkEnd w:id="513"/>
      <w:bookmarkEnd w:id="514"/>
      <w:bookmarkEnd w:id="515"/>
      <w:bookmarkEnd w:id="516"/>
    </w:p>
    <w:p>
      <w:pPr>
        <w:pStyle w:val="957"/>
        <w:spacing w:before="0" w:beforeAutospacing="0" w:after="0" w:afterAutospacing="0" w:line="360" w:lineRule="auto"/>
        <w:ind w:firstLine="420"/>
        <w:rPr>
          <w:color w:val="auto"/>
          <w:highlight w:val="none"/>
        </w:rPr>
      </w:pPr>
      <w:r>
        <w:rPr>
          <w:color w:val="auto"/>
          <w:highlight w:val="none"/>
        </w:rPr>
        <w:t xml:space="preserve">2.18.1 </w:t>
      </w:r>
      <w:r>
        <w:rPr>
          <w:rFonts w:hint="eastAsia"/>
          <w:color w:val="auto"/>
          <w:highlight w:val="none"/>
        </w:rPr>
        <w:t>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1%的履约保证金；鼓励和支持乙方以银行、保险公司出具的保函形式提供履约保证</w:t>
      </w:r>
      <w:r>
        <w:rPr>
          <w:rFonts w:hint="eastAsia"/>
          <w:color w:val="auto"/>
          <w:highlight w:val="none"/>
        </w:rPr>
        <w:t>，乙方以银行、保险公司出具保函形式提交履约保证金的，甲方不得拒收。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2.18.2  </w:t>
      </w:r>
      <w:r>
        <w:rPr>
          <w:rFonts w:hint="eastAsia" w:ascii="宋体" w:hAnsi="宋体"/>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宋体" w:hAnsi="宋体"/>
          <w:color w:val="auto"/>
          <w:sz w:val="24"/>
          <w:highlight w:val="none"/>
        </w:rPr>
        <w:t>乙方可要求甲方支付违约金，违约金按每迟延退还一日的应退还而未退还金额的</w:t>
      </w:r>
      <w:r>
        <w:rPr>
          <w:rFonts w:ascii="宋体" w:hAnsi="宋体"/>
          <w:color w:val="auto"/>
          <w:sz w:val="24"/>
          <w:highlight w:val="none"/>
          <w:u w:val="single"/>
        </w:rPr>
        <w:t xml:space="preserve">  0.05  </w:t>
      </w:r>
      <w:r>
        <w:rPr>
          <w:rFonts w:ascii="宋体" w:hAnsi="宋体"/>
          <w:color w:val="auto"/>
          <w:sz w:val="24"/>
          <w:highlight w:val="none"/>
        </w:rPr>
        <w:t>%计算，最高限额为本合同履约保证金的</w:t>
      </w:r>
      <w:r>
        <w:rPr>
          <w:rFonts w:ascii="宋体" w:hAnsi="宋体"/>
          <w:color w:val="auto"/>
          <w:sz w:val="24"/>
          <w:highlight w:val="none"/>
          <w:u w:val="single"/>
        </w:rPr>
        <w:t xml:space="preserve">  20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2.18.3 </w:t>
      </w:r>
      <w:r>
        <w:rPr>
          <w:rFonts w:hint="eastAsia" w:ascii="宋体" w:hAnsi="宋体"/>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2.18.4</w:t>
      </w:r>
      <w:r>
        <w:rPr>
          <w:rFonts w:hint="eastAsia" w:ascii="宋体" w:hAnsi="宋体"/>
          <w:color w:val="auto"/>
          <w:sz w:val="24"/>
          <w:highlight w:val="none"/>
        </w:rPr>
        <w:t> 甲方根据杭州市政府采购网公布的供应商履约评价情况减免履约保证金。乙方履约验收评价总分为</w:t>
      </w:r>
      <w:r>
        <w:rPr>
          <w:rFonts w:ascii="宋体" w:hAnsi="宋体"/>
          <w:color w:val="auto"/>
          <w:sz w:val="24"/>
          <w:highlight w:val="none"/>
        </w:rPr>
        <w:t>100分的，甲方免收履约保证金。</w:t>
      </w:r>
    </w:p>
    <w:p>
      <w:pPr>
        <w:spacing w:line="360" w:lineRule="auto"/>
        <w:ind w:firstLine="480" w:firstLineChars="200"/>
        <w:rPr>
          <w:rFonts w:ascii="宋体" w:hAnsi="宋体"/>
          <w:color w:val="auto"/>
          <w:highlight w:val="none"/>
        </w:rPr>
      </w:pPr>
      <w:r>
        <w:rPr>
          <w:rFonts w:ascii="宋体" w:hAnsi="宋体"/>
          <w:color w:val="auto"/>
          <w:sz w:val="24"/>
          <w:highlight w:val="none"/>
        </w:rPr>
        <w:t>2.18.5</w:t>
      </w:r>
      <w:r>
        <w:rPr>
          <w:rFonts w:hint="eastAsia" w:ascii="宋体" w:hAnsi="宋体"/>
          <w:color w:val="auto"/>
          <w:sz w:val="24"/>
          <w:highlight w:val="none"/>
        </w:rPr>
        <w:t>甲方</w:t>
      </w:r>
      <w:r>
        <w:rPr>
          <w:rFonts w:ascii="宋体" w:hAnsi="宋体"/>
          <w:color w:val="auto"/>
          <w:sz w:val="24"/>
          <w:highlight w:val="none"/>
        </w:rPr>
        <w:t>在</w:t>
      </w:r>
      <w:r>
        <w:rPr>
          <w:rFonts w:hint="eastAsia" w:ascii="宋体" w:hAnsi="宋体"/>
          <w:color w:val="auto"/>
          <w:sz w:val="24"/>
          <w:highlight w:val="none"/>
        </w:rPr>
        <w:t>乙方</w:t>
      </w:r>
      <w:r>
        <w:rPr>
          <w:rFonts w:ascii="宋体" w:hAnsi="宋体"/>
          <w:color w:val="auto"/>
          <w:sz w:val="24"/>
          <w:highlight w:val="none"/>
        </w:rPr>
        <w:t>履行完合同约定义务事项后及时退还，延迟退还的，应当按照合同约定和法律规定承担相应的赔偿责任。</w:t>
      </w:r>
    </w:p>
    <w:p>
      <w:pPr>
        <w:spacing w:line="360" w:lineRule="auto"/>
        <w:ind w:firstLine="482" w:firstLineChars="200"/>
        <w:rPr>
          <w:rFonts w:ascii="宋体" w:hAnsi="宋体"/>
          <w:color w:val="auto"/>
          <w:sz w:val="24"/>
          <w:highlight w:val="none"/>
        </w:rPr>
      </w:pPr>
      <w:r>
        <w:rPr>
          <w:rFonts w:ascii="宋体" w:hAnsi="宋体"/>
          <w:b/>
          <w:bCs/>
          <w:color w:val="auto"/>
          <w:sz w:val="24"/>
          <w:highlight w:val="none"/>
        </w:rPr>
        <w:t>2.19</w:t>
      </w:r>
      <w:r>
        <w:rPr>
          <w:rFonts w:ascii="宋体" w:hAnsi="宋体"/>
          <w:color w:val="auto"/>
          <w:sz w:val="24"/>
          <w:highlight w:val="none"/>
        </w:rPr>
        <w:t>对于因甲方原因导致变更、中止或者终止政府采购合同的，甲方应当依照合同约定对供应商受到的损失予以赔偿或者补偿</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2.20合同份数</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jc w:val="center"/>
        <w:outlineLvl w:val="0"/>
        <w:rPr>
          <w:rFonts w:ascii="宋体" w:hAnsi="宋体" w:cs="宋体"/>
          <w:b/>
          <w:color w:val="auto"/>
          <w:sz w:val="24"/>
          <w:highlight w:val="none"/>
        </w:rPr>
      </w:pPr>
      <w:bookmarkStart w:id="517" w:name="_Toc331685784"/>
      <w:r>
        <w:rPr>
          <w:rFonts w:hint="eastAsia" w:ascii="宋体" w:hAnsi="宋体" w:cs="宋体"/>
          <w:b/>
          <w:color w:val="auto"/>
          <w:sz w:val="24"/>
          <w:highlight w:val="none"/>
        </w:rPr>
        <w:t xml:space="preserve"> </w:t>
      </w:r>
      <w:bookmarkEnd w:id="517"/>
      <w:r>
        <w:rPr>
          <w:rFonts w:hint="eastAsia" w:ascii="宋体" w:hAnsi="宋体" w:cs="宋体"/>
          <w:b/>
          <w:color w:val="auto"/>
          <w:sz w:val="24"/>
          <w:highlight w:val="none"/>
        </w:rPr>
        <w:t>第三部分  合同专用条款</w:t>
      </w:r>
    </w:p>
    <w:p>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74"/>
        <w:gridCol w:w="79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43" w:type="pct"/>
            <w:tcBorders>
              <w:left w:val="single" w:color="auto" w:sz="4" w:space="0"/>
            </w:tcBorders>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357" w:type="pct"/>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1.4.4</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签订后5个工作日内支付首笔预付款，支付比例为中标价格（一年）的20%；乙方进场服务并通过甲方考核后，甲方凭供应商开具的正规发票和甲方认可的各项记录复印件支付后续物业费用，后续的安保服务费按月支付，支付时间为次月末（前两个月不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2023年1月1日-2024年12月31日。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合同期内持续性提供服务。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1.6.7</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 1.7.1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将争议提交杭州仲裁委员会依申请仲裁时其现行有效的仲裁规则裁决；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向合同履行地人民法院起诉。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357" w:type="pct"/>
            <w:noWrap w:val="0"/>
            <w:vAlign w:val="center"/>
          </w:tcPr>
          <w:p>
            <w:pPr>
              <w:spacing w:line="360" w:lineRule="auto"/>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合同签订后5个工作日内支付首笔安保服务费，支付比例为中标价格（一年）的20%；乙方进场服务并通过甲方考核后，甲方凭供应商开具的正规发票和甲方认可的各项记录复印件支付后续物业费用，后续的安保服务费按月支付，支付时间为次月末（前两个月不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2.11.3</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因不可抗力致使合同有变更必要的，双方当事人应在15个工作日内以书面形式变更合同；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2.11.4</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受不可抗力影响的一方在不可抗力发生后，应在3个工作日内以书面形式通知对方当事人，并在3个工作日内将有关部门出具的证明文件送达对方当事人。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2.15.1</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乙方每月向甲方提交服务报告，甲方每季度进行验收、考核；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2.15.3</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1.甲方将对乙方服务的人员在岗情况进行不定期抽查，每发现一例缺岗，将在每次结算费用中扣除1000元/岗位/天。</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2.甲方对乙方在服务合同期内每月进行服务质量考核，每月进行综合服务满意度测评须达到85分及以上。</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当月综合服务满意度测评未达到85分的，按照当月实际产生服务费的百分之十五进行处罚。</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3.连续两个月综合服务满意度测评未达到85分的，将视作乙方未履行合同约定，甲方有权提前单方面解除合同，因此引起的所有损失将由乙方承担。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2.18.1</w:t>
            </w:r>
          </w:p>
        </w:tc>
        <w:tc>
          <w:tcPr>
            <w:tcW w:w="4357" w:type="pct"/>
            <w:noWrap w:val="0"/>
            <w:vAlign w:val="center"/>
          </w:tcPr>
          <w:p>
            <w:pPr>
              <w:spacing w:line="360" w:lineRule="auto"/>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3" w:type="pct"/>
            <w:tcBorders>
              <w:left w:val="single" w:color="auto" w:sz="4"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2.18.2</w:t>
            </w:r>
          </w:p>
        </w:tc>
        <w:tc>
          <w:tcPr>
            <w:tcW w:w="4357" w:type="pct"/>
            <w:noWrap w:val="0"/>
            <w:vAlign w:val="center"/>
          </w:tcPr>
          <w:p>
            <w:pPr>
              <w:spacing w:line="360" w:lineRule="auto"/>
              <w:rPr>
                <w:rFonts w:hint="eastAsia"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643" w:type="pct"/>
            <w:tcBorders>
              <w:left w:val="single" w:color="auto" w:sz="4" w:space="0"/>
            </w:tcBorders>
            <w:noWrap w:val="0"/>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2.20</w:t>
            </w:r>
          </w:p>
        </w:tc>
        <w:tc>
          <w:tcPr>
            <w:tcW w:w="4357" w:type="pct"/>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本合同一式陆份，甲方执肆份、乙方执贰份，每份均具有同等法律效力。</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spacing w:line="360" w:lineRule="auto"/>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杭州市儿童医院、杭州市公共资源交易中心（杭州市政府采购中心）：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我方参与杭州市儿童医院安保服务项目【招标编号：HZZFCG-2022-239】政府采购活动，郑重承诺：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spacing w:line="360" w:lineRule="auto"/>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spacing w:line="360" w:lineRule="auto"/>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spacing w:line="360" w:lineRule="auto"/>
        <w:jc w:val="center"/>
        <w:rPr>
          <w:rFonts w:ascii="宋体" w:hAnsi="宋体" w:cs="宋体"/>
          <w:b/>
          <w:color w:val="auto"/>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杭州市儿童医院、杭州市公共资源交易中心（杭州市政府采购中心）：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我方参加你方组织的杭州市儿童医院安保服务项目【招标编号：HZZFCG-2022-239】招标的有关活动，并对此项目进行投标。为此：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8" w:name="_Hlk101257010"/>
      <w:r>
        <w:rPr>
          <w:rFonts w:hint="eastAsia" w:ascii="宋体" w:hAnsi="宋体" w:cs="宋体"/>
          <w:color w:val="auto"/>
          <w:sz w:val="24"/>
          <w:highlight w:val="none"/>
        </w:rPr>
        <w:t>（如果有)</w:t>
      </w:r>
      <w:bookmarkEnd w:id="518"/>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杭州市儿童医院、杭州市公共资源交易中心（杭州市政府采购中心）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杭州市儿童医院安保服务项目【招标编号：HZZFCG-2022-239】</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杭州市儿童医院、杭州市公共资源交易中心（杭州市政府采购中心）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杭州市儿童医院安保服务项目【招标编号：HZZFCG-2022-239】</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pacing w:line="360" w:lineRule="auto"/>
        <w:jc w:val="center"/>
        <w:rPr>
          <w:rFonts w:ascii="宋体" w:hAnsi="宋体" w:cs="宋体"/>
          <w:b/>
          <w:color w:val="auto"/>
          <w:kern w:val="0"/>
          <w:sz w:val="32"/>
          <w:szCs w:val="32"/>
          <w:highlight w:val="none"/>
        </w:rPr>
      </w:pPr>
    </w:p>
    <w:p>
      <w:pPr>
        <w:spacing w:line="360" w:lineRule="auto"/>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7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74"/>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spacing w:line="360" w:lineRule="auto"/>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noWrap w:val="0"/>
            <w:vAlign w:val="top"/>
          </w:tcPr>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见投标文件</w:t>
            </w:r>
          </w:p>
          <w:p>
            <w:pPr>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noWrap w:val="0"/>
            <w:vAlign w:val="top"/>
          </w:tcPr>
          <w:p>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noWrap w:val="0"/>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noWrap w:val="0"/>
            <w:vAlign w:val="top"/>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noWrap w:val="0"/>
            <w:vAlign w:val="top"/>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noWrap w:val="0"/>
            <w:vAlign w:val="top"/>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noWrap w:val="0"/>
            <w:vAlign w:val="top"/>
          </w:tcPr>
          <w:p>
            <w:pPr>
              <w:spacing w:line="360" w:lineRule="auto"/>
              <w:jc w:val="center"/>
              <w:rPr>
                <w:rFonts w:ascii="宋体" w:hAnsi="宋体" w:cs="宋体"/>
                <w:b/>
                <w:color w:val="auto"/>
                <w:kern w:val="0"/>
                <w:sz w:val="32"/>
                <w:szCs w:val="32"/>
                <w:highlight w:val="none"/>
              </w:rPr>
            </w:pPr>
          </w:p>
        </w:tc>
        <w:tc>
          <w:tcPr>
            <w:tcW w:w="3546" w:type="dxa"/>
            <w:noWrap w:val="0"/>
            <w:vAlign w:val="top"/>
          </w:tcPr>
          <w:p>
            <w:pPr>
              <w:spacing w:line="360" w:lineRule="auto"/>
              <w:jc w:val="center"/>
              <w:rPr>
                <w:rFonts w:ascii="宋体" w:hAnsi="宋体" w:cs="宋体"/>
                <w:b/>
                <w:color w:val="auto"/>
                <w:kern w:val="0"/>
                <w:sz w:val="32"/>
                <w:szCs w:val="32"/>
                <w:highlight w:val="none"/>
              </w:rPr>
            </w:pPr>
          </w:p>
        </w:tc>
        <w:tc>
          <w:tcPr>
            <w:tcW w:w="1276" w:type="dxa"/>
            <w:noWrap w:val="0"/>
            <w:vAlign w:val="top"/>
          </w:tcPr>
          <w:p>
            <w:pPr>
              <w:spacing w:line="360" w:lineRule="auto"/>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noWrap w:val="0"/>
            <w:vAlign w:val="top"/>
          </w:tcPr>
          <w:p>
            <w:pPr>
              <w:spacing w:line="360" w:lineRule="auto"/>
              <w:jc w:val="center"/>
              <w:rPr>
                <w:rFonts w:ascii="宋体" w:hAnsi="宋体" w:cs="宋体"/>
                <w:b/>
                <w:color w:val="auto"/>
                <w:kern w:val="0"/>
                <w:sz w:val="32"/>
                <w:szCs w:val="32"/>
                <w:highlight w:val="none"/>
              </w:rPr>
            </w:pPr>
          </w:p>
        </w:tc>
        <w:tc>
          <w:tcPr>
            <w:tcW w:w="3546" w:type="dxa"/>
            <w:noWrap w:val="0"/>
            <w:vAlign w:val="top"/>
          </w:tcPr>
          <w:p>
            <w:pPr>
              <w:spacing w:line="360" w:lineRule="auto"/>
              <w:jc w:val="center"/>
              <w:rPr>
                <w:rFonts w:ascii="宋体" w:hAnsi="宋体" w:cs="宋体"/>
                <w:b/>
                <w:color w:val="auto"/>
                <w:kern w:val="0"/>
                <w:sz w:val="32"/>
                <w:szCs w:val="32"/>
                <w:highlight w:val="none"/>
              </w:rPr>
            </w:pPr>
          </w:p>
        </w:tc>
        <w:tc>
          <w:tcPr>
            <w:tcW w:w="1276" w:type="dxa"/>
            <w:noWrap w:val="0"/>
            <w:vAlign w:val="top"/>
          </w:tcPr>
          <w:p>
            <w:pPr>
              <w:spacing w:line="360" w:lineRule="auto"/>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noWrap w:val="0"/>
            <w:vAlign w:val="top"/>
          </w:tcPr>
          <w:p>
            <w:pPr>
              <w:spacing w:line="360" w:lineRule="auto"/>
              <w:jc w:val="center"/>
              <w:rPr>
                <w:rFonts w:ascii="宋体" w:hAnsi="宋体" w:cs="宋体"/>
                <w:b/>
                <w:color w:val="auto"/>
                <w:kern w:val="0"/>
                <w:sz w:val="32"/>
                <w:szCs w:val="32"/>
                <w:highlight w:val="none"/>
              </w:rPr>
            </w:pPr>
          </w:p>
        </w:tc>
        <w:tc>
          <w:tcPr>
            <w:tcW w:w="3546" w:type="dxa"/>
            <w:noWrap w:val="0"/>
            <w:vAlign w:val="top"/>
          </w:tcPr>
          <w:p>
            <w:pPr>
              <w:spacing w:line="360" w:lineRule="auto"/>
              <w:jc w:val="center"/>
              <w:rPr>
                <w:rFonts w:ascii="宋体" w:hAnsi="宋体" w:cs="宋体"/>
                <w:b/>
                <w:color w:val="auto"/>
                <w:kern w:val="0"/>
                <w:sz w:val="32"/>
                <w:szCs w:val="32"/>
                <w:highlight w:val="none"/>
              </w:rPr>
            </w:pPr>
          </w:p>
        </w:tc>
        <w:tc>
          <w:tcPr>
            <w:tcW w:w="1276" w:type="dxa"/>
            <w:noWrap w:val="0"/>
            <w:vAlign w:val="top"/>
          </w:tcPr>
          <w:p>
            <w:pPr>
              <w:spacing w:line="360" w:lineRule="auto"/>
              <w:jc w:val="center"/>
              <w:rPr>
                <w:rFonts w:ascii="宋体" w:hAnsi="宋体" w:cs="宋体"/>
                <w:b/>
                <w:color w:val="auto"/>
                <w:kern w:val="0"/>
                <w:sz w:val="32"/>
                <w:szCs w:val="32"/>
                <w:highlight w:val="none"/>
              </w:rPr>
            </w:pPr>
          </w:p>
        </w:tc>
      </w:tr>
    </w:tbl>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pacing w:line="360" w:lineRule="auto"/>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spacing w:line="360" w:lineRule="auto"/>
        <w:jc w:val="center"/>
        <w:rPr>
          <w:rFonts w:ascii="宋体" w:hAnsi="宋体" w:cs="宋体"/>
          <w:b/>
          <w:color w:val="auto"/>
          <w:kern w:val="0"/>
          <w:sz w:val="32"/>
          <w:szCs w:val="32"/>
          <w:highlight w:val="none"/>
        </w:rPr>
      </w:pPr>
      <w:r>
        <w:rPr>
          <w:rFonts w:ascii="宋体" w:hAnsi="宋体" w:cs="宋体"/>
          <w:b/>
          <w:bCs/>
          <w:color w:val="auto"/>
          <w:sz w:val="32"/>
          <w:szCs w:val="32"/>
          <w:highlight w:val="none"/>
        </w:rPr>
        <w:br w:type="page"/>
      </w: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杭州市儿童医院、杭州市公共资源交易中心（杭州市政府采购中心）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杭州市儿童医院、杭州市公共资源交易中心（杭州市政府采购中心）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杭州市儿童医院安保服务项目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HZZFCG-2022-239】的实施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noWrap w:val="0"/>
            <w:vAlign w:val="top"/>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noWrap w:val="0"/>
            <w:vAlign w:val="top"/>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noWrap w:val="0"/>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负责管理</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消监控中心</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3号楼门诊</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北门入口</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**室</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1号楼大厅、急诊</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1号楼3楼输液室</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1号楼4楼病房卡点管控岗</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2号楼1楼大厅</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2号楼病房卡点管理</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2号楼2楼</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2号楼3楼</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2号楼4楼</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2号楼5楼</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全院巡逻</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机动岗</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92" w:type="dxa"/>
            <w:noWrap w:val="0"/>
            <w:vAlign w:val="center"/>
          </w:tcPr>
          <w:p>
            <w:pPr>
              <w:pStyle w:val="158"/>
              <w:spacing w:before="0"/>
              <w:ind w:firstLine="0" w:firstLineChars="0"/>
              <w:jc w:val="center"/>
              <w:rPr>
                <w:rFonts w:hint="eastAsia" w:ascii="宋体" w:hAnsi="宋体" w:cs="宋体"/>
                <w:color w:val="auto"/>
                <w:highlight w:val="none"/>
              </w:rPr>
            </w:pPr>
            <w:r>
              <w:rPr>
                <w:rFonts w:hint="eastAsia" w:ascii="宋体" w:hAnsi="宋体" w:cs="宋体"/>
                <w:color w:val="auto"/>
                <w:szCs w:val="24"/>
                <w:highlight w:val="none"/>
              </w:rPr>
              <w:t>停车管理员</w:t>
            </w: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410" w:type="dxa"/>
            <w:noWrap w:val="0"/>
            <w:vAlign w:val="center"/>
          </w:tcPr>
          <w:p>
            <w:pPr>
              <w:snapToGrid w:val="0"/>
              <w:spacing w:line="360" w:lineRule="auto"/>
              <w:jc w:val="center"/>
              <w:rPr>
                <w:rFonts w:hint="eastAsia" w:ascii="宋体" w:hAnsi="宋体" w:cs="宋体"/>
                <w:color w:val="auto"/>
                <w:sz w:val="24"/>
                <w:highlight w:val="none"/>
              </w:rPr>
            </w:pPr>
          </w:p>
        </w:tc>
        <w:tc>
          <w:tcPr>
            <w:tcW w:w="2268" w:type="dxa"/>
            <w:noWrap w:val="0"/>
            <w:vAlign w:val="center"/>
          </w:tcPr>
          <w:p>
            <w:pPr>
              <w:snapToGrid w:val="0"/>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c>
          <w:tcPr>
            <w:tcW w:w="2127" w:type="dxa"/>
            <w:noWrap w:val="0"/>
            <w:vAlign w:val="top"/>
          </w:tcPr>
          <w:p>
            <w:pPr>
              <w:spacing w:line="360" w:lineRule="auto"/>
              <w:jc w:val="center"/>
              <w:rPr>
                <w:rFonts w:hint="eastAsia" w:ascii="宋体" w:hAnsi="宋体" w:cs="宋体"/>
                <w:color w:val="auto"/>
                <w:sz w:val="24"/>
                <w:highlight w:val="none"/>
              </w:rPr>
            </w:pPr>
          </w:p>
        </w:tc>
        <w:tc>
          <w:tcPr>
            <w:tcW w:w="2126"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noWrap w:val="0"/>
            <w:vAlign w:val="top"/>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noWrap w:val="0"/>
            <w:vAlign w:val="top"/>
          </w:tcPr>
          <w:p>
            <w:pPr>
              <w:spacing w:line="360" w:lineRule="auto"/>
              <w:jc w:val="center"/>
              <w:rPr>
                <w:rFonts w:hint="eastAsia"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2"/>
        <w:ind w:left="0"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2"/>
        <w:ind w:left="0"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9" w:name="_Toc465665161"/>
      <w:r>
        <w:rPr>
          <w:rFonts w:hint="eastAsia" w:ascii="宋体" w:hAnsi="宋体" w:cs="宋体"/>
          <w:color w:val="auto"/>
          <w:highlight w:val="none"/>
        </w:rPr>
        <w:t>附件</w:t>
      </w:r>
      <w:bookmarkEnd w:id="519"/>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20" w:name="OLE_LINK14"/>
      <w:bookmarkStart w:id="521" w:name="OLE_LINK13"/>
      <w:r>
        <w:rPr>
          <w:rFonts w:hint="eastAsia" w:ascii="宋体" w:hAnsi="宋体" w:cs="宋体"/>
          <w:b/>
          <w:color w:val="auto"/>
          <w:spacing w:val="6"/>
          <w:sz w:val="32"/>
          <w:szCs w:val="32"/>
          <w:highlight w:val="none"/>
        </w:rPr>
        <w:t>残疾人福利性单位声明函</w:t>
      </w:r>
    </w:p>
    <w:bookmarkEnd w:id="520"/>
    <w:bookmarkEnd w:id="52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杭州市儿童医院安保服务项目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杭州市儿童医院、杭州市公共资源交易中心（杭州市政府采购中心）：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你方组织的杭州市儿童医院安保服务项目【招标编号：HZZFCG-2022-239】</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spacing w:line="360" w:lineRule="auto"/>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杭州市儿童医院安保服务项目【招标编号：HZZFCG-2022-239】</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bookmarkEnd w:id="52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杭州市儿童医院安保服务项目【招标编号：HZZFCG-2022-239】</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360" w:lineRule="auto"/>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autoSpaceDE w:val="0"/>
        <w:autoSpaceDN w:val="0"/>
        <w:spacing w:line="360" w:lineRule="auto"/>
        <w:jc w:val="center"/>
        <w:rPr>
          <w:rFonts w:ascii="宋体" w:hAnsi="宋体" w:cs="宋体"/>
          <w:b/>
          <w:color w:val="auto"/>
          <w:spacing w:val="6"/>
          <w:sz w:val="32"/>
          <w:szCs w:val="32"/>
          <w:highlight w:val="none"/>
        </w:rPr>
      </w:pP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杭州市儿童医院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杭州市儿童医院安保服务项目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Helvetica">
    <w:altName w:val="Arial"/>
    <w:panose1 w:val="020B0604020202020204"/>
    <w:charset w:val="00"/>
    <w:family w:val="swiss"/>
    <w:pitch w:val="default"/>
    <w:sig w:usb0="E0002AFF" w:usb1="C0007843" w:usb2="00000009"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81</w:t>
    </w:r>
    <w:r>
      <w:rPr>
        <w:rFonts w:hint="eastAsia" w:ascii="仿宋_GB2312" w:eastAsia="仿宋_GB2312"/>
        <w:kern w:val="0"/>
        <w:szCs w:val="21"/>
      </w:rPr>
      <w:fldChar w:fldCharType="end"/>
    </w:r>
    <w:bookmarkStart w:id="525" w:name="_Toc131845147"/>
    <w:bookmarkStart w:id="526" w:name="_Toc36110187"/>
    <w:bookmarkStart w:id="527" w:name="_Toc91899912"/>
    <w:bookmarkStart w:id="528" w:name="_Toc164085800"/>
    <w:r>
      <w:rPr>
        <w:rFonts w:hint="eastAsia" w:ascii="仿宋_GB2312" w:eastAsia="仿宋_GB2312"/>
        <w:kern w:val="0"/>
        <w:szCs w:val="21"/>
      </w:rPr>
      <w:t xml:space="preserve"> 页</w:t>
    </w:r>
    <w:bookmarkEnd w:id="525"/>
    <w:bookmarkEnd w:id="526"/>
    <w:bookmarkEnd w:id="527"/>
    <w:bookmarkEnd w:id="52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Y2ZjOGMzZDJiYzM0ZWVjOTEyZDkwMGMzZWJhO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4D7"/>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DB"/>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B156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A7FD1"/>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C2A2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A5AE7"/>
    <w:rsid w:val="3F1D1096"/>
    <w:rsid w:val="3F2F0234"/>
    <w:rsid w:val="3F6363FE"/>
    <w:rsid w:val="3F756B8F"/>
    <w:rsid w:val="3F95482B"/>
    <w:rsid w:val="4019356B"/>
    <w:rsid w:val="40592157"/>
    <w:rsid w:val="406E1CAE"/>
    <w:rsid w:val="40A0133A"/>
    <w:rsid w:val="40C31A53"/>
    <w:rsid w:val="40FB3C11"/>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065382"/>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F7607"/>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296330"/>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8E51F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1C70E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BA18EE"/>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0"/>
    <w:pPr>
      <w:jc w:val="left"/>
    </w:pPr>
  </w:style>
  <w:style w:type="paragraph" w:styleId="20">
    <w:name w:val="Salutation"/>
    <w:basedOn w:val="1"/>
    <w:next w:val="1"/>
    <w:link w:val="90"/>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6"/>
    <w:qFormat/>
    <w:uiPriority w:val="0"/>
    <w:pPr>
      <w:ind w:left="100" w:leftChars="2500"/>
    </w:pPr>
    <w:rPr>
      <w:rFonts w:ascii="宋体"/>
      <w:sz w:val="24"/>
      <w:szCs w:val="21"/>
      <w:lang w:val="zh-CN"/>
    </w:r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4"/>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link w:val="110"/>
    <w:qFormat/>
    <w:uiPriority w:val="0"/>
    <w:pPr>
      <w:ind w:firstLine="420"/>
    </w:pPr>
    <w:rPr>
      <w:rFonts w:hAnsi="Times New Roman" w:cs="Times New Roman"/>
      <w:snapToGrid/>
      <w:szCs w:val="20"/>
    </w:rPr>
  </w:style>
  <w:style w:type="paragraph" w:styleId="61">
    <w:name w:val="Body Text First Indent 2"/>
    <w:basedOn w:val="24"/>
    <w:link w:val="11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正文缩进 Char2"/>
    <w:link w:val="5"/>
    <w:qFormat/>
    <w:uiPriority w:val="0"/>
    <w:rPr>
      <w:rFonts w:ascii="宋体" w:eastAsia="宋体"/>
      <w:snapToGrid w:val="0"/>
      <w:color w:val="000000"/>
      <w:kern w:val="28"/>
      <w:sz w:val="28"/>
      <w:lang w:val="en-US" w:eastAsia="zh-CN" w:bidi="ar-SA"/>
    </w:rPr>
  </w:style>
  <w:style w:type="character" w:customStyle="1" w:styleId="81">
    <w:name w:val="标题 4 Char2"/>
    <w:link w:val="6"/>
    <w:qFormat/>
    <w:uiPriority w:val="9"/>
    <w:rPr>
      <w:rFonts w:ascii="Arial" w:hAnsi="Arial" w:eastAsia="黑体"/>
      <w:b/>
      <w:bCs/>
      <w:kern w:val="2"/>
      <w:sz w:val="28"/>
      <w:szCs w:val="28"/>
      <w:lang w:val="zh-CN"/>
    </w:rPr>
  </w:style>
  <w:style w:type="character" w:customStyle="1" w:styleId="82">
    <w:name w:val="标题 5 Char"/>
    <w:link w:val="7"/>
    <w:qFormat/>
    <w:uiPriority w:val="9"/>
    <w:rPr>
      <w:b/>
      <w:bCs/>
      <w:kern w:val="2"/>
      <w:sz w:val="28"/>
      <w:szCs w:val="28"/>
    </w:rPr>
  </w:style>
  <w:style w:type="character" w:customStyle="1" w:styleId="83">
    <w:name w:val="标题 6 Char"/>
    <w:link w:val="8"/>
    <w:qFormat/>
    <w:uiPriority w:val="0"/>
    <w:rPr>
      <w:rFonts w:ascii="Arial" w:hAnsi="Arial" w:eastAsia="黑体"/>
      <w:b/>
      <w:bCs/>
      <w:kern w:val="2"/>
      <w:sz w:val="24"/>
      <w:szCs w:val="24"/>
    </w:rPr>
  </w:style>
  <w:style w:type="character" w:customStyle="1" w:styleId="84">
    <w:name w:val="标题 7 Char"/>
    <w:link w:val="9"/>
    <w:qFormat/>
    <w:uiPriority w:val="0"/>
    <w:rPr>
      <w:b/>
      <w:bCs/>
      <w:kern w:val="2"/>
      <w:sz w:val="24"/>
      <w:szCs w:val="24"/>
    </w:rPr>
  </w:style>
  <w:style w:type="character" w:customStyle="1" w:styleId="85">
    <w:name w:val="标题 8 Char"/>
    <w:link w:val="10"/>
    <w:qFormat/>
    <w:uiPriority w:val="0"/>
    <w:rPr>
      <w:rFonts w:ascii="Arial" w:hAnsi="Arial" w:eastAsia="黑体"/>
      <w:kern w:val="2"/>
      <w:sz w:val="24"/>
      <w:szCs w:val="24"/>
    </w:rPr>
  </w:style>
  <w:style w:type="character" w:customStyle="1" w:styleId="86">
    <w:name w:val="标题 9 Char"/>
    <w:link w:val="11"/>
    <w:qFormat/>
    <w:uiPriority w:val="0"/>
    <w:rPr>
      <w:rFonts w:ascii="Arial" w:hAnsi="Arial" w:eastAsia="黑体"/>
      <w:kern w:val="2"/>
      <w:sz w:val="21"/>
      <w:szCs w:val="21"/>
    </w:rPr>
  </w:style>
  <w:style w:type="character" w:customStyle="1" w:styleId="87">
    <w:name w:val="题注 Char"/>
    <w:link w:val="16"/>
    <w:qFormat/>
    <w:uiPriority w:val="0"/>
    <w:rPr>
      <w:b/>
      <w:kern w:val="2"/>
      <w:sz w:val="28"/>
    </w:rPr>
  </w:style>
  <w:style w:type="character" w:customStyle="1" w:styleId="88">
    <w:name w:val="文档结构图 Char1"/>
    <w:link w:val="18"/>
    <w:qFormat/>
    <w:uiPriority w:val="0"/>
    <w:rPr>
      <w:kern w:val="2"/>
      <w:sz w:val="21"/>
      <w:szCs w:val="24"/>
      <w:shd w:val="clear" w:color="auto" w:fill="000080"/>
    </w:rPr>
  </w:style>
  <w:style w:type="character" w:customStyle="1" w:styleId="89">
    <w:name w:val="批注文字 Char1"/>
    <w:link w:val="19"/>
    <w:qFormat/>
    <w:uiPriority w:val="0"/>
    <w:rPr>
      <w:kern w:val="2"/>
      <w:sz w:val="21"/>
      <w:szCs w:val="24"/>
    </w:rPr>
  </w:style>
  <w:style w:type="character" w:customStyle="1" w:styleId="90">
    <w:name w:val="称呼 Char"/>
    <w:link w:val="20"/>
    <w:qFormat/>
    <w:uiPriority w:val="0"/>
    <w:rPr>
      <w:rFonts w:ascii="仿宋_GB2312" w:eastAsia="仿宋_GB2312"/>
      <w:kern w:val="2"/>
      <w:sz w:val="28"/>
    </w:rPr>
  </w:style>
  <w:style w:type="character" w:customStyle="1" w:styleId="91">
    <w:name w:val="正文文本 3 Char"/>
    <w:link w:val="21"/>
    <w:qFormat/>
    <w:uiPriority w:val="0"/>
    <w:rPr>
      <w:kern w:val="2"/>
      <w:sz w:val="21"/>
    </w:rPr>
  </w:style>
  <w:style w:type="character" w:customStyle="1" w:styleId="9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
    <w:name w:val="正文文本缩进 Char3"/>
    <w:link w:val="24"/>
    <w:qFormat/>
    <w:uiPriority w:val="0"/>
    <w:rPr>
      <w:rFonts w:ascii="宋体" w:hAnsi="宋体"/>
      <w:kern w:val="2"/>
      <w:sz w:val="24"/>
      <w:szCs w:val="24"/>
    </w:rPr>
  </w:style>
  <w:style w:type="character" w:customStyle="1" w:styleId="94">
    <w:name w:val="HTML 地址 Char"/>
    <w:link w:val="29"/>
    <w:qFormat/>
    <w:uiPriority w:val="0"/>
    <w:rPr>
      <w:rFonts w:ascii="宋体" w:hAnsi="宋体"/>
      <w:i/>
      <w:iCs/>
      <w:sz w:val="24"/>
      <w:szCs w:val="24"/>
    </w:rPr>
  </w:style>
  <w:style w:type="character" w:customStyle="1" w:styleId="9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6">
    <w:name w:val="日期 Char"/>
    <w:link w:val="35"/>
    <w:qFormat/>
    <w:uiPriority w:val="0"/>
    <w:rPr>
      <w:rFonts w:ascii="宋体"/>
      <w:kern w:val="2"/>
      <w:sz w:val="24"/>
      <w:szCs w:val="21"/>
      <w:lang w:val="zh-CN"/>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locked/>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character" w:customStyle="1" w:styleId="112">
    <w:name w:val="表格非标题文字 Char"/>
    <w:link w:val="113"/>
    <w:qFormat/>
    <w:uiPriority w:val="0"/>
    <w:rPr>
      <w:rFonts w:ascii="Futura Bk" w:hAnsi="Futura Bk"/>
      <w:kern w:val="2"/>
      <w:sz w:val="18"/>
      <w:szCs w:val="21"/>
      <w:lang w:val="en-US" w:eastAsia="zh-CN" w:bidi="ar-SA"/>
    </w:rPr>
  </w:style>
  <w:style w:type="paragraph" w:customStyle="1" w:styleId="113">
    <w:name w:val="表格非标题文字"/>
    <w:link w:val="112"/>
    <w:qFormat/>
    <w:uiPriority w:val="0"/>
    <w:pPr>
      <w:snapToGrid w:val="0"/>
      <w:spacing w:before="80" w:after="40"/>
    </w:pPr>
    <w:rPr>
      <w:rFonts w:ascii="Futura Bk" w:hAnsi="Futura Bk"/>
      <w:kern w:val="2"/>
      <w:sz w:val="18"/>
      <w:szCs w:val="21"/>
      <w:lang w:val="en-US" w:eastAsia="zh-CN" w:bidi="ar-SA"/>
    </w:rPr>
  </w:style>
  <w:style w:type="character" w:customStyle="1" w:styleId="114">
    <w:name w:val="*正文 Char"/>
    <w:link w:val="115"/>
    <w:qFormat/>
    <w:locked/>
    <w:uiPriority w:val="0"/>
    <w:rPr>
      <w:rFonts w:ascii="宋体" w:hAnsi="宋体"/>
      <w:sz w:val="24"/>
    </w:rPr>
  </w:style>
  <w:style w:type="paragraph" w:customStyle="1" w:styleId="115">
    <w:name w:val="*正文"/>
    <w:basedOn w:val="1"/>
    <w:link w:val="114"/>
    <w:qFormat/>
    <w:uiPriority w:val="0"/>
    <w:pPr>
      <w:snapToGrid w:val="0"/>
      <w:spacing w:line="360" w:lineRule="auto"/>
      <w:ind w:firstLine="482"/>
      <w:jc w:val="left"/>
    </w:pPr>
    <w:rPr>
      <w:rFonts w:ascii="宋体" w:hAnsi="宋体"/>
      <w:kern w:val="0"/>
      <w:sz w:val="24"/>
      <w:szCs w:val="20"/>
    </w:rPr>
  </w:style>
  <w:style w:type="character" w:customStyle="1" w:styleId="116">
    <w:name w:val="Char Char71"/>
    <w:semiHidden/>
    <w:qFormat/>
    <w:uiPriority w:val="0"/>
    <w:rPr>
      <w:rFonts w:eastAsia="宋体"/>
      <w:kern w:val="2"/>
      <w:sz w:val="21"/>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正文缩进 Char"/>
    <w:qFormat/>
    <w:uiPriority w:val="0"/>
    <w:rPr>
      <w:rFonts w:eastAsia="宋体"/>
      <w:kern w:val="2"/>
      <w:sz w:val="21"/>
      <w:lang w:val="en-US" w:eastAsia="zh-CN"/>
    </w:rPr>
  </w:style>
  <w:style w:type="character" w:customStyle="1" w:styleId="119">
    <w:name w:val="正文首行缩进 Char1"/>
    <w:qFormat/>
    <w:uiPriority w:val="0"/>
    <w:rPr>
      <w:rFonts w:ascii="宋体" w:hAnsi="Times New Roman" w:eastAsia="宋体" w:cs="Times New Roman"/>
      <w:snapToGrid w:val="0"/>
      <w:kern w:val="2"/>
      <w:sz w:val="24"/>
      <w:szCs w:val="21"/>
      <w:lang w:val="zh-CN"/>
    </w:rPr>
  </w:style>
  <w:style w:type="character" w:customStyle="1" w:styleId="120">
    <w:name w:val="Char Char28"/>
    <w:qFormat/>
    <w:uiPriority w:val="6"/>
    <w:rPr>
      <w:rFonts w:ascii="仿宋_GB2312" w:hAnsi="仿宋_GB2312" w:eastAsia="仿宋_GB2312"/>
      <w:kern w:val="1"/>
      <w:sz w:val="28"/>
    </w:rPr>
  </w:style>
  <w:style w:type="character" w:customStyle="1" w:styleId="1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qFormat/>
    <w:uiPriority w:val="6"/>
    <w:rPr>
      <w:rFonts w:ascii="Times New Roman" w:hAnsi="Times New Roman" w:eastAsia="黑体" w:cs="Times New Roman"/>
      <w:b/>
      <w:kern w:val="0"/>
      <w:sz w:val="24"/>
      <w:szCs w:val="24"/>
    </w:rPr>
  </w:style>
  <w:style w:type="character" w:customStyle="1" w:styleId="123">
    <w:name w:val="U_正文 Char"/>
    <w:link w:val="124"/>
    <w:qFormat/>
    <w:uiPriority w:val="0"/>
    <w:rPr>
      <w:sz w:val="24"/>
      <w:szCs w:val="24"/>
    </w:rPr>
  </w:style>
  <w:style w:type="paragraph" w:customStyle="1" w:styleId="124">
    <w:name w:val="U_正文"/>
    <w:basedOn w:val="1"/>
    <w:link w:val="123"/>
    <w:qFormat/>
    <w:uiPriority w:val="0"/>
    <w:pPr>
      <w:adjustRightInd/>
      <w:spacing w:beforeLines="20" w:afterLines="20" w:line="300" w:lineRule="auto"/>
      <w:ind w:firstLine="200" w:firstLineChars="200"/>
    </w:pPr>
    <w:rPr>
      <w:kern w:val="0"/>
      <w:sz w:val="24"/>
    </w:rPr>
  </w:style>
  <w:style w:type="character" w:customStyle="1" w:styleId="125">
    <w:name w:val="HTML 地址 Char1"/>
    <w:qFormat/>
    <w:uiPriority w:val="0"/>
    <w:rPr>
      <w:rFonts w:ascii="Times New Roman" w:hAnsi="Times New Roman" w:eastAsia="宋体" w:cs="Times New Roman"/>
      <w:i/>
      <w:iCs/>
      <w:szCs w:val="24"/>
    </w:rPr>
  </w:style>
  <w:style w:type="character" w:customStyle="1" w:styleId="126">
    <w:name w:val="Char Char51"/>
    <w:qFormat/>
    <w:uiPriority w:val="0"/>
    <w:rPr>
      <w:rFonts w:ascii="宋体" w:hAnsi="Courier New" w:eastAsia="宋体"/>
      <w:kern w:val="2"/>
      <w:sz w:val="21"/>
      <w:lang w:val="en-US" w:eastAsia="zh-CN"/>
    </w:rPr>
  </w:style>
  <w:style w:type="character" w:customStyle="1" w:styleId="127">
    <w:name w:val="表正文 Char"/>
    <w:qFormat/>
    <w:uiPriority w:val="0"/>
    <w:rPr>
      <w:rFonts w:ascii="宋体" w:eastAsia="宋体"/>
      <w:snapToGrid w:val="0"/>
      <w:color w:val="000000"/>
      <w:kern w:val="28"/>
      <w:sz w:val="28"/>
      <w:lang w:val="en-US" w:eastAsia="zh-CN" w:bidi="ar-SA"/>
    </w:rPr>
  </w:style>
  <w:style w:type="character" w:customStyle="1" w:styleId="128">
    <w:name w:val="Char Char34"/>
    <w:qFormat/>
    <w:uiPriority w:val="6"/>
    <w:rPr>
      <w:b/>
      <w:kern w:val="1"/>
      <w:sz w:val="28"/>
      <w:szCs w:val="28"/>
    </w:rPr>
  </w:style>
  <w:style w:type="character" w:customStyle="1" w:styleId="12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0">
    <w:name w:val="哈哈正文 Char"/>
    <w:link w:val="131"/>
    <w:qFormat/>
    <w:uiPriority w:val="0"/>
    <w:rPr>
      <w:rFonts w:ascii="宋体" w:hAnsi="宋体" w:eastAsia="宋体"/>
      <w:kern w:val="2"/>
      <w:sz w:val="24"/>
      <w:lang w:bidi="ar-SA"/>
    </w:rPr>
  </w:style>
  <w:style w:type="paragraph" w:customStyle="1" w:styleId="131">
    <w:name w:val="哈哈正文"/>
    <w:basedOn w:val="1"/>
    <w:link w:val="130"/>
    <w:qFormat/>
    <w:uiPriority w:val="0"/>
    <w:pPr>
      <w:adjustRightInd/>
      <w:spacing w:line="360" w:lineRule="auto"/>
      <w:ind w:firstLine="200" w:firstLineChars="200"/>
    </w:pPr>
    <w:rPr>
      <w:rFonts w:ascii="宋体" w:hAnsi="宋体"/>
      <w:sz w:val="24"/>
      <w:szCs w:val="20"/>
    </w:rPr>
  </w:style>
  <w:style w:type="character" w:customStyle="1" w:styleId="132">
    <w:name w:val="未处理的提及1"/>
    <w:qFormat/>
    <w:uiPriority w:val="0"/>
    <w:rPr>
      <w:color w:val="808080"/>
      <w:shd w:val="clear" w:color="auto" w:fill="E6E6E6"/>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Char Char32"/>
    <w:qFormat/>
    <w:uiPriority w:val="6"/>
    <w:rPr>
      <w:b/>
      <w:kern w:val="1"/>
      <w:sz w:val="24"/>
      <w:szCs w:val="24"/>
    </w:rPr>
  </w:style>
  <w:style w:type="character" w:customStyle="1" w:styleId="136">
    <w:name w:val="PI Char1"/>
    <w:qFormat/>
    <w:uiPriority w:val="0"/>
    <w:rPr>
      <w:rFonts w:ascii="宋体" w:hAnsi="宋体"/>
      <w:kern w:val="2"/>
      <w:sz w:val="24"/>
      <w:szCs w:val="24"/>
    </w:rPr>
  </w:style>
  <w:style w:type="character" w:customStyle="1" w:styleId="137">
    <w:name w:val="tw4winTerm"/>
    <w:qFormat/>
    <w:uiPriority w:val="0"/>
    <w:rPr>
      <w:color w:val="0000FF"/>
    </w:rPr>
  </w:style>
  <w:style w:type="character" w:customStyle="1" w:styleId="138">
    <w:name w:val="Footer Char"/>
    <w:qFormat/>
    <w:locked/>
    <w:uiPriority w:val="0"/>
    <w:rPr>
      <w:rFonts w:eastAsia="宋体"/>
      <w:kern w:val="2"/>
      <w:sz w:val="18"/>
      <w:lang w:val="en-US" w:eastAsia="zh-CN" w:bidi="ar-SA"/>
    </w:rPr>
  </w:style>
  <w:style w:type="character" w:customStyle="1" w:styleId="139">
    <w:name w:val="普通文字 Char Char1"/>
    <w:qFormat/>
    <w:uiPriority w:val="0"/>
    <w:rPr>
      <w:rFonts w:ascii="宋体" w:hAnsi="Courier New"/>
      <w:kern w:val="2"/>
      <w:sz w:val="21"/>
    </w:rPr>
  </w:style>
  <w:style w:type="character" w:customStyle="1" w:styleId="140">
    <w:name w:val="Char Char101"/>
    <w:qFormat/>
    <w:uiPriority w:val="6"/>
    <w:rPr>
      <w:rFonts w:ascii="宋体" w:hAnsi="宋体"/>
      <w:kern w:val="2"/>
      <w:sz w:val="21"/>
      <w:szCs w:val="24"/>
      <w:lang w:val="en-US" w:eastAsia="zh-CN"/>
    </w:rPr>
  </w:style>
  <w:style w:type="character" w:customStyle="1" w:styleId="141">
    <w:name w:val="标题 4 Char"/>
    <w:qFormat/>
    <w:uiPriority w:val="0"/>
    <w:rPr>
      <w:rFonts w:ascii="Arial" w:hAnsi="Arial" w:eastAsia="黑体"/>
      <w:b/>
      <w:kern w:val="2"/>
      <w:sz w:val="28"/>
    </w:rPr>
  </w:style>
  <w:style w:type="character" w:customStyle="1" w:styleId="142">
    <w:name w:val="链接"/>
    <w:qFormat/>
    <w:uiPriority w:val="0"/>
    <w:rPr>
      <w:color w:val="0000FF"/>
      <w:sz w:val="21"/>
      <w:szCs w:val="21"/>
      <w:u w:val="single"/>
    </w:rPr>
  </w:style>
  <w:style w:type="character" w:customStyle="1" w:styleId="143">
    <w:name w:val="h4 Char"/>
    <w:qFormat/>
    <w:uiPriority w:val="0"/>
    <w:rPr>
      <w:rFonts w:ascii="Arial" w:hAnsi="Arial" w:eastAsia="黑体"/>
      <w:b/>
      <w:bCs/>
      <w:kern w:val="2"/>
      <w:sz w:val="28"/>
      <w:szCs w:val="28"/>
      <w:lang w:val="zh-CN" w:eastAsia="zh-CN" w:bidi="ar-SA"/>
    </w:rPr>
  </w:style>
  <w:style w:type="character" w:customStyle="1" w:styleId="144">
    <w:name w:val="5正文 Char"/>
    <w:link w:val="145"/>
    <w:qFormat/>
    <w:uiPriority w:val="0"/>
    <w:rPr>
      <w:rFonts w:ascii="仿宋_GB2312" w:hAnsi="微软雅黑" w:eastAsia="仿宋_GB2312"/>
      <w:sz w:val="28"/>
      <w:szCs w:val="21"/>
    </w:rPr>
  </w:style>
  <w:style w:type="paragraph" w:customStyle="1" w:styleId="145">
    <w:name w:val="5正文"/>
    <w:basedOn w:val="1"/>
    <w:link w:val="14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6">
    <w:name w:val="标题 3 字符"/>
    <w:qFormat/>
    <w:uiPriority w:val="9"/>
    <w:rPr>
      <w:b/>
      <w:bCs/>
      <w:kern w:val="2"/>
      <w:sz w:val="32"/>
      <w:szCs w:val="32"/>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val="0"/>
      <w:color w:val="000000"/>
      <w:kern w:val="28"/>
      <w:sz w:val="28"/>
    </w:rPr>
  </w:style>
  <w:style w:type="character" w:customStyle="1" w:styleId="152">
    <w:name w:val="blue1"/>
    <w:basedOn w:val="69"/>
    <w:qFormat/>
    <w:uiPriority w:val="0"/>
    <w:rPr>
      <w:rFonts w:ascii="Arial" w:hAnsi="Arial" w:eastAsia="黑体" w:cs="Arial"/>
      <w:snapToGrid w:val="0"/>
      <w:kern w:val="0"/>
      <w:szCs w:val="21"/>
    </w:rPr>
  </w:style>
  <w:style w:type="character" w:customStyle="1" w:styleId="153">
    <w:name w:val="标书1 Char"/>
    <w:qFormat/>
    <w:uiPriority w:val="0"/>
    <w:rPr>
      <w:rFonts w:eastAsia="宋体"/>
      <w:b/>
      <w:bCs/>
      <w:kern w:val="44"/>
      <w:sz w:val="44"/>
      <w:szCs w:val="44"/>
      <w:lang w:val="en-US" w:eastAsia="zh-CN" w:bidi="ar-SA"/>
    </w:rPr>
  </w:style>
  <w:style w:type="character" w:customStyle="1" w:styleId="154">
    <w:name w:val="样式5 Char"/>
    <w:qFormat/>
    <w:uiPriority w:val="0"/>
    <w:rPr>
      <w:rFonts w:ascii="仿宋_GB2312" w:hAnsi="仿宋" w:eastAsia="仿宋_GB2312"/>
      <w:kern w:val="2"/>
      <w:sz w:val="24"/>
      <w:szCs w:val="24"/>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插图说明 Char"/>
    <w:qFormat/>
    <w:uiPriority w:val="0"/>
    <w:rPr>
      <w:rFonts w:eastAsia="黑体"/>
      <w:sz w:val="24"/>
      <w:lang w:val="en-US" w:eastAsia="zh-CN"/>
    </w:rPr>
  </w:style>
  <w:style w:type="character" w:customStyle="1" w:styleId="157">
    <w:name w:val="正文2 Char Char"/>
    <w:link w:val="158"/>
    <w:qFormat/>
    <w:uiPriority w:val="0"/>
    <w:rPr>
      <w:rFonts w:eastAsia="宋体"/>
      <w:kern w:val="2"/>
      <w:sz w:val="24"/>
      <w:lang w:val="en-US" w:eastAsia="zh-CN" w:bidi="ar-SA"/>
    </w:rPr>
  </w:style>
  <w:style w:type="paragraph" w:customStyle="1" w:styleId="158">
    <w:name w:val="正文2"/>
    <w:basedOn w:val="1"/>
    <w:link w:val="157"/>
    <w:qFormat/>
    <w:uiPriority w:val="0"/>
    <w:pPr>
      <w:spacing w:before="156" w:line="360" w:lineRule="auto"/>
      <w:ind w:firstLine="510" w:firstLineChars="200"/>
    </w:pPr>
    <w:rPr>
      <w:sz w:val="24"/>
      <w:szCs w:val="20"/>
    </w:rPr>
  </w:style>
  <w:style w:type="character" w:customStyle="1" w:styleId="159">
    <w:name w:val="Char Char24"/>
    <w:qFormat/>
    <w:uiPriority w:val="6"/>
    <w:rPr>
      <w:kern w:val="1"/>
      <w:sz w:val="21"/>
    </w:rPr>
  </w:style>
  <w:style w:type="character" w:customStyle="1" w:styleId="160">
    <w:name w:val="普通文字 Char1 Char"/>
    <w:qFormat/>
    <w:uiPriority w:val="0"/>
    <w:rPr>
      <w:rFonts w:ascii="宋体" w:hAnsi="Courier New" w:eastAsia="宋体"/>
      <w:kern w:val="2"/>
      <w:sz w:val="21"/>
      <w:szCs w:val="24"/>
      <w:lang w:val="en-US" w:eastAsia="zh-CN" w:bidi="ar-SA"/>
    </w:rPr>
  </w:style>
  <w:style w:type="character" w:customStyle="1" w:styleId="161">
    <w:name w:val="h3 Char1"/>
    <w:qFormat/>
    <w:uiPriority w:val="0"/>
    <w:rPr>
      <w:rFonts w:eastAsia="宋体"/>
      <w:b/>
      <w:bCs/>
      <w:kern w:val="2"/>
      <w:sz w:val="32"/>
      <w:szCs w:val="32"/>
      <w:lang w:bidi="ar-SA"/>
    </w:rPr>
  </w:style>
  <w:style w:type="character" w:customStyle="1" w:styleId="162">
    <w:name w:val="标题 Char1"/>
    <w:qFormat/>
    <w:uiPriority w:val="0"/>
    <w:rPr>
      <w:rFonts w:ascii="Cambria" w:hAnsi="Cambria" w:eastAsia="宋体" w:cs="Times New Roman"/>
      <w:b/>
      <w:bCs/>
      <w:sz w:val="32"/>
      <w:szCs w:val="32"/>
      <w:lang w:bidi="ar-SA"/>
    </w:rPr>
  </w:style>
  <w:style w:type="character" w:customStyle="1" w:styleId="163">
    <w:name w:val="gf正文1 Char"/>
    <w:qFormat/>
    <w:uiPriority w:val="0"/>
    <w:rPr>
      <w:rFonts w:ascii="宋体" w:hAnsi="宋体" w:eastAsia="宋体" w:cs="宋体"/>
      <w:kern w:val="2"/>
      <w:sz w:val="24"/>
      <w:szCs w:val="24"/>
      <w:lang w:val="en-US" w:eastAsia="zh-CN" w:bidi="ar-SA"/>
    </w:rPr>
  </w:style>
  <w:style w:type="character" w:customStyle="1" w:styleId="164">
    <w:name w:val="正文文本缩进 Char1"/>
    <w:qFormat/>
    <w:uiPriority w:val="0"/>
    <w:rPr>
      <w:rFonts w:ascii="Calibri" w:hAnsi="Calibri"/>
      <w:sz w:val="28"/>
    </w:rPr>
  </w:style>
  <w:style w:type="character" w:customStyle="1" w:styleId="165">
    <w:name w:val="No Spacing Char"/>
    <w:link w:val="166"/>
    <w:qFormat/>
    <w:uiPriority w:val="1"/>
    <w:rPr>
      <w:sz w:val="22"/>
      <w:szCs w:val="22"/>
      <w:lang w:val="en-US" w:eastAsia="zh-CN" w:bidi="ar-SA"/>
    </w:rPr>
  </w:style>
  <w:style w:type="paragraph" w:customStyle="1" w:styleId="166">
    <w:name w:val="无间隔1"/>
    <w:link w:val="165"/>
    <w:qFormat/>
    <w:uiPriority w:val="1"/>
    <w:rPr>
      <w:sz w:val="22"/>
      <w:szCs w:val="22"/>
      <w:lang w:val="en-US" w:eastAsia="zh-CN"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font12gray1"/>
    <w:qFormat/>
    <w:uiPriority w:val="0"/>
    <w:rPr>
      <w:rFonts w:ascii="仿宋_GB2312" w:eastAsia="微软雅黑"/>
      <w:b/>
      <w:spacing w:val="300"/>
      <w:kern w:val="2"/>
      <w:sz w:val="18"/>
      <w:szCs w:val="18"/>
      <w:lang w:val="en-US" w:eastAsia="zh-CN" w:bidi="ar-SA"/>
    </w:rPr>
  </w:style>
  <w:style w:type="character" w:customStyle="1" w:styleId="169">
    <w:name w:val="Char Char7"/>
    <w:semiHidden/>
    <w:qFormat/>
    <w:uiPriority w:val="0"/>
    <w:rPr>
      <w:rFonts w:eastAsia="宋体"/>
      <w:kern w:val="2"/>
      <w:sz w:val="21"/>
      <w:szCs w:val="24"/>
      <w:lang w:val="en-US" w:eastAsia="zh-CN" w:bidi="ar-SA"/>
    </w:rPr>
  </w:style>
  <w:style w:type="character" w:customStyle="1" w:styleId="170">
    <w:name w:val="表名 Char"/>
    <w:qFormat/>
    <w:uiPriority w:val="0"/>
    <w:rPr>
      <w:rFonts w:eastAsia="宋体"/>
      <w:b/>
      <w:bCs/>
      <w:kern w:val="2"/>
      <w:sz w:val="24"/>
      <w:szCs w:val="24"/>
      <w:lang w:val="en-US" w:eastAsia="zh-CN" w:bidi="ar-SA"/>
    </w:rPr>
  </w:style>
  <w:style w:type="character" w:customStyle="1" w:styleId="171">
    <w:name w:val="Document Map Char"/>
    <w:qFormat/>
    <w:locked/>
    <w:uiPriority w:val="0"/>
    <w:rPr>
      <w:rFonts w:eastAsia="宋体"/>
      <w:kern w:val="2"/>
      <w:sz w:val="21"/>
      <w:szCs w:val="24"/>
      <w:lang w:val="en-US" w:eastAsia="zh-CN" w:bidi="ar-SA"/>
    </w:rPr>
  </w:style>
  <w:style w:type="character" w:customStyle="1" w:styleId="172">
    <w:name w:val="font41"/>
    <w:qFormat/>
    <w:uiPriority w:val="0"/>
    <w:rPr>
      <w:rFonts w:hint="eastAsia" w:ascii="仿宋_GB2312" w:eastAsia="仿宋_GB2312" w:cs="仿宋_GB2312"/>
      <w:color w:val="000000"/>
      <w:sz w:val="22"/>
      <w:szCs w:val="22"/>
      <w:u w:val="none"/>
    </w:rPr>
  </w:style>
  <w:style w:type="character" w:customStyle="1" w:styleId="173">
    <w:name w:val="纯文本 Char_0"/>
    <w:link w:val="174"/>
    <w:qFormat/>
    <w:uiPriority w:val="0"/>
    <w:rPr>
      <w:rFonts w:ascii="宋体" w:hAnsi="Courier New"/>
      <w:kern w:val="2"/>
      <w:sz w:val="21"/>
      <w:szCs w:val="21"/>
      <w:lang w:val="en-US" w:eastAsia="zh-CN"/>
    </w:rPr>
  </w:style>
  <w:style w:type="paragraph" w:customStyle="1" w:styleId="174">
    <w:name w:val="纯文本_0_0"/>
    <w:basedOn w:val="175"/>
    <w:link w:val="173"/>
    <w:qFormat/>
    <w:uiPriority w:val="0"/>
    <w:rPr>
      <w:rFonts w:ascii="宋体" w:hAnsi="Courier New"/>
      <w:szCs w:val="21"/>
    </w:rPr>
  </w:style>
  <w:style w:type="paragraph" w:customStyle="1" w:styleId="175">
    <w:name w:val="正文_1_0"/>
    <w:qFormat/>
    <w:uiPriority w:val="0"/>
    <w:pPr>
      <w:widowControl w:val="0"/>
      <w:jc w:val="both"/>
    </w:pPr>
    <w:rPr>
      <w:kern w:val="2"/>
      <w:sz w:val="21"/>
      <w:szCs w:val="24"/>
      <w:lang w:val="en-US" w:eastAsia="zh-CN" w:bidi="ar-SA"/>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正文 项目2 Char"/>
    <w:basedOn w:val="178"/>
    <w:qFormat/>
    <w:uiPriority w:val="0"/>
    <w:rPr>
      <w:rFonts w:ascii="仿宋_GB2312" w:hAnsi="仿宋_GB2312" w:eastAsia="仿宋_GB2312"/>
      <w:kern w:val="2"/>
      <w:sz w:val="24"/>
      <w:lang w:bidi="ar-SA"/>
    </w:rPr>
  </w:style>
  <w:style w:type="character" w:customStyle="1" w:styleId="178">
    <w:name w:val="正文 项目 Char"/>
    <w:qFormat/>
    <w:uiPriority w:val="0"/>
    <w:rPr>
      <w:rFonts w:ascii="仿宋_GB2312" w:hAnsi="仿宋_GB2312" w:eastAsia="仿宋_GB2312"/>
      <w:kern w:val="2"/>
      <w:sz w:val="24"/>
      <w:lang w:bidi="ar-SA"/>
    </w:rPr>
  </w:style>
  <w:style w:type="character" w:customStyle="1" w:styleId="179">
    <w:name w:val="h Char Char1"/>
    <w:qFormat/>
    <w:uiPriority w:val="0"/>
    <w:rPr>
      <w:rFonts w:eastAsia="宋体"/>
      <w:kern w:val="2"/>
      <w:sz w:val="18"/>
      <w:szCs w:val="18"/>
      <w:lang w:val="en-US" w:eastAsia="zh-CN" w:bidi="ar-SA"/>
    </w:rPr>
  </w:style>
  <w:style w:type="character" w:customStyle="1" w:styleId="180">
    <w:name w:val="Char Char27"/>
    <w:qFormat/>
    <w:uiPriority w:val="6"/>
    <w:rPr>
      <w:rFonts w:ascii="宋体" w:hAnsi="宋体" w:eastAsia="宋体"/>
      <w:color w:val="000000"/>
      <w:kern w:val="1"/>
      <w:sz w:val="28"/>
      <w:lang w:val="en-US" w:eastAsia="zh-CN" w:bidi="ar-SA"/>
    </w:rPr>
  </w:style>
  <w:style w:type="character" w:customStyle="1" w:styleId="181">
    <w:name w:val="px14"/>
    <w:qFormat/>
    <w:uiPriority w:val="0"/>
    <w:rPr>
      <w:rFonts w:ascii="仿宋_GB2312" w:eastAsia="微软雅黑" w:cs="Times New Roman"/>
      <w:b/>
      <w:kern w:val="2"/>
      <w:sz w:val="32"/>
      <w:szCs w:val="32"/>
      <w:lang w:val="en-US" w:eastAsia="zh-CN" w:bidi="ar-SA"/>
    </w:rPr>
  </w:style>
  <w:style w:type="character" w:customStyle="1" w:styleId="182">
    <w:name w:val="HTML 预设格式 Char1"/>
    <w:qFormat/>
    <w:uiPriority w:val="0"/>
    <w:rPr>
      <w:rFonts w:ascii="Courier New" w:hAnsi="Courier New" w:eastAsia="宋体" w:cs="Courier New"/>
      <w:sz w:val="20"/>
      <w:szCs w:val="20"/>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hei16b1"/>
    <w:qFormat/>
    <w:uiPriority w:val="0"/>
    <w:rPr>
      <w:rFonts w:hint="default" w:ascii="Arial" w:hAnsi="Arial" w:cs="Arial"/>
      <w:b/>
      <w:bCs/>
      <w:color w:val="000000"/>
      <w:sz w:val="24"/>
      <w:szCs w:val="24"/>
    </w:rPr>
  </w:style>
  <w:style w:type="character" w:customStyle="1" w:styleId="185">
    <w:name w:val="正文（绿盟科技） Char"/>
    <w:link w:val="186"/>
    <w:qFormat/>
    <w:uiPriority w:val="0"/>
    <w:rPr>
      <w:rFonts w:ascii="Arial" w:hAnsi="Arial"/>
      <w:sz w:val="21"/>
      <w:szCs w:val="21"/>
      <w:lang w:val="en-US" w:eastAsia="zh-CN" w:bidi="ar-SA"/>
    </w:rPr>
  </w:style>
  <w:style w:type="paragraph" w:customStyle="1" w:styleId="186">
    <w:name w:val="正文（绿盟科技）"/>
    <w:link w:val="185"/>
    <w:qFormat/>
    <w:uiPriority w:val="0"/>
    <w:pPr>
      <w:spacing w:line="300" w:lineRule="auto"/>
    </w:pPr>
    <w:rPr>
      <w:rFonts w:ascii="Arial" w:hAnsi="Arial"/>
      <w:sz w:val="21"/>
      <w:szCs w:val="21"/>
      <w:lang w:val="en-US" w:eastAsia="zh-CN" w:bidi="ar-SA"/>
    </w:rPr>
  </w:style>
  <w:style w:type="character" w:customStyle="1" w:styleId="187">
    <w:name w:val="Char Char19"/>
    <w:qFormat/>
    <w:uiPriority w:val="6"/>
    <w:rPr>
      <w:rFonts w:ascii="宋体" w:hAnsi="宋体"/>
      <w:i/>
      <w:sz w:val="24"/>
      <w:szCs w:val="24"/>
    </w:rPr>
  </w:style>
  <w:style w:type="character" w:customStyle="1" w:styleId="188">
    <w:name w:val="页脚 Char"/>
    <w:qFormat/>
    <w:uiPriority w:val="0"/>
    <w:rPr>
      <w:rFonts w:eastAsia="仿宋_GB2312"/>
      <w:kern w:val="2"/>
      <w:sz w:val="18"/>
      <w:lang w:val="en-US" w:eastAsia="zh-CN"/>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Comment Text Char"/>
    <w:qFormat/>
    <w:locked/>
    <w:uiPriority w:val="0"/>
    <w:rPr>
      <w:rFonts w:ascii="宋体" w:hAnsi="宋体" w:eastAsia="宋体"/>
      <w:kern w:val="2"/>
      <w:sz w:val="24"/>
      <w:lang w:val="en-US" w:eastAsia="zh-CN" w:bidi="ar-SA"/>
    </w:rPr>
  </w:style>
  <w:style w:type="character" w:customStyle="1" w:styleId="191">
    <w:name w:val="标题 2 字符"/>
    <w:qFormat/>
    <w:uiPriority w:val="1"/>
    <w:rPr>
      <w:rFonts w:ascii="仿宋_GB2312" w:hAnsi="Times New Roman" w:eastAsia="仿宋_GB2312" w:cs="Times New Roman"/>
      <w:b/>
      <w:kern w:val="2"/>
      <w:sz w:val="24"/>
      <w:lang w:val="zh-CN"/>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val="0"/>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2"/>
    <w:link w:val="195"/>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adjustRightInd/>
      <w:spacing w:line="360" w:lineRule="auto"/>
      <w:ind w:firstLine="480" w:firstLineChars="200"/>
    </w:pPr>
    <w:rPr>
      <w:rFonts w:ascii="Tahoma" w:hAnsi="Tahoma"/>
      <w:kern w:val="0"/>
      <w:sz w:val="24"/>
    </w:rPr>
  </w:style>
  <w:style w:type="character" w:customStyle="1" w:styleId="215">
    <w:name w:val="Used by Word for text of Help footnotes Char Char1"/>
    <w:qFormat/>
    <w:uiPriority w:val="0"/>
    <w:rPr>
      <w:color w:val="0000FF"/>
      <w:sz w:val="21"/>
    </w:rPr>
  </w:style>
  <w:style w:type="character" w:customStyle="1" w:styleId="216">
    <w:name w:val="页眉 Char"/>
    <w:qFormat/>
    <w:uiPriority w:val="0"/>
    <w:rPr>
      <w:rFonts w:eastAsia="仿宋_GB2312"/>
      <w:kern w:val="2"/>
      <w:sz w:val="18"/>
      <w:lang w:val="en-US" w:eastAsia="zh-CN"/>
    </w:rPr>
  </w:style>
  <w:style w:type="character" w:customStyle="1" w:styleId="217">
    <w:name w:val="FA正文 Char Char"/>
    <w:qFormat/>
    <w:uiPriority w:val="0"/>
    <w:rPr>
      <w:rFonts w:hAnsi="宋体"/>
      <w:kern w:val="2"/>
      <w:sz w:val="24"/>
      <w:lang w:bidi="ar-SA"/>
    </w:rPr>
  </w:style>
  <w:style w:type="character" w:customStyle="1" w:styleId="218">
    <w:name w:val="纯文本 字符"/>
    <w:qFormat/>
    <w:uiPriority w:val="0"/>
    <w:rPr>
      <w:rFonts w:ascii="宋体" w:hAnsi="Courier New" w:eastAsia="宋体" w:cs="Arial"/>
      <w:snapToGrid w:val="0"/>
      <w:kern w:val="2"/>
      <w:sz w:val="21"/>
      <w:szCs w:val="21"/>
      <w:lang w:val="en-US" w:eastAsia="zh-CN" w:bidi="ar-SA"/>
    </w:rPr>
  </w:style>
  <w:style w:type="character" w:customStyle="1" w:styleId="219">
    <w:name w:val="3级 Char"/>
    <w:link w:val="220"/>
    <w:qFormat/>
    <w:uiPriority w:val="0"/>
    <w:rPr>
      <w:rFonts w:ascii="宋体" w:hAnsi="宋体"/>
      <w:b/>
      <w:bCs/>
      <w:snapToGrid/>
      <w:sz w:val="28"/>
    </w:rPr>
  </w:style>
  <w:style w:type="paragraph" w:customStyle="1" w:styleId="220">
    <w:name w:val="3级"/>
    <w:basedOn w:val="221"/>
    <w:link w:val="219"/>
    <w:qFormat/>
    <w:uiPriority w:val="0"/>
    <w:pPr>
      <w:ind w:left="0" w:right="466" w:firstLine="288"/>
    </w:pPr>
    <w:rPr>
      <w:rFonts w:hAnsi="宋体"/>
      <w:snapToGrid/>
    </w:rPr>
  </w:style>
  <w:style w:type="paragraph" w:customStyle="1" w:styleId="22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2">
    <w:name w:val="myp11"/>
    <w:qFormat/>
    <w:uiPriority w:val="0"/>
    <w:rPr>
      <w:rFonts w:ascii="仿宋_GB2312" w:eastAsia="微软雅黑"/>
      <w:b/>
      <w:kern w:val="2"/>
      <w:sz w:val="32"/>
      <w:szCs w:val="32"/>
      <w:lang w:val="en-US" w:eastAsia="zh-CN" w:bidi="ar-SA"/>
    </w:rPr>
  </w:style>
  <w:style w:type="character" w:customStyle="1" w:styleId="223">
    <w:name w:val="H6 Char"/>
    <w:qFormat/>
    <w:uiPriority w:val="0"/>
    <w:rPr>
      <w:rFonts w:ascii="Arial" w:hAnsi="Arial" w:eastAsia="黑体"/>
      <w:b/>
      <w:bCs/>
      <w:kern w:val="2"/>
      <w:sz w:val="24"/>
      <w:szCs w:val="24"/>
    </w:rPr>
  </w:style>
  <w:style w:type="character" w:customStyle="1" w:styleId="224">
    <w:name w:val="Char Char91"/>
    <w:qFormat/>
    <w:uiPriority w:val="0"/>
    <w:rPr>
      <w:rFonts w:eastAsia="宋体"/>
      <w:kern w:val="2"/>
      <w:sz w:val="18"/>
      <w:szCs w:val="18"/>
      <w:lang w:val="en-US" w:eastAsia="zh-CN" w:bidi="ar-SA"/>
    </w:rPr>
  </w:style>
  <w:style w:type="character" w:customStyle="1" w:styleId="225">
    <w:name w:val="副标题 Char1"/>
    <w:qFormat/>
    <w:uiPriority w:val="0"/>
    <w:rPr>
      <w:rFonts w:ascii="Cambria" w:hAnsi="Cambria" w:eastAsia="宋体" w:cs="Times New Roman"/>
      <w:b/>
      <w:bCs/>
      <w:snapToGrid w:val="0"/>
      <w:kern w:val="28"/>
      <w:sz w:val="32"/>
      <w:szCs w:val="32"/>
    </w:rPr>
  </w:style>
  <w:style w:type="character" w:customStyle="1" w:styleId="226">
    <w:name w:val="font61"/>
    <w:qFormat/>
    <w:uiPriority w:val="0"/>
    <w:rPr>
      <w:rFonts w:hint="eastAsia" w:ascii="仿宋" w:hAnsi="仿宋" w:eastAsia="仿宋" w:cs="仿宋"/>
      <w:color w:val="000000"/>
      <w:sz w:val="20"/>
      <w:szCs w:val="20"/>
      <w:u w:val="none"/>
    </w:rPr>
  </w:style>
  <w:style w:type="character" w:customStyle="1" w:styleId="22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标题 2 Char"/>
    <w:qFormat/>
    <w:uiPriority w:val="0"/>
    <w:rPr>
      <w:rFonts w:ascii="Arial" w:hAnsi="Arial" w:eastAsia="黑体"/>
      <w:b/>
      <w:kern w:val="2"/>
      <w:sz w:val="32"/>
      <w:lang w:val="en-US" w:eastAsia="zh-CN"/>
    </w:rPr>
  </w:style>
  <w:style w:type="character" w:customStyle="1" w:styleId="230">
    <w:name w:val="maywed421"/>
    <w:qFormat/>
    <w:uiPriority w:val="0"/>
    <w:rPr>
      <w:color w:val="366FB6"/>
      <w:u w:val="none"/>
    </w:rPr>
  </w:style>
  <w:style w:type="character" w:customStyle="1" w:styleId="231">
    <w:name w:val="正文文本缩进 Char"/>
    <w:qFormat/>
    <w:uiPriority w:val="0"/>
    <w:rPr>
      <w:rFonts w:ascii="宋体" w:hAnsi="宋体"/>
      <w:kern w:val="2"/>
      <w:sz w:val="24"/>
      <w:szCs w:val="24"/>
    </w:rPr>
  </w:style>
  <w:style w:type="character" w:customStyle="1" w:styleId="232">
    <w:name w:val="Char Char102"/>
    <w:semiHidden/>
    <w:qFormat/>
    <w:uiPriority w:val="0"/>
    <w:rPr>
      <w:rFonts w:ascii="宋体" w:hAnsi="宋体"/>
      <w:kern w:val="2"/>
      <w:sz w:val="21"/>
      <w:szCs w:val="24"/>
      <w:lang w:val="en-US" w:eastAsia="zh-CN"/>
    </w:rPr>
  </w:style>
  <w:style w:type="character" w:customStyle="1" w:styleId="233">
    <w:name w:val="页眉 Char1"/>
    <w:qFormat/>
    <w:uiPriority w:val="0"/>
    <w:rPr>
      <w:rFonts w:eastAsia="宋体"/>
      <w:kern w:val="2"/>
      <w:sz w:val="18"/>
      <w:szCs w:val="18"/>
      <w:lang w:val="en-US" w:eastAsia="zh-CN" w:bidi="ar-SA"/>
    </w:rPr>
  </w:style>
  <w:style w:type="character" w:customStyle="1" w:styleId="234">
    <w:name w:val="md"/>
    <w:basedOn w:val="69"/>
    <w:qFormat/>
    <w:uiPriority w:val="0"/>
    <w:rPr>
      <w:rFonts w:ascii="Arial" w:hAnsi="Arial" w:eastAsia="黑体" w:cs="Arial"/>
      <w:snapToGrid w:val="0"/>
      <w:kern w:val="0"/>
      <w:szCs w:val="21"/>
    </w:rPr>
  </w:style>
  <w:style w:type="character" w:customStyle="1" w:styleId="235">
    <w:name w:val="big1"/>
    <w:qFormat/>
    <w:uiPriority w:val="0"/>
    <w:rPr>
      <w:rFonts w:hint="eastAsia" w:ascii="宋体" w:hAnsi="宋体" w:eastAsia="宋体"/>
      <w:color w:val="333333"/>
      <w:sz w:val="22"/>
      <w:szCs w:val="22"/>
    </w:rPr>
  </w:style>
  <w:style w:type="character" w:customStyle="1" w:styleId="236">
    <w:name w:val="Char Char311"/>
    <w:qFormat/>
    <w:uiPriority w:val="0"/>
    <w:rPr>
      <w:rFonts w:eastAsia="宋体"/>
      <w:kern w:val="2"/>
      <w:sz w:val="21"/>
      <w:szCs w:val="24"/>
      <w:lang w:val="en-US" w:eastAsia="zh-CN" w:bidi="ar-SA"/>
    </w:rPr>
  </w:style>
  <w:style w:type="character" w:customStyle="1" w:styleId="237">
    <w:name w:val="Char Char81"/>
    <w:qFormat/>
    <w:uiPriority w:val="6"/>
    <w:rPr>
      <w:rFonts w:eastAsia="宋体"/>
      <w:b/>
      <w:sz w:val="24"/>
      <w:lang w:val="en-GB" w:eastAsia="zh-CN"/>
    </w:rPr>
  </w:style>
  <w:style w:type="character" w:customStyle="1" w:styleId="238">
    <w:name w:val="样式3 Char"/>
    <w:basedOn w:val="194"/>
    <w:qFormat/>
    <w:uiPriority w:val="0"/>
    <w:rPr>
      <w:rFonts w:ascii="仿宋_GB2312" w:hAnsi="仿宋" w:eastAsia="仿宋_GB2312" w:cs="仿宋_GB2312"/>
      <w:sz w:val="32"/>
      <w:szCs w:val="30"/>
      <w:lang w:val="zh-CN"/>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val="0"/>
      <w:kern w:val="28"/>
      <w:sz w:val="32"/>
      <w:szCs w:val="32"/>
    </w:rPr>
  </w:style>
  <w:style w:type="character" w:customStyle="1" w:styleId="241">
    <w:name w:val="标题4-dyf Char"/>
    <w:link w:val="242"/>
    <w:qFormat/>
    <w:uiPriority w:val="0"/>
    <w:rPr>
      <w:rFonts w:ascii="Cambria" w:hAnsi="Cambria"/>
      <w:b/>
      <w:bCs/>
      <w:color w:val="000000"/>
      <w:kern w:val="2"/>
      <w:sz w:val="21"/>
      <w:szCs w:val="21"/>
    </w:rPr>
  </w:style>
  <w:style w:type="paragraph" w:customStyle="1" w:styleId="242">
    <w:name w:val="标题4-dyf"/>
    <w:basedOn w:val="6"/>
    <w:link w:val="2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link w:val="252"/>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4">
    <w:name w:val="style91"/>
    <w:qFormat/>
    <w:uiPriority w:val="0"/>
    <w:rPr>
      <w:color w:val="333333"/>
    </w:rPr>
  </w:style>
  <w:style w:type="character" w:customStyle="1" w:styleId="255">
    <w:name w:val="列出段落 Char2"/>
    <w:qFormat/>
    <w:uiPriority w:val="34"/>
    <w:rPr>
      <w:rFonts w:ascii="Calibri" w:hAnsi="Calibri"/>
      <w:kern w:val="2"/>
      <w:sz w:val="28"/>
    </w:rPr>
  </w:style>
  <w:style w:type="character" w:customStyle="1" w:styleId="256">
    <w:name w:val="mdeck"/>
    <w:qFormat/>
    <w:uiPriority w:val="0"/>
    <w:rPr>
      <w:rFonts w:ascii="仿宋_GB2312" w:eastAsia="微软雅黑"/>
      <w:b/>
      <w:kern w:val="2"/>
      <w:sz w:val="32"/>
      <w:szCs w:val="32"/>
      <w:lang w:val="en-US" w:eastAsia="zh-CN" w:bidi="ar-SA"/>
    </w:rPr>
  </w:style>
  <w:style w:type="character" w:customStyle="1" w:styleId="257">
    <w:name w:val="unnamed11"/>
    <w:qFormat/>
    <w:uiPriority w:val="0"/>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Cs w:val="24"/>
    </w:rPr>
  </w:style>
  <w:style w:type="character" w:customStyle="1" w:styleId="259">
    <w:name w:val="标书正文格式 Char"/>
    <w:qFormat/>
    <w:uiPriority w:val="0"/>
    <w:rPr>
      <w:rFonts w:eastAsia="楷体_GB2312"/>
      <w:kern w:val="2"/>
      <w:sz w:val="24"/>
      <w:szCs w:val="24"/>
      <w:lang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ca-131"/>
    <w:qFormat/>
    <w:uiPriority w:val="0"/>
    <w:rPr>
      <w:rFonts w:hint="eastAsia" w:ascii="仿宋_GB2312" w:eastAsia="仿宋_GB2312"/>
      <w:b/>
      <w:bCs/>
      <w:color w:val="000000"/>
      <w:spacing w:val="-20"/>
      <w:sz w:val="24"/>
      <w:szCs w:val="24"/>
    </w:rPr>
  </w:style>
  <w:style w:type="character" w:customStyle="1" w:styleId="262">
    <w:name w:val="tw4winMark"/>
    <w:qFormat/>
    <w:uiPriority w:val="0"/>
    <w:rPr>
      <w:rFonts w:ascii="Courier New" w:hAnsi="Courier New" w:cs="Courier New"/>
      <w:vanish/>
      <w:color w:val="800080"/>
      <w:sz w:val="24"/>
      <w:szCs w:val="24"/>
      <w:vertAlign w:val="subscript"/>
    </w:rPr>
  </w:style>
  <w:style w:type="character" w:customStyle="1" w:styleId="263">
    <w:name w:val="正文样式 Char"/>
    <w:link w:val="264"/>
    <w:qFormat/>
    <w:uiPriority w:val="0"/>
    <w:rPr>
      <w:rFonts w:ascii="Calibri" w:hAnsi="Calibri"/>
      <w:sz w:val="24"/>
      <w:szCs w:val="24"/>
    </w:rPr>
  </w:style>
  <w:style w:type="paragraph" w:customStyle="1" w:styleId="264">
    <w:name w:val="正文样式"/>
    <w:basedOn w:val="1"/>
    <w:link w:val="263"/>
    <w:qFormat/>
    <w:uiPriority w:val="0"/>
    <w:pPr>
      <w:adjustRightInd/>
      <w:spacing w:line="360" w:lineRule="auto"/>
      <w:ind w:firstLine="480" w:firstLineChars="200"/>
    </w:pPr>
    <w:rPr>
      <w:rFonts w:ascii="Calibri" w:hAnsi="Calibri"/>
      <w:kern w:val="0"/>
      <w:sz w:val="24"/>
    </w:rPr>
  </w:style>
  <w:style w:type="character" w:customStyle="1" w:styleId="265">
    <w:name w:val="表正文 Char3"/>
    <w:qFormat/>
    <w:uiPriority w:val="0"/>
    <w:rPr>
      <w:rFonts w:eastAsia="宋体"/>
    </w:rPr>
  </w:style>
  <w:style w:type="character" w:customStyle="1" w:styleId="266">
    <w:name w:val="H5 Char"/>
    <w:qFormat/>
    <w:uiPriority w:val="0"/>
    <w:rPr>
      <w:b/>
      <w:bCs/>
      <w:kern w:val="2"/>
      <w:sz w:val="28"/>
      <w:szCs w:val="28"/>
    </w:rPr>
  </w:style>
  <w:style w:type="character" w:customStyle="1" w:styleId="267">
    <w:name w:val="Char Char3"/>
    <w:qFormat/>
    <w:uiPriority w:val="0"/>
    <w:rPr>
      <w:rFonts w:eastAsia="宋体"/>
      <w:kern w:val="2"/>
      <w:sz w:val="21"/>
      <w:szCs w:val="24"/>
      <w:lang w:val="en-US" w:eastAsia="zh-CN" w:bidi="ar-SA"/>
    </w:rPr>
  </w:style>
  <w:style w:type="character" w:customStyle="1" w:styleId="268">
    <w:name w:val="正文 编号 Char"/>
    <w:qFormat/>
    <w:uiPriority w:val="0"/>
    <w:rPr>
      <w:rFonts w:ascii="仿宋_GB2312" w:hAnsi="仿宋_GB2312" w:eastAsia="仿宋_GB2312"/>
      <w:kern w:val="2"/>
      <w:sz w:val="24"/>
      <w:lang w:bidi="ar-SA"/>
    </w:rPr>
  </w:style>
  <w:style w:type="character" w:customStyle="1" w:styleId="269">
    <w:name w:val="question-title2"/>
    <w:qFormat/>
    <w:uiPriority w:val="6"/>
    <w:rPr>
      <w:rFonts w:ascii="Arial" w:hAnsi="Arial" w:eastAsia="黑体" w:cs="Arial"/>
      <w:snapToGrid w:val="0"/>
      <w:kern w:val="0"/>
      <w:szCs w:val="21"/>
    </w:rPr>
  </w:style>
  <w:style w:type="character" w:customStyle="1" w:styleId="270">
    <w:name w:val="gf正文1 Char Char"/>
    <w:link w:val="271"/>
    <w:qFormat/>
    <w:uiPriority w:val="0"/>
    <w:rPr>
      <w:rFonts w:ascii="宋体" w:hAnsi="宋体" w:cs="宋体"/>
      <w:kern w:val="2"/>
      <w:sz w:val="24"/>
      <w:szCs w:val="24"/>
    </w:rPr>
  </w:style>
  <w:style w:type="paragraph" w:customStyle="1" w:styleId="271">
    <w:name w:val="gf正文1"/>
    <w:basedOn w:val="1"/>
    <w:link w:val="27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qFormat/>
    <w:uiPriority w:val="6"/>
    <w:rPr>
      <w:rFonts w:ascii="宋体" w:hAnsi="宋体"/>
      <w:kern w:val="1"/>
      <w:sz w:val="21"/>
    </w:rPr>
  </w:style>
  <w:style w:type="character" w:customStyle="1" w:styleId="273">
    <w:name w:val="正文缩进 Char3"/>
    <w:qFormat/>
    <w:uiPriority w:val="0"/>
    <w:rPr>
      <w:rFonts w:ascii="宋体" w:eastAsia="宋体"/>
      <w:snapToGrid w:val="0"/>
      <w:color w:val="000000"/>
      <w:kern w:val="28"/>
      <w:sz w:val="28"/>
      <w:lang w:val="en-US" w:eastAsia="zh-CN" w:bidi="ar-SA"/>
    </w:rPr>
  </w:style>
  <w:style w:type="character" w:customStyle="1" w:styleId="274">
    <w:name w:val="列出段落 Char1"/>
    <w:link w:val="275"/>
    <w:qFormat/>
    <w:uiPriority w:val="0"/>
    <w:rPr>
      <w:rFonts w:ascii="Calibri" w:hAnsi="Calibri"/>
      <w:sz w:val="24"/>
      <w:lang w:eastAsia="en-US"/>
    </w:rPr>
  </w:style>
  <w:style w:type="paragraph" w:customStyle="1" w:styleId="275">
    <w:name w:val="列表1"/>
    <w:basedOn w:val="1"/>
    <w:next w:val="276"/>
    <w:link w:val="274"/>
    <w:qFormat/>
    <w:uiPriority w:val="0"/>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6">
    <w:name w:val="List Paragraph"/>
    <w:basedOn w:val="1"/>
    <w:qFormat/>
    <w:uiPriority w:val="34"/>
    <w:pPr>
      <w:spacing w:line="360" w:lineRule="auto"/>
      <w:ind w:firstLine="200" w:firstLineChars="200"/>
    </w:pPr>
    <w:rPr>
      <w:rFonts w:eastAsia="楷体_GB2312" w:cs="Lucida Sans"/>
      <w:sz w:val="24"/>
    </w:rPr>
  </w:style>
  <w:style w:type="character" w:customStyle="1" w:styleId="277">
    <w:name w:val="Char Char8"/>
    <w:qFormat/>
    <w:uiPriority w:val="0"/>
    <w:rPr>
      <w:rFonts w:eastAsia="宋体"/>
      <w:b/>
      <w:sz w:val="24"/>
      <w:lang w:val="en-GB" w:eastAsia="zh-CN"/>
    </w:rPr>
  </w:style>
  <w:style w:type="character" w:customStyle="1" w:styleId="278">
    <w:name w:val="Normal Indent Char Char"/>
    <w:qFormat/>
    <w:uiPriority w:val="0"/>
    <w:rPr>
      <w:rFonts w:eastAsia="宋体"/>
      <w:kern w:val="2"/>
      <w:sz w:val="21"/>
      <w:lang w:val="en-US" w:eastAsia="zh-CN" w:bidi="ar-SA"/>
    </w:rPr>
  </w:style>
  <w:style w:type="character" w:customStyle="1" w:styleId="279">
    <w:name w:val="列表段落 字符"/>
    <w:qFormat/>
    <w:uiPriority w:val="99"/>
  </w:style>
  <w:style w:type="character" w:customStyle="1" w:styleId="280">
    <w:name w:val="Ò³Ã¼ Char Char1"/>
    <w:qFormat/>
    <w:uiPriority w:val="0"/>
    <w:rPr>
      <w:rFonts w:eastAsia="宋体"/>
      <w:kern w:val="2"/>
      <w:sz w:val="18"/>
      <w:szCs w:val="18"/>
      <w:lang w:val="en-US" w:eastAsia="zh-CN" w:bidi="ar-SA"/>
    </w:rPr>
  </w:style>
  <w:style w:type="character" w:customStyle="1" w:styleId="281">
    <w:name w:val="方案正文 Char"/>
    <w:qFormat/>
    <w:uiPriority w:val="0"/>
    <w:rPr>
      <w:rFonts w:ascii="仿宋_GB2312" w:eastAsia="仿宋_GB2312"/>
      <w:b/>
      <w:color w:val="000000"/>
      <w:kern w:val="2"/>
      <w:sz w:val="24"/>
      <w:lang w:val="en-US" w:eastAsia="zh-CN" w:bidi="ar-SA"/>
    </w:rPr>
  </w:style>
  <w:style w:type="character" w:customStyle="1" w:styleId="282">
    <w:name w:val="Char Char30"/>
    <w:qFormat/>
    <w:uiPriority w:val="6"/>
    <w:rPr>
      <w:rFonts w:ascii="Arial" w:hAnsi="Arial" w:eastAsia="黑体"/>
      <w:kern w:val="1"/>
      <w:sz w:val="21"/>
      <w:szCs w:val="21"/>
    </w:rPr>
  </w:style>
  <w:style w:type="character" w:customStyle="1" w:styleId="283">
    <w:name w:val="font01"/>
    <w:qFormat/>
    <w:uiPriority w:val="0"/>
    <w:rPr>
      <w:rFonts w:hint="eastAsia" w:ascii="微软雅黑" w:hAnsi="微软雅黑" w:eastAsia="微软雅黑" w:cs="微软雅黑"/>
      <w:color w:val="000000"/>
      <w:sz w:val="20"/>
      <w:szCs w:val="20"/>
      <w:u w:val="none"/>
    </w:rPr>
  </w:style>
  <w:style w:type="character" w:customStyle="1" w:styleId="284">
    <w:name w:val="Char Char20"/>
    <w:qFormat/>
    <w:uiPriority w:val="6"/>
    <w:rPr>
      <w:kern w:val="1"/>
      <w:sz w:val="24"/>
    </w:rPr>
  </w:style>
  <w:style w:type="character" w:customStyle="1" w:styleId="285">
    <w:name w:val="tw4winExternal"/>
    <w:qFormat/>
    <w:uiPriority w:val="0"/>
    <w:rPr>
      <w:rFonts w:ascii="Courier New" w:hAnsi="Courier New" w:cs="Courier New"/>
      <w:color w:val="808080"/>
      <w:lang w:val="en-US" w:eastAsia="zh-CN"/>
    </w:rPr>
  </w:style>
  <w:style w:type="character" w:customStyle="1" w:styleId="286">
    <w:name w:val="标题 4 Char1"/>
    <w:qFormat/>
    <w:uiPriority w:val="9"/>
    <w:rPr>
      <w:rFonts w:ascii="Cambria" w:hAnsi="Cambria" w:eastAsia="宋体" w:cs="Times New Roman"/>
      <w:b/>
      <w:bCs/>
      <w:kern w:val="2"/>
      <w:sz w:val="28"/>
      <w:szCs w:val="28"/>
    </w:rPr>
  </w:style>
  <w:style w:type="character" w:customStyle="1" w:styleId="287">
    <w:name w:val="批注文字 Char2"/>
    <w:qFormat/>
    <w:uiPriority w:val="99"/>
    <w:rPr>
      <w:rFonts w:ascii="Times New Roman" w:hAnsi="Times New Roman" w:eastAsia="宋体" w:cs="Times New Roman"/>
      <w:snapToGrid w:val="0"/>
      <w:kern w:val="0"/>
      <w:szCs w:val="24"/>
    </w:rPr>
  </w:style>
  <w:style w:type="character" w:customStyle="1" w:styleId="288">
    <w:name w:val="正文文本 2 Char"/>
    <w:qFormat/>
    <w:uiPriority w:val="0"/>
    <w:rPr>
      <w:rFonts w:eastAsia="宋体"/>
      <w:kern w:val="2"/>
      <w:sz w:val="21"/>
      <w:szCs w:val="24"/>
      <w:lang w:val="en-US" w:eastAsia="zh-CN" w:bidi="ar-SA"/>
    </w:rPr>
  </w:style>
  <w:style w:type="character" w:customStyle="1" w:styleId="289">
    <w:name w:val="Ò³Ã¼ Char Char"/>
    <w:qFormat/>
    <w:uiPriority w:val="0"/>
    <w:rPr>
      <w:rFonts w:eastAsia="宋体"/>
      <w:kern w:val="2"/>
      <w:sz w:val="18"/>
      <w:lang w:val="en-US" w:eastAsia="zh-CN" w:bidi="ar-SA"/>
    </w:rPr>
  </w:style>
  <w:style w:type="character" w:customStyle="1" w:styleId="290">
    <w:name w:val="message1"/>
    <w:qFormat/>
    <w:uiPriority w:val="0"/>
    <w:rPr>
      <w:rFonts w:hint="default" w:ascii="Tahoma" w:hAnsi="Tahoma" w:cs="Tahoma"/>
      <w:sz w:val="18"/>
      <w:szCs w:val="18"/>
    </w:rPr>
  </w:style>
  <w:style w:type="character" w:customStyle="1" w:styleId="291">
    <w:name w:val="Char Char23"/>
    <w:qFormat/>
    <w:uiPriority w:val="6"/>
    <w:rPr>
      <w:color w:val="0000FF"/>
      <w:sz w:val="21"/>
    </w:rPr>
  </w:style>
  <w:style w:type="character" w:customStyle="1" w:styleId="292">
    <w:name w:val="批注框文本 字符"/>
    <w:qFormat/>
    <w:uiPriority w:val="0"/>
    <w:rPr>
      <w:rFonts w:ascii="Arial" w:hAnsi="Arial" w:eastAsia="黑体" w:cs="Arial"/>
      <w:snapToGrid w:val="0"/>
      <w:kern w:val="0"/>
      <w:sz w:val="18"/>
      <w:szCs w:val="18"/>
    </w:rPr>
  </w:style>
  <w:style w:type="character" w:customStyle="1" w:styleId="293">
    <w:name w:val="纯文本 Char2"/>
    <w:semiHidden/>
    <w:qFormat/>
    <w:uiPriority w:val="99"/>
    <w:rPr>
      <w:rFonts w:ascii="宋体" w:hAnsi="Courier New" w:eastAsia="宋体" w:cs="Courier New"/>
    </w:rPr>
  </w:style>
  <w:style w:type="character" w:customStyle="1" w:styleId="294">
    <w:name w:val="Char Char25"/>
    <w:qFormat/>
    <w:uiPriority w:val="6"/>
    <w:rPr>
      <w:rFonts w:ascii="宋体" w:hAnsi="宋体"/>
      <w:kern w:val="1"/>
      <w:sz w:val="24"/>
      <w:lang w:val="zh-CN"/>
    </w:rPr>
  </w:style>
  <w:style w:type="character" w:customStyle="1" w:styleId="295">
    <w:name w:val="Char Char411"/>
    <w:qFormat/>
    <w:uiPriority w:val="0"/>
    <w:rPr>
      <w:rFonts w:eastAsia="宋体"/>
      <w:b/>
      <w:sz w:val="24"/>
      <w:lang w:val="en-GB" w:eastAsia="zh-CN" w:bidi="ar-SA"/>
    </w:rPr>
  </w:style>
  <w:style w:type="character" w:customStyle="1" w:styleId="296">
    <w:name w:val="Heading 7 Char"/>
    <w:qFormat/>
    <w:locked/>
    <w:uiPriority w:val="0"/>
    <w:rPr>
      <w:rFonts w:ascii="宋体" w:hAnsi="宋体" w:eastAsia="宋体"/>
      <w:b/>
      <w:bCs/>
      <w:kern w:val="2"/>
      <w:sz w:val="24"/>
      <w:szCs w:val="24"/>
      <w:lang w:val="en-US" w:eastAsia="zh-CN" w:bidi="ar-SA"/>
    </w:rPr>
  </w:style>
  <w:style w:type="character" w:customStyle="1" w:styleId="297">
    <w:name w:val="此正文 Char"/>
    <w:link w:val="298"/>
    <w:qFormat/>
    <w:uiPriority w:val="0"/>
    <w:rPr>
      <w:kern w:val="2"/>
      <w:sz w:val="24"/>
      <w:szCs w:val="24"/>
    </w:rPr>
  </w:style>
  <w:style w:type="paragraph" w:customStyle="1" w:styleId="298">
    <w:name w:val="此正文"/>
    <w:basedOn w:val="1"/>
    <w:link w:val="297"/>
    <w:qFormat/>
    <w:uiPriority w:val="0"/>
    <w:pPr>
      <w:adjustRightInd/>
      <w:spacing w:line="360" w:lineRule="auto"/>
      <w:ind w:firstLine="200" w:firstLineChars="200"/>
    </w:pPr>
    <w:rPr>
      <w:sz w:val="24"/>
    </w:rPr>
  </w:style>
  <w:style w:type="character" w:customStyle="1" w:styleId="299">
    <w:name w:val="Char Char2"/>
    <w:qFormat/>
    <w:uiPriority w:val="0"/>
    <w:rPr>
      <w:rFonts w:eastAsia="宋体"/>
      <w:b/>
      <w:bCs/>
      <w:kern w:val="2"/>
      <w:sz w:val="21"/>
      <w:szCs w:val="24"/>
      <w:lang w:val="en-US" w:eastAsia="zh-CN" w:bidi="ar-SA"/>
    </w:rPr>
  </w:style>
  <w:style w:type="character" w:customStyle="1" w:styleId="300">
    <w:name w:val="Footer-Even Char1"/>
    <w:qFormat/>
    <w:uiPriority w:val="0"/>
    <w:rPr>
      <w:rFonts w:eastAsia="宋体"/>
      <w:kern w:val="2"/>
      <w:sz w:val="18"/>
      <w:szCs w:val="18"/>
      <w:lang w:val="en-US" w:eastAsia="zh-CN" w:bidi="ar-SA"/>
    </w:rPr>
  </w:style>
  <w:style w:type="character" w:customStyle="1" w:styleId="301">
    <w:name w:val="Char Char29"/>
    <w:qFormat/>
    <w:uiPriority w:val="6"/>
    <w:rPr>
      <w:rFonts w:ascii="Arial" w:hAnsi="Arial" w:eastAsia="微软雅黑"/>
      <w:b/>
      <w:kern w:val="1"/>
      <w:sz w:val="44"/>
      <w:szCs w:val="32"/>
      <w:lang w:val="en-US" w:eastAsia="zh-CN" w:bidi="ar-SA"/>
    </w:rPr>
  </w:style>
  <w:style w:type="character" w:customStyle="1" w:styleId="302">
    <w:name w:val="font81"/>
    <w:qFormat/>
    <w:uiPriority w:val="0"/>
    <w:rPr>
      <w:rFonts w:ascii="微软雅黑" w:hAnsi="微软雅黑" w:eastAsia="微软雅黑" w:cs="微软雅黑"/>
      <w:color w:val="000000"/>
      <w:sz w:val="20"/>
      <w:szCs w:val="20"/>
      <w:u w:val="none"/>
    </w:rPr>
  </w:style>
  <w:style w:type="character" w:customStyle="1" w:styleId="303">
    <w:name w:val="Char Char312"/>
    <w:qFormat/>
    <w:uiPriority w:val="0"/>
    <w:rPr>
      <w:rFonts w:ascii="Times New Roman" w:hAnsi="Times New Roman" w:eastAsia="宋体" w:cs="Times New Roman"/>
      <w:b/>
      <w:kern w:val="2"/>
      <w:sz w:val="32"/>
      <w:szCs w:val="24"/>
      <w:lang w:val="en-US" w:eastAsia="zh-CN" w:bidi="ar-SA"/>
    </w:rPr>
  </w:style>
  <w:style w:type="character" w:customStyle="1" w:styleId="304">
    <w:name w:val="t21"/>
    <w:qFormat/>
    <w:uiPriority w:val="0"/>
    <w:rPr>
      <w:rFonts w:ascii="仿宋_GB2312" w:eastAsia="微软雅黑"/>
      <w:b/>
      <w:kern w:val="2"/>
      <w:sz w:val="23"/>
      <w:szCs w:val="23"/>
      <w:lang w:val="en-US" w:eastAsia="zh-CN" w:bidi="ar-SA"/>
    </w:rPr>
  </w:style>
  <w:style w:type="character" w:customStyle="1" w:styleId="305">
    <w:name w:val="样式8 Char"/>
    <w:qFormat/>
    <w:uiPriority w:val="0"/>
    <w:rPr>
      <w:rFonts w:ascii="仿宋_GB2312" w:hAnsi="宋体" w:eastAsia="仿宋_GB2312"/>
      <w:b/>
      <w:bCs/>
      <w:kern w:val="2"/>
      <w:sz w:val="24"/>
      <w:szCs w:val="24"/>
    </w:rPr>
  </w:style>
  <w:style w:type="character" w:customStyle="1" w:styleId="306">
    <w:name w:val="表格 Char Char"/>
    <w:qFormat/>
    <w:uiPriority w:val="0"/>
    <w:rPr>
      <w:rFonts w:ascii="宋体" w:hAnsi="宋体" w:eastAsia="宋体"/>
      <w:lang w:bidi="ar-SA"/>
    </w:rPr>
  </w:style>
  <w:style w:type="character" w:customStyle="1" w:styleId="307">
    <w:name w:val="正文文本 字符1"/>
    <w:qFormat/>
    <w:uiPriority w:val="0"/>
    <w:rPr>
      <w:rFonts w:ascii="Calibri" w:hAnsi="Calibri" w:eastAsia="黑体" w:cs="Arial"/>
      <w:snapToGrid w:val="0"/>
      <w:kern w:val="2"/>
      <w:sz w:val="28"/>
      <w:szCs w:val="21"/>
    </w:rPr>
  </w:style>
  <w:style w:type="character" w:customStyle="1" w:styleId="308">
    <w:name w:val="标题 6 Char1"/>
    <w:qFormat/>
    <w:uiPriority w:val="0"/>
    <w:rPr>
      <w:rFonts w:ascii="Arial" w:hAnsi="Arial" w:eastAsia="黑体" w:cs="Times New Roman"/>
      <w:b/>
      <w:sz w:val="24"/>
      <w:szCs w:val="20"/>
      <w:lang w:bidi="ar-SA"/>
    </w:rPr>
  </w:style>
  <w:style w:type="character" w:customStyle="1" w:styleId="309">
    <w:name w:val="带编号样式 Char"/>
    <w:qFormat/>
    <w:uiPriority w:val="0"/>
    <w:rPr>
      <w:rFonts w:ascii="仿宋_GB2312" w:eastAsia="仿宋_GB2312"/>
      <w:color w:val="000000"/>
      <w:sz w:val="24"/>
      <w:lang w:bidi="ar-SA"/>
    </w:rPr>
  </w:style>
  <w:style w:type="character" w:customStyle="1" w:styleId="310">
    <w:name w:val="unnamed31"/>
    <w:qFormat/>
    <w:uiPriority w:val="0"/>
    <w:rPr>
      <w:rFonts w:ascii="Tahoma" w:hAnsi="Tahoma" w:eastAsia="宋体"/>
      <w:b/>
      <w:kern w:val="2"/>
      <w:sz w:val="24"/>
      <w:szCs w:val="32"/>
      <w:u w:val="none"/>
      <w:lang w:val="en-US" w:eastAsia="zh-CN" w:bidi="ar-SA"/>
    </w:rPr>
  </w:style>
  <w:style w:type="character" w:customStyle="1" w:styleId="311">
    <w:name w:val="正文首行缩进 Char Char Char Char Char Char1"/>
    <w:qFormat/>
    <w:uiPriority w:val="0"/>
    <w:rPr>
      <w:rFonts w:ascii="宋体" w:eastAsia="宋体"/>
      <w:kern w:val="2"/>
      <w:sz w:val="24"/>
      <w:szCs w:val="24"/>
      <w:lang w:val="zh-CN" w:bidi="ar-SA"/>
    </w:rPr>
  </w:style>
  <w:style w:type="character" w:customStyle="1" w:styleId="312">
    <w:name w:val="文本正文 Char Char"/>
    <w:qFormat/>
    <w:locked/>
    <w:uiPriority w:val="0"/>
    <w:rPr>
      <w:sz w:val="24"/>
      <w:lang w:bidi="ar-SA"/>
    </w:rPr>
  </w:style>
  <w:style w:type="character" w:customStyle="1" w:styleId="313">
    <w:name w:val="正文缩进 字符"/>
    <w:qFormat/>
    <w:uiPriority w:val="0"/>
    <w:rPr>
      <w:rFonts w:ascii="宋体" w:eastAsia="宋体"/>
      <w:snapToGrid w:val="0"/>
      <w:color w:val="000000"/>
      <w:kern w:val="28"/>
      <w:sz w:val="28"/>
      <w:lang w:val="en-US" w:eastAsia="zh-CN" w:bidi="ar-SA"/>
    </w:rPr>
  </w:style>
  <w:style w:type="character" w:customStyle="1" w:styleId="314">
    <w:name w:val="样式 样式 标题 4h4H4Fab-4T5Ref Heading 1rh1Heading sqlsect 1.2.3.... +... Char"/>
    <w:link w:val="315"/>
    <w:qFormat/>
    <w:uiPriority w:val="0"/>
    <w:rPr>
      <w:rFonts w:ascii="微软雅黑" w:hAnsi="微软雅黑" w:eastAsia="微软雅黑"/>
      <w:b/>
      <w:bCs/>
      <w:kern w:val="2"/>
      <w:sz w:val="24"/>
      <w:szCs w:val="28"/>
    </w:rPr>
  </w:style>
  <w:style w:type="paragraph" w:customStyle="1" w:styleId="315">
    <w:name w:val="样式 样式 标题 4h4H4Fab-4T5Ref Heading 1rh1Heading sqlsect 1.2.3.... +..."/>
    <w:basedOn w:val="316"/>
    <w:link w:val="314"/>
    <w:qFormat/>
    <w:uiPriority w:val="0"/>
    <w:pPr>
      <w:tabs>
        <w:tab w:val="left" w:pos="2356"/>
      </w:tabs>
    </w:pPr>
  </w:style>
  <w:style w:type="paragraph" w:customStyle="1" w:styleId="316">
    <w:name w:val="样式 标题 4h4H4Fab-4T5Ref Heading 1rh1Heading sqlsect 1.2.3...."/>
    <w:basedOn w:val="6"/>
    <w:link w:val="3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7">
    <w:name w:val="样式 标题 4h4H4Fab-4T5Ref Heading 1rh1Heading sqlsect 1.2.3.... Char"/>
    <w:link w:val="316"/>
    <w:qFormat/>
    <w:uiPriority w:val="0"/>
    <w:rPr>
      <w:rFonts w:ascii="微软雅黑" w:hAnsi="微软雅黑" w:eastAsia="微软雅黑"/>
      <w:b/>
      <w:bCs/>
      <w:kern w:val="2"/>
      <w:sz w:val="24"/>
      <w:szCs w:val="28"/>
    </w:rPr>
  </w:style>
  <w:style w:type="character" w:customStyle="1" w:styleId="318">
    <w:name w:val="正文非缩进 Char"/>
    <w:qFormat/>
    <w:uiPriority w:val="0"/>
    <w:rPr>
      <w:rFonts w:ascii="宋体" w:eastAsia="宋体"/>
      <w:snapToGrid w:val="0"/>
      <w:color w:val="000000"/>
      <w:kern w:val="28"/>
      <w:sz w:val="28"/>
      <w:lang w:val="en-US" w:eastAsia="zh-CN" w:bidi="ar-SA"/>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Times New Roman"/>
      <w:snapToGrid/>
      <w:color w:val="auto"/>
      <w:kern w:val="2"/>
      <w:sz w:val="24"/>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7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sz w:val="24"/>
      <w:lang w:val="en-US" w:eastAsia="zh-CN" w:bidi="ar-SA"/>
    </w:rPr>
  </w:style>
  <w:style w:type="paragraph" w:styleId="481">
    <w:name w:val="No Spacing"/>
    <w:basedOn w:val="1"/>
    <w:link w:val="482"/>
    <w:qFormat/>
    <w:uiPriority w:val="99"/>
    <w:rPr>
      <w:szCs w:val="22"/>
    </w:rPr>
  </w:style>
  <w:style w:type="character" w:customStyle="1" w:styleId="482">
    <w:name w:val="无间隔 Char"/>
    <w:link w:val="481"/>
    <w:qFormat/>
    <w:uiPriority w:val="99"/>
    <w:rPr>
      <w:kern w:val="2"/>
      <w:sz w:val="21"/>
      <w:szCs w:val="22"/>
    </w:rPr>
  </w:style>
  <w:style w:type="paragraph" w:customStyle="1" w:styleId="483">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5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53"/>
    <w:next w:val="25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53"/>
    <w:next w:val="25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eastAsia="黑体"/>
      <w:sz w:val="21"/>
      <w:lang w:val="en-US" w:eastAsia="zh-CN" w:bidi="ar-SA"/>
    </w:rPr>
  </w:style>
  <w:style w:type="paragraph" w:customStyle="1" w:styleId="639">
    <w:name w:val="段"/>
    <w:qFormat/>
    <w:uiPriority w:val="0"/>
    <w:pPr>
      <w:autoSpaceDE w:val="0"/>
      <w:autoSpaceDN w:val="0"/>
      <w:ind w:firstLine="200" w:firstLineChars="200"/>
      <w:jc w:val="both"/>
    </w:pPr>
    <w:rPr>
      <w:rFonts w:ascii="宋体"/>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07">
    <w:name w:val="Normal0"/>
    <w:qFormat/>
    <w:uiPriority w:val="0"/>
    <w:rPr>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kern w:val="2"/>
      <w:sz w:val="21"/>
      <w:szCs w:val="22"/>
      <w:lang w:val="en-US" w:eastAsia="zh-CN" w:bidi="ar-SA"/>
    </w:rPr>
  </w:style>
  <w:style w:type="paragraph" w:customStyle="1" w:styleId="770">
    <w:name w:val="表文字"/>
    <w:qFormat/>
    <w:uiPriority w:val="0"/>
    <w:rPr>
      <w:rFonts w:ascii="宋体"/>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6">
    <w:name w:val="浅色底纹 - 强调文字颜色 51"/>
    <w:qFormat/>
    <w:uiPriority w:val="0"/>
    <w:rPr>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6"/>
    <w:qFormat/>
    <w:uiPriority w:val="34"/>
    <w:pPr>
      <w:adjustRightInd/>
      <w:ind w:firstLine="420" w:firstLineChars="200"/>
    </w:pPr>
  </w:style>
  <w:style w:type="paragraph" w:customStyle="1" w:styleId="947">
    <w:name w:val="正文5"/>
    <w:qFormat/>
    <w:uiPriority w:val="0"/>
    <w:pPr>
      <w:jc w:val="both"/>
    </w:pPr>
    <w:rPr>
      <w:rFonts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semiHidden/>
    <w:uiPriority w:val="99"/>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38884</Words>
  <Characters>41087</Characters>
  <Lines>342</Lines>
  <Paragraphs>96</Paragraphs>
  <TotalTime>0</TotalTime>
  <ScaleCrop>false</ScaleCrop>
  <LinksUpToDate>false</LinksUpToDate>
  <CharactersWithSpaces>46298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WPS_1701756769</cp:lastModifiedBy>
  <cp:lastPrinted>2021-12-27T03:06:00Z</cp:lastPrinted>
  <dcterms:modified xsi:type="dcterms:W3CDTF">2024-02-22T11:06:25Z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498F1AB853B4408D96C278BE2AEA9CD6_13</vt:lpwstr>
  </property>
</Properties>
</file>